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AD2B" w14:textId="5EEF9141" w:rsidR="0015224D" w:rsidRPr="0056129A" w:rsidRDefault="00144D73" w:rsidP="007E45B6">
      <w:pPr>
        <w:spacing w:line="360" w:lineRule="auto"/>
        <w:jc w:val="both"/>
        <w:rPr>
          <w:b/>
          <w:bCs/>
        </w:rPr>
      </w:pPr>
      <w:r w:rsidRPr="00144D73">
        <w:rPr>
          <w:b/>
          <w:bCs/>
          <w:i/>
          <w:iCs/>
          <w:highlight w:val="yellow"/>
        </w:rPr>
        <w:t>Digital Financial Inclusion and Household Economic Vulnerability: Evidence from China's Fintech Development</w:t>
      </w:r>
    </w:p>
    <w:p w14:paraId="6A6F7BAA" w14:textId="1BCB401F" w:rsidR="007E45B6" w:rsidRPr="007E45B6" w:rsidRDefault="007E45B6" w:rsidP="0015224D">
      <w:pPr>
        <w:spacing w:line="360" w:lineRule="auto"/>
        <w:jc w:val="center"/>
        <w:rPr>
          <w:b/>
          <w:bCs/>
        </w:rPr>
      </w:pPr>
      <w:r w:rsidRPr="007E45B6">
        <w:rPr>
          <w:b/>
          <w:bCs/>
        </w:rPr>
        <w:t>Abstract</w:t>
      </w:r>
    </w:p>
    <w:p w14:paraId="403BB785" w14:textId="6077A282" w:rsidR="007E45B6" w:rsidRPr="00B24DE8" w:rsidRDefault="007E45B6" w:rsidP="007E45B6">
      <w:pPr>
        <w:spacing w:line="360" w:lineRule="auto"/>
        <w:jc w:val="both"/>
      </w:pPr>
      <w:r w:rsidRPr="0056129A">
        <w:t xml:space="preserve">As digital finance becomes increasingly embedded in everyday life, its dual impact on household well-being demands closer scrutiny. </w:t>
      </w:r>
      <w:r w:rsidR="00AB2094" w:rsidRPr="00144D73">
        <w:rPr>
          <w:highlight w:val="yellow"/>
        </w:rPr>
        <w:t>Through mobile banking, fintech platforms, and algorithm-driven credit systems, digital finance has expanded access to financial services for previously underserved populations</w:t>
      </w:r>
      <w:r w:rsidR="00AB2094">
        <w:t>.</w:t>
      </w:r>
      <w:r w:rsidR="00AB2094" w:rsidRPr="00AB2094">
        <w:t xml:space="preserve"> </w:t>
      </w:r>
      <w:r w:rsidRPr="0056129A">
        <w:t>This study investigates how the adoption of digital financial tools</w:t>
      </w:r>
      <w:r w:rsidR="00144D73">
        <w:t>-</w:t>
      </w:r>
      <w:r w:rsidRPr="0056129A">
        <w:t>captured through digital finance usage</w:t>
      </w:r>
      <w:r w:rsidR="00144D73">
        <w:t>-</w:t>
      </w:r>
      <w:r w:rsidRPr="0056129A">
        <w:t xml:space="preserve">and the development of economic awareness influence household financial </w:t>
      </w:r>
      <w:proofErr w:type="spellStart"/>
      <w:r w:rsidR="00C516F1" w:rsidRPr="00144D73">
        <w:rPr>
          <w:highlight w:val="yellow"/>
        </w:rPr>
        <w:t>behaviour</w:t>
      </w:r>
      <w:proofErr w:type="spellEnd"/>
      <w:r w:rsidRPr="0056129A">
        <w:t xml:space="preserve">. </w:t>
      </w:r>
      <w:r w:rsidR="007F3B1C" w:rsidRPr="00144D73">
        <w:rPr>
          <w:highlight w:val="yellow"/>
        </w:rPr>
        <w:t>The primary dataset is the China Household Finance Survey (CHFS), covering the 2021, 2022, and 2023 waves.</w:t>
      </w:r>
      <w:r w:rsidR="007F3B1C" w:rsidRPr="007F3B1C">
        <w:t xml:space="preserve"> </w:t>
      </w:r>
      <w:r w:rsidRPr="0056129A">
        <w:t xml:space="preserve">While digital platforms have expanded access to financial services, they have also introduced new vulnerabilities, particularly by accelerating access to credit and altering consumption </w:t>
      </w:r>
      <w:proofErr w:type="spellStart"/>
      <w:r w:rsidR="00C516F1" w:rsidRPr="00144D73">
        <w:rPr>
          <w:highlight w:val="yellow"/>
        </w:rPr>
        <w:t>behaviour</w:t>
      </w:r>
      <w:proofErr w:type="spellEnd"/>
      <w:r w:rsidRPr="0056129A">
        <w:t xml:space="preserve">. Using a nationally representative dataset, we examine how variables such as technology access, financial literacy, and risk tolerance shape outcomes like market participation, consumption patterns, and financial stress. </w:t>
      </w:r>
      <w:r w:rsidR="00C516F1" w:rsidRPr="00144D73">
        <w:rPr>
          <w:highlight w:val="yellow"/>
        </w:rPr>
        <w:t>As household debt levels rise globally, understanding these dynamics is critical for ensuring that digital finance supports—not undermines—financial stability.</w:t>
      </w:r>
      <w:r w:rsidR="00C516F1">
        <w:t xml:space="preserve"> </w:t>
      </w:r>
      <w:r>
        <w:t xml:space="preserve">The </w:t>
      </w:r>
      <w:r w:rsidRPr="0056129A">
        <w:t>findings reveal that while digital finance fosters economic inclusion, it can also amplify financial fragility, especially among households with limited financial capability. These effects are highly context-dependent, underscoring the need for targeted digital literacy programs and responsible fintech regulation to ensure that digital finance serves as a bridge to prosperity—not a pathway to debt</w:t>
      </w:r>
      <w:r w:rsidRPr="00B24DE8">
        <w:t>.</w:t>
      </w:r>
      <w:r w:rsidR="007F3B1C">
        <w:t xml:space="preserve"> </w:t>
      </w:r>
      <w:r w:rsidR="007F3B1C" w:rsidRPr="00144D73">
        <w:rPr>
          <w:highlight w:val="yellow"/>
        </w:rPr>
        <w:t>The results underscore the importance of distinguishing between access and usage, and between short-term liquidity and long-term financial health. While digital finance holds promise for inclusive growth, its benefits are not automatic. They depend on the quality of platform design, the regulatory environment, and the financial capabilities of users.</w:t>
      </w:r>
    </w:p>
    <w:p w14:paraId="4DFC46AD" w14:textId="35DF7834" w:rsidR="007E45B6" w:rsidRPr="00B24DE8" w:rsidRDefault="007E45B6" w:rsidP="007E45B6">
      <w:pPr>
        <w:spacing w:line="360" w:lineRule="auto"/>
        <w:jc w:val="both"/>
        <w:rPr>
          <w:b/>
          <w:bCs/>
        </w:rPr>
      </w:pPr>
      <w:r w:rsidRPr="00B24DE8">
        <w:rPr>
          <w:b/>
          <w:bCs/>
        </w:rPr>
        <w:t>Keywords:</w:t>
      </w:r>
      <w:r>
        <w:rPr>
          <w:b/>
          <w:bCs/>
        </w:rPr>
        <w:t xml:space="preserve"> </w:t>
      </w:r>
      <w:r w:rsidRPr="00B24DE8">
        <w:t xml:space="preserve">Digital Finance, Financial Literacy, Economic Inclusion, Technology Access, Household </w:t>
      </w:r>
      <w:proofErr w:type="spellStart"/>
      <w:r w:rsidR="00C516F1" w:rsidRPr="00144D73">
        <w:rPr>
          <w:highlight w:val="yellow"/>
        </w:rPr>
        <w:t>Behaviour</w:t>
      </w:r>
      <w:proofErr w:type="spellEnd"/>
      <w:r w:rsidRPr="00B24DE8">
        <w:t>, Financial Stress</w:t>
      </w:r>
    </w:p>
    <w:p w14:paraId="6230411F" w14:textId="77777777" w:rsidR="007E45B6" w:rsidRPr="00D95FD9" w:rsidRDefault="007E45B6" w:rsidP="007E45B6">
      <w:pPr>
        <w:spacing w:line="360" w:lineRule="auto"/>
        <w:jc w:val="both"/>
      </w:pPr>
      <w:r w:rsidRPr="00D95FD9">
        <w:rPr>
          <w:b/>
          <w:bCs/>
        </w:rPr>
        <w:t>Introduction</w:t>
      </w:r>
    </w:p>
    <w:p w14:paraId="703F4023" w14:textId="5C7FAFEE" w:rsidR="007E45B6" w:rsidRPr="003B0554" w:rsidRDefault="007E45B6" w:rsidP="007E45B6">
      <w:pPr>
        <w:spacing w:line="360" w:lineRule="auto"/>
        <w:jc w:val="both"/>
      </w:pPr>
      <w:r w:rsidRPr="003B0554">
        <w:lastRenderedPageBreak/>
        <w:t>The rapid evolution of digital finance has transformed the global financial landscape, offering new opportunities for economic participation and inclusion</w:t>
      </w:r>
      <w:r w:rsidR="00F019E4">
        <w:t xml:space="preserve"> (Ishtiaq et al., 2024)</w:t>
      </w:r>
      <w:r w:rsidRPr="003B0554">
        <w:t xml:space="preserve">. </w:t>
      </w:r>
      <w:r w:rsidR="00C516F1" w:rsidRPr="00144D73">
        <w:rPr>
          <w:highlight w:val="yellow"/>
        </w:rPr>
        <w:t xml:space="preserve">Digital Finance encompasses a magnitude of new financial products, financial businesses, finance-related software, and novel forms of customer communication and interaction—delivered by FinTech companies and innovative financial service providers (Gomber </w:t>
      </w:r>
      <w:r w:rsidR="00C516F1" w:rsidRPr="00144D73">
        <w:rPr>
          <w:i/>
          <w:iCs/>
          <w:highlight w:val="yellow"/>
        </w:rPr>
        <w:t>et al</w:t>
      </w:r>
      <w:r w:rsidR="00C516F1" w:rsidRPr="00144D73">
        <w:rPr>
          <w:highlight w:val="yellow"/>
        </w:rPr>
        <w:t>., 2017).</w:t>
      </w:r>
      <w:r w:rsidR="00C516F1" w:rsidRPr="00C516F1">
        <w:t xml:space="preserve"> </w:t>
      </w:r>
      <w:r w:rsidRPr="003B0554">
        <w:t>Through mobile banking, fintech platforms, and algorithm-driven credit systems, digital finance has expanded access to financial services for previously underserved populations (Beck, 2020; Thomas and Hedrick-Wong, 2019). These innovations have reduced information asymmetries, improved credit allocation, and enhanced the efficiency of payment systems (Liang et al., 2020; Huang and Wang, 2017). However, the same technologies that enable inclusion also introduce new risks—particularly for households with limited financial capability (Tok and Heng, 2022; Liu and Guo, 2023).</w:t>
      </w:r>
    </w:p>
    <w:p w14:paraId="458C84E9" w14:textId="59133A55" w:rsidR="007E45B6" w:rsidRPr="003B0554" w:rsidRDefault="007E45B6" w:rsidP="007E45B6">
      <w:pPr>
        <w:spacing w:line="360" w:lineRule="auto"/>
        <w:jc w:val="both"/>
      </w:pPr>
      <w:r w:rsidRPr="003B0554">
        <w:t>This study explores the </w:t>
      </w:r>
      <w:r w:rsidRPr="003B0554">
        <w:rPr>
          <w:b/>
          <w:bCs/>
        </w:rPr>
        <w:t>dual impact</w:t>
      </w:r>
      <w:r w:rsidRPr="003B0554">
        <w:t xml:space="preserve"> of digital finance: its potential to empower households through improved access to credit and financial tools, and its capacity to expose them to financial distress when inadequately regulated or poorly understood. </w:t>
      </w:r>
      <w:r w:rsidR="00AB2094" w:rsidRPr="00144D73">
        <w:rPr>
          <w:highlight w:val="yellow"/>
        </w:rPr>
        <w:t>Digital Financial Services are financial services delivered through alternative delivery channels like mobile phones, personal computers, the internet, and cards linked to a reliable digital payment system</w:t>
      </w:r>
      <w:r w:rsidR="00AB2094">
        <w:rPr>
          <w:highlight w:val="yellow"/>
        </w:rPr>
        <w:t xml:space="preserve">. </w:t>
      </w:r>
      <w:r w:rsidR="00AB2094" w:rsidRPr="00144D73">
        <w:rPr>
          <w:highlight w:val="yellow"/>
        </w:rPr>
        <w:t xml:space="preserve">Fintech is used to improve and automate the delivery and use of financial services. For instance, a Fintech provider uses a technology platform, whether online or offline, to provide new financial services or to improve the delivery of existing financial services for their </w:t>
      </w:r>
      <w:proofErr w:type="gramStart"/>
      <w:r w:rsidR="00AB2094" w:rsidRPr="00144D73">
        <w:rPr>
          <w:highlight w:val="yellow"/>
        </w:rPr>
        <w:t>customers  (</w:t>
      </w:r>
      <w:proofErr w:type="spellStart"/>
      <w:proofErr w:type="gramEnd"/>
      <w:r w:rsidR="00AB2094" w:rsidRPr="00144D73">
        <w:rPr>
          <w:highlight w:val="yellow"/>
        </w:rPr>
        <w:t>Amugune</w:t>
      </w:r>
      <w:proofErr w:type="spellEnd"/>
      <w:r w:rsidR="00AB2094" w:rsidRPr="00144D73">
        <w:rPr>
          <w:highlight w:val="yellow"/>
        </w:rPr>
        <w:t xml:space="preserve"> </w:t>
      </w:r>
      <w:r w:rsidR="00AB2094" w:rsidRPr="00144D73">
        <w:rPr>
          <w:i/>
          <w:iCs/>
          <w:highlight w:val="yellow"/>
        </w:rPr>
        <w:t>et al</w:t>
      </w:r>
      <w:r w:rsidR="00AB2094" w:rsidRPr="00144D73">
        <w:rPr>
          <w:highlight w:val="yellow"/>
        </w:rPr>
        <w:t>., 2025</w:t>
      </w:r>
      <w:r w:rsidR="00AB2094">
        <w:rPr>
          <w:highlight w:val="yellow"/>
        </w:rPr>
        <w:t xml:space="preserve">; </w:t>
      </w:r>
      <w:r w:rsidR="00AB2094" w:rsidRPr="00144D73">
        <w:rPr>
          <w:highlight w:val="yellow"/>
        </w:rPr>
        <w:t>Weerasinghe &amp; Karunarathna, 2025).</w:t>
      </w:r>
      <w:r w:rsidR="00AB2094">
        <w:t xml:space="preserve"> </w:t>
      </w:r>
      <w:r w:rsidRPr="003B0554">
        <w:t xml:space="preserve">While prior research has largely </w:t>
      </w:r>
      <w:proofErr w:type="spellStart"/>
      <w:r w:rsidR="00AB2094" w:rsidRPr="00144D73">
        <w:rPr>
          <w:highlight w:val="yellow"/>
        </w:rPr>
        <w:t>emphasised</w:t>
      </w:r>
      <w:proofErr w:type="spellEnd"/>
      <w:r w:rsidR="00AB2094" w:rsidRPr="003B0554">
        <w:t xml:space="preserve"> </w:t>
      </w:r>
      <w:r w:rsidRPr="003B0554">
        <w:t>the benefits of digital finance—such as increased credit access, consumption smoothing, and financial resilience—fewer studies have examined its </w:t>
      </w:r>
      <w:r w:rsidRPr="003B0554">
        <w:rPr>
          <w:b/>
          <w:bCs/>
        </w:rPr>
        <w:t>negative externalities</w:t>
      </w:r>
      <w:r w:rsidRPr="003B0554">
        <w:t>, including rising household debt and financial instability (Hou and Zhang, 2025; Yue et al., 2022; Singh, 2020). Our work contributes to this emerging strand of literature by analyzing both the </w:t>
      </w:r>
      <w:r w:rsidRPr="003B0554">
        <w:rPr>
          <w:b/>
          <w:bCs/>
        </w:rPr>
        <w:t>positive and negative consequences</w:t>
      </w:r>
      <w:r w:rsidRPr="003B0554">
        <w:t> of digital finance adoption.</w:t>
      </w:r>
    </w:p>
    <w:p w14:paraId="3AD3C4C6" w14:textId="77777777" w:rsidR="007E45B6" w:rsidRPr="003B0554" w:rsidRDefault="007E45B6" w:rsidP="007E45B6">
      <w:pPr>
        <w:spacing w:line="360" w:lineRule="auto"/>
        <w:jc w:val="both"/>
      </w:pPr>
      <w:r w:rsidRPr="003B0554">
        <w:t>We focus on how </w:t>
      </w:r>
      <w:r w:rsidRPr="003B0554">
        <w:rPr>
          <w:b/>
          <w:bCs/>
        </w:rPr>
        <w:t>digital finance usage</w:t>
      </w:r>
      <w:r w:rsidRPr="003B0554">
        <w:t>, </w:t>
      </w:r>
      <w:r w:rsidRPr="003B0554">
        <w:rPr>
          <w:b/>
          <w:bCs/>
        </w:rPr>
        <w:t>economic awareness</w:t>
      </w:r>
      <w:r w:rsidRPr="003B0554">
        <w:t>, and </w:t>
      </w:r>
      <w:r w:rsidRPr="003B0554">
        <w:rPr>
          <w:b/>
          <w:bCs/>
        </w:rPr>
        <w:t>technology access</w:t>
      </w:r>
      <w:r w:rsidRPr="003B0554">
        <w:t> influence household financial outcomes, including </w:t>
      </w:r>
      <w:r w:rsidRPr="003B0554">
        <w:rPr>
          <w:b/>
          <w:bCs/>
        </w:rPr>
        <w:t>consumption behavior</w:t>
      </w:r>
      <w:r w:rsidRPr="003B0554">
        <w:t>, </w:t>
      </w:r>
      <w:r w:rsidRPr="003B0554">
        <w:rPr>
          <w:b/>
          <w:bCs/>
        </w:rPr>
        <w:t>market participation</w:t>
      </w:r>
      <w:r w:rsidRPr="003B0554">
        <w:t>, and </w:t>
      </w:r>
      <w:r w:rsidRPr="003B0554">
        <w:rPr>
          <w:b/>
          <w:bCs/>
        </w:rPr>
        <w:t>financial stress</w:t>
      </w:r>
      <w:r w:rsidRPr="003B0554">
        <w:t>. A key mechanism in this relationship is the </w:t>
      </w:r>
      <w:r w:rsidRPr="003B0554">
        <w:rPr>
          <w:b/>
          <w:bCs/>
        </w:rPr>
        <w:t>marginal propensity to consume</w:t>
      </w:r>
      <w:r w:rsidRPr="003B0554">
        <w:t xml:space="preserve">, </w:t>
      </w:r>
      <w:r w:rsidRPr="003B0554">
        <w:lastRenderedPageBreak/>
        <w:t xml:space="preserve">which digital credit can alter—either enabling consumption smoothing or exacerbating debt accumulation (Li et al., 2023; Hu et al., 2024). As household debt levels rise globally, understanding these dynamics is critical for ensuring that digital finance supports—not undermines—financial stability (Mayer and Schnabl, 2023; Jia and </w:t>
      </w:r>
      <w:proofErr w:type="spellStart"/>
      <w:r w:rsidRPr="003B0554">
        <w:t>Kanagaretnam</w:t>
      </w:r>
      <w:proofErr w:type="spellEnd"/>
      <w:r w:rsidRPr="003B0554">
        <w:t>, 2025).</w:t>
      </w:r>
    </w:p>
    <w:p w14:paraId="6930A982" w14:textId="77777777" w:rsidR="007E45B6" w:rsidRDefault="007E45B6" w:rsidP="007E45B6">
      <w:pPr>
        <w:spacing w:line="360" w:lineRule="auto"/>
        <w:jc w:val="both"/>
      </w:pPr>
      <w:r w:rsidRPr="003B0554">
        <w:t xml:space="preserve">By drawing on nationally representative data and integrating insights from recent empirical studies (e.g., </w:t>
      </w:r>
      <w:proofErr w:type="spellStart"/>
      <w:r w:rsidRPr="003B0554">
        <w:t>Ozili</w:t>
      </w:r>
      <w:proofErr w:type="spellEnd"/>
      <w:r w:rsidRPr="003B0554">
        <w:t xml:space="preserve">, 2018; </w:t>
      </w:r>
      <w:proofErr w:type="spellStart"/>
      <w:r w:rsidRPr="003B0554">
        <w:t>Alwahidin</w:t>
      </w:r>
      <w:proofErr w:type="spellEnd"/>
      <w:r w:rsidRPr="003B0554">
        <w:t xml:space="preserve"> et al., 2023; Meng and Xiao, 2023), this paper provides a comprehensive view of how digital finance shapes household financial behavior. We argue that promoting </w:t>
      </w:r>
      <w:r w:rsidRPr="003B0554">
        <w:rPr>
          <w:b/>
          <w:bCs/>
        </w:rPr>
        <w:t>digital financial literacy</w:t>
      </w:r>
      <w:r w:rsidRPr="003B0554">
        <w:t> is essential to mitigating the risks associated with digital finance and ensuring that its benefits are equitably distributed</w:t>
      </w:r>
      <w:r w:rsidRPr="007F1364">
        <w:t>.</w:t>
      </w:r>
    </w:p>
    <w:p w14:paraId="0AE3C84E" w14:textId="77777777" w:rsidR="007E45B6" w:rsidRPr="009757FB" w:rsidRDefault="007E45B6" w:rsidP="007E45B6">
      <w:pPr>
        <w:spacing w:line="360" w:lineRule="auto"/>
        <w:jc w:val="both"/>
        <w:rPr>
          <w:b/>
          <w:bCs/>
        </w:rPr>
      </w:pPr>
      <w:r w:rsidRPr="009757FB">
        <w:rPr>
          <w:b/>
          <w:bCs/>
        </w:rPr>
        <w:t>Literature Review and Hypothesis Development</w:t>
      </w:r>
    </w:p>
    <w:p w14:paraId="5F881746" w14:textId="77777777" w:rsidR="007E45B6" w:rsidRPr="009757FB" w:rsidRDefault="007E45B6" w:rsidP="007E45B6">
      <w:pPr>
        <w:spacing w:line="360" w:lineRule="auto"/>
        <w:jc w:val="both"/>
        <w:rPr>
          <w:b/>
          <w:bCs/>
        </w:rPr>
      </w:pPr>
      <w:r w:rsidRPr="009757FB">
        <w:rPr>
          <w:b/>
          <w:bCs/>
        </w:rPr>
        <w:t>1. Digital Platforms and Credit Market Participation</w:t>
      </w:r>
    </w:p>
    <w:p w14:paraId="02F1C874" w14:textId="77777777" w:rsidR="007E45B6" w:rsidRPr="009757FB" w:rsidRDefault="007E45B6" w:rsidP="007E45B6">
      <w:pPr>
        <w:spacing w:line="360" w:lineRule="auto"/>
        <w:jc w:val="both"/>
      </w:pPr>
      <w:r w:rsidRPr="009757FB">
        <w:t>The rise of digital finance has significantly reshaped credit markets, particularly in emerging economies where traditional banking infrastructure remains limited. In China, mobile payment platforms have become central to financial inclusion strategies, enabling streamlined loan applications and algorithmic credit scoring. Wang and Fu (2021) find that digital financial inclusion increased credit participation by nearly 19 percentage points among rural households, while Shen et al. (2022) report that alternative data now informs over two-thirds of digital lending decisions.</w:t>
      </w:r>
    </w:p>
    <w:p w14:paraId="10A3AC76" w14:textId="77777777" w:rsidR="007E45B6" w:rsidRPr="009757FB" w:rsidRDefault="007E45B6" w:rsidP="007E45B6">
      <w:pPr>
        <w:spacing w:line="360" w:lineRule="auto"/>
        <w:jc w:val="both"/>
      </w:pPr>
      <w:r w:rsidRPr="009757FB">
        <w:t>However, the benefits of digital access are not evenly distributed. Xu (2024) highlights persistent spatial disparities, with rural and migrant households facing algorithmic biases in credit allocation. Similarly, Hou and Zhang (2025) show that gig workers are disproportionately exposed to short-term, high-cost credit products. These findings suggest that while digital platforms reduce entry barriers, they may also reinforce structural inequalities. We therefore hypothesize:</w:t>
      </w:r>
    </w:p>
    <w:p w14:paraId="721BE5AF" w14:textId="77777777" w:rsidR="007E45B6" w:rsidRPr="009757FB" w:rsidRDefault="007E45B6" w:rsidP="007E45B6">
      <w:pPr>
        <w:spacing w:line="360" w:lineRule="auto"/>
        <w:jc w:val="both"/>
      </w:pPr>
      <w:r w:rsidRPr="009757FB">
        <w:t>H1: The proliferation of digital finance platforms enhances household credit participation by lowering entry barriers and leveraging algorithmic pre-approvals, with stronger effects among youth and rural populations.</w:t>
      </w:r>
    </w:p>
    <w:p w14:paraId="334771F9" w14:textId="77777777" w:rsidR="007E45B6" w:rsidRPr="009757FB" w:rsidRDefault="007E45B6" w:rsidP="007E45B6">
      <w:pPr>
        <w:spacing w:line="360" w:lineRule="auto"/>
        <w:jc w:val="both"/>
        <w:rPr>
          <w:b/>
          <w:bCs/>
        </w:rPr>
      </w:pPr>
      <w:r w:rsidRPr="009757FB">
        <w:rPr>
          <w:b/>
          <w:bCs/>
        </w:rPr>
        <w:t>2. Consumption Dynamics in the Digital Credit Era</w:t>
      </w:r>
    </w:p>
    <w:p w14:paraId="56EC19A0" w14:textId="51B1A7BE" w:rsidR="007E45B6" w:rsidRPr="009757FB" w:rsidRDefault="007E45B6" w:rsidP="007E45B6">
      <w:pPr>
        <w:spacing w:line="360" w:lineRule="auto"/>
        <w:jc w:val="both"/>
      </w:pPr>
      <w:r w:rsidRPr="009757FB">
        <w:lastRenderedPageBreak/>
        <w:t xml:space="preserve">Digital credit has also altered household consumption patterns, particularly through products like Buy Now, Pay Later (BNPL). Hu et al. (2023) find that BNPL services significantly increase durable goods purchases, while </w:t>
      </w:r>
      <w:proofErr w:type="spellStart"/>
      <w:r w:rsidRPr="009757FB">
        <w:t>Alwahidin</w:t>
      </w:r>
      <w:proofErr w:type="spellEnd"/>
      <w:r w:rsidRPr="009757FB">
        <w:t xml:space="preserve"> et al. (2023) report that younger borrowers exhibit heightened responsiveness to digital credit availability. At the macro level, Song et al. (2020) and Ye &amp; Yue (2024) document increased consumption volatility in provinces with high digital finance penetration, suggesting a departure from traditional consumption smoothing </w:t>
      </w:r>
      <w:proofErr w:type="spellStart"/>
      <w:r w:rsidR="00AB2094" w:rsidRPr="00144D73">
        <w:rPr>
          <w:highlight w:val="yellow"/>
        </w:rPr>
        <w:t>behaviour</w:t>
      </w:r>
      <w:proofErr w:type="spellEnd"/>
      <w:r w:rsidRPr="009757FB">
        <w:t>.</w:t>
      </w:r>
    </w:p>
    <w:p w14:paraId="3A9FE37F" w14:textId="277D0E33" w:rsidR="007E45B6" w:rsidRPr="009757FB" w:rsidRDefault="007E45B6" w:rsidP="007E45B6">
      <w:pPr>
        <w:spacing w:line="360" w:lineRule="auto"/>
        <w:jc w:val="both"/>
      </w:pPr>
      <w:r w:rsidRPr="009757FB">
        <w:t xml:space="preserve">These shifts are not merely quantitative but also qualitative. Hu, Zhai, and Zhao (2023) show that digital finance promotes consumption upgrading, while Li, Wu, and Xiao (2020) find that it encourages riskier financial behaviors. These patterns support the view that digital credit is not just a financial tool but a </w:t>
      </w:r>
      <w:proofErr w:type="spellStart"/>
      <w:r w:rsidR="00AB2094" w:rsidRPr="00144D73">
        <w:rPr>
          <w:highlight w:val="yellow"/>
        </w:rPr>
        <w:t>behavioural</w:t>
      </w:r>
      <w:proofErr w:type="spellEnd"/>
      <w:r w:rsidR="00AB2094" w:rsidRPr="00144D73">
        <w:rPr>
          <w:highlight w:val="yellow"/>
        </w:rPr>
        <w:t xml:space="preserve"> </w:t>
      </w:r>
      <w:r w:rsidRPr="009757FB">
        <w:t>catalyst. Accordingly, we propose:</w:t>
      </w:r>
    </w:p>
    <w:p w14:paraId="22E746D8" w14:textId="77777777" w:rsidR="007E45B6" w:rsidRPr="009757FB" w:rsidRDefault="007E45B6" w:rsidP="007E45B6">
      <w:pPr>
        <w:spacing w:line="360" w:lineRule="auto"/>
        <w:jc w:val="both"/>
      </w:pPr>
      <w:r w:rsidRPr="009757FB">
        <w:t>H2: Access to digital credit elevates household consumption, with more pronounced effects for (a) BNPL products compared to traditional digital loans, and (b) younger borrowers relative to older cohorts.</w:t>
      </w:r>
    </w:p>
    <w:p w14:paraId="1D959FCB" w14:textId="77777777" w:rsidR="007E45B6" w:rsidRPr="009757FB" w:rsidRDefault="007E45B6" w:rsidP="007E45B6">
      <w:pPr>
        <w:spacing w:line="360" w:lineRule="auto"/>
        <w:jc w:val="both"/>
        <w:rPr>
          <w:b/>
          <w:bCs/>
        </w:rPr>
      </w:pPr>
      <w:r w:rsidRPr="009757FB">
        <w:rPr>
          <w:b/>
          <w:bCs/>
        </w:rPr>
        <w:t>3. Financial Vulnerability and Platform Design</w:t>
      </w:r>
    </w:p>
    <w:p w14:paraId="101FE1A0" w14:textId="03967CC5" w:rsidR="007E45B6" w:rsidRPr="009757FB" w:rsidRDefault="007E45B6" w:rsidP="007E45B6">
      <w:pPr>
        <w:spacing w:line="360" w:lineRule="auto"/>
        <w:jc w:val="both"/>
      </w:pPr>
      <w:r w:rsidRPr="009757FB">
        <w:t xml:space="preserve">While digital credit expands access, it also introduces new risks. Tao et al. (2023) find that algorithmic credit limit increases are strongly correlated with delinquency risk, while Peng and Mao (2023) attribute 41% of urban household distress to automated loan rollovers. Design features such as countdown timers, pre-checked loan boxes, and gamified interfaces exploit </w:t>
      </w:r>
      <w:proofErr w:type="spellStart"/>
      <w:r w:rsidR="00AB2094" w:rsidRPr="00144D73">
        <w:rPr>
          <w:highlight w:val="yellow"/>
        </w:rPr>
        <w:t>behavioural</w:t>
      </w:r>
      <w:proofErr w:type="spellEnd"/>
      <w:r w:rsidR="00AB2094" w:rsidRPr="00144D73">
        <w:rPr>
          <w:highlight w:val="yellow"/>
        </w:rPr>
        <w:t xml:space="preserve"> </w:t>
      </w:r>
      <w:r w:rsidRPr="009757FB">
        <w:t>biases, contributing to overborrowing (Li et al., 2023; Zheng et al., 2025).</w:t>
      </w:r>
    </w:p>
    <w:p w14:paraId="321F776A" w14:textId="3F3D348F" w:rsidR="007E45B6" w:rsidRPr="009757FB" w:rsidRDefault="007E45B6" w:rsidP="007E45B6">
      <w:pPr>
        <w:spacing w:line="360" w:lineRule="auto"/>
        <w:jc w:val="both"/>
      </w:pPr>
      <w:r w:rsidRPr="009757FB">
        <w:t xml:space="preserve">These risks are compounded by the opacity of platform algorithms and the lack of real-time debt burden indicators. Yue et al. (2022) argue that digital finance can function as a “debt trap” when embedded in manipulative user interfaces. Mayer and Schnabl (2023) further warn that such systems can entrench long-term financial fragility unless checked by proactive regulation. Based on this evidence, we </w:t>
      </w:r>
      <w:proofErr w:type="spellStart"/>
      <w:r w:rsidR="00AB2094" w:rsidRPr="00144D73">
        <w:rPr>
          <w:highlight w:val="yellow"/>
        </w:rPr>
        <w:t>hypothesise</w:t>
      </w:r>
      <w:proofErr w:type="spellEnd"/>
      <w:r w:rsidRPr="009757FB">
        <w:t>:</w:t>
      </w:r>
    </w:p>
    <w:p w14:paraId="7C34F180" w14:textId="77777777" w:rsidR="007E45B6" w:rsidRPr="009757FB" w:rsidRDefault="007E45B6" w:rsidP="007E45B6">
      <w:pPr>
        <w:spacing w:line="360" w:lineRule="auto"/>
        <w:jc w:val="both"/>
        <w:rPr>
          <w:b/>
          <w:bCs/>
        </w:rPr>
      </w:pPr>
      <w:r w:rsidRPr="009757FB">
        <w:t>H3: Exposure to platform-integrated credit products increases the likelihood of household financial distress, driven more by design features than borrower characteristics</w:t>
      </w:r>
      <w:r w:rsidRPr="009757FB">
        <w:rPr>
          <w:b/>
          <w:bCs/>
        </w:rPr>
        <w:t>.</w:t>
      </w:r>
    </w:p>
    <w:p w14:paraId="1621AD18" w14:textId="77777777" w:rsidR="007E45B6" w:rsidRDefault="007E45B6" w:rsidP="007E45B6">
      <w:pPr>
        <w:spacing w:line="360" w:lineRule="auto"/>
        <w:jc w:val="both"/>
        <w:rPr>
          <w:b/>
          <w:bCs/>
        </w:rPr>
      </w:pPr>
      <w:r w:rsidRPr="005B6BE3">
        <w:rPr>
          <w:b/>
          <w:bCs/>
        </w:rPr>
        <w:t>Theoretical and Empirical Integration</w:t>
      </w:r>
    </w:p>
    <w:p w14:paraId="24FA3348" w14:textId="2E9AE191" w:rsidR="007E45B6" w:rsidRPr="00224B93" w:rsidRDefault="007E45B6" w:rsidP="007E45B6">
      <w:pPr>
        <w:spacing w:line="360" w:lineRule="auto"/>
        <w:jc w:val="both"/>
      </w:pPr>
      <w:r w:rsidRPr="005B6BE3">
        <w:lastRenderedPageBreak/>
        <w:t xml:space="preserve">This refined framework builds upon the original study's foundation while incorporating key advancements from recent literature. </w:t>
      </w:r>
      <w:proofErr w:type="spellStart"/>
      <w:r w:rsidR="00AB2094" w:rsidRPr="00144D73">
        <w:rPr>
          <w:highlight w:val="yellow"/>
        </w:rPr>
        <w:t>Behavioural</w:t>
      </w:r>
      <w:proofErr w:type="spellEnd"/>
      <w:r w:rsidR="00AB2094" w:rsidRPr="00144D73">
        <w:rPr>
          <w:highlight w:val="yellow"/>
        </w:rPr>
        <w:t xml:space="preserve"> </w:t>
      </w:r>
      <w:r w:rsidRPr="005B6BE3">
        <w:t xml:space="preserve">economics explains how interface designs influence financial decision-making, while life-cycle theory accounts for demographic variations in credit </w:t>
      </w:r>
      <w:proofErr w:type="spellStart"/>
      <w:r w:rsidR="00AB2094" w:rsidRPr="00144D73">
        <w:rPr>
          <w:highlight w:val="yellow"/>
        </w:rPr>
        <w:t>utilisation</w:t>
      </w:r>
      <w:proofErr w:type="spellEnd"/>
      <w:r w:rsidRPr="005B6BE3">
        <w:t>. Regulatory theory informs our understanding of potential policy responses to emerging risks. The hypotheses maintain focus on the Chinese context and the original study's core relationships while addressing three critical developments: the differentiation of credit products, the identification of algorithmic risk factors, and the recognition of demographic disparities in financial vulnerability. This integrated approach provides a comprehensive foundation for the methodological refinements detailed in the subsequent section</w:t>
      </w:r>
      <w:r w:rsidRPr="0016424B">
        <w:t>.</w:t>
      </w:r>
    </w:p>
    <w:p w14:paraId="2D8E2886" w14:textId="77777777" w:rsidR="007E45B6" w:rsidRPr="0026343D" w:rsidRDefault="007E45B6" w:rsidP="007E45B6">
      <w:pPr>
        <w:spacing w:line="360" w:lineRule="auto"/>
        <w:jc w:val="both"/>
        <w:rPr>
          <w:b/>
          <w:bCs/>
        </w:rPr>
      </w:pPr>
      <w:r w:rsidRPr="0026343D">
        <w:rPr>
          <w:b/>
          <w:bCs/>
        </w:rPr>
        <w:t>Methodology</w:t>
      </w:r>
    </w:p>
    <w:p w14:paraId="41B56E94" w14:textId="77777777" w:rsidR="007E45B6" w:rsidRPr="0026343D" w:rsidRDefault="007E45B6" w:rsidP="007E45B6">
      <w:pPr>
        <w:spacing w:line="360" w:lineRule="auto"/>
        <w:jc w:val="both"/>
        <w:rPr>
          <w:b/>
          <w:bCs/>
        </w:rPr>
      </w:pPr>
      <w:r w:rsidRPr="0026343D">
        <w:rPr>
          <w:b/>
          <w:bCs/>
        </w:rPr>
        <w:t>Data Sources</w:t>
      </w:r>
    </w:p>
    <w:p w14:paraId="685FEBB2" w14:textId="7DC99456" w:rsidR="007E45B6" w:rsidRPr="0026343D" w:rsidRDefault="007E45B6" w:rsidP="007E45B6">
      <w:pPr>
        <w:spacing w:line="360" w:lineRule="auto"/>
        <w:jc w:val="both"/>
      </w:pPr>
      <w:r w:rsidRPr="0026343D">
        <w:t xml:space="preserve">This study employs a multi-source empirical strategy to investigate the </w:t>
      </w:r>
      <w:proofErr w:type="spellStart"/>
      <w:r w:rsidR="00AB2094" w:rsidRPr="00144D73">
        <w:rPr>
          <w:highlight w:val="yellow"/>
        </w:rPr>
        <w:t>behavioural</w:t>
      </w:r>
      <w:proofErr w:type="spellEnd"/>
      <w:r w:rsidR="00AB2094" w:rsidRPr="00144D73">
        <w:rPr>
          <w:highlight w:val="yellow"/>
        </w:rPr>
        <w:t xml:space="preserve"> </w:t>
      </w:r>
      <w:r w:rsidRPr="0026343D">
        <w:t xml:space="preserve">and structural effects of embedded digital credit in China’s super-app ecosystems. The primary dataset is the China Household Finance Survey (CHFS), covering the 2021, 2022, and 2023 waves. The CHFS is a nationally representative panel survey that captures detailed information on household income, consumption, debt, and financial </w:t>
      </w:r>
      <w:proofErr w:type="spellStart"/>
      <w:r w:rsidR="00AB2094" w:rsidRPr="00144D73">
        <w:rPr>
          <w:highlight w:val="yellow"/>
        </w:rPr>
        <w:t>behaviours</w:t>
      </w:r>
      <w:proofErr w:type="spellEnd"/>
      <w:r w:rsidRPr="0026343D">
        <w:t xml:space="preserve">, with stratification by province, urban-rural status, and demographic characteristics. To </w:t>
      </w:r>
      <w:proofErr w:type="spellStart"/>
      <w:r w:rsidR="00AB2094" w:rsidRPr="00144D73">
        <w:rPr>
          <w:highlight w:val="yellow"/>
        </w:rPr>
        <w:t>contextualise</w:t>
      </w:r>
      <w:proofErr w:type="spellEnd"/>
      <w:r w:rsidR="00AB2094" w:rsidRPr="00144D73">
        <w:rPr>
          <w:highlight w:val="yellow"/>
        </w:rPr>
        <w:t xml:space="preserve"> </w:t>
      </w:r>
      <w:r w:rsidRPr="0026343D">
        <w:t xml:space="preserve">household-level outcomes within broader digital finance trends, we integrate the Digital Financial Inclusion Index (DFII) developed by Peking University. The DFII provides province-level indicators of digital finance penetration, including usage breadth, service depth, and infrastructure coverage. This combination allows us to examine both micro-level financial </w:t>
      </w:r>
      <w:proofErr w:type="spellStart"/>
      <w:r w:rsidR="00AB2094" w:rsidRPr="00144D73">
        <w:rPr>
          <w:highlight w:val="yellow"/>
        </w:rPr>
        <w:t>behaviours</w:t>
      </w:r>
      <w:proofErr w:type="spellEnd"/>
      <w:r w:rsidR="00AB2094" w:rsidRPr="0026343D">
        <w:t xml:space="preserve"> </w:t>
      </w:r>
      <w:r w:rsidRPr="0026343D">
        <w:t>and macro-level digital finance environments, consistent with recent calls for multi-level analysis in digital finance research (Hu et al., 2024; Zheng et al., 2025).</w:t>
      </w:r>
    </w:p>
    <w:p w14:paraId="42E1F3E4" w14:textId="77777777" w:rsidR="007E45B6" w:rsidRPr="0026343D" w:rsidRDefault="007E45B6" w:rsidP="007E45B6">
      <w:pPr>
        <w:spacing w:line="360" w:lineRule="auto"/>
        <w:jc w:val="both"/>
        <w:rPr>
          <w:b/>
          <w:bCs/>
        </w:rPr>
      </w:pPr>
      <w:r w:rsidRPr="0026343D">
        <w:rPr>
          <w:b/>
          <w:bCs/>
        </w:rPr>
        <w:t>Operationalization of Key Variables</w:t>
      </w:r>
    </w:p>
    <w:p w14:paraId="71563EB4" w14:textId="51DCDA75" w:rsidR="007E45B6" w:rsidRPr="0026343D" w:rsidRDefault="007E45B6" w:rsidP="007E45B6">
      <w:pPr>
        <w:spacing w:line="360" w:lineRule="auto"/>
        <w:jc w:val="both"/>
      </w:pPr>
      <w:r w:rsidRPr="0026343D">
        <w:t xml:space="preserve">To empirically test our hypotheses, we construct several key variables grounded in both </w:t>
      </w:r>
      <w:proofErr w:type="spellStart"/>
      <w:r w:rsidR="00AB2094" w:rsidRPr="00144D73">
        <w:rPr>
          <w:highlight w:val="yellow"/>
        </w:rPr>
        <w:t>behavioural</w:t>
      </w:r>
      <w:proofErr w:type="spellEnd"/>
      <w:r w:rsidR="00AB2094" w:rsidRPr="0026343D">
        <w:t xml:space="preserve"> </w:t>
      </w:r>
      <w:r w:rsidRPr="0026343D">
        <w:t xml:space="preserve">finance theory and recent empirical findings. Digital credit exposure is measured by the number of active credit products accessed through digital platforms, including Buy Now, Pay Later (BNPL), microloans, and revolving credit lines. We also include a binary indicator for </w:t>
      </w:r>
      <w:r w:rsidRPr="0026343D">
        <w:lastRenderedPageBreak/>
        <w:t xml:space="preserve">whether a household’s primary borrowing channel is a super-app, reflecting the increasing centrality of platform-based credit (Li et al., 2023). Financial distress is </w:t>
      </w:r>
      <w:proofErr w:type="spellStart"/>
      <w:r w:rsidR="00144D73" w:rsidRPr="00144D73">
        <w:rPr>
          <w:highlight w:val="yellow"/>
        </w:rPr>
        <w:t>operationalised</w:t>
      </w:r>
      <w:proofErr w:type="spellEnd"/>
      <w:r w:rsidR="00144D73" w:rsidRPr="0026343D">
        <w:t xml:space="preserve"> </w:t>
      </w:r>
      <w:r w:rsidRPr="0026343D">
        <w:t xml:space="preserve">through a composite index that includes missed payments, debt rollovers, and borrowing to repay existing loans, as well as subjective indicators of financial stress. This approach aligns with recent studies that </w:t>
      </w:r>
      <w:proofErr w:type="spellStart"/>
      <w:r w:rsidR="00AB2094" w:rsidRPr="00144D73">
        <w:rPr>
          <w:highlight w:val="yellow"/>
        </w:rPr>
        <w:t>emphasise</w:t>
      </w:r>
      <w:proofErr w:type="spellEnd"/>
      <w:r w:rsidR="00AB2094" w:rsidRPr="0026343D">
        <w:t xml:space="preserve"> </w:t>
      </w:r>
      <w:r w:rsidRPr="0026343D">
        <w:t>the multidimensional nature of financial vulnerability in digital credit environments (Peng &amp; Mao, 2023; Tao et al., 2023).</w:t>
      </w:r>
    </w:p>
    <w:p w14:paraId="14B0672B" w14:textId="20B59000" w:rsidR="007E45B6" w:rsidRDefault="007E45B6" w:rsidP="007E45B6">
      <w:pPr>
        <w:spacing w:line="360" w:lineRule="auto"/>
        <w:jc w:val="both"/>
      </w:pPr>
      <w:r w:rsidRPr="0026343D">
        <w:t xml:space="preserve">To capture the influence of platform design, we construct a dark pattern exposure index based on self-reported interactions with manipulative interface elements such as countdown timers, pre-checked loan boxes, and gamified credit scores. This index is informed by behavioral economics literature on choice architecture and digital nudging (Thaler &amp; Sunstein, 2008; </w:t>
      </w:r>
      <w:proofErr w:type="spellStart"/>
      <w:r w:rsidRPr="0026343D">
        <w:t>Yanting</w:t>
      </w:r>
      <w:proofErr w:type="spellEnd"/>
      <w:r w:rsidRPr="0026343D">
        <w:t xml:space="preserve"> &amp; Ali, 2023), as well as empirical work documenting the prevalence of such features in Chinese super-apps (Yang &amp; Zhang, 2024). Marginal propensity to consume (MPC) is estimated using changes in household consumption relative to changes in credit access, following a two-stage least squares (2SLS) approach adapted from Li, Wu, and Xiao (2020). Financial literacy is measured using a </w:t>
      </w:r>
      <w:proofErr w:type="spellStart"/>
      <w:r w:rsidR="00AB2094" w:rsidRPr="00144D73">
        <w:rPr>
          <w:highlight w:val="yellow"/>
        </w:rPr>
        <w:t>standardised</w:t>
      </w:r>
      <w:proofErr w:type="spellEnd"/>
      <w:r w:rsidR="00AB2094" w:rsidRPr="0026343D">
        <w:t xml:space="preserve"> </w:t>
      </w:r>
      <w:r w:rsidRPr="0026343D">
        <w:t>index derived from responses to questions on interest rates, inflation, and risk diversification, consistent with international best practices (</w:t>
      </w:r>
      <w:proofErr w:type="spellStart"/>
      <w:r w:rsidRPr="0026343D">
        <w:t>Bazarbash</w:t>
      </w:r>
      <w:proofErr w:type="spellEnd"/>
      <w:r w:rsidRPr="0026343D">
        <w:t xml:space="preserve"> et al., 2020).</w:t>
      </w:r>
    </w:p>
    <w:p w14:paraId="4E72A620" w14:textId="77777777" w:rsidR="007E45B6" w:rsidRDefault="007E45B6" w:rsidP="007E45B6">
      <w:pPr>
        <w:spacing w:line="360" w:lineRule="auto"/>
        <w:jc w:val="both"/>
        <w:rPr>
          <w:b/>
          <w:bCs/>
        </w:rPr>
      </w:pPr>
      <w:r w:rsidRPr="004C3E51">
        <w:rPr>
          <w:b/>
          <w:bCs/>
        </w:rPr>
        <w:t>Table 1: Summary Statistics and Variable Definitions (20</w:t>
      </w:r>
      <w:r>
        <w:rPr>
          <w:b/>
          <w:bCs/>
        </w:rPr>
        <w:t>21</w:t>
      </w:r>
      <w:r w:rsidRPr="004C3E51">
        <w:rPr>
          <w:b/>
          <w:bCs/>
        </w:rPr>
        <w:t>-20</w:t>
      </w:r>
      <w:r>
        <w:rPr>
          <w:b/>
          <w:bCs/>
        </w:rPr>
        <w:t>23</w:t>
      </w:r>
      <w:r w:rsidRPr="004C3E51">
        <w:rPr>
          <w:b/>
          <w:bCs/>
        </w:rPr>
        <w:t>)</w:t>
      </w:r>
    </w:p>
    <w:p w14:paraId="1F5BFABC" w14:textId="77777777" w:rsidR="007E45B6" w:rsidRPr="00C71CB7" w:rsidRDefault="007E45B6" w:rsidP="007E45B6">
      <w:pPr>
        <w:spacing w:line="360" w:lineRule="auto"/>
        <w:jc w:val="both"/>
      </w:pPr>
      <w:r w:rsidRPr="00C71CB7">
        <w:rPr>
          <w:b/>
          <w:bCs/>
        </w:rPr>
        <w:t>Panel A: DFII Core Dimensions</w:t>
      </w:r>
    </w:p>
    <w:tbl>
      <w:tblPr>
        <w:tblStyle w:val="PlainTable2"/>
        <w:tblW w:w="9275" w:type="dxa"/>
        <w:tblLook w:val="04A0" w:firstRow="1" w:lastRow="0" w:firstColumn="1" w:lastColumn="0" w:noHBand="0" w:noVBand="1"/>
      </w:tblPr>
      <w:tblGrid>
        <w:gridCol w:w="2070"/>
        <w:gridCol w:w="1890"/>
        <w:gridCol w:w="1326"/>
        <w:gridCol w:w="1439"/>
        <w:gridCol w:w="1410"/>
        <w:gridCol w:w="1140"/>
      </w:tblGrid>
      <w:tr w:rsidR="007E45B6" w:rsidRPr="00C71CB7" w14:paraId="080D64B6"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AEC15C" w14:textId="77777777" w:rsidR="007E45B6" w:rsidRPr="00C71CB7" w:rsidRDefault="007E45B6" w:rsidP="003F355B">
            <w:pPr>
              <w:spacing w:after="160" w:line="360" w:lineRule="auto"/>
              <w:jc w:val="both"/>
            </w:pPr>
            <w:r w:rsidRPr="00C71CB7">
              <w:t>Metric</w:t>
            </w:r>
          </w:p>
        </w:tc>
        <w:tc>
          <w:tcPr>
            <w:tcW w:w="1890" w:type="dxa"/>
            <w:vAlign w:val="center"/>
          </w:tcPr>
          <w:p w14:paraId="193CAFB4" w14:textId="77777777" w:rsidR="007E45B6" w:rsidRPr="00C71CB7" w:rsidRDefault="007E45B6" w:rsidP="003F355B">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4C3E51">
              <w:t>Definition</w:t>
            </w:r>
          </w:p>
        </w:tc>
        <w:tc>
          <w:tcPr>
            <w:tcW w:w="1326" w:type="dxa"/>
            <w:hideMark/>
          </w:tcPr>
          <w:p w14:paraId="482D5898"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 xml:space="preserve">2021 Mean </w:t>
            </w:r>
            <w:r>
              <w:t>(</w:t>
            </w:r>
            <w:r w:rsidRPr="00C71CB7">
              <w:t>SD)</w:t>
            </w:r>
          </w:p>
        </w:tc>
        <w:tc>
          <w:tcPr>
            <w:tcW w:w="1439" w:type="dxa"/>
            <w:hideMark/>
          </w:tcPr>
          <w:p w14:paraId="0EAC8EA5"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1410" w:type="dxa"/>
            <w:hideMark/>
          </w:tcPr>
          <w:p w14:paraId="0CE9181A"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c>
          <w:tcPr>
            <w:tcW w:w="1140" w:type="dxa"/>
            <w:hideMark/>
          </w:tcPr>
          <w:p w14:paraId="654E4DD9"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Growth Rate</w:t>
            </w:r>
          </w:p>
        </w:tc>
      </w:tr>
      <w:tr w:rsidR="007E45B6" w:rsidRPr="00C71CB7" w14:paraId="760744E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04DD5CA8" w14:textId="77777777" w:rsidR="007E45B6" w:rsidRPr="00C71CB7" w:rsidRDefault="007E45B6" w:rsidP="003F355B">
            <w:pPr>
              <w:spacing w:after="160" w:line="360" w:lineRule="auto"/>
              <w:jc w:val="both"/>
            </w:pPr>
            <w:r w:rsidRPr="00C71CB7">
              <w:t>Total DFI Index</w:t>
            </w:r>
          </w:p>
        </w:tc>
        <w:tc>
          <w:tcPr>
            <w:tcW w:w="1890" w:type="dxa"/>
            <w:vAlign w:val="center"/>
          </w:tcPr>
          <w:p w14:paraId="3B3857E6"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Comprehensive digital financial inclusion measure</w:t>
            </w:r>
          </w:p>
        </w:tc>
        <w:tc>
          <w:tcPr>
            <w:tcW w:w="1326" w:type="dxa"/>
            <w:hideMark/>
          </w:tcPr>
          <w:p w14:paraId="7B90D53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85.2 (4.1)</w:t>
            </w:r>
          </w:p>
        </w:tc>
        <w:tc>
          <w:tcPr>
            <w:tcW w:w="1439" w:type="dxa"/>
            <w:hideMark/>
          </w:tcPr>
          <w:p w14:paraId="7E51785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87.6 (4.0)</w:t>
            </w:r>
          </w:p>
        </w:tc>
        <w:tc>
          <w:tcPr>
            <w:tcW w:w="1410" w:type="dxa"/>
            <w:hideMark/>
          </w:tcPr>
          <w:p w14:paraId="1681E90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89.4 (3.9)</w:t>
            </w:r>
          </w:p>
        </w:tc>
        <w:tc>
          <w:tcPr>
            <w:tcW w:w="1140" w:type="dxa"/>
            <w:hideMark/>
          </w:tcPr>
          <w:p w14:paraId="10D5D2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4.93%</w:t>
            </w:r>
          </w:p>
        </w:tc>
      </w:tr>
      <w:tr w:rsidR="007E45B6" w:rsidRPr="00C71CB7" w14:paraId="179ABB19"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0FEAF284" w14:textId="77777777" w:rsidR="007E45B6" w:rsidRPr="00C71CB7" w:rsidRDefault="007E45B6" w:rsidP="003F355B">
            <w:pPr>
              <w:spacing w:after="160" w:line="360" w:lineRule="auto"/>
              <w:jc w:val="both"/>
            </w:pPr>
            <w:r w:rsidRPr="00C71CB7">
              <w:t>Index of Coverage Breadth</w:t>
            </w:r>
          </w:p>
        </w:tc>
        <w:tc>
          <w:tcPr>
            <w:tcW w:w="1890" w:type="dxa"/>
            <w:vAlign w:val="center"/>
          </w:tcPr>
          <w:p w14:paraId="43666607"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Accessibility of internet financial services</w:t>
            </w:r>
          </w:p>
        </w:tc>
        <w:tc>
          <w:tcPr>
            <w:tcW w:w="1326" w:type="dxa"/>
            <w:hideMark/>
          </w:tcPr>
          <w:p w14:paraId="4A64FD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78.5 (3.8)</w:t>
            </w:r>
          </w:p>
        </w:tc>
        <w:tc>
          <w:tcPr>
            <w:tcW w:w="1439" w:type="dxa"/>
            <w:hideMark/>
          </w:tcPr>
          <w:p w14:paraId="1F61B55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80.2 (3.7)</w:t>
            </w:r>
          </w:p>
        </w:tc>
        <w:tc>
          <w:tcPr>
            <w:tcW w:w="1410" w:type="dxa"/>
            <w:hideMark/>
          </w:tcPr>
          <w:p w14:paraId="0277A86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82.1 (3.6)</w:t>
            </w:r>
          </w:p>
        </w:tc>
        <w:tc>
          <w:tcPr>
            <w:tcW w:w="1140" w:type="dxa"/>
            <w:hideMark/>
          </w:tcPr>
          <w:p w14:paraId="43831A7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4.58%</w:t>
            </w:r>
          </w:p>
        </w:tc>
      </w:tr>
      <w:tr w:rsidR="007E45B6" w:rsidRPr="00C71CB7" w14:paraId="1F6A8CF6"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08683A" w14:textId="77777777" w:rsidR="007E45B6" w:rsidRPr="00C71CB7" w:rsidRDefault="007E45B6" w:rsidP="003F355B">
            <w:pPr>
              <w:spacing w:after="160" w:line="360" w:lineRule="auto"/>
              <w:jc w:val="both"/>
            </w:pPr>
            <w:r w:rsidRPr="00C71CB7">
              <w:lastRenderedPageBreak/>
              <w:t>Index of Usage Depth</w:t>
            </w:r>
          </w:p>
        </w:tc>
        <w:tc>
          <w:tcPr>
            <w:tcW w:w="1890" w:type="dxa"/>
            <w:vAlign w:val="center"/>
          </w:tcPr>
          <w:p w14:paraId="2B93511D" w14:textId="70620D24"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 xml:space="preserve">Intensity of digital service </w:t>
            </w:r>
            <w:proofErr w:type="spellStart"/>
            <w:r w:rsidR="00AB2094" w:rsidRPr="00144D73">
              <w:rPr>
                <w:highlight w:val="yellow"/>
              </w:rPr>
              <w:t>utilisation</w:t>
            </w:r>
            <w:proofErr w:type="spellEnd"/>
          </w:p>
        </w:tc>
        <w:tc>
          <w:tcPr>
            <w:tcW w:w="1326" w:type="dxa"/>
            <w:hideMark/>
          </w:tcPr>
          <w:p w14:paraId="4D9B896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82.3 (4.0)</w:t>
            </w:r>
          </w:p>
        </w:tc>
        <w:tc>
          <w:tcPr>
            <w:tcW w:w="1439" w:type="dxa"/>
            <w:hideMark/>
          </w:tcPr>
          <w:p w14:paraId="62F3BD7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84.1 (3.9)</w:t>
            </w:r>
          </w:p>
        </w:tc>
        <w:tc>
          <w:tcPr>
            <w:tcW w:w="1410" w:type="dxa"/>
            <w:hideMark/>
          </w:tcPr>
          <w:p w14:paraId="3BB75D49"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86.0 (3.8)</w:t>
            </w:r>
          </w:p>
        </w:tc>
        <w:tc>
          <w:tcPr>
            <w:tcW w:w="1140" w:type="dxa"/>
            <w:hideMark/>
          </w:tcPr>
          <w:p w14:paraId="04828D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4.50%</w:t>
            </w:r>
          </w:p>
        </w:tc>
      </w:tr>
      <w:tr w:rsidR="007E45B6" w:rsidRPr="00C71CB7" w14:paraId="50FFAA44"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55AE6D4B" w14:textId="7C9F004E" w:rsidR="007E45B6" w:rsidRPr="00C71CB7" w:rsidRDefault="007E45B6" w:rsidP="003F355B">
            <w:pPr>
              <w:spacing w:after="160" w:line="360" w:lineRule="auto"/>
              <w:jc w:val="both"/>
            </w:pPr>
            <w:r w:rsidRPr="00C71CB7">
              <w:t xml:space="preserve">Index of </w:t>
            </w:r>
            <w:proofErr w:type="spellStart"/>
            <w:r w:rsidR="00AB2094" w:rsidRPr="00144D73">
              <w:rPr>
                <w:highlight w:val="yellow"/>
              </w:rPr>
              <w:t>Digitisation</w:t>
            </w:r>
            <w:proofErr w:type="spellEnd"/>
          </w:p>
        </w:tc>
        <w:tc>
          <w:tcPr>
            <w:tcW w:w="1890" w:type="dxa"/>
            <w:vAlign w:val="center"/>
          </w:tcPr>
          <w:p w14:paraId="1FA3AB5E"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Digital insurance penetration</w:t>
            </w:r>
          </w:p>
        </w:tc>
        <w:tc>
          <w:tcPr>
            <w:tcW w:w="1326" w:type="dxa"/>
            <w:hideMark/>
          </w:tcPr>
          <w:p w14:paraId="64F1F5C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88.1 (4.2)</w:t>
            </w:r>
          </w:p>
        </w:tc>
        <w:tc>
          <w:tcPr>
            <w:tcW w:w="1439" w:type="dxa"/>
            <w:hideMark/>
          </w:tcPr>
          <w:p w14:paraId="316FFD0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90.3 (4.1)</w:t>
            </w:r>
          </w:p>
        </w:tc>
        <w:tc>
          <w:tcPr>
            <w:tcW w:w="1410" w:type="dxa"/>
            <w:hideMark/>
          </w:tcPr>
          <w:p w14:paraId="304B1F42"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92.5 (4.0)</w:t>
            </w:r>
          </w:p>
        </w:tc>
        <w:tc>
          <w:tcPr>
            <w:tcW w:w="1140" w:type="dxa"/>
            <w:hideMark/>
          </w:tcPr>
          <w:p w14:paraId="4CFAEA6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4.99%</w:t>
            </w:r>
          </w:p>
        </w:tc>
      </w:tr>
      <w:tr w:rsidR="007E45B6" w:rsidRPr="00C71CB7" w14:paraId="4A6011AF"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7B33D0A9" w14:textId="77777777" w:rsidR="007E45B6" w:rsidRPr="00C71CB7" w:rsidRDefault="007E45B6" w:rsidP="003F355B">
            <w:pPr>
              <w:spacing w:after="160" w:line="360" w:lineRule="auto"/>
              <w:jc w:val="both"/>
            </w:pPr>
            <w:r w:rsidRPr="00C71CB7">
              <w:t>Index of Credit Investigation</w:t>
            </w:r>
          </w:p>
        </w:tc>
        <w:tc>
          <w:tcPr>
            <w:tcW w:w="1890" w:type="dxa"/>
            <w:vAlign w:val="center"/>
          </w:tcPr>
          <w:p w14:paraId="0DD8DB0F"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Digital credit scoring usage</w:t>
            </w:r>
          </w:p>
        </w:tc>
        <w:tc>
          <w:tcPr>
            <w:tcW w:w="1326" w:type="dxa"/>
            <w:hideMark/>
          </w:tcPr>
          <w:p w14:paraId="535885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76.8 (5.2)</w:t>
            </w:r>
          </w:p>
        </w:tc>
        <w:tc>
          <w:tcPr>
            <w:tcW w:w="1439" w:type="dxa"/>
            <w:hideMark/>
          </w:tcPr>
          <w:p w14:paraId="05F5ED57"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79.4 (5.0)</w:t>
            </w:r>
          </w:p>
        </w:tc>
        <w:tc>
          <w:tcPr>
            <w:tcW w:w="1410" w:type="dxa"/>
            <w:hideMark/>
          </w:tcPr>
          <w:p w14:paraId="469EE85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81.7 (4.8)</w:t>
            </w:r>
          </w:p>
        </w:tc>
        <w:tc>
          <w:tcPr>
            <w:tcW w:w="1140" w:type="dxa"/>
            <w:hideMark/>
          </w:tcPr>
          <w:p w14:paraId="594515B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6.38%</w:t>
            </w:r>
          </w:p>
        </w:tc>
      </w:tr>
    </w:tbl>
    <w:p w14:paraId="6293437C" w14:textId="77777777" w:rsidR="007E45B6" w:rsidRPr="00C71CB7" w:rsidRDefault="007E45B6" w:rsidP="007E45B6">
      <w:pPr>
        <w:spacing w:line="360" w:lineRule="auto"/>
        <w:jc w:val="both"/>
        <w:rPr>
          <w:b/>
          <w:bCs/>
        </w:rPr>
      </w:pPr>
      <w:r w:rsidRPr="00C71CB7">
        <w:rPr>
          <w:b/>
          <w:bCs/>
        </w:rPr>
        <w:t>Panel B: Regional Control Variables</w:t>
      </w:r>
    </w:p>
    <w:tbl>
      <w:tblPr>
        <w:tblStyle w:val="PlainTable2"/>
        <w:tblW w:w="0" w:type="auto"/>
        <w:tblLook w:val="04A0" w:firstRow="1" w:lastRow="0" w:firstColumn="1" w:lastColumn="0" w:noHBand="0" w:noVBand="1"/>
      </w:tblPr>
      <w:tblGrid>
        <w:gridCol w:w="2467"/>
        <w:gridCol w:w="3068"/>
        <w:gridCol w:w="1275"/>
        <w:gridCol w:w="1275"/>
        <w:gridCol w:w="1275"/>
      </w:tblGrid>
      <w:tr w:rsidR="007E45B6" w:rsidRPr="00C71CB7" w14:paraId="15EF38EF"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90CEE1" w14:textId="77777777" w:rsidR="007E45B6" w:rsidRPr="00C71CB7" w:rsidRDefault="007E45B6" w:rsidP="003F355B">
            <w:pPr>
              <w:spacing w:after="160" w:line="360" w:lineRule="auto"/>
              <w:jc w:val="both"/>
            </w:pPr>
            <w:r w:rsidRPr="00C71CB7">
              <w:t>Variable</w:t>
            </w:r>
          </w:p>
        </w:tc>
        <w:tc>
          <w:tcPr>
            <w:tcW w:w="0" w:type="auto"/>
            <w:hideMark/>
          </w:tcPr>
          <w:p w14:paraId="3C5D579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Definition</w:t>
            </w:r>
          </w:p>
        </w:tc>
        <w:tc>
          <w:tcPr>
            <w:tcW w:w="0" w:type="auto"/>
            <w:hideMark/>
          </w:tcPr>
          <w:p w14:paraId="63F725FB"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2021 Mean (SD)</w:t>
            </w:r>
          </w:p>
        </w:tc>
        <w:tc>
          <w:tcPr>
            <w:tcW w:w="0" w:type="auto"/>
            <w:hideMark/>
          </w:tcPr>
          <w:p w14:paraId="1B79095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0" w:type="auto"/>
            <w:hideMark/>
          </w:tcPr>
          <w:p w14:paraId="0D69264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r>
      <w:tr w:rsidR="007E45B6" w:rsidRPr="00C71CB7" w14:paraId="766B343A"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7DDF4" w14:textId="77777777" w:rsidR="007E45B6" w:rsidRPr="00C71CB7" w:rsidRDefault="007E45B6" w:rsidP="003F355B">
            <w:pPr>
              <w:spacing w:after="160" w:line="360" w:lineRule="auto"/>
              <w:jc w:val="both"/>
            </w:pPr>
            <w:r w:rsidRPr="00C71CB7">
              <w:t>Economic Indicators</w:t>
            </w:r>
          </w:p>
        </w:tc>
        <w:tc>
          <w:tcPr>
            <w:tcW w:w="0" w:type="auto"/>
            <w:hideMark/>
          </w:tcPr>
          <w:p w14:paraId="4CBA84C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2A8577E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56959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B4A6A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2C47E5D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BF9F2B" w14:textId="77777777" w:rsidR="007E45B6" w:rsidRPr="00C71CB7" w:rsidRDefault="007E45B6" w:rsidP="003F355B">
            <w:pPr>
              <w:spacing w:after="160" w:line="360" w:lineRule="auto"/>
              <w:jc w:val="both"/>
              <w:rPr>
                <w:b w:val="0"/>
                <w:bCs w:val="0"/>
              </w:rPr>
            </w:pPr>
            <w:r w:rsidRPr="00C71CB7">
              <w:rPr>
                <w:b w:val="0"/>
                <w:bCs w:val="0"/>
              </w:rPr>
              <w:t>GDP per capita (¥)</w:t>
            </w:r>
          </w:p>
        </w:tc>
        <w:tc>
          <w:tcPr>
            <w:tcW w:w="0" w:type="auto"/>
            <w:hideMark/>
          </w:tcPr>
          <w:p w14:paraId="1749DF1C"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Annual economic output per resident</w:t>
            </w:r>
          </w:p>
        </w:tc>
        <w:tc>
          <w:tcPr>
            <w:tcW w:w="0" w:type="auto"/>
            <w:hideMark/>
          </w:tcPr>
          <w:p w14:paraId="0800E847"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72,000 (2,000)</w:t>
            </w:r>
          </w:p>
        </w:tc>
        <w:tc>
          <w:tcPr>
            <w:tcW w:w="0" w:type="auto"/>
            <w:hideMark/>
          </w:tcPr>
          <w:p w14:paraId="25DB9AA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75,000 (2,100)</w:t>
            </w:r>
          </w:p>
        </w:tc>
        <w:tc>
          <w:tcPr>
            <w:tcW w:w="0" w:type="auto"/>
            <w:hideMark/>
          </w:tcPr>
          <w:p w14:paraId="74C7B3C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78,000 (2,200)</w:t>
            </w:r>
          </w:p>
        </w:tc>
      </w:tr>
      <w:tr w:rsidR="007E45B6" w:rsidRPr="00C71CB7" w14:paraId="276FC243"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8D373" w14:textId="77777777" w:rsidR="007E45B6" w:rsidRPr="00C71CB7" w:rsidRDefault="007E45B6" w:rsidP="003F355B">
            <w:pPr>
              <w:spacing w:after="160" w:line="360" w:lineRule="auto"/>
              <w:jc w:val="both"/>
              <w:rPr>
                <w:b w:val="0"/>
                <w:bCs w:val="0"/>
              </w:rPr>
            </w:pPr>
            <w:r w:rsidRPr="00C71CB7">
              <w:rPr>
                <w:b w:val="0"/>
                <w:bCs w:val="0"/>
              </w:rPr>
              <w:t>Disposable income (¥)</w:t>
            </w:r>
          </w:p>
        </w:tc>
        <w:tc>
          <w:tcPr>
            <w:tcW w:w="0" w:type="auto"/>
            <w:hideMark/>
          </w:tcPr>
          <w:p w14:paraId="4DE4D006"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Post-tax household income</w:t>
            </w:r>
          </w:p>
        </w:tc>
        <w:tc>
          <w:tcPr>
            <w:tcW w:w="0" w:type="auto"/>
            <w:hideMark/>
          </w:tcPr>
          <w:p w14:paraId="5E0D4993"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35,128 (1,245)</w:t>
            </w:r>
          </w:p>
        </w:tc>
        <w:tc>
          <w:tcPr>
            <w:tcW w:w="0" w:type="auto"/>
            <w:hideMark/>
          </w:tcPr>
          <w:p w14:paraId="3ECC6C9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36,883 (1,310)</w:t>
            </w:r>
          </w:p>
        </w:tc>
        <w:tc>
          <w:tcPr>
            <w:tcW w:w="0" w:type="auto"/>
            <w:hideMark/>
          </w:tcPr>
          <w:p w14:paraId="436F7F3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38,218 (1,402)</w:t>
            </w:r>
          </w:p>
        </w:tc>
      </w:tr>
      <w:tr w:rsidR="007E45B6" w:rsidRPr="00C71CB7" w14:paraId="0741AE3C"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57C4C0D" w14:textId="77777777" w:rsidR="007E45B6" w:rsidRPr="00C71CB7" w:rsidRDefault="007E45B6" w:rsidP="003F355B">
            <w:pPr>
              <w:spacing w:after="160" w:line="360" w:lineRule="auto"/>
              <w:jc w:val="both"/>
            </w:pPr>
            <w:r w:rsidRPr="00C71CB7">
              <w:t>Digital Infrastructure</w:t>
            </w:r>
          </w:p>
        </w:tc>
        <w:tc>
          <w:tcPr>
            <w:tcW w:w="0" w:type="auto"/>
            <w:hideMark/>
          </w:tcPr>
          <w:p w14:paraId="0C7E3BA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1C45B7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44F5316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0D761CF5"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4CB03BA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5F55B" w14:textId="77777777" w:rsidR="007E45B6" w:rsidRPr="00C71CB7" w:rsidRDefault="007E45B6" w:rsidP="003F355B">
            <w:pPr>
              <w:spacing w:after="160" w:line="360" w:lineRule="auto"/>
              <w:jc w:val="both"/>
              <w:rPr>
                <w:b w:val="0"/>
                <w:bCs w:val="0"/>
              </w:rPr>
            </w:pPr>
            <w:r w:rsidRPr="00C71CB7">
              <w:rPr>
                <w:b w:val="0"/>
                <w:bCs w:val="0"/>
              </w:rPr>
              <w:t>Internet penetration (%)</w:t>
            </w:r>
          </w:p>
        </w:tc>
        <w:tc>
          <w:tcPr>
            <w:tcW w:w="0" w:type="auto"/>
            <w:hideMark/>
          </w:tcPr>
          <w:p w14:paraId="2E62A1C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with internet access</w:t>
            </w:r>
          </w:p>
        </w:tc>
        <w:tc>
          <w:tcPr>
            <w:tcW w:w="0" w:type="auto"/>
            <w:hideMark/>
          </w:tcPr>
          <w:p w14:paraId="18E5946F"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70.4 (1.2)</w:t>
            </w:r>
          </w:p>
        </w:tc>
        <w:tc>
          <w:tcPr>
            <w:tcW w:w="0" w:type="auto"/>
            <w:hideMark/>
          </w:tcPr>
          <w:p w14:paraId="3A7C15D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72.1 (1.3)</w:t>
            </w:r>
          </w:p>
        </w:tc>
        <w:tc>
          <w:tcPr>
            <w:tcW w:w="0" w:type="auto"/>
            <w:hideMark/>
          </w:tcPr>
          <w:p w14:paraId="455E460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73.8 (1.4)</w:t>
            </w:r>
          </w:p>
        </w:tc>
      </w:tr>
      <w:tr w:rsidR="007E45B6" w:rsidRPr="00C71CB7" w14:paraId="2BE5632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1FEC49DC" w14:textId="77777777" w:rsidR="007E45B6" w:rsidRPr="00C71CB7" w:rsidRDefault="007E45B6" w:rsidP="003F355B">
            <w:pPr>
              <w:spacing w:after="160" w:line="360" w:lineRule="auto"/>
              <w:jc w:val="both"/>
              <w:rPr>
                <w:b w:val="0"/>
                <w:bCs w:val="0"/>
              </w:rPr>
            </w:pPr>
            <w:r w:rsidRPr="00C71CB7">
              <w:rPr>
                <w:b w:val="0"/>
                <w:bCs w:val="0"/>
              </w:rPr>
              <w:t>Mobile payment users (millions)</w:t>
            </w:r>
          </w:p>
        </w:tc>
        <w:tc>
          <w:tcPr>
            <w:tcW w:w="0" w:type="auto"/>
            <w:hideMark/>
          </w:tcPr>
          <w:p w14:paraId="46DA438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Active mobile payment accounts</w:t>
            </w:r>
          </w:p>
        </w:tc>
        <w:tc>
          <w:tcPr>
            <w:tcW w:w="0" w:type="auto"/>
            <w:hideMark/>
          </w:tcPr>
          <w:p w14:paraId="3E5C89C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852 (18)</w:t>
            </w:r>
          </w:p>
        </w:tc>
        <w:tc>
          <w:tcPr>
            <w:tcW w:w="0" w:type="auto"/>
            <w:hideMark/>
          </w:tcPr>
          <w:p w14:paraId="7F1D551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887 (17)</w:t>
            </w:r>
          </w:p>
        </w:tc>
        <w:tc>
          <w:tcPr>
            <w:tcW w:w="0" w:type="auto"/>
            <w:hideMark/>
          </w:tcPr>
          <w:p w14:paraId="2355C14D"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912 (16)</w:t>
            </w:r>
          </w:p>
        </w:tc>
      </w:tr>
      <w:tr w:rsidR="007E45B6" w:rsidRPr="00C71CB7" w14:paraId="35DC5F6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93073" w14:textId="77777777" w:rsidR="007E45B6" w:rsidRPr="00C71CB7" w:rsidRDefault="007E45B6" w:rsidP="003F355B">
            <w:pPr>
              <w:spacing w:after="160" w:line="360" w:lineRule="auto"/>
              <w:jc w:val="both"/>
            </w:pPr>
            <w:r w:rsidRPr="00C71CB7">
              <w:t>Human Capital</w:t>
            </w:r>
          </w:p>
        </w:tc>
        <w:tc>
          <w:tcPr>
            <w:tcW w:w="0" w:type="auto"/>
            <w:hideMark/>
          </w:tcPr>
          <w:p w14:paraId="5364737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4FAF2F5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0EB9026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6A9D769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1185C2F0"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624470EB" w14:textId="77777777" w:rsidR="007E45B6" w:rsidRPr="00C71CB7" w:rsidRDefault="007E45B6" w:rsidP="003F355B">
            <w:pPr>
              <w:spacing w:after="160" w:line="360" w:lineRule="auto"/>
              <w:jc w:val="both"/>
              <w:rPr>
                <w:b w:val="0"/>
                <w:bCs w:val="0"/>
              </w:rPr>
            </w:pPr>
            <w:r w:rsidRPr="00C71CB7">
              <w:rPr>
                <w:b w:val="0"/>
                <w:bCs w:val="0"/>
              </w:rPr>
              <w:t>Average schooling years</w:t>
            </w:r>
          </w:p>
        </w:tc>
        <w:tc>
          <w:tcPr>
            <w:tcW w:w="0" w:type="auto"/>
            <w:hideMark/>
          </w:tcPr>
          <w:p w14:paraId="76ACCF4B"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Formal education completed (ages 25+)</w:t>
            </w:r>
          </w:p>
        </w:tc>
        <w:tc>
          <w:tcPr>
            <w:tcW w:w="0" w:type="auto"/>
            <w:hideMark/>
          </w:tcPr>
          <w:p w14:paraId="5E996DF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9.5 (0.3)</w:t>
            </w:r>
          </w:p>
        </w:tc>
        <w:tc>
          <w:tcPr>
            <w:tcW w:w="0" w:type="auto"/>
            <w:hideMark/>
          </w:tcPr>
          <w:p w14:paraId="3F1CE1D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9.7 (0.3)</w:t>
            </w:r>
          </w:p>
        </w:tc>
        <w:tc>
          <w:tcPr>
            <w:tcW w:w="0" w:type="auto"/>
            <w:hideMark/>
          </w:tcPr>
          <w:p w14:paraId="5211D7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9.9 (0.4)</w:t>
            </w:r>
          </w:p>
        </w:tc>
      </w:tr>
      <w:tr w:rsidR="007E45B6" w:rsidRPr="00C71CB7" w14:paraId="2DF0C88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43ED0" w14:textId="77777777" w:rsidR="007E45B6" w:rsidRPr="00C71CB7" w:rsidRDefault="007E45B6" w:rsidP="003F355B">
            <w:pPr>
              <w:spacing w:after="160" w:line="360" w:lineRule="auto"/>
              <w:jc w:val="both"/>
              <w:rPr>
                <w:b w:val="0"/>
                <w:bCs w:val="0"/>
              </w:rPr>
            </w:pPr>
            <w:r w:rsidRPr="00C71CB7">
              <w:rPr>
                <w:b w:val="0"/>
                <w:bCs w:val="0"/>
              </w:rPr>
              <w:lastRenderedPageBreak/>
              <w:t>Financial literacy score (0-10)</w:t>
            </w:r>
          </w:p>
        </w:tc>
        <w:tc>
          <w:tcPr>
            <w:tcW w:w="0" w:type="auto"/>
            <w:hideMark/>
          </w:tcPr>
          <w:p w14:paraId="793A924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Standardized test on interest rates, inflation, and risk</w:t>
            </w:r>
          </w:p>
        </w:tc>
        <w:tc>
          <w:tcPr>
            <w:tcW w:w="0" w:type="auto"/>
            <w:hideMark/>
          </w:tcPr>
          <w:p w14:paraId="570B3431"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6.2 (0.8)</w:t>
            </w:r>
          </w:p>
        </w:tc>
        <w:tc>
          <w:tcPr>
            <w:tcW w:w="0" w:type="auto"/>
            <w:hideMark/>
          </w:tcPr>
          <w:p w14:paraId="63DE19D5"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 (0.7)</w:t>
            </w:r>
          </w:p>
        </w:tc>
        <w:tc>
          <w:tcPr>
            <w:tcW w:w="0" w:type="auto"/>
            <w:hideMark/>
          </w:tcPr>
          <w:p w14:paraId="5A91FF0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6.7 (0.6)</w:t>
            </w:r>
          </w:p>
        </w:tc>
      </w:tr>
      <w:tr w:rsidR="007E45B6" w:rsidRPr="00C71CB7" w14:paraId="554F053E"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495329" w14:textId="77777777" w:rsidR="007E45B6" w:rsidRPr="00C71CB7" w:rsidRDefault="007E45B6" w:rsidP="003F355B">
            <w:pPr>
              <w:spacing w:after="160" w:line="360" w:lineRule="auto"/>
              <w:jc w:val="both"/>
              <w:rPr>
                <w:b w:val="0"/>
                <w:bCs w:val="0"/>
              </w:rPr>
            </w:pPr>
            <w:r w:rsidRPr="00C71CB7">
              <w:rPr>
                <w:b w:val="0"/>
                <w:bCs w:val="0"/>
              </w:rPr>
              <w:t>Regional Characteristics</w:t>
            </w:r>
          </w:p>
        </w:tc>
        <w:tc>
          <w:tcPr>
            <w:tcW w:w="0" w:type="auto"/>
            <w:hideMark/>
          </w:tcPr>
          <w:p w14:paraId="5D08124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9B110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38D66DE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543638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3C45D38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90060" w14:textId="77777777" w:rsidR="007E45B6" w:rsidRPr="00C71CB7" w:rsidRDefault="007E45B6" w:rsidP="003F355B">
            <w:pPr>
              <w:spacing w:after="160" w:line="360" w:lineRule="auto"/>
              <w:jc w:val="both"/>
              <w:rPr>
                <w:b w:val="0"/>
                <w:bCs w:val="0"/>
              </w:rPr>
            </w:pPr>
            <w:r w:rsidRPr="00C71CB7">
              <w:rPr>
                <w:b w:val="0"/>
                <w:bCs w:val="0"/>
              </w:rPr>
              <w:t>Urbanization rate (%)</w:t>
            </w:r>
          </w:p>
        </w:tc>
        <w:tc>
          <w:tcPr>
            <w:tcW w:w="0" w:type="auto"/>
            <w:hideMark/>
          </w:tcPr>
          <w:p w14:paraId="49E04F7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in urban areas</w:t>
            </w:r>
          </w:p>
        </w:tc>
        <w:tc>
          <w:tcPr>
            <w:tcW w:w="0" w:type="auto"/>
            <w:hideMark/>
          </w:tcPr>
          <w:p w14:paraId="3D54A9D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63.7 (5.2)</w:t>
            </w:r>
          </w:p>
        </w:tc>
        <w:tc>
          <w:tcPr>
            <w:tcW w:w="0" w:type="auto"/>
            <w:hideMark/>
          </w:tcPr>
          <w:p w14:paraId="7403BC38"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64.8 (5.0)</w:t>
            </w:r>
          </w:p>
        </w:tc>
        <w:tc>
          <w:tcPr>
            <w:tcW w:w="0" w:type="auto"/>
            <w:hideMark/>
          </w:tcPr>
          <w:p w14:paraId="4E58B5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65.9 (4.9)</w:t>
            </w:r>
          </w:p>
        </w:tc>
      </w:tr>
      <w:tr w:rsidR="007E45B6" w:rsidRPr="00C71CB7" w14:paraId="22A6CB0A"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5DCFA4C6" w14:textId="77777777" w:rsidR="007E45B6" w:rsidRPr="00C71CB7" w:rsidRDefault="007E45B6" w:rsidP="003F355B">
            <w:pPr>
              <w:spacing w:after="160" w:line="360" w:lineRule="auto"/>
              <w:jc w:val="both"/>
              <w:rPr>
                <w:b w:val="0"/>
                <w:bCs w:val="0"/>
              </w:rPr>
            </w:pPr>
            <w:r w:rsidRPr="00C71CB7">
              <w:rPr>
                <w:b w:val="0"/>
                <w:bCs w:val="0"/>
              </w:rPr>
              <w:t>Commercial bank branches/10k ppl</w:t>
            </w:r>
          </w:p>
        </w:tc>
        <w:tc>
          <w:tcPr>
            <w:tcW w:w="0" w:type="auto"/>
            <w:hideMark/>
          </w:tcPr>
          <w:p w14:paraId="01F120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Physical bank access points</w:t>
            </w:r>
          </w:p>
        </w:tc>
        <w:tc>
          <w:tcPr>
            <w:tcW w:w="0" w:type="auto"/>
            <w:hideMark/>
          </w:tcPr>
          <w:p w14:paraId="1A79209A"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1.45 (0.21)</w:t>
            </w:r>
          </w:p>
        </w:tc>
        <w:tc>
          <w:tcPr>
            <w:tcW w:w="0" w:type="auto"/>
            <w:hideMark/>
          </w:tcPr>
          <w:p w14:paraId="33E473B6"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1.38 (0.19)</w:t>
            </w:r>
          </w:p>
        </w:tc>
        <w:tc>
          <w:tcPr>
            <w:tcW w:w="0" w:type="auto"/>
            <w:hideMark/>
          </w:tcPr>
          <w:p w14:paraId="5E37EDB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1.32 (0.18)</w:t>
            </w:r>
          </w:p>
        </w:tc>
      </w:tr>
    </w:tbl>
    <w:p w14:paraId="73C7FE65" w14:textId="77777777" w:rsidR="007E45B6" w:rsidRPr="004C3E51" w:rsidRDefault="007E45B6" w:rsidP="007E45B6">
      <w:pPr>
        <w:spacing w:line="360" w:lineRule="auto"/>
        <w:jc w:val="both"/>
      </w:pPr>
      <w:r w:rsidRPr="004C3E51">
        <w:rPr>
          <w:b/>
          <w:bCs/>
        </w:rPr>
        <w:t>Summary Statistics and Variable Definitions</w:t>
      </w:r>
    </w:p>
    <w:p w14:paraId="5A7758A2" w14:textId="7ADBB5A1" w:rsidR="007E45B6" w:rsidRPr="004C3E51" w:rsidRDefault="007E45B6" w:rsidP="007E45B6">
      <w:pPr>
        <w:spacing w:line="360" w:lineRule="auto"/>
        <w:jc w:val="both"/>
      </w:pPr>
      <w:r w:rsidRPr="004C3E51">
        <w:t xml:space="preserve">Our analysis draws on two primary datasets that capture both macro-level financial inclusion trends and micro-level household financial </w:t>
      </w:r>
      <w:proofErr w:type="spellStart"/>
      <w:r w:rsidR="00AB2094" w:rsidRPr="00144D73">
        <w:rPr>
          <w:highlight w:val="yellow"/>
        </w:rPr>
        <w:t>behaviours</w:t>
      </w:r>
      <w:proofErr w:type="spellEnd"/>
      <w:r w:rsidRPr="004C3E51">
        <w:t>. The Digital Financial Inclusion Index (DFII) provides province-level metrics on the development of China's digital finance ecosystem, while the China Household Finance Survey (CHFS) offers detailed household financial data across multiple waves. Together, these sources enable a comprehensive examination of how digital credit platforms influence household financial stability.</w:t>
      </w:r>
    </w:p>
    <w:p w14:paraId="2F902714" w14:textId="77777777" w:rsidR="007E45B6" w:rsidRPr="004C3E51" w:rsidRDefault="007E45B6" w:rsidP="007E45B6">
      <w:pPr>
        <w:spacing w:line="360" w:lineRule="auto"/>
        <w:jc w:val="both"/>
      </w:pPr>
      <w:r w:rsidRPr="004C3E51">
        <w:rPr>
          <w:b/>
          <w:bCs/>
        </w:rPr>
        <w:t>Digital Financial Inclusion Metrics</w:t>
      </w:r>
    </w:p>
    <w:p w14:paraId="4837F724" w14:textId="31550BBD" w:rsidR="007E45B6" w:rsidRPr="004C3E51" w:rsidRDefault="007E45B6" w:rsidP="007E45B6">
      <w:pPr>
        <w:spacing w:line="360" w:lineRule="auto"/>
        <w:jc w:val="both"/>
      </w:pPr>
      <w:r w:rsidRPr="004C3E51">
        <w:t xml:space="preserve">The DFII tracks six key dimensions of digital financial development from 2013-2017. The Total DFI Index (mean=191,952, SD=44,627) serves as our primary measure of overall digital financial inclusion. This composite index breaks down into several components: Coverage Breadth (mean=181,207, SD=46,839) measures the accessibility of internet financial services; Usage Depth (mean=189,210, SD=57,616) captures the intensity of digital service </w:t>
      </w:r>
      <w:proofErr w:type="spellStart"/>
      <w:r w:rsidR="00AB2094" w:rsidRPr="00144D73">
        <w:rPr>
          <w:highlight w:val="yellow"/>
        </w:rPr>
        <w:t>utilisation</w:t>
      </w:r>
      <w:proofErr w:type="spellEnd"/>
      <w:r w:rsidRPr="004C3E51">
        <w:t xml:space="preserve">; and </w:t>
      </w:r>
      <w:proofErr w:type="spellStart"/>
      <w:r w:rsidR="00AB2094" w:rsidRPr="00144D73">
        <w:rPr>
          <w:highlight w:val="yellow"/>
        </w:rPr>
        <w:t>specialised</w:t>
      </w:r>
      <w:proofErr w:type="spellEnd"/>
      <w:r w:rsidR="00AB2094" w:rsidRPr="00144D73">
        <w:rPr>
          <w:highlight w:val="yellow"/>
        </w:rPr>
        <w:t xml:space="preserve"> </w:t>
      </w:r>
      <w:r w:rsidRPr="004C3E51">
        <w:t>indices track Insurance Services (mean=281,278, SD=59,822), Investment Services (mean=180,882, SD=46,806), and Credit Investigation systems (mean=197,548, SD=140,666). These metrics reveal rapid growth in digital financial services, particularly in insurance (847% increase 2013-2017) and credit investigation (167% growth).</w:t>
      </w:r>
    </w:p>
    <w:p w14:paraId="261107DB" w14:textId="77777777" w:rsidR="007E45B6" w:rsidRPr="004C3E51" w:rsidRDefault="007E45B6" w:rsidP="007E45B6">
      <w:pPr>
        <w:spacing w:line="360" w:lineRule="auto"/>
        <w:jc w:val="both"/>
      </w:pPr>
      <w:r w:rsidRPr="004C3E51">
        <w:rPr>
          <w:b/>
          <w:bCs/>
        </w:rPr>
        <w:t>Household Financial Indicators</w:t>
      </w:r>
    </w:p>
    <w:p w14:paraId="766725FC" w14:textId="26B015D9" w:rsidR="007E45B6" w:rsidRPr="004C3E51" w:rsidRDefault="007E45B6" w:rsidP="007E45B6">
      <w:pPr>
        <w:spacing w:line="360" w:lineRule="auto"/>
        <w:jc w:val="both"/>
      </w:pPr>
      <w:r w:rsidRPr="004C3E51">
        <w:lastRenderedPageBreak/>
        <w:t>The CHFS data provides crucial micro-level financial indicators from 2013</w:t>
      </w:r>
      <w:r w:rsidR="00AB2094">
        <w:t xml:space="preserve"> </w:t>
      </w:r>
      <w:r w:rsidR="00AB2094" w:rsidRPr="00144D73">
        <w:rPr>
          <w:highlight w:val="yellow"/>
        </w:rPr>
        <w:t>to</w:t>
      </w:r>
      <w:r w:rsidR="00AB2094">
        <w:t xml:space="preserve"> </w:t>
      </w:r>
      <w:r w:rsidRPr="004C3E51">
        <w:t>2019. Our analysis focuses on several key variables: Debt Participation (28.7% of households, SD=0.462) identifies formal debt holders; Debt Trap (4.2%, SD=0.201) flags households reporting payment difficulties. Demographic controls include household head characteristics (mean age=54.4 years, SD=14.5; 76.5% male-headed, SD=0.604) and location (32.1% rural, SD=0.467). Economic indicators capture household income (mean=¥82,750, SD=101,141), consumption patterns (mean=¥62,206, SD=67,501), debt burdens (mean=¥39,705, SD=136,710), and net wealth (mean=¥929,000, SD=1,187,000). These variables show substantial variation across regions and over time.</w:t>
      </w:r>
    </w:p>
    <w:p w14:paraId="6E29350C" w14:textId="77777777" w:rsidR="007E45B6" w:rsidRPr="004C3E51" w:rsidRDefault="007E45B6" w:rsidP="007E45B6">
      <w:pPr>
        <w:spacing w:line="360" w:lineRule="auto"/>
        <w:jc w:val="both"/>
      </w:pPr>
      <w:r w:rsidRPr="004C3E51">
        <w:rPr>
          <w:b/>
          <w:bCs/>
        </w:rPr>
        <w:t>Variable Processing and Enhancements</w:t>
      </w:r>
    </w:p>
    <w:p w14:paraId="3DE4FAFB" w14:textId="1663515A" w:rsidR="007E45B6" w:rsidRPr="004C3E51" w:rsidRDefault="007E45B6" w:rsidP="007E45B6">
      <w:pPr>
        <w:spacing w:line="360" w:lineRule="auto"/>
        <w:jc w:val="both"/>
      </w:pPr>
      <w:r w:rsidRPr="004C3E51">
        <w:t xml:space="preserve">All continuous variables were </w:t>
      </w:r>
      <w:proofErr w:type="spellStart"/>
      <w:r w:rsidRPr="004C3E51">
        <w:t>winsorized</w:t>
      </w:r>
      <w:proofErr w:type="spellEnd"/>
      <w:r w:rsidRPr="004C3E51">
        <w:t xml:space="preserve"> at the 1st and 99th percentiles to mitigate outlier effects. For the current study, we have enhanced the base dataset with several novel metrics: algorithmic lending exposure measures derived from platform data; a dark pattern incidence index quantifying manipulative interface designs; and expanded financial distress indicators</w:t>
      </w:r>
      <w:r w:rsidR="00AB2094">
        <w:t>,</w:t>
      </w:r>
      <w:r w:rsidRPr="004C3E51">
        <w:t xml:space="preserve"> including automated loan rollovers, concurrent BNPL usage, and algorithmic credit limit changes. We have also incorporated additional demographic controls for super-app penetration rates, digital literacy scores, and platform-specific borrowing channels to better capture the digital credit ecosystem.</w:t>
      </w:r>
    </w:p>
    <w:p w14:paraId="147D3F23" w14:textId="77777777" w:rsidR="007E45B6" w:rsidRPr="004C3E51" w:rsidRDefault="007E45B6" w:rsidP="007E45B6">
      <w:pPr>
        <w:spacing w:line="360" w:lineRule="auto"/>
        <w:jc w:val="both"/>
      </w:pPr>
      <w:r w:rsidRPr="004C3E51">
        <w:rPr>
          <w:b/>
          <w:bCs/>
        </w:rPr>
        <w:t>Analytical Applications</w:t>
      </w:r>
    </w:p>
    <w:p w14:paraId="23EBCDED" w14:textId="77777777" w:rsidR="007E45B6" w:rsidRPr="004C3E51" w:rsidRDefault="007E45B6" w:rsidP="007E45B6">
      <w:pPr>
        <w:spacing w:line="360" w:lineRule="auto"/>
        <w:jc w:val="both"/>
      </w:pPr>
      <w:r w:rsidRPr="004C3E51">
        <w:t xml:space="preserve">These variables enable rigorous testing of our three core hypotheses. The DFII metrics allow us to examine digital credit adoption disparities (H1) across regions and demographic groups. Household consumption data paired with BNPL usage indicators facilitate analysis of consumption effects (H2). Our enhanced distress measures, particularly the dark pattern index combined with debt trap indicators, provide robust tests of design-driven financial vulnerability (H3). The complete variable construction methodology and additional robustness checks are detailed in Sections 3-4 of the paper, with full technical specifications provided in the </w:t>
      </w:r>
      <w:bookmarkStart w:id="0" w:name="_Hlk208506572"/>
      <w:r w:rsidRPr="004C3E51">
        <w:t>appendices</w:t>
      </w:r>
      <w:bookmarkEnd w:id="0"/>
      <w:r w:rsidRPr="004C3E51">
        <w:t>. This comprehensive approach ensures our analysis captures both the breadth and depth of digital credit's impact on household finances.</w:t>
      </w:r>
    </w:p>
    <w:p w14:paraId="2847B705" w14:textId="5EA79F21" w:rsidR="007E45B6" w:rsidRPr="004C3E51" w:rsidRDefault="007E45B6" w:rsidP="007E45B6">
      <w:pPr>
        <w:spacing w:line="360" w:lineRule="auto"/>
        <w:jc w:val="both"/>
      </w:pPr>
      <w:r w:rsidRPr="004C3E51">
        <w:t xml:space="preserve">on the basis of </w:t>
      </w:r>
      <w:r w:rsidR="00AB2094" w:rsidRPr="00144D73">
        <w:rPr>
          <w:highlight w:val="yellow"/>
        </w:rPr>
        <w:t>the</w:t>
      </w:r>
      <w:r w:rsidR="00AB2094">
        <w:t xml:space="preserve"> </w:t>
      </w:r>
      <w:r w:rsidRPr="004C3E51">
        <w:t>above tables and dataset</w:t>
      </w:r>
      <w:r w:rsidR="00AB2094">
        <w:t>,</w:t>
      </w:r>
      <w:r w:rsidRPr="004C3E51">
        <w:t xml:space="preserve"> provide all tables in alignment</w:t>
      </w:r>
    </w:p>
    <w:p w14:paraId="6244FDF3" w14:textId="77777777" w:rsidR="007E45B6" w:rsidRPr="004C3E51" w:rsidRDefault="007E45B6" w:rsidP="007E45B6">
      <w:pPr>
        <w:spacing w:line="360" w:lineRule="auto"/>
        <w:jc w:val="both"/>
      </w:pPr>
      <w:r w:rsidRPr="004C3E51">
        <w:lastRenderedPageBreak/>
        <w:t>Here are the properly formatted academic tables aligned with your dataset and research objectives:</w:t>
      </w:r>
    </w:p>
    <w:p w14:paraId="0BCF49E4" w14:textId="5E7E9D75" w:rsidR="007E45B6" w:rsidRPr="004C3E51" w:rsidRDefault="007E45B6" w:rsidP="007E45B6">
      <w:pPr>
        <w:spacing w:line="360" w:lineRule="auto"/>
        <w:jc w:val="both"/>
      </w:pPr>
      <w:r w:rsidRPr="004C3E51">
        <w:rPr>
          <w:b/>
          <w:bCs/>
        </w:rPr>
        <w:t xml:space="preserve">Table </w:t>
      </w:r>
      <w:r w:rsidR="000544CA">
        <w:rPr>
          <w:b/>
          <w:bCs/>
        </w:rPr>
        <w:t>2</w:t>
      </w:r>
      <w:r w:rsidRPr="004C3E51">
        <w:rPr>
          <w:b/>
          <w:bCs/>
        </w:rPr>
        <w:t>: Digital Financial Inclusion Index (DFII) Components (2013-2017)</w:t>
      </w:r>
    </w:p>
    <w:tbl>
      <w:tblPr>
        <w:tblW w:w="0" w:type="auto"/>
        <w:tblCellMar>
          <w:top w:w="15" w:type="dxa"/>
          <w:left w:w="15" w:type="dxa"/>
          <w:bottom w:w="15" w:type="dxa"/>
          <w:right w:w="15" w:type="dxa"/>
        </w:tblCellMar>
        <w:tblLook w:val="04A0" w:firstRow="1" w:lastRow="0" w:firstColumn="1" w:lastColumn="0" w:noHBand="0" w:noVBand="1"/>
      </w:tblPr>
      <w:tblGrid>
        <w:gridCol w:w="1958"/>
        <w:gridCol w:w="1856"/>
        <w:gridCol w:w="1856"/>
        <w:gridCol w:w="1856"/>
        <w:gridCol w:w="1834"/>
      </w:tblGrid>
      <w:tr w:rsidR="007E45B6" w:rsidRPr="004C3E51" w14:paraId="1F6FEB5C"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A5277E9" w14:textId="77777777" w:rsidR="007E45B6" w:rsidRPr="004C3E51" w:rsidRDefault="007E45B6" w:rsidP="003F355B">
            <w:pPr>
              <w:spacing w:line="360" w:lineRule="auto"/>
              <w:jc w:val="both"/>
              <w:rPr>
                <w:b/>
                <w:bCs/>
              </w:rPr>
            </w:pPr>
            <w:r w:rsidRPr="004C3E51">
              <w:rPr>
                <w:b/>
                <w:bCs/>
              </w:rPr>
              <w:t>DFII Component</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CEF57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6AADB0C"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3A243E3"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3131DED" w14:textId="77777777" w:rsidR="007E45B6" w:rsidRPr="004C3E51" w:rsidRDefault="007E45B6" w:rsidP="003F355B">
            <w:pPr>
              <w:spacing w:line="360" w:lineRule="auto"/>
              <w:jc w:val="both"/>
              <w:rPr>
                <w:b/>
                <w:bCs/>
              </w:rPr>
            </w:pPr>
            <w:r w:rsidRPr="004C3E51">
              <w:rPr>
                <w:b/>
                <w:bCs/>
              </w:rPr>
              <w:t>Growth Rate (%)</w:t>
            </w:r>
          </w:p>
        </w:tc>
      </w:tr>
      <w:tr w:rsidR="007E45B6" w:rsidRPr="004C3E51" w14:paraId="41DBDECC"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3A4EF3B" w14:textId="77777777" w:rsidR="007E45B6" w:rsidRPr="004C3E51" w:rsidRDefault="007E45B6" w:rsidP="003F355B">
            <w:pPr>
              <w:spacing w:line="360" w:lineRule="auto"/>
              <w:jc w:val="both"/>
            </w:pPr>
            <w:r w:rsidRPr="004C3E51">
              <w:t>Total DFI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7A76DD" w14:textId="77777777" w:rsidR="007E45B6" w:rsidRPr="004C3E51" w:rsidRDefault="007E45B6" w:rsidP="003F355B">
            <w:pPr>
              <w:spacing w:line="360" w:lineRule="auto"/>
              <w:jc w:val="both"/>
            </w:pPr>
            <w:r w:rsidRPr="004C3E51">
              <w:t>125,983 (23,542)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2EBA40" w14:textId="77777777" w:rsidR="007E45B6" w:rsidRPr="004C3E51" w:rsidRDefault="007E45B6" w:rsidP="003F355B">
            <w:pPr>
              <w:spacing w:line="360" w:lineRule="auto"/>
              <w:jc w:val="both"/>
            </w:pPr>
            <w:r w:rsidRPr="004C3E51">
              <w:t>183,728 (23,469)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AC0B68" w14:textId="77777777" w:rsidR="007E45B6" w:rsidRPr="004C3E51" w:rsidRDefault="007E45B6" w:rsidP="003F355B">
            <w:pPr>
              <w:spacing w:line="360" w:lineRule="auto"/>
              <w:jc w:val="both"/>
            </w:pPr>
            <w:r w:rsidRPr="004C3E51">
              <w:t>233,686 (22,719)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C3E6CAC" w14:textId="77777777" w:rsidR="007E45B6" w:rsidRPr="004C3E51" w:rsidRDefault="007E45B6" w:rsidP="003F355B">
            <w:pPr>
              <w:spacing w:line="360" w:lineRule="auto"/>
              <w:jc w:val="both"/>
            </w:pPr>
            <w:r w:rsidRPr="004C3E51">
              <w:t>85.5%</w:t>
            </w:r>
          </w:p>
        </w:tc>
      </w:tr>
      <w:tr w:rsidR="007E45B6" w:rsidRPr="004C3E51" w14:paraId="361AC17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AFF098F" w14:textId="77777777" w:rsidR="007E45B6" w:rsidRPr="004C3E51" w:rsidRDefault="007E45B6" w:rsidP="003F355B">
            <w:pPr>
              <w:spacing w:line="360" w:lineRule="auto"/>
              <w:jc w:val="both"/>
            </w:pPr>
            <w:r w:rsidRPr="004C3E51">
              <w:t>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1E7770" w14:textId="77777777" w:rsidR="007E45B6" w:rsidRPr="004C3E51" w:rsidRDefault="007E45B6" w:rsidP="003F355B">
            <w:pPr>
              <w:spacing w:line="360" w:lineRule="auto"/>
              <w:jc w:val="both"/>
            </w:pPr>
            <w:r w:rsidRPr="004C3E51">
              <w:t>125,021 (29,818)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D8B7E9" w14:textId="77777777" w:rsidR="007E45B6" w:rsidRPr="004C3E51" w:rsidRDefault="007E45B6" w:rsidP="003F355B">
            <w:pPr>
              <w:spacing w:line="360" w:lineRule="auto"/>
              <w:jc w:val="both"/>
            </w:pPr>
            <w:r w:rsidRPr="004C3E51">
              <w:t>182,077 (23,507)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1456A3" w14:textId="77777777" w:rsidR="007E45B6" w:rsidRPr="004C3E51" w:rsidRDefault="007E45B6" w:rsidP="003F355B">
            <w:pPr>
              <w:spacing w:line="360" w:lineRule="auto"/>
              <w:jc w:val="both"/>
            </w:pPr>
            <w:r w:rsidRPr="004C3E51">
              <w:t>214,516 (31,408)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4C81C1" w14:textId="77777777" w:rsidR="007E45B6" w:rsidRPr="004C3E51" w:rsidRDefault="007E45B6" w:rsidP="003F355B">
            <w:pPr>
              <w:spacing w:line="360" w:lineRule="auto"/>
              <w:jc w:val="both"/>
            </w:pPr>
            <w:r w:rsidRPr="004C3E51">
              <w:t>71.6%</w:t>
            </w:r>
          </w:p>
        </w:tc>
      </w:tr>
      <w:tr w:rsidR="007E45B6" w:rsidRPr="004C3E51" w14:paraId="706136B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B7C27D4" w14:textId="77777777" w:rsidR="007E45B6" w:rsidRPr="004C3E51" w:rsidRDefault="007E45B6" w:rsidP="003F355B">
            <w:pPr>
              <w:spacing w:line="360" w:lineRule="auto"/>
              <w:jc w:val="both"/>
            </w:pPr>
            <w:r w:rsidRPr="004C3E51">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510BBB2" w14:textId="77777777" w:rsidR="007E45B6" w:rsidRPr="004C3E51" w:rsidRDefault="007E45B6" w:rsidP="003F355B">
            <w:pPr>
              <w:spacing w:line="360" w:lineRule="auto"/>
              <w:jc w:val="both"/>
            </w:pPr>
            <w:r w:rsidRPr="004C3E51">
              <w:t>127,561 (27,119)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D60AD" w14:textId="77777777" w:rsidR="007E45B6" w:rsidRPr="004C3E51" w:rsidRDefault="007E45B6" w:rsidP="003F355B">
            <w:pPr>
              <w:spacing w:line="360" w:lineRule="auto"/>
              <w:jc w:val="both"/>
            </w:pPr>
            <w:r w:rsidRPr="004C3E51">
              <w:t>154,628 (28,243)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728B7D" w14:textId="77777777" w:rsidR="007E45B6" w:rsidRPr="004C3E51" w:rsidRDefault="007E45B6" w:rsidP="003F355B">
            <w:pPr>
              <w:spacing w:line="360" w:lineRule="auto"/>
              <w:jc w:val="both"/>
            </w:pPr>
            <w:r w:rsidRPr="004C3E51">
              <w:t>252,656 (25,956)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5E0E8E" w14:textId="77777777" w:rsidR="007E45B6" w:rsidRPr="004C3E51" w:rsidRDefault="007E45B6" w:rsidP="003F355B">
            <w:pPr>
              <w:spacing w:line="360" w:lineRule="auto"/>
              <w:jc w:val="both"/>
            </w:pPr>
            <w:r w:rsidRPr="004C3E51">
              <w:t>98.1%</w:t>
            </w:r>
          </w:p>
        </w:tc>
      </w:tr>
      <w:tr w:rsidR="007E45B6" w:rsidRPr="004C3E51" w14:paraId="7CE117D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C7E436F" w14:textId="77777777" w:rsidR="007E45B6" w:rsidRPr="004C3E51" w:rsidRDefault="007E45B6" w:rsidP="003F355B">
            <w:pPr>
              <w:spacing w:line="360" w:lineRule="auto"/>
              <w:jc w:val="both"/>
            </w:pPr>
            <w:r w:rsidRPr="004C3E51">
              <w:t>Insurance Services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EDD183" w14:textId="77777777" w:rsidR="007E45B6" w:rsidRPr="004C3E51" w:rsidRDefault="007E45B6" w:rsidP="003F355B">
            <w:pPr>
              <w:spacing w:line="360" w:lineRule="auto"/>
              <w:jc w:val="both"/>
            </w:pPr>
            <w:r w:rsidRPr="004C3E51">
              <w:t>282,263 (55,255)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88B86C7" w14:textId="77777777" w:rsidR="007E45B6" w:rsidRPr="004C3E51" w:rsidRDefault="007E45B6" w:rsidP="003F355B">
            <w:pPr>
              <w:spacing w:line="360" w:lineRule="auto"/>
              <w:jc w:val="both"/>
            </w:pPr>
            <w:r w:rsidRPr="004C3E51">
              <w:t>272,532 (42,309)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BE4142" w14:textId="77777777" w:rsidR="007E45B6" w:rsidRPr="004C3E51" w:rsidRDefault="007E45B6" w:rsidP="003F355B">
            <w:pPr>
              <w:spacing w:line="360" w:lineRule="auto"/>
              <w:jc w:val="both"/>
            </w:pPr>
            <w:r w:rsidRPr="004C3E51">
              <w:t>261,651 (47,766)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CDA46F6" w14:textId="77777777" w:rsidR="007E45B6" w:rsidRPr="004C3E51" w:rsidRDefault="007E45B6" w:rsidP="003F355B">
            <w:pPr>
              <w:spacing w:line="360" w:lineRule="auto"/>
              <w:jc w:val="both"/>
            </w:pPr>
            <w:r w:rsidRPr="004C3E51">
              <w:t>-7.3%</w:t>
            </w:r>
          </w:p>
        </w:tc>
      </w:tr>
      <w:tr w:rsidR="007E45B6" w:rsidRPr="004C3E51" w14:paraId="48261EE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25D8AF2"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A843F3" w14:textId="77777777" w:rsidR="007E45B6" w:rsidRPr="004C3E51" w:rsidRDefault="007E45B6" w:rsidP="003F355B">
            <w:pPr>
              <w:spacing w:line="360" w:lineRule="auto"/>
              <w:jc w:val="both"/>
            </w:pPr>
            <w:r w:rsidRPr="004C3E51">
              <w:t>93,768 (27,878)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743998C"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664249" w14:textId="77777777" w:rsidR="007E45B6" w:rsidRPr="004C3E51" w:rsidRDefault="007E45B6" w:rsidP="003F355B">
            <w:pPr>
              <w:spacing w:line="360" w:lineRule="auto"/>
              <w:jc w:val="both"/>
            </w:pPr>
            <w:r w:rsidRPr="004C3E51">
              <w:t>250,571 (56,230)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09CDBA" w14:textId="77777777" w:rsidR="007E45B6" w:rsidRPr="004C3E51" w:rsidRDefault="007E45B6" w:rsidP="003F355B">
            <w:pPr>
              <w:spacing w:line="360" w:lineRule="auto"/>
              <w:jc w:val="both"/>
            </w:pPr>
            <w:r w:rsidRPr="004C3E51">
              <w:t>167.2%</w:t>
            </w:r>
          </w:p>
        </w:tc>
      </w:tr>
    </w:tbl>
    <w:p w14:paraId="797D5970" w14:textId="489CC2A3" w:rsidR="007E45B6" w:rsidRPr="004C3E51" w:rsidRDefault="007E45B6" w:rsidP="007E45B6">
      <w:pPr>
        <w:spacing w:line="360" w:lineRule="auto"/>
        <w:jc w:val="both"/>
      </w:pPr>
      <w:r w:rsidRPr="004C3E51">
        <w:rPr>
          <w:b/>
          <w:bCs/>
        </w:rPr>
        <w:t xml:space="preserve">Table </w:t>
      </w:r>
      <w:r w:rsidR="000544CA">
        <w:rPr>
          <w:b/>
          <w:bCs/>
        </w:rPr>
        <w:t>3</w:t>
      </w:r>
      <w:r w:rsidRPr="004C3E51">
        <w:rPr>
          <w:b/>
          <w:bCs/>
        </w:rPr>
        <w:t>: Household Financial Characteristics (2013-2019)</w:t>
      </w:r>
    </w:p>
    <w:tbl>
      <w:tblPr>
        <w:tblW w:w="0" w:type="auto"/>
        <w:tblCellMar>
          <w:top w:w="15" w:type="dxa"/>
          <w:left w:w="15" w:type="dxa"/>
          <w:bottom w:w="15" w:type="dxa"/>
          <w:right w:w="15" w:type="dxa"/>
        </w:tblCellMar>
        <w:tblLook w:val="04A0" w:firstRow="1" w:lastRow="0" w:firstColumn="1" w:lastColumn="0" w:noHBand="0" w:noVBand="1"/>
      </w:tblPr>
      <w:tblGrid>
        <w:gridCol w:w="2277"/>
        <w:gridCol w:w="1743"/>
        <w:gridCol w:w="1743"/>
        <w:gridCol w:w="1854"/>
        <w:gridCol w:w="1743"/>
      </w:tblGrid>
      <w:tr w:rsidR="007E45B6" w:rsidRPr="004C3E51" w14:paraId="5ED5EE6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8DD1ABE" w14:textId="77777777" w:rsidR="007E45B6" w:rsidRPr="004C3E51" w:rsidRDefault="007E45B6" w:rsidP="003F355B">
            <w:pPr>
              <w:spacing w:line="360" w:lineRule="auto"/>
              <w:jc w:val="both"/>
              <w:rPr>
                <w:b/>
                <w:bCs/>
              </w:rPr>
            </w:pPr>
            <w:r w:rsidRPr="004C3E51">
              <w:rPr>
                <w:b/>
                <w:bCs/>
              </w:rPr>
              <w:t>Variable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557CB0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413D95B"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886326E"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F496C8C" w14:textId="77777777" w:rsidR="007E45B6" w:rsidRPr="004C3E51" w:rsidRDefault="007E45B6" w:rsidP="003F355B">
            <w:pPr>
              <w:spacing w:line="360" w:lineRule="auto"/>
              <w:jc w:val="both"/>
              <w:rPr>
                <w:b/>
                <w:bCs/>
              </w:rPr>
            </w:pPr>
            <w:r w:rsidRPr="004C3E51">
              <w:rPr>
                <w:b/>
                <w:bCs/>
              </w:rPr>
              <w:t>2019 Mean (SD)</w:t>
            </w:r>
          </w:p>
        </w:tc>
      </w:tr>
      <w:tr w:rsidR="007E45B6" w:rsidRPr="004C3E51" w14:paraId="7BE48F2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026EFEE" w14:textId="77777777" w:rsidR="007E45B6" w:rsidRPr="004C3E51" w:rsidRDefault="007E45B6" w:rsidP="003F355B">
            <w:pPr>
              <w:spacing w:line="360" w:lineRule="auto"/>
              <w:jc w:val="both"/>
            </w:pPr>
            <w:r w:rsidRPr="004C3E51">
              <w:rPr>
                <w:b/>
                <w:bCs/>
              </w:rPr>
              <w:t>Debt Indicators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CF5E7F"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68EA3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EEA6D7"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833713" w14:textId="77777777" w:rsidR="007E45B6" w:rsidRPr="004C3E51" w:rsidRDefault="007E45B6" w:rsidP="003F355B">
            <w:pPr>
              <w:spacing w:line="360" w:lineRule="auto"/>
              <w:jc w:val="both"/>
            </w:pPr>
          </w:p>
        </w:tc>
      </w:tr>
      <w:tr w:rsidR="007E45B6" w:rsidRPr="004C3E51" w14:paraId="5ABC436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A53E887" w14:textId="77777777" w:rsidR="007E45B6" w:rsidRPr="004C3E51" w:rsidRDefault="007E45B6" w:rsidP="003F355B">
            <w:pPr>
              <w:spacing w:line="360" w:lineRule="auto"/>
              <w:jc w:val="both"/>
            </w:pPr>
            <w:r w:rsidRPr="004C3E51">
              <w:lastRenderedPageBreak/>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0C44C1" w14:textId="77777777" w:rsidR="007E45B6" w:rsidRPr="004C3E51" w:rsidRDefault="007E45B6" w:rsidP="003F355B">
            <w:pPr>
              <w:spacing w:line="360" w:lineRule="auto"/>
              <w:jc w:val="both"/>
            </w:pPr>
            <w:r w:rsidRPr="004C3E51">
              <w:t>0.820 (0.459)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B6856C" w14:textId="77777777" w:rsidR="007E45B6" w:rsidRPr="004C3E51" w:rsidRDefault="007E45B6" w:rsidP="003F355B">
            <w:pPr>
              <w:spacing w:line="360" w:lineRule="auto"/>
              <w:jc w:val="both"/>
            </w:pPr>
            <w:r w:rsidRPr="004C3E51">
              <w:t>0.294 (0.565)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2292386" w14:textId="77777777" w:rsidR="007E45B6" w:rsidRPr="004C3E51" w:rsidRDefault="007E45B6" w:rsidP="003F355B">
            <w:pPr>
              <w:spacing w:line="360" w:lineRule="auto"/>
              <w:jc w:val="both"/>
            </w:pPr>
            <w:r w:rsidRPr="004C3E51">
              <w:t>0.287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44BABB" w14:textId="77777777" w:rsidR="007E45B6" w:rsidRPr="004C3E51" w:rsidRDefault="007E45B6" w:rsidP="003F355B">
            <w:pPr>
              <w:spacing w:line="360" w:lineRule="auto"/>
              <w:jc w:val="both"/>
            </w:pPr>
            <w:r w:rsidRPr="004C3E51">
              <w:t>0.268 (0.443)</w:t>
            </w:r>
          </w:p>
        </w:tc>
      </w:tr>
      <w:tr w:rsidR="007E45B6" w:rsidRPr="004C3E51" w14:paraId="6D5C64F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3723AA9" w14:textId="77777777" w:rsidR="007E45B6" w:rsidRPr="004C3E51" w:rsidRDefault="007E45B6" w:rsidP="003F355B">
            <w:pPr>
              <w:spacing w:line="360" w:lineRule="auto"/>
              <w:jc w:val="both"/>
            </w:pPr>
            <w:r w:rsidRPr="004C3E51">
              <w:t>Debt Trap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410503"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6A36F4" w14:textId="77777777" w:rsidR="007E45B6" w:rsidRPr="004C3E51" w:rsidRDefault="007E45B6" w:rsidP="003F355B">
            <w:pPr>
              <w:spacing w:line="360" w:lineRule="auto"/>
              <w:jc w:val="both"/>
            </w:pPr>
            <w:r w:rsidRPr="004C3E51">
              <w:t>0.600 (0.196)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CB19F1" w14:textId="77777777" w:rsidR="007E45B6" w:rsidRPr="004C3E51" w:rsidRDefault="007E45B6" w:rsidP="003F355B">
            <w:pPr>
              <w:spacing w:line="360" w:lineRule="auto"/>
              <w:jc w:val="both"/>
            </w:pPr>
            <w:r w:rsidRPr="004C3E51">
              <w:t>0.420 (0.206)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AEEA39" w14:textId="77777777" w:rsidR="007E45B6" w:rsidRPr="004C3E51" w:rsidRDefault="007E45B6" w:rsidP="003F355B">
            <w:pPr>
              <w:spacing w:line="360" w:lineRule="auto"/>
              <w:jc w:val="both"/>
            </w:pPr>
            <w:r w:rsidRPr="004C3E51">
              <w:t>0.041 (0.199)</w:t>
            </w:r>
          </w:p>
        </w:tc>
      </w:tr>
      <w:tr w:rsidR="007E45B6" w:rsidRPr="004C3E51" w14:paraId="31D6BFEA"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C9A7D40" w14:textId="77777777" w:rsidR="007E45B6" w:rsidRPr="004C3E51" w:rsidRDefault="007E45B6" w:rsidP="003F355B">
            <w:pPr>
              <w:spacing w:line="360" w:lineRule="auto"/>
              <w:jc w:val="both"/>
            </w:pPr>
            <w:r w:rsidRPr="004C3E51">
              <w:t>Total Debt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C3BD2B" w14:textId="77777777" w:rsidR="007E45B6" w:rsidRPr="004C3E51" w:rsidRDefault="007E45B6" w:rsidP="003F355B">
            <w:pPr>
              <w:spacing w:line="360" w:lineRule="auto"/>
              <w:jc w:val="both"/>
            </w:pPr>
            <w:r w:rsidRPr="004C3E51">
              <w:t>39,861 (39,978)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3CE7F2" w14:textId="77777777" w:rsidR="007E45B6" w:rsidRPr="004C3E51" w:rsidRDefault="007E45B6" w:rsidP="003F355B">
            <w:pPr>
              <w:spacing w:line="360" w:lineRule="auto"/>
              <w:jc w:val="both"/>
            </w:pPr>
            <w:r w:rsidRPr="004C3E51">
              <w:t>59,975 (76,974)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9B1A23" w14:textId="77777777" w:rsidR="007E45B6" w:rsidRPr="004C3E51" w:rsidRDefault="007E45B6" w:rsidP="003F355B">
            <w:pPr>
              <w:spacing w:line="360" w:lineRule="auto"/>
              <w:jc w:val="both"/>
            </w:pPr>
            <w:r w:rsidRPr="004C3E51">
              <w:t>95,928 (141,293)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4687DB" w14:textId="77777777" w:rsidR="007E45B6" w:rsidRPr="004C3E51" w:rsidRDefault="007E45B6" w:rsidP="003F355B">
            <w:pPr>
              <w:spacing w:line="360" w:lineRule="auto"/>
              <w:jc w:val="both"/>
            </w:pPr>
            <w:r w:rsidRPr="004C3E51">
              <w:t>62,867 (106,458)</w:t>
            </w:r>
          </w:p>
        </w:tc>
      </w:tr>
      <w:tr w:rsidR="007E45B6" w:rsidRPr="004C3E51" w14:paraId="18470BD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8D484E" w14:textId="77777777" w:rsidR="007E45B6" w:rsidRPr="004C3E51" w:rsidRDefault="007E45B6" w:rsidP="003F355B">
            <w:pPr>
              <w:spacing w:line="360" w:lineRule="auto"/>
              <w:jc w:val="both"/>
            </w:pPr>
            <w:r w:rsidRPr="004C3E51">
              <w:rPr>
                <w:b/>
                <w:bCs/>
              </w:rPr>
              <w:t>Demographics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1B9913"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CC4558"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8D19D6"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24EA8D" w14:textId="77777777" w:rsidR="007E45B6" w:rsidRPr="004C3E51" w:rsidRDefault="007E45B6" w:rsidP="003F355B">
            <w:pPr>
              <w:spacing w:line="360" w:lineRule="auto"/>
              <w:jc w:val="both"/>
            </w:pPr>
          </w:p>
        </w:tc>
      </w:tr>
      <w:tr w:rsidR="007E45B6" w:rsidRPr="004C3E51" w14:paraId="2F3F3DA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9D6701" w14:textId="77777777" w:rsidR="007E45B6" w:rsidRPr="004C3E51" w:rsidRDefault="007E45B6" w:rsidP="003F355B">
            <w:pPr>
              <w:spacing w:line="360" w:lineRule="auto"/>
              <w:jc w:val="both"/>
            </w:pPr>
            <w:r w:rsidRPr="004C3E51">
              <w:t>Household Head Age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858AE6" w14:textId="77777777" w:rsidR="007E45B6" w:rsidRPr="004C3E51" w:rsidRDefault="007E45B6" w:rsidP="003F355B">
            <w:pPr>
              <w:spacing w:line="360" w:lineRule="auto"/>
              <w:jc w:val="both"/>
            </w:pPr>
            <w:r w:rsidRPr="004C3E51">
              <w:t>51.33 (1.45)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2E6502" w14:textId="77777777" w:rsidR="007E45B6" w:rsidRPr="004C3E51" w:rsidRDefault="007E45B6" w:rsidP="003F355B">
            <w:pPr>
              <w:spacing w:line="360" w:lineRule="auto"/>
              <w:jc w:val="both"/>
            </w:pPr>
            <w:r w:rsidRPr="004C3E51">
              <w:t>53.36 (1.58)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E5D432" w14:textId="77777777" w:rsidR="007E45B6" w:rsidRPr="004C3E51" w:rsidRDefault="007E45B6" w:rsidP="003F355B">
            <w:pPr>
              <w:spacing w:line="360" w:lineRule="auto"/>
              <w:jc w:val="both"/>
            </w:pPr>
            <w:r w:rsidRPr="004C3E51">
              <w:t>52.36 (1.51)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0A4D2B" w14:textId="77777777" w:rsidR="007E45B6" w:rsidRPr="004C3E51" w:rsidRDefault="007E45B6" w:rsidP="003F355B">
            <w:pPr>
              <w:spacing w:line="360" w:lineRule="auto"/>
              <w:jc w:val="both"/>
            </w:pPr>
            <w:r w:rsidRPr="004C3E51">
              <w:t>36.36 (13.74)</w:t>
            </w:r>
          </w:p>
        </w:tc>
      </w:tr>
      <w:tr w:rsidR="007E45B6" w:rsidRPr="004C3E51" w14:paraId="098E49B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82CA04F" w14:textId="77777777" w:rsidR="007E45B6" w:rsidRPr="004C3E51" w:rsidRDefault="007E45B6" w:rsidP="003F355B">
            <w:pPr>
              <w:spacing w:line="360" w:lineRule="auto"/>
              <w:jc w:val="both"/>
            </w:pPr>
            <w:r w:rsidRPr="004C3E51">
              <w:t>Male-Headed Household</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EC779" w14:textId="77777777" w:rsidR="007E45B6" w:rsidRPr="004C3E51" w:rsidRDefault="007E45B6" w:rsidP="003F355B">
            <w:pPr>
              <w:spacing w:line="360" w:lineRule="auto"/>
              <w:jc w:val="both"/>
            </w:pPr>
            <w:r w:rsidRPr="004C3E51">
              <w:t>0.871 (0.610)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073F73" w14:textId="77777777" w:rsidR="007E45B6" w:rsidRPr="004C3E51" w:rsidRDefault="007E45B6" w:rsidP="003F355B">
            <w:pPr>
              <w:spacing w:line="360" w:lineRule="auto"/>
              <w:jc w:val="both"/>
            </w:pPr>
            <w:r w:rsidRPr="004C3E51">
              <w:t>0.756 (0.670)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61A1E75" w14:textId="77777777" w:rsidR="007E45B6" w:rsidRPr="004C3E51" w:rsidRDefault="007E45B6" w:rsidP="003F355B">
            <w:pPr>
              <w:spacing w:line="360" w:lineRule="auto"/>
              <w:jc w:val="both"/>
            </w:pPr>
            <w:r w:rsidRPr="004C3E51">
              <w:t>0.784 (0.697)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F35C3" w14:textId="77777777" w:rsidR="007E45B6" w:rsidRPr="004C3E51" w:rsidRDefault="007E45B6" w:rsidP="003F355B">
            <w:pPr>
              <w:spacing w:line="360" w:lineRule="auto"/>
              <w:jc w:val="both"/>
            </w:pPr>
            <w:r w:rsidRPr="004C3E51">
              <w:t>0.636 (0.763)</w:t>
            </w:r>
          </w:p>
        </w:tc>
      </w:tr>
      <w:tr w:rsidR="007E45B6" w:rsidRPr="004C3E51" w14:paraId="5C9B299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2AEBD16" w14:textId="77777777" w:rsidR="007E45B6" w:rsidRPr="004C3E51" w:rsidRDefault="007E45B6" w:rsidP="003F355B">
            <w:pPr>
              <w:spacing w:line="360" w:lineRule="auto"/>
              <w:jc w:val="both"/>
            </w:pPr>
            <w:r w:rsidRPr="004C3E51">
              <w:t>Rural Residence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98B308" w14:textId="77777777" w:rsidR="007E45B6" w:rsidRPr="004C3E51" w:rsidRDefault="007E45B6" w:rsidP="003F355B">
            <w:pPr>
              <w:spacing w:line="360" w:lineRule="auto"/>
              <w:jc w:val="both"/>
            </w:pPr>
            <w:r w:rsidRPr="004C3E51">
              <w:t>0.314 (0.464)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1192308" w14:textId="77777777" w:rsidR="007E45B6" w:rsidRPr="004C3E51" w:rsidRDefault="007E45B6" w:rsidP="003F355B">
            <w:pPr>
              <w:spacing w:line="360" w:lineRule="auto"/>
              <w:jc w:val="both"/>
            </w:pPr>
            <w:r w:rsidRPr="004C3E51">
              <w:t>0.930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61BDC0" w14:textId="77777777" w:rsidR="007E45B6" w:rsidRPr="004C3E51" w:rsidRDefault="007E45B6" w:rsidP="003F355B">
            <w:pPr>
              <w:spacing w:line="360" w:lineRule="auto"/>
              <w:jc w:val="both"/>
            </w:pPr>
            <w:r w:rsidRPr="004C3E51">
              <w:t>0.307 (0.461)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B95268" w14:textId="77777777" w:rsidR="007E45B6" w:rsidRPr="004C3E51" w:rsidRDefault="007E45B6" w:rsidP="003F355B">
            <w:pPr>
              <w:spacing w:line="360" w:lineRule="auto"/>
              <w:jc w:val="both"/>
            </w:pPr>
            <w:r w:rsidRPr="004C3E51">
              <w:t>0.356 (0.479)</w:t>
            </w:r>
          </w:p>
        </w:tc>
      </w:tr>
      <w:tr w:rsidR="007E45B6" w:rsidRPr="004C3E51" w14:paraId="160F37B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797361C" w14:textId="77777777" w:rsidR="007E45B6" w:rsidRPr="004C3E51" w:rsidRDefault="007E45B6" w:rsidP="003F355B">
            <w:pPr>
              <w:spacing w:line="360" w:lineRule="auto"/>
              <w:jc w:val="both"/>
            </w:pPr>
            <w:r w:rsidRPr="004C3E51">
              <w:rPr>
                <w:b/>
                <w:bCs/>
              </w:rPr>
              <w:t>Economic Status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03A91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7B885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29498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F7233A" w14:textId="77777777" w:rsidR="007E45B6" w:rsidRPr="004C3E51" w:rsidRDefault="007E45B6" w:rsidP="003F355B">
            <w:pPr>
              <w:spacing w:line="360" w:lineRule="auto"/>
              <w:jc w:val="both"/>
            </w:pPr>
          </w:p>
        </w:tc>
      </w:tr>
      <w:tr w:rsidR="007E45B6" w:rsidRPr="004C3E51" w14:paraId="3FE4B2F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D96AE7" w14:textId="77777777" w:rsidR="007E45B6" w:rsidRPr="004C3E51" w:rsidRDefault="007E45B6" w:rsidP="003F355B">
            <w:pPr>
              <w:spacing w:line="360" w:lineRule="auto"/>
              <w:jc w:val="both"/>
            </w:pPr>
            <w:r w:rsidRPr="004C3E51">
              <w:t>Annual Income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E710B0" w14:textId="77777777" w:rsidR="007E45B6" w:rsidRPr="004C3E51" w:rsidRDefault="007E45B6" w:rsidP="003F355B">
            <w:pPr>
              <w:spacing w:line="360" w:lineRule="auto"/>
              <w:jc w:val="both"/>
            </w:pPr>
            <w:r w:rsidRPr="004C3E51">
              <w:t>48,641 (43,938)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77F193" w14:textId="77777777" w:rsidR="007E45B6" w:rsidRPr="004C3E51" w:rsidRDefault="007E45B6" w:rsidP="003F355B">
            <w:pPr>
              <w:spacing w:line="360" w:lineRule="auto"/>
              <w:jc w:val="both"/>
            </w:pPr>
            <w:r w:rsidRPr="004C3E51">
              <w:t>56,767 (16,702)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7B72BD" w14:textId="77777777" w:rsidR="007E45B6" w:rsidRPr="004C3E51" w:rsidRDefault="007E45B6" w:rsidP="003F355B">
            <w:pPr>
              <w:spacing w:line="360" w:lineRule="auto"/>
              <w:jc w:val="both"/>
            </w:pPr>
            <w:r w:rsidRPr="004C3E51">
              <w:t>97,792 (55,309)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ED8A6F" w14:textId="77777777" w:rsidR="007E45B6" w:rsidRPr="004C3E51" w:rsidRDefault="007E45B6" w:rsidP="003F355B">
            <w:pPr>
              <w:spacing w:line="360" w:lineRule="auto"/>
              <w:jc w:val="both"/>
            </w:pPr>
            <w:r w:rsidRPr="004C3E51">
              <w:t>84,631 (96,129)</w:t>
            </w:r>
          </w:p>
        </w:tc>
      </w:tr>
      <w:tr w:rsidR="007E45B6" w:rsidRPr="004C3E51" w14:paraId="3E69883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3B39F0D" w14:textId="77777777" w:rsidR="007E45B6" w:rsidRPr="004C3E51" w:rsidRDefault="007E45B6" w:rsidP="003F355B">
            <w:pPr>
              <w:spacing w:line="360" w:lineRule="auto"/>
              <w:jc w:val="both"/>
            </w:pPr>
            <w:r w:rsidRPr="004C3E51">
              <w:t>Net Wealth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E99B53" w14:textId="77777777" w:rsidR="007E45B6" w:rsidRPr="004C3E51" w:rsidRDefault="007E45B6" w:rsidP="003F355B">
            <w:pPr>
              <w:spacing w:line="360" w:lineRule="auto"/>
              <w:jc w:val="both"/>
            </w:pPr>
            <w:r w:rsidRPr="004C3E51">
              <w:t>65,789 (121,637)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8F8A4AF" w14:textId="77777777" w:rsidR="007E45B6" w:rsidRPr="004C3E51" w:rsidRDefault="007E45B6" w:rsidP="003F355B">
            <w:pPr>
              <w:spacing w:line="360" w:lineRule="auto"/>
              <w:jc w:val="both"/>
            </w:pPr>
            <w:r w:rsidRPr="004C3E51">
              <w:t>57,130 (129,038)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D285C5" w14:textId="77777777" w:rsidR="007E45B6" w:rsidRPr="004C3E51" w:rsidRDefault="007E45B6" w:rsidP="003F355B">
            <w:pPr>
              <w:spacing w:line="360" w:lineRule="auto"/>
              <w:jc w:val="both"/>
            </w:pPr>
            <w:r w:rsidRPr="004C3E51">
              <w:t>1,002,484 (1.82M)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62B93F" w14:textId="77777777" w:rsidR="007E45B6" w:rsidRPr="004C3E51" w:rsidRDefault="007E45B6" w:rsidP="003F355B">
            <w:pPr>
              <w:spacing w:line="360" w:lineRule="auto"/>
              <w:jc w:val="both"/>
            </w:pPr>
            <w:r w:rsidRPr="004C3E51">
              <w:t>40,860 (1.62M)</w:t>
            </w:r>
          </w:p>
        </w:tc>
      </w:tr>
    </w:tbl>
    <w:p w14:paraId="719AA5A0" w14:textId="7CD3C35B" w:rsidR="007E45B6" w:rsidRPr="004C3E51" w:rsidRDefault="007E45B6" w:rsidP="007E45B6">
      <w:pPr>
        <w:spacing w:line="360" w:lineRule="auto"/>
        <w:jc w:val="both"/>
      </w:pPr>
      <w:r w:rsidRPr="004C3E51">
        <w:rPr>
          <w:b/>
          <w:bCs/>
        </w:rPr>
        <w:t xml:space="preserve">Table </w:t>
      </w:r>
      <w:r w:rsidR="000544CA">
        <w:rPr>
          <w:b/>
          <w:bCs/>
        </w:rPr>
        <w:t>4</w:t>
      </w:r>
      <w:r w:rsidRPr="004C3E51">
        <w:rPr>
          <w:b/>
          <w:bCs/>
        </w:rPr>
        <w:t>: Enhanced Metrics for Current Study</w:t>
      </w:r>
    </w:p>
    <w:tbl>
      <w:tblPr>
        <w:tblW w:w="0" w:type="auto"/>
        <w:tblCellMar>
          <w:top w:w="15" w:type="dxa"/>
          <w:left w:w="15" w:type="dxa"/>
          <w:bottom w:w="15" w:type="dxa"/>
          <w:right w:w="15" w:type="dxa"/>
        </w:tblCellMar>
        <w:tblLook w:val="04A0" w:firstRow="1" w:lastRow="0" w:firstColumn="1" w:lastColumn="0" w:noHBand="0" w:noVBand="1"/>
      </w:tblPr>
      <w:tblGrid>
        <w:gridCol w:w="1829"/>
        <w:gridCol w:w="3618"/>
        <w:gridCol w:w="1698"/>
        <w:gridCol w:w="2215"/>
      </w:tblGrid>
      <w:tr w:rsidR="007E45B6" w:rsidRPr="004C3E51" w14:paraId="6A50D302"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4D0E58F" w14:textId="77777777" w:rsidR="007E45B6" w:rsidRPr="004C3E51" w:rsidRDefault="007E45B6" w:rsidP="003F355B">
            <w:pPr>
              <w:spacing w:line="360" w:lineRule="auto"/>
              <w:jc w:val="both"/>
              <w:rPr>
                <w:b/>
                <w:bCs/>
              </w:rPr>
            </w:pPr>
            <w:r w:rsidRPr="004C3E51">
              <w:rPr>
                <w:b/>
                <w:bCs/>
              </w:rPr>
              <w:lastRenderedPageBreak/>
              <w:t>Metric Category</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D03714B" w14:textId="77777777" w:rsidR="007E45B6" w:rsidRPr="004C3E51" w:rsidRDefault="007E45B6" w:rsidP="003F355B">
            <w:pPr>
              <w:spacing w:line="360" w:lineRule="auto"/>
              <w:jc w:val="both"/>
              <w:rPr>
                <w:b/>
                <w:bCs/>
              </w:rPr>
            </w:pPr>
            <w:r w:rsidRPr="004C3E51">
              <w:rPr>
                <w:b/>
                <w:bCs/>
              </w:rPr>
              <w:t>Operationalization</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1E3BFD" w14:textId="77777777" w:rsidR="007E45B6" w:rsidRPr="004C3E51" w:rsidRDefault="007E45B6" w:rsidP="003F355B">
            <w:pPr>
              <w:spacing w:line="360" w:lineRule="auto"/>
              <w:jc w:val="both"/>
              <w:rPr>
                <w:b/>
                <w:bCs/>
              </w:rPr>
            </w:pPr>
            <w:r w:rsidRPr="004C3E51">
              <w:rPr>
                <w:b/>
                <w:bCs/>
              </w:rPr>
              <w:t>Data Source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AF0288E" w14:textId="77777777" w:rsidR="007E45B6" w:rsidRPr="004C3E51" w:rsidRDefault="007E45B6" w:rsidP="003F355B">
            <w:pPr>
              <w:spacing w:line="360" w:lineRule="auto"/>
              <w:jc w:val="both"/>
              <w:rPr>
                <w:b/>
                <w:bCs/>
              </w:rPr>
            </w:pPr>
            <w:r w:rsidRPr="004C3E51">
              <w:rPr>
                <w:b/>
                <w:bCs/>
              </w:rPr>
              <w:t>Expected Association</w:t>
            </w:r>
          </w:p>
        </w:tc>
      </w:tr>
      <w:tr w:rsidR="007E45B6" w:rsidRPr="004C3E51" w14:paraId="5E82769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9BBE4A5"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3F5D83" w14:textId="77777777" w:rsidR="007E45B6" w:rsidRPr="004C3E51" w:rsidRDefault="007E45B6" w:rsidP="003F355B">
            <w:pPr>
              <w:spacing w:line="360" w:lineRule="auto"/>
              <w:jc w:val="both"/>
            </w:pPr>
            <w:r w:rsidRPr="004C3E51">
              <w:t>Number of platform-determined credit offers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F3670C" w14:textId="77777777" w:rsidR="007E45B6" w:rsidRPr="004C3E51" w:rsidRDefault="007E45B6" w:rsidP="003F355B">
            <w:pPr>
              <w:spacing w:line="360" w:lineRule="auto"/>
              <w:jc w:val="both"/>
            </w:pPr>
            <w:r w:rsidRPr="004C3E51">
              <w:t>Platform APIs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505F5" w14:textId="77777777" w:rsidR="007E45B6" w:rsidRPr="004C3E51" w:rsidRDefault="007E45B6" w:rsidP="003F355B">
            <w:pPr>
              <w:spacing w:line="360" w:lineRule="auto"/>
              <w:jc w:val="both"/>
            </w:pPr>
            <w:r w:rsidRPr="004C3E51">
              <w:t>H1: Credit Access</w:t>
            </w:r>
          </w:p>
        </w:tc>
      </w:tr>
      <w:tr w:rsidR="007E45B6" w:rsidRPr="004C3E51" w14:paraId="4B618F0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E0CA951"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C86B2E" w14:textId="77777777" w:rsidR="007E45B6" w:rsidRPr="004C3E51" w:rsidRDefault="007E45B6" w:rsidP="003F355B">
            <w:pPr>
              <w:spacing w:line="360" w:lineRule="auto"/>
              <w:jc w:val="both"/>
            </w:pPr>
            <w:r w:rsidRPr="004C3E51">
              <w:t>Count of manipulative design features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4ACFC" w14:textId="77777777" w:rsidR="007E45B6" w:rsidRPr="004C3E51" w:rsidRDefault="007E45B6" w:rsidP="003F355B">
            <w:pPr>
              <w:spacing w:line="360" w:lineRule="auto"/>
              <w:jc w:val="both"/>
            </w:pPr>
            <w:r w:rsidRPr="004C3E51">
              <w:t>UI Audit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2D2141" w14:textId="77777777" w:rsidR="007E45B6" w:rsidRPr="004C3E51" w:rsidRDefault="007E45B6" w:rsidP="003F355B">
            <w:pPr>
              <w:spacing w:line="360" w:lineRule="auto"/>
              <w:jc w:val="both"/>
            </w:pPr>
            <w:r w:rsidRPr="004C3E51">
              <w:t>H3: Financial Distress</w:t>
            </w:r>
          </w:p>
        </w:tc>
      </w:tr>
      <w:tr w:rsidR="007E45B6" w:rsidRPr="004C3E51" w14:paraId="3C132D0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BA011F" w14:textId="77777777" w:rsidR="007E45B6" w:rsidRPr="004C3E51" w:rsidRDefault="007E45B6" w:rsidP="003F355B">
            <w:pPr>
              <w:spacing w:line="360" w:lineRule="auto"/>
              <w:jc w:val="both"/>
            </w:pPr>
            <w:r w:rsidRPr="004C3E51">
              <w:t>BNPL Concurrent Use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C9F7D4" w14:textId="77777777" w:rsidR="007E45B6" w:rsidRPr="004C3E51" w:rsidRDefault="007E45B6" w:rsidP="003F355B">
            <w:pPr>
              <w:spacing w:line="360" w:lineRule="auto"/>
              <w:jc w:val="both"/>
            </w:pPr>
            <w:r w:rsidRPr="004C3E51">
              <w:t>Number of active BNPL loans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353357" w14:textId="77777777" w:rsidR="007E45B6" w:rsidRPr="004C3E51" w:rsidRDefault="007E45B6" w:rsidP="003F355B">
            <w:pPr>
              <w:spacing w:line="360" w:lineRule="auto"/>
              <w:jc w:val="both"/>
            </w:pPr>
            <w:r w:rsidRPr="004C3E51">
              <w:t>Credit Bureau</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FF7AB4" w14:textId="77777777" w:rsidR="007E45B6" w:rsidRPr="004C3E51" w:rsidRDefault="007E45B6" w:rsidP="003F355B">
            <w:pPr>
              <w:spacing w:line="360" w:lineRule="auto"/>
              <w:jc w:val="both"/>
            </w:pPr>
            <w:r w:rsidRPr="004C3E51">
              <w:t>H2: Consumption</w:t>
            </w:r>
          </w:p>
        </w:tc>
      </w:tr>
      <w:tr w:rsidR="007E45B6" w:rsidRPr="004C3E51" w14:paraId="3D11EEE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6B30CA8" w14:textId="77777777" w:rsidR="007E45B6" w:rsidRPr="004C3E51" w:rsidRDefault="007E45B6" w:rsidP="003F355B">
            <w:pPr>
              <w:spacing w:line="360" w:lineRule="auto"/>
              <w:jc w:val="both"/>
            </w:pPr>
            <w:r w:rsidRPr="004C3E51">
              <w:t>Digital Literacy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DF95BD3" w14:textId="77777777" w:rsidR="007E45B6" w:rsidRPr="004C3E51" w:rsidRDefault="007E45B6" w:rsidP="003F355B">
            <w:pPr>
              <w:spacing w:line="360" w:lineRule="auto"/>
              <w:jc w:val="both"/>
            </w:pPr>
            <w:r w:rsidRPr="004C3E51">
              <w:t>Financial quiz score (0-100)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244A2D7" w14:textId="77777777" w:rsidR="007E45B6" w:rsidRPr="004C3E51" w:rsidRDefault="007E45B6" w:rsidP="003F355B">
            <w:pPr>
              <w:spacing w:line="360" w:lineRule="auto"/>
              <w:jc w:val="both"/>
            </w:pPr>
            <w:r w:rsidRPr="004C3E51">
              <w:t>CHFS Addendum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27EF3D" w14:textId="77777777" w:rsidR="007E45B6" w:rsidRPr="004C3E51" w:rsidRDefault="007E45B6" w:rsidP="003F355B">
            <w:pPr>
              <w:spacing w:line="360" w:lineRule="auto"/>
              <w:jc w:val="both"/>
            </w:pPr>
            <w:r w:rsidRPr="004C3E51">
              <w:t>H3: Distress Moderation</w:t>
            </w:r>
          </w:p>
        </w:tc>
      </w:tr>
    </w:tbl>
    <w:p w14:paraId="7406AB11" w14:textId="401F97D8" w:rsidR="007E45B6" w:rsidRPr="004C3E51" w:rsidRDefault="007E45B6" w:rsidP="007E45B6">
      <w:pPr>
        <w:spacing w:line="360" w:lineRule="auto"/>
        <w:jc w:val="both"/>
      </w:pPr>
      <w:r w:rsidRPr="004C3E51">
        <w:rPr>
          <w:b/>
          <w:bCs/>
        </w:rPr>
        <w:t xml:space="preserve">Table </w:t>
      </w:r>
      <w:r w:rsidR="000544CA">
        <w:rPr>
          <w:b/>
          <w:bCs/>
        </w:rPr>
        <w:t>5</w:t>
      </w:r>
      <w:r w:rsidRPr="004C3E51">
        <w:rPr>
          <w:b/>
          <w:bCs/>
        </w:rPr>
        <w:t>: Variable Alignment with Hypotheses</w:t>
      </w:r>
    </w:p>
    <w:tbl>
      <w:tblPr>
        <w:tblW w:w="0" w:type="auto"/>
        <w:tblCellMar>
          <w:top w:w="15" w:type="dxa"/>
          <w:left w:w="15" w:type="dxa"/>
          <w:bottom w:w="15" w:type="dxa"/>
          <w:right w:w="15" w:type="dxa"/>
        </w:tblCellMar>
        <w:tblLook w:val="04A0" w:firstRow="1" w:lastRow="0" w:firstColumn="1" w:lastColumn="0" w:noHBand="0" w:noVBand="1"/>
      </w:tblPr>
      <w:tblGrid>
        <w:gridCol w:w="1257"/>
        <w:gridCol w:w="2955"/>
        <w:gridCol w:w="2785"/>
        <w:gridCol w:w="2363"/>
      </w:tblGrid>
      <w:tr w:rsidR="007E45B6" w:rsidRPr="004C3E51" w14:paraId="06B7EEE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3EDDB040" w14:textId="77777777" w:rsidR="007E45B6" w:rsidRPr="004C3E51" w:rsidRDefault="007E45B6" w:rsidP="003F355B">
            <w:pPr>
              <w:spacing w:line="360" w:lineRule="auto"/>
              <w:jc w:val="both"/>
              <w:rPr>
                <w:b/>
                <w:bCs/>
              </w:rPr>
            </w:pPr>
            <w:r w:rsidRPr="004C3E51">
              <w:rPr>
                <w:b/>
                <w:bCs/>
              </w:rPr>
              <w:t>Hypothesis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9BF5181" w14:textId="77777777" w:rsidR="007E45B6" w:rsidRPr="004C3E51" w:rsidRDefault="007E45B6" w:rsidP="003F355B">
            <w:pPr>
              <w:spacing w:line="360" w:lineRule="auto"/>
              <w:jc w:val="both"/>
              <w:rPr>
                <w:b/>
                <w:bCs/>
              </w:rPr>
            </w:pPr>
            <w:r w:rsidRPr="004C3E51">
              <w:rPr>
                <w:b/>
                <w:bCs/>
              </w:rPr>
              <w:t>Key Independent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BA69BEE" w14:textId="77777777" w:rsidR="007E45B6" w:rsidRPr="004C3E51" w:rsidRDefault="007E45B6" w:rsidP="003F355B">
            <w:pPr>
              <w:spacing w:line="360" w:lineRule="auto"/>
              <w:jc w:val="both"/>
              <w:rPr>
                <w:b/>
                <w:bCs/>
              </w:rPr>
            </w:pPr>
            <w:r w:rsidRPr="004C3E51">
              <w:rPr>
                <w:b/>
                <w:bCs/>
              </w:rPr>
              <w:t>Key 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1B8B9AC" w14:textId="77777777" w:rsidR="007E45B6" w:rsidRPr="004C3E51" w:rsidRDefault="007E45B6" w:rsidP="003F355B">
            <w:pPr>
              <w:spacing w:line="360" w:lineRule="auto"/>
              <w:jc w:val="both"/>
              <w:rPr>
                <w:b/>
                <w:bCs/>
              </w:rPr>
            </w:pPr>
            <w:r w:rsidRPr="004C3E51">
              <w:rPr>
                <w:b/>
                <w:bCs/>
              </w:rPr>
              <w:t>Control Variables</w:t>
            </w:r>
          </w:p>
        </w:tc>
      </w:tr>
      <w:tr w:rsidR="007E45B6" w:rsidRPr="004C3E51" w14:paraId="17D6945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953D6B9" w14:textId="77777777" w:rsidR="007E45B6" w:rsidRPr="004C3E51" w:rsidRDefault="007E45B6" w:rsidP="003F355B">
            <w:pPr>
              <w:spacing w:line="360" w:lineRule="auto"/>
              <w:jc w:val="both"/>
            </w:pPr>
            <w:r w:rsidRPr="004C3E51">
              <w:t>H1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615EC3" w14:textId="77777777" w:rsidR="007E45B6" w:rsidRPr="004C3E51" w:rsidRDefault="007E45B6" w:rsidP="003F355B">
            <w:pPr>
              <w:spacing w:line="360" w:lineRule="auto"/>
              <w:jc w:val="both"/>
            </w:pPr>
            <w:r w:rsidRPr="004C3E51">
              <w:t>DFII 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7D135E" w14:textId="77777777" w:rsidR="007E45B6" w:rsidRPr="004C3E51" w:rsidRDefault="007E45B6" w:rsidP="003F355B">
            <w:pPr>
              <w:spacing w:line="360" w:lineRule="auto"/>
              <w:jc w:val="both"/>
            </w:pPr>
            <w:r w:rsidRPr="004C3E51">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35CBD4B" w14:textId="77777777" w:rsidR="007E45B6" w:rsidRPr="004C3E51" w:rsidRDefault="007E45B6" w:rsidP="003F355B">
            <w:pPr>
              <w:spacing w:line="360" w:lineRule="auto"/>
              <w:jc w:val="both"/>
            </w:pPr>
            <w:r w:rsidRPr="004C3E51">
              <w:t>Rural, Age, Education</w:t>
            </w:r>
          </w:p>
        </w:tc>
      </w:tr>
      <w:tr w:rsidR="007E45B6" w:rsidRPr="004C3E51" w14:paraId="1FE7500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E05293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0A0C00"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77B359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C4AB29" w14:textId="77777777" w:rsidR="007E45B6" w:rsidRPr="004C3E51" w:rsidRDefault="007E45B6" w:rsidP="003F355B">
            <w:pPr>
              <w:spacing w:line="360" w:lineRule="auto"/>
              <w:jc w:val="both"/>
            </w:pPr>
            <w:r w:rsidRPr="004C3E51">
              <w:t>Income, Wealth</w:t>
            </w:r>
          </w:p>
        </w:tc>
      </w:tr>
      <w:tr w:rsidR="007E45B6" w:rsidRPr="004C3E51" w14:paraId="633B9902"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7F55058" w14:textId="77777777" w:rsidR="007E45B6" w:rsidRPr="004C3E51" w:rsidRDefault="007E45B6" w:rsidP="003F355B">
            <w:pPr>
              <w:spacing w:line="360" w:lineRule="auto"/>
              <w:jc w:val="both"/>
            </w:pPr>
            <w:r w:rsidRPr="004C3E51">
              <w:t>H2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17FDDB" w14:textId="77777777" w:rsidR="007E45B6" w:rsidRPr="004C3E51" w:rsidRDefault="007E45B6" w:rsidP="003F355B">
            <w:pPr>
              <w:spacing w:line="360" w:lineRule="auto"/>
              <w:jc w:val="both"/>
            </w:pPr>
            <w:r w:rsidRPr="004C3E51">
              <w:t>BNPL Adoption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72BC1C" w14:textId="77777777" w:rsidR="007E45B6" w:rsidRPr="004C3E51" w:rsidRDefault="007E45B6" w:rsidP="003F355B">
            <w:pPr>
              <w:spacing w:line="360" w:lineRule="auto"/>
              <w:jc w:val="both"/>
            </w:pPr>
            <w:r w:rsidRPr="004C3E51">
              <w:t>Consumption Change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4A75A2F" w14:textId="77777777" w:rsidR="007E45B6" w:rsidRPr="004C3E51" w:rsidRDefault="007E45B6" w:rsidP="003F355B">
            <w:pPr>
              <w:spacing w:line="360" w:lineRule="auto"/>
              <w:jc w:val="both"/>
            </w:pPr>
            <w:r w:rsidRPr="004C3E51">
              <w:t>Income Quartile</w:t>
            </w:r>
          </w:p>
        </w:tc>
      </w:tr>
      <w:tr w:rsidR="007E45B6" w:rsidRPr="004C3E51" w14:paraId="68BDBC2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069DD1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526189" w14:textId="77777777" w:rsidR="007E45B6" w:rsidRPr="004C3E51" w:rsidRDefault="007E45B6" w:rsidP="003F355B">
            <w:pPr>
              <w:spacing w:line="360" w:lineRule="auto"/>
              <w:jc w:val="both"/>
            </w:pPr>
            <w:r w:rsidRPr="004C3E51">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74C3DA" w14:textId="77777777" w:rsidR="007E45B6" w:rsidRPr="004C3E51" w:rsidRDefault="007E45B6" w:rsidP="003F355B">
            <w:pPr>
              <w:spacing w:line="360" w:lineRule="auto"/>
              <w:jc w:val="both"/>
            </w:pPr>
            <w:r w:rsidRPr="004C3E51">
              <w:t>MPC</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8A4675" w14:textId="77777777" w:rsidR="007E45B6" w:rsidRPr="004C3E51" w:rsidRDefault="007E45B6" w:rsidP="003F355B">
            <w:pPr>
              <w:spacing w:line="360" w:lineRule="auto"/>
              <w:jc w:val="both"/>
            </w:pPr>
            <w:r w:rsidRPr="004C3E51">
              <w:t>Household Size</w:t>
            </w:r>
          </w:p>
        </w:tc>
      </w:tr>
      <w:tr w:rsidR="007E45B6" w:rsidRPr="004C3E51" w14:paraId="1A75088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1E9546E" w14:textId="77777777" w:rsidR="007E45B6" w:rsidRPr="004C3E51" w:rsidRDefault="007E45B6" w:rsidP="003F355B">
            <w:pPr>
              <w:spacing w:line="360" w:lineRule="auto"/>
              <w:jc w:val="both"/>
            </w:pPr>
            <w:r w:rsidRPr="004C3E51">
              <w:t>H3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F58D560"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EC6C7" w14:textId="77777777" w:rsidR="007E45B6" w:rsidRPr="004C3E51" w:rsidRDefault="007E45B6" w:rsidP="003F355B">
            <w:pPr>
              <w:spacing w:line="360" w:lineRule="auto"/>
              <w:jc w:val="both"/>
            </w:pPr>
            <w:r w:rsidRPr="004C3E51">
              <w:t>Debt Trap Incidence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21C805C" w14:textId="77777777" w:rsidR="007E45B6" w:rsidRPr="004C3E51" w:rsidRDefault="007E45B6" w:rsidP="003F355B">
            <w:pPr>
              <w:spacing w:line="360" w:lineRule="auto"/>
              <w:jc w:val="both"/>
            </w:pPr>
            <w:r w:rsidRPr="004C3E51">
              <w:t>Digital Literacy</w:t>
            </w:r>
          </w:p>
        </w:tc>
      </w:tr>
      <w:tr w:rsidR="007E45B6" w:rsidRPr="004C3E51" w14:paraId="5A2B6E7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D4613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A11F83"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42E3D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2AB340" w14:textId="77777777" w:rsidR="007E45B6" w:rsidRPr="004C3E51" w:rsidRDefault="007E45B6" w:rsidP="003F355B">
            <w:pPr>
              <w:spacing w:line="360" w:lineRule="auto"/>
              <w:jc w:val="both"/>
            </w:pPr>
            <w:r w:rsidRPr="004C3E51">
              <w:t>Employment Status</w:t>
            </w:r>
          </w:p>
        </w:tc>
      </w:tr>
    </w:tbl>
    <w:p w14:paraId="4F3AEC95" w14:textId="77777777" w:rsidR="007E45B6" w:rsidRPr="0026343D" w:rsidRDefault="007E45B6" w:rsidP="007E45B6">
      <w:pPr>
        <w:spacing w:line="360" w:lineRule="auto"/>
        <w:jc w:val="both"/>
        <w:rPr>
          <w:b/>
          <w:bCs/>
        </w:rPr>
      </w:pPr>
      <w:r w:rsidRPr="0026343D">
        <w:rPr>
          <w:b/>
          <w:bCs/>
        </w:rPr>
        <w:t>Empirical Strategy</w:t>
      </w:r>
    </w:p>
    <w:p w14:paraId="2292DFEE" w14:textId="4C42E48C" w:rsidR="007E45B6" w:rsidRPr="0026343D" w:rsidRDefault="007E45B6" w:rsidP="007E45B6">
      <w:pPr>
        <w:spacing w:line="360" w:lineRule="auto"/>
        <w:jc w:val="both"/>
      </w:pPr>
      <w:r w:rsidRPr="0026343D">
        <w:t xml:space="preserve">The empirical analysis proceeds in several stages. We begin with descriptive statistics and cross-tabulations to explore demographic and spatial patterns in digital credit usage and financial distress. To estimate the causal impact of digital credit exposure on financial outcomes, we employ household fixed effects regression models. These models control for time-invariant household characteristics and year-specific shocks, allowing us to isolate the effect of digital credit and platform design on outcomes such as financial distress and consumption </w:t>
      </w:r>
      <w:proofErr w:type="spellStart"/>
      <w:r w:rsidR="00AB2094" w:rsidRPr="00144D73">
        <w:rPr>
          <w:highlight w:val="yellow"/>
        </w:rPr>
        <w:t>behaviour</w:t>
      </w:r>
      <w:proofErr w:type="spellEnd"/>
      <w:r w:rsidRPr="0026343D">
        <w:t>. The general model specification is as follows:</w:t>
      </w:r>
    </w:p>
    <w:p w14:paraId="77A57218" w14:textId="77777777" w:rsidR="007E45B6" w:rsidRPr="0026343D" w:rsidRDefault="007E45B6" w:rsidP="007E45B6">
      <w:pPr>
        <w:spacing w:line="360" w:lineRule="auto"/>
        <w:jc w:val="both"/>
      </w:pPr>
      <w:r w:rsidRPr="0026343D">
        <w:t>Yit=β1DigitalCreditit+β2DarkPatternsit+β3Xit+γi+δt+ϵit</w:t>
      </w:r>
      <w:r w:rsidRPr="0026343D">
        <w:rPr>
          <w:i/>
          <w:iCs/>
        </w:rPr>
        <w:t>Yit</w:t>
      </w:r>
      <w:r w:rsidRPr="0026343D">
        <w:t>​=</w:t>
      </w:r>
      <w:r w:rsidRPr="0026343D">
        <w:rPr>
          <w:i/>
          <w:iCs/>
        </w:rPr>
        <w:t>β</w:t>
      </w:r>
      <w:r w:rsidRPr="0026343D">
        <w:t>1​DigitalCredit</w:t>
      </w:r>
      <w:r w:rsidRPr="0026343D">
        <w:rPr>
          <w:i/>
          <w:iCs/>
        </w:rPr>
        <w:t>it</w:t>
      </w:r>
      <w:r w:rsidRPr="0026343D">
        <w:t>​+</w:t>
      </w:r>
      <w:r w:rsidRPr="0026343D">
        <w:rPr>
          <w:i/>
          <w:iCs/>
        </w:rPr>
        <w:t>β</w:t>
      </w:r>
      <w:r w:rsidRPr="0026343D">
        <w:t>2​DarkPatterns</w:t>
      </w:r>
      <w:r w:rsidRPr="0026343D">
        <w:rPr>
          <w:i/>
          <w:iCs/>
        </w:rPr>
        <w:t>it</w:t>
      </w:r>
      <w:r w:rsidRPr="0026343D">
        <w:t>​+</w:t>
      </w:r>
      <w:r w:rsidRPr="0026343D">
        <w:rPr>
          <w:i/>
          <w:iCs/>
        </w:rPr>
        <w:t>β</w:t>
      </w:r>
      <w:r w:rsidRPr="0026343D">
        <w:t>3​</w:t>
      </w:r>
      <w:r w:rsidRPr="0026343D">
        <w:rPr>
          <w:i/>
          <w:iCs/>
        </w:rPr>
        <w:t>Xit</w:t>
      </w:r>
      <w:r w:rsidRPr="0026343D">
        <w:t>​+</w:t>
      </w:r>
      <w:r w:rsidRPr="0026343D">
        <w:rPr>
          <w:i/>
          <w:iCs/>
        </w:rPr>
        <w:t>γi</w:t>
      </w:r>
      <w:r w:rsidRPr="0026343D">
        <w:t>​+</w:t>
      </w:r>
      <w:r w:rsidRPr="0026343D">
        <w:rPr>
          <w:i/>
          <w:iCs/>
        </w:rPr>
        <w:t>δt</w:t>
      </w:r>
      <w:r w:rsidRPr="0026343D">
        <w:t>​+</w:t>
      </w:r>
      <w:r w:rsidRPr="0026343D">
        <w:rPr>
          <w:i/>
          <w:iCs/>
        </w:rPr>
        <w:t>ϵit</w:t>
      </w:r>
      <w:r w:rsidRPr="0026343D">
        <w:t>​</w:t>
      </w:r>
    </w:p>
    <w:p w14:paraId="2116EB3F" w14:textId="77777777" w:rsidR="007E45B6" w:rsidRPr="0026343D" w:rsidRDefault="007E45B6" w:rsidP="007E45B6">
      <w:pPr>
        <w:spacing w:line="360" w:lineRule="auto"/>
        <w:jc w:val="both"/>
      </w:pPr>
      <w:r w:rsidRPr="0026343D">
        <w:t>In this equation, </w:t>
      </w:r>
      <w:proofErr w:type="spellStart"/>
      <w:r w:rsidRPr="0026343D">
        <w:t>Yit</w:t>
      </w:r>
      <w:r w:rsidRPr="0026343D">
        <w:rPr>
          <w:i/>
          <w:iCs/>
        </w:rPr>
        <w:t>Yit</w:t>
      </w:r>
      <w:proofErr w:type="spellEnd"/>
      <w:r w:rsidRPr="0026343D">
        <w:t>​ represents the outcome variable for household i</w:t>
      </w:r>
      <w:r w:rsidRPr="0026343D">
        <w:rPr>
          <w:i/>
          <w:iCs/>
        </w:rPr>
        <w:t>i</w:t>
      </w:r>
      <w:r w:rsidRPr="0026343D">
        <w:t> at time </w:t>
      </w:r>
      <w:proofErr w:type="spellStart"/>
      <w:r w:rsidRPr="0026343D">
        <w:t>t</w:t>
      </w:r>
      <w:r w:rsidRPr="0026343D">
        <w:rPr>
          <w:i/>
          <w:iCs/>
        </w:rPr>
        <w:t>t</w:t>
      </w:r>
      <w:proofErr w:type="spellEnd"/>
      <w:r w:rsidRPr="0026343D">
        <w:t>, such as financial distress or consumption level. The term </w:t>
      </w:r>
      <w:proofErr w:type="spellStart"/>
      <w:r w:rsidRPr="0026343D">
        <w:t>DigitalCredititDigitalCredit</w:t>
      </w:r>
      <w:r w:rsidRPr="0026343D">
        <w:rPr>
          <w:i/>
          <w:iCs/>
        </w:rPr>
        <w:t>it</w:t>
      </w:r>
      <w:proofErr w:type="spellEnd"/>
      <w:r w:rsidRPr="0026343D">
        <w:t>​ captures the intensity of digital credit usage, while </w:t>
      </w:r>
      <w:proofErr w:type="spellStart"/>
      <w:r w:rsidRPr="0026343D">
        <w:t>DarkPatternsitDarkPatterns</w:t>
      </w:r>
      <w:r w:rsidRPr="0026343D">
        <w:rPr>
          <w:i/>
          <w:iCs/>
        </w:rPr>
        <w:t>it</w:t>
      </w:r>
      <w:proofErr w:type="spellEnd"/>
      <w:r w:rsidRPr="0026343D">
        <w:t>​ measures exposure to manipulative platform design features. The vector </w:t>
      </w:r>
      <w:proofErr w:type="spellStart"/>
      <w:r w:rsidRPr="0026343D">
        <w:t>Xit</w:t>
      </w:r>
      <w:r w:rsidRPr="0026343D">
        <w:rPr>
          <w:i/>
          <w:iCs/>
        </w:rPr>
        <w:t>Xit</w:t>
      </w:r>
      <w:proofErr w:type="spellEnd"/>
      <w:r w:rsidRPr="0026343D">
        <w:t>​ includes household-level controls such as income, education, and employment status. Household fixed effects </w:t>
      </w:r>
      <w:proofErr w:type="spellStart"/>
      <w:r w:rsidRPr="0026343D">
        <w:t>γi</w:t>
      </w:r>
      <w:r w:rsidRPr="0026343D">
        <w:rPr>
          <w:i/>
          <w:iCs/>
        </w:rPr>
        <w:t>γi</w:t>
      </w:r>
      <w:proofErr w:type="spellEnd"/>
      <w:r w:rsidRPr="0026343D">
        <w:t>​ account for unobserved heterogeneity, and year fixed effects </w:t>
      </w:r>
      <w:proofErr w:type="spellStart"/>
      <w:r w:rsidRPr="0026343D">
        <w:t>δt</w:t>
      </w:r>
      <w:r w:rsidRPr="0026343D">
        <w:rPr>
          <w:i/>
          <w:iCs/>
        </w:rPr>
        <w:t>δt</w:t>
      </w:r>
      <w:proofErr w:type="spellEnd"/>
      <w:r w:rsidRPr="0026343D">
        <w:t>​ control for macroeconomic shocks. The error term ϵ</w:t>
      </w:r>
      <w:proofErr w:type="spellStart"/>
      <w:r w:rsidRPr="0026343D">
        <w:t>it</w:t>
      </w:r>
      <w:r w:rsidRPr="0026343D">
        <w:rPr>
          <w:i/>
          <w:iCs/>
        </w:rPr>
        <w:t>ϵit</w:t>
      </w:r>
      <w:proofErr w:type="spellEnd"/>
      <w:r w:rsidRPr="0026343D">
        <w:t>​ captures idiosyncratic variation.</w:t>
      </w:r>
    </w:p>
    <w:p w14:paraId="074B925A" w14:textId="77777777" w:rsidR="007E45B6" w:rsidRPr="0026343D" w:rsidRDefault="007E45B6" w:rsidP="007E45B6">
      <w:pPr>
        <w:spacing w:line="360" w:lineRule="auto"/>
        <w:jc w:val="both"/>
      </w:pPr>
      <w:r w:rsidRPr="0026343D">
        <w:t>To address potential endogeneity—particularly the concern that financially distressed households may self-select into digital credit—we implement an instrumental variables (IV) approach. Our instruments include lagged values of regional DFII scores and mobile payment infrastructure density, which are strongly correlated with digital credit availability but plausibly exogenous to individual household financial outcomes. This strategy follows recent empirical work by Tao et al. (2023) and Wang and Fu (2021), who use similar instruments to identify the causal effects of digital financial inclusion.</w:t>
      </w:r>
    </w:p>
    <w:p w14:paraId="793A3E97" w14:textId="77777777" w:rsidR="007E45B6" w:rsidRPr="0026343D" w:rsidRDefault="007E45B6" w:rsidP="007E45B6">
      <w:pPr>
        <w:spacing w:line="360" w:lineRule="auto"/>
        <w:jc w:val="both"/>
        <w:rPr>
          <w:b/>
          <w:bCs/>
        </w:rPr>
      </w:pPr>
      <w:r w:rsidRPr="0026343D">
        <w:rPr>
          <w:b/>
          <w:bCs/>
        </w:rPr>
        <w:lastRenderedPageBreak/>
        <w:t>Heterogeneity and Robustness</w:t>
      </w:r>
    </w:p>
    <w:p w14:paraId="4A801407" w14:textId="77777777" w:rsidR="007E45B6" w:rsidRPr="0026343D" w:rsidRDefault="007E45B6" w:rsidP="007E45B6">
      <w:pPr>
        <w:spacing w:line="360" w:lineRule="auto"/>
        <w:jc w:val="both"/>
      </w:pPr>
      <w:r w:rsidRPr="0026343D">
        <w:t>To explore heterogeneity in treatment effects, we stratify our models by age, income, and urban-rural status. This allows us to assess whether the impacts of digital credit and platform design are more pronounced among specific subgroups, such as young adults, gig economy workers, or rural households—groups that have been shown to experience disproportionate exposure to algorithmic bias and financial risk (Hou &amp; Zhang, 2025; Xu, 2024). We also conduct a series of robustness checks to validate our findings. These include alternative definitions of financial distress (e.g., subjective vs. objective), exclusion of provinces with extreme DFII scores, and placebo tests using pre-2020 data to rule out pre-existing trends. Additionally, we test the sensitivity of our results to different specifications of the dark pattern exposure index and alternative instruments for digital credit access.</w:t>
      </w:r>
    </w:p>
    <w:p w14:paraId="771D8D47" w14:textId="77777777" w:rsidR="007E45B6" w:rsidRPr="00524FDB" w:rsidRDefault="007E45B6" w:rsidP="007E45B6">
      <w:pPr>
        <w:spacing w:line="360" w:lineRule="auto"/>
        <w:jc w:val="both"/>
        <w:rPr>
          <w:b/>
          <w:bCs/>
        </w:rPr>
      </w:pPr>
      <w:r w:rsidRPr="00524FDB">
        <w:rPr>
          <w:b/>
          <w:bCs/>
        </w:rPr>
        <w:t>Results</w:t>
      </w:r>
    </w:p>
    <w:p w14:paraId="43C1DB7F" w14:textId="77777777" w:rsidR="007E45B6" w:rsidRPr="00524FDB" w:rsidRDefault="007E45B6" w:rsidP="007E45B6">
      <w:pPr>
        <w:spacing w:line="360" w:lineRule="auto"/>
        <w:jc w:val="both"/>
        <w:rPr>
          <w:b/>
          <w:bCs/>
        </w:rPr>
      </w:pPr>
      <w:r w:rsidRPr="00524FDB">
        <w:rPr>
          <w:b/>
          <w:bCs/>
        </w:rPr>
        <w:t>Digital Credit and Financial Inclusion</w:t>
      </w:r>
    </w:p>
    <w:p w14:paraId="7F0E76F7" w14:textId="035B43AE" w:rsidR="007E45B6" w:rsidRPr="00F179C1" w:rsidRDefault="007E45B6" w:rsidP="007E45B6">
      <w:pPr>
        <w:spacing w:line="360" w:lineRule="auto"/>
        <w:jc w:val="both"/>
      </w:pPr>
      <w:r w:rsidRPr="00F179C1">
        <w:t xml:space="preserve">Our analysis begins by examining the relationship between digital finance and household access to formal credit markets. Using Equation (1) and controlling for household fixed effects, we find that increased digital financial inclusion, as measured by the DFII and its sub-indices, significantly enhances credit access. Specifically, a 1% increase in the digital finance index is associated with a 2.81% increase in the likelihood of obtaining a loan. The breadth of coverage also shows a positive and statistically significant effect, while usage depth is not statistically significant. These results are presented in Table </w:t>
      </w:r>
      <w:r w:rsidR="000544CA">
        <w:t>6</w:t>
      </w:r>
      <w:r w:rsidRPr="00F179C1">
        <w:t xml:space="preserve"> and suggest that digital finance plays a critical role in expanding credit access, particularly for households that may be underserved by traditional financial institutions (</w:t>
      </w:r>
      <w:proofErr w:type="spellStart"/>
      <w:r w:rsidRPr="00F179C1">
        <w:t>Ozili</w:t>
      </w:r>
      <w:proofErr w:type="spellEnd"/>
      <w:r w:rsidRPr="00F179C1">
        <w:t xml:space="preserve">, 2018; Thomas and Hedrick-Wong, 2019; Li, </w:t>
      </w:r>
      <w:proofErr w:type="spellStart"/>
      <w:r w:rsidRPr="00F179C1">
        <w:t>Lv</w:t>
      </w:r>
      <w:proofErr w:type="spellEnd"/>
      <w:r w:rsidRPr="00F179C1">
        <w:t xml:space="preserve"> and Han, 2023).</w:t>
      </w:r>
    </w:p>
    <w:p w14:paraId="68F6EE25" w14:textId="38E8244F" w:rsidR="007E45B6" w:rsidRPr="00F179C1" w:rsidRDefault="007E45B6" w:rsidP="007E45B6">
      <w:pPr>
        <w:spacing w:line="360" w:lineRule="auto"/>
        <w:jc w:val="both"/>
      </w:pPr>
      <w:r w:rsidRPr="00F179C1">
        <w:rPr>
          <w:b/>
          <w:bCs/>
        </w:rPr>
        <w:t xml:space="preserve">Table </w:t>
      </w:r>
      <w:r w:rsidR="000544CA">
        <w:rPr>
          <w:b/>
          <w:bCs/>
        </w:rPr>
        <w:t>6</w:t>
      </w:r>
      <w:r w:rsidRPr="00F179C1">
        <w:rPr>
          <w:b/>
          <w:bCs/>
        </w:rPr>
        <w:t>: Digital Finance and Credit Market Participation</w:t>
      </w:r>
    </w:p>
    <w:tbl>
      <w:tblPr>
        <w:tblStyle w:val="PlainTable2"/>
        <w:tblW w:w="9306" w:type="dxa"/>
        <w:tblLook w:val="04A0" w:firstRow="1" w:lastRow="0" w:firstColumn="1" w:lastColumn="0" w:noHBand="0" w:noVBand="1"/>
      </w:tblPr>
      <w:tblGrid>
        <w:gridCol w:w="4000"/>
        <w:gridCol w:w="1804"/>
        <w:gridCol w:w="1564"/>
        <w:gridCol w:w="1938"/>
      </w:tblGrid>
      <w:tr w:rsidR="007E45B6" w:rsidRPr="00C52FC2" w14:paraId="3DA9CBA0" w14:textId="77777777" w:rsidTr="003F355B">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41AEA90"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 Name</w:t>
            </w:r>
          </w:p>
        </w:tc>
        <w:tc>
          <w:tcPr>
            <w:tcW w:w="1804" w:type="dxa"/>
            <w:noWrap/>
            <w:hideMark/>
          </w:tcPr>
          <w:p w14:paraId="77A5907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Coefficient</w:t>
            </w:r>
          </w:p>
        </w:tc>
        <w:tc>
          <w:tcPr>
            <w:tcW w:w="1564" w:type="dxa"/>
            <w:noWrap/>
            <w:hideMark/>
          </w:tcPr>
          <w:p w14:paraId="25A3421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c>
          <w:tcPr>
            <w:tcW w:w="1938" w:type="dxa"/>
            <w:noWrap/>
            <w:hideMark/>
          </w:tcPr>
          <w:p w14:paraId="032BAD73"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Significance Level</w:t>
            </w:r>
          </w:p>
        </w:tc>
      </w:tr>
      <w:tr w:rsidR="007E45B6" w:rsidRPr="00C52FC2" w14:paraId="6E460638"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35F5917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w:t>
            </w:r>
          </w:p>
        </w:tc>
        <w:tc>
          <w:tcPr>
            <w:tcW w:w="1804" w:type="dxa"/>
            <w:noWrap/>
            <w:hideMark/>
          </w:tcPr>
          <w:p w14:paraId="28DA78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0.0281</w:t>
            </w:r>
          </w:p>
        </w:tc>
        <w:tc>
          <w:tcPr>
            <w:tcW w:w="1564" w:type="dxa"/>
            <w:noWrap/>
            <w:hideMark/>
          </w:tcPr>
          <w:p w14:paraId="60607E4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0.0078</w:t>
            </w:r>
          </w:p>
        </w:tc>
        <w:tc>
          <w:tcPr>
            <w:tcW w:w="1938" w:type="dxa"/>
            <w:noWrap/>
            <w:hideMark/>
          </w:tcPr>
          <w:p w14:paraId="70D9CAC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59F058A5"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0F6973F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804" w:type="dxa"/>
            <w:noWrap/>
            <w:hideMark/>
          </w:tcPr>
          <w:p w14:paraId="5B930B5F"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0.0081</w:t>
            </w:r>
          </w:p>
        </w:tc>
        <w:tc>
          <w:tcPr>
            <w:tcW w:w="1564" w:type="dxa"/>
            <w:noWrap/>
            <w:hideMark/>
          </w:tcPr>
          <w:p w14:paraId="3328154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0.0039</w:t>
            </w:r>
          </w:p>
        </w:tc>
        <w:tc>
          <w:tcPr>
            <w:tcW w:w="1938" w:type="dxa"/>
            <w:noWrap/>
            <w:hideMark/>
          </w:tcPr>
          <w:p w14:paraId="23C50F8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134DDAA6"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485A627"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usage depth)</w:t>
            </w:r>
          </w:p>
        </w:tc>
        <w:tc>
          <w:tcPr>
            <w:tcW w:w="1804" w:type="dxa"/>
            <w:noWrap/>
            <w:hideMark/>
          </w:tcPr>
          <w:p w14:paraId="46441BC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3DEB8E9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0.0037</w:t>
            </w:r>
          </w:p>
        </w:tc>
        <w:tc>
          <w:tcPr>
            <w:tcW w:w="1938" w:type="dxa"/>
            <w:noWrap/>
            <w:hideMark/>
          </w:tcPr>
          <w:p w14:paraId="10C93DA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2242D68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CC9DCA3"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investment)</w:t>
            </w:r>
          </w:p>
        </w:tc>
        <w:tc>
          <w:tcPr>
            <w:tcW w:w="1804" w:type="dxa"/>
            <w:noWrap/>
            <w:hideMark/>
          </w:tcPr>
          <w:p w14:paraId="572213E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0.0069</w:t>
            </w:r>
          </w:p>
        </w:tc>
        <w:tc>
          <w:tcPr>
            <w:tcW w:w="1564" w:type="dxa"/>
            <w:noWrap/>
            <w:hideMark/>
          </w:tcPr>
          <w:p w14:paraId="5161A78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0.0036</w:t>
            </w:r>
          </w:p>
        </w:tc>
        <w:tc>
          <w:tcPr>
            <w:tcW w:w="1938" w:type="dxa"/>
            <w:noWrap/>
            <w:hideMark/>
          </w:tcPr>
          <w:p w14:paraId="2A65E65A"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4D16181D"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92CA59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804" w:type="dxa"/>
            <w:noWrap/>
            <w:hideMark/>
          </w:tcPr>
          <w:p w14:paraId="40DAC7E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564" w:type="dxa"/>
            <w:noWrap/>
            <w:hideMark/>
          </w:tcPr>
          <w:p w14:paraId="2433248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0.0005</w:t>
            </w:r>
          </w:p>
        </w:tc>
        <w:tc>
          <w:tcPr>
            <w:tcW w:w="1938" w:type="dxa"/>
            <w:noWrap/>
            <w:hideMark/>
          </w:tcPr>
          <w:p w14:paraId="590C6F4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CF667B9"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3A7ED2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lastRenderedPageBreak/>
              <w:t>Gender</w:t>
            </w:r>
          </w:p>
        </w:tc>
        <w:tc>
          <w:tcPr>
            <w:tcW w:w="1804" w:type="dxa"/>
            <w:noWrap/>
            <w:hideMark/>
          </w:tcPr>
          <w:p w14:paraId="3C4191C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-0.0056</w:t>
            </w:r>
          </w:p>
        </w:tc>
        <w:tc>
          <w:tcPr>
            <w:tcW w:w="1564" w:type="dxa"/>
            <w:noWrap/>
            <w:hideMark/>
          </w:tcPr>
          <w:p w14:paraId="3A81C03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938" w:type="dxa"/>
            <w:noWrap/>
            <w:hideMark/>
          </w:tcPr>
          <w:p w14:paraId="1EB766F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675A357"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3F61B6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Married</w:t>
            </w:r>
          </w:p>
        </w:tc>
        <w:tc>
          <w:tcPr>
            <w:tcW w:w="1804" w:type="dxa"/>
            <w:noWrap/>
            <w:hideMark/>
          </w:tcPr>
          <w:p w14:paraId="6386B16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-0.0042</w:t>
            </w:r>
          </w:p>
        </w:tc>
        <w:tc>
          <w:tcPr>
            <w:tcW w:w="1564" w:type="dxa"/>
            <w:noWrap/>
            <w:hideMark/>
          </w:tcPr>
          <w:p w14:paraId="4150E54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0.0025</w:t>
            </w:r>
          </w:p>
        </w:tc>
        <w:tc>
          <w:tcPr>
            <w:tcW w:w="1938" w:type="dxa"/>
            <w:noWrap/>
            <w:hideMark/>
          </w:tcPr>
          <w:p w14:paraId="5779CB3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1FD0D0E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A0840C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Years</w:t>
            </w:r>
          </w:p>
        </w:tc>
        <w:tc>
          <w:tcPr>
            <w:tcW w:w="1804" w:type="dxa"/>
            <w:noWrap/>
            <w:hideMark/>
          </w:tcPr>
          <w:p w14:paraId="49AB16F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439C224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0.0004</w:t>
            </w:r>
          </w:p>
        </w:tc>
        <w:tc>
          <w:tcPr>
            <w:tcW w:w="1938" w:type="dxa"/>
            <w:noWrap/>
            <w:hideMark/>
          </w:tcPr>
          <w:p w14:paraId="57DBA1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bl>
    <w:p w14:paraId="28EAD003" w14:textId="77777777" w:rsidR="007E45B6" w:rsidRPr="00F179C1" w:rsidRDefault="007E45B6" w:rsidP="007E45B6">
      <w:pPr>
        <w:spacing w:line="360" w:lineRule="auto"/>
        <w:jc w:val="both"/>
      </w:pPr>
      <w:r w:rsidRPr="00F179C1">
        <w:t>These findings reinforce the notion that digital finance, particularly its coverage and investment dimensions, contributes meaningfully to financial inclusion. However, the lack of significance for usage depth suggests that mere frequency of use may not be sufficient to drive inclusion unless accompanied by broader access and investment infrastructure (Tok and Heng, 2022; Singh, 2020).</w:t>
      </w:r>
    </w:p>
    <w:p w14:paraId="533ACF5E" w14:textId="5AF38A80" w:rsidR="007E45B6" w:rsidRPr="00524FDB" w:rsidRDefault="007E45B6" w:rsidP="007E45B6">
      <w:pPr>
        <w:spacing w:line="360" w:lineRule="auto"/>
        <w:jc w:val="both"/>
      </w:pPr>
      <w:r w:rsidRPr="00524FDB">
        <w:t xml:space="preserve">Notably, we find no significant effect of DFII on interest rates, savings </w:t>
      </w:r>
      <w:proofErr w:type="spellStart"/>
      <w:r w:rsidR="00AB2094" w:rsidRPr="00144D73">
        <w:rPr>
          <w:highlight w:val="yellow"/>
        </w:rPr>
        <w:t>behaviour</w:t>
      </w:r>
      <w:proofErr w:type="spellEnd"/>
      <w:r w:rsidRPr="00524FDB">
        <w:t>, or insurance uptake, indicating that the primary channel of influence is through credit availability rather than broader financial product engagement.</w:t>
      </w:r>
    </w:p>
    <w:p w14:paraId="12321F8B" w14:textId="4C15308F" w:rsidR="007E45B6" w:rsidRPr="00524FDB" w:rsidRDefault="007E45B6" w:rsidP="007E45B6">
      <w:pPr>
        <w:spacing w:line="360" w:lineRule="auto"/>
        <w:jc w:val="both"/>
        <w:rPr>
          <w:b/>
          <w:bCs/>
        </w:rPr>
      </w:pPr>
      <w:r w:rsidRPr="00524FDB">
        <w:rPr>
          <w:b/>
          <w:bCs/>
        </w:rPr>
        <w:t xml:space="preserve">Credit Access and Consumption </w:t>
      </w:r>
      <w:proofErr w:type="spellStart"/>
      <w:r w:rsidR="00AB2094" w:rsidRPr="00144D73">
        <w:rPr>
          <w:b/>
          <w:bCs/>
          <w:highlight w:val="yellow"/>
        </w:rPr>
        <w:t>Behaviour</w:t>
      </w:r>
      <w:proofErr w:type="spellEnd"/>
    </w:p>
    <w:p w14:paraId="27F0DB88" w14:textId="63F4B28B" w:rsidR="007E45B6" w:rsidRDefault="007E45B6" w:rsidP="007E45B6">
      <w:pPr>
        <w:spacing w:line="360" w:lineRule="auto"/>
        <w:jc w:val="both"/>
      </w:pPr>
      <w:r w:rsidRPr="00524FDB">
        <w:t xml:space="preserve">We next assess the impact of digital credit on household consumption </w:t>
      </w:r>
      <w:proofErr w:type="spellStart"/>
      <w:r w:rsidR="00AB2094" w:rsidRPr="00144D73">
        <w:rPr>
          <w:highlight w:val="yellow"/>
        </w:rPr>
        <w:t>behaviour</w:t>
      </w:r>
      <w:proofErr w:type="spellEnd"/>
      <w:r w:rsidR="00AB2094" w:rsidRPr="00144D73">
        <w:rPr>
          <w:highlight w:val="yellow"/>
        </w:rPr>
        <w:t xml:space="preserve"> </w:t>
      </w:r>
      <w:r w:rsidRPr="00524FDB">
        <w:t>using Equation (2). Our fixed effects estimates reveal that a 1% increase in the DFII is associated with a 0.27% increase in total household consumption and a 4.30% increase in the marginal propensity to consume (MPC). These findings suggest that digital credit not only facilitates access to liquidity but also stimulates consumption. Further stratification of the DFII into low, medium, and high categories reveals a nonlinear relationship: households in low DFII regions experience an 8% increase in consumption, those in medium DFII regions see a 13% increase, and those in high DFII regions report a 35% increase. This gradient implies that the consumption-enhancing effects of digital credit are amplified in more digitally mature environments, potentially due to greater product diversity, ease of access, and user familiarity with digital financial tools.</w:t>
      </w:r>
    </w:p>
    <w:p w14:paraId="5E22C78C" w14:textId="3D725B1C" w:rsidR="007E45B6" w:rsidRPr="00C258B7" w:rsidRDefault="007E45B6" w:rsidP="007E45B6">
      <w:pPr>
        <w:spacing w:line="360" w:lineRule="auto"/>
        <w:jc w:val="both"/>
        <w:rPr>
          <w:b/>
          <w:bCs/>
        </w:rPr>
      </w:pPr>
      <w:r w:rsidRPr="00C258B7">
        <w:rPr>
          <w:b/>
          <w:bCs/>
        </w:rPr>
        <w:t xml:space="preserve">Table </w:t>
      </w:r>
      <w:r w:rsidR="000544CA">
        <w:rPr>
          <w:b/>
          <w:bCs/>
        </w:rPr>
        <w:t>7</w:t>
      </w:r>
      <w:r w:rsidRPr="00C258B7">
        <w:rPr>
          <w:b/>
          <w:bCs/>
        </w:rPr>
        <w:t xml:space="preserve">: Credit Market Participation and Household Consumption </w:t>
      </w:r>
      <w:proofErr w:type="spellStart"/>
      <w:r w:rsidR="00AB2094" w:rsidRPr="00144D73">
        <w:rPr>
          <w:b/>
          <w:bCs/>
          <w:highlight w:val="yellow"/>
        </w:rPr>
        <w:t>Behaviour</w:t>
      </w:r>
      <w:proofErr w:type="spellEnd"/>
    </w:p>
    <w:tbl>
      <w:tblPr>
        <w:tblStyle w:val="PlainTable2"/>
        <w:tblW w:w="9215" w:type="dxa"/>
        <w:tblLook w:val="04A0" w:firstRow="1" w:lastRow="0" w:firstColumn="1" w:lastColumn="0" w:noHBand="0" w:noVBand="1"/>
      </w:tblPr>
      <w:tblGrid>
        <w:gridCol w:w="2920"/>
        <w:gridCol w:w="1975"/>
        <w:gridCol w:w="1319"/>
        <w:gridCol w:w="1683"/>
        <w:gridCol w:w="1318"/>
      </w:tblGrid>
      <w:tr w:rsidR="007E45B6" w:rsidRPr="00C52FC2" w14:paraId="1CA8430B" w14:textId="77777777" w:rsidTr="003F355B">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74E2936"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975" w:type="dxa"/>
            <w:noWrap/>
            <w:hideMark/>
          </w:tcPr>
          <w:p w14:paraId="0C8FF74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(1): Total Consumption</w:t>
            </w:r>
          </w:p>
        </w:tc>
        <w:tc>
          <w:tcPr>
            <w:tcW w:w="1319" w:type="dxa"/>
            <w:noWrap/>
            <w:hideMark/>
          </w:tcPr>
          <w:p w14:paraId="0A0E1F9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(2): MPC</w:t>
            </w:r>
          </w:p>
        </w:tc>
        <w:tc>
          <w:tcPr>
            <w:tcW w:w="1683" w:type="dxa"/>
            <w:noWrap/>
            <w:hideMark/>
          </w:tcPr>
          <w:p w14:paraId="5ADF5BB8"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(4): Interaction Term</w:t>
            </w:r>
          </w:p>
        </w:tc>
        <w:tc>
          <w:tcPr>
            <w:tcW w:w="1318" w:type="dxa"/>
            <w:noWrap/>
            <w:hideMark/>
          </w:tcPr>
          <w:p w14:paraId="45CE7696"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3A6164FE"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E20BBB5"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w:t>
            </w:r>
          </w:p>
        </w:tc>
        <w:tc>
          <w:tcPr>
            <w:tcW w:w="1975" w:type="dxa"/>
            <w:noWrap/>
            <w:hideMark/>
          </w:tcPr>
          <w:p w14:paraId="48CE103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-0.0027</w:t>
            </w:r>
          </w:p>
        </w:tc>
        <w:tc>
          <w:tcPr>
            <w:tcW w:w="1319" w:type="dxa"/>
            <w:noWrap/>
            <w:hideMark/>
          </w:tcPr>
          <w:p w14:paraId="24517C7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-0.043</w:t>
            </w:r>
          </w:p>
        </w:tc>
        <w:tc>
          <w:tcPr>
            <w:tcW w:w="1683" w:type="dxa"/>
            <w:noWrap/>
            <w:hideMark/>
          </w:tcPr>
          <w:p w14:paraId="6521346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318" w:type="dxa"/>
            <w:noWrap/>
            <w:hideMark/>
          </w:tcPr>
          <w:p w14:paraId="45E341D5"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03AE56D"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56C2B3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Low</w:t>
            </w:r>
          </w:p>
        </w:tc>
        <w:tc>
          <w:tcPr>
            <w:tcW w:w="1975" w:type="dxa"/>
            <w:noWrap/>
            <w:hideMark/>
          </w:tcPr>
          <w:p w14:paraId="61C350C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319" w:type="dxa"/>
            <w:noWrap/>
            <w:hideMark/>
          </w:tcPr>
          <w:p w14:paraId="1CFF7E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1099271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5E7CAE6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2789EFF6"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E80822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Medium</w:t>
            </w:r>
          </w:p>
        </w:tc>
        <w:tc>
          <w:tcPr>
            <w:tcW w:w="1975" w:type="dxa"/>
            <w:noWrap/>
            <w:hideMark/>
          </w:tcPr>
          <w:p w14:paraId="430E003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w:t>
            </w:r>
          </w:p>
        </w:tc>
        <w:tc>
          <w:tcPr>
            <w:tcW w:w="1319" w:type="dxa"/>
            <w:noWrap/>
            <w:hideMark/>
          </w:tcPr>
          <w:p w14:paraId="0B2BF77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30C202E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1DF6FE63"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F032D84"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1C77B9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High</w:t>
            </w:r>
          </w:p>
        </w:tc>
        <w:tc>
          <w:tcPr>
            <w:tcW w:w="1975" w:type="dxa"/>
            <w:noWrap/>
            <w:hideMark/>
          </w:tcPr>
          <w:p w14:paraId="0CDD5E2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-0.07</w:t>
            </w:r>
          </w:p>
        </w:tc>
        <w:tc>
          <w:tcPr>
            <w:tcW w:w="1319" w:type="dxa"/>
            <w:noWrap/>
            <w:hideMark/>
          </w:tcPr>
          <w:p w14:paraId="237188E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559D1EF7"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07B9D3E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3CE6FD35"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214" w:type="dxa"/>
            <w:gridSpan w:val="3"/>
            <w:noWrap/>
            <w:hideMark/>
          </w:tcPr>
          <w:p w14:paraId="37F610A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Interaction Term (Debt × DFI)</w:t>
            </w:r>
          </w:p>
        </w:tc>
        <w:tc>
          <w:tcPr>
            <w:tcW w:w="3001" w:type="dxa"/>
            <w:gridSpan w:val="2"/>
            <w:noWrap/>
            <w:hideMark/>
          </w:tcPr>
          <w:p w14:paraId="75EA69B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Not significant</w:t>
            </w:r>
          </w:p>
        </w:tc>
      </w:tr>
    </w:tbl>
    <w:p w14:paraId="048C9ED1" w14:textId="07382791" w:rsidR="007E45B6" w:rsidRPr="00C258B7" w:rsidRDefault="007E45B6" w:rsidP="007E45B6">
      <w:pPr>
        <w:spacing w:line="360" w:lineRule="auto"/>
        <w:jc w:val="both"/>
      </w:pPr>
      <w:r w:rsidRPr="0081260B">
        <w:t xml:space="preserve">The coefficients in Table </w:t>
      </w:r>
      <w:r w:rsidR="000544CA">
        <w:t>7</w:t>
      </w:r>
      <w:r w:rsidRPr="0081260B">
        <w:t xml:space="preserve"> are interpreted as percentage changes, allowing us to understand the marginal effects of digital financial inclusion on household consumption </w:t>
      </w:r>
      <w:proofErr w:type="spellStart"/>
      <w:r w:rsidR="00AB2094" w:rsidRPr="00144D73">
        <w:rPr>
          <w:highlight w:val="yellow"/>
        </w:rPr>
        <w:t>behaviour</w:t>
      </w:r>
      <w:proofErr w:type="spellEnd"/>
      <w:r w:rsidRPr="0081260B">
        <w:t xml:space="preserve">. Column (1) </w:t>
      </w:r>
      <w:r w:rsidRPr="0081260B">
        <w:lastRenderedPageBreak/>
        <w:t xml:space="preserve">indicates that a 1% increase in the DFI index is associated with a 0.27% decrease in total household consumption, suggesting that households may not be using digital credit to expand their consumption but rather to </w:t>
      </w:r>
      <w:proofErr w:type="spellStart"/>
      <w:r w:rsidR="00AB2094" w:rsidRPr="00144D73">
        <w:rPr>
          <w:highlight w:val="yellow"/>
        </w:rPr>
        <w:t>stabilise</w:t>
      </w:r>
      <w:proofErr w:type="spellEnd"/>
      <w:r w:rsidR="00AB2094" w:rsidRPr="00144D73">
        <w:rPr>
          <w:highlight w:val="yellow"/>
        </w:rPr>
        <w:t xml:space="preserve"> </w:t>
      </w:r>
      <w:r w:rsidRPr="0081260B">
        <w:t xml:space="preserve">it. Column (2) shows a 4.30% decrease in the marginal propensity to consume (MPC), implying that households with greater digital credit access may be more cautious in their spending </w:t>
      </w:r>
      <w:proofErr w:type="spellStart"/>
      <w:r w:rsidR="00AB2094" w:rsidRPr="00144D73">
        <w:rPr>
          <w:highlight w:val="yellow"/>
        </w:rPr>
        <w:t>behaviour</w:t>
      </w:r>
      <w:proofErr w:type="spellEnd"/>
      <w:r w:rsidRPr="0081260B">
        <w:t xml:space="preserve">, possibly due to concerns about repayment or financial uncertainty. Column (4) tests for interaction effects between debt and the DFI index, and the results are statistically insignificant. This suggests that the level of household debt does not significantly influence the relationship between digital financial inclusion and consumption outcomes. Collectively, these findings imply that while digital finance may improve access to credit, it does not necessarily lead to increased consumption. Instead, households may be leveraging digital credit to smooth consumption or manage existing liabilities. The lack of significance in the interaction term further supports the notion that debt levels do not moderate the effect of digital finance on consumption </w:t>
      </w:r>
      <w:proofErr w:type="spellStart"/>
      <w:r w:rsidR="00AB2094" w:rsidRPr="00144D73">
        <w:rPr>
          <w:highlight w:val="yellow"/>
        </w:rPr>
        <w:t>behaviour</w:t>
      </w:r>
      <w:proofErr w:type="spellEnd"/>
      <w:r w:rsidR="00AB2094" w:rsidRPr="0081260B">
        <w:t xml:space="preserve"> </w:t>
      </w:r>
      <w:r w:rsidRPr="0081260B">
        <w:t>(Li, Wu and Xiao, 2020; Lai et al., 2020; Hu, Zhai and Zhao, 2023).</w:t>
      </w:r>
    </w:p>
    <w:p w14:paraId="21B5731F" w14:textId="77777777" w:rsidR="007E45B6" w:rsidRPr="00524FDB" w:rsidRDefault="007E45B6" w:rsidP="007E45B6">
      <w:pPr>
        <w:spacing w:line="360" w:lineRule="auto"/>
        <w:jc w:val="both"/>
        <w:rPr>
          <w:b/>
          <w:bCs/>
        </w:rPr>
      </w:pPr>
      <w:r w:rsidRPr="00524FDB">
        <w:rPr>
          <w:b/>
          <w:bCs/>
        </w:rPr>
        <w:t>Digital Credit and Financial Distress</w:t>
      </w:r>
    </w:p>
    <w:p w14:paraId="490E32C5" w14:textId="7DC4439B" w:rsidR="007E45B6" w:rsidRPr="00524FDB" w:rsidRDefault="007E45B6" w:rsidP="007E45B6">
      <w:pPr>
        <w:spacing w:line="360" w:lineRule="auto"/>
        <w:jc w:val="both"/>
      </w:pPr>
      <w:r w:rsidRPr="00524FDB">
        <w:t xml:space="preserve">To evaluate the potential downside of increased digital credit access, we examine its relationship with household financial distress using Equation (4). Table </w:t>
      </w:r>
      <w:r w:rsidR="000544CA">
        <w:t>8</w:t>
      </w:r>
      <w:r w:rsidRPr="00524FDB">
        <w:t xml:space="preserve"> presents the results of this analysis, showing that higher digital credit usage is associated with a statistically significant reduction in the likelihood of falling into a debt trap. Across multiple model specifications, the coefficient on the logarithm of digital credit use ranges from -0.017 to -0.013, all significant at the 1% or 5% levels.</w:t>
      </w:r>
    </w:p>
    <w:p w14:paraId="40BE867C" w14:textId="7B386BF4" w:rsidR="007E45B6" w:rsidRPr="00524FDB" w:rsidRDefault="007E45B6" w:rsidP="007E45B6">
      <w:pPr>
        <w:spacing w:line="360" w:lineRule="auto"/>
        <w:jc w:val="both"/>
        <w:rPr>
          <w:b/>
          <w:bCs/>
        </w:rPr>
      </w:pPr>
      <w:r w:rsidRPr="00524FDB">
        <w:rPr>
          <w:b/>
          <w:bCs/>
        </w:rPr>
        <w:t xml:space="preserve">Table </w:t>
      </w:r>
      <w:r w:rsidR="000544CA">
        <w:rPr>
          <w:b/>
          <w:bCs/>
        </w:rPr>
        <w:t>8</w:t>
      </w:r>
      <w:r w:rsidRPr="00524FDB">
        <w:rPr>
          <w:b/>
          <w:bCs/>
        </w:rPr>
        <w:t>: Digital Finance and Household Financial Distress</w:t>
      </w:r>
    </w:p>
    <w:tbl>
      <w:tblPr>
        <w:tblStyle w:val="PlainTable2"/>
        <w:tblW w:w="9214" w:type="dxa"/>
        <w:tblLook w:val="04A0" w:firstRow="1" w:lastRow="0" w:firstColumn="1" w:lastColumn="0" w:noHBand="0" w:noVBand="1"/>
      </w:tblPr>
      <w:tblGrid>
        <w:gridCol w:w="3455"/>
        <w:gridCol w:w="1151"/>
        <w:gridCol w:w="1151"/>
        <w:gridCol w:w="1151"/>
        <w:gridCol w:w="1151"/>
        <w:gridCol w:w="1155"/>
      </w:tblGrid>
      <w:tr w:rsidR="007E45B6" w:rsidRPr="00C52FC2" w14:paraId="62953316" w14:textId="77777777" w:rsidTr="003F355B">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683A117F"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151" w:type="dxa"/>
            <w:noWrap/>
            <w:hideMark/>
          </w:tcPr>
          <w:p w14:paraId="16BE15C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w:t>
            </w:r>
          </w:p>
        </w:tc>
        <w:tc>
          <w:tcPr>
            <w:tcW w:w="1151" w:type="dxa"/>
            <w:noWrap/>
            <w:hideMark/>
          </w:tcPr>
          <w:p w14:paraId="1556F2B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w:t>
            </w:r>
          </w:p>
        </w:tc>
        <w:tc>
          <w:tcPr>
            <w:tcW w:w="1151" w:type="dxa"/>
            <w:noWrap/>
            <w:hideMark/>
          </w:tcPr>
          <w:p w14:paraId="43AA853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w:t>
            </w:r>
          </w:p>
        </w:tc>
        <w:tc>
          <w:tcPr>
            <w:tcW w:w="1151" w:type="dxa"/>
            <w:noWrap/>
            <w:hideMark/>
          </w:tcPr>
          <w:p w14:paraId="7FC558EE"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w:t>
            </w:r>
          </w:p>
        </w:tc>
        <w:tc>
          <w:tcPr>
            <w:tcW w:w="1155" w:type="dxa"/>
            <w:noWrap/>
            <w:hideMark/>
          </w:tcPr>
          <w:p w14:paraId="50F1AD6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Std. Error</w:t>
            </w:r>
          </w:p>
        </w:tc>
      </w:tr>
      <w:tr w:rsidR="007E45B6" w:rsidRPr="00C52FC2" w14:paraId="0C64F80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0D5AC7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w:t>
            </w:r>
          </w:p>
        </w:tc>
        <w:tc>
          <w:tcPr>
            <w:tcW w:w="1151" w:type="dxa"/>
            <w:noWrap/>
            <w:hideMark/>
          </w:tcPr>
          <w:p w14:paraId="7045D9B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-0.017</w:t>
            </w:r>
          </w:p>
        </w:tc>
        <w:tc>
          <w:tcPr>
            <w:tcW w:w="1151" w:type="dxa"/>
            <w:noWrap/>
            <w:hideMark/>
          </w:tcPr>
          <w:p w14:paraId="42BD6FA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787172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334BE6C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-0.019</w:t>
            </w:r>
          </w:p>
        </w:tc>
        <w:tc>
          <w:tcPr>
            <w:tcW w:w="1155" w:type="dxa"/>
            <w:noWrap/>
            <w:hideMark/>
          </w:tcPr>
          <w:p w14:paraId="01E013D1"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43BA4BE"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8B890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 × depth)</w:t>
            </w:r>
          </w:p>
        </w:tc>
        <w:tc>
          <w:tcPr>
            <w:tcW w:w="1151" w:type="dxa"/>
            <w:noWrap/>
            <w:hideMark/>
          </w:tcPr>
          <w:p w14:paraId="3C1568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-0.012</w:t>
            </w:r>
          </w:p>
        </w:tc>
        <w:tc>
          <w:tcPr>
            <w:tcW w:w="1151" w:type="dxa"/>
            <w:noWrap/>
            <w:hideMark/>
          </w:tcPr>
          <w:p w14:paraId="1C61FD5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7641B1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5137D84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155" w:type="dxa"/>
            <w:noWrap/>
            <w:hideMark/>
          </w:tcPr>
          <w:p w14:paraId="667010A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r>
      <w:tr w:rsidR="007E45B6" w:rsidRPr="00C52FC2" w14:paraId="2116FC0D"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2F2BF134"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Years of credit investigation)</w:t>
            </w:r>
          </w:p>
        </w:tc>
        <w:tc>
          <w:tcPr>
            <w:tcW w:w="1151" w:type="dxa"/>
            <w:noWrap/>
            <w:hideMark/>
          </w:tcPr>
          <w:p w14:paraId="43D12C2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4A98EE2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7F60BC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52F1D3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w:t>
            </w:r>
          </w:p>
        </w:tc>
        <w:tc>
          <w:tcPr>
            <w:tcW w:w="1155" w:type="dxa"/>
            <w:noWrap/>
            <w:hideMark/>
          </w:tcPr>
          <w:p w14:paraId="5B81E40F"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r>
      <w:tr w:rsidR="007E45B6" w:rsidRPr="00C52FC2" w14:paraId="661B8C53"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09D0481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151" w:type="dxa"/>
            <w:noWrap/>
            <w:hideMark/>
          </w:tcPr>
          <w:p w14:paraId="1669FA7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AB965FD"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358A89C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1ED57715"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7E4632E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53B3C056"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9E3463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 squared</w:t>
            </w:r>
          </w:p>
        </w:tc>
        <w:tc>
          <w:tcPr>
            <w:tcW w:w="1151" w:type="dxa"/>
            <w:noWrap/>
            <w:hideMark/>
          </w:tcPr>
          <w:p w14:paraId="2F095B5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1501C44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7FD420B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07F945B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5" w:type="dxa"/>
            <w:noWrap/>
            <w:hideMark/>
          </w:tcPr>
          <w:p w14:paraId="00F50B00"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r>
      <w:tr w:rsidR="007E45B6" w:rsidRPr="00C52FC2" w14:paraId="7CD1CB04"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1E68C1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Gender</w:t>
            </w:r>
          </w:p>
        </w:tc>
        <w:tc>
          <w:tcPr>
            <w:tcW w:w="1151" w:type="dxa"/>
            <w:noWrap/>
            <w:hideMark/>
          </w:tcPr>
          <w:p w14:paraId="749851E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128AC9B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716906F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653DD06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5" w:type="dxa"/>
            <w:noWrap/>
            <w:hideMark/>
          </w:tcPr>
          <w:p w14:paraId="0F70FE2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C34FE5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7665DE7"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level</w:t>
            </w:r>
          </w:p>
        </w:tc>
        <w:tc>
          <w:tcPr>
            <w:tcW w:w="1151" w:type="dxa"/>
            <w:noWrap/>
            <w:hideMark/>
          </w:tcPr>
          <w:p w14:paraId="4D2D2DB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594004F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080C8EF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64D57BE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6CFE8B5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10B6C889"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0F53F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Marital status</w:t>
            </w:r>
          </w:p>
        </w:tc>
        <w:tc>
          <w:tcPr>
            <w:tcW w:w="1151" w:type="dxa"/>
            <w:noWrap/>
            <w:hideMark/>
          </w:tcPr>
          <w:p w14:paraId="1F14C8E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7B6D0DA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1B1AC8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835012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478FE0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62A51B5C"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F37EFC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lastRenderedPageBreak/>
              <w:t>Household size</w:t>
            </w:r>
          </w:p>
        </w:tc>
        <w:tc>
          <w:tcPr>
            <w:tcW w:w="1151" w:type="dxa"/>
            <w:noWrap/>
            <w:hideMark/>
          </w:tcPr>
          <w:p w14:paraId="2FF5C3F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26B901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38335B1"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BAFACC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6D8356C8"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0934596A"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7317770E"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Household income</w:t>
            </w:r>
          </w:p>
        </w:tc>
        <w:tc>
          <w:tcPr>
            <w:tcW w:w="1151" w:type="dxa"/>
            <w:noWrap/>
            <w:hideMark/>
          </w:tcPr>
          <w:p w14:paraId="663F3DB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33033A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0B399BA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C1437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EAD4B72"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20A42BC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856FAD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Employment status</w:t>
            </w:r>
          </w:p>
        </w:tc>
        <w:tc>
          <w:tcPr>
            <w:tcW w:w="1151" w:type="dxa"/>
            <w:noWrap/>
            <w:hideMark/>
          </w:tcPr>
          <w:p w14:paraId="7BE2FBC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4DE2C98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05B1D9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28AC48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70A2625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37B8DE00"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5531434B"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Risk preference</w:t>
            </w:r>
          </w:p>
        </w:tc>
        <w:tc>
          <w:tcPr>
            <w:tcW w:w="1151" w:type="dxa"/>
            <w:noWrap/>
            <w:hideMark/>
          </w:tcPr>
          <w:p w14:paraId="5DEF7CB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478F9A7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6B24E2D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011EA99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5" w:type="dxa"/>
            <w:noWrap/>
            <w:hideMark/>
          </w:tcPr>
          <w:p w14:paraId="105C15B1"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46E6CD7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A297BE8"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Health status</w:t>
            </w:r>
          </w:p>
        </w:tc>
        <w:tc>
          <w:tcPr>
            <w:tcW w:w="1151" w:type="dxa"/>
            <w:noWrap/>
            <w:hideMark/>
          </w:tcPr>
          <w:p w14:paraId="3483439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2AC5605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10E751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52AF2B74"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2522E63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bl>
    <w:p w14:paraId="1F64D68D" w14:textId="77777777" w:rsidR="007E45B6" w:rsidRPr="00524FDB" w:rsidRDefault="007E45B6" w:rsidP="007E45B6">
      <w:pPr>
        <w:spacing w:line="360" w:lineRule="auto"/>
        <w:jc w:val="both"/>
      </w:pPr>
      <w:r w:rsidRPr="00524FDB">
        <w:t>These findings suggest that, contrary to concerns about over-indebtedness, digital credit may actually mitigate financial distress by providing timely access to liquidity and smoothing consumption shocks. However, we also find that this protective effect is contingent on the quality of platform design and user literacy. Households with high exposure to dark patterns—such as manipulative interface elements—are more likely to report financial stress, indicating that the benefits of digital credit can be undermined by exploitative design practices.</w:t>
      </w:r>
    </w:p>
    <w:p w14:paraId="7A8798EA" w14:textId="77777777" w:rsidR="007E45B6" w:rsidRPr="00524FDB" w:rsidRDefault="007E45B6" w:rsidP="007E45B6">
      <w:pPr>
        <w:spacing w:line="360" w:lineRule="auto"/>
        <w:jc w:val="both"/>
        <w:rPr>
          <w:b/>
          <w:bCs/>
        </w:rPr>
      </w:pPr>
      <w:r w:rsidRPr="00524FDB">
        <w:rPr>
          <w:b/>
          <w:bCs/>
        </w:rPr>
        <w:t>Instrumental Variable Robustness</w:t>
      </w:r>
    </w:p>
    <w:p w14:paraId="3F0243F7" w14:textId="13917AF1" w:rsidR="007E45B6" w:rsidRPr="00524FDB" w:rsidRDefault="007E45B6" w:rsidP="007E45B6">
      <w:pPr>
        <w:spacing w:line="360" w:lineRule="auto"/>
        <w:jc w:val="both"/>
      </w:pPr>
      <w:r w:rsidRPr="00524FDB">
        <w:t xml:space="preserve">To address potential endogeneity in the relationship between digital credit and financial outcomes, we implement an instrumental variable strategy using smartphone ownership as an instrument for digital credit access. Table </w:t>
      </w:r>
      <w:r w:rsidR="000544CA">
        <w:t>9</w:t>
      </w:r>
      <w:r w:rsidRPr="00524FDB">
        <w:t xml:space="preserve"> reports the results of this robustness test. The negative association between digital credit and financial distress remains robust across all specifications, with the coefficient on the DFII index remaining statistically significant at the 1% level.</w:t>
      </w:r>
    </w:p>
    <w:p w14:paraId="54F6376A" w14:textId="06CCA1B1" w:rsidR="007E45B6" w:rsidRPr="00524FDB" w:rsidRDefault="007E45B6" w:rsidP="007E45B6">
      <w:pPr>
        <w:spacing w:line="360" w:lineRule="auto"/>
        <w:jc w:val="both"/>
        <w:rPr>
          <w:b/>
          <w:bCs/>
        </w:rPr>
      </w:pPr>
      <w:r w:rsidRPr="00524FDB">
        <w:rPr>
          <w:b/>
          <w:bCs/>
        </w:rPr>
        <w:t xml:space="preserve">Table </w:t>
      </w:r>
      <w:r w:rsidR="000544CA">
        <w:rPr>
          <w:b/>
          <w:bCs/>
        </w:rPr>
        <w:t>9</w:t>
      </w:r>
      <w:r w:rsidRPr="00524FDB">
        <w:rPr>
          <w:b/>
          <w:bCs/>
        </w:rPr>
        <w:t>: Robustness Test – Instrumental Variable</w:t>
      </w:r>
    </w:p>
    <w:tbl>
      <w:tblPr>
        <w:tblStyle w:val="PlainTable2"/>
        <w:tblW w:w="9468" w:type="dxa"/>
        <w:tblLook w:val="04A0" w:firstRow="1" w:lastRow="0" w:firstColumn="1" w:lastColumn="0" w:noHBand="0" w:noVBand="1"/>
      </w:tblPr>
      <w:tblGrid>
        <w:gridCol w:w="2258"/>
        <w:gridCol w:w="1184"/>
        <w:gridCol w:w="1184"/>
        <w:gridCol w:w="1184"/>
        <w:gridCol w:w="1184"/>
        <w:gridCol w:w="1184"/>
        <w:gridCol w:w="1290"/>
      </w:tblGrid>
      <w:tr w:rsidR="007E45B6" w:rsidRPr="00C52FC2" w14:paraId="6A3A1D11" w14:textId="77777777" w:rsidTr="003F355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04B8D1CD"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Variables</w:t>
            </w:r>
          </w:p>
        </w:tc>
        <w:tc>
          <w:tcPr>
            <w:tcW w:w="1184" w:type="dxa"/>
            <w:noWrap/>
            <w:hideMark/>
          </w:tcPr>
          <w:p w14:paraId="4155555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 2018.5</w:t>
            </w:r>
          </w:p>
        </w:tc>
        <w:tc>
          <w:tcPr>
            <w:tcW w:w="1184" w:type="dxa"/>
            <w:noWrap/>
            <w:hideMark/>
          </w:tcPr>
          <w:p w14:paraId="01B83A29"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 2018.5</w:t>
            </w:r>
          </w:p>
        </w:tc>
        <w:tc>
          <w:tcPr>
            <w:tcW w:w="1184" w:type="dxa"/>
            <w:noWrap/>
            <w:hideMark/>
          </w:tcPr>
          <w:p w14:paraId="139BEFEB"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 2018.5</w:t>
            </w:r>
          </w:p>
        </w:tc>
        <w:tc>
          <w:tcPr>
            <w:tcW w:w="1184" w:type="dxa"/>
            <w:noWrap/>
            <w:hideMark/>
          </w:tcPr>
          <w:p w14:paraId="604FC69D"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 2018.5</w:t>
            </w:r>
          </w:p>
        </w:tc>
        <w:tc>
          <w:tcPr>
            <w:tcW w:w="1184" w:type="dxa"/>
            <w:noWrap/>
            <w:hideMark/>
          </w:tcPr>
          <w:p w14:paraId="6F836760"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(5) FE 2018.5</w:t>
            </w:r>
          </w:p>
        </w:tc>
        <w:tc>
          <w:tcPr>
            <w:tcW w:w="1290" w:type="dxa"/>
            <w:noWrap/>
            <w:hideMark/>
          </w:tcPr>
          <w:p w14:paraId="1F21AEC2"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r>
      <w:tr w:rsidR="007E45B6" w:rsidRPr="00C52FC2" w14:paraId="0A0B21CB"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527A182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DI index)</w:t>
            </w:r>
          </w:p>
        </w:tc>
        <w:tc>
          <w:tcPr>
            <w:tcW w:w="1184" w:type="dxa"/>
            <w:noWrap/>
            <w:hideMark/>
          </w:tcPr>
          <w:p w14:paraId="30FD572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020440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783E05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-0.0112</w:t>
            </w:r>
          </w:p>
        </w:tc>
        <w:tc>
          <w:tcPr>
            <w:tcW w:w="1184" w:type="dxa"/>
            <w:noWrap/>
            <w:hideMark/>
          </w:tcPr>
          <w:p w14:paraId="7E78EA8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-0.0109</w:t>
            </w:r>
          </w:p>
        </w:tc>
        <w:tc>
          <w:tcPr>
            <w:tcW w:w="1184" w:type="dxa"/>
            <w:noWrap/>
            <w:hideMark/>
          </w:tcPr>
          <w:p w14:paraId="7FCABE6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290" w:type="dxa"/>
            <w:noWrap/>
            <w:hideMark/>
          </w:tcPr>
          <w:p w14:paraId="1FF80CA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0.00311</w:t>
            </w:r>
          </w:p>
        </w:tc>
      </w:tr>
      <w:tr w:rsidR="007E45B6" w:rsidRPr="00C52FC2" w14:paraId="0E18A4A9"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3442" w:type="dxa"/>
            <w:gridSpan w:val="2"/>
            <w:noWrap/>
            <w:hideMark/>
          </w:tcPr>
          <w:p w14:paraId="681C0D29"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184" w:type="dxa"/>
            <w:noWrap/>
            <w:hideMark/>
          </w:tcPr>
          <w:p w14:paraId="1731C26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-0.0467</w:t>
            </w:r>
          </w:p>
        </w:tc>
        <w:tc>
          <w:tcPr>
            <w:tcW w:w="1184" w:type="dxa"/>
            <w:noWrap/>
            <w:hideMark/>
          </w:tcPr>
          <w:p w14:paraId="6AFAA69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2CD657F5"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35F92F2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3392497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0.0219</w:t>
            </w:r>
          </w:p>
        </w:tc>
      </w:tr>
      <w:tr w:rsidR="007E45B6" w:rsidRPr="00C52FC2" w14:paraId="32CD1660"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626" w:type="dxa"/>
            <w:gridSpan w:val="3"/>
            <w:noWrap/>
            <w:hideMark/>
          </w:tcPr>
          <w:p w14:paraId="62719FB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insurance)</w:t>
            </w:r>
          </w:p>
        </w:tc>
        <w:tc>
          <w:tcPr>
            <w:tcW w:w="1184" w:type="dxa"/>
            <w:noWrap/>
            <w:hideMark/>
          </w:tcPr>
          <w:p w14:paraId="3C0A0647"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679FABD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7390D722"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169A26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r w:rsidR="007E45B6" w:rsidRPr="00C52FC2" w14:paraId="666852E2"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5810" w:type="dxa"/>
            <w:gridSpan w:val="4"/>
            <w:noWrap/>
            <w:hideMark/>
          </w:tcPr>
          <w:p w14:paraId="00E02211"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credit investigation)</w:t>
            </w:r>
          </w:p>
        </w:tc>
        <w:tc>
          <w:tcPr>
            <w:tcW w:w="1184" w:type="dxa"/>
            <w:noWrap/>
            <w:hideMark/>
          </w:tcPr>
          <w:p w14:paraId="31879AB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3A46AB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442F51F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bl>
    <w:p w14:paraId="4B40A65B" w14:textId="77777777" w:rsidR="007E45B6" w:rsidRDefault="007E45B6" w:rsidP="007E45B6">
      <w:pPr>
        <w:spacing w:line="360" w:lineRule="auto"/>
        <w:jc w:val="both"/>
      </w:pPr>
      <w:r w:rsidRPr="00524FDB">
        <w:t xml:space="preserve">First-stage F-statistics and Cragg-Donald and </w:t>
      </w:r>
      <w:proofErr w:type="spellStart"/>
      <w:r w:rsidRPr="00524FDB">
        <w:t>Kleibergen-Paap</w:t>
      </w:r>
      <w:proofErr w:type="spellEnd"/>
      <w:r w:rsidRPr="00524FDB">
        <w:t xml:space="preserve"> Wald tests confirm the strength and validity of the instrument. These results reinforce the causal interpretation of our findings and align with the base paper’s conclusion that smartphone penetration is a valid proxy for digital finance participation</w:t>
      </w:r>
      <w:r w:rsidRPr="000E1A02">
        <w:t>.</w:t>
      </w:r>
    </w:p>
    <w:p w14:paraId="0A3ACD60" w14:textId="77777777" w:rsidR="007E45B6" w:rsidRPr="00537F7F" w:rsidRDefault="007E45B6" w:rsidP="007E45B6">
      <w:pPr>
        <w:spacing w:line="360" w:lineRule="auto"/>
        <w:jc w:val="both"/>
        <w:rPr>
          <w:b/>
          <w:bCs/>
        </w:rPr>
      </w:pPr>
      <w:r w:rsidRPr="00537F7F">
        <w:rPr>
          <w:b/>
          <w:bCs/>
        </w:rPr>
        <w:t>Discussion</w:t>
      </w:r>
    </w:p>
    <w:p w14:paraId="0CE586F6" w14:textId="1052902A" w:rsidR="007E45B6" w:rsidRPr="00537F7F" w:rsidRDefault="007E45B6" w:rsidP="007E45B6">
      <w:pPr>
        <w:spacing w:line="360" w:lineRule="auto"/>
        <w:jc w:val="both"/>
      </w:pPr>
      <w:r w:rsidRPr="00537F7F">
        <w:lastRenderedPageBreak/>
        <w:t xml:space="preserve">The findings of this study contribute to the growing body of literature on digital financial inclusion by offering nuanced insights into how digital credit affects household financial </w:t>
      </w:r>
      <w:proofErr w:type="spellStart"/>
      <w:r w:rsidR="00AB2094" w:rsidRPr="00144D73">
        <w:rPr>
          <w:highlight w:val="yellow"/>
        </w:rPr>
        <w:t>behaviour</w:t>
      </w:r>
      <w:proofErr w:type="spellEnd"/>
      <w:r w:rsidR="00AB2094" w:rsidRPr="00537F7F">
        <w:t xml:space="preserve"> </w:t>
      </w:r>
      <w:r w:rsidRPr="00537F7F">
        <w:t>in China. The positive association between the Digital Financial Inclusion Index (DFII) and credit access confirms earlier evidence that digital finance can bridge gaps in formal financial services, particularly for underserved populations (</w:t>
      </w:r>
      <w:proofErr w:type="spellStart"/>
      <w:r w:rsidRPr="00537F7F">
        <w:t>Ozili</w:t>
      </w:r>
      <w:proofErr w:type="spellEnd"/>
      <w:r w:rsidRPr="00537F7F">
        <w:t>, 2018; Thomas and Hedrick-Wong, 2019). However, the lack of significance for usage depth suggests that access alone is not sufficient—engagement must be meaningful and supported by infrastructure and financial literacy.</w:t>
      </w:r>
    </w:p>
    <w:p w14:paraId="5C774FDA" w14:textId="77777777" w:rsidR="007E45B6" w:rsidRPr="00537F7F" w:rsidRDefault="007E45B6" w:rsidP="007E45B6">
      <w:pPr>
        <w:spacing w:line="360" w:lineRule="auto"/>
        <w:jc w:val="both"/>
      </w:pPr>
      <w:r w:rsidRPr="00537F7F">
        <w:t>Interestingly, while digital credit access appears to increase the marginal propensity to consume (MPC), it does not lead to a proportional increase in total consumption. This aligns with the hypothesis that households may be using digital credit to smooth consumption or manage existing liabilities rather than to finance new expenditures (Li, Wu and Xiao, 2020; Lai et al., 2020). The insignificant interaction between debt and digital finance further supports the idea that credit access alone does not exacerbate consumption volatility.</w:t>
      </w:r>
    </w:p>
    <w:p w14:paraId="683F38C8" w14:textId="38BE22B6" w:rsidR="007E45B6" w:rsidRPr="00537F7F" w:rsidRDefault="007E45B6" w:rsidP="007E45B6">
      <w:pPr>
        <w:spacing w:line="360" w:lineRule="auto"/>
        <w:jc w:val="both"/>
      </w:pPr>
      <w:r w:rsidRPr="00537F7F">
        <w:t xml:space="preserve">Perhaps most notably, the inverse relationship between digital finance usage and financial distress challenges the prevailing narrative that digital credit inherently increases over-indebtedness. Instead, our results suggest that when digital credit is embedded within a well-regulated and transparent ecosystem, it can serve as a buffer against financial shocks. However, this protective effect is conditional on platform design and user literacy. Exposure to manipulative interface features—commonly referred to as “dark patterns”—may erode the benefits of digital finance, especially among vulnerable users (Yue et al., 2022; </w:t>
      </w:r>
      <w:proofErr w:type="spellStart"/>
      <w:r w:rsidRPr="00537F7F">
        <w:t>Yanting</w:t>
      </w:r>
      <w:proofErr w:type="spellEnd"/>
      <w:r w:rsidRPr="00537F7F">
        <w:t xml:space="preserve"> and Ali, 2023).</w:t>
      </w:r>
    </w:p>
    <w:p w14:paraId="5C7241A6" w14:textId="0B45A38E" w:rsidR="007E45B6" w:rsidRPr="00537F7F" w:rsidRDefault="007E45B6" w:rsidP="007E45B6">
      <w:pPr>
        <w:spacing w:line="360" w:lineRule="auto"/>
        <w:jc w:val="both"/>
        <w:rPr>
          <w:b/>
          <w:bCs/>
        </w:rPr>
      </w:pPr>
      <w:r w:rsidRPr="00537F7F">
        <w:rPr>
          <w:b/>
          <w:bCs/>
        </w:rPr>
        <w:t>Conclusion</w:t>
      </w:r>
      <w:r w:rsidR="0045716A">
        <w:rPr>
          <w:b/>
          <w:bCs/>
        </w:rPr>
        <w:t>s</w:t>
      </w:r>
    </w:p>
    <w:p w14:paraId="264D53D9" w14:textId="31DF0557" w:rsidR="007E45B6" w:rsidRPr="00537F7F" w:rsidRDefault="007E45B6" w:rsidP="007E45B6">
      <w:pPr>
        <w:spacing w:line="360" w:lineRule="auto"/>
        <w:jc w:val="both"/>
      </w:pPr>
      <w:r w:rsidRPr="00537F7F">
        <w:t xml:space="preserve">This study provides empirical evidence on the dual role of digital finance in promoting financial inclusion and shaping household financial </w:t>
      </w:r>
      <w:proofErr w:type="spellStart"/>
      <w:r w:rsidR="00144D73" w:rsidRPr="00144D73">
        <w:rPr>
          <w:highlight w:val="yellow"/>
        </w:rPr>
        <w:t>behaviour</w:t>
      </w:r>
      <w:proofErr w:type="spellEnd"/>
      <w:r w:rsidRPr="00537F7F">
        <w:t xml:space="preserve">. Using panel data from the China Household Finance Survey and province-level DFII indicators, we find that digital credit access significantly improves credit market participation and reduces financial distress. However, its impact on consumption is more complex and appears to be mediated by </w:t>
      </w:r>
      <w:proofErr w:type="spellStart"/>
      <w:r w:rsidR="00AB2094" w:rsidRPr="00144D73">
        <w:rPr>
          <w:highlight w:val="yellow"/>
        </w:rPr>
        <w:t>behavioural</w:t>
      </w:r>
      <w:proofErr w:type="spellEnd"/>
      <w:r w:rsidR="00AB2094" w:rsidRPr="00537F7F">
        <w:t xml:space="preserve"> </w:t>
      </w:r>
      <w:r w:rsidRPr="00537F7F">
        <w:t>and structural factors.</w:t>
      </w:r>
    </w:p>
    <w:p w14:paraId="7F967DCD" w14:textId="77777777" w:rsidR="007E45B6" w:rsidRPr="00537F7F" w:rsidRDefault="007E45B6" w:rsidP="007E45B6">
      <w:pPr>
        <w:spacing w:line="360" w:lineRule="auto"/>
        <w:jc w:val="both"/>
      </w:pPr>
      <w:r w:rsidRPr="00537F7F">
        <w:t xml:space="preserve">The results underscore the importance of distinguishing between access and usage, and between short-term liquidity and long-term financial health. While digital finance holds promise for </w:t>
      </w:r>
      <w:r w:rsidRPr="00537F7F">
        <w:lastRenderedPageBreak/>
        <w:t>inclusive growth, its benefits are not automatic. They depend on the quality of platform design, the regulatory environment, and the financial capabilities of users.</w:t>
      </w:r>
    </w:p>
    <w:p w14:paraId="4B6516BC" w14:textId="77777777" w:rsidR="007E45B6" w:rsidRPr="00537F7F" w:rsidRDefault="007E45B6" w:rsidP="007E45B6">
      <w:pPr>
        <w:spacing w:line="360" w:lineRule="auto"/>
        <w:jc w:val="both"/>
        <w:rPr>
          <w:b/>
          <w:bCs/>
        </w:rPr>
      </w:pPr>
      <w:r w:rsidRPr="00537F7F">
        <w:rPr>
          <w:b/>
          <w:bCs/>
        </w:rPr>
        <w:t>Policy Implications</w:t>
      </w:r>
    </w:p>
    <w:p w14:paraId="00260E7B" w14:textId="77777777" w:rsidR="007E45B6" w:rsidRPr="00537F7F" w:rsidRDefault="007E45B6" w:rsidP="007E45B6">
      <w:pPr>
        <w:spacing w:line="360" w:lineRule="auto"/>
        <w:jc w:val="both"/>
      </w:pPr>
      <w:r w:rsidRPr="00537F7F">
        <w:t>The findings of this study yield several important policy implications:</w:t>
      </w:r>
    </w:p>
    <w:p w14:paraId="4F06328A" w14:textId="77777777" w:rsidR="007E45B6" w:rsidRPr="00537F7F" w:rsidRDefault="007E45B6" w:rsidP="007E45B6">
      <w:pPr>
        <w:numPr>
          <w:ilvl w:val="0"/>
          <w:numId w:val="1"/>
        </w:numPr>
        <w:spacing w:line="360" w:lineRule="auto"/>
        <w:jc w:val="both"/>
      </w:pPr>
      <w:r w:rsidRPr="00537F7F">
        <w:rPr>
          <w:b/>
          <w:bCs/>
        </w:rPr>
        <w:t>Expand Access with Safeguards</w:t>
      </w:r>
      <w:r w:rsidRPr="00537F7F">
        <w:t>: Policymakers should continue to promote digital financial inclusion, particularly in rural and underserved areas. However, this expansion must be accompanied by safeguards to prevent exploitative practices and ensure fair access.</w:t>
      </w:r>
    </w:p>
    <w:p w14:paraId="3BCDB845" w14:textId="77777777" w:rsidR="007E45B6" w:rsidRPr="00537F7F" w:rsidRDefault="007E45B6" w:rsidP="007E45B6">
      <w:pPr>
        <w:numPr>
          <w:ilvl w:val="0"/>
          <w:numId w:val="1"/>
        </w:numPr>
        <w:spacing w:line="360" w:lineRule="auto"/>
        <w:jc w:val="both"/>
      </w:pPr>
      <w:r w:rsidRPr="00537F7F">
        <w:rPr>
          <w:b/>
          <w:bCs/>
        </w:rPr>
        <w:t>Regulate Platform Design</w:t>
      </w:r>
      <w:r w:rsidRPr="00537F7F">
        <w:t>: Regulatory bodies should establish guidelines to curb the use of dark patterns in digital credit platforms. Transparency in terms and conditions, opt-in mechanisms, and user-friendly interfaces are essential to protect consumers.</w:t>
      </w:r>
    </w:p>
    <w:p w14:paraId="5E22F2A6" w14:textId="77777777" w:rsidR="007E45B6" w:rsidRPr="00537F7F" w:rsidRDefault="007E45B6" w:rsidP="007E45B6">
      <w:pPr>
        <w:numPr>
          <w:ilvl w:val="0"/>
          <w:numId w:val="1"/>
        </w:numPr>
        <w:spacing w:line="360" w:lineRule="auto"/>
        <w:jc w:val="both"/>
      </w:pPr>
      <w:r w:rsidRPr="00537F7F">
        <w:rPr>
          <w:b/>
          <w:bCs/>
        </w:rPr>
        <w:t>Enhance Financial Literacy</w:t>
      </w:r>
      <w:r w:rsidRPr="00537F7F">
        <w:t>: Financial education programs should be tailored to the digital context, focusing on credit management, interest calculation, and the risks of over-borrowing. Special attention should be given to low-income and low-literacy populations.</w:t>
      </w:r>
    </w:p>
    <w:p w14:paraId="7DC3C45C" w14:textId="77777777" w:rsidR="007E45B6" w:rsidRPr="00537F7F" w:rsidRDefault="007E45B6" w:rsidP="007E45B6">
      <w:pPr>
        <w:numPr>
          <w:ilvl w:val="0"/>
          <w:numId w:val="1"/>
        </w:numPr>
        <w:spacing w:line="360" w:lineRule="auto"/>
        <w:jc w:val="both"/>
      </w:pPr>
      <w:r w:rsidRPr="00537F7F">
        <w:rPr>
          <w:b/>
          <w:bCs/>
        </w:rPr>
        <w:t>Promote Responsible Innovation</w:t>
      </w:r>
      <w:r w:rsidRPr="00537F7F">
        <w:t>: Fintech firms should be encouraged to innovate responsibly, balancing profitability with consumer protection. Public-private partnerships can play a role in developing ethical design standards and inclusive credit scoring models.</w:t>
      </w:r>
    </w:p>
    <w:p w14:paraId="5A50F980" w14:textId="7F5C2605" w:rsidR="007E45B6" w:rsidRDefault="007E45B6" w:rsidP="007E45B6">
      <w:pPr>
        <w:numPr>
          <w:ilvl w:val="0"/>
          <w:numId w:val="1"/>
        </w:numPr>
        <w:spacing w:line="360" w:lineRule="auto"/>
        <w:jc w:val="both"/>
      </w:pPr>
      <w:r w:rsidRPr="00537F7F">
        <w:rPr>
          <w:b/>
          <w:bCs/>
        </w:rPr>
        <w:t xml:space="preserve">Monitor </w:t>
      </w:r>
      <w:proofErr w:type="spellStart"/>
      <w:r w:rsidR="00AB2094" w:rsidRPr="00144D73">
        <w:rPr>
          <w:b/>
          <w:bCs/>
          <w:highlight w:val="yellow"/>
        </w:rPr>
        <w:t>Behavioural</w:t>
      </w:r>
      <w:proofErr w:type="spellEnd"/>
      <w:r w:rsidR="00AB2094" w:rsidRPr="00144D73">
        <w:rPr>
          <w:b/>
          <w:bCs/>
          <w:highlight w:val="yellow"/>
        </w:rPr>
        <w:t xml:space="preserve"> </w:t>
      </w:r>
      <w:r w:rsidRPr="00537F7F">
        <w:rPr>
          <w:b/>
          <w:bCs/>
        </w:rPr>
        <w:t>Outcomes</w:t>
      </w:r>
      <w:r w:rsidRPr="00537F7F">
        <w:t xml:space="preserve">: Beyond access metrics, regulators and researchers should monitor </w:t>
      </w:r>
      <w:proofErr w:type="spellStart"/>
      <w:r w:rsidR="00AB2094" w:rsidRPr="00144D73">
        <w:rPr>
          <w:highlight w:val="yellow"/>
        </w:rPr>
        <w:t>behavioural</w:t>
      </w:r>
      <w:proofErr w:type="spellEnd"/>
      <w:r w:rsidR="00AB2094" w:rsidRPr="00144D73">
        <w:rPr>
          <w:highlight w:val="yellow"/>
        </w:rPr>
        <w:t xml:space="preserve"> </w:t>
      </w:r>
      <w:r w:rsidRPr="00537F7F">
        <w:t>outcomes such as repayment patterns, consumption smoothing, and financial stress. This will help in designing more responsive and adaptive financial systems.</w:t>
      </w:r>
    </w:p>
    <w:p w14:paraId="58C0C0E9" w14:textId="0C85F6E5" w:rsidR="005C1B5B" w:rsidRPr="005C1B5B" w:rsidRDefault="005C1B5B" w:rsidP="005C1B5B">
      <w:pPr>
        <w:pStyle w:val="ListParagraph"/>
        <w:spacing w:line="360" w:lineRule="auto"/>
        <w:jc w:val="both"/>
        <w:rPr>
          <w:b/>
          <w:bCs/>
        </w:rPr>
      </w:pPr>
      <w:r w:rsidRPr="005C1B5B">
        <w:rPr>
          <w:b/>
          <w:bCs/>
        </w:rPr>
        <w:t xml:space="preserve">Ethical </w:t>
      </w:r>
      <w:r>
        <w:rPr>
          <w:b/>
          <w:bCs/>
        </w:rPr>
        <w:t>Approval</w:t>
      </w:r>
    </w:p>
    <w:p w14:paraId="75B58D19" w14:textId="77777777" w:rsidR="005C1B5B" w:rsidRDefault="005C1B5B" w:rsidP="005C1B5B">
      <w:pPr>
        <w:pStyle w:val="ListParagraph"/>
        <w:spacing w:line="360" w:lineRule="auto"/>
        <w:jc w:val="both"/>
      </w:pPr>
      <w:r w:rsidRPr="0026343D">
        <w:t xml:space="preserve">All data used in this study are </w:t>
      </w:r>
      <w:proofErr w:type="spellStart"/>
      <w:r w:rsidRPr="005C1B5B">
        <w:rPr>
          <w:highlight w:val="yellow"/>
        </w:rPr>
        <w:t>anonymised</w:t>
      </w:r>
      <w:proofErr w:type="spellEnd"/>
      <w:r w:rsidRPr="0026343D">
        <w:t xml:space="preserve"> and publicly available through institutional repositories. We adhere to ethical standards in data handling, analysis, and reporting, with particular attention to the representation of vulnerable populations affected by digital credit systems. The study’s design and interpretation are guided by a commitment to </w:t>
      </w:r>
      <w:r w:rsidRPr="0026343D">
        <w:lastRenderedPageBreak/>
        <w:t xml:space="preserve">transparency, replicability, and the responsible use of data in policy-relevant research. In line with recent critiques of digital financialization (Yue et al., 2022; Mayer &amp; </w:t>
      </w:r>
      <w:proofErr w:type="spellStart"/>
      <w:r w:rsidRPr="0026343D">
        <w:t>Schnabl</w:t>
      </w:r>
      <w:proofErr w:type="spellEnd"/>
      <w:r w:rsidRPr="0026343D">
        <w:t>, 2023), we also reflect critically on the normative implications of our findings, particularly the tension between innovation and consumer protection in platform-based credit ecosystems.</w:t>
      </w:r>
    </w:p>
    <w:p w14:paraId="0D2B7F56" w14:textId="77777777" w:rsidR="005C1B5B" w:rsidRPr="00537F7F" w:rsidRDefault="005C1B5B" w:rsidP="005C1B5B">
      <w:pPr>
        <w:spacing w:line="360" w:lineRule="auto"/>
        <w:ind w:left="720"/>
        <w:jc w:val="both"/>
      </w:pPr>
    </w:p>
    <w:p w14:paraId="06000F0D" w14:textId="77777777" w:rsidR="00706296" w:rsidRPr="00706296" w:rsidRDefault="00706296" w:rsidP="00706296">
      <w:pPr>
        <w:pStyle w:val="ListParagraph"/>
        <w:numPr>
          <w:ilvl w:val="0"/>
          <w:numId w:val="1"/>
        </w:numPr>
        <w:rPr>
          <w:highlight w:val="yellow"/>
        </w:rPr>
      </w:pPr>
      <w:r w:rsidRPr="00706296">
        <w:rPr>
          <w:highlight w:val="yellow"/>
        </w:rPr>
        <w:t>Disclaimer (Artificial intelligence)</w:t>
      </w:r>
    </w:p>
    <w:p w14:paraId="4B4E1441" w14:textId="77777777" w:rsidR="00706296" w:rsidRPr="00706296" w:rsidRDefault="00706296" w:rsidP="00706296">
      <w:pPr>
        <w:pStyle w:val="ListParagraph"/>
        <w:numPr>
          <w:ilvl w:val="0"/>
          <w:numId w:val="1"/>
        </w:numPr>
        <w:rPr>
          <w:highlight w:val="yellow"/>
        </w:rPr>
      </w:pPr>
      <w:r w:rsidRPr="00706296">
        <w:rPr>
          <w:highlight w:val="yellow"/>
        </w:rPr>
        <w:t xml:space="preserve">Option 1: </w:t>
      </w:r>
    </w:p>
    <w:p w14:paraId="0D6BD3BD" w14:textId="77777777" w:rsidR="00706296" w:rsidRPr="00706296" w:rsidRDefault="00706296" w:rsidP="00706296">
      <w:pPr>
        <w:pStyle w:val="ListParagraph"/>
        <w:numPr>
          <w:ilvl w:val="0"/>
          <w:numId w:val="1"/>
        </w:numPr>
        <w:rPr>
          <w:highlight w:val="yellow"/>
        </w:rPr>
      </w:pPr>
      <w:r w:rsidRPr="00706296">
        <w:rPr>
          <w:highlight w:val="yellow"/>
        </w:rPr>
        <w:t xml:space="preserve">Author(s) hereby declare that NO generative AI technologies such as Large Language Models (ChatGPT, COPILOT, etc.) and text-to-image generators have been used during the writing or editing of this manuscript. </w:t>
      </w:r>
    </w:p>
    <w:p w14:paraId="7CA6B021" w14:textId="77777777" w:rsidR="00706296" w:rsidRPr="00706296" w:rsidRDefault="00706296" w:rsidP="00706296">
      <w:pPr>
        <w:pStyle w:val="ListParagraph"/>
        <w:numPr>
          <w:ilvl w:val="0"/>
          <w:numId w:val="1"/>
        </w:numPr>
        <w:rPr>
          <w:highlight w:val="yellow"/>
        </w:rPr>
      </w:pPr>
      <w:r w:rsidRPr="00706296">
        <w:rPr>
          <w:highlight w:val="yellow"/>
        </w:rPr>
        <w:t xml:space="preserve">Option 2: </w:t>
      </w:r>
    </w:p>
    <w:p w14:paraId="21BFE437" w14:textId="77777777" w:rsidR="00706296" w:rsidRPr="00706296" w:rsidRDefault="00706296" w:rsidP="00706296">
      <w:pPr>
        <w:pStyle w:val="ListParagraph"/>
        <w:numPr>
          <w:ilvl w:val="0"/>
          <w:numId w:val="1"/>
        </w:numPr>
        <w:rPr>
          <w:highlight w:val="yellow"/>
        </w:rPr>
      </w:pPr>
      <w:r w:rsidRPr="0070629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A2E021" w14:textId="77777777" w:rsidR="00706296" w:rsidRPr="00706296" w:rsidRDefault="00706296" w:rsidP="00706296">
      <w:pPr>
        <w:pStyle w:val="ListParagraph"/>
        <w:numPr>
          <w:ilvl w:val="0"/>
          <w:numId w:val="1"/>
        </w:numPr>
        <w:rPr>
          <w:highlight w:val="yellow"/>
        </w:rPr>
      </w:pPr>
      <w:r w:rsidRPr="00706296">
        <w:rPr>
          <w:highlight w:val="yellow"/>
        </w:rPr>
        <w:t>Details of the AI usage are given below:</w:t>
      </w:r>
    </w:p>
    <w:p w14:paraId="587D3D22" w14:textId="77777777" w:rsidR="00706296" w:rsidRPr="00706296" w:rsidRDefault="00706296" w:rsidP="00706296">
      <w:pPr>
        <w:pStyle w:val="ListParagraph"/>
        <w:numPr>
          <w:ilvl w:val="0"/>
          <w:numId w:val="1"/>
        </w:numPr>
        <w:rPr>
          <w:highlight w:val="yellow"/>
        </w:rPr>
      </w:pPr>
      <w:r w:rsidRPr="00706296">
        <w:rPr>
          <w:highlight w:val="yellow"/>
        </w:rPr>
        <w:t>1.</w:t>
      </w:r>
    </w:p>
    <w:p w14:paraId="579F37D0" w14:textId="77777777" w:rsidR="00706296" w:rsidRPr="00706296" w:rsidRDefault="00706296" w:rsidP="00706296">
      <w:pPr>
        <w:pStyle w:val="ListParagraph"/>
        <w:numPr>
          <w:ilvl w:val="0"/>
          <w:numId w:val="1"/>
        </w:numPr>
        <w:rPr>
          <w:highlight w:val="yellow"/>
        </w:rPr>
      </w:pPr>
      <w:r w:rsidRPr="00706296">
        <w:rPr>
          <w:highlight w:val="yellow"/>
        </w:rPr>
        <w:t>2.</w:t>
      </w:r>
    </w:p>
    <w:p w14:paraId="122D0713" w14:textId="77777777" w:rsidR="00706296" w:rsidRPr="00D047BB" w:rsidRDefault="00706296" w:rsidP="00706296">
      <w:pPr>
        <w:pStyle w:val="ListParagraph"/>
        <w:numPr>
          <w:ilvl w:val="0"/>
          <w:numId w:val="1"/>
        </w:numPr>
      </w:pPr>
      <w:r w:rsidRPr="00706296">
        <w:rPr>
          <w:highlight w:val="yellow"/>
        </w:rPr>
        <w:t>3.</w:t>
      </w:r>
    </w:p>
    <w:p w14:paraId="6F809BE8" w14:textId="77777777" w:rsidR="007E45B6" w:rsidRPr="000E1A02" w:rsidRDefault="007E45B6" w:rsidP="007E45B6">
      <w:pPr>
        <w:spacing w:line="360" w:lineRule="auto"/>
        <w:jc w:val="both"/>
      </w:pPr>
    </w:p>
    <w:p w14:paraId="72706CFB" w14:textId="77777777" w:rsidR="007E45B6" w:rsidRPr="00D95FD9" w:rsidRDefault="007E45B6" w:rsidP="007E45B6">
      <w:pPr>
        <w:spacing w:line="360" w:lineRule="auto"/>
        <w:jc w:val="both"/>
        <w:rPr>
          <w:b/>
          <w:bCs/>
        </w:rPr>
      </w:pPr>
    </w:p>
    <w:p w14:paraId="5E11BDF6" w14:textId="77777777" w:rsidR="007E45B6" w:rsidRPr="00D95FD9" w:rsidRDefault="007E45B6" w:rsidP="007E45B6">
      <w:pPr>
        <w:spacing w:line="360" w:lineRule="auto"/>
        <w:jc w:val="both"/>
        <w:rPr>
          <w:b/>
          <w:bCs/>
        </w:rPr>
      </w:pPr>
      <w:r w:rsidRPr="00D95FD9">
        <w:rPr>
          <w:b/>
          <w:bCs/>
        </w:rPr>
        <w:t>References</w:t>
      </w:r>
    </w:p>
    <w:p w14:paraId="69B16C0B" w14:textId="77777777" w:rsidR="007E45B6" w:rsidRDefault="007E45B6" w:rsidP="007E45B6">
      <w:pPr>
        <w:spacing w:line="360" w:lineRule="auto"/>
        <w:jc w:val="both"/>
      </w:pPr>
      <w:proofErr w:type="spellStart"/>
      <w:r w:rsidRPr="00597795">
        <w:t>Bazarbash</w:t>
      </w:r>
      <w:proofErr w:type="spellEnd"/>
      <w:r w:rsidRPr="00597795">
        <w:t>, M., Beaton, K., &amp; Eriksson, U. (2020). Filling the gap: Digital credit and financial inclusion.</w:t>
      </w:r>
    </w:p>
    <w:p w14:paraId="568ACE7E" w14:textId="77777777" w:rsidR="007E45B6" w:rsidRDefault="007E45B6" w:rsidP="007E45B6">
      <w:pPr>
        <w:spacing w:line="360" w:lineRule="auto"/>
        <w:jc w:val="both"/>
      </w:pPr>
      <w:r w:rsidRPr="00597795">
        <w:t xml:space="preserve">Singh, A. (2020). The myth of ‘debt-trap </w:t>
      </w:r>
      <w:proofErr w:type="spellStart"/>
      <w:r w:rsidRPr="00597795">
        <w:t>diplomacy’and</w:t>
      </w:r>
      <w:proofErr w:type="spellEnd"/>
      <w:r w:rsidRPr="00597795">
        <w:t xml:space="preserve"> realities of Chinese development finance. </w:t>
      </w:r>
      <w:r w:rsidRPr="00597795">
        <w:rPr>
          <w:i/>
          <w:iCs/>
        </w:rPr>
        <w:t>Third World Quarterly</w:t>
      </w:r>
      <w:r w:rsidRPr="00597795">
        <w:t>, </w:t>
      </w:r>
      <w:r w:rsidRPr="00597795">
        <w:rPr>
          <w:i/>
          <w:iCs/>
        </w:rPr>
        <w:t>42</w:t>
      </w:r>
      <w:r w:rsidRPr="00597795">
        <w:t>(2), 239-253.</w:t>
      </w:r>
    </w:p>
    <w:p w14:paraId="26209237" w14:textId="77777777" w:rsidR="007E45B6" w:rsidRDefault="007E45B6" w:rsidP="007E45B6">
      <w:pPr>
        <w:spacing w:line="360" w:lineRule="auto"/>
        <w:jc w:val="both"/>
      </w:pPr>
      <w:proofErr w:type="spellStart"/>
      <w:r w:rsidRPr="00597795">
        <w:t>Ozili</w:t>
      </w:r>
      <w:proofErr w:type="spellEnd"/>
      <w:r w:rsidRPr="00597795">
        <w:t>, P. K. (2018). Impact of digital finance on financial inclusion and stability. </w:t>
      </w:r>
      <w:proofErr w:type="spellStart"/>
      <w:r w:rsidRPr="00597795">
        <w:rPr>
          <w:i/>
          <w:iCs/>
        </w:rPr>
        <w:t>Borsa</w:t>
      </w:r>
      <w:proofErr w:type="spellEnd"/>
      <w:r w:rsidRPr="00597795">
        <w:rPr>
          <w:i/>
          <w:iCs/>
        </w:rPr>
        <w:t xml:space="preserve"> </w:t>
      </w:r>
      <w:proofErr w:type="spellStart"/>
      <w:r w:rsidRPr="00597795">
        <w:rPr>
          <w:i/>
          <w:iCs/>
        </w:rPr>
        <w:t>istanbul</w:t>
      </w:r>
      <w:proofErr w:type="spellEnd"/>
      <w:r w:rsidRPr="00597795">
        <w:rPr>
          <w:i/>
          <w:iCs/>
        </w:rPr>
        <w:t xml:space="preserve"> review</w:t>
      </w:r>
      <w:r w:rsidRPr="00597795">
        <w:t>, </w:t>
      </w:r>
      <w:r w:rsidRPr="00597795">
        <w:rPr>
          <w:i/>
          <w:iCs/>
        </w:rPr>
        <w:t>18</w:t>
      </w:r>
      <w:r w:rsidRPr="00597795">
        <w:t>(4), 329-340.</w:t>
      </w:r>
    </w:p>
    <w:p w14:paraId="4A9604AC" w14:textId="77777777" w:rsidR="007E45B6" w:rsidRDefault="007E45B6" w:rsidP="007E45B6">
      <w:pPr>
        <w:spacing w:line="360" w:lineRule="auto"/>
        <w:jc w:val="both"/>
      </w:pPr>
      <w:r w:rsidRPr="00597795">
        <w:lastRenderedPageBreak/>
        <w:t>Thomas, H., &amp; Hedrick-Wong, Y. (2019). How digital finance and fintech can improve financial inclusion. In </w:t>
      </w:r>
      <w:r w:rsidRPr="00597795">
        <w:rPr>
          <w:i/>
          <w:iCs/>
        </w:rPr>
        <w:t>Inclusive growth: The global challenges of social inequality and financial inclusion</w:t>
      </w:r>
      <w:r w:rsidRPr="00597795">
        <w:t> (pp. 27-41). Emerald Publishing Limited.</w:t>
      </w:r>
    </w:p>
    <w:p w14:paraId="783E1944" w14:textId="77777777" w:rsidR="007E45B6" w:rsidRDefault="007E45B6" w:rsidP="007E45B6">
      <w:pPr>
        <w:spacing w:line="360" w:lineRule="auto"/>
        <w:jc w:val="both"/>
      </w:pPr>
      <w:r w:rsidRPr="00B24DE8">
        <w:t>Tok, Y. W., &amp; Heng, D. (2022). </w:t>
      </w:r>
      <w:r w:rsidRPr="00597795">
        <w:rPr>
          <w:i/>
          <w:iCs/>
        </w:rPr>
        <w:t xml:space="preserve">Fintech: financial inclusion or </w:t>
      </w:r>
      <w:proofErr w:type="gramStart"/>
      <w:r w:rsidRPr="00597795">
        <w:rPr>
          <w:i/>
          <w:iCs/>
        </w:rPr>
        <w:t>exclusion?</w:t>
      </w:r>
      <w:r w:rsidRPr="00597795">
        <w:t>.</w:t>
      </w:r>
      <w:proofErr w:type="gramEnd"/>
      <w:r w:rsidRPr="00597795">
        <w:t xml:space="preserve"> International Monetary Fund.</w:t>
      </w:r>
    </w:p>
    <w:p w14:paraId="015C3D4B" w14:textId="77777777" w:rsidR="007E45B6" w:rsidRDefault="007E45B6" w:rsidP="007E45B6">
      <w:pPr>
        <w:spacing w:line="360" w:lineRule="auto"/>
        <w:jc w:val="both"/>
      </w:pPr>
      <w:r w:rsidRPr="00597795">
        <w:t>Hou, J., &amp; Zhang, Y. (2025). Digital inclusive finance penetration and household debt maturity structure: Empirical estimation based on China Family Panel Studies Data. </w:t>
      </w:r>
      <w:proofErr w:type="spellStart"/>
      <w:r w:rsidRPr="00597795">
        <w:rPr>
          <w:i/>
          <w:iCs/>
        </w:rPr>
        <w:t>PLoS</w:t>
      </w:r>
      <w:proofErr w:type="spellEnd"/>
      <w:r w:rsidRPr="00597795">
        <w:rPr>
          <w:i/>
          <w:iCs/>
        </w:rPr>
        <w:t xml:space="preserve"> One</w:t>
      </w:r>
      <w:r w:rsidRPr="00597795">
        <w:t>, </w:t>
      </w:r>
      <w:r w:rsidRPr="00597795">
        <w:rPr>
          <w:i/>
          <w:iCs/>
        </w:rPr>
        <w:t>20</w:t>
      </w:r>
      <w:r w:rsidRPr="00597795">
        <w:t>(4), e0320080.</w:t>
      </w:r>
    </w:p>
    <w:p w14:paraId="4AA815D3" w14:textId="77777777" w:rsidR="007E45B6" w:rsidRDefault="007E45B6" w:rsidP="007E45B6">
      <w:pPr>
        <w:spacing w:line="360" w:lineRule="auto"/>
        <w:jc w:val="both"/>
      </w:pPr>
      <w:r w:rsidRPr="00597795">
        <w:t>Meng, K., &amp; Xiao, J. J. (2023). Digital finance and happiness: evidence from China. </w:t>
      </w:r>
      <w:r w:rsidRPr="00597795">
        <w:rPr>
          <w:i/>
          <w:iCs/>
        </w:rPr>
        <w:t>Information Technology for Development</w:t>
      </w:r>
      <w:r w:rsidRPr="00597795">
        <w:t>, </w:t>
      </w:r>
      <w:r w:rsidRPr="00597795">
        <w:rPr>
          <w:i/>
          <w:iCs/>
        </w:rPr>
        <w:t>29</w:t>
      </w:r>
      <w:r w:rsidRPr="00597795">
        <w:t>(1), 151-169.</w:t>
      </w:r>
    </w:p>
    <w:p w14:paraId="2D5A269B" w14:textId="77777777" w:rsidR="007E45B6" w:rsidRDefault="007E45B6" w:rsidP="007E45B6">
      <w:pPr>
        <w:spacing w:line="360" w:lineRule="auto"/>
        <w:jc w:val="both"/>
      </w:pPr>
      <w:r w:rsidRPr="00597795">
        <w:t>Beck, T. (2020). </w:t>
      </w:r>
      <w:r w:rsidRPr="00597795">
        <w:rPr>
          <w:i/>
          <w:iCs/>
        </w:rPr>
        <w:t>Fintech and financial inclusion: Opportunities and pitfalls</w:t>
      </w:r>
      <w:r w:rsidRPr="00597795">
        <w:t> (No. 1165). ADBI working paper series.</w:t>
      </w:r>
    </w:p>
    <w:p w14:paraId="7687DD46" w14:textId="77777777" w:rsidR="007E45B6" w:rsidRDefault="007E45B6" w:rsidP="007E45B6">
      <w:pPr>
        <w:spacing w:line="360" w:lineRule="auto"/>
        <w:jc w:val="both"/>
      </w:pPr>
      <w:r w:rsidRPr="00B24DE8">
        <w:t xml:space="preserve">Li, G., </w:t>
      </w:r>
      <w:proofErr w:type="spellStart"/>
      <w:r w:rsidRPr="00B24DE8">
        <w:t>Lv</w:t>
      </w:r>
      <w:proofErr w:type="spellEnd"/>
      <w:r w:rsidRPr="00B24DE8">
        <w:t xml:space="preserve">, X., &amp; Han, X. (2023). </w:t>
      </w:r>
      <w:r w:rsidRPr="00597795">
        <w:t>Digital financial inclusion and household debt in China. </w:t>
      </w:r>
      <w:r w:rsidRPr="00597795">
        <w:rPr>
          <w:i/>
          <w:iCs/>
        </w:rPr>
        <w:t>Applied Economics Letters</w:t>
      </w:r>
      <w:r w:rsidRPr="00597795">
        <w:t>, </w:t>
      </w:r>
      <w:r w:rsidRPr="00597795">
        <w:rPr>
          <w:i/>
          <w:iCs/>
        </w:rPr>
        <w:t>30</w:t>
      </w:r>
      <w:r w:rsidRPr="00597795">
        <w:t>(19), 2862-2866.</w:t>
      </w:r>
    </w:p>
    <w:p w14:paraId="3F4CF969" w14:textId="0EA2EA01" w:rsidR="00F019E4" w:rsidRDefault="00F019E4" w:rsidP="007E45B6">
      <w:pPr>
        <w:spacing w:line="360" w:lineRule="auto"/>
        <w:jc w:val="both"/>
      </w:pPr>
      <w:r w:rsidRPr="00F019E4">
        <w:t>Ishtiaq, M., Sher, F., &amp; Shahid, M. N. (2024). Financial Inclusion, Fintech, Green Innovation, and Social Welfare: A Perspective of Environment Quality and Economic Development in China. </w:t>
      </w:r>
      <w:r w:rsidRPr="00F019E4">
        <w:rPr>
          <w:i/>
          <w:iCs/>
        </w:rPr>
        <w:t>Global Management Sciences Review</w:t>
      </w:r>
      <w:r w:rsidRPr="00F019E4">
        <w:t>, </w:t>
      </w:r>
      <w:r w:rsidRPr="00F019E4">
        <w:rPr>
          <w:i/>
          <w:iCs/>
        </w:rPr>
        <w:t>9</w:t>
      </w:r>
      <w:r w:rsidRPr="00F019E4">
        <w:t>(4), 156-168.</w:t>
      </w:r>
    </w:p>
    <w:p w14:paraId="5540C5E2" w14:textId="77777777" w:rsidR="007E45B6" w:rsidRDefault="007E45B6" w:rsidP="007E45B6">
      <w:pPr>
        <w:spacing w:line="360" w:lineRule="auto"/>
        <w:jc w:val="both"/>
      </w:pPr>
      <w:r w:rsidRPr="00597795">
        <w:t>Hu, D., Guo, F., Shang, J., &amp; Zhang, X. (2024). Does digital finance increase household risk-taking? Evidence from China. </w:t>
      </w:r>
      <w:r w:rsidRPr="00597795">
        <w:rPr>
          <w:i/>
          <w:iCs/>
        </w:rPr>
        <w:t>International Review of Economics &amp; Finance</w:t>
      </w:r>
      <w:r w:rsidRPr="00597795">
        <w:t>, </w:t>
      </w:r>
      <w:r w:rsidRPr="00597795">
        <w:rPr>
          <w:i/>
          <w:iCs/>
        </w:rPr>
        <w:t>93</w:t>
      </w:r>
      <w:r w:rsidRPr="00597795">
        <w:t>, 1197-1210.</w:t>
      </w:r>
    </w:p>
    <w:p w14:paraId="30F447E5" w14:textId="77777777" w:rsidR="007E45B6" w:rsidRDefault="007E45B6" w:rsidP="007E45B6">
      <w:pPr>
        <w:spacing w:line="360" w:lineRule="auto"/>
        <w:jc w:val="both"/>
      </w:pPr>
      <w:r w:rsidRPr="00597795">
        <w:t>Yang, F., &amp; Zhang, Z. (2024). Economic Drivers of China's Declining Fertility: The Role of Digital Inclusive Finance and Household Debt. </w:t>
      </w:r>
      <w:r w:rsidRPr="00597795">
        <w:rPr>
          <w:i/>
          <w:iCs/>
        </w:rPr>
        <w:t>Journal of International Development</w:t>
      </w:r>
      <w:r w:rsidRPr="00597795">
        <w:t>.</w:t>
      </w:r>
    </w:p>
    <w:p w14:paraId="2676D909" w14:textId="77777777" w:rsidR="007E45B6" w:rsidRDefault="007E45B6" w:rsidP="007E45B6">
      <w:pPr>
        <w:spacing w:line="360" w:lineRule="auto"/>
        <w:jc w:val="both"/>
      </w:pPr>
      <w:r w:rsidRPr="006127DE">
        <w:t xml:space="preserve">Yue, P., Korkmaz, A. G., Yin, Z., &amp; Zhou, H. (2022). The rise of digital finance: Financial inclusion or debt </w:t>
      </w:r>
      <w:proofErr w:type="gramStart"/>
      <w:r w:rsidRPr="006127DE">
        <w:t>trap?.</w:t>
      </w:r>
      <w:proofErr w:type="gramEnd"/>
      <w:r w:rsidRPr="006127DE">
        <w:t> </w:t>
      </w:r>
      <w:r w:rsidRPr="006127DE">
        <w:rPr>
          <w:i/>
          <w:iCs/>
        </w:rPr>
        <w:t>Finance Research Letters</w:t>
      </w:r>
      <w:r w:rsidRPr="006127DE">
        <w:t>, </w:t>
      </w:r>
      <w:r w:rsidRPr="006127DE">
        <w:rPr>
          <w:i/>
          <w:iCs/>
        </w:rPr>
        <w:t>47</w:t>
      </w:r>
      <w:r w:rsidRPr="006127DE">
        <w:t xml:space="preserve">, </w:t>
      </w:r>
      <w:proofErr w:type="gramStart"/>
      <w:r w:rsidRPr="006127DE">
        <w:t>102604..</w:t>
      </w:r>
      <w:proofErr w:type="gramEnd"/>
    </w:p>
    <w:p w14:paraId="3870F4A1" w14:textId="77777777" w:rsidR="007E45B6" w:rsidRDefault="007E45B6" w:rsidP="007E45B6">
      <w:pPr>
        <w:spacing w:line="360" w:lineRule="auto"/>
        <w:jc w:val="both"/>
      </w:pPr>
      <w:proofErr w:type="spellStart"/>
      <w:r w:rsidRPr="006127DE">
        <w:t>Yanting</w:t>
      </w:r>
      <w:proofErr w:type="spellEnd"/>
      <w:r w:rsidRPr="006127DE">
        <w:t>, Z., &amp; Ali, M. (2023). Artificial intelligence, digital finance, and financial inclusion: a conceptual framework. In </w:t>
      </w:r>
      <w:r w:rsidRPr="006127DE">
        <w:rPr>
          <w:i/>
          <w:iCs/>
        </w:rPr>
        <w:t>Financial inclusion across Asia: Bringing opportunities for businesses</w:t>
      </w:r>
      <w:r w:rsidRPr="006127DE">
        <w:t> (pp. 77-85). Emerald Publishing Limited.</w:t>
      </w:r>
    </w:p>
    <w:p w14:paraId="60658D77" w14:textId="77777777" w:rsidR="007E45B6" w:rsidRDefault="007E45B6" w:rsidP="007E45B6">
      <w:pPr>
        <w:spacing w:line="360" w:lineRule="auto"/>
        <w:jc w:val="both"/>
      </w:pPr>
      <w:r w:rsidRPr="006127DE">
        <w:lastRenderedPageBreak/>
        <w:t>Mayer, T., &amp; Schnabl, G. (2023). How to escape from the debt trap: Lessons from the past. </w:t>
      </w:r>
      <w:r w:rsidRPr="006127DE">
        <w:rPr>
          <w:i/>
          <w:iCs/>
        </w:rPr>
        <w:t>The World Economy</w:t>
      </w:r>
      <w:r w:rsidRPr="006127DE">
        <w:t>, </w:t>
      </w:r>
      <w:r w:rsidRPr="006127DE">
        <w:rPr>
          <w:i/>
          <w:iCs/>
        </w:rPr>
        <w:t>46</w:t>
      </w:r>
      <w:r w:rsidRPr="006127DE">
        <w:t>(4), 991-1016.</w:t>
      </w:r>
    </w:p>
    <w:p w14:paraId="32F10B49" w14:textId="77777777" w:rsidR="007E45B6" w:rsidRDefault="007E45B6" w:rsidP="007E45B6">
      <w:pPr>
        <w:spacing w:line="360" w:lineRule="auto"/>
        <w:jc w:val="both"/>
      </w:pPr>
      <w:r w:rsidRPr="00B24DE8">
        <w:t xml:space="preserve">Zheng, S., Huang, S., &amp; Deng, X. (2025). </w:t>
      </w:r>
      <w:r w:rsidRPr="006127DE">
        <w:t>Digital inclusive finance and local government debt: Examining the mechanism of impact on high-quality rural development from a macroeconomic perspective. </w:t>
      </w:r>
      <w:r w:rsidRPr="006127DE">
        <w:rPr>
          <w:i/>
          <w:iCs/>
        </w:rPr>
        <w:t>International Review of Financial Analysis</w:t>
      </w:r>
      <w:r w:rsidRPr="006127DE">
        <w:t>, </w:t>
      </w:r>
      <w:r w:rsidRPr="006127DE">
        <w:rPr>
          <w:i/>
          <w:iCs/>
        </w:rPr>
        <w:t>102</w:t>
      </w:r>
      <w:r w:rsidRPr="006127DE">
        <w:t>, 104073.</w:t>
      </w:r>
    </w:p>
    <w:p w14:paraId="644ACF6D" w14:textId="77777777" w:rsidR="007E45B6" w:rsidRDefault="007E45B6" w:rsidP="007E45B6">
      <w:pPr>
        <w:spacing w:line="360" w:lineRule="auto"/>
        <w:jc w:val="both"/>
      </w:pPr>
      <w:proofErr w:type="spellStart"/>
      <w:r w:rsidRPr="00B24DE8">
        <w:t>Alwahidin</w:t>
      </w:r>
      <w:proofErr w:type="spellEnd"/>
      <w:r w:rsidRPr="00B24DE8">
        <w:t xml:space="preserve">, N., </w:t>
      </w:r>
      <w:proofErr w:type="spellStart"/>
      <w:r w:rsidRPr="00B24DE8">
        <w:t>Jufra</w:t>
      </w:r>
      <w:proofErr w:type="spellEnd"/>
      <w:r w:rsidRPr="00B24DE8">
        <w:t xml:space="preserve">, A., Mulu, B., &amp; Sari, K. N. (2023). </w:t>
      </w:r>
      <w:r w:rsidRPr="006127DE">
        <w:t xml:space="preserve">A New Economic Perspective: Understanding </w:t>
      </w:r>
      <w:proofErr w:type="gramStart"/>
      <w:r w:rsidRPr="006127DE">
        <w:t>The</w:t>
      </w:r>
      <w:proofErr w:type="gramEnd"/>
      <w:r w:rsidRPr="006127DE">
        <w:t xml:space="preserve"> Impact Of Digital Financial Inclusion On Indonesian Households Consumption. </w:t>
      </w:r>
      <w:r w:rsidRPr="006127DE">
        <w:rPr>
          <w:i/>
          <w:iCs/>
        </w:rPr>
        <w:t>Bulletin of Monetary Economics and Banking</w:t>
      </w:r>
      <w:r w:rsidRPr="006127DE">
        <w:t>, </w:t>
      </w:r>
      <w:r w:rsidRPr="006127DE">
        <w:rPr>
          <w:i/>
          <w:iCs/>
        </w:rPr>
        <w:t>26</w:t>
      </w:r>
      <w:r w:rsidRPr="006127DE">
        <w:t>(2), 333-360.</w:t>
      </w:r>
    </w:p>
    <w:p w14:paraId="2504759F" w14:textId="77777777" w:rsidR="007E45B6" w:rsidRDefault="007E45B6" w:rsidP="007E45B6">
      <w:pPr>
        <w:spacing w:line="360" w:lineRule="auto"/>
        <w:jc w:val="both"/>
      </w:pPr>
      <w:r w:rsidRPr="006127DE">
        <w:t>Song, Q., Li, J., Wu, Y., &amp; Yi</w:t>
      </w:r>
      <w:bookmarkStart w:id="1" w:name="_GoBack"/>
      <w:bookmarkEnd w:id="1"/>
      <w:r w:rsidRPr="006127DE">
        <w:t>n, Z. (2020). Accessibility of financial services and household consumption in China: Evidence from micro data. </w:t>
      </w:r>
      <w:r w:rsidRPr="006127DE">
        <w:rPr>
          <w:i/>
          <w:iCs/>
        </w:rPr>
        <w:t>The North American Journal of Economics and Finance</w:t>
      </w:r>
      <w:r w:rsidRPr="006127DE">
        <w:t>, </w:t>
      </w:r>
      <w:r w:rsidRPr="006127DE">
        <w:rPr>
          <w:i/>
          <w:iCs/>
        </w:rPr>
        <w:t>53</w:t>
      </w:r>
      <w:r w:rsidRPr="006127DE">
        <w:t>, 101213.</w:t>
      </w:r>
    </w:p>
    <w:p w14:paraId="37211341" w14:textId="77777777" w:rsidR="007E45B6" w:rsidRDefault="007E45B6" w:rsidP="007E45B6">
      <w:pPr>
        <w:spacing w:line="360" w:lineRule="auto"/>
        <w:jc w:val="both"/>
      </w:pPr>
      <w:r w:rsidRPr="006127DE">
        <w:t>Lai, J. T., Yan, I. K., Yi, X., &amp; Zhang, H. (2020). Digital financial inclusion and consumption smoothing in China. </w:t>
      </w:r>
      <w:r w:rsidRPr="006127DE">
        <w:rPr>
          <w:i/>
          <w:iCs/>
        </w:rPr>
        <w:t>China &amp; World Economy</w:t>
      </w:r>
      <w:r w:rsidRPr="006127DE">
        <w:t>, </w:t>
      </w:r>
      <w:r w:rsidRPr="006127DE">
        <w:rPr>
          <w:i/>
          <w:iCs/>
        </w:rPr>
        <w:t>28</w:t>
      </w:r>
      <w:r w:rsidRPr="006127DE">
        <w:t>(1), 64-93.</w:t>
      </w:r>
    </w:p>
    <w:p w14:paraId="0AEC6AD3" w14:textId="77777777" w:rsidR="007E45B6" w:rsidRDefault="007E45B6" w:rsidP="007E45B6">
      <w:pPr>
        <w:spacing w:line="360" w:lineRule="auto"/>
        <w:jc w:val="both"/>
      </w:pPr>
      <w:r w:rsidRPr="006127DE">
        <w:t>Hu, D., Zhai, C., &amp; Zhao, S. (2023). Does digital finance promote household consumption upgrading? An analysis based on data from the China family panel studies. </w:t>
      </w:r>
      <w:r w:rsidRPr="006127DE">
        <w:rPr>
          <w:i/>
          <w:iCs/>
        </w:rPr>
        <w:t>Economic Modelling</w:t>
      </w:r>
      <w:r w:rsidRPr="006127DE">
        <w:t>, </w:t>
      </w:r>
      <w:r w:rsidRPr="006127DE">
        <w:rPr>
          <w:i/>
          <w:iCs/>
        </w:rPr>
        <w:t>125</w:t>
      </w:r>
      <w:r w:rsidRPr="006127DE">
        <w:t>, 106377.</w:t>
      </w:r>
    </w:p>
    <w:p w14:paraId="2ACADBB3" w14:textId="77777777" w:rsidR="007E45B6" w:rsidRDefault="007E45B6" w:rsidP="007E45B6">
      <w:pPr>
        <w:spacing w:line="360" w:lineRule="auto"/>
        <w:jc w:val="both"/>
      </w:pPr>
      <w:r w:rsidRPr="006127DE">
        <w:t>Xu, K. (2024). Digital finance, social security expenditures, and rural-urban household income poverty. Evidence based on an area and household level analysis. </w:t>
      </w:r>
      <w:r w:rsidRPr="006127DE">
        <w:rPr>
          <w:i/>
          <w:iCs/>
        </w:rPr>
        <w:t>Finance Research Letters</w:t>
      </w:r>
      <w:r w:rsidRPr="006127DE">
        <w:t>, </w:t>
      </w:r>
      <w:r w:rsidRPr="006127DE">
        <w:rPr>
          <w:i/>
          <w:iCs/>
        </w:rPr>
        <w:t>60</w:t>
      </w:r>
      <w:r w:rsidRPr="006127DE">
        <w:t>, 104845.</w:t>
      </w:r>
    </w:p>
    <w:p w14:paraId="435B1A99" w14:textId="77777777" w:rsidR="007E45B6" w:rsidRDefault="007E45B6" w:rsidP="007E45B6">
      <w:pPr>
        <w:spacing w:line="360" w:lineRule="auto"/>
        <w:jc w:val="both"/>
      </w:pPr>
      <w:r w:rsidRPr="006127DE">
        <w:t xml:space="preserve">Tao, Z., Wang, X., Li, J., &amp; Wei, X. (2023). How can digital financial inclusion </w:t>
      </w:r>
      <w:proofErr w:type="gramStart"/>
      <w:r w:rsidRPr="006127DE">
        <w:t>reduces</w:t>
      </w:r>
      <w:proofErr w:type="gramEnd"/>
      <w:r w:rsidRPr="006127DE">
        <w:t xml:space="preserve"> relative poverty? An empirical analysis based on China household finance survey. </w:t>
      </w:r>
      <w:r w:rsidRPr="006127DE">
        <w:rPr>
          <w:i/>
          <w:iCs/>
        </w:rPr>
        <w:t>Finance Research Letters</w:t>
      </w:r>
      <w:r w:rsidRPr="006127DE">
        <w:t>, </w:t>
      </w:r>
      <w:r w:rsidRPr="006127DE">
        <w:rPr>
          <w:i/>
          <w:iCs/>
        </w:rPr>
        <w:t>58</w:t>
      </w:r>
      <w:r w:rsidRPr="006127DE">
        <w:t>, 104570.</w:t>
      </w:r>
    </w:p>
    <w:p w14:paraId="19183EBE" w14:textId="77777777" w:rsidR="007E45B6" w:rsidRDefault="007E45B6" w:rsidP="007E45B6">
      <w:pPr>
        <w:spacing w:line="360" w:lineRule="auto"/>
        <w:jc w:val="both"/>
      </w:pPr>
      <w:r w:rsidRPr="006127DE">
        <w:t>Ye, X., &amp; Yue, P. (2024). What matters to reshaping consumption patterns in China? Digital inclusion and supply chain. </w:t>
      </w:r>
      <w:r w:rsidRPr="006127DE">
        <w:rPr>
          <w:i/>
          <w:iCs/>
        </w:rPr>
        <w:t>Finance Research Letters</w:t>
      </w:r>
      <w:r w:rsidRPr="006127DE">
        <w:t>, </w:t>
      </w:r>
      <w:r w:rsidRPr="006127DE">
        <w:rPr>
          <w:i/>
          <w:iCs/>
        </w:rPr>
        <w:t>59</w:t>
      </w:r>
      <w:r w:rsidRPr="006127DE">
        <w:t>, 104804.</w:t>
      </w:r>
    </w:p>
    <w:p w14:paraId="522BCCB9" w14:textId="77777777" w:rsidR="007E45B6" w:rsidRDefault="007E45B6" w:rsidP="007E45B6">
      <w:pPr>
        <w:spacing w:line="360" w:lineRule="auto"/>
        <w:jc w:val="both"/>
      </w:pPr>
      <w:r w:rsidRPr="006127DE">
        <w:t xml:space="preserve">Xun, Z., Guanghua, W., </w:t>
      </w:r>
      <w:proofErr w:type="spellStart"/>
      <w:r w:rsidRPr="006127DE">
        <w:t>Jiajia</w:t>
      </w:r>
      <w:proofErr w:type="spellEnd"/>
      <w:r w:rsidRPr="006127DE">
        <w:t xml:space="preserve">, Z., &amp; </w:t>
      </w:r>
      <w:proofErr w:type="spellStart"/>
      <w:r w:rsidRPr="006127DE">
        <w:t>Zongyue</w:t>
      </w:r>
      <w:proofErr w:type="spellEnd"/>
      <w:r w:rsidRPr="006127DE">
        <w:t>, H. (2020). Digital economy, financial inclusion and inclusive growth. </w:t>
      </w:r>
      <w:r w:rsidRPr="006127DE">
        <w:rPr>
          <w:i/>
          <w:iCs/>
        </w:rPr>
        <w:t>China Economist</w:t>
      </w:r>
      <w:r w:rsidRPr="006127DE">
        <w:t>, </w:t>
      </w:r>
      <w:r w:rsidRPr="006127DE">
        <w:rPr>
          <w:i/>
          <w:iCs/>
        </w:rPr>
        <w:t>15</w:t>
      </w:r>
      <w:r w:rsidRPr="006127DE">
        <w:t>(3), 92-105.</w:t>
      </w:r>
    </w:p>
    <w:p w14:paraId="7559BCE8" w14:textId="77777777" w:rsidR="007E45B6" w:rsidRDefault="007E45B6" w:rsidP="007E45B6">
      <w:pPr>
        <w:spacing w:line="360" w:lineRule="auto"/>
        <w:jc w:val="both"/>
      </w:pPr>
      <w:r w:rsidRPr="006127DE">
        <w:lastRenderedPageBreak/>
        <w:t>Peng, P., &amp; Mao, H. (2023). The effect of digital financial inclusion on relative poverty among urban households: A case study on China. </w:t>
      </w:r>
      <w:r w:rsidRPr="006127DE">
        <w:rPr>
          <w:i/>
          <w:iCs/>
        </w:rPr>
        <w:t>Social Indicators Research</w:t>
      </w:r>
      <w:r w:rsidRPr="006127DE">
        <w:t>, </w:t>
      </w:r>
      <w:r w:rsidRPr="006127DE">
        <w:rPr>
          <w:i/>
          <w:iCs/>
        </w:rPr>
        <w:t>165</w:t>
      </w:r>
      <w:r w:rsidRPr="006127DE">
        <w:t>(2), 377-407.</w:t>
      </w:r>
    </w:p>
    <w:p w14:paraId="0EB0F91C" w14:textId="77777777" w:rsidR="007E45B6" w:rsidRDefault="007E45B6" w:rsidP="007E45B6">
      <w:pPr>
        <w:spacing w:line="360" w:lineRule="auto"/>
        <w:jc w:val="both"/>
      </w:pPr>
      <w:r w:rsidRPr="006127DE">
        <w:t>Li, J., Wu, Y., &amp; Xiao, J. J. (2020). The impact of digital finance on household consumption: Evidence from China. </w:t>
      </w:r>
      <w:r w:rsidRPr="006127DE">
        <w:rPr>
          <w:i/>
          <w:iCs/>
        </w:rPr>
        <w:t>Economic modelling</w:t>
      </w:r>
      <w:r w:rsidRPr="006127DE">
        <w:t>, </w:t>
      </w:r>
      <w:r w:rsidRPr="006127DE">
        <w:rPr>
          <w:i/>
          <w:iCs/>
        </w:rPr>
        <w:t>86</w:t>
      </w:r>
      <w:r w:rsidRPr="006127DE">
        <w:t>, 317-326.</w:t>
      </w:r>
    </w:p>
    <w:p w14:paraId="36515F25" w14:textId="77777777" w:rsidR="007E45B6" w:rsidRDefault="007E45B6" w:rsidP="007E45B6">
      <w:pPr>
        <w:spacing w:line="360" w:lineRule="auto"/>
        <w:jc w:val="both"/>
      </w:pPr>
      <w:r w:rsidRPr="006127DE">
        <w:t>Wang, X., &amp; Fu, Y. (2021). Digital financial inclusion and vulnerability to poverty: Evidence from Chinese rural households. </w:t>
      </w:r>
      <w:r w:rsidRPr="006127DE">
        <w:rPr>
          <w:i/>
          <w:iCs/>
        </w:rPr>
        <w:t>China agricultural economic review</w:t>
      </w:r>
      <w:r w:rsidRPr="006127DE">
        <w:t>, </w:t>
      </w:r>
      <w:r w:rsidRPr="006127DE">
        <w:rPr>
          <w:i/>
          <w:iCs/>
        </w:rPr>
        <w:t>14</w:t>
      </w:r>
      <w:r w:rsidRPr="006127DE">
        <w:t>(1), 64-83.</w:t>
      </w:r>
    </w:p>
    <w:p w14:paraId="6ABBDC37" w14:textId="77777777" w:rsidR="007E45B6" w:rsidRDefault="007E45B6" w:rsidP="007E45B6">
      <w:pPr>
        <w:spacing w:line="360" w:lineRule="auto"/>
        <w:jc w:val="both"/>
      </w:pPr>
      <w:r w:rsidRPr="006127DE">
        <w:t>Shen, Y., Hu, W., &amp; Zhang, Y. (2022). Digital finance, household income and household risky financial asset investment. </w:t>
      </w:r>
      <w:r w:rsidRPr="006127DE">
        <w:rPr>
          <w:i/>
          <w:iCs/>
        </w:rPr>
        <w:t>Procedia Computer Science</w:t>
      </w:r>
      <w:r w:rsidRPr="006127DE">
        <w:t>, </w:t>
      </w:r>
      <w:r w:rsidRPr="006127DE">
        <w:rPr>
          <w:i/>
          <w:iCs/>
        </w:rPr>
        <w:t>202</w:t>
      </w:r>
      <w:r w:rsidRPr="006127DE">
        <w:t>, 244-251.</w:t>
      </w:r>
    </w:p>
    <w:p w14:paraId="43FC18A6" w14:textId="77777777" w:rsidR="007E45B6" w:rsidRDefault="007E45B6" w:rsidP="007E45B6">
      <w:pPr>
        <w:spacing w:line="360" w:lineRule="auto"/>
        <w:jc w:val="both"/>
      </w:pPr>
      <w:r w:rsidRPr="006127DE">
        <w:t>Chen, Z., Li, X., Zhang, J., &amp; Xia, X. (2024). Does digital finance alleviate household consumption inequality? Evidence from China. </w:t>
      </w:r>
      <w:r w:rsidRPr="006127DE">
        <w:rPr>
          <w:i/>
          <w:iCs/>
        </w:rPr>
        <w:t>Finance Research Letters</w:t>
      </w:r>
      <w:r w:rsidRPr="006127DE">
        <w:t>, </w:t>
      </w:r>
      <w:r w:rsidRPr="006127DE">
        <w:rPr>
          <w:i/>
          <w:iCs/>
        </w:rPr>
        <w:t>60</w:t>
      </w:r>
      <w:r w:rsidRPr="006127DE">
        <w:t>, 104844.</w:t>
      </w:r>
    </w:p>
    <w:p w14:paraId="394A7D02" w14:textId="77777777" w:rsidR="007E45B6" w:rsidRDefault="007E45B6" w:rsidP="007E45B6">
      <w:pPr>
        <w:spacing w:line="360" w:lineRule="auto"/>
        <w:jc w:val="both"/>
      </w:pPr>
      <w:r w:rsidRPr="006127DE">
        <w:t>Hu, D., Guo, F., Shang, J., &amp; Zhang, X. (2024). Does digital finance increase household risk-taking? Evidence from China. </w:t>
      </w:r>
      <w:r w:rsidRPr="006127DE">
        <w:rPr>
          <w:i/>
          <w:iCs/>
        </w:rPr>
        <w:t>International Review of Economics &amp; Finance</w:t>
      </w:r>
      <w:r w:rsidRPr="006127DE">
        <w:t>, </w:t>
      </w:r>
      <w:r w:rsidRPr="006127DE">
        <w:rPr>
          <w:i/>
          <w:iCs/>
        </w:rPr>
        <w:t>93</w:t>
      </w:r>
      <w:r w:rsidRPr="006127DE">
        <w:t>, 1197-1210.</w:t>
      </w:r>
    </w:p>
    <w:p w14:paraId="79AA945C" w14:textId="77777777" w:rsidR="007E45B6" w:rsidRDefault="007E45B6" w:rsidP="007E45B6">
      <w:pPr>
        <w:spacing w:line="360" w:lineRule="auto"/>
        <w:jc w:val="both"/>
      </w:pPr>
      <w:r w:rsidRPr="006127DE">
        <w:t xml:space="preserve">Wang, Z., Zhang, D., &amp; Wang, J. (2022). How does digital finance impact the leverage of Chinese </w:t>
      </w:r>
      <w:proofErr w:type="gramStart"/>
      <w:r w:rsidRPr="006127DE">
        <w:t>households?.</w:t>
      </w:r>
      <w:proofErr w:type="gramEnd"/>
      <w:r w:rsidRPr="006127DE">
        <w:t> </w:t>
      </w:r>
      <w:r w:rsidRPr="006127DE">
        <w:rPr>
          <w:i/>
          <w:iCs/>
        </w:rPr>
        <w:t>Applied Economics Letters</w:t>
      </w:r>
      <w:r w:rsidRPr="006127DE">
        <w:t>, </w:t>
      </w:r>
      <w:r w:rsidRPr="006127DE">
        <w:rPr>
          <w:i/>
          <w:iCs/>
        </w:rPr>
        <w:t>29</w:t>
      </w:r>
      <w:r w:rsidRPr="006127DE">
        <w:t>(6), 555-558.</w:t>
      </w:r>
    </w:p>
    <w:p w14:paraId="200A7713" w14:textId="77777777" w:rsidR="007E45B6" w:rsidRDefault="007E45B6" w:rsidP="007E45B6">
      <w:pPr>
        <w:spacing w:line="360" w:lineRule="auto"/>
        <w:jc w:val="both"/>
      </w:pPr>
      <w:r w:rsidRPr="003B0554">
        <w:t xml:space="preserve">Jia, X., &amp; </w:t>
      </w:r>
      <w:proofErr w:type="spellStart"/>
      <w:r w:rsidRPr="003B0554">
        <w:t>Kanagaretnam</w:t>
      </w:r>
      <w:proofErr w:type="spellEnd"/>
      <w:r w:rsidRPr="003B0554">
        <w:t>, K. (2025). Digital inclusion and financial inclusion: evidence from peer-to-peer lending. </w:t>
      </w:r>
      <w:r w:rsidRPr="003B0554">
        <w:rPr>
          <w:i/>
          <w:iCs/>
        </w:rPr>
        <w:t>Journal of Business Ethics</w:t>
      </w:r>
      <w:r w:rsidRPr="003B0554">
        <w:t>, </w:t>
      </w:r>
      <w:r w:rsidRPr="003B0554">
        <w:rPr>
          <w:i/>
          <w:iCs/>
        </w:rPr>
        <w:t>196</w:t>
      </w:r>
      <w:r w:rsidRPr="003B0554">
        <w:t>(2), 345-380.</w:t>
      </w:r>
    </w:p>
    <w:p w14:paraId="4C86CBE0" w14:textId="77777777" w:rsidR="007E45B6" w:rsidRDefault="007E45B6" w:rsidP="007E45B6">
      <w:pPr>
        <w:spacing w:line="360" w:lineRule="auto"/>
        <w:jc w:val="both"/>
      </w:pPr>
      <w:r w:rsidRPr="003B0554">
        <w:t>Liu, L., &amp; Guo, L. (2023). Digital financial inclusion, income inequality, and vulnerability to relative poverty. </w:t>
      </w:r>
      <w:r w:rsidRPr="003B0554">
        <w:rPr>
          <w:i/>
          <w:iCs/>
        </w:rPr>
        <w:t>Social Indicators Research</w:t>
      </w:r>
      <w:r w:rsidRPr="003B0554">
        <w:t>, </w:t>
      </w:r>
      <w:r w:rsidRPr="003B0554">
        <w:rPr>
          <w:i/>
          <w:iCs/>
        </w:rPr>
        <w:t>170</w:t>
      </w:r>
      <w:r w:rsidRPr="003B0554">
        <w:t>(3), 1155-1181.</w:t>
      </w:r>
    </w:p>
    <w:p w14:paraId="3B1F88BE" w14:textId="435AF965" w:rsidR="0098696E" w:rsidRDefault="00C516F1">
      <w:r w:rsidRPr="00144D73">
        <w:rPr>
          <w:highlight w:val="yellow"/>
        </w:rPr>
        <w:t>Gomber, P., Koch, J. A., &amp; Siering, M. (2017). Digital Finance and FinTech: current research and future research directions. Journal of business economics, 87(5), 537-580.</w:t>
      </w:r>
      <w:r>
        <w:t xml:space="preserve">  </w:t>
      </w:r>
    </w:p>
    <w:p w14:paraId="6FCA5086" w14:textId="70319EB2" w:rsidR="00AB2094" w:rsidRDefault="00AB2094">
      <w:proofErr w:type="spellStart"/>
      <w:r w:rsidRPr="00144D73">
        <w:rPr>
          <w:highlight w:val="yellow"/>
        </w:rPr>
        <w:t>Amugune</w:t>
      </w:r>
      <w:proofErr w:type="spellEnd"/>
      <w:r w:rsidRPr="00144D73">
        <w:rPr>
          <w:highlight w:val="yellow"/>
        </w:rPr>
        <w:t xml:space="preserve">, M., </w:t>
      </w:r>
      <w:proofErr w:type="spellStart"/>
      <w:r w:rsidRPr="00144D73">
        <w:rPr>
          <w:highlight w:val="yellow"/>
        </w:rPr>
        <w:t>Kiweu</w:t>
      </w:r>
      <w:proofErr w:type="spellEnd"/>
      <w:r w:rsidRPr="00144D73">
        <w:rPr>
          <w:highlight w:val="yellow"/>
        </w:rPr>
        <w:t xml:space="preserve">, J. M., &amp; </w:t>
      </w:r>
      <w:proofErr w:type="spellStart"/>
      <w:r w:rsidRPr="00144D73">
        <w:rPr>
          <w:highlight w:val="yellow"/>
        </w:rPr>
        <w:t>Ombuki</w:t>
      </w:r>
      <w:proofErr w:type="spellEnd"/>
      <w:r w:rsidRPr="00144D73">
        <w:rPr>
          <w:highlight w:val="yellow"/>
        </w:rPr>
        <w:t>, C. (2025). The influence of digital finance on financial inclusion: A case study of rural women in Kenya. Asian Journal of Economics, Business and Accounting, 25(8), 387–400.</w:t>
      </w:r>
      <w:r>
        <w:t xml:space="preserve">  </w:t>
      </w:r>
    </w:p>
    <w:p w14:paraId="6401B632" w14:textId="4F7619F9" w:rsidR="00AB2094" w:rsidRDefault="00AB2094">
      <w:r w:rsidRPr="00144D73">
        <w:rPr>
          <w:highlight w:val="yellow"/>
        </w:rPr>
        <w:t>Weerasinghe, G., &amp; Karunarathna, M. M. S. A. (2025). Education and digital finance: Exploring the relationship between educational attainment and online banking engagement in Sri Lanka. Asian Journal of Economics, Business and Accounting, 25(6), 343–350.</w:t>
      </w:r>
      <w:r>
        <w:t xml:space="preserve">  </w:t>
      </w:r>
    </w:p>
    <w:sectPr w:rsidR="00AB20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F86C" w14:textId="77777777" w:rsidR="00946CAA" w:rsidRDefault="00946CAA" w:rsidP="009C299D">
      <w:pPr>
        <w:spacing w:after="0" w:line="240" w:lineRule="auto"/>
      </w:pPr>
      <w:r>
        <w:separator/>
      </w:r>
    </w:p>
  </w:endnote>
  <w:endnote w:type="continuationSeparator" w:id="0">
    <w:p w14:paraId="6807F65F" w14:textId="77777777" w:rsidR="00946CAA" w:rsidRDefault="00946CAA" w:rsidP="009C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5D60" w14:textId="77777777" w:rsidR="009C299D" w:rsidRDefault="009C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90C3" w14:textId="77777777" w:rsidR="009C299D" w:rsidRDefault="009C2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0E70" w14:textId="77777777" w:rsidR="009C299D" w:rsidRDefault="009C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23E6" w14:textId="77777777" w:rsidR="00946CAA" w:rsidRDefault="00946CAA" w:rsidP="009C299D">
      <w:pPr>
        <w:spacing w:after="0" w:line="240" w:lineRule="auto"/>
      </w:pPr>
      <w:r>
        <w:separator/>
      </w:r>
    </w:p>
  </w:footnote>
  <w:footnote w:type="continuationSeparator" w:id="0">
    <w:p w14:paraId="45880A30" w14:textId="77777777" w:rsidR="00946CAA" w:rsidRDefault="00946CAA" w:rsidP="009C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44B7" w14:textId="6F2A2970" w:rsidR="009C299D" w:rsidRDefault="0045716A">
    <w:pPr>
      <w:pStyle w:val="Header"/>
    </w:pPr>
    <w:r>
      <w:rPr>
        <w:noProof/>
      </w:rPr>
      <w:pict w14:anchorId="0971D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0E9F" w14:textId="14D42B43" w:rsidR="009C299D" w:rsidRDefault="0045716A">
    <w:pPr>
      <w:pStyle w:val="Header"/>
    </w:pPr>
    <w:r>
      <w:rPr>
        <w:noProof/>
      </w:rPr>
      <w:pict w14:anchorId="7D71E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EFD3" w14:textId="57CEC3F0" w:rsidR="009C299D" w:rsidRDefault="0045716A">
    <w:pPr>
      <w:pStyle w:val="Header"/>
    </w:pPr>
    <w:r>
      <w:rPr>
        <w:noProof/>
      </w:rPr>
      <w:pict w14:anchorId="1FD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62F5D"/>
    <w:multiLevelType w:val="multilevel"/>
    <w:tmpl w:val="5EA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tjQ2NTQyMDYxszRQ0lEKTi0uzszPAykwrAUAmBw/aiwAAAA="/>
  </w:docVars>
  <w:rsids>
    <w:rsidRoot w:val="00CD4489"/>
    <w:rsid w:val="000420BC"/>
    <w:rsid w:val="00050641"/>
    <w:rsid w:val="000544CA"/>
    <w:rsid w:val="00144D73"/>
    <w:rsid w:val="0015224D"/>
    <w:rsid w:val="00250C1C"/>
    <w:rsid w:val="00300532"/>
    <w:rsid w:val="003609D1"/>
    <w:rsid w:val="0045716A"/>
    <w:rsid w:val="00594040"/>
    <w:rsid w:val="005C1B5B"/>
    <w:rsid w:val="005D1131"/>
    <w:rsid w:val="00671693"/>
    <w:rsid w:val="00706296"/>
    <w:rsid w:val="0077672D"/>
    <w:rsid w:val="007A4C0B"/>
    <w:rsid w:val="007E45B6"/>
    <w:rsid w:val="007F3B1C"/>
    <w:rsid w:val="00896DE0"/>
    <w:rsid w:val="00946CAA"/>
    <w:rsid w:val="0098696E"/>
    <w:rsid w:val="009C299D"/>
    <w:rsid w:val="00AB2094"/>
    <w:rsid w:val="00C516F1"/>
    <w:rsid w:val="00CD4489"/>
    <w:rsid w:val="00D821A8"/>
    <w:rsid w:val="00DC3FB9"/>
    <w:rsid w:val="00E944BC"/>
    <w:rsid w:val="00EA7BD4"/>
    <w:rsid w:val="00F019E4"/>
    <w:rsid w:val="00F9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D598E8"/>
  <w15:chartTrackingRefBased/>
  <w15:docId w15:val="{A697714A-D61C-4147-93F5-96F1C7EC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5B6"/>
  </w:style>
  <w:style w:type="paragraph" w:styleId="Heading1">
    <w:name w:val="heading 1"/>
    <w:basedOn w:val="Normal"/>
    <w:next w:val="Normal"/>
    <w:link w:val="Heading1Char"/>
    <w:uiPriority w:val="9"/>
    <w:qFormat/>
    <w:rsid w:val="00CD4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489"/>
    <w:rPr>
      <w:rFonts w:eastAsiaTheme="majorEastAsia" w:cstheme="majorBidi"/>
      <w:color w:val="272727" w:themeColor="text1" w:themeTint="D8"/>
    </w:rPr>
  </w:style>
  <w:style w:type="paragraph" w:styleId="Title">
    <w:name w:val="Title"/>
    <w:basedOn w:val="Normal"/>
    <w:next w:val="Normal"/>
    <w:link w:val="TitleChar"/>
    <w:uiPriority w:val="10"/>
    <w:qFormat/>
    <w:rsid w:val="00CD4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489"/>
    <w:pPr>
      <w:spacing w:before="160"/>
      <w:jc w:val="center"/>
    </w:pPr>
    <w:rPr>
      <w:i/>
      <w:iCs/>
      <w:color w:val="404040" w:themeColor="text1" w:themeTint="BF"/>
    </w:rPr>
  </w:style>
  <w:style w:type="character" w:customStyle="1" w:styleId="QuoteChar">
    <w:name w:val="Quote Char"/>
    <w:basedOn w:val="DefaultParagraphFont"/>
    <w:link w:val="Quote"/>
    <w:uiPriority w:val="29"/>
    <w:rsid w:val="00CD4489"/>
    <w:rPr>
      <w:i/>
      <w:iCs/>
      <w:color w:val="404040" w:themeColor="text1" w:themeTint="BF"/>
    </w:rPr>
  </w:style>
  <w:style w:type="paragraph" w:styleId="ListParagraph">
    <w:name w:val="List Paragraph"/>
    <w:basedOn w:val="Normal"/>
    <w:uiPriority w:val="34"/>
    <w:qFormat/>
    <w:rsid w:val="00CD4489"/>
    <w:pPr>
      <w:ind w:left="720"/>
      <w:contextualSpacing/>
    </w:pPr>
  </w:style>
  <w:style w:type="character" w:styleId="IntenseEmphasis">
    <w:name w:val="Intense Emphasis"/>
    <w:basedOn w:val="DefaultParagraphFont"/>
    <w:uiPriority w:val="21"/>
    <w:qFormat/>
    <w:rsid w:val="00CD4489"/>
    <w:rPr>
      <w:i/>
      <w:iCs/>
      <w:color w:val="2F5496" w:themeColor="accent1" w:themeShade="BF"/>
    </w:rPr>
  </w:style>
  <w:style w:type="paragraph" w:styleId="IntenseQuote">
    <w:name w:val="Intense Quote"/>
    <w:basedOn w:val="Normal"/>
    <w:next w:val="Normal"/>
    <w:link w:val="IntenseQuoteChar"/>
    <w:uiPriority w:val="30"/>
    <w:qFormat/>
    <w:rsid w:val="00CD4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489"/>
    <w:rPr>
      <w:i/>
      <w:iCs/>
      <w:color w:val="2F5496" w:themeColor="accent1" w:themeShade="BF"/>
    </w:rPr>
  </w:style>
  <w:style w:type="character" w:styleId="IntenseReference">
    <w:name w:val="Intense Reference"/>
    <w:basedOn w:val="DefaultParagraphFont"/>
    <w:uiPriority w:val="32"/>
    <w:qFormat/>
    <w:rsid w:val="00CD4489"/>
    <w:rPr>
      <w:b/>
      <w:bCs/>
      <w:smallCaps/>
      <w:color w:val="2F5496" w:themeColor="accent1" w:themeShade="BF"/>
      <w:spacing w:val="5"/>
    </w:rPr>
  </w:style>
  <w:style w:type="table" w:styleId="PlainTable2">
    <w:name w:val="Plain Table 2"/>
    <w:basedOn w:val="TableNormal"/>
    <w:uiPriority w:val="42"/>
    <w:rsid w:val="007E45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A4C0B"/>
    <w:rPr>
      <w:color w:val="0563C1" w:themeColor="hyperlink"/>
      <w:u w:val="single"/>
    </w:rPr>
  </w:style>
  <w:style w:type="character" w:styleId="UnresolvedMention">
    <w:name w:val="Unresolved Mention"/>
    <w:basedOn w:val="DefaultParagraphFont"/>
    <w:uiPriority w:val="99"/>
    <w:semiHidden/>
    <w:unhideWhenUsed/>
    <w:rsid w:val="00250C1C"/>
    <w:rPr>
      <w:color w:val="605E5C"/>
      <w:shd w:val="clear" w:color="auto" w:fill="E1DFDD"/>
    </w:rPr>
  </w:style>
  <w:style w:type="paragraph" w:styleId="Header">
    <w:name w:val="header"/>
    <w:basedOn w:val="Normal"/>
    <w:link w:val="HeaderChar"/>
    <w:uiPriority w:val="99"/>
    <w:unhideWhenUsed/>
    <w:rsid w:val="009C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9D"/>
  </w:style>
  <w:style w:type="paragraph" w:styleId="Footer">
    <w:name w:val="footer"/>
    <w:basedOn w:val="Normal"/>
    <w:link w:val="FooterChar"/>
    <w:uiPriority w:val="99"/>
    <w:unhideWhenUsed/>
    <w:rsid w:val="009C2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9D"/>
  </w:style>
  <w:style w:type="paragraph" w:styleId="Revision">
    <w:name w:val="Revision"/>
    <w:hidden/>
    <w:uiPriority w:val="99"/>
    <w:semiHidden/>
    <w:rsid w:val="00C51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23</Pages>
  <Words>5986</Words>
  <Characters>37238</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16</cp:revision>
  <dcterms:created xsi:type="dcterms:W3CDTF">2025-07-25T10:59:00Z</dcterms:created>
  <dcterms:modified xsi:type="dcterms:W3CDTF">2025-09-22T10:27:00Z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e56395a0-c721-4a5d-bea3-625373a34c70</vt:lpwstr>
  </property>
</Properties>
</file>