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B42" w:rsidRDefault="006E7B42" w:rsidP="00760ADB">
      <w:pPr>
        <w:spacing w:line="276" w:lineRule="auto"/>
        <w:jc w:val="center"/>
        <w:rPr>
          <w:rFonts w:ascii="Times New Roman" w:eastAsia="SimSun" w:hAnsi="Times New Roman" w:cs="Times New Roman"/>
          <w:b/>
          <w:sz w:val="24"/>
          <w:szCs w:val="24"/>
        </w:rPr>
      </w:pPr>
      <w:r w:rsidRPr="006E7B42">
        <w:rPr>
          <w:rFonts w:ascii="Times New Roman" w:eastAsia="SimSun" w:hAnsi="Times New Roman" w:cs="Times New Roman"/>
          <w:b/>
          <w:sz w:val="24"/>
          <w:szCs w:val="24"/>
        </w:rPr>
        <w:t xml:space="preserve">Original Research Article </w:t>
      </w:r>
    </w:p>
    <w:p w:rsidR="006E7B42" w:rsidRDefault="006E7B42" w:rsidP="00760ADB">
      <w:pPr>
        <w:spacing w:line="276" w:lineRule="auto"/>
        <w:jc w:val="center"/>
        <w:rPr>
          <w:rFonts w:ascii="Times New Roman" w:eastAsia="SimSun" w:hAnsi="Times New Roman" w:cs="Times New Roman"/>
          <w:b/>
          <w:sz w:val="24"/>
          <w:szCs w:val="24"/>
        </w:rPr>
      </w:pPr>
    </w:p>
    <w:p w:rsidR="00FC6C4C" w:rsidRPr="00760ADB" w:rsidRDefault="00FC6C4C" w:rsidP="00760ADB">
      <w:pPr>
        <w:spacing w:line="276" w:lineRule="auto"/>
        <w:jc w:val="center"/>
        <w:rPr>
          <w:rFonts w:ascii="Times New Roman" w:eastAsia="SimSun" w:hAnsi="Times New Roman" w:cs="Times New Roman"/>
          <w:b/>
          <w:sz w:val="24"/>
          <w:szCs w:val="24"/>
        </w:rPr>
      </w:pPr>
      <w:r w:rsidRPr="00760ADB">
        <w:rPr>
          <w:rFonts w:ascii="Times New Roman" w:eastAsia="SimSun" w:hAnsi="Times New Roman" w:cs="Times New Roman"/>
          <w:b/>
          <w:sz w:val="24"/>
          <w:szCs w:val="24"/>
        </w:rPr>
        <w:t>The Role of Financial Literacy in Shaping Household Financial Asset Allocation in India (2019–2024)</w:t>
      </w:r>
    </w:p>
    <w:p w:rsidR="00FC6C4C" w:rsidRDefault="00FC6C4C" w:rsidP="00FC6C4C">
      <w:pPr>
        <w:spacing w:line="276" w:lineRule="auto"/>
        <w:jc w:val="center"/>
        <w:rPr>
          <w:rFonts w:ascii="Times New Roman" w:eastAsia="SimSun" w:hAnsi="Times New Roman" w:cs="Times New Roman"/>
          <w:sz w:val="24"/>
          <w:szCs w:val="24"/>
        </w:rPr>
      </w:pPr>
    </w:p>
    <w:p w:rsidR="001C754B" w:rsidRPr="007046AD" w:rsidRDefault="00007268" w:rsidP="00D57DBF">
      <w:pPr>
        <w:pStyle w:val="Heading3"/>
        <w:spacing w:line="276" w:lineRule="auto"/>
        <w:jc w:val="both"/>
        <w:rPr>
          <w:rFonts w:ascii="Times New Roman" w:hAnsi="Times New Roman" w:hint="default"/>
          <w:sz w:val="24"/>
          <w:szCs w:val="24"/>
        </w:rPr>
      </w:pPr>
      <w:r w:rsidRPr="007046AD">
        <w:rPr>
          <w:rStyle w:val="Strong"/>
          <w:rFonts w:ascii="Times New Roman" w:hAnsi="Times New Roman" w:hint="default"/>
          <w:b/>
          <w:bCs/>
          <w:sz w:val="24"/>
          <w:szCs w:val="24"/>
        </w:rPr>
        <w:t>ABSTRACT</w:t>
      </w:r>
    </w:p>
    <w:p w:rsidR="003E2D04" w:rsidRDefault="001C754B" w:rsidP="00C46EDE">
      <w:pPr>
        <w:shd w:val="clear" w:color="auto" w:fill="FFFFFF"/>
        <w:spacing w:line="276" w:lineRule="auto"/>
        <w:jc w:val="both"/>
        <w:rPr>
          <w:rFonts w:ascii="Times New Roman" w:eastAsia="SimSun" w:hAnsi="Times New Roman" w:cs="Times New Roman"/>
          <w:sz w:val="24"/>
          <w:szCs w:val="24"/>
        </w:rPr>
      </w:pPr>
      <w:r w:rsidRPr="007046AD">
        <w:rPr>
          <w:rFonts w:ascii="Times New Roman" w:eastAsia="SimSun" w:hAnsi="Times New Roman" w:cs="Times New Roman"/>
          <w:sz w:val="24"/>
          <w:szCs w:val="24"/>
        </w:rPr>
        <w:t xml:space="preserve">This paper focuses on the trend of household allocation of financial assets in India in the past 5 years, between 2019 and 2024. Conservative investment options that traditionally include bank deposits and cash holdings are slowly being replaced by diversified financial options like stocks, mutual funds, and pension plans within Indian households. </w:t>
      </w:r>
      <w:r w:rsidR="003E2D04" w:rsidRPr="003E2D04">
        <w:rPr>
          <w:rFonts w:ascii="Times New Roman" w:eastAsia="SimSun" w:hAnsi="Times New Roman" w:cs="Times New Roman"/>
          <w:sz w:val="24"/>
          <w:szCs w:val="24"/>
        </w:rPr>
        <w:t>This research is based on secondary sources of data, including publications of the Reserve Bank of India (RBI) and the Ministry of Statistics and Programme Implementation (MoSPI), emphasizing household asset distribution among various financial instruments.</w:t>
      </w:r>
    </w:p>
    <w:p w:rsidR="00FE4130" w:rsidRDefault="00FE4130" w:rsidP="00C46EDE">
      <w:pPr>
        <w:shd w:val="clear" w:color="auto" w:fill="FFFFFF"/>
        <w:spacing w:line="276" w:lineRule="auto"/>
        <w:jc w:val="both"/>
      </w:pPr>
    </w:p>
    <w:p w:rsidR="00C46EDE" w:rsidRPr="007046AD" w:rsidRDefault="001C754B" w:rsidP="00C46EDE">
      <w:pPr>
        <w:shd w:val="clear" w:color="auto" w:fill="FFFFFF"/>
        <w:spacing w:line="276" w:lineRule="auto"/>
        <w:jc w:val="both"/>
        <w:rPr>
          <w:rFonts w:ascii="Times New Roman" w:hAnsi="Times New Roman"/>
          <w:sz w:val="24"/>
          <w:szCs w:val="24"/>
        </w:rPr>
      </w:pPr>
      <w:r w:rsidRPr="007046AD">
        <w:rPr>
          <w:rFonts w:ascii="Times New Roman" w:hAnsi="Times New Roman"/>
          <w:sz w:val="24"/>
          <w:szCs w:val="24"/>
        </w:rPr>
        <w:t xml:space="preserve">The analysis shows that the portion of bank deposits is decreasing, and the portion of market-linked investments is increasing significantly, which indicates a slow change in the risk appetite and investment pattern. </w:t>
      </w:r>
      <w:r w:rsidR="008D0F5D" w:rsidRPr="008D0F5D">
        <w:rPr>
          <w:rFonts w:ascii="Times New Roman" w:hAnsi="Times New Roman"/>
          <w:sz w:val="24"/>
          <w:szCs w:val="24"/>
        </w:rPr>
        <w:t>The data shows little fluctuation in insurance and provident/pension funds, suggesting their continued importance as stable, long-term savings options</w:t>
      </w:r>
      <w:r w:rsidR="008D0F5D">
        <w:rPr>
          <w:rFonts w:ascii="Times New Roman" w:hAnsi="Times New Roman"/>
          <w:sz w:val="24"/>
          <w:szCs w:val="24"/>
        </w:rPr>
        <w:t xml:space="preserve">. </w:t>
      </w:r>
      <w:r w:rsidRPr="007046AD">
        <w:rPr>
          <w:rFonts w:ascii="Times New Roman" w:hAnsi="Times New Roman"/>
          <w:sz w:val="24"/>
          <w:szCs w:val="24"/>
        </w:rPr>
        <w:t>The paper also points to the increasing role of financial literacy, and the rise of online investments as a factor in household decision-making.</w:t>
      </w:r>
    </w:p>
    <w:p w:rsidR="00C46EDE" w:rsidRPr="007046AD" w:rsidRDefault="00C46EDE" w:rsidP="00C46EDE">
      <w:pPr>
        <w:shd w:val="clear" w:color="auto" w:fill="FFFFFF"/>
        <w:spacing w:line="276" w:lineRule="auto"/>
        <w:jc w:val="both"/>
        <w:rPr>
          <w:rFonts w:ascii="Times New Roman" w:hAnsi="Times New Roman"/>
          <w:sz w:val="24"/>
          <w:szCs w:val="24"/>
        </w:rPr>
      </w:pPr>
    </w:p>
    <w:p w:rsidR="001C754B" w:rsidRPr="007046AD" w:rsidRDefault="001C754B" w:rsidP="00C46EDE">
      <w:pPr>
        <w:shd w:val="clear" w:color="auto" w:fill="FFFFFF"/>
        <w:spacing w:line="276" w:lineRule="auto"/>
        <w:jc w:val="both"/>
        <w:rPr>
          <w:rFonts w:ascii="Times New Roman" w:eastAsia="SimSun" w:hAnsi="Times New Roman" w:cs="Times New Roman"/>
          <w:sz w:val="24"/>
          <w:szCs w:val="24"/>
        </w:rPr>
      </w:pPr>
      <w:r w:rsidRPr="007046AD">
        <w:rPr>
          <w:rFonts w:ascii="Times New Roman" w:hAnsi="Times New Roman"/>
          <w:sz w:val="24"/>
          <w:szCs w:val="24"/>
        </w:rPr>
        <w:t>Comparative and trend analysis deliver significant information about the changing financial environment and make a recommendation on how to improve financial education, promote the construction of balanced portfolios, and introduce a more inclusive online audience. The results are of practical value to policymakers, financial advisors, and institutions that seek to increase financial resilience and the involvement of households in formal financial markets.</w:t>
      </w:r>
    </w:p>
    <w:p w:rsidR="00895BE7" w:rsidRPr="006A3E0D" w:rsidRDefault="00F93862" w:rsidP="001C754B">
      <w:pPr>
        <w:pStyle w:val="NormalWeb"/>
        <w:spacing w:line="276" w:lineRule="auto"/>
        <w:jc w:val="both"/>
      </w:pPr>
      <w:r w:rsidRPr="006A3E0D">
        <w:rPr>
          <w:rStyle w:val="Strong"/>
        </w:rPr>
        <w:t>Keywords:</w:t>
      </w:r>
      <w:r w:rsidRPr="006A3E0D">
        <w:t xml:space="preserve"> Household savings, Financial asset allocation, Financial literacy, Digital investment platforms, India, 2019–2024, Bank deposits, Mutual funds.</w:t>
      </w:r>
    </w:p>
    <w:p w:rsidR="00895BE7" w:rsidRPr="00895BE7" w:rsidRDefault="00895BE7" w:rsidP="00895BE7">
      <w:pPr>
        <w:pStyle w:val="Heading3"/>
        <w:jc w:val="both"/>
        <w:rPr>
          <w:rFonts w:ascii="Times New Roman" w:hAnsi="Times New Roman" w:hint="default"/>
          <w:sz w:val="24"/>
          <w:szCs w:val="24"/>
        </w:rPr>
      </w:pPr>
      <w:r w:rsidRPr="00895BE7">
        <w:rPr>
          <w:rStyle w:val="Strong"/>
          <w:rFonts w:ascii="Times New Roman" w:hAnsi="Times New Roman" w:hint="default"/>
          <w:b/>
          <w:bCs/>
          <w:sz w:val="24"/>
          <w:szCs w:val="24"/>
        </w:rPr>
        <w:t>NTRODUCTION</w:t>
      </w:r>
    </w:p>
    <w:p w:rsidR="00C9325D" w:rsidRDefault="008970F9" w:rsidP="00895BE7">
      <w:pPr>
        <w:pStyle w:val="NormalWeb"/>
        <w:jc w:val="both"/>
      </w:pPr>
      <w:r w:rsidRPr="008970F9">
        <w:t xml:space="preserve">The household financial behavior in India has been changing considerably over the last couple of years, since there are structural reforms that have been undertaken, technological advancements, increased financial literacy, and modification in the general economic medium. In the past, Indian families have been conservative with their investment orientation as they have preferred risk-free investments like bank deposits, cash holdings, and insurance. Nevertheless, the household assets allocation has started experiencing changes in a slow manner to be subject to market trends of </w:t>
      </w:r>
      <w:r w:rsidRPr="008970F9">
        <w:lastRenderedPageBreak/>
        <w:t xml:space="preserve">the new age, the broader availability to any digital resource, and growing knowledge of diversified means of investments. </w:t>
      </w:r>
    </w:p>
    <w:p w:rsidR="00C9325D" w:rsidRDefault="008970F9" w:rsidP="00895BE7">
      <w:pPr>
        <w:pStyle w:val="NormalWeb"/>
        <w:jc w:val="both"/>
      </w:pPr>
      <w:r w:rsidRPr="008970F9">
        <w:t xml:space="preserve">The period of 20192024 is a decisive period of this change. This is the time of the economic shocks of the COVID-19 pandemic, the fast development of digital financial infrastructure, and the active regulatory efforts to target financial inclusion and access to markets. As a result, this has made most households rethink their saving and investment policies and have cautiously shifted towards market oriented products like stocks and mutual funds without necessarily abandoning long term products like insurance and provident funds. This shift signifies an amalgamation of risk-taking behavior and a return-seeking behavior, especially in the urban and financially literate groups. Concurrently, institutional and government programs addressing financial literacy and access to investment vehicles has influenced more households to be willing to take diversified portfolios. It is on this basis that the current study aims at analyzing the dynamics of household portfolio allocation in India during the period 2019-24. </w:t>
      </w:r>
    </w:p>
    <w:p w:rsidR="00895BE7" w:rsidRPr="00895BE7" w:rsidRDefault="008970F9" w:rsidP="00895BE7">
      <w:pPr>
        <w:pStyle w:val="NormalWeb"/>
        <w:jc w:val="both"/>
      </w:pPr>
      <w:r w:rsidRPr="008970F9">
        <w:t>It also will be able to evaluate the increasing popularity of market-based investments, stability of traditional instruments, and the impact of financial literacy and digital platforms on the household investment decision. The applications of this study will be useful to policy makers, bankers, and investors in planning comprehensive financial education and advisory programs.</w:t>
      </w:r>
    </w:p>
    <w:p w:rsidR="009777C6" w:rsidRPr="00093D40" w:rsidRDefault="009777C6" w:rsidP="00EA6CF9">
      <w:pPr>
        <w:pStyle w:val="ds-markdown-paragraph"/>
        <w:shd w:val="clear" w:color="auto" w:fill="FFFFFF"/>
        <w:spacing w:after="230" w:afterAutospacing="0" w:line="276" w:lineRule="auto"/>
        <w:jc w:val="both"/>
        <w:rPr>
          <w:rStyle w:val="Strong"/>
          <w:rFonts w:eastAsia="SimSun"/>
          <w:lang w:eastAsia="zh-CN"/>
        </w:rPr>
      </w:pPr>
      <w:r w:rsidRPr="005504A5">
        <w:rPr>
          <w:rFonts w:eastAsia="SimSun"/>
          <w:b/>
          <w:lang w:eastAsia="zh-CN"/>
        </w:rPr>
        <w:t>RESEARCH OBJECTIVES</w:t>
      </w:r>
      <w:r w:rsidRPr="007046AD">
        <w:rPr>
          <w:rFonts w:eastAsia="SimSun"/>
          <w:lang w:eastAsia="zh-CN"/>
        </w:rPr>
        <w:t xml:space="preserve"> 1. To explore the difference in household financial asset allocation in 2019-2024. 2. To examine the growth in the popularity of market based investments like stocks and mutual funds as favoured by households. 3. To evaluate the determinacy and importance of insurance and provident/pension funds to household savings behavior. 4. To assess the ability of financial literacy and digital platforms to affect household investment choices.</w:t>
      </w:r>
    </w:p>
    <w:p w:rsidR="009777C6" w:rsidRPr="007046AD" w:rsidRDefault="00007268" w:rsidP="00093D40">
      <w:pPr>
        <w:pStyle w:val="ds-markdown-paragraph"/>
        <w:shd w:val="clear" w:color="auto" w:fill="FFFFFF"/>
        <w:spacing w:after="230" w:afterAutospacing="0" w:line="276" w:lineRule="auto"/>
        <w:jc w:val="both"/>
      </w:pPr>
      <w:r w:rsidRPr="007046AD">
        <w:rPr>
          <w:rStyle w:val="Strong"/>
        </w:rPr>
        <w:t>LITERATURE REVIEW</w:t>
      </w:r>
    </w:p>
    <w:p w:rsidR="009777C6" w:rsidRPr="00030B85"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Household financial behavior has become an important field of study particularly in the context of how families manage their financial resources and what it means to wider economic development and financial inclusion. Studies by the Reserve Bank of India and the National Council of Applied Economic Research have continuously revealed in the Indian context that households have always preferred safe and liquid assets like bank deposits, cash holdings and gold. This risk aversion towards investment is indicative of deeply rooted cultural preferences and an overall distaste towards financial risk by Indian investors.</w:t>
      </w:r>
    </w:p>
    <w:p w:rsidR="009777C6" w:rsidRPr="007046AD"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 xml:space="preserve">The last few years have, however, seen a slow shift in the type of investment people make with market-based instruments such as stock, mutual funds and insurance products increasingly picking up. This has been especially apparent with city, digitally-connected families that are more financially literate and risk-takers. Research by Chakrabarti and Sanyal has found that, financial literacy is a key predictor of investment behavior or risk appetite and portfolio diversification. Their study also </w:t>
      </w:r>
      <w:r w:rsidRPr="007046AD">
        <w:rPr>
          <w:rFonts w:eastAsia="SimSun"/>
          <w:lang w:eastAsia="zh-CN"/>
        </w:rPr>
        <w:lastRenderedPageBreak/>
        <w:t>points to the long-standing urban-rural gap in the composition of investment, with households in the urban areas more willing to experiment in capital market instruments than rural households.</w:t>
      </w:r>
    </w:p>
    <w:p w:rsidR="009777C6" w:rsidRPr="007046AD"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Digital revolution in the Indian financial sector has been instrumental in changing the household investment behaviour. A study conducted by Sinha and Sinha reveals the way digital platforms have democratized financial products, reduced barriers to entry by middle-income investors, and enabled more active management of portfolios. Government efforts such as the Pradhan Mantri Jan Dhan Yojana, combined with the booming developments of fintech solutions, have only increased the pace of this transition. According to the data of the Ministry of Statistics and Programme Implementation, the trend of increased diversification in the household savings patterns is confirmed.</w:t>
      </w:r>
    </w:p>
    <w:p w:rsidR="009777C6" w:rsidRPr="004F43F0"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Irrespective of such positive trends, the investment environment in India is still faced with several challenges. The latest reports released by the Securities and Exchange Board of India point to alarming deficiencies in investor knowledge, especially in risk-return tradeoffs and appropriate risk portfolio diversification. Most new investors show behavioral biases which result in suboptimal investment choices, whether they are over-investing in the safest of safe-havens or over-investing in risky securities without due diligence.</w:t>
      </w:r>
    </w:p>
    <w:p w:rsidR="009777C6" w:rsidRPr="007046AD" w:rsidRDefault="009777C6" w:rsidP="00EA6CF9">
      <w:pPr>
        <w:pStyle w:val="ds-markdown-paragraph"/>
        <w:shd w:val="clear" w:color="auto" w:fill="FFFFFF"/>
        <w:spacing w:before="230" w:beforeAutospacing="0" w:after="230" w:afterAutospacing="0" w:line="276" w:lineRule="auto"/>
        <w:jc w:val="both"/>
        <w:rPr>
          <w:rFonts w:eastAsia="SimSun"/>
          <w:lang w:eastAsia="zh-CN"/>
        </w:rPr>
      </w:pPr>
      <w:r w:rsidRPr="007046AD">
        <w:rPr>
          <w:rFonts w:eastAsia="SimSun"/>
          <w:lang w:eastAsia="zh-CN"/>
        </w:rPr>
        <w:t>The available literature has some significant gaps which this study aims to fill. Most notably, no systematic research has been conducted to investigate the changes of household asset allocation between 2019 and 2024, which is a time frame that includes numerous economic shocks such as the COVID-19 pandemic. Also, although several studies have investigated digital access or financial literacy separately, few have investigated them jointly in relation to investment decisions. There is also excessive dependence on primary survey data and under-use of the rich secondary data provided by financial institutions such as RBI and MoSPI. In addition, studies have been biased in their attention to popular investment products such as stocks and mutual funds and have failed to address less popular products such as debentures and pension products.</w:t>
      </w:r>
    </w:p>
    <w:p w:rsidR="009777C6" w:rsidRPr="007046AD" w:rsidRDefault="00007268" w:rsidP="00EA6CF9">
      <w:pPr>
        <w:pStyle w:val="ds-markdown-paragraph"/>
        <w:shd w:val="clear" w:color="auto" w:fill="FFFFFF"/>
        <w:spacing w:before="230" w:beforeAutospacing="0" w:line="276" w:lineRule="auto"/>
        <w:jc w:val="both"/>
        <w:rPr>
          <w:b/>
        </w:rPr>
      </w:pPr>
      <w:r w:rsidRPr="007046AD">
        <w:rPr>
          <w:b/>
        </w:rPr>
        <w:t>RESEARCH GAP</w:t>
      </w:r>
    </w:p>
    <w:p w:rsidR="009777C6" w:rsidRPr="007046AD" w:rsidRDefault="009777C6" w:rsidP="00EA6CF9">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proposed study will help fill such gaps through a five-year analysis of the shifting household investment trends with detailed analysis of the influence of full access to digital and financial literacy as well as the analysis of the interaction of these two aspects using extensive sources of secondary data. The study provides a clearer picture of the changing nature of investment in India by broadening the range of the analytical findings to cover traditionally ignored financial instruments. The results will serve as important contribution to academic and policy-making in the fields of financial inclusion and investor education.</w:t>
      </w:r>
    </w:p>
    <w:p w:rsidR="005B71B4" w:rsidRPr="006A3E0D" w:rsidRDefault="00007268" w:rsidP="006A3E0D">
      <w:pPr>
        <w:pStyle w:val="Heading1"/>
        <w:shd w:val="clear" w:color="auto" w:fill="FFFFFF"/>
        <w:spacing w:after="230" w:line="276" w:lineRule="auto"/>
        <w:jc w:val="both"/>
        <w:rPr>
          <w:rFonts w:ascii="Times New Roman" w:hAnsi="Times New Roman" w:cs="Times New Roman"/>
          <w:b w:val="0"/>
          <w:bCs w:val="0"/>
          <w:color w:val="404040"/>
          <w:sz w:val="24"/>
          <w:szCs w:val="24"/>
        </w:rPr>
      </w:pPr>
      <w:r w:rsidRPr="006A3E0D">
        <w:rPr>
          <w:rStyle w:val="Strong"/>
          <w:rFonts w:ascii="Times New Roman" w:hAnsi="Times New Roman" w:cs="Times New Roman"/>
          <w:b/>
          <w:bCs/>
          <w:color w:val="404040"/>
          <w:sz w:val="24"/>
          <w:szCs w:val="24"/>
        </w:rPr>
        <w:lastRenderedPageBreak/>
        <w:t>RESEARCH METHODOLOGY</w:t>
      </w:r>
    </w:p>
    <w:p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Research Design</w:t>
      </w:r>
    </w:p>
    <w:p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current paper uses the descriptive research design to show the changes in the household financial asset allocation in India between 2019 and 2024. The strategy helps to conduct a systematic analysis of changing investment patterns and preferences of Indian households and enables a systematic comparison of financial resource allocation across asset classes.</w:t>
      </w:r>
    </w:p>
    <w:p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Nature of the Study</w:t>
      </w:r>
    </w:p>
    <w:p w:rsidR="009777C6" w:rsidRPr="00C0698F" w:rsidRDefault="009777C6" w:rsidP="00C0698F">
      <w:pPr>
        <w:pStyle w:val="ds-markdown-paragraph"/>
        <w:shd w:val="clear" w:color="auto" w:fill="FFFFFF"/>
        <w:spacing w:before="230" w:beforeAutospacing="0" w:line="276" w:lineRule="auto"/>
        <w:jc w:val="both"/>
        <w:rPr>
          <w:rStyle w:val="Strong"/>
          <w:rFonts w:eastAsia="SimSun"/>
          <w:b w:val="0"/>
          <w:bCs w:val="0"/>
          <w:lang w:eastAsia="zh-CN"/>
        </w:rPr>
      </w:pPr>
      <w:r w:rsidRPr="007046AD">
        <w:rPr>
          <w:rFonts w:eastAsia="SimSun"/>
          <w:lang w:eastAsia="zh-CN"/>
        </w:rPr>
        <w:t>The study relies solely on secondary sources (such as documents published by the Reserve Bank of India (RBI) like statistical handbooks, rep</w:t>
      </w:r>
      <w:r w:rsidR="007063C4">
        <w:rPr>
          <w:rFonts w:eastAsia="SimSun"/>
          <w:lang w:eastAsia="zh-CN"/>
        </w:rPr>
        <w:t>orts, and bulletins) and data (C</w:t>
      </w:r>
      <w:r w:rsidRPr="007046AD">
        <w:rPr>
          <w:rFonts w:eastAsia="SimSun"/>
          <w:lang w:eastAsia="zh-CN"/>
        </w:rPr>
        <w:t>ollected by the Ministry of Statistics and Programme Implementation (MoSPI)). Other information has been obtained using official government websites and financial regulatory organizations. The analysis is limited to financial instruments only with bank deposits, stocks, mutual funds, insurance products, pension and provident funds, cash holdings and debentures being included but real property and gold are left out.</w:t>
      </w:r>
    </w:p>
    <w:p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Study Period</w:t>
      </w:r>
    </w:p>
    <w:p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analysis covers a period of five years (between 2019 and 2024) to give a broad picture of the changing tendencies in household financial asset allocation in India.</w:t>
      </w:r>
    </w:p>
    <w:p w:rsidR="009777C6" w:rsidRPr="007046AD" w:rsidRDefault="005B71B4" w:rsidP="004A571F">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Data Collection Method</w:t>
      </w:r>
    </w:p>
    <w:p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data used in this research has been collected in a systematic manner using RBI publications, annual reports of MoSPI, and validated online databases. Appropriate statistical tables, graphs, and figures have been put together to aid comparative evaluation and analysis of the investment trends during the study period.</w:t>
      </w:r>
    </w:p>
    <w:p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Data Analysis Techniques</w:t>
      </w:r>
    </w:p>
    <w:p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study uses various analytical methods in order to explain the data obtained. The comparative analysis helps to evaluate changes in the asset allocation on a year-by-year basis, whereas trend analysis assists in determining the long-term behavioral tendencies in household investments. Proportional changes in the allocation of the financial assets are measured by the percentage method. To increase the clarity and visual understanding of the findings, they are described in a well-organized table and graphical form (bar charts and line graphs).</w:t>
      </w:r>
    </w:p>
    <w:p w:rsidR="005B71B4" w:rsidRPr="007046AD" w:rsidRDefault="005B71B4" w:rsidP="006A3E0D">
      <w:pPr>
        <w:pStyle w:val="Heading2"/>
        <w:shd w:val="clear" w:color="auto" w:fill="FFFFFF"/>
        <w:spacing w:before="306" w:beforeAutospacing="0" w:after="230" w:afterAutospacing="0" w:line="276" w:lineRule="auto"/>
        <w:jc w:val="both"/>
        <w:rPr>
          <w:rFonts w:ascii="Times New Roman" w:hAnsi="Times New Roman" w:hint="default"/>
          <w:b w:val="0"/>
          <w:bCs w:val="0"/>
          <w:sz w:val="24"/>
          <w:szCs w:val="24"/>
        </w:rPr>
      </w:pPr>
      <w:r w:rsidRPr="007046AD">
        <w:rPr>
          <w:rStyle w:val="Strong"/>
          <w:rFonts w:ascii="Times New Roman" w:hAnsi="Times New Roman" w:hint="default"/>
          <w:b/>
          <w:bCs/>
          <w:sz w:val="24"/>
          <w:szCs w:val="24"/>
        </w:rPr>
        <w:t>Scope of the Study</w:t>
      </w:r>
    </w:p>
    <w:p w:rsidR="009777C6" w:rsidRPr="007046AD" w:rsidRDefault="009777C6"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lastRenderedPageBreak/>
        <w:t>The scope of the study is limited to the discussion of financial asset allocation by the Indian households, focusing specifically on the impact of financial literacy and online investment tools on decision-making. The scope is very clear that it does not cover real assets like real estate and gold, and more macroeconomic variables like inflation, interest rate changes, and monetary policy changes.</w:t>
      </w:r>
    </w:p>
    <w:p w:rsidR="009777C6" w:rsidRPr="004A571F" w:rsidRDefault="005B71B4" w:rsidP="004A571F">
      <w:pPr>
        <w:pStyle w:val="Heading2"/>
        <w:shd w:val="clear" w:color="auto" w:fill="FFFFFF"/>
        <w:spacing w:before="306" w:beforeAutospacing="0" w:after="230" w:afterAutospacing="0" w:line="276" w:lineRule="auto"/>
        <w:jc w:val="both"/>
        <w:rPr>
          <w:rFonts w:ascii="Times New Roman" w:hAnsi="Times New Roman" w:hint="default"/>
          <w:b w:val="0"/>
          <w:bCs w:val="0"/>
          <w:color w:val="404040"/>
          <w:sz w:val="24"/>
          <w:szCs w:val="24"/>
        </w:rPr>
      </w:pPr>
      <w:r w:rsidRPr="006A3E0D">
        <w:rPr>
          <w:rStyle w:val="Strong"/>
          <w:rFonts w:ascii="Times New Roman" w:hAnsi="Times New Roman" w:hint="default"/>
          <w:b/>
          <w:bCs/>
          <w:color w:val="404040"/>
          <w:sz w:val="24"/>
          <w:szCs w:val="24"/>
        </w:rPr>
        <w:t>Limitations of the Study</w:t>
      </w:r>
    </w:p>
    <w:p w:rsidR="009777C6" w:rsidRPr="007046AD" w:rsidRDefault="009777C6" w:rsidP="006A3E0D">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research is limited to some extent, as it utilizes secondary data, and thus, it cannot incorporate the first-hand survey-based information. Also, the scope of the analysis is limited by the omission of real assets and macroeconomic variables. These restrictions are recognized, but the study can also inform about the changing trends of household financial investments in India during the identified period. The methodology framework provides a rigorous and systematic study of the trends in household financial asset allocation to help understand investment behavior in the Indian market better.</w:t>
      </w:r>
    </w:p>
    <w:p w:rsidR="00815217" w:rsidRPr="006A3E0D" w:rsidRDefault="00D06276" w:rsidP="006A3E0D">
      <w:pPr>
        <w:pStyle w:val="NormalWeb"/>
        <w:spacing w:line="276" w:lineRule="auto"/>
        <w:jc w:val="both"/>
        <w:rPr>
          <w:b/>
          <w:bCs/>
        </w:rPr>
      </w:pPr>
      <w:r w:rsidRPr="006A3E0D">
        <w:rPr>
          <w:b/>
          <w:bCs/>
        </w:rPr>
        <w:t>Data Analysis and Discussion:</w:t>
      </w:r>
    </w:p>
    <w:p w:rsidR="00187A89" w:rsidRPr="006A3E0D" w:rsidRDefault="00187A89" w:rsidP="006A3E0D">
      <w:pPr>
        <w:pStyle w:val="Caption"/>
        <w:keepNext/>
        <w:spacing w:line="276" w:lineRule="auto"/>
        <w:jc w:val="both"/>
        <w:rPr>
          <w:rFonts w:ascii="Times New Roman" w:hAnsi="Times New Roman" w:cs="Times New Roman"/>
          <w:i/>
          <w:color w:val="auto"/>
          <w:sz w:val="24"/>
          <w:szCs w:val="24"/>
        </w:rPr>
      </w:pPr>
      <w:r w:rsidRPr="006A3E0D">
        <w:rPr>
          <w:rFonts w:ascii="Times New Roman" w:hAnsi="Times New Roman" w:cs="Times New Roman"/>
          <w:i/>
          <w:color w:val="auto"/>
          <w:sz w:val="24"/>
          <w:szCs w:val="24"/>
        </w:rPr>
        <w:t xml:space="preserve">Table </w:t>
      </w:r>
      <w:r w:rsidR="00F37C40" w:rsidRPr="006A3E0D">
        <w:rPr>
          <w:rFonts w:ascii="Times New Roman" w:hAnsi="Times New Roman" w:cs="Times New Roman"/>
          <w:i/>
          <w:color w:val="auto"/>
          <w:sz w:val="24"/>
          <w:szCs w:val="24"/>
        </w:rPr>
        <w:fldChar w:fldCharType="begin"/>
      </w:r>
      <w:r w:rsidRPr="006A3E0D">
        <w:rPr>
          <w:rFonts w:ascii="Times New Roman" w:hAnsi="Times New Roman" w:cs="Times New Roman"/>
          <w:i/>
          <w:color w:val="auto"/>
          <w:sz w:val="24"/>
          <w:szCs w:val="24"/>
        </w:rPr>
        <w:instrText xml:space="preserve"> SEQ Table \* ARABIC </w:instrText>
      </w:r>
      <w:r w:rsidR="00F37C40" w:rsidRPr="006A3E0D">
        <w:rPr>
          <w:rFonts w:ascii="Times New Roman" w:hAnsi="Times New Roman" w:cs="Times New Roman"/>
          <w:i/>
          <w:color w:val="auto"/>
          <w:sz w:val="24"/>
          <w:szCs w:val="24"/>
        </w:rPr>
        <w:fldChar w:fldCharType="separate"/>
      </w:r>
      <w:r w:rsidR="00ED46B9" w:rsidRPr="006A3E0D">
        <w:rPr>
          <w:rFonts w:ascii="Times New Roman" w:hAnsi="Times New Roman" w:cs="Times New Roman"/>
          <w:i/>
          <w:noProof/>
          <w:color w:val="auto"/>
          <w:sz w:val="24"/>
          <w:szCs w:val="24"/>
        </w:rPr>
        <w:t>1</w:t>
      </w:r>
      <w:r w:rsidR="00F37C40" w:rsidRPr="006A3E0D">
        <w:rPr>
          <w:rFonts w:ascii="Times New Roman" w:hAnsi="Times New Roman" w:cs="Times New Roman"/>
          <w:i/>
          <w:color w:val="auto"/>
          <w:sz w:val="24"/>
          <w:szCs w:val="24"/>
        </w:rPr>
        <w:fldChar w:fldCharType="end"/>
      </w:r>
      <w:r w:rsidR="00AD261A" w:rsidRPr="006A3E0D">
        <w:rPr>
          <w:rFonts w:ascii="Times New Roman" w:hAnsi="Times New Roman" w:cs="Times New Roman"/>
          <w:i/>
          <w:color w:val="auto"/>
          <w:sz w:val="24"/>
          <w:szCs w:val="24"/>
        </w:rPr>
        <w:t>Household Financial Asset Allocation – 2019</w:t>
      </w:r>
    </w:p>
    <w:tbl>
      <w:tblPr>
        <w:tblStyle w:val="TableClassic3"/>
        <w:tblW w:w="5000" w:type="pct"/>
        <w:tblLook w:val="04A0"/>
      </w:tblPr>
      <w:tblGrid>
        <w:gridCol w:w="5071"/>
        <w:gridCol w:w="3451"/>
      </w:tblGrid>
      <w:tr w:rsidR="00590599" w:rsidRPr="006A3E0D" w:rsidTr="00590599">
        <w:trPr>
          <w:cnfStyle w:val="100000000000"/>
        </w:trPr>
        <w:tc>
          <w:tcPr>
            <w:cnfStyle w:val="001000000000"/>
            <w:tcW w:w="2975" w:type="pct"/>
            <w:vAlign w:val="center"/>
          </w:tcPr>
          <w:p w:rsidR="00590599" w:rsidRPr="006A3E0D" w:rsidRDefault="00590599" w:rsidP="006A3E0D">
            <w:pPr>
              <w:spacing w:line="276" w:lineRule="auto"/>
              <w:jc w:val="both"/>
              <w:rPr>
                <w:rFonts w:ascii="Times New Roman" w:hAnsi="Times New Roman" w:cs="Times New Roman"/>
                <w:sz w:val="24"/>
                <w:szCs w:val="24"/>
              </w:rPr>
            </w:pPr>
            <w:r w:rsidRPr="006A3E0D">
              <w:rPr>
                <w:rStyle w:val="Strong"/>
                <w:rFonts w:ascii="Times New Roman" w:hAnsi="Times New Roman" w:cs="Times New Roman"/>
                <w:sz w:val="24"/>
                <w:szCs w:val="24"/>
              </w:rPr>
              <w:t>Asset Type</w:t>
            </w:r>
          </w:p>
        </w:tc>
        <w:tc>
          <w:tcPr>
            <w:tcW w:w="2025" w:type="pct"/>
            <w:vAlign w:val="center"/>
          </w:tcPr>
          <w:p w:rsidR="00590599" w:rsidRPr="006A3E0D" w:rsidRDefault="00590599" w:rsidP="006A3E0D">
            <w:pPr>
              <w:spacing w:line="276" w:lineRule="auto"/>
              <w:jc w:val="both"/>
              <w:cnfStyle w:val="100000000000"/>
              <w:rPr>
                <w:rFonts w:ascii="Times New Roman" w:hAnsi="Times New Roman" w:cs="Times New Roman"/>
                <w:sz w:val="24"/>
                <w:szCs w:val="24"/>
              </w:rPr>
            </w:pPr>
            <w:r w:rsidRPr="006A3E0D">
              <w:rPr>
                <w:rStyle w:val="Strong"/>
                <w:rFonts w:ascii="Times New Roman" w:hAnsi="Times New Roman" w:cs="Times New Roman"/>
                <w:sz w:val="24"/>
                <w:szCs w:val="24"/>
              </w:rPr>
              <w:t>Percentage (%)</w:t>
            </w:r>
          </w:p>
        </w:tc>
      </w:tr>
      <w:tr w:rsidR="00590599" w:rsidRPr="006A3E0D" w:rsidTr="00590599">
        <w:tc>
          <w:tcPr>
            <w:cnfStyle w:val="001000000000"/>
            <w:tcW w:w="2975" w:type="pct"/>
            <w:vAlign w:val="center"/>
          </w:tcPr>
          <w:p w:rsidR="00590599" w:rsidRPr="006A3E0D" w:rsidRDefault="0059059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Bank Deposits</w:t>
            </w:r>
          </w:p>
        </w:tc>
        <w:tc>
          <w:tcPr>
            <w:tcW w:w="2025" w:type="pct"/>
            <w:vAlign w:val="center"/>
          </w:tcPr>
          <w:p w:rsidR="00590599" w:rsidRPr="006A3E0D" w:rsidRDefault="0059059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46.3%</w:t>
            </w:r>
          </w:p>
        </w:tc>
      </w:tr>
      <w:tr w:rsidR="00590599" w:rsidRPr="006A3E0D" w:rsidTr="00590599">
        <w:tc>
          <w:tcPr>
            <w:cnfStyle w:val="001000000000"/>
            <w:tcW w:w="2975" w:type="pct"/>
            <w:vAlign w:val="center"/>
          </w:tcPr>
          <w:p w:rsidR="00590599" w:rsidRPr="006A3E0D" w:rsidRDefault="00C96D0A"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Stocks </w:t>
            </w:r>
            <w:r w:rsidR="00326578" w:rsidRPr="006A3E0D">
              <w:rPr>
                <w:rFonts w:ascii="Times New Roman" w:hAnsi="Times New Roman" w:cs="Times New Roman"/>
                <w:sz w:val="24"/>
                <w:szCs w:val="24"/>
              </w:rPr>
              <w:t xml:space="preserve">and investment </w:t>
            </w:r>
            <w:r w:rsidRPr="006A3E0D">
              <w:rPr>
                <w:rFonts w:ascii="Times New Roman" w:hAnsi="Times New Roman" w:cs="Times New Roman"/>
                <w:sz w:val="24"/>
                <w:szCs w:val="24"/>
              </w:rPr>
              <w:t xml:space="preserve">funds </w:t>
            </w:r>
          </w:p>
        </w:tc>
        <w:tc>
          <w:tcPr>
            <w:tcW w:w="2025" w:type="pct"/>
            <w:vAlign w:val="center"/>
          </w:tcPr>
          <w:p w:rsidR="00590599" w:rsidRPr="006A3E0D" w:rsidRDefault="0059059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15.7%</w:t>
            </w:r>
          </w:p>
        </w:tc>
      </w:tr>
      <w:tr w:rsidR="00590599" w:rsidRPr="006A3E0D" w:rsidTr="00590599">
        <w:tc>
          <w:tcPr>
            <w:cnfStyle w:val="001000000000"/>
            <w:tcW w:w="2975" w:type="pct"/>
            <w:vAlign w:val="center"/>
          </w:tcPr>
          <w:p w:rsidR="00590599" w:rsidRPr="006A3E0D" w:rsidRDefault="006D095E"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Insurance and </w:t>
            </w:r>
            <w:r w:rsidR="00590599" w:rsidRPr="006A3E0D">
              <w:rPr>
                <w:rFonts w:ascii="Times New Roman" w:hAnsi="Times New Roman" w:cs="Times New Roman"/>
                <w:sz w:val="24"/>
                <w:szCs w:val="24"/>
              </w:rPr>
              <w:t>Provident Fund/Pension</w:t>
            </w:r>
          </w:p>
        </w:tc>
        <w:tc>
          <w:tcPr>
            <w:tcW w:w="2025" w:type="pct"/>
            <w:vAlign w:val="center"/>
          </w:tcPr>
          <w:p w:rsidR="00590599" w:rsidRPr="006A3E0D" w:rsidRDefault="006D095E"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28.6</w:t>
            </w:r>
            <w:r w:rsidR="00590599" w:rsidRPr="006A3E0D">
              <w:rPr>
                <w:rFonts w:ascii="Times New Roman" w:hAnsi="Times New Roman" w:cs="Times New Roman"/>
                <w:sz w:val="24"/>
                <w:szCs w:val="24"/>
              </w:rPr>
              <w:t>%</w:t>
            </w:r>
          </w:p>
        </w:tc>
      </w:tr>
      <w:tr w:rsidR="00590599" w:rsidRPr="006A3E0D" w:rsidTr="00590599">
        <w:tc>
          <w:tcPr>
            <w:cnfStyle w:val="001000000000"/>
            <w:tcW w:w="2975" w:type="pct"/>
            <w:vAlign w:val="center"/>
          </w:tcPr>
          <w:p w:rsidR="00590599" w:rsidRPr="006A3E0D" w:rsidRDefault="0059059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Cash Holdings</w:t>
            </w:r>
          </w:p>
        </w:tc>
        <w:tc>
          <w:tcPr>
            <w:tcW w:w="2025" w:type="pct"/>
            <w:vAlign w:val="center"/>
          </w:tcPr>
          <w:p w:rsidR="00590599" w:rsidRPr="006A3E0D" w:rsidRDefault="0059059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8.6%</w:t>
            </w:r>
          </w:p>
        </w:tc>
      </w:tr>
      <w:tr w:rsidR="00590599" w:rsidRPr="006A3E0D" w:rsidTr="00590599">
        <w:tc>
          <w:tcPr>
            <w:cnfStyle w:val="001000000000"/>
            <w:tcW w:w="2975" w:type="pct"/>
            <w:vAlign w:val="center"/>
          </w:tcPr>
          <w:p w:rsidR="00590599" w:rsidRPr="006A3E0D" w:rsidRDefault="00C96D0A"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Debentures</w:t>
            </w:r>
          </w:p>
        </w:tc>
        <w:tc>
          <w:tcPr>
            <w:tcW w:w="2025" w:type="pct"/>
            <w:vAlign w:val="center"/>
          </w:tcPr>
          <w:p w:rsidR="00590599" w:rsidRPr="006A3E0D" w:rsidRDefault="00C96D0A" w:rsidP="009F4651">
            <w:pPr>
              <w:keepNext/>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0.8</w:t>
            </w:r>
            <w:r w:rsidR="00590599" w:rsidRPr="006A3E0D">
              <w:rPr>
                <w:rFonts w:ascii="Times New Roman" w:hAnsi="Times New Roman" w:cs="Times New Roman"/>
                <w:sz w:val="24"/>
                <w:szCs w:val="24"/>
              </w:rPr>
              <w:t>%</w:t>
            </w:r>
          </w:p>
        </w:tc>
      </w:tr>
    </w:tbl>
    <w:p w:rsidR="009640DC" w:rsidRPr="009F4651" w:rsidRDefault="009F4651" w:rsidP="009F4651">
      <w:pPr>
        <w:pStyle w:val="Caption"/>
        <w:rPr>
          <w:rFonts w:ascii="Times New Roman" w:hAnsi="Times New Roman" w:cs="Times New Roman"/>
          <w:b w:val="0"/>
          <w:bCs w:val="0"/>
          <w:i/>
          <w:sz w:val="24"/>
          <w:szCs w:val="24"/>
        </w:rPr>
      </w:pPr>
      <w:r w:rsidRPr="009F4651">
        <w:rPr>
          <w:i/>
        </w:rPr>
        <w:t>Source: Reserve Bank of India. (2019). Handbook of Statistics on the Indian Economy</w:t>
      </w:r>
    </w:p>
    <w:p w:rsidR="00393D70" w:rsidRPr="007046AD" w:rsidRDefault="00393D70" w:rsidP="00B94270">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Recent household financial asset allocation data published in 2019 show that a large part of savings went to bank deposits, with 46.3% of total savings deposited. This shows that Indian households are inclined to safe and liquid investments. The next in line was insurance and provident/pension funds with 28.6 of the allocation, showing a moderate emphasis on financial long-term planning and risk insurance. Investment in stocks and mutual funds represented 15.7, which indicates a relatively conservative attitude towards market-based instruments because of the risks involved. A minimal but necessary liquidity preference of daily needs or emergencies was reflected in the cash holdings of 8.6% of the financial assets. Debentures occupied the lowest position at only 0.8, which reflects a low tendency toward non-bank financing instruments. In general, the financial behaviour of households in 2019 is characterized by a conservative tendency as high-risk high-reward investments are replaced by safety and stability.</w:t>
      </w:r>
    </w:p>
    <w:p w:rsidR="00392CC3" w:rsidRPr="006A3E0D" w:rsidRDefault="00392CC3" w:rsidP="006A3E0D">
      <w:pPr>
        <w:pStyle w:val="NormalWeb"/>
        <w:spacing w:beforeAutospacing="0" w:afterAutospacing="0" w:line="276" w:lineRule="auto"/>
        <w:jc w:val="both"/>
        <w:rPr>
          <w:b/>
          <w:bCs/>
        </w:rPr>
      </w:pPr>
    </w:p>
    <w:p w:rsidR="00187A89" w:rsidRPr="006A3E0D" w:rsidRDefault="00187A89" w:rsidP="006A3E0D">
      <w:pPr>
        <w:pStyle w:val="Caption"/>
        <w:keepNext/>
        <w:spacing w:line="276" w:lineRule="auto"/>
        <w:jc w:val="both"/>
        <w:rPr>
          <w:rFonts w:ascii="Times New Roman" w:hAnsi="Times New Roman" w:cs="Times New Roman"/>
          <w:i/>
          <w:color w:val="auto"/>
          <w:sz w:val="24"/>
          <w:szCs w:val="24"/>
        </w:rPr>
      </w:pPr>
      <w:r w:rsidRPr="006A3E0D">
        <w:rPr>
          <w:rFonts w:ascii="Times New Roman" w:hAnsi="Times New Roman" w:cs="Times New Roman"/>
          <w:i/>
          <w:color w:val="auto"/>
          <w:sz w:val="24"/>
          <w:szCs w:val="24"/>
        </w:rPr>
        <w:lastRenderedPageBreak/>
        <w:t xml:space="preserve">Table 2 </w:t>
      </w:r>
      <w:r w:rsidR="00560AAC" w:rsidRPr="006A3E0D">
        <w:rPr>
          <w:rFonts w:ascii="Times New Roman" w:hAnsi="Times New Roman" w:cs="Times New Roman"/>
          <w:i/>
          <w:color w:val="auto"/>
          <w:sz w:val="24"/>
          <w:szCs w:val="24"/>
        </w:rPr>
        <w:t>Household Financial Asset Allocation – 2024</w:t>
      </w:r>
    </w:p>
    <w:tbl>
      <w:tblPr>
        <w:tblStyle w:val="TableClassic3"/>
        <w:tblW w:w="5000" w:type="pct"/>
        <w:tblLook w:val="04A0"/>
      </w:tblPr>
      <w:tblGrid>
        <w:gridCol w:w="5071"/>
        <w:gridCol w:w="3451"/>
      </w:tblGrid>
      <w:tr w:rsidR="00590599" w:rsidRPr="006A3E0D" w:rsidTr="000D4BF8">
        <w:trPr>
          <w:cnfStyle w:val="100000000000"/>
        </w:trPr>
        <w:tc>
          <w:tcPr>
            <w:cnfStyle w:val="001000000000"/>
            <w:tcW w:w="2975" w:type="pct"/>
            <w:vAlign w:val="center"/>
          </w:tcPr>
          <w:p w:rsidR="00590599" w:rsidRPr="006A3E0D" w:rsidRDefault="00590599" w:rsidP="006A3E0D">
            <w:pPr>
              <w:spacing w:line="276" w:lineRule="auto"/>
              <w:jc w:val="both"/>
              <w:rPr>
                <w:rFonts w:ascii="Times New Roman" w:hAnsi="Times New Roman" w:cs="Times New Roman"/>
                <w:sz w:val="24"/>
                <w:szCs w:val="24"/>
              </w:rPr>
            </w:pPr>
            <w:r w:rsidRPr="006A3E0D">
              <w:rPr>
                <w:rStyle w:val="Strong"/>
                <w:rFonts w:ascii="Times New Roman" w:hAnsi="Times New Roman" w:cs="Times New Roman"/>
                <w:sz w:val="24"/>
                <w:szCs w:val="24"/>
              </w:rPr>
              <w:t>Asset Type</w:t>
            </w:r>
          </w:p>
        </w:tc>
        <w:tc>
          <w:tcPr>
            <w:tcW w:w="2025" w:type="pct"/>
            <w:vAlign w:val="center"/>
          </w:tcPr>
          <w:p w:rsidR="00590599" w:rsidRPr="006A3E0D" w:rsidRDefault="00590599" w:rsidP="006A3E0D">
            <w:pPr>
              <w:spacing w:line="276" w:lineRule="auto"/>
              <w:jc w:val="both"/>
              <w:cnfStyle w:val="100000000000"/>
              <w:rPr>
                <w:rFonts w:ascii="Times New Roman" w:hAnsi="Times New Roman" w:cs="Times New Roman"/>
                <w:sz w:val="24"/>
                <w:szCs w:val="24"/>
              </w:rPr>
            </w:pPr>
            <w:r w:rsidRPr="006A3E0D">
              <w:rPr>
                <w:rStyle w:val="Strong"/>
                <w:rFonts w:ascii="Times New Roman" w:hAnsi="Times New Roman" w:cs="Times New Roman"/>
                <w:sz w:val="24"/>
                <w:szCs w:val="24"/>
              </w:rPr>
              <w:t>Percentage (%)</w:t>
            </w:r>
          </w:p>
        </w:tc>
      </w:tr>
      <w:tr w:rsidR="00876A73" w:rsidRPr="006A3E0D" w:rsidTr="000D4BF8">
        <w:tc>
          <w:tcPr>
            <w:cnfStyle w:val="001000000000"/>
            <w:tcW w:w="2975" w:type="pct"/>
            <w:vAlign w:val="center"/>
          </w:tcPr>
          <w:p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Bank Deposits</w:t>
            </w:r>
          </w:p>
        </w:tc>
        <w:tc>
          <w:tcPr>
            <w:tcW w:w="2025" w:type="pct"/>
            <w:vAlign w:val="center"/>
          </w:tcPr>
          <w:p w:rsidR="00876A73" w:rsidRPr="006A3E0D" w:rsidRDefault="00876A73"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40.6%</w:t>
            </w:r>
          </w:p>
        </w:tc>
      </w:tr>
      <w:tr w:rsidR="00876A73" w:rsidRPr="006A3E0D" w:rsidTr="000D4BF8">
        <w:tc>
          <w:tcPr>
            <w:cnfStyle w:val="001000000000"/>
            <w:tcW w:w="2975" w:type="pct"/>
            <w:vAlign w:val="center"/>
          </w:tcPr>
          <w:p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Stocks and investment funds </w:t>
            </w:r>
          </w:p>
        </w:tc>
        <w:tc>
          <w:tcPr>
            <w:tcW w:w="2025" w:type="pct"/>
            <w:vAlign w:val="center"/>
          </w:tcPr>
          <w:p w:rsidR="00876A73" w:rsidRPr="006A3E0D" w:rsidRDefault="00876A73"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22.4%</w:t>
            </w:r>
          </w:p>
        </w:tc>
      </w:tr>
      <w:tr w:rsidR="00876A73" w:rsidRPr="006A3E0D" w:rsidTr="000D4BF8">
        <w:tc>
          <w:tcPr>
            <w:cnfStyle w:val="001000000000"/>
            <w:tcW w:w="2975" w:type="pct"/>
            <w:vAlign w:val="center"/>
          </w:tcPr>
          <w:p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Insurance and Provident Fund/Pension</w:t>
            </w:r>
          </w:p>
        </w:tc>
        <w:tc>
          <w:tcPr>
            <w:tcW w:w="2025" w:type="pct"/>
            <w:vAlign w:val="center"/>
          </w:tcPr>
          <w:p w:rsidR="00876A73" w:rsidRPr="006A3E0D" w:rsidRDefault="00876A73"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28.8%</w:t>
            </w:r>
          </w:p>
        </w:tc>
      </w:tr>
      <w:tr w:rsidR="00876A73" w:rsidRPr="006A3E0D" w:rsidTr="000D4BF8">
        <w:tc>
          <w:tcPr>
            <w:cnfStyle w:val="001000000000"/>
            <w:tcW w:w="2975" w:type="pct"/>
            <w:vAlign w:val="center"/>
          </w:tcPr>
          <w:p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Cash Holdings</w:t>
            </w:r>
          </w:p>
        </w:tc>
        <w:tc>
          <w:tcPr>
            <w:tcW w:w="2025" w:type="pct"/>
            <w:vAlign w:val="center"/>
          </w:tcPr>
          <w:p w:rsidR="00876A73" w:rsidRPr="006A3E0D" w:rsidRDefault="00876A73"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7.6%</w:t>
            </w:r>
          </w:p>
        </w:tc>
      </w:tr>
      <w:tr w:rsidR="00876A73" w:rsidRPr="006A3E0D" w:rsidTr="000D4BF8">
        <w:tc>
          <w:tcPr>
            <w:cnfStyle w:val="001000000000"/>
            <w:tcW w:w="2975" w:type="pct"/>
            <w:vAlign w:val="center"/>
          </w:tcPr>
          <w:p w:rsidR="00876A73" w:rsidRPr="006A3E0D" w:rsidRDefault="00876A73"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Debentures</w:t>
            </w:r>
          </w:p>
        </w:tc>
        <w:tc>
          <w:tcPr>
            <w:tcW w:w="2025" w:type="pct"/>
            <w:vAlign w:val="center"/>
          </w:tcPr>
          <w:p w:rsidR="00876A73" w:rsidRPr="006A3E0D" w:rsidRDefault="00876A73" w:rsidP="003D3E8D">
            <w:pPr>
              <w:keepNext/>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0.6%</w:t>
            </w:r>
          </w:p>
        </w:tc>
      </w:tr>
    </w:tbl>
    <w:p w:rsidR="00393D70" w:rsidRPr="004A571F" w:rsidRDefault="003D3E8D" w:rsidP="004A571F">
      <w:pPr>
        <w:pStyle w:val="Caption"/>
        <w:rPr>
          <w:rFonts w:ascii="Times New Roman" w:hAnsi="Times New Roman" w:cs="Times New Roman"/>
          <w:i/>
          <w:sz w:val="24"/>
          <w:szCs w:val="24"/>
        </w:rPr>
      </w:pPr>
      <w:r w:rsidRPr="003D3E8D">
        <w:rPr>
          <w:i/>
        </w:rPr>
        <w:t>Source: Reserve Bank of India. (2024). Handbook of Statistics on the Indian Economy</w:t>
      </w:r>
    </w:p>
    <w:p w:rsidR="00392CC3" w:rsidRPr="007046AD" w:rsidRDefault="00393D70" w:rsidP="007046AD">
      <w:pPr>
        <w:pStyle w:val="ds-markdown-paragraph"/>
        <w:shd w:val="clear" w:color="auto" w:fill="FFFFFF"/>
        <w:spacing w:before="230" w:beforeAutospacing="0" w:line="276" w:lineRule="auto"/>
        <w:jc w:val="both"/>
        <w:rPr>
          <w:rFonts w:eastAsia="SimSun"/>
          <w:lang w:eastAsia="zh-CN"/>
        </w:rPr>
      </w:pPr>
      <w:r w:rsidRPr="007046AD">
        <w:rPr>
          <w:rFonts w:eastAsia="SimSun"/>
          <w:lang w:eastAsia="zh-CN"/>
        </w:rPr>
        <w:t>The household financial asset allocation trend in 2024 shows a minor change to diversified and growth oriented investment channels. Bank deposits remain important at 40.6, but it declined over 2019, which means that the company will be less dependent on conventional savings tools. The proportion of stocks and investment funds has been growing significantly, and now occupies 22.4 percent of total financial assets, indicating the growing household focus on capital markets, and their readiness to risk more in search of potentially greater returns. Provident/pension funds and insurance are also stable at 28.8, as they have confidence in financial protection in the long term. The cash holdings are slightly lower at 7.6 percent and may reflect better financial planning and reduced reliance on idle liquid assets. Their presence as a less preferred investment tool has been slightly decreasing to 0.6 assigned to debentures. This general pattern indicates that, as households become more financially literate and more actively engaged in the market, they increasingly switch to a less conservative financial mode and more diversified investment strategy in 2024.</w:t>
      </w:r>
    </w:p>
    <w:p w:rsidR="00ED46B9" w:rsidRPr="006A3E0D" w:rsidRDefault="00ED46B9" w:rsidP="006A3E0D">
      <w:pPr>
        <w:pStyle w:val="Caption"/>
        <w:keepNext/>
        <w:spacing w:line="276" w:lineRule="auto"/>
        <w:jc w:val="both"/>
        <w:rPr>
          <w:rFonts w:ascii="Times New Roman" w:hAnsi="Times New Roman" w:cs="Times New Roman"/>
          <w:i/>
          <w:color w:val="auto"/>
          <w:sz w:val="24"/>
          <w:szCs w:val="24"/>
        </w:rPr>
      </w:pPr>
      <w:r w:rsidRPr="006A3E0D">
        <w:rPr>
          <w:rFonts w:ascii="Times New Roman" w:hAnsi="Times New Roman" w:cs="Times New Roman"/>
          <w:i/>
          <w:color w:val="auto"/>
          <w:sz w:val="24"/>
          <w:szCs w:val="24"/>
        </w:rPr>
        <w:t>Table 3 Comparative analysis in Family Expenditure Pattern in 2019 &amp; 2024</w:t>
      </w:r>
    </w:p>
    <w:tbl>
      <w:tblPr>
        <w:tblStyle w:val="TableClassic3"/>
        <w:tblW w:w="5000" w:type="pct"/>
        <w:tblLook w:val="04A0"/>
      </w:tblPr>
      <w:tblGrid>
        <w:gridCol w:w="4675"/>
        <w:gridCol w:w="1924"/>
        <w:gridCol w:w="1923"/>
      </w:tblGrid>
      <w:tr w:rsidR="00815217" w:rsidRPr="006A3E0D" w:rsidTr="00ED46B9">
        <w:trPr>
          <w:cnfStyle w:val="100000000000"/>
        </w:trPr>
        <w:tc>
          <w:tcPr>
            <w:cnfStyle w:val="001000000000"/>
            <w:tcW w:w="2743" w:type="pct"/>
          </w:tcPr>
          <w:p w:rsidR="00815217" w:rsidRPr="006A3E0D" w:rsidRDefault="00D06276" w:rsidP="006A3E0D">
            <w:pPr>
              <w:spacing w:line="276" w:lineRule="auto"/>
              <w:jc w:val="both"/>
              <w:rPr>
                <w:rFonts w:ascii="Times New Roman" w:hAnsi="Times New Roman" w:cs="Times New Roman"/>
                <w:bCs w:val="0"/>
                <w:sz w:val="24"/>
                <w:szCs w:val="24"/>
              </w:rPr>
            </w:pPr>
            <w:r w:rsidRPr="006A3E0D">
              <w:rPr>
                <w:rFonts w:ascii="Times New Roman" w:eastAsia="SimSun" w:hAnsi="Times New Roman" w:cs="Times New Roman"/>
                <w:sz w:val="24"/>
                <w:szCs w:val="24"/>
              </w:rPr>
              <w:t>Category</w:t>
            </w:r>
          </w:p>
        </w:tc>
        <w:tc>
          <w:tcPr>
            <w:tcW w:w="1129" w:type="pct"/>
          </w:tcPr>
          <w:p w:rsidR="00815217" w:rsidRPr="006A3E0D" w:rsidRDefault="00D06276" w:rsidP="006A3E0D">
            <w:pPr>
              <w:spacing w:line="276" w:lineRule="auto"/>
              <w:jc w:val="both"/>
              <w:cnfStyle w:val="100000000000"/>
              <w:rPr>
                <w:rFonts w:ascii="Times New Roman" w:hAnsi="Times New Roman" w:cs="Times New Roman"/>
                <w:bCs w:val="0"/>
                <w:sz w:val="24"/>
                <w:szCs w:val="24"/>
              </w:rPr>
            </w:pPr>
            <w:r w:rsidRPr="006A3E0D">
              <w:rPr>
                <w:rFonts w:ascii="Times New Roman" w:eastAsia="SimSun" w:hAnsi="Times New Roman" w:cs="Times New Roman"/>
                <w:sz w:val="24"/>
                <w:szCs w:val="24"/>
              </w:rPr>
              <w:t>2019 (%)</w:t>
            </w:r>
          </w:p>
        </w:tc>
        <w:tc>
          <w:tcPr>
            <w:tcW w:w="1128" w:type="pct"/>
          </w:tcPr>
          <w:p w:rsidR="00815217" w:rsidRPr="006A3E0D" w:rsidRDefault="00D06276" w:rsidP="006A3E0D">
            <w:pPr>
              <w:spacing w:line="276" w:lineRule="auto"/>
              <w:jc w:val="both"/>
              <w:cnfStyle w:val="100000000000"/>
              <w:rPr>
                <w:rFonts w:ascii="Times New Roman" w:hAnsi="Times New Roman" w:cs="Times New Roman"/>
                <w:bCs w:val="0"/>
                <w:sz w:val="24"/>
                <w:szCs w:val="24"/>
              </w:rPr>
            </w:pPr>
            <w:r w:rsidRPr="006A3E0D">
              <w:rPr>
                <w:rFonts w:ascii="Times New Roman" w:eastAsia="SimSun" w:hAnsi="Times New Roman" w:cs="Times New Roman"/>
                <w:sz w:val="24"/>
                <w:szCs w:val="24"/>
              </w:rPr>
              <w:t>2024 (%)</w:t>
            </w:r>
          </w:p>
        </w:tc>
      </w:tr>
      <w:tr w:rsidR="00DA54D9" w:rsidRPr="006A3E0D" w:rsidTr="00FA4B21">
        <w:tc>
          <w:tcPr>
            <w:cnfStyle w:val="001000000000"/>
            <w:tcW w:w="2743" w:type="pct"/>
            <w:vAlign w:val="center"/>
          </w:tcPr>
          <w:p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Bank Deposits</w:t>
            </w:r>
          </w:p>
        </w:tc>
        <w:tc>
          <w:tcPr>
            <w:tcW w:w="1129"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46.3%</w:t>
            </w:r>
          </w:p>
        </w:tc>
        <w:tc>
          <w:tcPr>
            <w:tcW w:w="1128"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40.6%</w:t>
            </w:r>
          </w:p>
        </w:tc>
      </w:tr>
      <w:tr w:rsidR="00DA54D9" w:rsidRPr="006A3E0D" w:rsidTr="00FA4B21">
        <w:tc>
          <w:tcPr>
            <w:cnfStyle w:val="001000000000"/>
            <w:tcW w:w="2743" w:type="pct"/>
            <w:vAlign w:val="center"/>
          </w:tcPr>
          <w:p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 xml:space="preserve">Stocks and investment funds </w:t>
            </w:r>
          </w:p>
        </w:tc>
        <w:tc>
          <w:tcPr>
            <w:tcW w:w="1129"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15.7%</w:t>
            </w:r>
          </w:p>
        </w:tc>
        <w:tc>
          <w:tcPr>
            <w:tcW w:w="1128"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22.4%</w:t>
            </w:r>
          </w:p>
        </w:tc>
      </w:tr>
      <w:tr w:rsidR="00DA54D9" w:rsidRPr="006A3E0D" w:rsidTr="00FA4B21">
        <w:tc>
          <w:tcPr>
            <w:cnfStyle w:val="001000000000"/>
            <w:tcW w:w="2743" w:type="pct"/>
            <w:vAlign w:val="center"/>
          </w:tcPr>
          <w:p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Insurance and Provident Fund/Pension</w:t>
            </w:r>
          </w:p>
        </w:tc>
        <w:tc>
          <w:tcPr>
            <w:tcW w:w="1129"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28.6%</w:t>
            </w:r>
          </w:p>
        </w:tc>
        <w:tc>
          <w:tcPr>
            <w:tcW w:w="1128"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28.8%</w:t>
            </w:r>
          </w:p>
        </w:tc>
      </w:tr>
      <w:tr w:rsidR="00DA54D9" w:rsidRPr="006A3E0D" w:rsidTr="00FA4B21">
        <w:tc>
          <w:tcPr>
            <w:cnfStyle w:val="001000000000"/>
            <w:tcW w:w="2743" w:type="pct"/>
            <w:vAlign w:val="center"/>
          </w:tcPr>
          <w:p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Cash Holdings</w:t>
            </w:r>
          </w:p>
        </w:tc>
        <w:tc>
          <w:tcPr>
            <w:tcW w:w="1129"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8.6%</w:t>
            </w:r>
          </w:p>
        </w:tc>
        <w:tc>
          <w:tcPr>
            <w:tcW w:w="1128"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7.6%</w:t>
            </w:r>
          </w:p>
        </w:tc>
      </w:tr>
      <w:tr w:rsidR="00DA54D9" w:rsidRPr="006A3E0D" w:rsidTr="00FA4B21">
        <w:tc>
          <w:tcPr>
            <w:cnfStyle w:val="001000000000"/>
            <w:tcW w:w="2743" w:type="pct"/>
            <w:vAlign w:val="center"/>
          </w:tcPr>
          <w:p w:rsidR="00DA54D9" w:rsidRPr="006A3E0D" w:rsidRDefault="00DA54D9" w:rsidP="006A3E0D">
            <w:pPr>
              <w:spacing w:line="276" w:lineRule="auto"/>
              <w:jc w:val="both"/>
              <w:rPr>
                <w:rFonts w:ascii="Times New Roman" w:hAnsi="Times New Roman" w:cs="Times New Roman"/>
                <w:sz w:val="24"/>
                <w:szCs w:val="24"/>
              </w:rPr>
            </w:pPr>
            <w:r w:rsidRPr="006A3E0D">
              <w:rPr>
                <w:rFonts w:ascii="Times New Roman" w:hAnsi="Times New Roman" w:cs="Times New Roman"/>
                <w:sz w:val="24"/>
                <w:szCs w:val="24"/>
              </w:rPr>
              <w:t>Debentures</w:t>
            </w:r>
          </w:p>
        </w:tc>
        <w:tc>
          <w:tcPr>
            <w:tcW w:w="1129" w:type="pct"/>
            <w:vAlign w:val="center"/>
          </w:tcPr>
          <w:p w:rsidR="00DA54D9" w:rsidRPr="006A3E0D" w:rsidRDefault="00DA54D9" w:rsidP="006A3E0D">
            <w:pPr>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0.8%</w:t>
            </w:r>
          </w:p>
        </w:tc>
        <w:tc>
          <w:tcPr>
            <w:tcW w:w="1128" w:type="pct"/>
            <w:vAlign w:val="center"/>
          </w:tcPr>
          <w:p w:rsidR="00DA54D9" w:rsidRPr="006A3E0D" w:rsidRDefault="00DA54D9" w:rsidP="003221ED">
            <w:pPr>
              <w:keepNext/>
              <w:spacing w:line="276" w:lineRule="auto"/>
              <w:jc w:val="both"/>
              <w:cnfStyle w:val="000000000000"/>
              <w:rPr>
                <w:rFonts w:ascii="Times New Roman" w:hAnsi="Times New Roman" w:cs="Times New Roman"/>
                <w:sz w:val="24"/>
                <w:szCs w:val="24"/>
              </w:rPr>
            </w:pPr>
            <w:r w:rsidRPr="006A3E0D">
              <w:rPr>
                <w:rFonts w:ascii="Times New Roman" w:hAnsi="Times New Roman" w:cs="Times New Roman"/>
                <w:sz w:val="24"/>
                <w:szCs w:val="24"/>
              </w:rPr>
              <w:t>0.6%</w:t>
            </w:r>
          </w:p>
        </w:tc>
      </w:tr>
    </w:tbl>
    <w:p w:rsidR="003221ED" w:rsidRPr="003D3E8D" w:rsidRDefault="003221ED" w:rsidP="003221ED">
      <w:pPr>
        <w:pStyle w:val="Caption"/>
        <w:rPr>
          <w:rFonts w:ascii="Times New Roman" w:hAnsi="Times New Roman" w:cs="Times New Roman"/>
          <w:i/>
          <w:sz w:val="24"/>
          <w:szCs w:val="24"/>
        </w:rPr>
      </w:pPr>
      <w:r w:rsidRPr="003D3E8D">
        <w:rPr>
          <w:i/>
        </w:rPr>
        <w:t>Source: Reserve Bank of India. (</w:t>
      </w:r>
      <w:r>
        <w:rPr>
          <w:i/>
        </w:rPr>
        <w:t>2019 &amp;</w:t>
      </w:r>
      <w:r w:rsidRPr="003D3E8D">
        <w:rPr>
          <w:i/>
        </w:rPr>
        <w:t>2024). Handbook of Statistics on the Indian Economy</w:t>
      </w:r>
    </w:p>
    <w:p w:rsidR="003221ED" w:rsidRDefault="003221ED">
      <w:pPr>
        <w:pStyle w:val="Caption"/>
      </w:pPr>
    </w:p>
    <w:p w:rsidR="00CF6FE1" w:rsidRPr="006A3E0D" w:rsidRDefault="00600CE2" w:rsidP="006A3E0D">
      <w:pPr>
        <w:pStyle w:val="Caption"/>
        <w:spacing w:line="276" w:lineRule="auto"/>
        <w:jc w:val="both"/>
        <w:rPr>
          <w:rFonts w:ascii="Times New Roman" w:hAnsi="Times New Roman" w:cs="Times New Roman"/>
          <w:b w:val="0"/>
          <w:bCs w:val="0"/>
          <w:i/>
          <w:sz w:val="24"/>
          <w:szCs w:val="24"/>
        </w:rPr>
      </w:pPr>
      <w:r w:rsidRPr="006A3E0D">
        <w:rPr>
          <w:rFonts w:ascii="Times New Roman" w:hAnsi="Times New Roman" w:cs="Times New Roman"/>
          <w:i/>
          <w:noProof/>
          <w:sz w:val="24"/>
          <w:szCs w:val="24"/>
          <w:lang w:eastAsia="en-US"/>
        </w:rPr>
        <w:drawing>
          <wp:anchor distT="0" distB="0" distL="114300" distR="114300" simplePos="0" relativeHeight="251658240" behindDoc="0" locked="0" layoutInCell="1" allowOverlap="1">
            <wp:simplePos x="0" y="0"/>
            <wp:positionH relativeFrom="column">
              <wp:posOffset>100965</wp:posOffset>
            </wp:positionH>
            <wp:positionV relativeFrom="paragraph">
              <wp:posOffset>436880</wp:posOffset>
            </wp:positionV>
            <wp:extent cx="5186045" cy="2099945"/>
            <wp:effectExtent l="114300" t="76200" r="90805" b="71755"/>
            <wp:wrapSquare wrapText="bothSides"/>
            <wp:docPr id="5" name="Picture 1" descr="C:\Users\Staff\Downloads\45316783-c1ba-47cf-ba71-595bbecd07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wnloads\45316783-c1ba-47cf-ba71-595bbecd070e"/>
                    <pic:cNvPicPr>
                      <a:picLocks noChangeAspect="1" noChangeArrowheads="1"/>
                    </pic:cNvPicPr>
                  </pic:nvPicPr>
                  <pic:blipFill>
                    <a:blip r:embed="rId8" cstate="print"/>
                    <a:srcRect/>
                    <a:stretch>
                      <a:fillRect/>
                    </a:stretch>
                  </pic:blipFill>
                  <pic:spPr bwMode="auto">
                    <a:xfrm>
                      <a:off x="0" y="0"/>
                      <a:ext cx="5186045" cy="20999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D7B69" w:rsidRPr="006A3E0D">
        <w:rPr>
          <w:rFonts w:ascii="Times New Roman" w:hAnsi="Times New Roman" w:cs="Times New Roman"/>
          <w:i/>
          <w:sz w:val="24"/>
          <w:szCs w:val="24"/>
        </w:rPr>
        <w:t xml:space="preserve">Source: Reserve Bank of India (RBI) &amp; Ministry of Statistics and </w:t>
      </w:r>
      <w:r w:rsidR="00AD7B69" w:rsidRPr="006A3E0D">
        <w:rPr>
          <w:rFonts w:ascii="Times New Roman" w:hAnsi="Times New Roman" w:cs="Times New Roman"/>
          <w:i/>
          <w:sz w:val="24"/>
          <w:szCs w:val="24"/>
        </w:rPr>
        <w:lastRenderedPageBreak/>
        <w:t>ProgrammeImplementation (MoSPI)</w:t>
      </w:r>
    </w:p>
    <w:p w:rsidR="00CF6FE1" w:rsidRPr="006A3E0D" w:rsidRDefault="00CF6FE1" w:rsidP="006A3E0D">
      <w:pPr>
        <w:pStyle w:val="NormalWeb"/>
        <w:spacing w:line="276" w:lineRule="auto"/>
        <w:jc w:val="both"/>
        <w:rPr>
          <w:b/>
        </w:rPr>
      </w:pPr>
    </w:p>
    <w:p w:rsidR="00815217" w:rsidRPr="006A3E0D" w:rsidRDefault="00273D60" w:rsidP="006A3E0D">
      <w:pPr>
        <w:pStyle w:val="NormalWeb"/>
        <w:spacing w:line="276" w:lineRule="auto"/>
        <w:jc w:val="both"/>
        <w:rPr>
          <w:b/>
          <w:bCs/>
        </w:rPr>
      </w:pPr>
      <w:r w:rsidRPr="006A3E0D">
        <w:rPr>
          <w:b/>
        </w:rPr>
        <w:t>Key insights from Table 3:</w:t>
      </w:r>
    </w:p>
    <w:p w:rsidR="004A571F"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Reduction in Bank Deposits:</w:t>
      </w:r>
      <w:r w:rsidRPr="00031BFA">
        <w:rPr>
          <w:rFonts w:ascii="Times New Roman" w:eastAsia="SimSun" w:hAnsi="Times New Roman"/>
          <w:sz w:val="24"/>
          <w:szCs w:val="24"/>
        </w:rPr>
        <w:t xml:space="preserve"> Household investment in bank deposits decreased as a percentage of total investment in 2024 (40.6) compared to 2019 (46.3), and represents less dependence on classic savings vehicles.</w:t>
      </w:r>
    </w:p>
    <w:p w:rsidR="001878B7"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Increase in Stock Market Investment:</w:t>
      </w:r>
      <w:r w:rsidRPr="00031BFA">
        <w:rPr>
          <w:rFonts w:ascii="Times New Roman" w:eastAsia="SimSun" w:hAnsi="Times New Roman"/>
          <w:sz w:val="24"/>
          <w:szCs w:val="24"/>
        </w:rPr>
        <w:t xml:space="preserve"> The investment in stocks and mutual funds rose to 22.4 percent and the interest in assets that can be found in the market and have higher returns also increased to 22.4 percent.</w:t>
      </w:r>
    </w:p>
    <w:p w:rsidR="004A571F"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Stability in insurance and pension funds:</w:t>
      </w:r>
      <w:r w:rsidRPr="00031BFA">
        <w:rPr>
          <w:rFonts w:ascii="Times New Roman" w:eastAsia="SimSun" w:hAnsi="Times New Roman"/>
          <w:sz w:val="24"/>
          <w:szCs w:val="24"/>
        </w:rPr>
        <w:t xml:space="preserve"> The share in insurance and provident/pension funds did not change significantly (28.6 in 2019-28.8 in 2024), as confidence in long-term security schemes still persisted.</w:t>
      </w:r>
    </w:p>
    <w:p w:rsidR="001878B7" w:rsidRPr="00031BFA" w:rsidRDefault="001878B7" w:rsidP="004A571F">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Minor Dilution of Cash Holdings:</w:t>
      </w:r>
      <w:r w:rsidRPr="00031BFA">
        <w:rPr>
          <w:rFonts w:ascii="Times New Roman" w:eastAsia="SimSun" w:hAnsi="Times New Roman"/>
          <w:sz w:val="24"/>
          <w:szCs w:val="24"/>
        </w:rPr>
        <w:t xml:space="preserve"> Cash holdings reduced by 8.6 to 7.6 which is an indication that the liquidity is improved.</w:t>
      </w:r>
    </w:p>
    <w:p w:rsidR="00914D45" w:rsidRPr="00031BFA" w:rsidRDefault="001878B7"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Minor Decrease in Debenture Investment</w:t>
      </w:r>
      <w:r w:rsidRPr="00031BFA">
        <w:rPr>
          <w:rFonts w:ascii="Times New Roman" w:eastAsia="SimSun" w:hAnsi="Times New Roman"/>
          <w:sz w:val="24"/>
          <w:szCs w:val="24"/>
        </w:rPr>
        <w:t>: The investment in debentures decreased marginally by 0.8 to 0.6 again confirming their poor choices amongst the households.</w:t>
      </w:r>
    </w:p>
    <w:p w:rsidR="00914D45" w:rsidRPr="00031BFA" w:rsidRDefault="00914D45"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Shift</w:t>
      </w:r>
      <w:r w:rsidR="001878B7" w:rsidRPr="00031BFA">
        <w:rPr>
          <w:rFonts w:ascii="Times New Roman" w:eastAsia="SimSun" w:hAnsi="Times New Roman"/>
          <w:b/>
          <w:sz w:val="24"/>
          <w:szCs w:val="24"/>
        </w:rPr>
        <w:t xml:space="preserve"> to Diversification:</w:t>
      </w:r>
      <w:r w:rsidR="001878B7" w:rsidRPr="00031BFA">
        <w:rPr>
          <w:rFonts w:ascii="Times New Roman" w:eastAsia="SimSun" w:hAnsi="Times New Roman"/>
          <w:sz w:val="24"/>
          <w:szCs w:val="24"/>
        </w:rPr>
        <w:t xml:space="preserve"> the general trend is transitioning toward a more diversified and return-seeking investment pattern.</w:t>
      </w:r>
    </w:p>
    <w:p w:rsidR="00914D45" w:rsidRPr="00031BFA" w:rsidRDefault="001878B7"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Financial Literacy Effect:</w:t>
      </w:r>
      <w:r w:rsidRPr="00031BFA">
        <w:rPr>
          <w:rFonts w:ascii="Times New Roman" w:eastAsia="SimSun" w:hAnsi="Times New Roman"/>
          <w:sz w:val="24"/>
          <w:szCs w:val="24"/>
        </w:rPr>
        <w:t xml:space="preserve"> The shift can be explained by the rise in the level of financial literacy, digital investment sources, and better understanding of market instruments. </w:t>
      </w:r>
    </w:p>
    <w:p w:rsidR="00815217" w:rsidRPr="00031BFA" w:rsidRDefault="001878B7" w:rsidP="00914D45">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US"/>
        </w:rPr>
      </w:pPr>
      <w:r w:rsidRPr="00031BFA">
        <w:rPr>
          <w:rFonts w:ascii="Times New Roman" w:eastAsia="SimSun" w:hAnsi="Times New Roman"/>
          <w:b/>
          <w:sz w:val="24"/>
          <w:szCs w:val="24"/>
        </w:rPr>
        <w:t>Altering Economic Mood:</w:t>
      </w:r>
      <w:r w:rsidRPr="00031BFA">
        <w:rPr>
          <w:rFonts w:ascii="Times New Roman" w:eastAsia="SimSun" w:hAnsi="Times New Roman"/>
          <w:sz w:val="24"/>
          <w:szCs w:val="24"/>
        </w:rPr>
        <w:t xml:space="preserve"> It seems that households are becoming bolder and more willing to pursue riskier yet potentially profitable items, perhaps due to the changing levels of income and economic expectations.</w:t>
      </w:r>
      <w:r w:rsidR="00273D60" w:rsidRPr="00031BFA">
        <w:rPr>
          <w:rFonts w:ascii="Times New Roman" w:eastAsia="SimSun" w:hAnsi="Times New Roman" w:cs="Times New Roman"/>
          <w:sz w:val="24"/>
          <w:szCs w:val="24"/>
        </w:rPr>
        <w:t>.</w:t>
      </w:r>
    </w:p>
    <w:p w:rsidR="00BC6515" w:rsidRPr="00031BFA" w:rsidRDefault="00BC6515" w:rsidP="006A3E0D">
      <w:pPr>
        <w:pStyle w:val="Heading3"/>
        <w:spacing w:line="276" w:lineRule="auto"/>
        <w:jc w:val="both"/>
        <w:rPr>
          <w:rStyle w:val="Strong"/>
          <w:rFonts w:ascii="Times New Roman" w:hAnsi="Times New Roman" w:hint="default"/>
          <w:b/>
          <w:bCs/>
          <w:sz w:val="24"/>
          <w:szCs w:val="24"/>
        </w:rPr>
      </w:pPr>
    </w:p>
    <w:p w:rsidR="008E2D7A" w:rsidRPr="00031BFA" w:rsidRDefault="008E2D7A" w:rsidP="006A3E0D">
      <w:pPr>
        <w:pStyle w:val="Heading3"/>
        <w:spacing w:line="276" w:lineRule="auto"/>
        <w:jc w:val="both"/>
        <w:rPr>
          <w:rFonts w:ascii="Times New Roman" w:hAnsi="Times New Roman" w:hint="default"/>
          <w:sz w:val="24"/>
          <w:szCs w:val="24"/>
        </w:rPr>
      </w:pPr>
      <w:r w:rsidRPr="00031BFA">
        <w:rPr>
          <w:rStyle w:val="Strong"/>
          <w:rFonts w:ascii="Times New Roman" w:hAnsi="Times New Roman" w:hint="default"/>
          <w:b/>
          <w:bCs/>
          <w:sz w:val="24"/>
          <w:szCs w:val="24"/>
        </w:rPr>
        <w:t>Suggestions and Recommendations:</w:t>
      </w:r>
    </w:p>
    <w:p w:rsidR="00914D45" w:rsidRPr="00031BFA" w:rsidRDefault="00D97280" w:rsidP="00914D45">
      <w:pPr>
        <w:pStyle w:val="NormalWeb"/>
        <w:numPr>
          <w:ilvl w:val="0"/>
          <w:numId w:val="6"/>
        </w:numPr>
        <w:spacing w:before="100" w:after="100" w:line="276" w:lineRule="auto"/>
        <w:jc w:val="both"/>
      </w:pPr>
      <w:r w:rsidRPr="00031BFA">
        <w:rPr>
          <w:b/>
        </w:rPr>
        <w:t>Make the money literate</w:t>
      </w:r>
      <w:r w:rsidRPr="00031BFA">
        <w:t>: The increase in stock and mutual funds investments indicates increased interest in capital markets. Financial literacy should be promoted by the government and financial institutions to inform households on the risks and returns to different instruments.</w:t>
      </w:r>
    </w:p>
    <w:p w:rsidR="00D97280" w:rsidRPr="00031BFA" w:rsidRDefault="00D97280" w:rsidP="00914D45">
      <w:pPr>
        <w:pStyle w:val="NormalWeb"/>
        <w:numPr>
          <w:ilvl w:val="0"/>
          <w:numId w:val="6"/>
        </w:numPr>
        <w:spacing w:before="100" w:after="100" w:line="276" w:lineRule="auto"/>
        <w:jc w:val="both"/>
      </w:pPr>
      <w:r w:rsidRPr="00031BFA">
        <w:rPr>
          <w:b/>
        </w:rPr>
        <w:t>Promote Balanced Portfolios:</w:t>
      </w:r>
      <w:r w:rsidRPr="00031BFA">
        <w:t xml:space="preserve"> Guidance continues to be required to ensure that the household better balances risk (stocks) and safety (deposits/insurance). The financial advisors are supposed to promote risk-based or life-oriented investment strategies.</w:t>
      </w:r>
    </w:p>
    <w:p w:rsidR="00914D45" w:rsidRPr="00031BFA" w:rsidRDefault="00D97280" w:rsidP="00914D45">
      <w:pPr>
        <w:pStyle w:val="NormalWeb"/>
        <w:numPr>
          <w:ilvl w:val="0"/>
          <w:numId w:val="6"/>
        </w:numPr>
        <w:spacing w:before="100" w:after="100" w:line="276" w:lineRule="auto"/>
        <w:jc w:val="both"/>
      </w:pPr>
      <w:r w:rsidRPr="00031BFA">
        <w:rPr>
          <w:b/>
        </w:rPr>
        <w:t>Enhance</w:t>
      </w:r>
      <w:r w:rsidR="00A50EBA" w:rsidRPr="00031BFA">
        <w:rPr>
          <w:b/>
        </w:rPr>
        <w:t xml:space="preserve"> Digital Investment Platforms:</w:t>
      </w:r>
      <w:r w:rsidRPr="00031BFA">
        <w:t xml:space="preserve">The convenience of accessing online trading and investment vehicles has perhaps been one of the drivers of the </w:t>
      </w:r>
      <w:r w:rsidRPr="00031BFA">
        <w:lastRenderedPageBreak/>
        <w:t>shift in preferences. Home participation can also be promoted by improving the safety and usability of such platforms.</w:t>
      </w:r>
    </w:p>
    <w:p w:rsidR="00D97280" w:rsidRPr="00031BFA" w:rsidRDefault="00D97280" w:rsidP="00914D45">
      <w:pPr>
        <w:pStyle w:val="NormalWeb"/>
        <w:numPr>
          <w:ilvl w:val="0"/>
          <w:numId w:val="6"/>
        </w:numPr>
        <w:spacing w:before="100" w:after="100" w:line="276" w:lineRule="auto"/>
        <w:jc w:val="both"/>
      </w:pPr>
      <w:r w:rsidRPr="00031BFA">
        <w:rPr>
          <w:b/>
        </w:rPr>
        <w:t>Increase the awareness on long term instruments:</w:t>
      </w:r>
      <w:r w:rsidRPr="00031BFA">
        <w:t xml:space="preserve"> Investments made on insurance and provident funds were steady which is good. But there is significant need to create awareness about retirement planning, annuities, and pension-linked savings schemes particularly in rural regions.</w:t>
      </w:r>
    </w:p>
    <w:p w:rsidR="00E577B4" w:rsidRPr="00031BFA" w:rsidRDefault="00D97280" w:rsidP="00D97280">
      <w:pPr>
        <w:pStyle w:val="NormalWeb"/>
        <w:numPr>
          <w:ilvl w:val="0"/>
          <w:numId w:val="6"/>
        </w:numPr>
        <w:spacing w:before="100" w:after="100" w:line="276" w:lineRule="auto"/>
        <w:jc w:val="both"/>
      </w:pPr>
      <w:r w:rsidRPr="00031BFA">
        <w:rPr>
          <w:b/>
        </w:rPr>
        <w:t>Rebuild Fixed Income Securities Interest:</w:t>
      </w:r>
      <w:r w:rsidRPr="00031BFA">
        <w:t xml:space="preserve"> There is still no interest in debt securities. Market regulators and issuers have the opportunity to offer more appealing returns and safety nets on bonds and debentures to attract conservative investors. </w:t>
      </w:r>
    </w:p>
    <w:p w:rsidR="00293599" w:rsidRPr="00031BFA" w:rsidRDefault="00D97280" w:rsidP="00D97280">
      <w:pPr>
        <w:pStyle w:val="NormalWeb"/>
        <w:numPr>
          <w:ilvl w:val="0"/>
          <w:numId w:val="6"/>
        </w:numPr>
        <w:spacing w:before="100" w:after="100" w:line="276" w:lineRule="auto"/>
        <w:jc w:val="both"/>
      </w:pPr>
      <w:r w:rsidRPr="00031BFA">
        <w:rPr>
          <w:b/>
        </w:rPr>
        <w:t>Encourage Savings with Tax Benefits:</w:t>
      </w:r>
      <w:r w:rsidRPr="00031BFA">
        <w:t xml:space="preserve"> Tax benefits or tax incentives on diversified investments can be used to encourage households to consider the wide range of financial products other than fixed deposits.</w:t>
      </w:r>
    </w:p>
    <w:p w:rsidR="00B23241" w:rsidRPr="00031BFA" w:rsidRDefault="00D97280" w:rsidP="00D97280">
      <w:pPr>
        <w:pStyle w:val="NormalWeb"/>
        <w:numPr>
          <w:ilvl w:val="0"/>
          <w:numId w:val="6"/>
        </w:numPr>
        <w:spacing w:before="100" w:after="100" w:line="276" w:lineRule="auto"/>
        <w:jc w:val="both"/>
      </w:pPr>
      <w:r w:rsidRPr="00031BFA">
        <w:rPr>
          <w:b/>
        </w:rPr>
        <w:t>Target Inflation-Protected Products:</w:t>
      </w:r>
      <w:r w:rsidRPr="00031BFA">
        <w:t xml:space="preserve"> To protect household savings against the loss of their purchasing power due to inflation, it can be a good idea to promote inflation-linked bonds and other real-return instruments. </w:t>
      </w:r>
    </w:p>
    <w:p w:rsidR="00B90530" w:rsidRPr="00B90530" w:rsidRDefault="00D97280" w:rsidP="00B90530">
      <w:pPr>
        <w:pStyle w:val="NormalWeb"/>
        <w:numPr>
          <w:ilvl w:val="0"/>
          <w:numId w:val="6"/>
        </w:numPr>
        <w:spacing w:before="100" w:after="100" w:line="276" w:lineRule="auto"/>
        <w:jc w:val="both"/>
      </w:pPr>
      <w:r w:rsidRPr="00031BFA">
        <w:rPr>
          <w:b/>
        </w:rPr>
        <w:t>The solution to this is Financial Planning Integration in Education:</w:t>
      </w:r>
      <w:r w:rsidRPr="00031BFA">
        <w:t xml:space="preserve"> The smart way to instill smart habits in the youth is to make personal finance and investment management a part of the school and college curriculum.</w:t>
      </w:r>
    </w:p>
    <w:p w:rsidR="00B90530" w:rsidRPr="00B90530" w:rsidRDefault="00B90530" w:rsidP="00B90530">
      <w:pPr>
        <w:pStyle w:val="NormalWeb"/>
        <w:spacing w:before="100" w:after="100" w:line="276" w:lineRule="auto"/>
        <w:ind w:left="720"/>
        <w:jc w:val="both"/>
        <w:rPr>
          <w:b/>
        </w:rPr>
      </w:pPr>
      <w:r w:rsidRPr="00B90530">
        <w:rPr>
          <w:b/>
        </w:rPr>
        <w:t xml:space="preserve">CONCLUSION </w:t>
      </w:r>
    </w:p>
    <w:p w:rsidR="00B90530" w:rsidRDefault="0071042C" w:rsidP="00B90530">
      <w:pPr>
        <w:pStyle w:val="NormalWeb"/>
        <w:spacing w:before="100" w:after="100" w:line="276" w:lineRule="auto"/>
        <w:ind w:left="720"/>
        <w:jc w:val="both"/>
      </w:pPr>
      <w:r w:rsidRPr="0071042C">
        <w:t xml:space="preserve"> As the current research indicates, there is a discernible change in the household financial asset allocation in India in the period between 2019 and 2024. Although bank deposits and insurance schemes still remain important, there is a clear movement towards market-related investments including stocks and mutual funds. This diversification is more than a response to the evolving economic environment, but rather a slow but steady rise in household risk appetite. One major study finding is the central role that financial literacy plays in the process of making household investment choices. The more the households are informed and the more the knowledge they have about the financial products, then the greater the chances of having diversified and growth oriented investments; those who do not have this knowledge continue to be reliant on traditional savings instruments. Moreover, this trend has been augmented by the growth of online investment platforms, which have lowered the barriers to entry, opened the door to a broader audience, and made financial products more affordable to everyday families. The findings clearly show that financial literacy and digital awareness are the key factors that help households make informed decisions and build balanced portfolios. Yet, there still exist systemic gaps especially in rural locations where exposure is limited and formal financial education is absent to promote further financial inclusion. Consequently, authorities, banks, and regulators should cooperate to promote financial literacy education, enhance investor education and increase the level of trust in digital platforms.</w:t>
      </w:r>
    </w:p>
    <w:p w:rsidR="002E66DB" w:rsidRPr="002E66DB" w:rsidRDefault="00BE7070" w:rsidP="00BE7070">
      <w:pPr>
        <w:pStyle w:val="NormalWeb"/>
        <w:spacing w:before="100" w:after="100" w:line="276" w:lineRule="auto"/>
        <w:ind w:left="720"/>
        <w:jc w:val="both"/>
        <w:rPr>
          <w:b/>
        </w:rPr>
      </w:pPr>
      <w:r w:rsidRPr="002E66DB">
        <w:rPr>
          <w:b/>
        </w:rPr>
        <w:lastRenderedPageBreak/>
        <w:t xml:space="preserve">DISCLAIMER (ARTIFICIAL INTELLIGENCE) </w:t>
      </w:r>
    </w:p>
    <w:p w:rsidR="00BE7070" w:rsidRDefault="00BE7070" w:rsidP="00BE7070">
      <w:pPr>
        <w:pStyle w:val="NormalWeb"/>
        <w:spacing w:before="100" w:after="100" w:line="276" w:lineRule="auto"/>
        <w:ind w:left="720"/>
        <w:jc w:val="both"/>
      </w:pPr>
      <w:r>
        <w:t xml:space="preserve">Author(s) hereby declare that NO generative AI technologies such as Large Language Models (ChatGPT, COPILOT, etc) and text-to-image generators have been used during writing or editing of this manuscript. </w:t>
      </w:r>
    </w:p>
    <w:p w:rsidR="002E66DB" w:rsidRPr="002E66DB" w:rsidRDefault="00BE7070" w:rsidP="00BE7070">
      <w:pPr>
        <w:pStyle w:val="NormalWeb"/>
        <w:spacing w:before="100" w:after="100" w:line="276" w:lineRule="auto"/>
        <w:ind w:left="720"/>
        <w:jc w:val="both"/>
        <w:rPr>
          <w:b/>
        </w:rPr>
      </w:pPr>
      <w:r w:rsidRPr="002E66DB">
        <w:rPr>
          <w:b/>
        </w:rPr>
        <w:t xml:space="preserve">COMPETING INTERESTS </w:t>
      </w:r>
    </w:p>
    <w:p w:rsidR="002648F6" w:rsidRPr="0071042C" w:rsidRDefault="00BE7070" w:rsidP="006C3699">
      <w:pPr>
        <w:pStyle w:val="NormalWeb"/>
        <w:spacing w:before="100" w:after="100" w:line="276" w:lineRule="auto"/>
        <w:ind w:left="720"/>
        <w:jc w:val="both"/>
      </w:pPr>
      <w:r>
        <w:t>Authors have declared that no competing interests exist.</w:t>
      </w:r>
      <w:bookmarkStart w:id="0" w:name="_GoBack"/>
      <w:bookmarkEnd w:id="0"/>
    </w:p>
    <w:p w:rsidR="00A9142C" w:rsidRPr="00A9142C" w:rsidRDefault="00261242" w:rsidP="00A9142C">
      <w:pPr>
        <w:pStyle w:val="Heading3"/>
        <w:spacing w:line="276" w:lineRule="auto"/>
        <w:jc w:val="both"/>
        <w:rPr>
          <w:rFonts w:ascii="Times New Roman" w:hAnsi="Times New Roman"/>
          <w:sz w:val="24"/>
          <w:szCs w:val="24"/>
        </w:rPr>
      </w:pPr>
      <w:r w:rsidRPr="006A3E0D">
        <w:rPr>
          <w:rStyle w:val="Strong"/>
          <w:rFonts w:ascii="Times New Roman" w:hAnsi="Times New Roman" w:hint="default"/>
          <w:b/>
          <w:bCs/>
          <w:sz w:val="24"/>
          <w:szCs w:val="24"/>
        </w:rPr>
        <w:t>References</w:t>
      </w: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Chhatre, R., &amp; Varma, S. (2021). Household investment decisions and financial literacy: Evidence from Indian urban households. Indian Journal of Finance, 15(4), 23–38.</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Fong, J. H. (2025). Financial literacy and household financial behavior in Singapore. Pacific‐Basin Finance Journal, 90(C). https://doi.org/10.1016/j.pacfin.2024.102651</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Konnur, M., &amp; Byahatti, C. (n.d.). Exploring the interplay of demographics, financial literacy, and personal finance management: A statistical analysis from Jamakhandi City, Bagalkot District, Karnataka, India. Research Journal of Management Sciences. ISSN 2319–1171.</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Kumar, S., &amp; Arora, P. (2023). Financial literacy and investment behavior: An empirical analysis of Indian households post-COVID. International Journal of Social Economics, 50(1), 102–118.</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Lu, X., Xiao, J., &amp; Wu, Y. (2021). Financial literacy and household asset allocation: Evidence from micro-data in China. Journal of Consumer Affairs, 55(4), 1464–1488. https://doi.org/10.1111/joca.12426</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Lusardi, A., &amp; Mitchell, O. S. (2020). The importance of financial literacy: Opening a new field. Journal of Economic Literature, 58(3), 711–749. https://doi.org/10.1257/jep.37.4.137</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Ministry of Statistics and Programme Implementation (MoSPI). (2019). Annual report 2018–19. Government of India. Retrieved from https://mospi.gov.in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Ministry of Statistics and Programme Implementation (MoSPI). (2024). Annual report 2023–24. Government of India. Retrieved from https://mospi.gov.in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Mustafa, J. A. (2024). Integrating financial literacy, regulatory technology, and decentralized finance: A new paradigm in fintech evolution. Investment Management &amp; Financial Innovations, 21(2), 213–224.</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lastRenderedPageBreak/>
        <w:t>National Council of Applied Economic Research (NCAER). (2022). How India saves: Financial behaviour of Indian households. Retrieved from https://www.ncaer.org</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OECD. (2020). OECD/INFE 2020 international survey of adult financial literacy. OECD Publishing. https://www.oecd.org/financial/education/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Reserve Bank of India. (2019). Handbook of statistics on the Indian economy 2018–19. Retrieved from https://www.rbi.org.in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Reserve Bank of India. (2022). Report on trend and progress of banking in India 2021–22. RBI. Retrieved from https://www.rbi.org.in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Reserve Bank of India. (2024). Handbook of statistics on the Indian economy 2023–24. Retrieved from https://www.rbi.org.in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Securities and Exchange Board of India (SEBI). (2022). Investor risk perception and investment behavior in India. Retrieved from https://www.sebi.gov.in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Securities and Exchange Board of India (SEBI). (2023). Investor education and financial literacy report. Retrieved from https://www.sebi.gov.in</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Sinha, P., &amp; Sinha, R. (2021). Digital financial literacy and adoption of fintech in India: Post-COVID implications. Asian Journal of Economics and Finance, 3(2), 45–62.</w:t>
      </w:r>
    </w:p>
    <w:p w:rsidR="00A9142C" w:rsidRPr="00A9142C" w:rsidRDefault="00A9142C" w:rsidP="000B5662">
      <w:pPr>
        <w:ind w:left="1440" w:hanging="720"/>
        <w:jc w:val="both"/>
        <w:rPr>
          <w:rFonts w:ascii="Times New Roman" w:hAnsi="Times New Roman" w:cs="Times New Roman"/>
          <w:sz w:val="24"/>
          <w:szCs w:val="24"/>
        </w:rPr>
      </w:pPr>
    </w:p>
    <w:p w:rsidR="00A9142C" w:rsidRPr="00A9142C" w:rsidRDefault="00A9142C" w:rsidP="000B5662">
      <w:pPr>
        <w:pStyle w:val="ListParagraph"/>
        <w:ind w:left="1440" w:hanging="720"/>
        <w:jc w:val="both"/>
        <w:rPr>
          <w:rFonts w:ascii="Times New Roman" w:hAnsi="Times New Roman" w:cs="Times New Roman"/>
          <w:sz w:val="24"/>
          <w:szCs w:val="24"/>
        </w:rPr>
      </w:pPr>
      <w:r w:rsidRPr="00A9142C">
        <w:rPr>
          <w:rFonts w:ascii="Times New Roman" w:hAnsi="Times New Roman" w:cs="Times New Roman"/>
          <w:sz w:val="24"/>
          <w:szCs w:val="24"/>
        </w:rPr>
        <w:t>World Bank. (2022). Global Findex Database 2021: Financial inclusion, digital payments, and resilience in the age of COVID-19. Washington, DC: World Bank. https://www.worldbank.org/globalfindex</w:t>
      </w:r>
    </w:p>
    <w:p w:rsidR="00815217" w:rsidRPr="006A3E0D" w:rsidRDefault="00815217" w:rsidP="006A3E0D">
      <w:pPr>
        <w:spacing w:line="276" w:lineRule="auto"/>
        <w:jc w:val="both"/>
        <w:rPr>
          <w:rFonts w:ascii="Times New Roman" w:eastAsia="SimSun" w:hAnsi="Times New Roman" w:cs="Times New Roman"/>
          <w:sz w:val="24"/>
          <w:szCs w:val="24"/>
        </w:rPr>
      </w:pPr>
    </w:p>
    <w:p w:rsidR="00285543" w:rsidRPr="006A3E0D" w:rsidRDefault="009C29A5" w:rsidP="009C29A5">
      <w:pPr>
        <w:spacing w:line="276"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w:t>
      </w:r>
    </w:p>
    <w:sectPr w:rsidR="00285543" w:rsidRPr="006A3E0D" w:rsidSect="0081521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F13" w:rsidRDefault="00116F13" w:rsidP="00DE3278">
      <w:r>
        <w:separator/>
      </w:r>
    </w:p>
  </w:endnote>
  <w:endnote w:type="continuationSeparator" w:id="1">
    <w:p w:rsidR="00116F13" w:rsidRDefault="00116F13" w:rsidP="00DE32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78" w:rsidRDefault="00DE32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78" w:rsidRDefault="00DE32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78" w:rsidRDefault="00DE3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F13" w:rsidRDefault="00116F13" w:rsidP="00DE3278">
      <w:r>
        <w:separator/>
      </w:r>
    </w:p>
  </w:footnote>
  <w:footnote w:type="continuationSeparator" w:id="1">
    <w:p w:rsidR="00116F13" w:rsidRDefault="00116F13" w:rsidP="00DE3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78" w:rsidRDefault="00F37C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7400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78" w:rsidRDefault="00F37C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7400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78" w:rsidRDefault="00F37C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7400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BD36"/>
      </v:shape>
    </w:pict>
  </w:numPicBullet>
  <w:abstractNum w:abstractNumId="0">
    <w:nsid w:val="076D060F"/>
    <w:multiLevelType w:val="multilevel"/>
    <w:tmpl w:val="49C215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6522E"/>
    <w:multiLevelType w:val="multilevel"/>
    <w:tmpl w:val="CC2A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4D7768"/>
    <w:multiLevelType w:val="multilevel"/>
    <w:tmpl w:val="23E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C4398"/>
    <w:multiLevelType w:val="multilevel"/>
    <w:tmpl w:val="D9C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92CEF"/>
    <w:multiLevelType w:val="multilevel"/>
    <w:tmpl w:val="0718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3409CA"/>
    <w:multiLevelType w:val="multilevel"/>
    <w:tmpl w:val="75829D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C31CD"/>
    <w:multiLevelType w:val="hybridMultilevel"/>
    <w:tmpl w:val="CD1662DC"/>
    <w:lvl w:ilvl="0" w:tplc="94BA26CC">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33184BC2"/>
    <w:multiLevelType w:val="multilevel"/>
    <w:tmpl w:val="1A7C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63861"/>
    <w:multiLevelType w:val="multilevel"/>
    <w:tmpl w:val="256C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376A87"/>
    <w:multiLevelType w:val="hybridMultilevel"/>
    <w:tmpl w:val="F9061E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A662F"/>
    <w:multiLevelType w:val="multilevel"/>
    <w:tmpl w:val="CB0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B85892"/>
    <w:multiLevelType w:val="multilevel"/>
    <w:tmpl w:val="2564F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760CF"/>
    <w:multiLevelType w:val="multilevel"/>
    <w:tmpl w:val="4758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B46B4F"/>
    <w:multiLevelType w:val="multilevel"/>
    <w:tmpl w:val="2DDE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F503BE"/>
    <w:multiLevelType w:val="multilevel"/>
    <w:tmpl w:val="792AC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406E7B"/>
    <w:multiLevelType w:val="hybridMultilevel"/>
    <w:tmpl w:val="5A2A5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317E4E"/>
    <w:multiLevelType w:val="multilevel"/>
    <w:tmpl w:val="A530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596163"/>
    <w:multiLevelType w:val="multilevel"/>
    <w:tmpl w:val="CB5A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6ABFDC"/>
    <w:multiLevelType w:val="singleLevel"/>
    <w:tmpl w:val="796ABFDC"/>
    <w:lvl w:ilvl="0">
      <w:start w:val="1"/>
      <w:numFmt w:val="decimal"/>
      <w:lvlText w:val="%1."/>
      <w:lvlJc w:val="left"/>
      <w:pPr>
        <w:tabs>
          <w:tab w:val="left" w:pos="425"/>
        </w:tabs>
        <w:ind w:left="425" w:hanging="425"/>
      </w:pPr>
      <w:rPr>
        <w:rFonts w:hint="default"/>
      </w:rPr>
    </w:lvl>
  </w:abstractNum>
  <w:num w:numId="1">
    <w:abstractNumId w:val="18"/>
  </w:num>
  <w:num w:numId="2">
    <w:abstractNumId w:val="12"/>
  </w:num>
  <w:num w:numId="3">
    <w:abstractNumId w:val="14"/>
  </w:num>
  <w:num w:numId="4">
    <w:abstractNumId w:val="9"/>
  </w:num>
  <w:num w:numId="5">
    <w:abstractNumId w:val="6"/>
  </w:num>
  <w:num w:numId="6">
    <w:abstractNumId w:val="8"/>
  </w:num>
  <w:num w:numId="7">
    <w:abstractNumId w:val="1"/>
  </w:num>
  <w:num w:numId="8">
    <w:abstractNumId w:val="16"/>
  </w:num>
  <w:num w:numId="9">
    <w:abstractNumId w:val="10"/>
  </w:num>
  <w:num w:numId="10">
    <w:abstractNumId w:val="4"/>
  </w:num>
  <w:num w:numId="11">
    <w:abstractNumId w:val="7"/>
  </w:num>
  <w:num w:numId="12">
    <w:abstractNumId w:val="11"/>
  </w:num>
  <w:num w:numId="13">
    <w:abstractNumId w:val="2"/>
  </w:num>
  <w:num w:numId="14">
    <w:abstractNumId w:val="17"/>
  </w:num>
  <w:num w:numId="15">
    <w:abstractNumId w:val="13"/>
  </w:num>
  <w:num w:numId="16">
    <w:abstractNumId w:val="3"/>
  </w:num>
  <w:num w:numId="17">
    <w:abstractNumId w:val="5"/>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rawingGridVerticalSpacing w:val="156"/>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
  <w:rsids>
    <w:rsidRoot w:val="00815217"/>
    <w:rsid w:val="00007268"/>
    <w:rsid w:val="00030B85"/>
    <w:rsid w:val="00031BFA"/>
    <w:rsid w:val="00037C85"/>
    <w:rsid w:val="00057A14"/>
    <w:rsid w:val="00093D40"/>
    <w:rsid w:val="000A658B"/>
    <w:rsid w:val="000B5662"/>
    <w:rsid w:val="000C1662"/>
    <w:rsid w:val="000D004D"/>
    <w:rsid w:val="000D7DA6"/>
    <w:rsid w:val="00116F13"/>
    <w:rsid w:val="00122BEB"/>
    <w:rsid w:val="00133457"/>
    <w:rsid w:val="001641AA"/>
    <w:rsid w:val="00166CD6"/>
    <w:rsid w:val="001878B7"/>
    <w:rsid w:val="00187A89"/>
    <w:rsid w:val="001924E1"/>
    <w:rsid w:val="001C43ED"/>
    <w:rsid w:val="001C754B"/>
    <w:rsid w:val="00216EAF"/>
    <w:rsid w:val="00261242"/>
    <w:rsid w:val="002648F6"/>
    <w:rsid w:val="00265253"/>
    <w:rsid w:val="00273D60"/>
    <w:rsid w:val="00285543"/>
    <w:rsid w:val="00293599"/>
    <w:rsid w:val="002A5DBA"/>
    <w:rsid w:val="002E66DB"/>
    <w:rsid w:val="003221ED"/>
    <w:rsid w:val="00326578"/>
    <w:rsid w:val="00373038"/>
    <w:rsid w:val="00392CC3"/>
    <w:rsid w:val="00393D70"/>
    <w:rsid w:val="00394722"/>
    <w:rsid w:val="003D3E8D"/>
    <w:rsid w:val="003E2D04"/>
    <w:rsid w:val="003F3FF5"/>
    <w:rsid w:val="004044E4"/>
    <w:rsid w:val="004360A5"/>
    <w:rsid w:val="00443C9C"/>
    <w:rsid w:val="004454F7"/>
    <w:rsid w:val="004949A4"/>
    <w:rsid w:val="00497058"/>
    <w:rsid w:val="004A17CD"/>
    <w:rsid w:val="004A571F"/>
    <w:rsid w:val="004B634F"/>
    <w:rsid w:val="004F43F0"/>
    <w:rsid w:val="005504A5"/>
    <w:rsid w:val="00560AAC"/>
    <w:rsid w:val="00590599"/>
    <w:rsid w:val="005B71B4"/>
    <w:rsid w:val="00600CE2"/>
    <w:rsid w:val="00610B45"/>
    <w:rsid w:val="00616559"/>
    <w:rsid w:val="006261C6"/>
    <w:rsid w:val="00637E60"/>
    <w:rsid w:val="006518F0"/>
    <w:rsid w:val="006A3012"/>
    <w:rsid w:val="006A3E0D"/>
    <w:rsid w:val="006C3699"/>
    <w:rsid w:val="006D095E"/>
    <w:rsid w:val="006E7B42"/>
    <w:rsid w:val="006F16ED"/>
    <w:rsid w:val="007046AD"/>
    <w:rsid w:val="007063C4"/>
    <w:rsid w:val="0071042C"/>
    <w:rsid w:val="00716688"/>
    <w:rsid w:val="00716978"/>
    <w:rsid w:val="00743988"/>
    <w:rsid w:val="00760ADB"/>
    <w:rsid w:val="00776A9D"/>
    <w:rsid w:val="0077740E"/>
    <w:rsid w:val="00785673"/>
    <w:rsid w:val="00791991"/>
    <w:rsid w:val="00797859"/>
    <w:rsid w:val="007A4CA5"/>
    <w:rsid w:val="007B1EBA"/>
    <w:rsid w:val="00815217"/>
    <w:rsid w:val="00830972"/>
    <w:rsid w:val="00876A73"/>
    <w:rsid w:val="00895BE7"/>
    <w:rsid w:val="008970F9"/>
    <w:rsid w:val="008A6470"/>
    <w:rsid w:val="008B0AFD"/>
    <w:rsid w:val="008D0E0C"/>
    <w:rsid w:val="008D0F5D"/>
    <w:rsid w:val="008D5401"/>
    <w:rsid w:val="008D5CA8"/>
    <w:rsid w:val="008D7D47"/>
    <w:rsid w:val="008E2D7A"/>
    <w:rsid w:val="008E49C9"/>
    <w:rsid w:val="008E7FF1"/>
    <w:rsid w:val="00914D45"/>
    <w:rsid w:val="00957BB7"/>
    <w:rsid w:val="009640DC"/>
    <w:rsid w:val="009777C6"/>
    <w:rsid w:val="00994492"/>
    <w:rsid w:val="009A0432"/>
    <w:rsid w:val="009B7E98"/>
    <w:rsid w:val="009C29A5"/>
    <w:rsid w:val="009E3A92"/>
    <w:rsid w:val="009F4651"/>
    <w:rsid w:val="00A0072A"/>
    <w:rsid w:val="00A12310"/>
    <w:rsid w:val="00A45976"/>
    <w:rsid w:val="00A50DE4"/>
    <w:rsid w:val="00A50EBA"/>
    <w:rsid w:val="00A61019"/>
    <w:rsid w:val="00A9142C"/>
    <w:rsid w:val="00AB09BB"/>
    <w:rsid w:val="00AC24CD"/>
    <w:rsid w:val="00AD261A"/>
    <w:rsid w:val="00AD7B69"/>
    <w:rsid w:val="00B15C12"/>
    <w:rsid w:val="00B23241"/>
    <w:rsid w:val="00B305C2"/>
    <w:rsid w:val="00B52439"/>
    <w:rsid w:val="00B90530"/>
    <w:rsid w:val="00B94270"/>
    <w:rsid w:val="00BC6515"/>
    <w:rsid w:val="00BE7070"/>
    <w:rsid w:val="00BF1CC5"/>
    <w:rsid w:val="00BF5E03"/>
    <w:rsid w:val="00C00152"/>
    <w:rsid w:val="00C0698F"/>
    <w:rsid w:val="00C46EDE"/>
    <w:rsid w:val="00C7461A"/>
    <w:rsid w:val="00C9325D"/>
    <w:rsid w:val="00C96D0A"/>
    <w:rsid w:val="00CE2C0C"/>
    <w:rsid w:val="00CF6FE1"/>
    <w:rsid w:val="00D06276"/>
    <w:rsid w:val="00D10322"/>
    <w:rsid w:val="00D23999"/>
    <w:rsid w:val="00D57DBF"/>
    <w:rsid w:val="00D97280"/>
    <w:rsid w:val="00D97FEB"/>
    <w:rsid w:val="00DA4E65"/>
    <w:rsid w:val="00DA54D9"/>
    <w:rsid w:val="00DE3278"/>
    <w:rsid w:val="00DE69B9"/>
    <w:rsid w:val="00DE6A64"/>
    <w:rsid w:val="00E577B4"/>
    <w:rsid w:val="00E813D4"/>
    <w:rsid w:val="00E91AE0"/>
    <w:rsid w:val="00EA6CF9"/>
    <w:rsid w:val="00ED46B9"/>
    <w:rsid w:val="00F040AE"/>
    <w:rsid w:val="00F37C40"/>
    <w:rsid w:val="00F5070D"/>
    <w:rsid w:val="00F77365"/>
    <w:rsid w:val="00F84DE0"/>
    <w:rsid w:val="00F93862"/>
    <w:rsid w:val="00FA0579"/>
    <w:rsid w:val="00FC6C4C"/>
    <w:rsid w:val="00FD7195"/>
    <w:rsid w:val="00FE4130"/>
    <w:rsid w:val="0B5218A1"/>
    <w:rsid w:val="12444F04"/>
    <w:rsid w:val="13F84960"/>
    <w:rsid w:val="14C434A2"/>
    <w:rsid w:val="17087C1C"/>
    <w:rsid w:val="18137550"/>
    <w:rsid w:val="1C67332C"/>
    <w:rsid w:val="21613D71"/>
    <w:rsid w:val="276A4438"/>
    <w:rsid w:val="28962E9F"/>
    <w:rsid w:val="2F995FA2"/>
    <w:rsid w:val="3113039F"/>
    <w:rsid w:val="36BC2EBB"/>
    <w:rsid w:val="3A717D6E"/>
    <w:rsid w:val="3B8443B3"/>
    <w:rsid w:val="3FDA2975"/>
    <w:rsid w:val="4118435F"/>
    <w:rsid w:val="4A9B3DB7"/>
    <w:rsid w:val="4AAD3591"/>
    <w:rsid w:val="51D3136C"/>
    <w:rsid w:val="56FE536D"/>
    <w:rsid w:val="58A03414"/>
    <w:rsid w:val="59522196"/>
    <w:rsid w:val="6138200C"/>
    <w:rsid w:val="699B2AD1"/>
    <w:rsid w:val="6C34681D"/>
    <w:rsid w:val="736446F8"/>
    <w:rsid w:val="75F033C4"/>
    <w:rsid w:val="78387B4C"/>
    <w:rsid w:val="79B4417F"/>
    <w:rsid w:val="7C6F7CDD"/>
    <w:rsid w:val="7F0A69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217"/>
    <w:rPr>
      <w:rFonts w:asciiTheme="minorHAnsi" w:eastAsiaTheme="minorEastAsia" w:hAnsiTheme="minorHAnsi" w:cstheme="minorBidi"/>
      <w:lang w:eastAsia="zh-CN"/>
    </w:rPr>
  </w:style>
  <w:style w:type="paragraph" w:styleId="Heading1">
    <w:name w:val="heading 1"/>
    <w:basedOn w:val="Normal"/>
    <w:next w:val="Normal"/>
    <w:link w:val="Heading1Char"/>
    <w:qFormat/>
    <w:rsid w:val="005B71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next w:val="Normal"/>
    <w:unhideWhenUsed/>
    <w:qFormat/>
    <w:rsid w:val="00815217"/>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rsid w:val="00815217"/>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rsid w:val="0028554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815217"/>
    <w:pPr>
      <w:spacing w:beforeAutospacing="1" w:afterAutospacing="1"/>
    </w:pPr>
    <w:rPr>
      <w:sz w:val="24"/>
      <w:szCs w:val="24"/>
      <w:lang w:eastAsia="zh-CN"/>
    </w:rPr>
  </w:style>
  <w:style w:type="character" w:styleId="Strong">
    <w:name w:val="Strong"/>
    <w:basedOn w:val="DefaultParagraphFont"/>
    <w:uiPriority w:val="22"/>
    <w:qFormat/>
    <w:rsid w:val="00815217"/>
    <w:rPr>
      <w:b/>
      <w:bCs/>
    </w:rPr>
  </w:style>
  <w:style w:type="paragraph" w:styleId="BalloonText">
    <w:name w:val="Balloon Text"/>
    <w:basedOn w:val="Normal"/>
    <w:link w:val="BalloonTextChar"/>
    <w:rsid w:val="00187A89"/>
    <w:rPr>
      <w:rFonts w:ascii="Tahoma" w:hAnsi="Tahoma" w:cs="Tahoma"/>
      <w:sz w:val="16"/>
      <w:szCs w:val="16"/>
    </w:rPr>
  </w:style>
  <w:style w:type="character" w:customStyle="1" w:styleId="BalloonTextChar">
    <w:name w:val="Balloon Text Char"/>
    <w:basedOn w:val="DefaultParagraphFont"/>
    <w:link w:val="BalloonText"/>
    <w:rsid w:val="00187A89"/>
    <w:rPr>
      <w:rFonts w:ascii="Tahoma" w:eastAsiaTheme="minorEastAsia" w:hAnsi="Tahoma" w:cs="Tahoma"/>
      <w:sz w:val="16"/>
      <w:szCs w:val="16"/>
      <w:lang w:eastAsia="zh-CN"/>
    </w:rPr>
  </w:style>
  <w:style w:type="table" w:styleId="Table3Deffects3">
    <w:name w:val="Table 3D effects 3"/>
    <w:basedOn w:val="TableNormal"/>
    <w:rsid w:val="00187A8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187A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Grid-Accent6">
    <w:name w:val="Colorful Grid Accent 6"/>
    <w:basedOn w:val="TableNormal"/>
    <w:uiPriority w:val="73"/>
    <w:rsid w:val="00187A8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TableClassic2">
    <w:name w:val="Table Classic 2"/>
    <w:basedOn w:val="TableNormal"/>
    <w:rsid w:val="00187A8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187A8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rsid w:val="00187A8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Caption">
    <w:name w:val="caption"/>
    <w:basedOn w:val="Normal"/>
    <w:next w:val="Normal"/>
    <w:unhideWhenUsed/>
    <w:qFormat/>
    <w:rsid w:val="00187A89"/>
    <w:pPr>
      <w:spacing w:after="200"/>
    </w:pPr>
    <w:rPr>
      <w:b/>
      <w:bCs/>
      <w:color w:val="5B9BD5" w:themeColor="accent1"/>
      <w:sz w:val="18"/>
      <w:szCs w:val="18"/>
    </w:rPr>
  </w:style>
  <w:style w:type="paragraph" w:styleId="ListParagraph">
    <w:name w:val="List Paragraph"/>
    <w:basedOn w:val="Normal"/>
    <w:uiPriority w:val="99"/>
    <w:unhideWhenUsed/>
    <w:rsid w:val="00273D60"/>
    <w:pPr>
      <w:ind w:left="720"/>
      <w:contextualSpacing/>
    </w:pPr>
  </w:style>
  <w:style w:type="character" w:styleId="Emphasis">
    <w:name w:val="Emphasis"/>
    <w:basedOn w:val="DefaultParagraphFont"/>
    <w:uiPriority w:val="20"/>
    <w:qFormat/>
    <w:rsid w:val="00261242"/>
    <w:rPr>
      <w:i/>
      <w:iCs/>
    </w:rPr>
  </w:style>
  <w:style w:type="character" w:styleId="Hyperlink">
    <w:name w:val="Hyperlink"/>
    <w:basedOn w:val="DefaultParagraphFont"/>
    <w:uiPriority w:val="99"/>
    <w:unhideWhenUsed/>
    <w:rsid w:val="00261242"/>
    <w:rPr>
      <w:color w:val="0000FF"/>
      <w:u w:val="single"/>
    </w:rPr>
  </w:style>
  <w:style w:type="character" w:customStyle="1" w:styleId="Heading4Char">
    <w:name w:val="Heading 4 Char"/>
    <w:basedOn w:val="DefaultParagraphFont"/>
    <w:link w:val="Heading4"/>
    <w:semiHidden/>
    <w:rsid w:val="00285543"/>
    <w:rPr>
      <w:rFonts w:asciiTheme="majorHAnsi" w:eastAsiaTheme="majorEastAsia" w:hAnsiTheme="majorHAnsi" w:cstheme="majorBidi"/>
      <w:b/>
      <w:bCs/>
      <w:i/>
      <w:iCs/>
      <w:color w:val="5B9BD5" w:themeColor="accent1"/>
      <w:lang w:eastAsia="zh-CN"/>
    </w:rPr>
  </w:style>
  <w:style w:type="paragraph" w:customStyle="1" w:styleId="ds-markdown-paragraph">
    <w:name w:val="ds-markdown-paragraph"/>
    <w:basedOn w:val="Normal"/>
    <w:rsid w:val="0049705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rsid w:val="005B71B4"/>
    <w:rPr>
      <w:rFonts w:asciiTheme="majorHAnsi" w:eastAsiaTheme="majorEastAsia" w:hAnsiTheme="majorHAnsi" w:cstheme="majorBidi"/>
      <w:b/>
      <w:bCs/>
      <w:color w:val="2E74B5" w:themeColor="accent1" w:themeShade="BF"/>
      <w:sz w:val="28"/>
      <w:szCs w:val="28"/>
      <w:lang w:eastAsia="zh-CN"/>
    </w:rPr>
  </w:style>
  <w:style w:type="character" w:customStyle="1" w:styleId="UnresolvedMention">
    <w:name w:val="Unresolved Mention"/>
    <w:basedOn w:val="DefaultParagraphFont"/>
    <w:uiPriority w:val="99"/>
    <w:semiHidden/>
    <w:unhideWhenUsed/>
    <w:rsid w:val="00776A9D"/>
    <w:rPr>
      <w:color w:val="605E5C"/>
      <w:shd w:val="clear" w:color="auto" w:fill="E1DFDD"/>
    </w:rPr>
  </w:style>
  <w:style w:type="paragraph" w:styleId="Header">
    <w:name w:val="header"/>
    <w:basedOn w:val="Normal"/>
    <w:link w:val="HeaderChar"/>
    <w:rsid w:val="00DE3278"/>
    <w:pPr>
      <w:tabs>
        <w:tab w:val="center" w:pos="4680"/>
        <w:tab w:val="right" w:pos="9360"/>
      </w:tabs>
    </w:pPr>
  </w:style>
  <w:style w:type="character" w:customStyle="1" w:styleId="HeaderChar">
    <w:name w:val="Header Char"/>
    <w:basedOn w:val="DefaultParagraphFont"/>
    <w:link w:val="Header"/>
    <w:rsid w:val="00DE3278"/>
    <w:rPr>
      <w:rFonts w:asciiTheme="minorHAnsi" w:eastAsiaTheme="minorEastAsia" w:hAnsiTheme="minorHAnsi" w:cstheme="minorBidi"/>
      <w:lang w:eastAsia="zh-CN"/>
    </w:rPr>
  </w:style>
  <w:style w:type="paragraph" w:styleId="Footer">
    <w:name w:val="footer"/>
    <w:basedOn w:val="Normal"/>
    <w:link w:val="FooterChar"/>
    <w:rsid w:val="00DE3278"/>
    <w:pPr>
      <w:tabs>
        <w:tab w:val="center" w:pos="4680"/>
        <w:tab w:val="right" w:pos="9360"/>
      </w:tabs>
    </w:pPr>
  </w:style>
  <w:style w:type="character" w:customStyle="1" w:styleId="FooterChar">
    <w:name w:val="Footer Char"/>
    <w:basedOn w:val="DefaultParagraphFont"/>
    <w:link w:val="Footer"/>
    <w:rsid w:val="00DE3278"/>
    <w:rPr>
      <w:rFonts w:asciiTheme="minorHAnsi" w:eastAsiaTheme="minorEastAsia" w:hAnsiTheme="minorHAnsi" w:cstheme="minorBidi"/>
      <w:lang w:eastAsia="zh-CN"/>
    </w:rPr>
  </w:style>
  <w:style w:type="character" w:styleId="FollowedHyperlink">
    <w:name w:val="FollowedHyperlink"/>
    <w:basedOn w:val="DefaultParagraphFont"/>
    <w:rsid w:val="007A4CA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2527060">
      <w:bodyDiv w:val="1"/>
      <w:marLeft w:val="0"/>
      <w:marRight w:val="0"/>
      <w:marTop w:val="0"/>
      <w:marBottom w:val="0"/>
      <w:divBdr>
        <w:top w:val="none" w:sz="0" w:space="0" w:color="auto"/>
        <w:left w:val="none" w:sz="0" w:space="0" w:color="auto"/>
        <w:bottom w:val="none" w:sz="0" w:space="0" w:color="auto"/>
        <w:right w:val="none" w:sz="0" w:space="0" w:color="auto"/>
      </w:divBdr>
    </w:div>
    <w:div w:id="162669065">
      <w:bodyDiv w:val="1"/>
      <w:marLeft w:val="0"/>
      <w:marRight w:val="0"/>
      <w:marTop w:val="0"/>
      <w:marBottom w:val="0"/>
      <w:divBdr>
        <w:top w:val="none" w:sz="0" w:space="0" w:color="auto"/>
        <w:left w:val="none" w:sz="0" w:space="0" w:color="auto"/>
        <w:bottom w:val="none" w:sz="0" w:space="0" w:color="auto"/>
        <w:right w:val="none" w:sz="0" w:space="0" w:color="auto"/>
      </w:divBdr>
    </w:div>
    <w:div w:id="192501616">
      <w:bodyDiv w:val="1"/>
      <w:marLeft w:val="0"/>
      <w:marRight w:val="0"/>
      <w:marTop w:val="0"/>
      <w:marBottom w:val="0"/>
      <w:divBdr>
        <w:top w:val="none" w:sz="0" w:space="0" w:color="auto"/>
        <w:left w:val="none" w:sz="0" w:space="0" w:color="auto"/>
        <w:bottom w:val="none" w:sz="0" w:space="0" w:color="auto"/>
        <w:right w:val="none" w:sz="0" w:space="0" w:color="auto"/>
      </w:divBdr>
    </w:div>
    <w:div w:id="200630915">
      <w:bodyDiv w:val="1"/>
      <w:marLeft w:val="0"/>
      <w:marRight w:val="0"/>
      <w:marTop w:val="0"/>
      <w:marBottom w:val="0"/>
      <w:divBdr>
        <w:top w:val="none" w:sz="0" w:space="0" w:color="auto"/>
        <w:left w:val="none" w:sz="0" w:space="0" w:color="auto"/>
        <w:bottom w:val="none" w:sz="0" w:space="0" w:color="auto"/>
        <w:right w:val="none" w:sz="0" w:space="0" w:color="auto"/>
      </w:divBdr>
    </w:div>
    <w:div w:id="220750774">
      <w:bodyDiv w:val="1"/>
      <w:marLeft w:val="0"/>
      <w:marRight w:val="0"/>
      <w:marTop w:val="0"/>
      <w:marBottom w:val="0"/>
      <w:divBdr>
        <w:top w:val="none" w:sz="0" w:space="0" w:color="auto"/>
        <w:left w:val="none" w:sz="0" w:space="0" w:color="auto"/>
        <w:bottom w:val="none" w:sz="0" w:space="0" w:color="auto"/>
        <w:right w:val="none" w:sz="0" w:space="0" w:color="auto"/>
      </w:divBdr>
      <w:divsChild>
        <w:div w:id="1975332952">
          <w:marLeft w:val="0"/>
          <w:marRight w:val="0"/>
          <w:marTop w:val="100"/>
          <w:marBottom w:val="100"/>
          <w:divBdr>
            <w:top w:val="none" w:sz="0" w:space="0" w:color="auto"/>
            <w:left w:val="none" w:sz="0" w:space="0" w:color="auto"/>
            <w:bottom w:val="none" w:sz="0" w:space="0" w:color="auto"/>
            <w:right w:val="none" w:sz="0" w:space="0" w:color="auto"/>
          </w:divBdr>
          <w:divsChild>
            <w:div w:id="1739279992">
              <w:marLeft w:val="0"/>
              <w:marRight w:val="0"/>
              <w:marTop w:val="0"/>
              <w:marBottom w:val="0"/>
              <w:divBdr>
                <w:top w:val="none" w:sz="0" w:space="0" w:color="auto"/>
                <w:left w:val="none" w:sz="0" w:space="0" w:color="auto"/>
                <w:bottom w:val="none" w:sz="0" w:space="0" w:color="auto"/>
                <w:right w:val="none" w:sz="0" w:space="0" w:color="auto"/>
              </w:divBdr>
              <w:divsChild>
                <w:div w:id="12026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135">
      <w:bodyDiv w:val="1"/>
      <w:marLeft w:val="0"/>
      <w:marRight w:val="0"/>
      <w:marTop w:val="0"/>
      <w:marBottom w:val="0"/>
      <w:divBdr>
        <w:top w:val="none" w:sz="0" w:space="0" w:color="auto"/>
        <w:left w:val="none" w:sz="0" w:space="0" w:color="auto"/>
        <w:bottom w:val="none" w:sz="0" w:space="0" w:color="auto"/>
        <w:right w:val="none" w:sz="0" w:space="0" w:color="auto"/>
      </w:divBdr>
    </w:div>
    <w:div w:id="293099719">
      <w:bodyDiv w:val="1"/>
      <w:marLeft w:val="0"/>
      <w:marRight w:val="0"/>
      <w:marTop w:val="0"/>
      <w:marBottom w:val="0"/>
      <w:divBdr>
        <w:top w:val="none" w:sz="0" w:space="0" w:color="auto"/>
        <w:left w:val="none" w:sz="0" w:space="0" w:color="auto"/>
        <w:bottom w:val="none" w:sz="0" w:space="0" w:color="auto"/>
        <w:right w:val="none" w:sz="0" w:space="0" w:color="auto"/>
      </w:divBdr>
    </w:div>
    <w:div w:id="297611295">
      <w:bodyDiv w:val="1"/>
      <w:marLeft w:val="0"/>
      <w:marRight w:val="0"/>
      <w:marTop w:val="0"/>
      <w:marBottom w:val="0"/>
      <w:divBdr>
        <w:top w:val="none" w:sz="0" w:space="0" w:color="auto"/>
        <w:left w:val="none" w:sz="0" w:space="0" w:color="auto"/>
        <w:bottom w:val="none" w:sz="0" w:space="0" w:color="auto"/>
        <w:right w:val="none" w:sz="0" w:space="0" w:color="auto"/>
      </w:divBdr>
    </w:div>
    <w:div w:id="349112701">
      <w:bodyDiv w:val="1"/>
      <w:marLeft w:val="0"/>
      <w:marRight w:val="0"/>
      <w:marTop w:val="0"/>
      <w:marBottom w:val="0"/>
      <w:divBdr>
        <w:top w:val="none" w:sz="0" w:space="0" w:color="auto"/>
        <w:left w:val="none" w:sz="0" w:space="0" w:color="auto"/>
        <w:bottom w:val="none" w:sz="0" w:space="0" w:color="auto"/>
        <w:right w:val="none" w:sz="0" w:space="0" w:color="auto"/>
      </w:divBdr>
    </w:div>
    <w:div w:id="408771008">
      <w:bodyDiv w:val="1"/>
      <w:marLeft w:val="0"/>
      <w:marRight w:val="0"/>
      <w:marTop w:val="0"/>
      <w:marBottom w:val="0"/>
      <w:divBdr>
        <w:top w:val="none" w:sz="0" w:space="0" w:color="auto"/>
        <w:left w:val="none" w:sz="0" w:space="0" w:color="auto"/>
        <w:bottom w:val="none" w:sz="0" w:space="0" w:color="auto"/>
        <w:right w:val="none" w:sz="0" w:space="0" w:color="auto"/>
      </w:divBdr>
      <w:divsChild>
        <w:div w:id="19654554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518933716">
      <w:bodyDiv w:val="1"/>
      <w:marLeft w:val="0"/>
      <w:marRight w:val="0"/>
      <w:marTop w:val="0"/>
      <w:marBottom w:val="0"/>
      <w:divBdr>
        <w:top w:val="none" w:sz="0" w:space="0" w:color="auto"/>
        <w:left w:val="none" w:sz="0" w:space="0" w:color="auto"/>
        <w:bottom w:val="none" w:sz="0" w:space="0" w:color="auto"/>
        <w:right w:val="none" w:sz="0" w:space="0" w:color="auto"/>
      </w:divBdr>
    </w:div>
    <w:div w:id="602692931">
      <w:bodyDiv w:val="1"/>
      <w:marLeft w:val="0"/>
      <w:marRight w:val="0"/>
      <w:marTop w:val="0"/>
      <w:marBottom w:val="0"/>
      <w:divBdr>
        <w:top w:val="none" w:sz="0" w:space="0" w:color="auto"/>
        <w:left w:val="none" w:sz="0" w:space="0" w:color="auto"/>
        <w:bottom w:val="none" w:sz="0" w:space="0" w:color="auto"/>
        <w:right w:val="none" w:sz="0" w:space="0" w:color="auto"/>
      </w:divBdr>
    </w:div>
    <w:div w:id="621116554">
      <w:bodyDiv w:val="1"/>
      <w:marLeft w:val="0"/>
      <w:marRight w:val="0"/>
      <w:marTop w:val="0"/>
      <w:marBottom w:val="0"/>
      <w:divBdr>
        <w:top w:val="none" w:sz="0" w:space="0" w:color="auto"/>
        <w:left w:val="none" w:sz="0" w:space="0" w:color="auto"/>
        <w:bottom w:val="none" w:sz="0" w:space="0" w:color="auto"/>
        <w:right w:val="none" w:sz="0" w:space="0" w:color="auto"/>
      </w:divBdr>
    </w:div>
    <w:div w:id="628126327">
      <w:bodyDiv w:val="1"/>
      <w:marLeft w:val="0"/>
      <w:marRight w:val="0"/>
      <w:marTop w:val="0"/>
      <w:marBottom w:val="0"/>
      <w:divBdr>
        <w:top w:val="none" w:sz="0" w:space="0" w:color="auto"/>
        <w:left w:val="none" w:sz="0" w:space="0" w:color="auto"/>
        <w:bottom w:val="none" w:sz="0" w:space="0" w:color="auto"/>
        <w:right w:val="none" w:sz="0" w:space="0" w:color="auto"/>
      </w:divBdr>
    </w:div>
    <w:div w:id="738164477">
      <w:bodyDiv w:val="1"/>
      <w:marLeft w:val="0"/>
      <w:marRight w:val="0"/>
      <w:marTop w:val="0"/>
      <w:marBottom w:val="0"/>
      <w:divBdr>
        <w:top w:val="none" w:sz="0" w:space="0" w:color="auto"/>
        <w:left w:val="none" w:sz="0" w:space="0" w:color="auto"/>
        <w:bottom w:val="none" w:sz="0" w:space="0" w:color="auto"/>
        <w:right w:val="none" w:sz="0" w:space="0" w:color="auto"/>
      </w:divBdr>
    </w:div>
    <w:div w:id="764612905">
      <w:bodyDiv w:val="1"/>
      <w:marLeft w:val="0"/>
      <w:marRight w:val="0"/>
      <w:marTop w:val="0"/>
      <w:marBottom w:val="0"/>
      <w:divBdr>
        <w:top w:val="none" w:sz="0" w:space="0" w:color="auto"/>
        <w:left w:val="none" w:sz="0" w:space="0" w:color="auto"/>
        <w:bottom w:val="none" w:sz="0" w:space="0" w:color="auto"/>
        <w:right w:val="none" w:sz="0" w:space="0" w:color="auto"/>
      </w:divBdr>
      <w:divsChild>
        <w:div w:id="278924057">
          <w:marLeft w:val="0"/>
          <w:marRight w:val="0"/>
          <w:marTop w:val="100"/>
          <w:marBottom w:val="100"/>
          <w:divBdr>
            <w:top w:val="none" w:sz="0" w:space="0" w:color="auto"/>
            <w:left w:val="none" w:sz="0" w:space="0" w:color="auto"/>
            <w:bottom w:val="none" w:sz="0" w:space="0" w:color="auto"/>
            <w:right w:val="none" w:sz="0" w:space="0" w:color="auto"/>
          </w:divBdr>
          <w:divsChild>
            <w:div w:id="1226916372">
              <w:marLeft w:val="0"/>
              <w:marRight w:val="0"/>
              <w:marTop w:val="0"/>
              <w:marBottom w:val="0"/>
              <w:divBdr>
                <w:top w:val="none" w:sz="0" w:space="0" w:color="auto"/>
                <w:left w:val="none" w:sz="0" w:space="0" w:color="auto"/>
                <w:bottom w:val="none" w:sz="0" w:space="0" w:color="auto"/>
                <w:right w:val="none" w:sz="0" w:space="0" w:color="auto"/>
              </w:divBdr>
              <w:divsChild>
                <w:div w:id="10506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09222">
      <w:bodyDiv w:val="1"/>
      <w:marLeft w:val="0"/>
      <w:marRight w:val="0"/>
      <w:marTop w:val="0"/>
      <w:marBottom w:val="0"/>
      <w:divBdr>
        <w:top w:val="none" w:sz="0" w:space="0" w:color="auto"/>
        <w:left w:val="none" w:sz="0" w:space="0" w:color="auto"/>
        <w:bottom w:val="none" w:sz="0" w:space="0" w:color="auto"/>
        <w:right w:val="none" w:sz="0" w:space="0" w:color="auto"/>
      </w:divBdr>
    </w:div>
    <w:div w:id="869418902">
      <w:bodyDiv w:val="1"/>
      <w:marLeft w:val="0"/>
      <w:marRight w:val="0"/>
      <w:marTop w:val="0"/>
      <w:marBottom w:val="0"/>
      <w:divBdr>
        <w:top w:val="none" w:sz="0" w:space="0" w:color="auto"/>
        <w:left w:val="none" w:sz="0" w:space="0" w:color="auto"/>
        <w:bottom w:val="none" w:sz="0" w:space="0" w:color="auto"/>
        <w:right w:val="none" w:sz="0" w:space="0" w:color="auto"/>
      </w:divBdr>
    </w:div>
    <w:div w:id="972061842">
      <w:bodyDiv w:val="1"/>
      <w:marLeft w:val="0"/>
      <w:marRight w:val="0"/>
      <w:marTop w:val="0"/>
      <w:marBottom w:val="0"/>
      <w:divBdr>
        <w:top w:val="none" w:sz="0" w:space="0" w:color="auto"/>
        <w:left w:val="none" w:sz="0" w:space="0" w:color="auto"/>
        <w:bottom w:val="none" w:sz="0" w:space="0" w:color="auto"/>
        <w:right w:val="none" w:sz="0" w:space="0" w:color="auto"/>
      </w:divBdr>
    </w:div>
    <w:div w:id="989094841">
      <w:bodyDiv w:val="1"/>
      <w:marLeft w:val="0"/>
      <w:marRight w:val="0"/>
      <w:marTop w:val="0"/>
      <w:marBottom w:val="0"/>
      <w:divBdr>
        <w:top w:val="none" w:sz="0" w:space="0" w:color="auto"/>
        <w:left w:val="none" w:sz="0" w:space="0" w:color="auto"/>
        <w:bottom w:val="none" w:sz="0" w:space="0" w:color="auto"/>
        <w:right w:val="none" w:sz="0" w:space="0" w:color="auto"/>
      </w:divBdr>
    </w:div>
    <w:div w:id="1088230821">
      <w:bodyDiv w:val="1"/>
      <w:marLeft w:val="0"/>
      <w:marRight w:val="0"/>
      <w:marTop w:val="0"/>
      <w:marBottom w:val="0"/>
      <w:divBdr>
        <w:top w:val="none" w:sz="0" w:space="0" w:color="auto"/>
        <w:left w:val="none" w:sz="0" w:space="0" w:color="auto"/>
        <w:bottom w:val="none" w:sz="0" w:space="0" w:color="auto"/>
        <w:right w:val="none" w:sz="0" w:space="0" w:color="auto"/>
      </w:divBdr>
    </w:div>
    <w:div w:id="1115641548">
      <w:bodyDiv w:val="1"/>
      <w:marLeft w:val="0"/>
      <w:marRight w:val="0"/>
      <w:marTop w:val="0"/>
      <w:marBottom w:val="0"/>
      <w:divBdr>
        <w:top w:val="none" w:sz="0" w:space="0" w:color="auto"/>
        <w:left w:val="none" w:sz="0" w:space="0" w:color="auto"/>
        <w:bottom w:val="none" w:sz="0" w:space="0" w:color="auto"/>
        <w:right w:val="none" w:sz="0" w:space="0" w:color="auto"/>
      </w:divBdr>
    </w:div>
    <w:div w:id="1164904348">
      <w:bodyDiv w:val="1"/>
      <w:marLeft w:val="0"/>
      <w:marRight w:val="0"/>
      <w:marTop w:val="0"/>
      <w:marBottom w:val="0"/>
      <w:divBdr>
        <w:top w:val="none" w:sz="0" w:space="0" w:color="auto"/>
        <w:left w:val="none" w:sz="0" w:space="0" w:color="auto"/>
        <w:bottom w:val="none" w:sz="0" w:space="0" w:color="auto"/>
        <w:right w:val="none" w:sz="0" w:space="0" w:color="auto"/>
      </w:divBdr>
    </w:div>
    <w:div w:id="1257784283">
      <w:bodyDiv w:val="1"/>
      <w:marLeft w:val="0"/>
      <w:marRight w:val="0"/>
      <w:marTop w:val="0"/>
      <w:marBottom w:val="0"/>
      <w:divBdr>
        <w:top w:val="none" w:sz="0" w:space="0" w:color="auto"/>
        <w:left w:val="none" w:sz="0" w:space="0" w:color="auto"/>
        <w:bottom w:val="none" w:sz="0" w:space="0" w:color="auto"/>
        <w:right w:val="none" w:sz="0" w:space="0" w:color="auto"/>
      </w:divBdr>
    </w:div>
    <w:div w:id="1434739669">
      <w:bodyDiv w:val="1"/>
      <w:marLeft w:val="0"/>
      <w:marRight w:val="0"/>
      <w:marTop w:val="0"/>
      <w:marBottom w:val="0"/>
      <w:divBdr>
        <w:top w:val="none" w:sz="0" w:space="0" w:color="auto"/>
        <w:left w:val="none" w:sz="0" w:space="0" w:color="auto"/>
        <w:bottom w:val="none" w:sz="0" w:space="0" w:color="auto"/>
        <w:right w:val="none" w:sz="0" w:space="0" w:color="auto"/>
      </w:divBdr>
    </w:div>
    <w:div w:id="1450322726">
      <w:bodyDiv w:val="1"/>
      <w:marLeft w:val="0"/>
      <w:marRight w:val="0"/>
      <w:marTop w:val="0"/>
      <w:marBottom w:val="0"/>
      <w:divBdr>
        <w:top w:val="none" w:sz="0" w:space="0" w:color="auto"/>
        <w:left w:val="none" w:sz="0" w:space="0" w:color="auto"/>
        <w:bottom w:val="none" w:sz="0" w:space="0" w:color="auto"/>
        <w:right w:val="none" w:sz="0" w:space="0" w:color="auto"/>
      </w:divBdr>
    </w:div>
    <w:div w:id="1614705123">
      <w:bodyDiv w:val="1"/>
      <w:marLeft w:val="0"/>
      <w:marRight w:val="0"/>
      <w:marTop w:val="0"/>
      <w:marBottom w:val="0"/>
      <w:divBdr>
        <w:top w:val="none" w:sz="0" w:space="0" w:color="auto"/>
        <w:left w:val="none" w:sz="0" w:space="0" w:color="auto"/>
        <w:bottom w:val="none" w:sz="0" w:space="0" w:color="auto"/>
        <w:right w:val="none" w:sz="0" w:space="0" w:color="auto"/>
      </w:divBdr>
    </w:div>
    <w:div w:id="1795172273">
      <w:bodyDiv w:val="1"/>
      <w:marLeft w:val="0"/>
      <w:marRight w:val="0"/>
      <w:marTop w:val="0"/>
      <w:marBottom w:val="0"/>
      <w:divBdr>
        <w:top w:val="none" w:sz="0" w:space="0" w:color="auto"/>
        <w:left w:val="none" w:sz="0" w:space="0" w:color="auto"/>
        <w:bottom w:val="none" w:sz="0" w:space="0" w:color="auto"/>
        <w:right w:val="none" w:sz="0" w:space="0" w:color="auto"/>
      </w:divBdr>
    </w:div>
    <w:div w:id="1829243399">
      <w:bodyDiv w:val="1"/>
      <w:marLeft w:val="0"/>
      <w:marRight w:val="0"/>
      <w:marTop w:val="0"/>
      <w:marBottom w:val="0"/>
      <w:divBdr>
        <w:top w:val="none" w:sz="0" w:space="0" w:color="auto"/>
        <w:left w:val="none" w:sz="0" w:space="0" w:color="auto"/>
        <w:bottom w:val="none" w:sz="0" w:space="0" w:color="auto"/>
        <w:right w:val="none" w:sz="0" w:space="0" w:color="auto"/>
      </w:divBdr>
    </w:div>
    <w:div w:id="2089225461">
      <w:bodyDiv w:val="1"/>
      <w:marLeft w:val="0"/>
      <w:marRight w:val="0"/>
      <w:marTop w:val="0"/>
      <w:marBottom w:val="0"/>
      <w:divBdr>
        <w:top w:val="none" w:sz="0" w:space="0" w:color="auto"/>
        <w:left w:val="none" w:sz="0" w:space="0" w:color="auto"/>
        <w:bottom w:val="none" w:sz="0" w:space="0" w:color="auto"/>
        <w:right w:val="none" w:sz="0" w:space="0" w:color="auto"/>
      </w:divBdr>
    </w:div>
    <w:div w:id="2114933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78DE00-6801-4FB3-BEC6-FEEB5DA8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Admin</cp:lastModifiedBy>
  <cp:revision>285</cp:revision>
  <dcterms:created xsi:type="dcterms:W3CDTF">2025-07-08T11:12:00Z</dcterms:created>
  <dcterms:modified xsi:type="dcterms:W3CDTF">2025-09-17T06:12:00Z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BC45D38805D54501A2AA17814E438763_12</vt:lpwstr>
  </property>
</Properties>
</file>