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984C" w14:textId="3E646D6E" w:rsidR="00FE0B2E" w:rsidRDefault="00FE0B2E" w:rsidP="002F6DBB">
      <w:pPr>
        <w:rPr>
          <w:rFonts w:ascii="Arial" w:hAnsi="Arial" w:cs="Arial"/>
          <w:b/>
          <w:bCs/>
          <w:sz w:val="22"/>
          <w:szCs w:val="22"/>
        </w:rPr>
      </w:pPr>
      <w:bookmarkStart w:id="0" w:name="_GoBack"/>
      <w:bookmarkEnd w:id="0"/>
    </w:p>
    <w:p w14:paraId="2DC6FC4A" w14:textId="721353D3" w:rsidR="00FE0B2E" w:rsidRPr="00FE0B2E" w:rsidRDefault="00FE0B2E" w:rsidP="002F6DBB">
      <w:pPr>
        <w:rPr>
          <w:rFonts w:ascii="Arial" w:hAnsi="Arial" w:cs="Arial"/>
          <w:bCs/>
          <w:sz w:val="22"/>
          <w:szCs w:val="22"/>
        </w:rPr>
      </w:pPr>
      <w:r w:rsidRPr="00FE0B2E">
        <w:rPr>
          <w:rFonts w:ascii="Arial" w:hAnsi="Arial" w:cs="Arial"/>
          <w:b/>
          <w:bCs/>
          <w:sz w:val="22"/>
          <w:szCs w:val="22"/>
          <w:highlight w:val="yellow"/>
        </w:rPr>
        <w:t>Competencies Integrating 21st-Century Skills of (TLE) Teachers in Northern Samar, Philippines: A Quantitative Case Study</w:t>
      </w:r>
    </w:p>
    <w:p w14:paraId="05EFCAC9" w14:textId="77777777" w:rsidR="00EB4089" w:rsidRPr="002F6DBB" w:rsidRDefault="00EB4089" w:rsidP="002F6DBB">
      <w:pPr>
        <w:rPr>
          <w:rFonts w:ascii="Arial" w:hAnsi="Arial" w:cs="Arial"/>
          <w:bCs/>
          <w:color w:val="000000" w:themeColor="text1"/>
          <w:sz w:val="22"/>
          <w:szCs w:val="22"/>
        </w:rPr>
      </w:pPr>
    </w:p>
    <w:p w14:paraId="5B432B21" w14:textId="77777777" w:rsidR="003055EE" w:rsidRPr="002F6DBB" w:rsidRDefault="003055EE" w:rsidP="002F6DBB">
      <w:pPr>
        <w:pBdr>
          <w:bottom w:val="single" w:sz="24" w:space="1" w:color="auto"/>
        </w:pBdr>
        <w:rPr>
          <w:rFonts w:ascii="Arial" w:hAnsi="Arial" w:cs="Arial"/>
          <w:color w:val="000000" w:themeColor="text1"/>
          <w:sz w:val="22"/>
          <w:szCs w:val="22"/>
        </w:rPr>
      </w:pPr>
    </w:p>
    <w:p w14:paraId="3ADA6DFA" w14:textId="77777777" w:rsidR="00951D12" w:rsidRPr="002F6DBB" w:rsidRDefault="00951D12" w:rsidP="002F6DBB">
      <w:pPr>
        <w:rPr>
          <w:rFonts w:ascii="Arial" w:hAnsi="Arial" w:cs="Arial"/>
          <w:sz w:val="22"/>
          <w:szCs w:val="22"/>
        </w:rPr>
      </w:pPr>
    </w:p>
    <w:p w14:paraId="68B9D341" w14:textId="77777777" w:rsidR="00951D12" w:rsidRPr="002F6DBB" w:rsidRDefault="00174930" w:rsidP="002F6DBB">
      <w:pPr>
        <w:rPr>
          <w:rFonts w:ascii="Arial" w:hAnsi="Arial" w:cs="Arial"/>
          <w:b/>
          <w:bCs/>
          <w:sz w:val="22"/>
          <w:szCs w:val="22"/>
        </w:rPr>
      </w:pPr>
      <w:r w:rsidRPr="002F6DBB">
        <w:rPr>
          <w:rFonts w:ascii="Arial" w:hAnsi="Arial" w:cs="Arial"/>
          <w:b/>
          <w:bCs/>
          <w:sz w:val="22"/>
          <w:szCs w:val="22"/>
        </w:rPr>
        <w:t>ABSTRACT</w:t>
      </w:r>
    </w:p>
    <w:p w14:paraId="3BEA50BC" w14:textId="77777777" w:rsidR="00A7196E" w:rsidRPr="00A7196E" w:rsidRDefault="00A7196E" w:rsidP="00A7196E">
      <w:pPr>
        <w:rPr>
          <w:rFonts w:ascii="Arial" w:hAnsi="Arial" w:cs="Arial"/>
          <w:sz w:val="22"/>
          <w:szCs w:val="22"/>
        </w:rPr>
      </w:pPr>
      <w:r w:rsidRPr="00A7196E">
        <w:rPr>
          <w:rFonts w:ascii="Arial" w:hAnsi="Arial" w:cs="Arial"/>
          <w:sz w:val="22"/>
          <w:szCs w:val="22"/>
        </w:rPr>
        <w:t xml:space="preserve">This study aimed to determine the extent of competencies integrating 21st-century skills among Technology and Livelihood Education (TLE) teachers in the Division of Northern Samar and examine their relationship to </w:t>
      </w:r>
      <w:r w:rsidR="00423851">
        <w:rPr>
          <w:rFonts w:ascii="Arial" w:hAnsi="Arial" w:cs="Arial"/>
          <w:sz w:val="22"/>
          <w:szCs w:val="22"/>
        </w:rPr>
        <w:t>performance of TLE teachers</w:t>
      </w:r>
      <w:r w:rsidRPr="00A7196E">
        <w:rPr>
          <w:rFonts w:ascii="Arial" w:hAnsi="Arial" w:cs="Arial"/>
          <w:sz w:val="22"/>
          <w:szCs w:val="22"/>
        </w:rPr>
        <w:t>. Specifically, it assessed teacher competencies based on the Philippine TVET Trainers Qualification Framework (PTTQF) in the areas of communication, collaboration and teamwork, critical thinking and problem solving, life-long learning and career skills, learning and innovation, information management, occupational safety and health, environmental literacy, and entrepreneurial skills. Using a descriptive-correlational research design, the study involved complete enumeration of 170 TLE teachers, 15 school heads, and 15 department heads across 15 technical-vocational schools. Data were gathered using a structured survey and analyzed through Pearson correlation to explore relationships between competencies and performance, as measured by Individual Performance Commitment and Review (IPCR) ratings.</w:t>
      </w:r>
    </w:p>
    <w:p w14:paraId="27281A42" w14:textId="77777777" w:rsidR="00A7196E" w:rsidRPr="00A7196E" w:rsidRDefault="00A7196E" w:rsidP="00A7196E">
      <w:pPr>
        <w:rPr>
          <w:rFonts w:ascii="Arial" w:hAnsi="Arial" w:cs="Arial"/>
          <w:sz w:val="22"/>
          <w:szCs w:val="22"/>
        </w:rPr>
      </w:pPr>
    </w:p>
    <w:p w14:paraId="48842746" w14:textId="77777777" w:rsidR="00423851" w:rsidRPr="00423851" w:rsidRDefault="00423851" w:rsidP="00423851">
      <w:pPr>
        <w:pBdr>
          <w:bottom w:val="single" w:sz="24" w:space="1" w:color="auto"/>
        </w:pBdr>
        <w:rPr>
          <w:rFonts w:ascii="Arial" w:hAnsi="Arial" w:cs="Arial"/>
          <w:sz w:val="22"/>
          <w:szCs w:val="22"/>
        </w:rPr>
      </w:pPr>
      <w:r w:rsidRPr="00423851">
        <w:rPr>
          <w:rFonts w:ascii="Arial" w:hAnsi="Arial" w:cs="Arial"/>
          <w:sz w:val="22"/>
          <w:szCs w:val="22"/>
        </w:rPr>
        <w:t>Findings revealed that TLE teachers demonstrated very high levels of competence across most domains, with occupational safety and health emerging as the strongest area. However, relatively lower ratings were observed in critical thinking, learning and innovation, and the application of learning theories, indicating areas for further development. Teachers also received outstanding performance ratings based on their IPCR assessments. Notably, significant positive correlations were found between teacher performance and the domains of critical thinking and problem solving, learning and innovation, and environmental literacy. Conversely, a surprising negative correlation was observed in the area of communication, suggesting a potential gap between perceived competence and actual instructional effectiveness. The study concludes that while TLE teachers are generally well-equipped to integrate 21st-century skills, targeted professional development is needed to strengthen strategic thinking, innovation leadership, and reflective communication to further enhance performance</w:t>
      </w:r>
      <w:r>
        <w:rPr>
          <w:rFonts w:ascii="Arial" w:hAnsi="Arial" w:cs="Arial"/>
          <w:sz w:val="22"/>
          <w:szCs w:val="22"/>
        </w:rPr>
        <w:t xml:space="preserve"> of TLE teachers</w:t>
      </w:r>
      <w:r w:rsidRPr="00423851">
        <w:rPr>
          <w:rFonts w:ascii="Arial" w:hAnsi="Arial" w:cs="Arial"/>
          <w:sz w:val="22"/>
          <w:szCs w:val="22"/>
        </w:rPr>
        <w:t>.</w:t>
      </w:r>
    </w:p>
    <w:p w14:paraId="10E38558" w14:textId="77777777" w:rsidR="00174930" w:rsidRPr="002F6DBB" w:rsidRDefault="00174930" w:rsidP="002F6DBB">
      <w:pPr>
        <w:pBdr>
          <w:bottom w:val="single" w:sz="24" w:space="1" w:color="auto"/>
        </w:pBdr>
        <w:rPr>
          <w:rFonts w:ascii="Arial" w:hAnsi="Arial" w:cs="Arial"/>
          <w:color w:val="000000" w:themeColor="text1"/>
          <w:sz w:val="22"/>
          <w:szCs w:val="22"/>
        </w:rPr>
      </w:pPr>
    </w:p>
    <w:p w14:paraId="037F3D71" w14:textId="77777777" w:rsidR="007D6719" w:rsidRPr="002F6DBB" w:rsidRDefault="007D6719" w:rsidP="002F6DBB">
      <w:pPr>
        <w:ind w:firstLine="360"/>
        <w:jc w:val="both"/>
        <w:rPr>
          <w:rFonts w:ascii="Arial" w:hAnsi="Arial" w:cs="Arial"/>
          <w:sz w:val="22"/>
          <w:szCs w:val="22"/>
        </w:rPr>
      </w:pPr>
    </w:p>
    <w:p w14:paraId="4364BB91" w14:textId="77777777" w:rsidR="00A7196E" w:rsidRPr="002F6DBB" w:rsidRDefault="00B21A9A" w:rsidP="00A7196E">
      <w:pPr>
        <w:jc w:val="both"/>
        <w:rPr>
          <w:rFonts w:ascii="Arial" w:hAnsi="Arial" w:cs="Arial"/>
          <w:sz w:val="22"/>
          <w:szCs w:val="22"/>
        </w:rPr>
      </w:pPr>
      <w:r w:rsidRPr="002F6DBB">
        <w:rPr>
          <w:rFonts w:ascii="Arial" w:hAnsi="Arial" w:cs="Arial"/>
          <w:b/>
          <w:bCs/>
          <w:i/>
          <w:iCs/>
          <w:sz w:val="20"/>
          <w:szCs w:val="20"/>
        </w:rPr>
        <w:t xml:space="preserve">Keywords: </w:t>
      </w:r>
      <w:r w:rsidR="00A7196E" w:rsidRPr="00423851">
        <w:rPr>
          <w:rFonts w:ascii="Arial" w:hAnsi="Arial" w:cs="Arial"/>
          <w:i/>
          <w:iCs/>
          <w:sz w:val="20"/>
          <w:szCs w:val="20"/>
        </w:rPr>
        <w:t>21</w:t>
      </w:r>
      <w:r w:rsidR="00A7196E" w:rsidRPr="00423851">
        <w:rPr>
          <w:rFonts w:ascii="Arial" w:hAnsi="Arial" w:cs="Arial"/>
          <w:i/>
          <w:iCs/>
          <w:sz w:val="20"/>
          <w:szCs w:val="20"/>
          <w:vertAlign w:val="superscript"/>
        </w:rPr>
        <w:t>st</w:t>
      </w:r>
      <w:r w:rsidR="00423851" w:rsidRPr="00423851">
        <w:rPr>
          <w:rFonts w:ascii="Arial" w:hAnsi="Arial" w:cs="Arial"/>
          <w:i/>
          <w:iCs/>
          <w:sz w:val="20"/>
          <w:szCs w:val="20"/>
        </w:rPr>
        <w:t xml:space="preserve"> Century Skills</w:t>
      </w:r>
      <w:r w:rsidR="00A7196E" w:rsidRPr="00423851">
        <w:rPr>
          <w:rFonts w:ascii="Arial" w:hAnsi="Arial" w:cs="Arial"/>
          <w:i/>
          <w:iCs/>
          <w:sz w:val="20"/>
          <w:szCs w:val="20"/>
        </w:rPr>
        <w:t xml:space="preserve">, </w:t>
      </w:r>
      <w:r w:rsidR="00423851" w:rsidRPr="00423851">
        <w:rPr>
          <w:rFonts w:ascii="Arial" w:hAnsi="Arial" w:cs="Arial"/>
          <w:i/>
          <w:iCs/>
          <w:sz w:val="20"/>
          <w:szCs w:val="20"/>
        </w:rPr>
        <w:t>Performance of Teachers</w:t>
      </w:r>
      <w:r w:rsidR="00A7196E" w:rsidRPr="00423851">
        <w:rPr>
          <w:rFonts w:ascii="Arial" w:hAnsi="Arial" w:cs="Arial"/>
          <w:i/>
          <w:iCs/>
          <w:sz w:val="20"/>
          <w:szCs w:val="20"/>
        </w:rPr>
        <w:t xml:space="preserve">, </w:t>
      </w:r>
      <w:r w:rsidR="00423851" w:rsidRPr="00423851">
        <w:rPr>
          <w:rFonts w:ascii="Arial" w:hAnsi="Arial" w:cs="Arial"/>
          <w:i/>
          <w:iCs/>
          <w:sz w:val="20"/>
          <w:szCs w:val="20"/>
        </w:rPr>
        <w:t>Philippine TVET Trainers Qualification Framework (PTTQF)</w:t>
      </w:r>
      <w:r w:rsidR="00A7196E" w:rsidRPr="00423851">
        <w:rPr>
          <w:rFonts w:ascii="Arial" w:hAnsi="Arial" w:cs="Arial"/>
          <w:i/>
          <w:iCs/>
          <w:sz w:val="20"/>
          <w:szCs w:val="20"/>
        </w:rPr>
        <w:t xml:space="preserve">, </w:t>
      </w:r>
      <w:r w:rsidR="00423851" w:rsidRPr="00423851">
        <w:rPr>
          <w:rFonts w:ascii="Arial" w:hAnsi="Arial" w:cs="Arial"/>
          <w:i/>
          <w:iCs/>
          <w:sz w:val="20"/>
          <w:szCs w:val="20"/>
        </w:rPr>
        <w:t>T</w:t>
      </w:r>
      <w:r w:rsidR="00A7196E" w:rsidRPr="00423851">
        <w:rPr>
          <w:rFonts w:ascii="Arial" w:hAnsi="Arial" w:cs="Arial"/>
          <w:i/>
          <w:iCs/>
          <w:sz w:val="20"/>
          <w:szCs w:val="20"/>
        </w:rPr>
        <w:t>echnical-</w:t>
      </w:r>
      <w:r w:rsidR="00423851" w:rsidRPr="00423851">
        <w:rPr>
          <w:rFonts w:ascii="Arial" w:hAnsi="Arial" w:cs="Arial"/>
          <w:i/>
          <w:iCs/>
          <w:sz w:val="20"/>
          <w:szCs w:val="20"/>
        </w:rPr>
        <w:t>V</w:t>
      </w:r>
      <w:r w:rsidR="00A7196E" w:rsidRPr="00423851">
        <w:rPr>
          <w:rFonts w:ascii="Arial" w:hAnsi="Arial" w:cs="Arial"/>
          <w:i/>
          <w:iCs/>
          <w:sz w:val="20"/>
          <w:szCs w:val="20"/>
        </w:rPr>
        <w:t xml:space="preserve">ocational </w:t>
      </w:r>
      <w:r w:rsidR="00423851" w:rsidRPr="00423851">
        <w:rPr>
          <w:rFonts w:ascii="Arial" w:hAnsi="Arial" w:cs="Arial"/>
          <w:i/>
          <w:iCs/>
          <w:sz w:val="20"/>
          <w:szCs w:val="20"/>
        </w:rPr>
        <w:t>E</w:t>
      </w:r>
      <w:r w:rsidR="00A7196E" w:rsidRPr="00423851">
        <w:rPr>
          <w:rFonts w:ascii="Arial" w:hAnsi="Arial" w:cs="Arial"/>
          <w:i/>
          <w:iCs/>
          <w:sz w:val="20"/>
          <w:szCs w:val="20"/>
        </w:rPr>
        <w:t>ducation.</w:t>
      </w:r>
    </w:p>
    <w:p w14:paraId="0A7C8744" w14:textId="77777777" w:rsidR="00B21A9A" w:rsidRPr="002F6DBB" w:rsidRDefault="00B21A9A" w:rsidP="002F6DBB">
      <w:pPr>
        <w:jc w:val="both"/>
        <w:rPr>
          <w:rFonts w:ascii="Arial" w:hAnsi="Arial" w:cs="Arial"/>
          <w:b/>
          <w:bCs/>
          <w:i/>
          <w:iCs/>
          <w:sz w:val="20"/>
          <w:szCs w:val="20"/>
        </w:rPr>
      </w:pPr>
    </w:p>
    <w:p w14:paraId="665DEA28" w14:textId="77777777" w:rsidR="00951D12" w:rsidRDefault="00951D12" w:rsidP="002F6DBB">
      <w:pPr>
        <w:rPr>
          <w:rFonts w:ascii="Arial" w:hAnsi="Arial" w:cs="Arial"/>
          <w:color w:val="000000" w:themeColor="text1"/>
          <w:sz w:val="22"/>
          <w:szCs w:val="22"/>
        </w:rPr>
      </w:pPr>
    </w:p>
    <w:p w14:paraId="3BECF20C" w14:textId="77777777" w:rsidR="00423851" w:rsidRPr="002F6DBB" w:rsidRDefault="00423851" w:rsidP="002F6DBB">
      <w:pPr>
        <w:rPr>
          <w:rFonts w:ascii="Arial" w:hAnsi="Arial" w:cs="Arial"/>
          <w:color w:val="000000" w:themeColor="text1"/>
          <w:sz w:val="22"/>
          <w:szCs w:val="22"/>
        </w:rPr>
      </w:pPr>
    </w:p>
    <w:p w14:paraId="0C0E9752" w14:textId="77777777" w:rsidR="007D6719"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INTRODUCTION</w:t>
      </w:r>
    </w:p>
    <w:p w14:paraId="26CFD9EA"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The rapid transformation of the 21st-century learning environment, driven by technological advancement, globalization, and evolving labor market demands, necessitates a redefinition of teaching competencies across all subject areas, especially in Technology and Livelihood Education (TLE). As frontliners in delivering practical and skill-based instruction, TLE teachers are expected to integrate 21st-century skills into their teaching practices to prepare learners for real-world challenges and opportunities [1].</w:t>
      </w:r>
    </w:p>
    <w:p w14:paraId="0EE7B788" w14:textId="77777777" w:rsidR="002F6DBB" w:rsidRPr="002F6DBB" w:rsidRDefault="002F6DBB" w:rsidP="002F6DBB">
      <w:pPr>
        <w:rPr>
          <w:rFonts w:ascii="Arial" w:hAnsi="Arial" w:cs="Arial"/>
          <w:color w:val="000000" w:themeColor="text1"/>
          <w:sz w:val="20"/>
          <w:szCs w:val="20"/>
        </w:rPr>
      </w:pPr>
    </w:p>
    <w:p w14:paraId="6A78A7DB"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The Department of Education (DepEd), through the K to 12 Basic Education Curriculum, emphasizes the importance of equipping learners with 21st-century skills such as communication, collaboration, critical thinking, problem-solving, creativity, and productivity [2]. These skills are explicitly embedded in DepEd Order No. 42, s. 2017, also known as the National Adoption and Implementation of the Philippine Professional Standards for Teachers (PPST), which outlines professional competencies that align with </w:t>
      </w:r>
      <w:r w:rsidRPr="002F6DBB">
        <w:rPr>
          <w:rFonts w:ascii="Arial" w:hAnsi="Arial" w:cs="Arial"/>
          <w:color w:val="000000" w:themeColor="text1"/>
          <w:sz w:val="20"/>
          <w:szCs w:val="20"/>
        </w:rPr>
        <w:lastRenderedPageBreak/>
        <w:t>global standards [3]. Furthermore, DepEd Order No. 21, s. 2019 reinforces the implementation of the Work Immersion Program and contextualized instruction in TLE to strengthen the application of industry-based competencies [4].</w:t>
      </w:r>
    </w:p>
    <w:p w14:paraId="31CC7964" w14:textId="77777777" w:rsidR="002F6DBB" w:rsidRPr="002F6DBB" w:rsidRDefault="002F6DBB" w:rsidP="002F6DBB">
      <w:pPr>
        <w:rPr>
          <w:rFonts w:ascii="Arial" w:hAnsi="Arial" w:cs="Arial"/>
          <w:color w:val="000000" w:themeColor="text1"/>
          <w:sz w:val="20"/>
          <w:szCs w:val="20"/>
        </w:rPr>
      </w:pPr>
    </w:p>
    <w:p w14:paraId="0C59BC56"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Complementing DepEd’s direction, the Technical Education and Skills Development Authority (TESDA) developed the Philippine TVET Trainers Qualification Framework (PTTQF), which defines the core competencies expected of technical-vocational educators, particularly in communication, innovation, entrepreneurial mindset, and occupational safety [5]. This framework underscores the need for continuous professional development among TLE teachers to remain responsive to labor market needs [6].</w:t>
      </w:r>
    </w:p>
    <w:p w14:paraId="699ADBE6" w14:textId="77777777" w:rsidR="002F6DBB" w:rsidRPr="002F6DBB" w:rsidRDefault="002F6DBB" w:rsidP="002F6DBB">
      <w:pPr>
        <w:rPr>
          <w:rFonts w:ascii="Arial" w:hAnsi="Arial" w:cs="Arial"/>
          <w:color w:val="000000" w:themeColor="text1"/>
          <w:sz w:val="20"/>
          <w:szCs w:val="20"/>
        </w:rPr>
      </w:pPr>
    </w:p>
    <w:p w14:paraId="74F2EA48" w14:textId="2E17795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Recent studies affirm the significance of 21st-century competencies in improving teacher effectiveness and student outcomes. </w:t>
      </w:r>
      <w:proofErr w:type="spellStart"/>
      <w:r w:rsidR="00AC7D88">
        <w:rPr>
          <w:rFonts w:ascii="Arial" w:hAnsi="Arial" w:cs="Arial"/>
          <w:color w:val="000000" w:themeColor="text1"/>
          <w:sz w:val="20"/>
          <w:szCs w:val="20"/>
        </w:rPr>
        <w:t>Eslit</w:t>
      </w:r>
      <w:proofErr w:type="spellEnd"/>
      <w:r w:rsidR="00AC7D88">
        <w:rPr>
          <w:rFonts w:ascii="Arial" w:hAnsi="Arial" w:cs="Arial"/>
          <w:color w:val="000000" w:themeColor="text1"/>
          <w:sz w:val="20"/>
          <w:szCs w:val="20"/>
        </w:rPr>
        <w:t xml:space="preserve"> (2023)</w:t>
      </w:r>
      <w:r w:rsidRPr="002F6DBB">
        <w:rPr>
          <w:rFonts w:ascii="Arial" w:hAnsi="Arial" w:cs="Arial"/>
          <w:color w:val="000000" w:themeColor="text1"/>
          <w:sz w:val="20"/>
          <w:szCs w:val="20"/>
        </w:rPr>
        <w:t xml:space="preserve"> found that teachers who effectively integrate critical thinking and problem-solving strategies foster higher learner engagement and academic achievement [7]. Meanwhile, </w:t>
      </w:r>
      <w:proofErr w:type="spellStart"/>
      <w:r w:rsidR="00AC7D88">
        <w:rPr>
          <w:rFonts w:ascii="Arial" w:hAnsi="Arial" w:cs="Arial"/>
          <w:color w:val="000000" w:themeColor="text1"/>
          <w:sz w:val="20"/>
          <w:szCs w:val="20"/>
        </w:rPr>
        <w:t>Pinatil</w:t>
      </w:r>
      <w:proofErr w:type="spellEnd"/>
      <w:r w:rsidRPr="002F6DBB">
        <w:rPr>
          <w:rFonts w:ascii="Arial" w:hAnsi="Arial" w:cs="Arial"/>
          <w:color w:val="000000" w:themeColor="text1"/>
          <w:sz w:val="20"/>
          <w:szCs w:val="20"/>
        </w:rPr>
        <w:t xml:space="preserve"> and Ramos (202</w:t>
      </w:r>
      <w:r w:rsidR="00AC7D88">
        <w:rPr>
          <w:rFonts w:ascii="Arial" w:hAnsi="Arial" w:cs="Arial"/>
          <w:color w:val="000000" w:themeColor="text1"/>
          <w:sz w:val="20"/>
          <w:szCs w:val="20"/>
        </w:rPr>
        <w:t>3</w:t>
      </w:r>
      <w:r w:rsidRPr="002F6DBB">
        <w:rPr>
          <w:rFonts w:ascii="Arial" w:hAnsi="Arial" w:cs="Arial"/>
          <w:color w:val="000000" w:themeColor="text1"/>
          <w:sz w:val="20"/>
          <w:szCs w:val="20"/>
        </w:rPr>
        <w:t xml:space="preserve">) emphasized that collaboration and information </w:t>
      </w:r>
      <w:r w:rsidRPr="00A32A87">
        <w:rPr>
          <w:rFonts w:ascii="Arial" w:hAnsi="Arial" w:cs="Arial"/>
          <w:color w:val="000000" w:themeColor="text1"/>
          <w:sz w:val="20"/>
          <w:szCs w:val="20"/>
        </w:rPr>
        <w:t>management are essential in adapting to blended and flexible learning environments [8]. In a 202</w:t>
      </w:r>
      <w:r w:rsidR="00A32A87" w:rsidRPr="00A32A87">
        <w:rPr>
          <w:rFonts w:ascii="Arial" w:hAnsi="Arial" w:cs="Arial"/>
          <w:color w:val="000000" w:themeColor="text1"/>
          <w:sz w:val="20"/>
          <w:szCs w:val="20"/>
        </w:rPr>
        <w:t>3</w:t>
      </w:r>
      <w:r w:rsidRPr="00A32A87">
        <w:rPr>
          <w:rFonts w:ascii="Arial" w:hAnsi="Arial" w:cs="Arial"/>
          <w:color w:val="000000" w:themeColor="text1"/>
          <w:sz w:val="20"/>
          <w:szCs w:val="20"/>
        </w:rPr>
        <w:t xml:space="preserve"> study by </w:t>
      </w:r>
      <w:r w:rsidR="00A32A87" w:rsidRPr="00A32A87">
        <w:rPr>
          <w:rFonts w:ascii="Arial" w:eastAsia="Calibri" w:hAnsi="Arial" w:cs="Arial"/>
          <w:kern w:val="0"/>
          <w:sz w:val="20"/>
          <w:szCs w:val="20"/>
          <w14:ligatures w14:val="none"/>
        </w:rPr>
        <w:t>Guadalupe</w:t>
      </w:r>
      <w:r w:rsidR="00A32A87" w:rsidRPr="00A32A87">
        <w:rPr>
          <w:rFonts w:ascii="Arial" w:hAnsi="Arial" w:cs="Arial"/>
          <w:color w:val="000000" w:themeColor="text1"/>
          <w:sz w:val="20"/>
          <w:szCs w:val="20"/>
        </w:rPr>
        <w:t xml:space="preserve"> </w:t>
      </w:r>
      <w:r w:rsidRPr="00A32A87">
        <w:rPr>
          <w:rFonts w:ascii="Arial" w:hAnsi="Arial" w:cs="Arial"/>
          <w:color w:val="000000" w:themeColor="text1"/>
          <w:sz w:val="20"/>
          <w:szCs w:val="20"/>
        </w:rPr>
        <w:t>et al., it was revealed that teachers with high environmental literacy and innovation skills are more capable of contextualizing instruction and promoting sustainability in classroom practices [</w:t>
      </w:r>
      <w:r w:rsidRPr="002F6DBB">
        <w:rPr>
          <w:rFonts w:ascii="Arial" w:hAnsi="Arial" w:cs="Arial"/>
          <w:color w:val="000000" w:themeColor="text1"/>
          <w:sz w:val="20"/>
          <w:szCs w:val="20"/>
        </w:rPr>
        <w:t>9].</w:t>
      </w:r>
    </w:p>
    <w:p w14:paraId="2612C34B" w14:textId="77777777" w:rsidR="002F6DBB" w:rsidRPr="002F6DBB" w:rsidRDefault="002F6DBB" w:rsidP="002F6DBB">
      <w:pPr>
        <w:rPr>
          <w:rFonts w:ascii="Arial" w:hAnsi="Arial" w:cs="Arial"/>
          <w:color w:val="000000" w:themeColor="text1"/>
          <w:sz w:val="20"/>
          <w:szCs w:val="20"/>
        </w:rPr>
      </w:pPr>
    </w:p>
    <w:p w14:paraId="38DAE6E5"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Performance evaluation, specifically through the Individual Performance Commitment and Review Form (IPCRF), serves as a critical mechanism for assessing teacher effectiveness and accountability [10]. DepEd Order No. 2, s. 2015 institutionalized the Results-Based Performance Management System (RPMS), linking teacher competencies to measurable performance outcomes [11]. Given these frameworks and the dynamic role of TLE teachers in technical-vocational education, there is a compelling need to assess the extent to which they possess and apply 21st-century skills, and how these competencies relate to their actual teaching performance.</w:t>
      </w:r>
    </w:p>
    <w:p w14:paraId="40D8A014" w14:textId="77777777" w:rsidR="002F6DBB" w:rsidRPr="002F6DBB" w:rsidRDefault="002F6DBB" w:rsidP="002F6DBB">
      <w:pPr>
        <w:rPr>
          <w:rFonts w:ascii="Arial" w:hAnsi="Arial" w:cs="Arial"/>
          <w:color w:val="000000" w:themeColor="text1"/>
          <w:sz w:val="20"/>
          <w:szCs w:val="20"/>
        </w:rPr>
      </w:pPr>
    </w:p>
    <w:p w14:paraId="518204A5"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This study, therefore, aims to determine the extent of competencies integrating 21st-century skills among TLE teachers based on the Philippine TVET Trainers Qualification Framework (PTTQF). Specifically, it investigates competencies in the areas of communication, collaboration and teamwork, critical thinking and problem solving, life-long learning and career skills, learning and innovation, information management, occupational safety and health, environmental literacy, and entrepreneurial skills as rated by the teachers themselves and their administrators. Additionally, it seeks to assess their performance based on their IPCR ratings and examine the relationship between their competencies and instructional performance. The findings are expected to provide insights for policy enhancement, targeted capacity-building programs, and curriculum alignment in TLE instruction.</w:t>
      </w:r>
    </w:p>
    <w:p w14:paraId="03F8FE91" w14:textId="77777777" w:rsidR="002F6DBB" w:rsidRPr="002F6DBB" w:rsidRDefault="002F6DBB" w:rsidP="002F6DBB">
      <w:pPr>
        <w:rPr>
          <w:rFonts w:ascii="Arial" w:hAnsi="Arial" w:cs="Arial"/>
          <w:b/>
          <w:bCs/>
          <w:sz w:val="22"/>
          <w:szCs w:val="22"/>
        </w:rPr>
      </w:pPr>
    </w:p>
    <w:p w14:paraId="024AC53D"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MATERIALS AND METHODS</w:t>
      </w:r>
    </w:p>
    <w:p w14:paraId="097D705B" w14:textId="77777777" w:rsidR="008527FD" w:rsidRPr="002F6DBB" w:rsidRDefault="002F6DBB" w:rsidP="002F6DBB">
      <w:pPr>
        <w:rPr>
          <w:rFonts w:ascii="Arial" w:hAnsi="Arial" w:cs="Arial"/>
          <w:sz w:val="20"/>
          <w:szCs w:val="20"/>
        </w:rPr>
      </w:pPr>
      <w:r w:rsidRPr="002F6DBB">
        <w:rPr>
          <w:rFonts w:ascii="Arial" w:hAnsi="Arial" w:cs="Arial"/>
          <w:color w:val="000000" w:themeColor="text1"/>
          <w:sz w:val="20"/>
          <w:szCs w:val="20"/>
        </w:rPr>
        <w:t>This study was conducted in technical-vocational (Tech-Voc) schools within the Division of Northern Samar and employed a descriptive-correlational research design to examine the competencies of Technology and Livelihood Education (TLE) teachers in integrating 21st-century skills. The study targeted a total population of 170 TLE teachers handling technical-vocational subjects across 15 Tech-Voc schools. Due to the manageable size of the population, complete enumeration was utilized to include all eligible respondents. Specifically, the participants consisted of all 170 Tech-Voc teachers, as well as the 15 school heads and 15 TLE department heads from each of the technical-vocational-livelihood (TVL) schools. The research instrument was based on the competency domains for integrating 21st-century skills, as outlined in the Philippine TVET Trainers Qualification Framework (PTTQF) [1</w:t>
      </w:r>
      <w:r w:rsidR="00AF6AC8">
        <w:rPr>
          <w:rFonts w:ascii="Arial" w:hAnsi="Arial" w:cs="Arial"/>
          <w:color w:val="000000" w:themeColor="text1"/>
          <w:sz w:val="20"/>
          <w:szCs w:val="20"/>
        </w:rPr>
        <w:t>2</w:t>
      </w:r>
      <w:r w:rsidRPr="002F6DBB">
        <w:rPr>
          <w:rFonts w:ascii="Arial" w:hAnsi="Arial" w:cs="Arial"/>
          <w:color w:val="000000" w:themeColor="text1"/>
          <w:sz w:val="20"/>
          <w:szCs w:val="20"/>
        </w:rPr>
        <w:t>].</w:t>
      </w:r>
    </w:p>
    <w:p w14:paraId="2C4C1992" w14:textId="77777777" w:rsidR="00A6734B" w:rsidRPr="002F6DBB" w:rsidRDefault="00A6734B" w:rsidP="002F6DBB">
      <w:pPr>
        <w:rPr>
          <w:rFonts w:ascii="Arial" w:hAnsi="Arial" w:cs="Arial"/>
          <w:sz w:val="20"/>
          <w:szCs w:val="20"/>
        </w:rPr>
      </w:pPr>
    </w:p>
    <w:p w14:paraId="7E7DBD95"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RESULTS AND DISCUSSION</w:t>
      </w:r>
    </w:p>
    <w:p w14:paraId="38DEFFFE" w14:textId="77777777" w:rsidR="006021DB" w:rsidRPr="002F6DBB" w:rsidRDefault="006021DB" w:rsidP="002F6DBB">
      <w:pPr>
        <w:rPr>
          <w:rFonts w:ascii="Arial" w:hAnsi="Arial" w:cs="Arial"/>
          <w:color w:val="000000" w:themeColor="text1"/>
          <w:sz w:val="20"/>
          <w:szCs w:val="20"/>
        </w:rPr>
      </w:pPr>
    </w:p>
    <w:p w14:paraId="5E0F8312" w14:textId="77777777" w:rsidR="0022508F" w:rsidRPr="002F6DBB" w:rsidRDefault="0022508F" w:rsidP="002F6DBB">
      <w:pPr>
        <w:tabs>
          <w:tab w:val="left" w:pos="2159"/>
        </w:tabs>
        <w:jc w:val="both"/>
        <w:rPr>
          <w:rFonts w:ascii="Arial" w:hAnsi="Arial" w:cs="Arial"/>
          <w:b/>
          <w:bCs/>
          <w:color w:val="000000" w:themeColor="text1"/>
          <w:u w:val="single"/>
        </w:rPr>
      </w:pPr>
      <w:r w:rsidRPr="002F6DBB">
        <w:rPr>
          <w:rFonts w:ascii="Arial" w:hAnsi="Arial" w:cs="Arial"/>
          <w:b/>
          <w:bCs/>
          <w:color w:val="000000" w:themeColor="text1"/>
          <w:u w:val="single"/>
        </w:rPr>
        <w:t>Competencies</w:t>
      </w:r>
      <w:r w:rsidRPr="002F6DBB">
        <w:rPr>
          <w:rFonts w:ascii="Arial" w:hAnsi="Arial" w:cs="Arial"/>
          <w:b/>
          <w:bCs/>
          <w:color w:val="000000" w:themeColor="text1"/>
          <w:spacing w:val="-36"/>
          <w:u w:val="single"/>
        </w:rPr>
        <w:t xml:space="preserve"> </w:t>
      </w:r>
      <w:r w:rsidRPr="002F6DBB">
        <w:rPr>
          <w:rFonts w:ascii="Arial" w:hAnsi="Arial" w:cs="Arial"/>
          <w:b/>
          <w:bCs/>
          <w:color w:val="000000" w:themeColor="text1"/>
          <w:u w:val="single"/>
        </w:rPr>
        <w:t>Integrating</w:t>
      </w:r>
      <w:r w:rsidRPr="002F6DBB">
        <w:rPr>
          <w:rFonts w:ascii="Arial" w:hAnsi="Arial" w:cs="Arial"/>
          <w:b/>
          <w:bCs/>
          <w:color w:val="000000" w:themeColor="text1"/>
          <w:spacing w:val="-36"/>
          <w:u w:val="single"/>
        </w:rPr>
        <w:t xml:space="preserve"> </w:t>
      </w:r>
      <w:r w:rsidRPr="002F6DBB">
        <w:rPr>
          <w:rFonts w:ascii="Arial" w:hAnsi="Arial" w:cs="Arial"/>
          <w:b/>
          <w:bCs/>
          <w:color w:val="000000" w:themeColor="text1"/>
          <w:u w:val="single"/>
        </w:rPr>
        <w:t>21</w:t>
      </w:r>
      <w:r w:rsidRPr="002F6DBB">
        <w:rPr>
          <w:rFonts w:ascii="Arial" w:hAnsi="Arial" w:cs="Arial"/>
          <w:b/>
          <w:bCs/>
          <w:color w:val="000000" w:themeColor="text1"/>
          <w:u w:val="single"/>
          <w:vertAlign w:val="superscript"/>
        </w:rPr>
        <w:t>st</w:t>
      </w:r>
      <w:r w:rsidRPr="002F6DBB">
        <w:rPr>
          <w:rFonts w:ascii="Arial" w:hAnsi="Arial" w:cs="Arial"/>
          <w:b/>
          <w:bCs/>
          <w:color w:val="000000" w:themeColor="text1"/>
          <w:u w:val="single"/>
        </w:rPr>
        <w:t xml:space="preserve"> Century Skills of Teachers </w:t>
      </w:r>
    </w:p>
    <w:p w14:paraId="1424348A" w14:textId="77777777" w:rsidR="0022508F" w:rsidRPr="002F6DBB" w:rsidRDefault="0022508F" w:rsidP="002F6DBB">
      <w:pPr>
        <w:tabs>
          <w:tab w:val="left" w:pos="2159"/>
        </w:tabs>
        <w:jc w:val="both"/>
        <w:rPr>
          <w:rFonts w:ascii="Arial" w:hAnsi="Arial" w:cs="Arial"/>
          <w:color w:val="000000" w:themeColor="text1"/>
          <w:sz w:val="20"/>
          <w:szCs w:val="20"/>
        </w:rPr>
      </w:pPr>
    </w:p>
    <w:p w14:paraId="4C00544B" w14:textId="7D0A948B"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 xml:space="preserve">Table 1 presents the competencies of teachers in integrating 21st-century skills. In the domain of communication, teachers rated themselves very highly competent (sub-mean = 4.32), indicating strong abilities in interpreting, processing, and responding to workplace information. The highest-rated indicator </w:t>
      </w:r>
      <w:r w:rsidRPr="002F6DBB">
        <w:rPr>
          <w:rFonts w:ascii="Arial" w:hAnsi="Arial" w:cs="Arial"/>
          <w:color w:val="000000" w:themeColor="text1"/>
          <w:sz w:val="20"/>
          <w:szCs w:val="20"/>
        </w:rPr>
        <w:lastRenderedPageBreak/>
        <w:t>was following written instructions in sequence (mean = 4.41), showing confidence in task execution. Conversely, giving feedback to supervisors received the lowest score (4.20), suggesting slight hesitancy in upward communication, highlighting an area for potential growth in professional dialogue.</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reflects Trilling &amp; Fadel’s (2009) emphasis on communication as a core 21st-century skill essential for collaboration and efficiency in learning environments. Similarly, the PPST (DepEd Order No. 42, s. 2017) underscores effective communication as fundamental to professional teaching standards.</w:t>
      </w:r>
    </w:p>
    <w:p w14:paraId="43AEA9FF" w14:textId="77777777" w:rsidR="00FD3DD2" w:rsidRPr="002F6DBB" w:rsidRDefault="00FD3DD2" w:rsidP="002F6DBB">
      <w:pPr>
        <w:tabs>
          <w:tab w:val="left" w:pos="2159"/>
        </w:tabs>
        <w:jc w:val="both"/>
        <w:rPr>
          <w:rFonts w:ascii="Arial" w:hAnsi="Arial" w:cs="Arial"/>
          <w:color w:val="000000" w:themeColor="text1"/>
          <w:sz w:val="20"/>
          <w:szCs w:val="20"/>
        </w:rPr>
      </w:pPr>
    </w:p>
    <w:p w14:paraId="1EBC72EE" w14:textId="4F2E89CB"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For collaboration and teamwork, the sub-mean was 4.37, also within the very highly competent range. Teachers excelled in promoting cooperation and good relationships (4.46), reflecting a collegial work culture. However, the item contributing to workgroup goals aligned with organizational requirements scored lowest (4.30), indicating a need to strengthen alignment between team efforts and institutional goals.</w:t>
      </w:r>
      <w:r w:rsidR="00D93E41">
        <w:rPr>
          <w:rFonts w:ascii="Arial" w:hAnsi="Arial" w:cs="Arial"/>
          <w:color w:val="000000" w:themeColor="text1"/>
          <w:sz w:val="20"/>
          <w:szCs w:val="20"/>
        </w:rPr>
        <w:t xml:space="preserve"> T</w:t>
      </w:r>
      <w:r w:rsidR="00D93E41" w:rsidRPr="00D93E41">
        <w:rPr>
          <w:rFonts w:ascii="Arial" w:hAnsi="Arial" w:cs="Arial"/>
          <w:color w:val="000000" w:themeColor="text1"/>
          <w:sz w:val="20"/>
          <w:szCs w:val="20"/>
        </w:rPr>
        <w:t>hese findings align with Trilling and Fadel’s (2009) framework which highlights collaboration as central to modern education. It is also echoed in DepEd’s RPMS-PPST (2023), which integrates collaborative practices as part of teacher performance.</w:t>
      </w:r>
    </w:p>
    <w:p w14:paraId="3E91DF64" w14:textId="77777777" w:rsidR="00FD3DD2" w:rsidRPr="002F6DBB" w:rsidRDefault="00FD3DD2" w:rsidP="002F6DBB">
      <w:pPr>
        <w:tabs>
          <w:tab w:val="left" w:pos="2159"/>
        </w:tabs>
        <w:jc w:val="both"/>
        <w:rPr>
          <w:rFonts w:ascii="Arial" w:hAnsi="Arial" w:cs="Arial"/>
          <w:color w:val="000000" w:themeColor="text1"/>
          <w:sz w:val="20"/>
          <w:szCs w:val="20"/>
        </w:rPr>
      </w:pPr>
    </w:p>
    <w:p w14:paraId="7D33CB60" w14:textId="20B90695"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terms of critical thinking and problem solving, the sub-mean of 4.11—though still within the highly competent level—was the lowest among all domains. Teachers demonstrated competence in identifying problems through observation (4.25), but lower scores in developing action plans and presenting recommendations (3.98) reveal challenges in strategic problem-solving and formal articulation of solutions.</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reflects a need to enhance teachers’ engagement in analytical problem-solving—crucial in dynamic teaching contexts (</w:t>
      </w:r>
      <w:proofErr w:type="spellStart"/>
      <w:r w:rsidR="00D93E41" w:rsidRPr="00D93E41">
        <w:rPr>
          <w:rFonts w:ascii="Arial" w:hAnsi="Arial" w:cs="Arial"/>
          <w:color w:val="000000" w:themeColor="text1"/>
          <w:sz w:val="20"/>
          <w:szCs w:val="20"/>
        </w:rPr>
        <w:t>Eslit</w:t>
      </w:r>
      <w:proofErr w:type="spellEnd"/>
      <w:r w:rsidR="00D93E41" w:rsidRPr="00D93E41">
        <w:rPr>
          <w:rFonts w:ascii="Arial" w:hAnsi="Arial" w:cs="Arial"/>
          <w:color w:val="000000" w:themeColor="text1"/>
          <w:sz w:val="20"/>
          <w:szCs w:val="20"/>
        </w:rPr>
        <w:t>, 2023).</w:t>
      </w:r>
      <w:r w:rsidR="00D93E41">
        <w:rPr>
          <w:rFonts w:ascii="Arial" w:hAnsi="Arial" w:cs="Arial"/>
          <w:color w:val="000000" w:themeColor="text1"/>
          <w:sz w:val="20"/>
          <w:szCs w:val="20"/>
        </w:rPr>
        <w:t xml:space="preserve"> </w:t>
      </w:r>
    </w:p>
    <w:p w14:paraId="470E3017" w14:textId="77777777" w:rsidR="00FD3DD2" w:rsidRPr="002F6DBB" w:rsidRDefault="00FD3DD2" w:rsidP="002F6DBB">
      <w:pPr>
        <w:tabs>
          <w:tab w:val="left" w:pos="2159"/>
        </w:tabs>
        <w:jc w:val="both"/>
        <w:rPr>
          <w:rFonts w:ascii="Arial" w:hAnsi="Arial" w:cs="Arial"/>
          <w:color w:val="000000" w:themeColor="text1"/>
          <w:sz w:val="20"/>
          <w:szCs w:val="20"/>
        </w:rPr>
      </w:pPr>
    </w:p>
    <w:p w14:paraId="0657B2E8" w14:textId="2C740475"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The domain of life-long learning and career skills yielded a sub-mean of 4.17 (highly competent). Teachers rated themselves highest in differentiating personal and career goals (4.29), indicating clear goal orientation. However, the lower rating for identifying learning styles using VAK and Kolb’s theories (3.92) suggests limited exposure to formal learning theory, pointing to an opportunity for professional development in educational psychology.</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may be influenced by limited exposure to updated professional development models like TESDA’s (2020, 2022) guidelines on trainer qualifications and learning styles.</w:t>
      </w:r>
      <w:r w:rsidR="00D93E41">
        <w:rPr>
          <w:rFonts w:ascii="Arial" w:hAnsi="Arial" w:cs="Arial"/>
          <w:color w:val="000000" w:themeColor="text1"/>
          <w:sz w:val="20"/>
          <w:szCs w:val="20"/>
        </w:rPr>
        <w:t xml:space="preserve"> </w:t>
      </w:r>
    </w:p>
    <w:p w14:paraId="6D772BDF" w14:textId="77777777" w:rsidR="00FD3DD2" w:rsidRPr="002F6DBB" w:rsidRDefault="00FD3DD2" w:rsidP="002F6DBB">
      <w:pPr>
        <w:tabs>
          <w:tab w:val="left" w:pos="2159"/>
        </w:tabs>
        <w:jc w:val="both"/>
        <w:rPr>
          <w:rFonts w:ascii="Arial" w:hAnsi="Arial" w:cs="Arial"/>
          <w:color w:val="000000" w:themeColor="text1"/>
          <w:sz w:val="20"/>
          <w:szCs w:val="20"/>
        </w:rPr>
      </w:pPr>
    </w:p>
    <w:p w14:paraId="0FDAEFB1"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For learning and innovation, the sub-mean was 4.24 (very highly competent), with the highest rating in recognizing the value of innovative practices (4.35). Yet, lower scores in reinforcing innovation in others and identifying barriers to innovation (both 4.17) suggest the need for cultivating collaborative innovation and managing resistance to change.</w:t>
      </w:r>
    </w:p>
    <w:p w14:paraId="5D2A1F82" w14:textId="77777777" w:rsidR="00FD3DD2" w:rsidRPr="002F6DBB" w:rsidRDefault="00FD3DD2" w:rsidP="002F6DBB">
      <w:pPr>
        <w:tabs>
          <w:tab w:val="left" w:pos="2159"/>
        </w:tabs>
        <w:jc w:val="both"/>
        <w:rPr>
          <w:rFonts w:ascii="Arial" w:hAnsi="Arial" w:cs="Arial"/>
          <w:color w:val="000000" w:themeColor="text1"/>
          <w:sz w:val="20"/>
          <w:szCs w:val="20"/>
        </w:rPr>
      </w:pPr>
    </w:p>
    <w:p w14:paraId="34079FA2" w14:textId="5EEC8538"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information management, teachers demonstrated strong competence (sub-mean = 4.26), particularly in finding and sharing useful information (4.36). However, a relatively lower score in evaluating information using mathematical or analytical techniques (4.14) reveals a gap in data analysis and evidence-based decision-making.</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reflects the challenge in filtering digital information effectively—a key 21st-century skill (Trilling &amp; Fadel, 2009).</w:t>
      </w:r>
    </w:p>
    <w:p w14:paraId="2383E8CA" w14:textId="77777777" w:rsidR="00FD3DD2" w:rsidRPr="002F6DBB" w:rsidRDefault="00FD3DD2" w:rsidP="002F6DBB">
      <w:pPr>
        <w:tabs>
          <w:tab w:val="left" w:pos="2159"/>
        </w:tabs>
        <w:jc w:val="both"/>
        <w:rPr>
          <w:rFonts w:ascii="Arial" w:hAnsi="Arial" w:cs="Arial"/>
          <w:color w:val="000000" w:themeColor="text1"/>
          <w:sz w:val="20"/>
          <w:szCs w:val="20"/>
        </w:rPr>
      </w:pPr>
    </w:p>
    <w:p w14:paraId="1686462E"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Occupational safety and health emerged as the strongest domain (sub-mean = 4.50). Teachers displayed exceptional competence in recognizing hazards (4.57) and adhering to safety protocols—critical skills in technical-vocational education where hands-on activities present physical risks.</w:t>
      </w:r>
    </w:p>
    <w:p w14:paraId="383F206A" w14:textId="77777777" w:rsidR="00FD3DD2" w:rsidRPr="002F6DBB" w:rsidRDefault="00FD3DD2" w:rsidP="002F6DBB">
      <w:pPr>
        <w:tabs>
          <w:tab w:val="left" w:pos="2159"/>
        </w:tabs>
        <w:jc w:val="both"/>
        <w:rPr>
          <w:rFonts w:ascii="Arial" w:hAnsi="Arial" w:cs="Arial"/>
          <w:color w:val="000000" w:themeColor="text1"/>
          <w:sz w:val="20"/>
          <w:szCs w:val="20"/>
        </w:rPr>
      </w:pPr>
    </w:p>
    <w:p w14:paraId="68CB43D8"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The domain of environmental literacy scored a sub-mean of 4.35 (very highly competent), with the highest indicator being recognizing environmental hazards (4.46). Slightly lower ratings (4.26–4.30) in executing environmentally responsible practices suggest a minor gap between knowledge and practice in sustainability.</w:t>
      </w:r>
    </w:p>
    <w:p w14:paraId="58F69E4B" w14:textId="77777777" w:rsidR="00FD3DD2" w:rsidRPr="002F6DBB" w:rsidRDefault="00FD3DD2" w:rsidP="002F6DBB">
      <w:pPr>
        <w:tabs>
          <w:tab w:val="left" w:pos="2159"/>
        </w:tabs>
        <w:jc w:val="both"/>
        <w:rPr>
          <w:rFonts w:ascii="Arial" w:hAnsi="Arial" w:cs="Arial"/>
          <w:color w:val="000000" w:themeColor="text1"/>
          <w:sz w:val="20"/>
          <w:szCs w:val="20"/>
        </w:rPr>
      </w:pPr>
    </w:p>
    <w:p w14:paraId="08238182"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Lastly, in entrepreneurial skills, teachers showed strong self-assessment (sub-mean = 4.31). They rated highest in identifying entrepreneurial mindsets (4.33), while the lowest-rated indicator, seeking clarification on entrepreneurship and corporate culture (4.29), suggests room for enhanced engagement with industry practices.</w:t>
      </w:r>
    </w:p>
    <w:p w14:paraId="552C1F08" w14:textId="77777777" w:rsidR="00FD3DD2" w:rsidRPr="002F6DBB" w:rsidRDefault="00FD3DD2" w:rsidP="002F6DBB">
      <w:pPr>
        <w:tabs>
          <w:tab w:val="left" w:pos="2159"/>
        </w:tabs>
        <w:jc w:val="both"/>
        <w:rPr>
          <w:rFonts w:ascii="Arial" w:hAnsi="Arial" w:cs="Arial"/>
          <w:color w:val="000000" w:themeColor="text1"/>
          <w:sz w:val="20"/>
          <w:szCs w:val="20"/>
        </w:rPr>
      </w:pPr>
    </w:p>
    <w:p w14:paraId="18AF68B3" w14:textId="6112ACD4" w:rsidR="0022508F"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 xml:space="preserve">In summary, the teachers demonstrated an overall mean of 4.29, indicating very high competence in integrating 21st-century skills. Strengths were evident in occupational safety, collaboration, and </w:t>
      </w:r>
      <w:r w:rsidRPr="002F6DBB">
        <w:rPr>
          <w:rFonts w:ascii="Arial" w:hAnsi="Arial" w:cs="Arial"/>
          <w:color w:val="000000" w:themeColor="text1"/>
          <w:sz w:val="20"/>
          <w:szCs w:val="20"/>
        </w:rPr>
        <w:lastRenderedPageBreak/>
        <w:t>communication. Meanwhile, areas such as critical thinking, innovation leadership, and learning theory application offer opportunities for targeted professional development. These findings affirm that TLE teachers in the Division of Northern Samar are highly prepared to meet national standards for technical-vocational instruction, while ongoing capacity building in reflective practice and strategic problem-solving will further strengthen their instructional impact</w:t>
      </w:r>
      <w:r w:rsidR="0022508F" w:rsidRPr="002F6DBB">
        <w:rPr>
          <w:rFonts w:ascii="Arial" w:hAnsi="Arial" w:cs="Arial"/>
          <w:color w:val="000000" w:themeColor="text1"/>
          <w:sz w:val="20"/>
          <w:szCs w:val="20"/>
        </w:rPr>
        <w:t>.</w:t>
      </w:r>
      <w:r w:rsidR="00D93E41">
        <w:rPr>
          <w:rFonts w:ascii="Arial" w:hAnsi="Arial" w:cs="Arial"/>
          <w:color w:val="000000" w:themeColor="text1"/>
          <w:sz w:val="20"/>
          <w:szCs w:val="20"/>
        </w:rPr>
        <w:t xml:space="preserve"> </w:t>
      </w:r>
      <w:r w:rsidR="00D93E41" w:rsidRPr="00D93E41">
        <w:rPr>
          <w:rFonts w:ascii="Arial" w:hAnsi="Arial" w:cs="Arial"/>
          <w:color w:val="000000" w:themeColor="text1"/>
          <w:sz w:val="20"/>
          <w:szCs w:val="20"/>
        </w:rPr>
        <w:t>This finding affirms Trilling &amp; Fadel’s (2009) theory that 21st-century teaching demands a fusion of core subject knowledge with essential skills, attitudes, and technologies. The Philippine Professional Standards for Teachers (DepEd, 2017) and RPMS framework (DepEd, 2023) further reinforce the integration of these competencies in teacher evaluation and development programs.</w:t>
      </w:r>
    </w:p>
    <w:p w14:paraId="1C5058FF" w14:textId="77777777" w:rsidR="0022508F" w:rsidRPr="002F6DBB" w:rsidRDefault="0022508F" w:rsidP="002F6DBB">
      <w:pPr>
        <w:tabs>
          <w:tab w:val="left" w:pos="2159"/>
        </w:tabs>
        <w:jc w:val="both"/>
        <w:rPr>
          <w:rFonts w:ascii="Arial" w:hAnsi="Arial" w:cs="Arial"/>
          <w:color w:val="000000" w:themeColor="text1"/>
          <w:sz w:val="20"/>
          <w:szCs w:val="20"/>
        </w:rPr>
      </w:pPr>
    </w:p>
    <w:p w14:paraId="5172EA6E" w14:textId="77777777" w:rsidR="0022508F" w:rsidRPr="002F6DBB" w:rsidRDefault="0022508F" w:rsidP="002F6DBB">
      <w:pPr>
        <w:tabs>
          <w:tab w:val="left" w:pos="1079"/>
        </w:tabs>
        <w:rPr>
          <w:rFonts w:ascii="Arial" w:hAnsi="Arial" w:cs="Arial"/>
          <w:b/>
          <w:bCs/>
          <w:color w:val="000000" w:themeColor="text1"/>
          <w:sz w:val="20"/>
          <w:szCs w:val="20"/>
        </w:rPr>
      </w:pPr>
      <w:r w:rsidRPr="002F6DBB">
        <w:rPr>
          <w:rFonts w:ascii="Arial" w:hAnsi="Arial" w:cs="Arial"/>
          <w:b/>
          <w:bCs/>
          <w:color w:val="000000" w:themeColor="text1"/>
          <w:sz w:val="20"/>
          <w:szCs w:val="20"/>
        </w:rPr>
        <w:t xml:space="preserve">Table </w:t>
      </w:r>
      <w:r w:rsidR="004F1819" w:rsidRPr="002F6DBB">
        <w:rPr>
          <w:rFonts w:ascii="Arial" w:hAnsi="Arial" w:cs="Arial"/>
          <w:b/>
          <w:bCs/>
          <w:color w:val="000000" w:themeColor="text1"/>
          <w:sz w:val="20"/>
          <w:szCs w:val="20"/>
        </w:rPr>
        <w:t>1</w:t>
      </w:r>
      <w:r w:rsidRPr="002F6DBB">
        <w:rPr>
          <w:rFonts w:ascii="Arial" w:hAnsi="Arial" w:cs="Arial"/>
          <w:b/>
          <w:bCs/>
          <w:color w:val="000000" w:themeColor="text1"/>
          <w:sz w:val="20"/>
          <w:szCs w:val="20"/>
        </w:rPr>
        <w:t>. Competencies</w:t>
      </w:r>
      <w:r w:rsidRPr="002F6DBB">
        <w:rPr>
          <w:rFonts w:ascii="Arial" w:hAnsi="Arial" w:cs="Arial"/>
          <w:b/>
          <w:bCs/>
          <w:color w:val="000000" w:themeColor="text1"/>
          <w:spacing w:val="-36"/>
          <w:sz w:val="20"/>
          <w:szCs w:val="20"/>
        </w:rPr>
        <w:t xml:space="preserve"> </w:t>
      </w:r>
      <w:r w:rsidRPr="002F6DBB">
        <w:rPr>
          <w:rFonts w:ascii="Arial" w:hAnsi="Arial" w:cs="Arial"/>
          <w:b/>
          <w:bCs/>
          <w:color w:val="000000" w:themeColor="text1"/>
          <w:sz w:val="20"/>
          <w:szCs w:val="20"/>
        </w:rPr>
        <w:t>Integrating</w:t>
      </w:r>
      <w:r w:rsidRPr="002F6DBB">
        <w:rPr>
          <w:rFonts w:ascii="Arial" w:hAnsi="Arial" w:cs="Arial"/>
          <w:b/>
          <w:bCs/>
          <w:color w:val="000000" w:themeColor="text1"/>
          <w:spacing w:val="-36"/>
          <w:sz w:val="20"/>
          <w:szCs w:val="20"/>
        </w:rPr>
        <w:t xml:space="preserve"> </w:t>
      </w:r>
      <w:r w:rsidRPr="002F6DBB">
        <w:rPr>
          <w:rFonts w:ascii="Arial" w:hAnsi="Arial" w:cs="Arial"/>
          <w:b/>
          <w:bCs/>
          <w:color w:val="000000" w:themeColor="text1"/>
          <w:sz w:val="20"/>
          <w:szCs w:val="20"/>
        </w:rPr>
        <w:t>21</w:t>
      </w:r>
      <w:r w:rsidRPr="002F6DBB">
        <w:rPr>
          <w:rFonts w:ascii="Arial" w:hAnsi="Arial" w:cs="Arial"/>
          <w:b/>
          <w:bCs/>
          <w:color w:val="000000" w:themeColor="text1"/>
          <w:sz w:val="20"/>
          <w:szCs w:val="20"/>
          <w:vertAlign w:val="superscript"/>
        </w:rPr>
        <w:t>st</w:t>
      </w:r>
      <w:r w:rsidRPr="002F6DBB">
        <w:rPr>
          <w:rFonts w:ascii="Arial" w:hAnsi="Arial" w:cs="Arial"/>
          <w:b/>
          <w:bCs/>
          <w:color w:val="000000" w:themeColor="text1"/>
          <w:sz w:val="20"/>
          <w:szCs w:val="20"/>
        </w:rPr>
        <w:t xml:space="preserve"> Century Skills of Teachers </w:t>
      </w:r>
    </w:p>
    <w:p w14:paraId="409855DA" w14:textId="77777777" w:rsidR="0022508F" w:rsidRPr="002F6DBB" w:rsidRDefault="0022508F" w:rsidP="002F6DBB">
      <w:pPr>
        <w:tabs>
          <w:tab w:val="left" w:pos="2159"/>
        </w:tabs>
        <w:rPr>
          <w:rFonts w:ascii="Arial" w:hAnsi="Arial" w:cs="Arial"/>
          <w:b/>
          <w:bCs/>
          <w:color w:val="000000" w:themeColor="text1"/>
          <w:spacing w:val="-2"/>
          <w:sz w:val="20"/>
          <w:szCs w:val="20"/>
        </w:rPr>
      </w:pPr>
    </w:p>
    <w:tbl>
      <w:tblPr>
        <w:tblW w:w="9383" w:type="dxa"/>
        <w:tblLayout w:type="fixed"/>
        <w:tblLook w:val="04A0" w:firstRow="1" w:lastRow="0" w:firstColumn="1" w:lastColumn="0" w:noHBand="0" w:noVBand="1"/>
      </w:tblPr>
      <w:tblGrid>
        <w:gridCol w:w="7230"/>
        <w:gridCol w:w="1276"/>
        <w:gridCol w:w="877"/>
      </w:tblGrid>
      <w:tr w:rsidR="0022508F" w:rsidRPr="002F6DBB" w14:paraId="13D19878" w14:textId="77777777" w:rsidTr="00783A7C">
        <w:trPr>
          <w:trHeight w:val="464"/>
        </w:trPr>
        <w:tc>
          <w:tcPr>
            <w:tcW w:w="7230" w:type="dxa"/>
            <w:tcBorders>
              <w:top w:val="single" w:sz="4" w:space="0" w:color="auto"/>
              <w:bottom w:val="single" w:sz="4" w:space="0" w:color="auto"/>
            </w:tcBorders>
            <w:vAlign w:val="center"/>
            <w:hideMark/>
          </w:tcPr>
          <w:p w14:paraId="2F226882" w14:textId="77777777" w:rsidR="0022508F" w:rsidRPr="002F6DBB" w:rsidRDefault="0022508F" w:rsidP="002F6DBB">
            <w:pP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Communication</w:t>
            </w:r>
          </w:p>
        </w:tc>
        <w:tc>
          <w:tcPr>
            <w:tcW w:w="1276" w:type="dxa"/>
            <w:tcBorders>
              <w:top w:val="single" w:sz="4" w:space="0" w:color="auto"/>
              <w:bottom w:val="single" w:sz="4" w:space="0" w:color="auto"/>
            </w:tcBorders>
            <w:shd w:val="clear" w:color="auto" w:fill="auto"/>
            <w:vAlign w:val="center"/>
            <w:hideMark/>
          </w:tcPr>
          <w:p w14:paraId="561014AC"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Weighted Mean</w:t>
            </w:r>
          </w:p>
        </w:tc>
        <w:tc>
          <w:tcPr>
            <w:tcW w:w="877" w:type="dxa"/>
            <w:tcBorders>
              <w:top w:val="single" w:sz="4" w:space="0" w:color="auto"/>
              <w:bottom w:val="single" w:sz="4" w:space="0" w:color="auto"/>
            </w:tcBorders>
            <w:shd w:val="clear" w:color="auto" w:fill="auto"/>
            <w:vAlign w:val="center"/>
            <w:hideMark/>
          </w:tcPr>
          <w:p w14:paraId="41F5F555"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Interpretation</w:t>
            </w:r>
          </w:p>
        </w:tc>
      </w:tr>
      <w:tr w:rsidR="0022508F" w:rsidRPr="002F6DBB" w14:paraId="77C77D79" w14:textId="77777777" w:rsidTr="00FD3DD2">
        <w:trPr>
          <w:trHeight w:val="91"/>
        </w:trPr>
        <w:tc>
          <w:tcPr>
            <w:tcW w:w="7230" w:type="dxa"/>
            <w:tcBorders>
              <w:top w:val="single" w:sz="4" w:space="0" w:color="auto"/>
            </w:tcBorders>
            <w:shd w:val="clear" w:color="auto" w:fill="auto"/>
            <w:vAlign w:val="center"/>
            <w:hideMark/>
          </w:tcPr>
          <w:p w14:paraId="6AD2FE38"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gather the required information by listening attentively and correctly interpreting or understanding information/instructions</w:t>
            </w:r>
          </w:p>
        </w:tc>
        <w:tc>
          <w:tcPr>
            <w:tcW w:w="1276" w:type="dxa"/>
            <w:tcBorders>
              <w:top w:val="single" w:sz="4" w:space="0" w:color="auto"/>
            </w:tcBorders>
            <w:shd w:val="clear" w:color="auto" w:fill="auto"/>
            <w:vAlign w:val="center"/>
            <w:hideMark/>
          </w:tcPr>
          <w:p w14:paraId="3B6FA74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tcBorders>
              <w:top w:val="single" w:sz="4" w:space="0" w:color="auto"/>
            </w:tcBorders>
            <w:shd w:val="clear" w:color="auto" w:fill="auto"/>
            <w:vAlign w:val="center"/>
            <w:hideMark/>
          </w:tcPr>
          <w:p w14:paraId="4570144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E2415EA" w14:textId="77777777" w:rsidTr="00FD3DD2">
        <w:trPr>
          <w:trHeight w:val="91"/>
        </w:trPr>
        <w:tc>
          <w:tcPr>
            <w:tcW w:w="7230" w:type="dxa"/>
            <w:shd w:val="clear" w:color="auto" w:fill="auto"/>
            <w:vAlign w:val="center"/>
            <w:hideMark/>
          </w:tcPr>
          <w:p w14:paraId="3B25914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record the instructions/information in accordance with workplace requirements</w:t>
            </w:r>
          </w:p>
        </w:tc>
        <w:tc>
          <w:tcPr>
            <w:tcW w:w="1276" w:type="dxa"/>
            <w:shd w:val="clear" w:color="auto" w:fill="auto"/>
            <w:vAlign w:val="center"/>
            <w:hideMark/>
          </w:tcPr>
          <w:p w14:paraId="2B442B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7133DFF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725FC95" w14:textId="77777777" w:rsidTr="00FD3DD2">
        <w:trPr>
          <w:trHeight w:val="91"/>
        </w:trPr>
        <w:tc>
          <w:tcPr>
            <w:tcW w:w="7230" w:type="dxa"/>
            <w:shd w:val="clear" w:color="auto" w:fill="auto"/>
            <w:vAlign w:val="center"/>
            <w:hideMark/>
          </w:tcPr>
          <w:p w14:paraId="7969B6B4"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act upon immediately the instructions in accordance with information received</w:t>
            </w:r>
          </w:p>
        </w:tc>
        <w:tc>
          <w:tcPr>
            <w:tcW w:w="1276" w:type="dxa"/>
            <w:shd w:val="clear" w:color="auto" w:fill="auto"/>
            <w:vAlign w:val="center"/>
            <w:hideMark/>
          </w:tcPr>
          <w:p w14:paraId="67930B9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0F3108A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9C20049" w14:textId="77777777" w:rsidTr="00FD3DD2">
        <w:trPr>
          <w:trHeight w:val="91"/>
        </w:trPr>
        <w:tc>
          <w:tcPr>
            <w:tcW w:w="7230" w:type="dxa"/>
            <w:shd w:val="clear" w:color="auto" w:fill="auto"/>
            <w:vAlign w:val="center"/>
            <w:hideMark/>
          </w:tcPr>
          <w:p w14:paraId="3757BB05"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seek clarification from workplace supervisor on all occasions when any instruction/ information is not clear</w:t>
            </w:r>
          </w:p>
        </w:tc>
        <w:tc>
          <w:tcPr>
            <w:tcW w:w="1276" w:type="dxa"/>
            <w:shd w:val="clear" w:color="auto" w:fill="auto"/>
            <w:vAlign w:val="center"/>
            <w:hideMark/>
          </w:tcPr>
          <w:p w14:paraId="3BAE6EF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4.39</w:t>
            </w:r>
          </w:p>
        </w:tc>
        <w:tc>
          <w:tcPr>
            <w:tcW w:w="877" w:type="dxa"/>
            <w:shd w:val="clear" w:color="auto" w:fill="auto"/>
            <w:vAlign w:val="center"/>
            <w:hideMark/>
          </w:tcPr>
          <w:p w14:paraId="2DE3731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5616BAC" w14:textId="77777777" w:rsidTr="00FD3DD2">
        <w:trPr>
          <w:trHeight w:val="91"/>
        </w:trPr>
        <w:tc>
          <w:tcPr>
            <w:tcW w:w="7230" w:type="dxa"/>
            <w:shd w:val="clear" w:color="auto" w:fill="auto"/>
            <w:vAlign w:val="center"/>
            <w:hideMark/>
          </w:tcPr>
          <w:p w14:paraId="7291B154"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read and interpret the written notices and instructions correctly in accordance with organizational guidelines</w:t>
            </w:r>
          </w:p>
        </w:tc>
        <w:tc>
          <w:tcPr>
            <w:tcW w:w="1276" w:type="dxa"/>
            <w:shd w:val="clear" w:color="auto" w:fill="auto"/>
            <w:vAlign w:val="center"/>
            <w:hideMark/>
          </w:tcPr>
          <w:p w14:paraId="5A4CE8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hideMark/>
          </w:tcPr>
          <w:p w14:paraId="537833A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8E48EB6" w14:textId="77777777" w:rsidTr="00FD3DD2">
        <w:trPr>
          <w:trHeight w:val="64"/>
        </w:trPr>
        <w:tc>
          <w:tcPr>
            <w:tcW w:w="7230" w:type="dxa"/>
            <w:shd w:val="clear" w:color="auto" w:fill="auto"/>
            <w:vAlign w:val="center"/>
            <w:hideMark/>
          </w:tcPr>
          <w:p w14:paraId="456C8A90"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follow in sequence the written instructions.</w:t>
            </w:r>
          </w:p>
        </w:tc>
        <w:tc>
          <w:tcPr>
            <w:tcW w:w="1276" w:type="dxa"/>
            <w:shd w:val="clear" w:color="auto" w:fill="auto"/>
            <w:vAlign w:val="center"/>
            <w:hideMark/>
          </w:tcPr>
          <w:p w14:paraId="700C916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hideMark/>
          </w:tcPr>
          <w:p w14:paraId="2D33D7A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D71660C" w14:textId="77777777" w:rsidTr="00FD3DD2">
        <w:trPr>
          <w:trHeight w:val="64"/>
        </w:trPr>
        <w:tc>
          <w:tcPr>
            <w:tcW w:w="7230" w:type="dxa"/>
            <w:tcBorders>
              <w:bottom w:val="single" w:sz="4" w:space="0" w:color="auto"/>
            </w:tcBorders>
            <w:shd w:val="clear" w:color="auto" w:fill="auto"/>
            <w:vAlign w:val="center"/>
            <w:hideMark/>
          </w:tcPr>
          <w:p w14:paraId="3343B7A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give feedback to workplace supervisor based on the instructions/information received</w:t>
            </w:r>
          </w:p>
        </w:tc>
        <w:tc>
          <w:tcPr>
            <w:tcW w:w="1276" w:type="dxa"/>
            <w:tcBorders>
              <w:bottom w:val="single" w:sz="4" w:space="0" w:color="auto"/>
            </w:tcBorders>
            <w:shd w:val="clear" w:color="auto" w:fill="auto"/>
            <w:vAlign w:val="center"/>
            <w:hideMark/>
          </w:tcPr>
          <w:p w14:paraId="47EA66B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hideMark/>
          </w:tcPr>
          <w:p w14:paraId="0672CEB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61A2998" w14:textId="77777777" w:rsidTr="00783A7C">
        <w:trPr>
          <w:trHeight w:val="91"/>
        </w:trPr>
        <w:tc>
          <w:tcPr>
            <w:tcW w:w="7230" w:type="dxa"/>
            <w:tcBorders>
              <w:top w:val="single" w:sz="4" w:space="0" w:color="auto"/>
              <w:bottom w:val="single" w:sz="4" w:space="0" w:color="auto"/>
            </w:tcBorders>
            <w:shd w:val="clear" w:color="auto" w:fill="auto"/>
            <w:vAlign w:val="center"/>
            <w:hideMark/>
          </w:tcPr>
          <w:p w14:paraId="0264C835"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hideMark/>
          </w:tcPr>
          <w:p w14:paraId="6F6157D1"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4.32</w:t>
            </w:r>
          </w:p>
        </w:tc>
        <w:tc>
          <w:tcPr>
            <w:tcW w:w="877" w:type="dxa"/>
            <w:tcBorders>
              <w:top w:val="single" w:sz="4" w:space="0" w:color="auto"/>
              <w:bottom w:val="single" w:sz="4" w:space="0" w:color="auto"/>
            </w:tcBorders>
            <w:shd w:val="clear" w:color="auto" w:fill="auto"/>
            <w:vAlign w:val="center"/>
            <w:hideMark/>
          </w:tcPr>
          <w:p w14:paraId="0472E07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D578AE4" w14:textId="77777777" w:rsidTr="00783A7C">
        <w:trPr>
          <w:trHeight w:val="91"/>
        </w:trPr>
        <w:tc>
          <w:tcPr>
            <w:tcW w:w="7230" w:type="dxa"/>
            <w:tcBorders>
              <w:top w:val="single" w:sz="4" w:space="0" w:color="auto"/>
              <w:bottom w:val="single" w:sz="4" w:space="0" w:color="auto"/>
            </w:tcBorders>
            <w:shd w:val="clear" w:color="auto" w:fill="auto"/>
            <w:vAlign w:val="center"/>
          </w:tcPr>
          <w:p w14:paraId="74BA896D"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Collaboration and teamwork</w:t>
            </w:r>
          </w:p>
        </w:tc>
        <w:tc>
          <w:tcPr>
            <w:tcW w:w="1276" w:type="dxa"/>
            <w:tcBorders>
              <w:top w:val="single" w:sz="4" w:space="0" w:color="auto"/>
              <w:bottom w:val="single" w:sz="4" w:space="0" w:color="auto"/>
            </w:tcBorders>
            <w:shd w:val="clear" w:color="auto" w:fill="auto"/>
            <w:vAlign w:val="center"/>
          </w:tcPr>
          <w:p w14:paraId="3337194D"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3D27EC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65437615" w14:textId="77777777" w:rsidTr="00FD3DD2">
        <w:trPr>
          <w:trHeight w:val="91"/>
        </w:trPr>
        <w:tc>
          <w:tcPr>
            <w:tcW w:w="7230" w:type="dxa"/>
            <w:tcBorders>
              <w:top w:val="single" w:sz="4" w:space="0" w:color="auto"/>
            </w:tcBorders>
            <w:shd w:val="clear" w:color="auto" w:fill="auto"/>
            <w:vAlign w:val="center"/>
          </w:tcPr>
          <w:p w14:paraId="42780F71"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follow duties and responsibilities in a positive manner to promote cooperation and good relationship.</w:t>
            </w:r>
          </w:p>
        </w:tc>
        <w:tc>
          <w:tcPr>
            <w:tcW w:w="1276" w:type="dxa"/>
            <w:tcBorders>
              <w:top w:val="single" w:sz="4" w:space="0" w:color="auto"/>
            </w:tcBorders>
            <w:shd w:val="clear" w:color="auto" w:fill="auto"/>
            <w:vAlign w:val="center"/>
          </w:tcPr>
          <w:p w14:paraId="12F527E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6207EE0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53EB846" w14:textId="77777777" w:rsidTr="00FD3DD2">
        <w:trPr>
          <w:trHeight w:val="91"/>
        </w:trPr>
        <w:tc>
          <w:tcPr>
            <w:tcW w:w="7230" w:type="dxa"/>
            <w:shd w:val="clear" w:color="auto" w:fill="auto"/>
            <w:vAlign w:val="center"/>
          </w:tcPr>
          <w:p w14:paraId="6815E0EA"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seek assistance from workgroup when difficulties arise and addressed through discussions</w:t>
            </w:r>
          </w:p>
        </w:tc>
        <w:tc>
          <w:tcPr>
            <w:tcW w:w="1276" w:type="dxa"/>
            <w:shd w:val="clear" w:color="auto" w:fill="auto"/>
            <w:vAlign w:val="center"/>
          </w:tcPr>
          <w:p w14:paraId="2A62505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18B00F1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3E472B7" w14:textId="77777777" w:rsidTr="00FD3DD2">
        <w:trPr>
          <w:trHeight w:val="91"/>
        </w:trPr>
        <w:tc>
          <w:tcPr>
            <w:tcW w:w="7230" w:type="dxa"/>
            <w:shd w:val="clear" w:color="auto" w:fill="auto"/>
            <w:vAlign w:val="center"/>
          </w:tcPr>
          <w:p w14:paraId="423018A4"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encourage, acknowledge and act upon the feedback provided by others in the team.</w:t>
            </w:r>
          </w:p>
        </w:tc>
        <w:tc>
          <w:tcPr>
            <w:tcW w:w="1276" w:type="dxa"/>
            <w:shd w:val="clear" w:color="auto" w:fill="auto"/>
            <w:vAlign w:val="center"/>
          </w:tcPr>
          <w:p w14:paraId="4A2E22C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4.35</w:t>
            </w:r>
          </w:p>
        </w:tc>
        <w:tc>
          <w:tcPr>
            <w:tcW w:w="877" w:type="dxa"/>
            <w:shd w:val="clear" w:color="auto" w:fill="auto"/>
            <w:vAlign w:val="center"/>
          </w:tcPr>
          <w:p w14:paraId="66F9B01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97C5A4A" w14:textId="77777777" w:rsidTr="00FD3DD2">
        <w:trPr>
          <w:trHeight w:val="91"/>
        </w:trPr>
        <w:tc>
          <w:tcPr>
            <w:tcW w:w="7230" w:type="dxa"/>
            <w:shd w:val="clear" w:color="auto" w:fill="auto"/>
            <w:vAlign w:val="center"/>
          </w:tcPr>
          <w:p w14:paraId="3E119798"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respect the differences in personal values and beliefs during interaction.</w:t>
            </w:r>
          </w:p>
        </w:tc>
        <w:tc>
          <w:tcPr>
            <w:tcW w:w="1276" w:type="dxa"/>
            <w:shd w:val="clear" w:color="auto" w:fill="auto"/>
            <w:vAlign w:val="center"/>
          </w:tcPr>
          <w:p w14:paraId="43F1762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4.45</w:t>
            </w:r>
          </w:p>
        </w:tc>
        <w:tc>
          <w:tcPr>
            <w:tcW w:w="877" w:type="dxa"/>
            <w:shd w:val="clear" w:color="auto" w:fill="auto"/>
            <w:vAlign w:val="center"/>
          </w:tcPr>
          <w:p w14:paraId="214E075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980981" w14:textId="77777777" w:rsidTr="00FD3DD2">
        <w:trPr>
          <w:trHeight w:val="91"/>
        </w:trPr>
        <w:tc>
          <w:tcPr>
            <w:tcW w:w="7230" w:type="dxa"/>
            <w:shd w:val="clear" w:color="auto" w:fill="auto"/>
            <w:vAlign w:val="center"/>
          </w:tcPr>
          <w:p w14:paraId="42A09FE0"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provide support to team members to ensure workgroup goals are met</w:t>
            </w:r>
          </w:p>
        </w:tc>
        <w:tc>
          <w:tcPr>
            <w:tcW w:w="1276" w:type="dxa"/>
            <w:shd w:val="clear" w:color="auto" w:fill="auto"/>
            <w:vAlign w:val="center"/>
          </w:tcPr>
          <w:p w14:paraId="272229C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64AA2D4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AC75C65" w14:textId="77777777" w:rsidTr="00FD3DD2">
        <w:trPr>
          <w:trHeight w:val="91"/>
        </w:trPr>
        <w:tc>
          <w:tcPr>
            <w:tcW w:w="7230" w:type="dxa"/>
            <w:shd w:val="clear" w:color="auto" w:fill="auto"/>
            <w:vAlign w:val="center"/>
          </w:tcPr>
          <w:p w14:paraId="36B19EB6"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make constructive contributions to workgroup goals and tasks according to organizational requirements.</w:t>
            </w:r>
          </w:p>
        </w:tc>
        <w:tc>
          <w:tcPr>
            <w:tcW w:w="1276" w:type="dxa"/>
            <w:shd w:val="clear" w:color="auto" w:fill="auto"/>
            <w:vAlign w:val="center"/>
          </w:tcPr>
          <w:p w14:paraId="572287E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62C4965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F6DB131" w14:textId="77777777" w:rsidTr="00FD3DD2">
        <w:trPr>
          <w:trHeight w:val="91"/>
        </w:trPr>
        <w:tc>
          <w:tcPr>
            <w:tcW w:w="7230" w:type="dxa"/>
            <w:tcBorders>
              <w:bottom w:val="single" w:sz="4" w:space="0" w:color="auto"/>
            </w:tcBorders>
            <w:shd w:val="clear" w:color="auto" w:fill="auto"/>
            <w:vAlign w:val="center"/>
          </w:tcPr>
          <w:p w14:paraId="3D3066A8"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share information relevant to work with team members to ensure designated goals are met.</w:t>
            </w:r>
          </w:p>
        </w:tc>
        <w:tc>
          <w:tcPr>
            <w:tcW w:w="1276" w:type="dxa"/>
            <w:tcBorders>
              <w:bottom w:val="single" w:sz="4" w:space="0" w:color="auto"/>
            </w:tcBorders>
            <w:shd w:val="clear" w:color="auto" w:fill="auto"/>
            <w:vAlign w:val="center"/>
          </w:tcPr>
          <w:p w14:paraId="04DF1E5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tcBorders>
              <w:bottom w:val="single" w:sz="4" w:space="0" w:color="auto"/>
            </w:tcBorders>
            <w:shd w:val="clear" w:color="auto" w:fill="auto"/>
            <w:vAlign w:val="center"/>
          </w:tcPr>
          <w:p w14:paraId="7E9AB06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9F4E56F" w14:textId="77777777" w:rsidTr="00783A7C">
        <w:trPr>
          <w:trHeight w:val="91"/>
        </w:trPr>
        <w:tc>
          <w:tcPr>
            <w:tcW w:w="7230" w:type="dxa"/>
            <w:tcBorders>
              <w:top w:val="single" w:sz="4" w:space="0" w:color="auto"/>
              <w:bottom w:val="single" w:sz="4" w:space="0" w:color="auto"/>
            </w:tcBorders>
            <w:shd w:val="clear" w:color="auto" w:fill="auto"/>
            <w:vAlign w:val="center"/>
          </w:tcPr>
          <w:p w14:paraId="7E335593"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1266F22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4.37</w:t>
            </w:r>
          </w:p>
        </w:tc>
        <w:tc>
          <w:tcPr>
            <w:tcW w:w="877" w:type="dxa"/>
            <w:tcBorders>
              <w:top w:val="single" w:sz="4" w:space="0" w:color="auto"/>
              <w:bottom w:val="single" w:sz="4" w:space="0" w:color="auto"/>
            </w:tcBorders>
            <w:shd w:val="clear" w:color="auto" w:fill="auto"/>
            <w:vAlign w:val="center"/>
          </w:tcPr>
          <w:p w14:paraId="126363B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17C88D0" w14:textId="77777777" w:rsidTr="00783A7C">
        <w:trPr>
          <w:trHeight w:val="91"/>
        </w:trPr>
        <w:tc>
          <w:tcPr>
            <w:tcW w:w="7230" w:type="dxa"/>
            <w:tcBorders>
              <w:top w:val="single" w:sz="4" w:space="0" w:color="auto"/>
              <w:bottom w:val="single" w:sz="4" w:space="0" w:color="auto"/>
            </w:tcBorders>
            <w:shd w:val="clear" w:color="auto" w:fill="auto"/>
            <w:vAlign w:val="center"/>
          </w:tcPr>
          <w:p w14:paraId="13127C2A"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Critical thinking and problem solving</w:t>
            </w:r>
          </w:p>
        </w:tc>
        <w:tc>
          <w:tcPr>
            <w:tcW w:w="1276" w:type="dxa"/>
            <w:tcBorders>
              <w:top w:val="single" w:sz="4" w:space="0" w:color="auto"/>
              <w:bottom w:val="single" w:sz="4" w:space="0" w:color="auto"/>
            </w:tcBorders>
            <w:shd w:val="clear" w:color="auto" w:fill="auto"/>
            <w:vAlign w:val="center"/>
          </w:tcPr>
          <w:p w14:paraId="47320A82"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5CA005B"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3ADC9424" w14:textId="77777777" w:rsidTr="00FD3DD2">
        <w:trPr>
          <w:trHeight w:val="91"/>
        </w:trPr>
        <w:tc>
          <w:tcPr>
            <w:tcW w:w="7230" w:type="dxa"/>
            <w:tcBorders>
              <w:top w:val="single" w:sz="4" w:space="0" w:color="auto"/>
            </w:tcBorders>
            <w:shd w:val="clear" w:color="auto" w:fill="auto"/>
            <w:vAlign w:val="center"/>
          </w:tcPr>
          <w:p w14:paraId="719960A9"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define the nature of the problem by observation on routines</w:t>
            </w:r>
          </w:p>
        </w:tc>
        <w:tc>
          <w:tcPr>
            <w:tcW w:w="1276" w:type="dxa"/>
            <w:tcBorders>
              <w:top w:val="single" w:sz="4" w:space="0" w:color="auto"/>
            </w:tcBorders>
            <w:shd w:val="clear" w:color="auto" w:fill="auto"/>
            <w:vAlign w:val="center"/>
          </w:tcPr>
          <w:p w14:paraId="241E301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4.25</w:t>
            </w:r>
          </w:p>
        </w:tc>
        <w:tc>
          <w:tcPr>
            <w:tcW w:w="877" w:type="dxa"/>
            <w:tcBorders>
              <w:top w:val="single" w:sz="4" w:space="0" w:color="auto"/>
            </w:tcBorders>
            <w:shd w:val="clear" w:color="auto" w:fill="auto"/>
            <w:vAlign w:val="center"/>
          </w:tcPr>
          <w:p w14:paraId="35272C5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5E601AED" w14:textId="77777777" w:rsidTr="00FD3DD2">
        <w:trPr>
          <w:trHeight w:val="91"/>
        </w:trPr>
        <w:tc>
          <w:tcPr>
            <w:tcW w:w="7230" w:type="dxa"/>
            <w:shd w:val="clear" w:color="auto" w:fill="auto"/>
            <w:vAlign w:val="center"/>
          </w:tcPr>
          <w:p w14:paraId="3B2C0C0F"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consider all possible options for resolution of the routine problem.</w:t>
            </w:r>
          </w:p>
        </w:tc>
        <w:tc>
          <w:tcPr>
            <w:tcW w:w="1276" w:type="dxa"/>
            <w:shd w:val="clear" w:color="auto" w:fill="auto"/>
            <w:vAlign w:val="center"/>
          </w:tcPr>
          <w:p w14:paraId="23D7734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4.22</w:t>
            </w:r>
          </w:p>
        </w:tc>
        <w:tc>
          <w:tcPr>
            <w:tcW w:w="877" w:type="dxa"/>
            <w:shd w:val="clear" w:color="auto" w:fill="auto"/>
            <w:vAlign w:val="center"/>
          </w:tcPr>
          <w:p w14:paraId="1B6DCD0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76B584E" w14:textId="77777777" w:rsidTr="00FD3DD2">
        <w:trPr>
          <w:trHeight w:val="91"/>
        </w:trPr>
        <w:tc>
          <w:tcPr>
            <w:tcW w:w="7230" w:type="dxa"/>
            <w:shd w:val="clear" w:color="auto" w:fill="auto"/>
            <w:vAlign w:val="center"/>
          </w:tcPr>
          <w:p w14:paraId="27F5E093"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specify the possible fundamental causes of problems.</w:t>
            </w:r>
          </w:p>
        </w:tc>
        <w:tc>
          <w:tcPr>
            <w:tcW w:w="1276" w:type="dxa"/>
            <w:shd w:val="clear" w:color="auto" w:fill="auto"/>
            <w:vAlign w:val="center"/>
          </w:tcPr>
          <w:p w14:paraId="1EB51F2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2578D4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BDD4118" w14:textId="77777777" w:rsidTr="00FD3DD2">
        <w:trPr>
          <w:trHeight w:val="91"/>
        </w:trPr>
        <w:tc>
          <w:tcPr>
            <w:tcW w:w="7230" w:type="dxa"/>
            <w:shd w:val="clear" w:color="auto" w:fill="auto"/>
            <w:vAlign w:val="center"/>
          </w:tcPr>
          <w:p w14:paraId="5C27658D"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select problem-solving tool appropriate to the problem and the context.</w:t>
            </w:r>
          </w:p>
        </w:tc>
        <w:tc>
          <w:tcPr>
            <w:tcW w:w="1276" w:type="dxa"/>
            <w:shd w:val="clear" w:color="auto" w:fill="auto"/>
            <w:vAlign w:val="center"/>
          </w:tcPr>
          <w:p w14:paraId="6E6FBB6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4.18</w:t>
            </w:r>
          </w:p>
        </w:tc>
        <w:tc>
          <w:tcPr>
            <w:tcW w:w="877" w:type="dxa"/>
            <w:shd w:val="clear" w:color="auto" w:fill="auto"/>
            <w:vAlign w:val="center"/>
          </w:tcPr>
          <w:p w14:paraId="4F75F8F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7A64091" w14:textId="77777777" w:rsidTr="00FD3DD2">
        <w:trPr>
          <w:trHeight w:val="91"/>
        </w:trPr>
        <w:tc>
          <w:tcPr>
            <w:tcW w:w="7230" w:type="dxa"/>
            <w:shd w:val="clear" w:color="auto" w:fill="auto"/>
            <w:vAlign w:val="center"/>
          </w:tcPr>
          <w:p w14:paraId="72173159"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possible causes based on experience and the use of problem-solving tools/basic analytical techniques.</w:t>
            </w:r>
          </w:p>
        </w:tc>
        <w:tc>
          <w:tcPr>
            <w:tcW w:w="1276" w:type="dxa"/>
            <w:shd w:val="clear" w:color="auto" w:fill="auto"/>
            <w:vAlign w:val="center"/>
          </w:tcPr>
          <w:p w14:paraId="7ECD187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1D2FA3A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03EFD40B" w14:textId="77777777" w:rsidTr="00FD3DD2">
        <w:trPr>
          <w:trHeight w:val="91"/>
        </w:trPr>
        <w:tc>
          <w:tcPr>
            <w:tcW w:w="7230" w:type="dxa"/>
            <w:shd w:val="clear" w:color="auto" w:fill="auto"/>
            <w:vAlign w:val="center"/>
          </w:tcPr>
          <w:p w14:paraId="5007E107"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desired operating/output parameters and expected quality of products/services.</w:t>
            </w:r>
          </w:p>
        </w:tc>
        <w:tc>
          <w:tcPr>
            <w:tcW w:w="1276" w:type="dxa"/>
            <w:shd w:val="clear" w:color="auto" w:fill="auto"/>
            <w:vAlign w:val="center"/>
          </w:tcPr>
          <w:p w14:paraId="5950A80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064AF04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2632665" w14:textId="77777777" w:rsidTr="00FD3DD2">
        <w:trPr>
          <w:trHeight w:val="91"/>
        </w:trPr>
        <w:tc>
          <w:tcPr>
            <w:tcW w:w="7230" w:type="dxa"/>
            <w:shd w:val="clear" w:color="auto" w:fill="auto"/>
            <w:vAlign w:val="center"/>
          </w:tcPr>
          <w:p w14:paraId="22A66916"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state and specify problems clearly.</w:t>
            </w:r>
          </w:p>
        </w:tc>
        <w:tc>
          <w:tcPr>
            <w:tcW w:w="1276" w:type="dxa"/>
            <w:shd w:val="clear" w:color="auto" w:fill="auto"/>
            <w:vAlign w:val="center"/>
          </w:tcPr>
          <w:p w14:paraId="651A489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4.10</w:t>
            </w:r>
          </w:p>
        </w:tc>
        <w:tc>
          <w:tcPr>
            <w:tcW w:w="877" w:type="dxa"/>
            <w:shd w:val="clear" w:color="auto" w:fill="auto"/>
            <w:vAlign w:val="center"/>
          </w:tcPr>
          <w:p w14:paraId="3C5F62E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86BE26A" w14:textId="77777777" w:rsidTr="00FD3DD2">
        <w:trPr>
          <w:trHeight w:val="91"/>
        </w:trPr>
        <w:tc>
          <w:tcPr>
            <w:tcW w:w="7230" w:type="dxa"/>
            <w:shd w:val="clear" w:color="auto" w:fill="auto"/>
            <w:vAlign w:val="center"/>
          </w:tcPr>
          <w:p w14:paraId="20C4B3A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 xml:space="preserve">Solve/address routine problems </w:t>
            </w:r>
          </w:p>
        </w:tc>
        <w:tc>
          <w:tcPr>
            <w:tcW w:w="1276" w:type="dxa"/>
            <w:shd w:val="clear" w:color="auto" w:fill="auto"/>
            <w:vAlign w:val="center"/>
          </w:tcPr>
          <w:p w14:paraId="352DDC8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4.09</w:t>
            </w:r>
          </w:p>
        </w:tc>
        <w:tc>
          <w:tcPr>
            <w:tcW w:w="877" w:type="dxa"/>
            <w:shd w:val="clear" w:color="auto" w:fill="auto"/>
            <w:vAlign w:val="center"/>
          </w:tcPr>
          <w:p w14:paraId="3B71D10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62EA9CE2" w14:textId="77777777" w:rsidTr="00FD3DD2">
        <w:trPr>
          <w:trHeight w:val="91"/>
        </w:trPr>
        <w:tc>
          <w:tcPr>
            <w:tcW w:w="7230" w:type="dxa"/>
            <w:shd w:val="clear" w:color="auto" w:fill="auto"/>
            <w:vAlign w:val="center"/>
          </w:tcPr>
          <w:p w14:paraId="7DD9C82F"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prepare report on recommendations.</w:t>
            </w:r>
          </w:p>
        </w:tc>
        <w:tc>
          <w:tcPr>
            <w:tcW w:w="1276" w:type="dxa"/>
            <w:shd w:val="clear" w:color="auto" w:fill="auto"/>
            <w:vAlign w:val="center"/>
          </w:tcPr>
          <w:p w14:paraId="26E19E7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4.03</w:t>
            </w:r>
          </w:p>
        </w:tc>
        <w:tc>
          <w:tcPr>
            <w:tcW w:w="877" w:type="dxa"/>
            <w:shd w:val="clear" w:color="auto" w:fill="auto"/>
            <w:vAlign w:val="center"/>
          </w:tcPr>
          <w:p w14:paraId="3888607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147D226" w14:textId="77777777" w:rsidTr="00FD3DD2">
        <w:trPr>
          <w:trHeight w:val="91"/>
        </w:trPr>
        <w:tc>
          <w:tcPr>
            <w:tcW w:w="7230" w:type="dxa"/>
            <w:shd w:val="clear" w:color="auto" w:fill="auto"/>
            <w:vAlign w:val="center"/>
          </w:tcPr>
          <w:p w14:paraId="5D918582"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corrective actions to resolve the problem and possible future causes.</w:t>
            </w:r>
          </w:p>
        </w:tc>
        <w:tc>
          <w:tcPr>
            <w:tcW w:w="1276" w:type="dxa"/>
            <w:shd w:val="clear" w:color="auto" w:fill="auto"/>
            <w:vAlign w:val="center"/>
          </w:tcPr>
          <w:p w14:paraId="32BBAC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4.00</w:t>
            </w:r>
          </w:p>
        </w:tc>
        <w:tc>
          <w:tcPr>
            <w:tcW w:w="877" w:type="dxa"/>
            <w:shd w:val="clear" w:color="auto" w:fill="auto"/>
            <w:vAlign w:val="center"/>
          </w:tcPr>
          <w:p w14:paraId="64CD411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51A35CBA" w14:textId="77777777" w:rsidTr="00FD3DD2">
        <w:trPr>
          <w:trHeight w:val="91"/>
        </w:trPr>
        <w:tc>
          <w:tcPr>
            <w:tcW w:w="7230" w:type="dxa"/>
            <w:shd w:val="clear" w:color="auto" w:fill="auto"/>
            <w:vAlign w:val="center"/>
          </w:tcPr>
          <w:p w14:paraId="2B55C2C3"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develop action plans identifying measurable objectives, resource needs and timelines in accordance with safety and operating procedures.</w:t>
            </w:r>
          </w:p>
        </w:tc>
        <w:tc>
          <w:tcPr>
            <w:tcW w:w="1276" w:type="dxa"/>
            <w:shd w:val="clear" w:color="auto" w:fill="auto"/>
            <w:vAlign w:val="center"/>
          </w:tcPr>
          <w:p w14:paraId="141D8D3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3.98</w:t>
            </w:r>
          </w:p>
        </w:tc>
        <w:tc>
          <w:tcPr>
            <w:tcW w:w="877" w:type="dxa"/>
            <w:shd w:val="clear" w:color="auto" w:fill="auto"/>
            <w:vAlign w:val="center"/>
          </w:tcPr>
          <w:p w14:paraId="4CBEDFF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0FA7D52" w14:textId="77777777" w:rsidTr="00FD3DD2">
        <w:trPr>
          <w:trHeight w:val="91"/>
        </w:trPr>
        <w:tc>
          <w:tcPr>
            <w:tcW w:w="7230" w:type="dxa"/>
            <w:tcBorders>
              <w:bottom w:val="single" w:sz="4" w:space="0" w:color="auto"/>
            </w:tcBorders>
            <w:shd w:val="clear" w:color="auto" w:fill="auto"/>
            <w:vAlign w:val="center"/>
          </w:tcPr>
          <w:p w14:paraId="03291C6C"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lastRenderedPageBreak/>
              <w:t>I present recommendations to appropriate person.</w:t>
            </w:r>
          </w:p>
        </w:tc>
        <w:tc>
          <w:tcPr>
            <w:tcW w:w="1276" w:type="dxa"/>
            <w:tcBorders>
              <w:bottom w:val="single" w:sz="4" w:space="0" w:color="auto"/>
            </w:tcBorders>
            <w:shd w:val="clear" w:color="auto" w:fill="auto"/>
            <w:vAlign w:val="center"/>
          </w:tcPr>
          <w:p w14:paraId="5B340E5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3.98</w:t>
            </w:r>
          </w:p>
        </w:tc>
        <w:tc>
          <w:tcPr>
            <w:tcW w:w="877" w:type="dxa"/>
            <w:tcBorders>
              <w:bottom w:val="single" w:sz="4" w:space="0" w:color="auto"/>
            </w:tcBorders>
            <w:shd w:val="clear" w:color="auto" w:fill="auto"/>
            <w:vAlign w:val="center"/>
          </w:tcPr>
          <w:p w14:paraId="7716CE6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B312DBC" w14:textId="77777777" w:rsidTr="00783A7C">
        <w:trPr>
          <w:trHeight w:val="91"/>
        </w:trPr>
        <w:tc>
          <w:tcPr>
            <w:tcW w:w="7230" w:type="dxa"/>
            <w:tcBorders>
              <w:top w:val="single" w:sz="4" w:space="0" w:color="auto"/>
              <w:bottom w:val="single" w:sz="4" w:space="0" w:color="auto"/>
            </w:tcBorders>
            <w:shd w:val="clear" w:color="auto" w:fill="auto"/>
            <w:vAlign w:val="center"/>
          </w:tcPr>
          <w:p w14:paraId="64A69C83"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66CF32B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4.11</w:t>
            </w:r>
          </w:p>
        </w:tc>
        <w:tc>
          <w:tcPr>
            <w:tcW w:w="877" w:type="dxa"/>
            <w:tcBorders>
              <w:top w:val="single" w:sz="4" w:space="0" w:color="auto"/>
              <w:bottom w:val="single" w:sz="4" w:space="0" w:color="auto"/>
            </w:tcBorders>
            <w:shd w:val="clear" w:color="auto" w:fill="auto"/>
            <w:vAlign w:val="center"/>
          </w:tcPr>
          <w:p w14:paraId="35DA851B"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HC</w:t>
            </w:r>
          </w:p>
        </w:tc>
      </w:tr>
      <w:tr w:rsidR="0022508F" w:rsidRPr="002F6DBB" w14:paraId="437A9950" w14:textId="77777777" w:rsidTr="00783A7C">
        <w:trPr>
          <w:trHeight w:val="91"/>
        </w:trPr>
        <w:tc>
          <w:tcPr>
            <w:tcW w:w="7230" w:type="dxa"/>
            <w:tcBorders>
              <w:top w:val="single" w:sz="4" w:space="0" w:color="auto"/>
              <w:bottom w:val="single" w:sz="4" w:space="0" w:color="auto"/>
            </w:tcBorders>
            <w:shd w:val="clear" w:color="auto" w:fill="auto"/>
            <w:vAlign w:val="center"/>
          </w:tcPr>
          <w:p w14:paraId="48B43F5E"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Life-long learning and career skills</w:t>
            </w:r>
          </w:p>
        </w:tc>
        <w:tc>
          <w:tcPr>
            <w:tcW w:w="1276" w:type="dxa"/>
            <w:tcBorders>
              <w:top w:val="single" w:sz="4" w:space="0" w:color="auto"/>
              <w:bottom w:val="single" w:sz="4" w:space="0" w:color="auto"/>
            </w:tcBorders>
            <w:shd w:val="clear" w:color="auto" w:fill="auto"/>
            <w:vAlign w:val="center"/>
          </w:tcPr>
          <w:p w14:paraId="45EFCA3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1B2DB4B7"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54A160E1" w14:textId="77777777" w:rsidTr="00FD3DD2">
        <w:trPr>
          <w:trHeight w:val="91"/>
        </w:trPr>
        <w:tc>
          <w:tcPr>
            <w:tcW w:w="7230" w:type="dxa"/>
            <w:tcBorders>
              <w:top w:val="single" w:sz="4" w:space="0" w:color="auto"/>
            </w:tcBorders>
            <w:shd w:val="clear" w:color="auto" w:fill="auto"/>
            <w:vAlign w:val="center"/>
          </w:tcPr>
          <w:p w14:paraId="51585AD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describe the difference between personal and career goals.</w:t>
            </w:r>
          </w:p>
        </w:tc>
        <w:tc>
          <w:tcPr>
            <w:tcW w:w="1276" w:type="dxa"/>
            <w:tcBorders>
              <w:top w:val="single" w:sz="4" w:space="0" w:color="auto"/>
            </w:tcBorders>
            <w:shd w:val="clear" w:color="auto" w:fill="auto"/>
            <w:vAlign w:val="center"/>
          </w:tcPr>
          <w:p w14:paraId="45A0EC1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tcBorders>
              <w:top w:val="single" w:sz="4" w:space="0" w:color="auto"/>
            </w:tcBorders>
            <w:shd w:val="clear" w:color="auto" w:fill="auto"/>
            <w:vAlign w:val="center"/>
          </w:tcPr>
          <w:p w14:paraId="498D812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8074DE3" w14:textId="77777777" w:rsidTr="00FD3DD2">
        <w:trPr>
          <w:trHeight w:val="91"/>
        </w:trPr>
        <w:tc>
          <w:tcPr>
            <w:tcW w:w="7230" w:type="dxa"/>
            <w:shd w:val="clear" w:color="auto" w:fill="auto"/>
            <w:vAlign w:val="center"/>
          </w:tcPr>
          <w:p w14:paraId="4E0E872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develop clear and concise personal and career goals.</w:t>
            </w:r>
          </w:p>
        </w:tc>
        <w:tc>
          <w:tcPr>
            <w:tcW w:w="1276" w:type="dxa"/>
            <w:shd w:val="clear" w:color="auto" w:fill="auto"/>
            <w:vAlign w:val="center"/>
          </w:tcPr>
          <w:p w14:paraId="1E63E73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4.25</w:t>
            </w:r>
          </w:p>
        </w:tc>
        <w:tc>
          <w:tcPr>
            <w:tcW w:w="877" w:type="dxa"/>
            <w:shd w:val="clear" w:color="auto" w:fill="auto"/>
            <w:vAlign w:val="center"/>
          </w:tcPr>
          <w:p w14:paraId="79A91E9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5D47438" w14:textId="77777777" w:rsidTr="00FD3DD2">
        <w:trPr>
          <w:trHeight w:val="91"/>
        </w:trPr>
        <w:tc>
          <w:tcPr>
            <w:tcW w:w="7230" w:type="dxa"/>
            <w:shd w:val="clear" w:color="auto" w:fill="auto"/>
            <w:vAlign w:val="center"/>
          </w:tcPr>
          <w:p w14:paraId="7B43DEC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characteristics of motivational goals according to Locke &amp; Latham.</w:t>
            </w:r>
          </w:p>
        </w:tc>
        <w:tc>
          <w:tcPr>
            <w:tcW w:w="1276" w:type="dxa"/>
            <w:shd w:val="clear" w:color="auto" w:fill="auto"/>
            <w:vAlign w:val="center"/>
          </w:tcPr>
          <w:p w14:paraId="75C7101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4.08</w:t>
            </w:r>
          </w:p>
        </w:tc>
        <w:tc>
          <w:tcPr>
            <w:tcW w:w="877" w:type="dxa"/>
            <w:shd w:val="clear" w:color="auto" w:fill="auto"/>
            <w:vAlign w:val="center"/>
          </w:tcPr>
          <w:p w14:paraId="70C08C5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7CB227F" w14:textId="77777777" w:rsidTr="00FD3DD2">
        <w:trPr>
          <w:trHeight w:val="91"/>
        </w:trPr>
        <w:tc>
          <w:tcPr>
            <w:tcW w:w="7230" w:type="dxa"/>
            <w:shd w:val="clear" w:color="auto" w:fill="auto"/>
            <w:vAlign w:val="center"/>
          </w:tcPr>
          <w:p w14:paraId="627B4C0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describe influence that people, situations and events have on emotions.</w:t>
            </w:r>
          </w:p>
        </w:tc>
        <w:tc>
          <w:tcPr>
            <w:tcW w:w="1276" w:type="dxa"/>
            <w:shd w:val="clear" w:color="auto" w:fill="auto"/>
            <w:vAlign w:val="center"/>
          </w:tcPr>
          <w:p w14:paraId="2F1F9D0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4.21</w:t>
            </w:r>
          </w:p>
        </w:tc>
        <w:tc>
          <w:tcPr>
            <w:tcW w:w="877" w:type="dxa"/>
            <w:shd w:val="clear" w:color="auto" w:fill="auto"/>
            <w:vAlign w:val="center"/>
          </w:tcPr>
          <w:p w14:paraId="6AD7E72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40234EA" w14:textId="77777777" w:rsidTr="00FD3DD2">
        <w:trPr>
          <w:trHeight w:val="91"/>
        </w:trPr>
        <w:tc>
          <w:tcPr>
            <w:tcW w:w="7230" w:type="dxa"/>
            <w:shd w:val="clear" w:color="auto" w:fill="auto"/>
            <w:vAlign w:val="center"/>
          </w:tcPr>
          <w:p w14:paraId="46F75AD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explain the importance of responding with appropriate emotions.</w:t>
            </w:r>
          </w:p>
        </w:tc>
        <w:tc>
          <w:tcPr>
            <w:tcW w:w="1276" w:type="dxa"/>
            <w:shd w:val="clear" w:color="auto" w:fill="auto"/>
            <w:vAlign w:val="center"/>
          </w:tcPr>
          <w:p w14:paraId="1A6502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301580F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7094B63" w14:textId="77777777" w:rsidTr="00FD3DD2">
        <w:trPr>
          <w:trHeight w:val="91"/>
        </w:trPr>
        <w:tc>
          <w:tcPr>
            <w:tcW w:w="7230" w:type="dxa"/>
            <w:shd w:val="clear" w:color="auto" w:fill="auto"/>
            <w:vAlign w:val="center"/>
          </w:tcPr>
          <w:p w14:paraId="23B4C80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examine the influences on and consequences of emotional responses in social and work-related contexts.</w:t>
            </w:r>
          </w:p>
        </w:tc>
        <w:tc>
          <w:tcPr>
            <w:tcW w:w="1276" w:type="dxa"/>
            <w:shd w:val="clear" w:color="auto" w:fill="auto"/>
            <w:vAlign w:val="center"/>
          </w:tcPr>
          <w:p w14:paraId="696A984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4.14</w:t>
            </w:r>
          </w:p>
        </w:tc>
        <w:tc>
          <w:tcPr>
            <w:tcW w:w="877" w:type="dxa"/>
            <w:shd w:val="clear" w:color="auto" w:fill="auto"/>
            <w:vAlign w:val="center"/>
          </w:tcPr>
          <w:p w14:paraId="3960863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287A435" w14:textId="77777777" w:rsidTr="00FD3DD2">
        <w:trPr>
          <w:trHeight w:val="91"/>
        </w:trPr>
        <w:tc>
          <w:tcPr>
            <w:tcW w:w="7230" w:type="dxa"/>
            <w:shd w:val="clear" w:color="auto" w:fill="auto"/>
            <w:vAlign w:val="center"/>
          </w:tcPr>
          <w:p w14:paraId="4A9DEE47"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describe the factors and strategies that assist learning.</w:t>
            </w:r>
          </w:p>
        </w:tc>
        <w:tc>
          <w:tcPr>
            <w:tcW w:w="1276" w:type="dxa"/>
            <w:shd w:val="clear" w:color="auto" w:fill="auto"/>
            <w:vAlign w:val="center"/>
          </w:tcPr>
          <w:p w14:paraId="27CB076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32E83D6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0D2B7BB7" w14:textId="77777777" w:rsidTr="00FD3DD2">
        <w:trPr>
          <w:trHeight w:val="91"/>
        </w:trPr>
        <w:tc>
          <w:tcPr>
            <w:tcW w:w="7230" w:type="dxa"/>
            <w:shd w:val="clear" w:color="auto" w:fill="auto"/>
            <w:vAlign w:val="center"/>
          </w:tcPr>
          <w:p w14:paraId="78B3434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preferred learning styles according to VAK Learning Style Model and Kolb’s Theory of Learning Styles.</w:t>
            </w:r>
          </w:p>
        </w:tc>
        <w:tc>
          <w:tcPr>
            <w:tcW w:w="1276" w:type="dxa"/>
            <w:shd w:val="clear" w:color="auto" w:fill="auto"/>
            <w:vAlign w:val="center"/>
          </w:tcPr>
          <w:p w14:paraId="10297D6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3.92</w:t>
            </w:r>
          </w:p>
        </w:tc>
        <w:tc>
          <w:tcPr>
            <w:tcW w:w="877" w:type="dxa"/>
            <w:shd w:val="clear" w:color="auto" w:fill="auto"/>
            <w:vAlign w:val="center"/>
          </w:tcPr>
          <w:p w14:paraId="22BB795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FAE0ACE" w14:textId="77777777" w:rsidTr="00FD3DD2">
        <w:trPr>
          <w:trHeight w:val="91"/>
        </w:trPr>
        <w:tc>
          <w:tcPr>
            <w:tcW w:w="7230" w:type="dxa"/>
            <w:tcBorders>
              <w:bottom w:val="single" w:sz="4" w:space="0" w:color="auto"/>
            </w:tcBorders>
            <w:shd w:val="clear" w:color="auto" w:fill="auto"/>
            <w:vAlign w:val="center"/>
          </w:tcPr>
          <w:p w14:paraId="5835E54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choose the range of learning strategies appropriate to specific tasks and describe work practices that assist their learning</w:t>
            </w:r>
          </w:p>
        </w:tc>
        <w:tc>
          <w:tcPr>
            <w:tcW w:w="1276" w:type="dxa"/>
            <w:tcBorders>
              <w:bottom w:val="single" w:sz="4" w:space="0" w:color="auto"/>
            </w:tcBorders>
            <w:shd w:val="clear" w:color="auto" w:fill="auto"/>
            <w:vAlign w:val="center"/>
          </w:tcPr>
          <w:p w14:paraId="26A9F82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tcPr>
          <w:p w14:paraId="61A12FA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73D777B" w14:textId="77777777" w:rsidTr="00783A7C">
        <w:trPr>
          <w:trHeight w:val="91"/>
        </w:trPr>
        <w:tc>
          <w:tcPr>
            <w:tcW w:w="7230" w:type="dxa"/>
            <w:tcBorders>
              <w:top w:val="single" w:sz="4" w:space="0" w:color="auto"/>
              <w:bottom w:val="single" w:sz="4" w:space="0" w:color="auto"/>
            </w:tcBorders>
            <w:shd w:val="clear" w:color="auto" w:fill="auto"/>
            <w:vAlign w:val="center"/>
          </w:tcPr>
          <w:p w14:paraId="52E18BA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1B85C04"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4.17</w:t>
            </w:r>
          </w:p>
        </w:tc>
        <w:tc>
          <w:tcPr>
            <w:tcW w:w="877" w:type="dxa"/>
            <w:tcBorders>
              <w:top w:val="single" w:sz="4" w:space="0" w:color="auto"/>
              <w:bottom w:val="single" w:sz="4" w:space="0" w:color="auto"/>
            </w:tcBorders>
            <w:shd w:val="clear" w:color="auto" w:fill="auto"/>
            <w:vAlign w:val="center"/>
          </w:tcPr>
          <w:p w14:paraId="08AEDC13"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HC</w:t>
            </w:r>
          </w:p>
        </w:tc>
      </w:tr>
      <w:tr w:rsidR="0022508F" w:rsidRPr="002F6DBB" w14:paraId="7A088475" w14:textId="77777777" w:rsidTr="00783A7C">
        <w:trPr>
          <w:trHeight w:val="91"/>
        </w:trPr>
        <w:tc>
          <w:tcPr>
            <w:tcW w:w="7230" w:type="dxa"/>
            <w:tcBorders>
              <w:top w:val="single" w:sz="4" w:space="0" w:color="auto"/>
              <w:bottom w:val="single" w:sz="4" w:space="0" w:color="auto"/>
            </w:tcBorders>
            <w:shd w:val="clear" w:color="auto" w:fill="auto"/>
            <w:vAlign w:val="center"/>
          </w:tcPr>
          <w:p w14:paraId="4C1D7476"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Learning and innovation</w:t>
            </w:r>
          </w:p>
        </w:tc>
        <w:tc>
          <w:tcPr>
            <w:tcW w:w="1276" w:type="dxa"/>
            <w:tcBorders>
              <w:top w:val="single" w:sz="4" w:space="0" w:color="auto"/>
              <w:bottom w:val="single" w:sz="4" w:space="0" w:color="auto"/>
            </w:tcBorders>
            <w:shd w:val="clear" w:color="auto" w:fill="auto"/>
            <w:vAlign w:val="center"/>
          </w:tcPr>
          <w:p w14:paraId="2109B75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0CCB9B11"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5A305FA2" w14:textId="77777777" w:rsidTr="00FD3DD2">
        <w:trPr>
          <w:trHeight w:val="91"/>
        </w:trPr>
        <w:tc>
          <w:tcPr>
            <w:tcW w:w="7230" w:type="dxa"/>
            <w:tcBorders>
              <w:top w:val="single" w:sz="4" w:space="0" w:color="auto"/>
            </w:tcBorders>
            <w:shd w:val="clear" w:color="auto" w:fill="auto"/>
            <w:vAlign w:val="center"/>
          </w:tcPr>
          <w:p w14:paraId="33CE7FE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value of innovative practices in the workplace.</w:t>
            </w:r>
          </w:p>
        </w:tc>
        <w:tc>
          <w:tcPr>
            <w:tcW w:w="1276" w:type="dxa"/>
            <w:tcBorders>
              <w:top w:val="single" w:sz="4" w:space="0" w:color="auto"/>
            </w:tcBorders>
            <w:shd w:val="clear" w:color="auto" w:fill="auto"/>
            <w:vAlign w:val="center"/>
          </w:tcPr>
          <w:p w14:paraId="140E980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4.35</w:t>
            </w:r>
          </w:p>
        </w:tc>
        <w:tc>
          <w:tcPr>
            <w:tcW w:w="877" w:type="dxa"/>
            <w:tcBorders>
              <w:top w:val="single" w:sz="4" w:space="0" w:color="auto"/>
            </w:tcBorders>
            <w:shd w:val="clear" w:color="auto" w:fill="auto"/>
            <w:vAlign w:val="center"/>
          </w:tcPr>
          <w:p w14:paraId="0EEAA10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BA7CF42" w14:textId="77777777" w:rsidTr="00FD3DD2">
        <w:trPr>
          <w:trHeight w:val="91"/>
        </w:trPr>
        <w:tc>
          <w:tcPr>
            <w:tcW w:w="7230" w:type="dxa"/>
            <w:shd w:val="clear" w:color="auto" w:fill="auto"/>
            <w:vAlign w:val="center"/>
          </w:tcPr>
          <w:p w14:paraId="0CD1BEB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maintain the environment conducive for learning and innovating.</w:t>
            </w:r>
          </w:p>
        </w:tc>
        <w:tc>
          <w:tcPr>
            <w:tcW w:w="1276" w:type="dxa"/>
            <w:shd w:val="clear" w:color="auto" w:fill="auto"/>
            <w:vAlign w:val="center"/>
          </w:tcPr>
          <w:p w14:paraId="658F40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43A2126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3411351" w14:textId="77777777" w:rsidTr="00FD3DD2">
        <w:trPr>
          <w:trHeight w:val="91"/>
        </w:trPr>
        <w:tc>
          <w:tcPr>
            <w:tcW w:w="7230" w:type="dxa"/>
            <w:shd w:val="clear" w:color="auto" w:fill="auto"/>
            <w:vAlign w:val="center"/>
          </w:tcPr>
          <w:p w14:paraId="2FC6DD6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need for innovation in own scope of work.</w:t>
            </w:r>
          </w:p>
        </w:tc>
        <w:tc>
          <w:tcPr>
            <w:tcW w:w="1276" w:type="dxa"/>
            <w:shd w:val="clear" w:color="auto" w:fill="auto"/>
            <w:vAlign w:val="center"/>
          </w:tcPr>
          <w:p w14:paraId="7B28D51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6883CC4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7782935" w14:textId="77777777" w:rsidTr="00FD3DD2">
        <w:trPr>
          <w:trHeight w:val="91"/>
        </w:trPr>
        <w:tc>
          <w:tcPr>
            <w:tcW w:w="7230" w:type="dxa"/>
            <w:shd w:val="clear" w:color="auto" w:fill="auto"/>
            <w:vAlign w:val="center"/>
          </w:tcPr>
          <w:p w14:paraId="128EDB80"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analyze the creative ideas of coworkers pertaining to work practices.</w:t>
            </w:r>
          </w:p>
        </w:tc>
        <w:tc>
          <w:tcPr>
            <w:tcW w:w="1276" w:type="dxa"/>
            <w:shd w:val="clear" w:color="auto" w:fill="auto"/>
            <w:vAlign w:val="center"/>
          </w:tcPr>
          <w:p w14:paraId="0D87858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2319950F"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FEFDAFB" w14:textId="77777777" w:rsidTr="00FD3DD2">
        <w:trPr>
          <w:trHeight w:val="91"/>
        </w:trPr>
        <w:tc>
          <w:tcPr>
            <w:tcW w:w="7230" w:type="dxa"/>
            <w:shd w:val="clear" w:color="auto" w:fill="auto"/>
            <w:vAlign w:val="center"/>
          </w:tcPr>
          <w:p w14:paraId="47D1980A"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apply creativity in innovation in one’s scope of work.</w:t>
            </w:r>
          </w:p>
        </w:tc>
        <w:tc>
          <w:tcPr>
            <w:tcW w:w="1276" w:type="dxa"/>
            <w:shd w:val="clear" w:color="auto" w:fill="auto"/>
            <w:vAlign w:val="center"/>
          </w:tcPr>
          <w:p w14:paraId="4EC2A3E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1C16C0D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8D3330F" w14:textId="77777777" w:rsidTr="00FD3DD2">
        <w:trPr>
          <w:trHeight w:val="91"/>
        </w:trPr>
        <w:tc>
          <w:tcPr>
            <w:tcW w:w="7230" w:type="dxa"/>
            <w:shd w:val="clear" w:color="auto" w:fill="auto"/>
            <w:vAlign w:val="center"/>
          </w:tcPr>
          <w:p w14:paraId="1FB0ACD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opportunities within the team to develop innovation.</w:t>
            </w:r>
          </w:p>
        </w:tc>
        <w:tc>
          <w:tcPr>
            <w:tcW w:w="1276" w:type="dxa"/>
            <w:shd w:val="clear" w:color="auto" w:fill="auto"/>
            <w:vAlign w:val="center"/>
          </w:tcPr>
          <w:p w14:paraId="57E3B64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55D3C90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4B657F9" w14:textId="77777777" w:rsidTr="00FD3DD2">
        <w:trPr>
          <w:trHeight w:val="91"/>
        </w:trPr>
        <w:tc>
          <w:tcPr>
            <w:tcW w:w="7230" w:type="dxa"/>
            <w:shd w:val="clear" w:color="auto" w:fill="auto"/>
            <w:vAlign w:val="center"/>
          </w:tcPr>
          <w:p w14:paraId="195A9E6B"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accomplish sharing of best practices using flexible and innovative ways of working.</w:t>
            </w:r>
          </w:p>
        </w:tc>
        <w:tc>
          <w:tcPr>
            <w:tcW w:w="1276" w:type="dxa"/>
            <w:shd w:val="clear" w:color="auto" w:fill="auto"/>
            <w:vAlign w:val="center"/>
          </w:tcPr>
          <w:p w14:paraId="447C2BC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6AA8B1B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04E4667" w14:textId="77777777" w:rsidTr="00FD3DD2">
        <w:trPr>
          <w:trHeight w:val="91"/>
        </w:trPr>
        <w:tc>
          <w:tcPr>
            <w:tcW w:w="7230" w:type="dxa"/>
            <w:shd w:val="clear" w:color="auto" w:fill="auto"/>
            <w:vAlign w:val="center"/>
          </w:tcPr>
          <w:p w14:paraId="4259E8E3"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reenforce individuals and key people to identify innovative ideas to achieve outcomes.</w:t>
            </w:r>
          </w:p>
        </w:tc>
        <w:tc>
          <w:tcPr>
            <w:tcW w:w="1276" w:type="dxa"/>
            <w:shd w:val="clear" w:color="auto" w:fill="auto"/>
            <w:vAlign w:val="center"/>
          </w:tcPr>
          <w:p w14:paraId="0E4828D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01540B9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67E295F" w14:textId="77777777" w:rsidTr="00FD3DD2">
        <w:trPr>
          <w:trHeight w:val="91"/>
        </w:trPr>
        <w:tc>
          <w:tcPr>
            <w:tcW w:w="7230" w:type="dxa"/>
            <w:tcBorders>
              <w:bottom w:val="single" w:sz="4" w:space="0" w:color="auto"/>
            </w:tcBorders>
            <w:shd w:val="clear" w:color="auto" w:fill="auto"/>
            <w:vAlign w:val="center"/>
          </w:tcPr>
          <w:p w14:paraId="25EF9205"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obstacles to progress in implementing flexible and innovative ways of working</w:t>
            </w:r>
          </w:p>
        </w:tc>
        <w:tc>
          <w:tcPr>
            <w:tcW w:w="1276" w:type="dxa"/>
            <w:tcBorders>
              <w:bottom w:val="single" w:sz="4" w:space="0" w:color="auto"/>
            </w:tcBorders>
            <w:shd w:val="clear" w:color="auto" w:fill="auto"/>
            <w:vAlign w:val="center"/>
          </w:tcPr>
          <w:p w14:paraId="72C19C6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tcBorders>
              <w:bottom w:val="single" w:sz="4" w:space="0" w:color="auto"/>
            </w:tcBorders>
            <w:shd w:val="clear" w:color="auto" w:fill="auto"/>
            <w:vAlign w:val="center"/>
          </w:tcPr>
          <w:p w14:paraId="089AD23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9FA8095" w14:textId="77777777" w:rsidTr="00783A7C">
        <w:trPr>
          <w:trHeight w:val="91"/>
        </w:trPr>
        <w:tc>
          <w:tcPr>
            <w:tcW w:w="7230" w:type="dxa"/>
            <w:tcBorders>
              <w:top w:val="single" w:sz="4" w:space="0" w:color="auto"/>
              <w:bottom w:val="single" w:sz="4" w:space="0" w:color="auto"/>
            </w:tcBorders>
            <w:shd w:val="clear" w:color="auto" w:fill="auto"/>
            <w:vAlign w:val="center"/>
          </w:tcPr>
          <w:p w14:paraId="2105E241"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9C588B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4.24</w:t>
            </w:r>
          </w:p>
        </w:tc>
        <w:tc>
          <w:tcPr>
            <w:tcW w:w="877" w:type="dxa"/>
            <w:tcBorders>
              <w:top w:val="single" w:sz="4" w:space="0" w:color="auto"/>
              <w:bottom w:val="single" w:sz="4" w:space="0" w:color="auto"/>
            </w:tcBorders>
            <w:shd w:val="clear" w:color="auto" w:fill="auto"/>
            <w:vAlign w:val="center"/>
          </w:tcPr>
          <w:p w14:paraId="2A19C72B"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52BCF749" w14:textId="77777777" w:rsidTr="00783A7C">
        <w:trPr>
          <w:trHeight w:val="91"/>
        </w:trPr>
        <w:tc>
          <w:tcPr>
            <w:tcW w:w="7230" w:type="dxa"/>
            <w:tcBorders>
              <w:top w:val="single" w:sz="4" w:space="0" w:color="auto"/>
              <w:bottom w:val="single" w:sz="4" w:space="0" w:color="auto"/>
            </w:tcBorders>
            <w:shd w:val="clear" w:color="auto" w:fill="auto"/>
            <w:vAlign w:val="center"/>
          </w:tcPr>
          <w:p w14:paraId="5A23A44D"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Information management</w:t>
            </w:r>
          </w:p>
        </w:tc>
        <w:tc>
          <w:tcPr>
            <w:tcW w:w="1276" w:type="dxa"/>
            <w:tcBorders>
              <w:top w:val="single" w:sz="4" w:space="0" w:color="auto"/>
              <w:bottom w:val="single" w:sz="4" w:space="0" w:color="auto"/>
            </w:tcBorders>
            <w:shd w:val="clear" w:color="auto" w:fill="auto"/>
            <w:vAlign w:val="center"/>
          </w:tcPr>
          <w:p w14:paraId="24630573"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05D4E0B3"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22A6D7AC" w14:textId="77777777" w:rsidTr="00FD3DD2">
        <w:trPr>
          <w:trHeight w:val="91"/>
        </w:trPr>
        <w:tc>
          <w:tcPr>
            <w:tcW w:w="7230" w:type="dxa"/>
            <w:tcBorders>
              <w:top w:val="single" w:sz="4" w:space="0" w:color="auto"/>
            </w:tcBorders>
            <w:shd w:val="clear" w:color="auto" w:fill="auto"/>
            <w:vAlign w:val="center"/>
          </w:tcPr>
          <w:p w14:paraId="3667979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required information based on requirements.</w:t>
            </w:r>
          </w:p>
        </w:tc>
        <w:tc>
          <w:tcPr>
            <w:tcW w:w="1276" w:type="dxa"/>
            <w:tcBorders>
              <w:top w:val="single" w:sz="4" w:space="0" w:color="auto"/>
            </w:tcBorders>
            <w:shd w:val="clear" w:color="auto" w:fill="auto"/>
            <w:vAlign w:val="center"/>
          </w:tcPr>
          <w:p w14:paraId="3F2E6CA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tcBorders>
              <w:top w:val="single" w:sz="4" w:space="0" w:color="auto"/>
            </w:tcBorders>
            <w:shd w:val="clear" w:color="auto" w:fill="auto"/>
            <w:vAlign w:val="center"/>
          </w:tcPr>
          <w:p w14:paraId="730BB189"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C8B649" w14:textId="77777777" w:rsidTr="00FD3DD2">
        <w:trPr>
          <w:trHeight w:val="91"/>
        </w:trPr>
        <w:tc>
          <w:tcPr>
            <w:tcW w:w="7230" w:type="dxa"/>
            <w:shd w:val="clear" w:color="auto" w:fill="auto"/>
            <w:vAlign w:val="center"/>
          </w:tcPr>
          <w:p w14:paraId="75ACA18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access the sources to produce required information.</w:t>
            </w:r>
          </w:p>
        </w:tc>
        <w:tc>
          <w:tcPr>
            <w:tcW w:w="1276" w:type="dxa"/>
            <w:shd w:val="clear" w:color="auto" w:fill="auto"/>
            <w:vAlign w:val="center"/>
          </w:tcPr>
          <w:p w14:paraId="7ABE5D4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740E9DC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59F8F1" w14:textId="77777777" w:rsidTr="00FD3DD2">
        <w:trPr>
          <w:trHeight w:val="91"/>
        </w:trPr>
        <w:tc>
          <w:tcPr>
            <w:tcW w:w="7230" w:type="dxa"/>
            <w:shd w:val="clear" w:color="auto" w:fill="auto"/>
            <w:vAlign w:val="center"/>
          </w:tcPr>
          <w:p w14:paraId="0205EF4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collect, organize and record report information.</w:t>
            </w:r>
          </w:p>
        </w:tc>
        <w:tc>
          <w:tcPr>
            <w:tcW w:w="1276" w:type="dxa"/>
            <w:shd w:val="clear" w:color="auto" w:fill="auto"/>
            <w:vAlign w:val="center"/>
          </w:tcPr>
          <w:p w14:paraId="38B8574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12F8D6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7003635" w14:textId="77777777" w:rsidTr="00FD3DD2">
        <w:trPr>
          <w:trHeight w:val="91"/>
        </w:trPr>
        <w:tc>
          <w:tcPr>
            <w:tcW w:w="7230" w:type="dxa"/>
            <w:shd w:val="clear" w:color="auto" w:fill="auto"/>
            <w:vAlign w:val="center"/>
          </w:tcPr>
          <w:p w14:paraId="69B0344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collect the organized information in a way that enables easy access and retrieval by other staff.</w:t>
            </w:r>
          </w:p>
        </w:tc>
        <w:tc>
          <w:tcPr>
            <w:tcW w:w="1276" w:type="dxa"/>
            <w:shd w:val="clear" w:color="auto" w:fill="auto"/>
            <w:vAlign w:val="center"/>
          </w:tcPr>
          <w:p w14:paraId="27D1817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2B5FD87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D5942CD" w14:textId="77777777" w:rsidTr="00FD3DD2">
        <w:trPr>
          <w:trHeight w:val="91"/>
        </w:trPr>
        <w:tc>
          <w:tcPr>
            <w:tcW w:w="7230" w:type="dxa"/>
            <w:shd w:val="clear" w:color="auto" w:fill="auto"/>
            <w:vAlign w:val="center"/>
          </w:tcPr>
          <w:p w14:paraId="7E2C5515"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engine in searching, finding and selecting appropriate information.</w:t>
            </w:r>
          </w:p>
        </w:tc>
        <w:tc>
          <w:tcPr>
            <w:tcW w:w="1276" w:type="dxa"/>
            <w:shd w:val="clear" w:color="auto" w:fill="auto"/>
            <w:vAlign w:val="center"/>
          </w:tcPr>
          <w:p w14:paraId="05C911E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0DC157F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B101CD0" w14:textId="77777777" w:rsidTr="00FD3DD2">
        <w:trPr>
          <w:trHeight w:val="91"/>
        </w:trPr>
        <w:tc>
          <w:tcPr>
            <w:tcW w:w="7230" w:type="dxa"/>
            <w:shd w:val="clear" w:color="auto" w:fill="auto"/>
            <w:vAlign w:val="center"/>
          </w:tcPr>
          <w:p w14:paraId="74648DA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suitable techniques to make it easier to find useful information and to pass it on to others</w:t>
            </w:r>
          </w:p>
        </w:tc>
        <w:tc>
          <w:tcPr>
            <w:tcW w:w="1276" w:type="dxa"/>
            <w:shd w:val="clear" w:color="auto" w:fill="auto"/>
            <w:vAlign w:val="center"/>
          </w:tcPr>
          <w:p w14:paraId="509B686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750139B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32F28FE" w14:textId="77777777" w:rsidTr="00FD3DD2">
        <w:trPr>
          <w:trHeight w:val="91"/>
        </w:trPr>
        <w:tc>
          <w:tcPr>
            <w:tcW w:w="7230" w:type="dxa"/>
            <w:shd w:val="clear" w:color="auto" w:fill="auto"/>
            <w:vAlign w:val="center"/>
          </w:tcPr>
          <w:p w14:paraId="442E30CD"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records where useful information came from.</w:t>
            </w:r>
          </w:p>
        </w:tc>
        <w:tc>
          <w:tcPr>
            <w:tcW w:w="1276" w:type="dxa"/>
            <w:shd w:val="clear" w:color="auto" w:fill="auto"/>
            <w:vAlign w:val="center"/>
          </w:tcPr>
          <w:p w14:paraId="3B130F2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538129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CFB9C79" w14:textId="77777777" w:rsidTr="00FD3DD2">
        <w:trPr>
          <w:trHeight w:val="91"/>
        </w:trPr>
        <w:tc>
          <w:tcPr>
            <w:tcW w:w="7230" w:type="dxa"/>
            <w:shd w:val="clear" w:color="auto" w:fill="auto"/>
            <w:vAlign w:val="center"/>
          </w:tcPr>
          <w:p w14:paraId="334459D6"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results for searches of useful information.</w:t>
            </w:r>
          </w:p>
        </w:tc>
        <w:tc>
          <w:tcPr>
            <w:tcW w:w="1276" w:type="dxa"/>
            <w:shd w:val="clear" w:color="auto" w:fill="auto"/>
            <w:vAlign w:val="center"/>
          </w:tcPr>
          <w:p w14:paraId="60373E1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42568A1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16DA1B3" w14:textId="77777777" w:rsidTr="00FD3DD2">
        <w:trPr>
          <w:trHeight w:val="91"/>
        </w:trPr>
        <w:tc>
          <w:tcPr>
            <w:tcW w:w="7230" w:type="dxa"/>
            <w:shd w:val="clear" w:color="auto" w:fill="auto"/>
            <w:vAlign w:val="center"/>
          </w:tcPr>
          <w:p w14:paraId="2BAE8FD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choose appropriately the search engine for the information that is needed.</w:t>
            </w:r>
          </w:p>
        </w:tc>
        <w:tc>
          <w:tcPr>
            <w:tcW w:w="1276" w:type="dxa"/>
            <w:shd w:val="clear" w:color="auto" w:fill="auto"/>
            <w:vAlign w:val="center"/>
          </w:tcPr>
          <w:p w14:paraId="62D0382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9078B0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373BDC0" w14:textId="77777777" w:rsidTr="00FD3DD2">
        <w:trPr>
          <w:trHeight w:val="91"/>
        </w:trPr>
        <w:tc>
          <w:tcPr>
            <w:tcW w:w="7230" w:type="dxa"/>
            <w:shd w:val="clear" w:color="auto" w:fill="auto"/>
            <w:vAlign w:val="center"/>
          </w:tcPr>
          <w:p w14:paraId="45E12A2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carry out searches as per requirements.</w:t>
            </w:r>
          </w:p>
        </w:tc>
        <w:tc>
          <w:tcPr>
            <w:tcW w:w="1276" w:type="dxa"/>
            <w:shd w:val="clear" w:color="auto" w:fill="auto"/>
            <w:vAlign w:val="center"/>
          </w:tcPr>
          <w:p w14:paraId="6A1B7AC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4.28</w:t>
            </w:r>
          </w:p>
        </w:tc>
        <w:tc>
          <w:tcPr>
            <w:tcW w:w="877" w:type="dxa"/>
            <w:shd w:val="clear" w:color="auto" w:fill="auto"/>
            <w:vAlign w:val="center"/>
          </w:tcPr>
          <w:p w14:paraId="3B42F9B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A92D24F" w14:textId="77777777" w:rsidTr="00FD3DD2">
        <w:trPr>
          <w:trHeight w:val="91"/>
        </w:trPr>
        <w:tc>
          <w:tcPr>
            <w:tcW w:w="7230" w:type="dxa"/>
            <w:shd w:val="clear" w:color="auto" w:fill="auto"/>
            <w:vAlign w:val="center"/>
          </w:tcPr>
          <w:p w14:paraId="5A432C6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evaluate information and its sources for relevance and validity to business and/or client requirements.</w:t>
            </w:r>
          </w:p>
        </w:tc>
        <w:tc>
          <w:tcPr>
            <w:tcW w:w="1276" w:type="dxa"/>
            <w:shd w:val="clear" w:color="auto" w:fill="auto"/>
            <w:vAlign w:val="center"/>
          </w:tcPr>
          <w:p w14:paraId="5E0BCB2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057D7F8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055BFB5" w14:textId="77777777" w:rsidTr="00FD3DD2">
        <w:trPr>
          <w:trHeight w:val="91"/>
        </w:trPr>
        <w:tc>
          <w:tcPr>
            <w:tcW w:w="7230" w:type="dxa"/>
            <w:shd w:val="clear" w:color="auto" w:fill="auto"/>
            <w:vAlign w:val="center"/>
          </w:tcPr>
          <w:p w14:paraId="2D9B003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examine the information as required to identify key issues.</w:t>
            </w:r>
          </w:p>
        </w:tc>
        <w:tc>
          <w:tcPr>
            <w:tcW w:w="1276" w:type="dxa"/>
            <w:shd w:val="clear" w:color="auto" w:fill="auto"/>
            <w:vAlign w:val="center"/>
          </w:tcPr>
          <w:p w14:paraId="2E64C7F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6B5894E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29EA6E3" w14:textId="77777777" w:rsidTr="00FD3DD2">
        <w:trPr>
          <w:trHeight w:val="91"/>
        </w:trPr>
        <w:tc>
          <w:tcPr>
            <w:tcW w:w="7230" w:type="dxa"/>
            <w:tcBorders>
              <w:bottom w:val="single" w:sz="4" w:space="0" w:color="auto"/>
            </w:tcBorders>
            <w:shd w:val="clear" w:color="auto" w:fill="auto"/>
            <w:vAlign w:val="center"/>
          </w:tcPr>
          <w:p w14:paraId="34A84F6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carry out detailed evaluation of information as required using relevant techniques including mathematical calculations.</w:t>
            </w:r>
          </w:p>
        </w:tc>
        <w:tc>
          <w:tcPr>
            <w:tcW w:w="1276" w:type="dxa"/>
            <w:tcBorders>
              <w:bottom w:val="single" w:sz="4" w:space="0" w:color="auto"/>
            </w:tcBorders>
            <w:shd w:val="clear" w:color="auto" w:fill="auto"/>
            <w:vAlign w:val="center"/>
          </w:tcPr>
          <w:p w14:paraId="37FB1BA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4.14</w:t>
            </w:r>
          </w:p>
        </w:tc>
        <w:tc>
          <w:tcPr>
            <w:tcW w:w="877" w:type="dxa"/>
            <w:tcBorders>
              <w:bottom w:val="single" w:sz="4" w:space="0" w:color="auto"/>
            </w:tcBorders>
            <w:shd w:val="clear" w:color="auto" w:fill="auto"/>
            <w:vAlign w:val="center"/>
          </w:tcPr>
          <w:p w14:paraId="3760AB7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29918B27" w14:textId="77777777" w:rsidTr="00783A7C">
        <w:trPr>
          <w:trHeight w:val="91"/>
        </w:trPr>
        <w:tc>
          <w:tcPr>
            <w:tcW w:w="7230" w:type="dxa"/>
            <w:tcBorders>
              <w:top w:val="single" w:sz="4" w:space="0" w:color="auto"/>
              <w:bottom w:val="single" w:sz="4" w:space="0" w:color="auto"/>
            </w:tcBorders>
            <w:shd w:val="clear" w:color="auto" w:fill="auto"/>
            <w:vAlign w:val="center"/>
          </w:tcPr>
          <w:p w14:paraId="6B74FDD9" w14:textId="77777777" w:rsidR="0022508F" w:rsidRPr="002F6DBB" w:rsidRDefault="0022508F" w:rsidP="002F6DBB">
            <w:pPr>
              <w:jc w:val="center"/>
              <w:rPr>
                <w:rFonts w:ascii="Arial" w:eastAsia="Times New Roman" w:hAnsi="Arial" w:cs="Arial"/>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023B4E32"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4.26</w:t>
            </w:r>
          </w:p>
        </w:tc>
        <w:tc>
          <w:tcPr>
            <w:tcW w:w="877" w:type="dxa"/>
            <w:tcBorders>
              <w:top w:val="single" w:sz="4" w:space="0" w:color="auto"/>
              <w:bottom w:val="single" w:sz="4" w:space="0" w:color="auto"/>
            </w:tcBorders>
            <w:shd w:val="clear" w:color="auto" w:fill="auto"/>
            <w:vAlign w:val="center"/>
          </w:tcPr>
          <w:p w14:paraId="3833780E"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3392C98C" w14:textId="77777777" w:rsidTr="00783A7C">
        <w:trPr>
          <w:trHeight w:val="91"/>
        </w:trPr>
        <w:tc>
          <w:tcPr>
            <w:tcW w:w="7230" w:type="dxa"/>
            <w:tcBorders>
              <w:top w:val="single" w:sz="4" w:space="0" w:color="auto"/>
              <w:bottom w:val="single" w:sz="4" w:space="0" w:color="auto"/>
            </w:tcBorders>
            <w:shd w:val="clear" w:color="auto" w:fill="auto"/>
            <w:vAlign w:val="center"/>
          </w:tcPr>
          <w:p w14:paraId="4F942E62"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Occupational safety and health</w:t>
            </w:r>
          </w:p>
        </w:tc>
        <w:tc>
          <w:tcPr>
            <w:tcW w:w="1276" w:type="dxa"/>
            <w:tcBorders>
              <w:top w:val="single" w:sz="4" w:space="0" w:color="auto"/>
              <w:bottom w:val="single" w:sz="4" w:space="0" w:color="auto"/>
            </w:tcBorders>
            <w:shd w:val="clear" w:color="auto" w:fill="auto"/>
            <w:vAlign w:val="center"/>
          </w:tcPr>
          <w:p w14:paraId="02C44FE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403B0745"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20975A83" w14:textId="77777777" w:rsidTr="00FD3DD2">
        <w:trPr>
          <w:trHeight w:val="91"/>
        </w:trPr>
        <w:tc>
          <w:tcPr>
            <w:tcW w:w="7230" w:type="dxa"/>
            <w:tcBorders>
              <w:top w:val="single" w:sz="4" w:space="0" w:color="auto"/>
            </w:tcBorders>
            <w:shd w:val="clear" w:color="auto" w:fill="auto"/>
            <w:vAlign w:val="center"/>
          </w:tcPr>
          <w:p w14:paraId="214AC46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related occupational safety and health risks and hazards based on OSH work standards</w:t>
            </w:r>
          </w:p>
        </w:tc>
        <w:tc>
          <w:tcPr>
            <w:tcW w:w="1276" w:type="dxa"/>
            <w:tcBorders>
              <w:top w:val="single" w:sz="4" w:space="0" w:color="auto"/>
            </w:tcBorders>
            <w:shd w:val="clear" w:color="auto" w:fill="auto"/>
            <w:vAlign w:val="center"/>
          </w:tcPr>
          <w:p w14:paraId="4C5E1E6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4.57</w:t>
            </w:r>
          </w:p>
        </w:tc>
        <w:tc>
          <w:tcPr>
            <w:tcW w:w="877" w:type="dxa"/>
            <w:tcBorders>
              <w:top w:val="single" w:sz="4" w:space="0" w:color="auto"/>
            </w:tcBorders>
            <w:shd w:val="clear" w:color="auto" w:fill="auto"/>
            <w:vAlign w:val="center"/>
          </w:tcPr>
          <w:p w14:paraId="51C2287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D5E6FED" w14:textId="77777777" w:rsidTr="00FD3DD2">
        <w:trPr>
          <w:trHeight w:val="91"/>
        </w:trPr>
        <w:tc>
          <w:tcPr>
            <w:tcW w:w="7230" w:type="dxa"/>
            <w:shd w:val="clear" w:color="auto" w:fill="auto"/>
            <w:vAlign w:val="center"/>
          </w:tcPr>
          <w:p w14:paraId="6978220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OSH requirements/regulations towards work in accordance to workplace policies and procedures.</w:t>
            </w:r>
          </w:p>
        </w:tc>
        <w:tc>
          <w:tcPr>
            <w:tcW w:w="1276" w:type="dxa"/>
            <w:shd w:val="clear" w:color="auto" w:fill="auto"/>
            <w:vAlign w:val="center"/>
          </w:tcPr>
          <w:p w14:paraId="40BEBA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4.52</w:t>
            </w:r>
          </w:p>
        </w:tc>
        <w:tc>
          <w:tcPr>
            <w:tcW w:w="877" w:type="dxa"/>
            <w:shd w:val="clear" w:color="auto" w:fill="auto"/>
            <w:vAlign w:val="center"/>
          </w:tcPr>
          <w:p w14:paraId="6FFD8ED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8C89702" w14:textId="77777777" w:rsidTr="00FD3DD2">
        <w:trPr>
          <w:trHeight w:val="91"/>
        </w:trPr>
        <w:tc>
          <w:tcPr>
            <w:tcW w:w="7230" w:type="dxa"/>
            <w:shd w:val="clear" w:color="auto" w:fill="auto"/>
            <w:vAlign w:val="center"/>
          </w:tcPr>
          <w:p w14:paraId="5AF8C76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lastRenderedPageBreak/>
              <w:t>I follow the OSH Work instructions in accordance with workplace policies and procedures.</w:t>
            </w:r>
          </w:p>
        </w:tc>
        <w:tc>
          <w:tcPr>
            <w:tcW w:w="1276" w:type="dxa"/>
            <w:shd w:val="clear" w:color="auto" w:fill="auto"/>
            <w:vAlign w:val="center"/>
          </w:tcPr>
          <w:p w14:paraId="1507122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4B4FA06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864262D" w14:textId="77777777" w:rsidTr="00FD3DD2">
        <w:trPr>
          <w:trHeight w:val="91"/>
        </w:trPr>
        <w:tc>
          <w:tcPr>
            <w:tcW w:w="7230" w:type="dxa"/>
            <w:shd w:val="clear" w:color="auto" w:fill="auto"/>
            <w:vAlign w:val="center"/>
          </w:tcPr>
          <w:p w14:paraId="5256058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incident/emergency procedures relevant to workplace based on relevant OSH work standards.</w:t>
            </w:r>
          </w:p>
        </w:tc>
        <w:tc>
          <w:tcPr>
            <w:tcW w:w="1276" w:type="dxa"/>
            <w:shd w:val="clear" w:color="auto" w:fill="auto"/>
            <w:vAlign w:val="center"/>
          </w:tcPr>
          <w:p w14:paraId="491F427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4F46C0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138DA3A" w14:textId="77777777" w:rsidTr="00FD3DD2">
        <w:trPr>
          <w:trHeight w:val="91"/>
        </w:trPr>
        <w:tc>
          <w:tcPr>
            <w:tcW w:w="7230" w:type="dxa"/>
            <w:shd w:val="clear" w:color="auto" w:fill="auto"/>
            <w:vAlign w:val="center"/>
          </w:tcPr>
          <w:p w14:paraId="651983A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execute the incident/emergency procedures based on OSH Procedures.</w:t>
            </w:r>
          </w:p>
        </w:tc>
        <w:tc>
          <w:tcPr>
            <w:tcW w:w="1276" w:type="dxa"/>
            <w:shd w:val="clear" w:color="auto" w:fill="auto"/>
            <w:vAlign w:val="center"/>
          </w:tcPr>
          <w:p w14:paraId="1EDBBE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6F1FC79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1EB2654" w14:textId="77777777" w:rsidTr="00FD3DD2">
        <w:trPr>
          <w:trHeight w:val="91"/>
        </w:trPr>
        <w:tc>
          <w:tcPr>
            <w:tcW w:w="7230" w:type="dxa"/>
            <w:shd w:val="clear" w:color="auto" w:fill="auto"/>
            <w:vAlign w:val="center"/>
          </w:tcPr>
          <w:p w14:paraId="6D18ABF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preventive Control Measures in accordance with OSH work standards.</w:t>
            </w:r>
          </w:p>
        </w:tc>
        <w:tc>
          <w:tcPr>
            <w:tcW w:w="1276" w:type="dxa"/>
            <w:shd w:val="clear" w:color="auto" w:fill="auto"/>
            <w:vAlign w:val="center"/>
          </w:tcPr>
          <w:p w14:paraId="668A658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6666698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45F6331" w14:textId="77777777" w:rsidTr="00FD3DD2">
        <w:trPr>
          <w:trHeight w:val="91"/>
        </w:trPr>
        <w:tc>
          <w:tcPr>
            <w:tcW w:w="7230" w:type="dxa"/>
            <w:shd w:val="clear" w:color="auto" w:fill="auto"/>
            <w:vAlign w:val="center"/>
          </w:tcPr>
          <w:p w14:paraId="352A2687"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check the safety devices in accordance with workplace OSH work standards</w:t>
            </w:r>
          </w:p>
        </w:tc>
        <w:tc>
          <w:tcPr>
            <w:tcW w:w="1276" w:type="dxa"/>
            <w:shd w:val="clear" w:color="auto" w:fill="auto"/>
            <w:vAlign w:val="center"/>
          </w:tcPr>
          <w:p w14:paraId="2D14E3D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15763F19"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54ECE9B" w14:textId="77777777" w:rsidTr="00FD3DD2">
        <w:trPr>
          <w:trHeight w:val="91"/>
        </w:trPr>
        <w:tc>
          <w:tcPr>
            <w:tcW w:w="7230" w:type="dxa"/>
            <w:shd w:val="clear" w:color="auto" w:fill="auto"/>
            <w:vAlign w:val="center"/>
          </w:tcPr>
          <w:p w14:paraId="0A6D4916"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obey the OSH requirements in accordance with workplace policies and procedures.</w:t>
            </w:r>
          </w:p>
        </w:tc>
        <w:tc>
          <w:tcPr>
            <w:tcW w:w="1276" w:type="dxa"/>
            <w:shd w:val="clear" w:color="auto" w:fill="auto"/>
            <w:vAlign w:val="center"/>
          </w:tcPr>
          <w:p w14:paraId="1D99954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27FFA44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F29A8F" w14:textId="77777777" w:rsidTr="00FD3DD2">
        <w:trPr>
          <w:trHeight w:val="91"/>
        </w:trPr>
        <w:tc>
          <w:tcPr>
            <w:tcW w:w="7230" w:type="dxa"/>
            <w:tcBorders>
              <w:bottom w:val="single" w:sz="4" w:space="0" w:color="auto"/>
            </w:tcBorders>
            <w:shd w:val="clear" w:color="auto" w:fill="auto"/>
            <w:vAlign w:val="center"/>
          </w:tcPr>
          <w:p w14:paraId="0B58BF5E"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utilize the personal protective equipment, materials, tools, machinery, and equipment according to OSH work standards.</w:t>
            </w:r>
          </w:p>
        </w:tc>
        <w:tc>
          <w:tcPr>
            <w:tcW w:w="1276" w:type="dxa"/>
            <w:tcBorders>
              <w:bottom w:val="single" w:sz="4" w:space="0" w:color="auto"/>
            </w:tcBorders>
            <w:shd w:val="clear" w:color="auto" w:fill="auto"/>
            <w:vAlign w:val="center"/>
          </w:tcPr>
          <w:p w14:paraId="66B22F5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4.47</w:t>
            </w:r>
          </w:p>
        </w:tc>
        <w:tc>
          <w:tcPr>
            <w:tcW w:w="877" w:type="dxa"/>
            <w:tcBorders>
              <w:bottom w:val="single" w:sz="4" w:space="0" w:color="auto"/>
            </w:tcBorders>
            <w:shd w:val="clear" w:color="auto" w:fill="auto"/>
            <w:vAlign w:val="center"/>
          </w:tcPr>
          <w:p w14:paraId="5CCE432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5866994" w14:textId="77777777" w:rsidTr="00783A7C">
        <w:trPr>
          <w:trHeight w:val="91"/>
        </w:trPr>
        <w:tc>
          <w:tcPr>
            <w:tcW w:w="7230" w:type="dxa"/>
            <w:tcBorders>
              <w:top w:val="single" w:sz="4" w:space="0" w:color="auto"/>
              <w:bottom w:val="single" w:sz="4" w:space="0" w:color="auto"/>
            </w:tcBorders>
            <w:shd w:val="clear" w:color="auto" w:fill="auto"/>
            <w:vAlign w:val="center"/>
          </w:tcPr>
          <w:p w14:paraId="49206206"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A5D669A"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4.50</w:t>
            </w:r>
          </w:p>
        </w:tc>
        <w:tc>
          <w:tcPr>
            <w:tcW w:w="877" w:type="dxa"/>
            <w:tcBorders>
              <w:top w:val="single" w:sz="4" w:space="0" w:color="auto"/>
              <w:bottom w:val="single" w:sz="4" w:space="0" w:color="auto"/>
            </w:tcBorders>
            <w:shd w:val="clear" w:color="auto" w:fill="auto"/>
            <w:vAlign w:val="center"/>
          </w:tcPr>
          <w:p w14:paraId="6C362DC2"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7D206583" w14:textId="77777777" w:rsidTr="00783A7C">
        <w:trPr>
          <w:trHeight w:val="91"/>
        </w:trPr>
        <w:tc>
          <w:tcPr>
            <w:tcW w:w="7230" w:type="dxa"/>
            <w:tcBorders>
              <w:top w:val="single" w:sz="4" w:space="0" w:color="auto"/>
              <w:bottom w:val="single" w:sz="4" w:space="0" w:color="auto"/>
            </w:tcBorders>
            <w:shd w:val="clear" w:color="auto" w:fill="auto"/>
            <w:vAlign w:val="center"/>
          </w:tcPr>
          <w:p w14:paraId="408D4794"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Environmental literacy</w:t>
            </w:r>
          </w:p>
        </w:tc>
        <w:tc>
          <w:tcPr>
            <w:tcW w:w="1276" w:type="dxa"/>
            <w:tcBorders>
              <w:top w:val="single" w:sz="4" w:space="0" w:color="auto"/>
              <w:bottom w:val="single" w:sz="4" w:space="0" w:color="auto"/>
            </w:tcBorders>
            <w:shd w:val="clear" w:color="auto" w:fill="auto"/>
            <w:vAlign w:val="center"/>
          </w:tcPr>
          <w:p w14:paraId="06FFD98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2047CA1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5FE89797" w14:textId="77777777" w:rsidTr="00FD3DD2">
        <w:trPr>
          <w:trHeight w:val="91"/>
        </w:trPr>
        <w:tc>
          <w:tcPr>
            <w:tcW w:w="7230" w:type="dxa"/>
            <w:tcBorders>
              <w:top w:val="single" w:sz="4" w:space="0" w:color="auto"/>
            </w:tcBorders>
            <w:shd w:val="clear" w:color="auto" w:fill="auto"/>
            <w:vAlign w:val="center"/>
          </w:tcPr>
          <w:p w14:paraId="5EE3434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related environmental hazards based on environmental work standards</w:t>
            </w:r>
          </w:p>
        </w:tc>
        <w:tc>
          <w:tcPr>
            <w:tcW w:w="1276" w:type="dxa"/>
            <w:tcBorders>
              <w:top w:val="single" w:sz="4" w:space="0" w:color="auto"/>
            </w:tcBorders>
            <w:shd w:val="clear" w:color="auto" w:fill="auto"/>
            <w:vAlign w:val="center"/>
          </w:tcPr>
          <w:p w14:paraId="4F99023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3BF5CDE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FF8A9EB" w14:textId="77777777" w:rsidTr="00FD3DD2">
        <w:trPr>
          <w:trHeight w:val="91"/>
        </w:trPr>
        <w:tc>
          <w:tcPr>
            <w:tcW w:w="7230" w:type="dxa"/>
            <w:shd w:val="clear" w:color="auto" w:fill="auto"/>
            <w:vAlign w:val="center"/>
          </w:tcPr>
          <w:p w14:paraId="790C6E0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interpret the environmental work standards in accordance to relevant policies</w:t>
            </w:r>
          </w:p>
        </w:tc>
        <w:tc>
          <w:tcPr>
            <w:tcW w:w="1276" w:type="dxa"/>
            <w:shd w:val="clear" w:color="auto" w:fill="auto"/>
            <w:vAlign w:val="center"/>
          </w:tcPr>
          <w:p w14:paraId="6CE6954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64FAAE2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7DFA489" w14:textId="77777777" w:rsidTr="00FD3DD2">
        <w:trPr>
          <w:trHeight w:val="91"/>
        </w:trPr>
        <w:tc>
          <w:tcPr>
            <w:tcW w:w="7230" w:type="dxa"/>
            <w:shd w:val="clear" w:color="auto" w:fill="auto"/>
            <w:vAlign w:val="center"/>
          </w:tcPr>
          <w:p w14:paraId="019B97B5"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prepare the required resources to minimize effect of environmental hazards based on relevant environmental work standards</w:t>
            </w:r>
          </w:p>
        </w:tc>
        <w:tc>
          <w:tcPr>
            <w:tcW w:w="1276" w:type="dxa"/>
            <w:shd w:val="clear" w:color="auto" w:fill="auto"/>
            <w:vAlign w:val="center"/>
          </w:tcPr>
          <w:p w14:paraId="4917ADA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2C6CE02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2D4B24E" w14:textId="77777777" w:rsidTr="00FD3DD2">
        <w:trPr>
          <w:trHeight w:val="91"/>
        </w:trPr>
        <w:tc>
          <w:tcPr>
            <w:tcW w:w="7230" w:type="dxa"/>
            <w:shd w:val="clear" w:color="auto" w:fill="auto"/>
            <w:vAlign w:val="center"/>
          </w:tcPr>
          <w:p w14:paraId="09B8055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practice environmental protection pre-cautionary activities based on environmental work procedures</w:t>
            </w:r>
          </w:p>
        </w:tc>
        <w:tc>
          <w:tcPr>
            <w:tcW w:w="1276" w:type="dxa"/>
            <w:shd w:val="clear" w:color="auto" w:fill="auto"/>
            <w:vAlign w:val="center"/>
          </w:tcPr>
          <w:p w14:paraId="73B1D82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08BF6D6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E4F286C" w14:textId="77777777" w:rsidTr="00FD3DD2">
        <w:trPr>
          <w:trHeight w:val="91"/>
        </w:trPr>
        <w:tc>
          <w:tcPr>
            <w:tcW w:w="7230" w:type="dxa"/>
            <w:shd w:val="clear" w:color="auto" w:fill="auto"/>
            <w:vAlign w:val="center"/>
          </w:tcPr>
          <w:p w14:paraId="24C9226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execute work activities in accordance with Environmental work Procedures</w:t>
            </w:r>
          </w:p>
        </w:tc>
        <w:tc>
          <w:tcPr>
            <w:tcW w:w="1276" w:type="dxa"/>
            <w:shd w:val="clear" w:color="auto" w:fill="auto"/>
            <w:vAlign w:val="center"/>
          </w:tcPr>
          <w:p w14:paraId="533A32A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7AB6B51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6D49186" w14:textId="77777777" w:rsidTr="00FD3DD2">
        <w:trPr>
          <w:trHeight w:val="91"/>
        </w:trPr>
        <w:tc>
          <w:tcPr>
            <w:tcW w:w="7230" w:type="dxa"/>
            <w:shd w:val="clear" w:color="auto" w:fill="auto"/>
            <w:vAlign w:val="center"/>
          </w:tcPr>
          <w:p w14:paraId="4DCEA00F"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accomplish the environmental Protection Post- Activities based on environmental work procedures</w:t>
            </w:r>
          </w:p>
        </w:tc>
        <w:tc>
          <w:tcPr>
            <w:tcW w:w="1276" w:type="dxa"/>
            <w:shd w:val="clear" w:color="auto" w:fill="auto"/>
            <w:vAlign w:val="center"/>
          </w:tcPr>
          <w:p w14:paraId="0ADF3DB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314F35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3660996" w14:textId="77777777" w:rsidTr="00FD3DD2">
        <w:trPr>
          <w:trHeight w:val="91"/>
        </w:trPr>
        <w:tc>
          <w:tcPr>
            <w:tcW w:w="7230" w:type="dxa"/>
            <w:shd w:val="clear" w:color="auto" w:fill="auto"/>
            <w:vAlign w:val="center"/>
          </w:tcPr>
          <w:p w14:paraId="63DFA60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utilize the required resources in accordance with workplace environmental policies</w:t>
            </w:r>
          </w:p>
        </w:tc>
        <w:tc>
          <w:tcPr>
            <w:tcW w:w="1276" w:type="dxa"/>
            <w:shd w:val="clear" w:color="auto" w:fill="auto"/>
            <w:vAlign w:val="center"/>
          </w:tcPr>
          <w:p w14:paraId="15F07CE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45F3C1F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85E4B4B" w14:textId="77777777" w:rsidTr="00FD3DD2">
        <w:trPr>
          <w:trHeight w:val="91"/>
        </w:trPr>
        <w:tc>
          <w:tcPr>
            <w:tcW w:w="7230" w:type="dxa"/>
            <w:shd w:val="clear" w:color="auto" w:fill="auto"/>
            <w:vAlign w:val="center"/>
          </w:tcPr>
          <w:p w14:paraId="6C8A90F0"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store the environmental hazardous and non- hazardous materials in accordance with environmental regulations</w:t>
            </w:r>
          </w:p>
        </w:tc>
        <w:tc>
          <w:tcPr>
            <w:tcW w:w="1276" w:type="dxa"/>
            <w:shd w:val="clear" w:color="auto" w:fill="auto"/>
            <w:vAlign w:val="center"/>
          </w:tcPr>
          <w:p w14:paraId="1AE732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32775E0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810DACF" w14:textId="77777777" w:rsidTr="00FD3DD2">
        <w:trPr>
          <w:trHeight w:val="91"/>
        </w:trPr>
        <w:tc>
          <w:tcPr>
            <w:tcW w:w="7230" w:type="dxa"/>
            <w:tcBorders>
              <w:bottom w:val="single" w:sz="4" w:space="0" w:color="auto"/>
            </w:tcBorders>
            <w:shd w:val="clear" w:color="auto" w:fill="auto"/>
            <w:vAlign w:val="center"/>
          </w:tcPr>
          <w:p w14:paraId="447B4A8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dispose the Hazardous and Non-hazardous Wastes according to environmental regulations</w:t>
            </w:r>
          </w:p>
        </w:tc>
        <w:tc>
          <w:tcPr>
            <w:tcW w:w="1276" w:type="dxa"/>
            <w:tcBorders>
              <w:bottom w:val="single" w:sz="4" w:space="0" w:color="auto"/>
            </w:tcBorders>
            <w:shd w:val="clear" w:color="auto" w:fill="auto"/>
            <w:vAlign w:val="center"/>
          </w:tcPr>
          <w:p w14:paraId="48E7AF9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tcBorders>
              <w:bottom w:val="single" w:sz="4" w:space="0" w:color="auto"/>
            </w:tcBorders>
            <w:shd w:val="clear" w:color="auto" w:fill="auto"/>
            <w:vAlign w:val="center"/>
          </w:tcPr>
          <w:p w14:paraId="7B47AEFB"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7C9A174" w14:textId="77777777" w:rsidTr="00783A7C">
        <w:trPr>
          <w:trHeight w:val="91"/>
        </w:trPr>
        <w:tc>
          <w:tcPr>
            <w:tcW w:w="7230" w:type="dxa"/>
            <w:tcBorders>
              <w:top w:val="single" w:sz="4" w:space="0" w:color="auto"/>
              <w:bottom w:val="single" w:sz="4" w:space="0" w:color="auto"/>
            </w:tcBorders>
            <w:shd w:val="clear" w:color="auto" w:fill="auto"/>
            <w:vAlign w:val="center"/>
          </w:tcPr>
          <w:p w14:paraId="09A6E1F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62384F85"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4.35</w:t>
            </w:r>
          </w:p>
        </w:tc>
        <w:tc>
          <w:tcPr>
            <w:tcW w:w="877" w:type="dxa"/>
            <w:tcBorders>
              <w:top w:val="single" w:sz="4" w:space="0" w:color="auto"/>
              <w:bottom w:val="single" w:sz="4" w:space="0" w:color="auto"/>
            </w:tcBorders>
            <w:shd w:val="clear" w:color="auto" w:fill="auto"/>
            <w:vAlign w:val="center"/>
          </w:tcPr>
          <w:p w14:paraId="254F8C64"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DB8DF69" w14:textId="77777777" w:rsidTr="00783A7C">
        <w:trPr>
          <w:trHeight w:val="91"/>
        </w:trPr>
        <w:tc>
          <w:tcPr>
            <w:tcW w:w="7230" w:type="dxa"/>
            <w:tcBorders>
              <w:top w:val="single" w:sz="4" w:space="0" w:color="auto"/>
              <w:bottom w:val="single" w:sz="4" w:space="0" w:color="auto"/>
            </w:tcBorders>
            <w:shd w:val="clear" w:color="auto" w:fill="auto"/>
            <w:vAlign w:val="center"/>
          </w:tcPr>
          <w:p w14:paraId="0D43EA23"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Entrepreneurial skills</w:t>
            </w:r>
          </w:p>
        </w:tc>
        <w:tc>
          <w:tcPr>
            <w:tcW w:w="1276" w:type="dxa"/>
            <w:tcBorders>
              <w:top w:val="single" w:sz="4" w:space="0" w:color="auto"/>
              <w:bottom w:val="single" w:sz="4" w:space="0" w:color="auto"/>
            </w:tcBorders>
            <w:shd w:val="clear" w:color="auto" w:fill="auto"/>
            <w:vAlign w:val="center"/>
          </w:tcPr>
          <w:p w14:paraId="0179F21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3E495118"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52EF9BBA" w14:textId="77777777" w:rsidTr="00FD3DD2">
        <w:trPr>
          <w:trHeight w:val="91"/>
        </w:trPr>
        <w:tc>
          <w:tcPr>
            <w:tcW w:w="7230" w:type="dxa"/>
            <w:tcBorders>
              <w:top w:val="single" w:sz="4" w:space="0" w:color="auto"/>
            </w:tcBorders>
            <w:shd w:val="clear" w:color="auto" w:fill="auto"/>
            <w:vAlign w:val="center"/>
          </w:tcPr>
          <w:p w14:paraId="585F8E58"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the entrepreneurial mindset in the workplace from enterprise practices and policies</w:t>
            </w:r>
          </w:p>
        </w:tc>
        <w:tc>
          <w:tcPr>
            <w:tcW w:w="1276" w:type="dxa"/>
            <w:tcBorders>
              <w:top w:val="single" w:sz="4" w:space="0" w:color="auto"/>
            </w:tcBorders>
            <w:shd w:val="clear" w:color="auto" w:fill="auto"/>
            <w:vAlign w:val="center"/>
          </w:tcPr>
          <w:p w14:paraId="64E49F9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4.33</w:t>
            </w:r>
          </w:p>
        </w:tc>
        <w:tc>
          <w:tcPr>
            <w:tcW w:w="877" w:type="dxa"/>
            <w:tcBorders>
              <w:top w:val="single" w:sz="4" w:space="0" w:color="auto"/>
            </w:tcBorders>
            <w:shd w:val="clear" w:color="auto" w:fill="auto"/>
            <w:vAlign w:val="center"/>
          </w:tcPr>
          <w:p w14:paraId="31CAFA4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514B92FF" w14:textId="77777777" w:rsidTr="00FD3DD2">
        <w:trPr>
          <w:trHeight w:val="91"/>
        </w:trPr>
        <w:tc>
          <w:tcPr>
            <w:tcW w:w="7230" w:type="dxa"/>
            <w:shd w:val="clear" w:color="auto" w:fill="auto"/>
            <w:vAlign w:val="center"/>
          </w:tcPr>
          <w:p w14:paraId="4D36220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study and affirm the entrepreneurial mindset in the workplace based on current enterprise practices</w:t>
            </w:r>
          </w:p>
        </w:tc>
        <w:tc>
          <w:tcPr>
            <w:tcW w:w="1276" w:type="dxa"/>
            <w:shd w:val="clear" w:color="auto" w:fill="auto"/>
            <w:vAlign w:val="center"/>
          </w:tcPr>
          <w:p w14:paraId="30C4899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7EDF22EB"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F00E921" w14:textId="77777777" w:rsidTr="00FD3DD2">
        <w:trPr>
          <w:trHeight w:val="91"/>
        </w:trPr>
        <w:tc>
          <w:tcPr>
            <w:tcW w:w="7230" w:type="dxa"/>
            <w:shd w:val="clear" w:color="auto" w:fill="auto"/>
            <w:vAlign w:val="center"/>
          </w:tcPr>
          <w:p w14:paraId="5B5323C4"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seek clarification from reliable sources regarding entrepreneurial mindset and corporate culture.</w:t>
            </w:r>
          </w:p>
        </w:tc>
        <w:tc>
          <w:tcPr>
            <w:tcW w:w="1276" w:type="dxa"/>
            <w:shd w:val="clear" w:color="auto" w:fill="auto"/>
            <w:vAlign w:val="center"/>
          </w:tcPr>
          <w:p w14:paraId="1F8FFBF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71C1B31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F84C1F5" w14:textId="77777777" w:rsidTr="00FD3DD2">
        <w:trPr>
          <w:trHeight w:val="91"/>
        </w:trPr>
        <w:tc>
          <w:tcPr>
            <w:tcW w:w="7230" w:type="dxa"/>
            <w:shd w:val="clear" w:color="auto" w:fill="auto"/>
            <w:vAlign w:val="center"/>
          </w:tcPr>
          <w:p w14:paraId="50FC540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the entrepreneurial practices based on enterprise requirements</w:t>
            </w:r>
          </w:p>
        </w:tc>
        <w:tc>
          <w:tcPr>
            <w:tcW w:w="1276" w:type="dxa"/>
            <w:shd w:val="clear" w:color="auto" w:fill="auto"/>
            <w:vAlign w:val="center"/>
          </w:tcPr>
          <w:p w14:paraId="7B31785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33E2D15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2944FB2" w14:textId="77777777" w:rsidTr="00FD3DD2">
        <w:trPr>
          <w:trHeight w:val="91"/>
        </w:trPr>
        <w:tc>
          <w:tcPr>
            <w:tcW w:w="7230" w:type="dxa"/>
            <w:shd w:val="clear" w:color="auto" w:fill="auto"/>
            <w:vAlign w:val="center"/>
          </w:tcPr>
          <w:p w14:paraId="431189F4"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perform the entrepreneurial practices following workplace and client requirements</w:t>
            </w:r>
          </w:p>
        </w:tc>
        <w:tc>
          <w:tcPr>
            <w:tcW w:w="1276" w:type="dxa"/>
            <w:shd w:val="clear" w:color="auto" w:fill="auto"/>
            <w:vAlign w:val="center"/>
          </w:tcPr>
          <w:p w14:paraId="12E6271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227661D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0B769E7" w14:textId="77777777" w:rsidTr="00FD3DD2">
        <w:trPr>
          <w:trHeight w:val="91"/>
        </w:trPr>
        <w:tc>
          <w:tcPr>
            <w:tcW w:w="7230" w:type="dxa"/>
            <w:tcBorders>
              <w:bottom w:val="single" w:sz="4" w:space="0" w:color="auto"/>
            </w:tcBorders>
            <w:shd w:val="clear" w:color="auto" w:fill="auto"/>
            <w:vAlign w:val="center"/>
          </w:tcPr>
          <w:p w14:paraId="7EC22A4A"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comply with the cost-effective measures with reference to workplace best practices</w:t>
            </w:r>
          </w:p>
        </w:tc>
        <w:tc>
          <w:tcPr>
            <w:tcW w:w="1276" w:type="dxa"/>
            <w:tcBorders>
              <w:bottom w:val="single" w:sz="4" w:space="0" w:color="auto"/>
            </w:tcBorders>
            <w:shd w:val="clear" w:color="auto" w:fill="auto"/>
            <w:vAlign w:val="center"/>
          </w:tcPr>
          <w:p w14:paraId="79DD55C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tcBorders>
              <w:bottom w:val="single" w:sz="4" w:space="0" w:color="auto"/>
            </w:tcBorders>
            <w:shd w:val="clear" w:color="auto" w:fill="auto"/>
            <w:vAlign w:val="center"/>
          </w:tcPr>
          <w:p w14:paraId="3B30F86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2B98EBE" w14:textId="77777777" w:rsidTr="00783A7C">
        <w:trPr>
          <w:trHeight w:val="91"/>
        </w:trPr>
        <w:tc>
          <w:tcPr>
            <w:tcW w:w="7230" w:type="dxa"/>
            <w:tcBorders>
              <w:top w:val="single" w:sz="4" w:space="0" w:color="auto"/>
              <w:bottom w:val="single" w:sz="4" w:space="0" w:color="auto"/>
            </w:tcBorders>
            <w:shd w:val="clear" w:color="auto" w:fill="auto"/>
            <w:vAlign w:val="center"/>
          </w:tcPr>
          <w:p w14:paraId="7766A9DE"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88F9984"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4.31</w:t>
            </w:r>
          </w:p>
        </w:tc>
        <w:tc>
          <w:tcPr>
            <w:tcW w:w="877" w:type="dxa"/>
            <w:tcBorders>
              <w:top w:val="single" w:sz="4" w:space="0" w:color="auto"/>
              <w:bottom w:val="single" w:sz="4" w:space="0" w:color="auto"/>
            </w:tcBorders>
            <w:shd w:val="clear" w:color="auto" w:fill="auto"/>
            <w:vAlign w:val="center"/>
          </w:tcPr>
          <w:p w14:paraId="78013E22"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5AD85FC5" w14:textId="77777777" w:rsidTr="00783A7C">
        <w:trPr>
          <w:trHeight w:val="91"/>
        </w:trPr>
        <w:tc>
          <w:tcPr>
            <w:tcW w:w="7230" w:type="dxa"/>
            <w:tcBorders>
              <w:top w:val="single" w:sz="4" w:space="0" w:color="auto"/>
              <w:bottom w:val="single" w:sz="4" w:space="0" w:color="auto"/>
            </w:tcBorders>
            <w:shd w:val="clear" w:color="auto" w:fill="auto"/>
            <w:vAlign w:val="center"/>
          </w:tcPr>
          <w:p w14:paraId="03A5FA8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Overall mean</w:t>
            </w:r>
          </w:p>
        </w:tc>
        <w:tc>
          <w:tcPr>
            <w:tcW w:w="1276" w:type="dxa"/>
            <w:tcBorders>
              <w:top w:val="single" w:sz="4" w:space="0" w:color="auto"/>
              <w:bottom w:val="single" w:sz="4" w:space="0" w:color="auto"/>
            </w:tcBorders>
            <w:shd w:val="clear" w:color="auto" w:fill="auto"/>
            <w:vAlign w:val="center"/>
          </w:tcPr>
          <w:p w14:paraId="1189997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4.29</w:t>
            </w:r>
          </w:p>
        </w:tc>
        <w:tc>
          <w:tcPr>
            <w:tcW w:w="877" w:type="dxa"/>
            <w:tcBorders>
              <w:top w:val="single" w:sz="4" w:space="0" w:color="auto"/>
              <w:bottom w:val="single" w:sz="4" w:space="0" w:color="auto"/>
            </w:tcBorders>
            <w:shd w:val="clear" w:color="auto" w:fill="auto"/>
            <w:vAlign w:val="center"/>
          </w:tcPr>
          <w:p w14:paraId="66D0299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bl>
    <w:p w14:paraId="39DEE135" w14:textId="77777777" w:rsidR="0022508F" w:rsidRPr="002F6DBB" w:rsidRDefault="0022508F" w:rsidP="002F6DBB">
      <w:pPr>
        <w:tabs>
          <w:tab w:val="left" w:pos="2159"/>
        </w:tabs>
        <w:rPr>
          <w:rFonts w:ascii="Arial" w:hAnsi="Arial" w:cs="Arial"/>
          <w:i/>
          <w:iCs/>
          <w:color w:val="000000" w:themeColor="text1"/>
          <w:spacing w:val="-2"/>
          <w:sz w:val="20"/>
          <w:szCs w:val="20"/>
        </w:rPr>
      </w:pPr>
      <w:r w:rsidRPr="002F6DBB">
        <w:rPr>
          <w:rFonts w:ascii="Arial" w:hAnsi="Arial" w:cs="Arial"/>
          <w:i/>
          <w:iCs/>
          <w:color w:val="000000" w:themeColor="text1"/>
          <w:spacing w:val="-2"/>
          <w:sz w:val="20"/>
          <w:szCs w:val="20"/>
        </w:rPr>
        <w:t>Legend:</w:t>
      </w:r>
    </w:p>
    <w:p w14:paraId="36728386"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4.20-5.00</w:t>
      </w:r>
      <w:r w:rsidRPr="002F6DBB">
        <w:rPr>
          <w:rFonts w:ascii="Arial" w:hAnsi="Arial" w:cs="Arial"/>
          <w:i/>
          <w:iCs/>
          <w:color w:val="000000" w:themeColor="text1"/>
          <w:sz w:val="20"/>
          <w:szCs w:val="20"/>
        </w:rPr>
        <w:tab/>
        <w:t>very highly competent (VHC)</w:t>
      </w:r>
    </w:p>
    <w:p w14:paraId="622C7A47"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3.40-4.19</w:t>
      </w:r>
      <w:r w:rsidRPr="002F6DBB">
        <w:rPr>
          <w:rFonts w:ascii="Arial" w:hAnsi="Arial" w:cs="Arial"/>
          <w:i/>
          <w:iCs/>
          <w:color w:val="000000" w:themeColor="text1"/>
          <w:sz w:val="20"/>
          <w:szCs w:val="20"/>
        </w:rPr>
        <w:tab/>
        <w:t>highly competent (HC)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5F5BE463"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2.60-3.39</w:t>
      </w:r>
      <w:r w:rsidRPr="002F6DBB">
        <w:rPr>
          <w:rFonts w:ascii="Arial" w:hAnsi="Arial" w:cs="Arial"/>
          <w:i/>
          <w:iCs/>
          <w:color w:val="000000" w:themeColor="text1"/>
          <w:sz w:val="20"/>
          <w:szCs w:val="20"/>
        </w:rPr>
        <w:tab/>
        <w:t>moderately competent (MC)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635587B3"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1.80-2.59</w:t>
      </w:r>
      <w:r w:rsidRPr="002F6DBB">
        <w:rPr>
          <w:rFonts w:ascii="Arial" w:hAnsi="Arial" w:cs="Arial"/>
          <w:i/>
          <w:iCs/>
          <w:color w:val="000000" w:themeColor="text1"/>
          <w:sz w:val="20"/>
          <w:szCs w:val="20"/>
        </w:rPr>
        <w:tab/>
        <w:t>fairly competent (FC)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6343C0C8"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1.00-1.79</w:t>
      </w:r>
      <w:r w:rsidRPr="002F6DBB">
        <w:rPr>
          <w:rFonts w:ascii="Arial" w:hAnsi="Arial" w:cs="Arial"/>
          <w:i/>
          <w:iCs/>
          <w:color w:val="000000" w:themeColor="text1"/>
          <w:sz w:val="20"/>
          <w:szCs w:val="20"/>
        </w:rPr>
        <w:tab/>
        <w:t>not competent (NC)</w:t>
      </w:r>
    </w:p>
    <w:p w14:paraId="3947A1EE" w14:textId="77777777" w:rsidR="0022508F" w:rsidRPr="002F6DBB" w:rsidRDefault="0022508F" w:rsidP="002F6DBB">
      <w:pPr>
        <w:tabs>
          <w:tab w:val="left" w:pos="2159"/>
        </w:tabs>
        <w:jc w:val="both"/>
        <w:rPr>
          <w:rFonts w:ascii="Arial" w:hAnsi="Arial" w:cs="Arial"/>
          <w:color w:val="000000" w:themeColor="text1"/>
          <w:sz w:val="20"/>
          <w:szCs w:val="20"/>
        </w:rPr>
      </w:pPr>
    </w:p>
    <w:p w14:paraId="0C1C092C" w14:textId="77777777" w:rsidR="0022508F" w:rsidRPr="002F6DBB" w:rsidRDefault="0022508F" w:rsidP="002F6DBB">
      <w:pPr>
        <w:tabs>
          <w:tab w:val="left" w:pos="2159"/>
        </w:tabs>
        <w:jc w:val="both"/>
        <w:rPr>
          <w:rFonts w:ascii="Arial" w:hAnsi="Arial" w:cs="Arial"/>
          <w:color w:val="000000" w:themeColor="text1"/>
          <w:sz w:val="20"/>
          <w:szCs w:val="20"/>
        </w:rPr>
      </w:pPr>
    </w:p>
    <w:p w14:paraId="2A988B11" w14:textId="77777777" w:rsidR="00FD3DD2" w:rsidRPr="002F6DBB" w:rsidRDefault="00FD3DD2" w:rsidP="002F6DBB">
      <w:pPr>
        <w:tabs>
          <w:tab w:val="left" w:pos="1080"/>
        </w:tabs>
        <w:ind w:right="1437"/>
        <w:jc w:val="both"/>
        <w:rPr>
          <w:rFonts w:ascii="Arial" w:hAnsi="Arial" w:cs="Arial"/>
          <w:b/>
          <w:bCs/>
          <w:color w:val="000000" w:themeColor="text1"/>
          <w:sz w:val="22"/>
          <w:szCs w:val="22"/>
          <w:u w:val="single"/>
        </w:rPr>
      </w:pPr>
      <w:r w:rsidRPr="002F6DBB">
        <w:rPr>
          <w:rFonts w:ascii="Arial" w:hAnsi="Arial" w:cs="Arial"/>
          <w:b/>
          <w:bCs/>
          <w:color w:val="000000" w:themeColor="text1"/>
          <w:sz w:val="22"/>
          <w:szCs w:val="22"/>
          <w:u w:val="single"/>
        </w:rPr>
        <w:t xml:space="preserve">Performance of TLE Teachers </w:t>
      </w:r>
    </w:p>
    <w:p w14:paraId="391BD9DA"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lastRenderedPageBreak/>
        <w:t>Table 2 shows the performance ratings of Technology and Livelihood Education (TLE) teachers based on recent performance evaluation data. Out of 170 teachers, 154 (or 90%) received an "Outstanding" rating, while the remaining 16 (or 10%) were rated "Very Satisfactory." This means that all TLE teachers in the Division are performing at either the highest or second-highest level on the rating scale, with no one falling below expectations.</w:t>
      </w:r>
    </w:p>
    <w:p w14:paraId="7C814F64" w14:textId="77777777" w:rsidR="00F66DB8" w:rsidRPr="002F6DBB" w:rsidRDefault="00F66DB8" w:rsidP="002F6DBB">
      <w:pPr>
        <w:tabs>
          <w:tab w:val="left" w:pos="2159"/>
        </w:tabs>
        <w:jc w:val="both"/>
        <w:rPr>
          <w:rFonts w:ascii="Arial" w:hAnsi="Arial" w:cs="Arial"/>
          <w:color w:val="000000" w:themeColor="text1"/>
          <w:sz w:val="20"/>
          <w:szCs w:val="20"/>
        </w:rPr>
      </w:pPr>
    </w:p>
    <w:p w14:paraId="07CFAF4F"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This strong performance profile is indicative of a highly competent teaching workforce. The predominance of Outstanding ratings reflects that the majority of TLE teachers are excelling in critical areas such as instructional planning, classroom delivery, assessment of learning, and learner engagement. It also suggests that these teachers demonstrate a high level of professionalism, subject mastery, and alignment with institutional goals.</w:t>
      </w:r>
    </w:p>
    <w:p w14:paraId="45852677" w14:textId="77777777" w:rsidR="00F66DB8" w:rsidRPr="002F6DBB" w:rsidRDefault="00F66DB8" w:rsidP="002F6DBB">
      <w:pPr>
        <w:tabs>
          <w:tab w:val="left" w:pos="2159"/>
        </w:tabs>
        <w:jc w:val="both"/>
        <w:rPr>
          <w:rFonts w:ascii="Arial" w:hAnsi="Arial" w:cs="Arial"/>
          <w:color w:val="000000" w:themeColor="text1"/>
          <w:sz w:val="20"/>
          <w:szCs w:val="20"/>
        </w:rPr>
      </w:pPr>
    </w:p>
    <w:p w14:paraId="202188FC"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When analyzed in relation to their self-reported competencies in 21st-century skills (as seen in Table 1), these performance ratings further validate their high level of preparedness and effectiveness in implementing technical-vocational instruction. Their strengths in communication, collaboration, occupational safety, and environmental literacy appear to translate into high-quality teaching outcomes, as recognized by performance evaluators.</w:t>
      </w:r>
    </w:p>
    <w:p w14:paraId="4190F8A6" w14:textId="77777777" w:rsidR="00F66DB8" w:rsidRPr="002F6DBB" w:rsidRDefault="00F66DB8" w:rsidP="002F6DBB">
      <w:pPr>
        <w:tabs>
          <w:tab w:val="left" w:pos="2159"/>
        </w:tabs>
        <w:jc w:val="both"/>
        <w:rPr>
          <w:rFonts w:ascii="Arial" w:hAnsi="Arial" w:cs="Arial"/>
          <w:color w:val="000000" w:themeColor="text1"/>
          <w:sz w:val="20"/>
          <w:szCs w:val="20"/>
        </w:rPr>
      </w:pPr>
    </w:p>
    <w:p w14:paraId="719FCE9F" w14:textId="77777777" w:rsidR="00FD3DD2"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However, while the results are highly commendable, the data also mean a need for ongoing support mechanisms such as differentiated professional development, peer mentoring, and leadership opportunities to maintain and elevate performance standards. Continuous learning interventions, particularly in areas with relatively lower competency scores—such as critical thinking, innovation, and learning theory application—will help sustain this level of excellence and address any hidden performance gaps that may not be captured in quantitative ratings alone.</w:t>
      </w:r>
    </w:p>
    <w:p w14:paraId="1AC68D32" w14:textId="77777777" w:rsidR="00AF6AC8" w:rsidRPr="002F6DBB" w:rsidRDefault="00AF6AC8" w:rsidP="002F6DBB">
      <w:pPr>
        <w:tabs>
          <w:tab w:val="left" w:pos="2159"/>
        </w:tabs>
        <w:jc w:val="both"/>
        <w:rPr>
          <w:rFonts w:ascii="Arial" w:hAnsi="Arial" w:cs="Arial"/>
          <w:color w:val="000000" w:themeColor="text1"/>
          <w:sz w:val="20"/>
          <w:szCs w:val="20"/>
        </w:rPr>
      </w:pPr>
    </w:p>
    <w:p w14:paraId="4E236C23" w14:textId="77777777" w:rsidR="00FD3DD2" w:rsidRPr="002F6DBB" w:rsidRDefault="00FD3DD2" w:rsidP="002F6DBB">
      <w:pPr>
        <w:pStyle w:val="BodyText"/>
        <w:rPr>
          <w:rFonts w:ascii="Arial" w:hAnsi="Arial" w:cs="Arial"/>
          <w:b/>
          <w:bCs/>
          <w:color w:val="000000" w:themeColor="text1"/>
          <w:sz w:val="20"/>
          <w:szCs w:val="20"/>
        </w:rPr>
      </w:pPr>
      <w:r w:rsidRPr="002F6DBB">
        <w:rPr>
          <w:rFonts w:ascii="Arial" w:hAnsi="Arial" w:cs="Arial"/>
          <w:b/>
          <w:bCs/>
          <w:color w:val="000000" w:themeColor="text1"/>
          <w:sz w:val="20"/>
          <w:szCs w:val="20"/>
        </w:rPr>
        <w:t>Table 2. Performance of TLE Teachers</w:t>
      </w:r>
    </w:p>
    <w:tbl>
      <w:tblPr>
        <w:tblW w:w="7073" w:type="dxa"/>
        <w:tblLook w:val="04A0" w:firstRow="1" w:lastRow="0" w:firstColumn="1" w:lastColumn="0" w:noHBand="0" w:noVBand="1"/>
      </w:tblPr>
      <w:tblGrid>
        <w:gridCol w:w="4820"/>
        <w:gridCol w:w="1261"/>
        <w:gridCol w:w="992"/>
      </w:tblGrid>
      <w:tr w:rsidR="00FD3DD2" w:rsidRPr="002F6DBB" w14:paraId="36372DF8" w14:textId="77777777" w:rsidTr="00FD3DD2">
        <w:trPr>
          <w:trHeight w:val="312"/>
        </w:trPr>
        <w:tc>
          <w:tcPr>
            <w:tcW w:w="4820" w:type="dxa"/>
            <w:tcBorders>
              <w:top w:val="single" w:sz="4" w:space="0" w:color="auto"/>
              <w:bottom w:val="single" w:sz="4" w:space="0" w:color="auto"/>
            </w:tcBorders>
            <w:shd w:val="clear" w:color="auto" w:fill="auto"/>
            <w:noWrap/>
            <w:hideMark/>
          </w:tcPr>
          <w:p w14:paraId="3FF864AA"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Performance of TLE Teachers</w:t>
            </w:r>
          </w:p>
        </w:tc>
        <w:tc>
          <w:tcPr>
            <w:tcW w:w="1261" w:type="dxa"/>
            <w:tcBorders>
              <w:top w:val="single" w:sz="4" w:space="0" w:color="auto"/>
              <w:bottom w:val="single" w:sz="4" w:space="0" w:color="auto"/>
            </w:tcBorders>
            <w:shd w:val="clear" w:color="auto" w:fill="auto"/>
            <w:noWrap/>
            <w:vAlign w:val="center"/>
            <w:hideMark/>
          </w:tcPr>
          <w:p w14:paraId="373AA174"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Frequency</w:t>
            </w:r>
          </w:p>
        </w:tc>
        <w:tc>
          <w:tcPr>
            <w:tcW w:w="992" w:type="dxa"/>
            <w:tcBorders>
              <w:top w:val="single" w:sz="4" w:space="0" w:color="auto"/>
              <w:bottom w:val="single" w:sz="4" w:space="0" w:color="auto"/>
            </w:tcBorders>
            <w:shd w:val="clear" w:color="auto" w:fill="auto"/>
            <w:noWrap/>
            <w:vAlign w:val="center"/>
            <w:hideMark/>
          </w:tcPr>
          <w:p w14:paraId="5F50B4DB"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Percent</w:t>
            </w:r>
          </w:p>
        </w:tc>
      </w:tr>
      <w:tr w:rsidR="00FD3DD2" w:rsidRPr="002F6DBB" w14:paraId="4A940964" w14:textId="77777777" w:rsidTr="00FD3DD2">
        <w:trPr>
          <w:trHeight w:val="312"/>
        </w:trPr>
        <w:tc>
          <w:tcPr>
            <w:tcW w:w="4820" w:type="dxa"/>
            <w:tcBorders>
              <w:top w:val="single" w:sz="4" w:space="0" w:color="auto"/>
            </w:tcBorders>
            <w:shd w:val="clear" w:color="auto" w:fill="auto"/>
            <w:noWrap/>
            <w:hideMark/>
          </w:tcPr>
          <w:p w14:paraId="7DEB58F5" w14:textId="77777777" w:rsidR="00FD3DD2" w:rsidRPr="002F6DBB" w:rsidRDefault="00FD3DD2" w:rsidP="002F6DBB">
            <w:pP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 xml:space="preserve">Outstanding  </w:t>
            </w:r>
          </w:p>
        </w:tc>
        <w:tc>
          <w:tcPr>
            <w:tcW w:w="1261" w:type="dxa"/>
            <w:tcBorders>
              <w:top w:val="single" w:sz="4" w:space="0" w:color="auto"/>
            </w:tcBorders>
            <w:shd w:val="clear" w:color="auto" w:fill="auto"/>
            <w:noWrap/>
            <w:hideMark/>
          </w:tcPr>
          <w:p w14:paraId="48C0B55A" w14:textId="77777777" w:rsidR="00FD3DD2" w:rsidRPr="002F6DBB" w:rsidRDefault="00FD3DD2"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154</w:t>
            </w:r>
          </w:p>
        </w:tc>
        <w:tc>
          <w:tcPr>
            <w:tcW w:w="992" w:type="dxa"/>
            <w:tcBorders>
              <w:top w:val="single" w:sz="4" w:space="0" w:color="auto"/>
            </w:tcBorders>
            <w:shd w:val="clear" w:color="auto" w:fill="auto"/>
            <w:noWrap/>
            <w:vAlign w:val="bottom"/>
            <w:hideMark/>
          </w:tcPr>
          <w:p w14:paraId="23FA0B66" w14:textId="77777777" w:rsidR="00FD3DD2" w:rsidRPr="002F6DBB" w:rsidRDefault="00FD3DD2"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90</w:t>
            </w:r>
          </w:p>
        </w:tc>
      </w:tr>
      <w:tr w:rsidR="00FD3DD2" w:rsidRPr="002F6DBB" w14:paraId="4C9403FE" w14:textId="77777777" w:rsidTr="00FD3DD2">
        <w:trPr>
          <w:trHeight w:val="312"/>
        </w:trPr>
        <w:tc>
          <w:tcPr>
            <w:tcW w:w="4820" w:type="dxa"/>
            <w:tcBorders>
              <w:bottom w:val="single" w:sz="4" w:space="0" w:color="auto"/>
            </w:tcBorders>
            <w:shd w:val="clear" w:color="auto" w:fill="auto"/>
            <w:noWrap/>
            <w:hideMark/>
          </w:tcPr>
          <w:p w14:paraId="2C392A28" w14:textId="77777777" w:rsidR="00FD3DD2" w:rsidRPr="002F6DBB" w:rsidRDefault="00FD3DD2" w:rsidP="002F6DBB">
            <w:pP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 xml:space="preserve">Very Satisfactory </w:t>
            </w:r>
          </w:p>
        </w:tc>
        <w:tc>
          <w:tcPr>
            <w:tcW w:w="1261" w:type="dxa"/>
            <w:tcBorders>
              <w:bottom w:val="single" w:sz="4" w:space="0" w:color="auto"/>
            </w:tcBorders>
            <w:shd w:val="clear" w:color="auto" w:fill="auto"/>
            <w:noWrap/>
            <w:hideMark/>
          </w:tcPr>
          <w:p w14:paraId="2812F86E" w14:textId="77777777" w:rsidR="00FD3DD2" w:rsidRPr="002F6DBB" w:rsidRDefault="00FD3DD2"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16</w:t>
            </w:r>
          </w:p>
        </w:tc>
        <w:tc>
          <w:tcPr>
            <w:tcW w:w="992" w:type="dxa"/>
            <w:tcBorders>
              <w:bottom w:val="single" w:sz="4" w:space="0" w:color="auto"/>
            </w:tcBorders>
            <w:shd w:val="clear" w:color="auto" w:fill="auto"/>
            <w:noWrap/>
            <w:vAlign w:val="bottom"/>
            <w:hideMark/>
          </w:tcPr>
          <w:p w14:paraId="7AD15AC4" w14:textId="77777777" w:rsidR="00FD3DD2" w:rsidRPr="002F6DBB" w:rsidRDefault="00FD3DD2"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10</w:t>
            </w:r>
          </w:p>
        </w:tc>
      </w:tr>
      <w:tr w:rsidR="00FD3DD2" w:rsidRPr="002F6DBB" w14:paraId="36C0C58E" w14:textId="77777777" w:rsidTr="00FD3DD2">
        <w:trPr>
          <w:trHeight w:val="312"/>
        </w:trPr>
        <w:tc>
          <w:tcPr>
            <w:tcW w:w="4820" w:type="dxa"/>
            <w:tcBorders>
              <w:top w:val="single" w:sz="4" w:space="0" w:color="auto"/>
              <w:bottom w:val="single" w:sz="4" w:space="0" w:color="auto"/>
            </w:tcBorders>
            <w:shd w:val="clear" w:color="auto" w:fill="auto"/>
            <w:noWrap/>
            <w:vAlign w:val="bottom"/>
            <w:hideMark/>
          </w:tcPr>
          <w:p w14:paraId="656A0B9A" w14:textId="77777777" w:rsidR="00FD3DD2" w:rsidRPr="002F6DBB" w:rsidRDefault="00FD3DD2"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Total</w:t>
            </w:r>
          </w:p>
        </w:tc>
        <w:tc>
          <w:tcPr>
            <w:tcW w:w="1261" w:type="dxa"/>
            <w:tcBorders>
              <w:top w:val="single" w:sz="4" w:space="0" w:color="auto"/>
              <w:bottom w:val="single" w:sz="4" w:space="0" w:color="auto"/>
            </w:tcBorders>
            <w:shd w:val="clear" w:color="auto" w:fill="auto"/>
            <w:noWrap/>
            <w:hideMark/>
          </w:tcPr>
          <w:p w14:paraId="304BF51A" w14:textId="77777777" w:rsidR="00FD3DD2" w:rsidRPr="002F6DBB" w:rsidRDefault="00FD3DD2"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170</w:t>
            </w:r>
          </w:p>
        </w:tc>
        <w:tc>
          <w:tcPr>
            <w:tcW w:w="992" w:type="dxa"/>
            <w:tcBorders>
              <w:top w:val="single" w:sz="4" w:space="0" w:color="auto"/>
              <w:bottom w:val="single" w:sz="4" w:space="0" w:color="auto"/>
            </w:tcBorders>
            <w:shd w:val="clear" w:color="auto" w:fill="auto"/>
            <w:noWrap/>
            <w:vAlign w:val="bottom"/>
            <w:hideMark/>
          </w:tcPr>
          <w:p w14:paraId="6D06BE55"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100</w:t>
            </w:r>
          </w:p>
        </w:tc>
      </w:tr>
    </w:tbl>
    <w:p w14:paraId="1C67AA09" w14:textId="77777777" w:rsidR="0022508F" w:rsidRPr="002F6DBB" w:rsidRDefault="0022508F" w:rsidP="002F6DBB">
      <w:pPr>
        <w:tabs>
          <w:tab w:val="left" w:pos="2159"/>
        </w:tabs>
        <w:jc w:val="both"/>
        <w:rPr>
          <w:rFonts w:ascii="Arial" w:hAnsi="Arial" w:cs="Arial"/>
          <w:color w:val="000000" w:themeColor="text1"/>
          <w:sz w:val="20"/>
          <w:szCs w:val="20"/>
        </w:rPr>
      </w:pPr>
    </w:p>
    <w:p w14:paraId="4FF2DFC1" w14:textId="77777777" w:rsidR="0022508F" w:rsidRPr="002F6DBB" w:rsidRDefault="0022508F" w:rsidP="002F6DBB">
      <w:pPr>
        <w:tabs>
          <w:tab w:val="left" w:pos="2159"/>
        </w:tabs>
        <w:jc w:val="both"/>
        <w:rPr>
          <w:rFonts w:ascii="Arial" w:hAnsi="Arial" w:cs="Arial"/>
          <w:color w:val="000000" w:themeColor="text1"/>
          <w:sz w:val="20"/>
          <w:szCs w:val="20"/>
        </w:rPr>
      </w:pPr>
    </w:p>
    <w:p w14:paraId="337EC9B4" w14:textId="77777777" w:rsidR="0022508F" w:rsidRPr="002F6DBB" w:rsidRDefault="0022508F" w:rsidP="002F6DBB">
      <w:pPr>
        <w:tabs>
          <w:tab w:val="left" w:pos="2159"/>
        </w:tabs>
        <w:jc w:val="both"/>
        <w:rPr>
          <w:rFonts w:ascii="Arial" w:hAnsi="Arial" w:cs="Arial"/>
          <w:b/>
          <w:bCs/>
          <w:sz w:val="22"/>
          <w:szCs w:val="22"/>
          <w:u w:val="single"/>
        </w:rPr>
      </w:pPr>
      <w:r w:rsidRPr="002F6DBB">
        <w:rPr>
          <w:rFonts w:ascii="Arial" w:hAnsi="Arial" w:cs="Arial"/>
          <w:b/>
          <w:bCs/>
          <w:color w:val="000000" w:themeColor="text1"/>
          <w:sz w:val="22"/>
          <w:szCs w:val="22"/>
          <w:u w:val="single"/>
        </w:rPr>
        <w:t>Relationship between the</w:t>
      </w:r>
      <w:r w:rsidRPr="002F6DBB">
        <w:rPr>
          <w:rFonts w:ascii="Arial" w:hAnsi="Arial" w:cs="Arial"/>
          <w:b/>
          <w:bCs/>
          <w:sz w:val="22"/>
          <w:szCs w:val="22"/>
          <w:u w:val="single"/>
        </w:rPr>
        <w:t xml:space="preserve"> Extent of Competencies Integrating 21</w:t>
      </w:r>
      <w:r w:rsidRPr="002F6DBB">
        <w:rPr>
          <w:rFonts w:ascii="Arial" w:hAnsi="Arial" w:cs="Arial"/>
          <w:b/>
          <w:bCs/>
          <w:sz w:val="22"/>
          <w:szCs w:val="22"/>
          <w:u w:val="single"/>
          <w:vertAlign w:val="superscript"/>
        </w:rPr>
        <w:t>st</w:t>
      </w:r>
      <w:r w:rsidRPr="002F6DBB">
        <w:rPr>
          <w:rFonts w:ascii="Arial" w:hAnsi="Arial" w:cs="Arial"/>
          <w:b/>
          <w:bCs/>
          <w:sz w:val="22"/>
          <w:szCs w:val="22"/>
          <w:u w:val="single"/>
        </w:rPr>
        <w:t xml:space="preserve"> Century Skills and the Performance of TLE Teachers </w:t>
      </w:r>
    </w:p>
    <w:p w14:paraId="220CC905"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Table 3 illustrates the relationship between the extent of competencies integrating 21st-century skills and the performance of TLE teachers, using Pearson correlation analysis. The data reveals that The Pearson correlation coefficient is -0.401, with a p-value of 0.023, indicating a significant negative relationship between communication skills and </w:t>
      </w:r>
      <w:r w:rsidR="008A7B82" w:rsidRPr="002F6DBB">
        <w:rPr>
          <w:rFonts w:ascii="Arial" w:hAnsi="Arial" w:cs="Arial"/>
          <w:color w:val="000000" w:themeColor="text1"/>
          <w:sz w:val="20"/>
          <w:szCs w:val="20"/>
        </w:rPr>
        <w:t>performance of TLE teachers</w:t>
      </w:r>
      <w:r w:rsidRPr="002F6DBB">
        <w:rPr>
          <w:rFonts w:ascii="Arial" w:hAnsi="Arial" w:cs="Arial"/>
          <w:color w:val="000000" w:themeColor="text1"/>
          <w:sz w:val="20"/>
          <w:szCs w:val="20"/>
        </w:rPr>
        <w:t>. This result is unexpected, as communication is generally seen as a critical instructional skill. The negative correlation may suggest a mismatch between perceived and actual communication abilities. It is possible that teachers who rate themselves highly in communication may be more confident in expressing ideas, but this does not necessarily translate into instructional clarity or effectiveness in teaching practice. Alternatively, it may reflect a reliance on one-way communication rather than interactive teaching strategies that foster student engagement.</w:t>
      </w:r>
    </w:p>
    <w:p w14:paraId="5F889B5B" w14:textId="77777777" w:rsidR="000218AA" w:rsidRPr="002F6DBB" w:rsidRDefault="000218AA" w:rsidP="002F6DBB">
      <w:pPr>
        <w:rPr>
          <w:rFonts w:ascii="Arial" w:hAnsi="Arial" w:cs="Arial"/>
          <w:color w:val="000000" w:themeColor="text1"/>
          <w:sz w:val="20"/>
          <w:szCs w:val="20"/>
        </w:rPr>
      </w:pPr>
    </w:p>
    <w:p w14:paraId="16BCEA65"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With a correlation coefficient of 0.081 and a p-value of 0.232, the relationship between collaboration and performance of TLE teachers is positive but not significant. This suggests that while collaborative skills are valuable in a school setting, they do not directly influence classroom instruction in a measurable way. It may also imply that collaboration is more impactful at the organizational or collegial level rather than at the individual instructional level.</w:t>
      </w:r>
    </w:p>
    <w:p w14:paraId="6878F397" w14:textId="77777777" w:rsidR="000218AA" w:rsidRPr="002F6DBB" w:rsidRDefault="000218AA" w:rsidP="002F6DBB">
      <w:pPr>
        <w:rPr>
          <w:rFonts w:ascii="Arial" w:hAnsi="Arial" w:cs="Arial"/>
          <w:color w:val="000000" w:themeColor="text1"/>
          <w:sz w:val="20"/>
          <w:szCs w:val="20"/>
        </w:rPr>
      </w:pPr>
    </w:p>
    <w:p w14:paraId="0325CBF7"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Critical Thinking and Problem Solving domain shows a positive and significant correlation (r = 0.304, p = 0.011) with performance of TLE teachers. This implies that teachers who are skilled in identifying problems, analyzing situations, and generating solutions are more likely to demonstrate strong </w:t>
      </w:r>
      <w:r w:rsidRPr="002F6DBB">
        <w:rPr>
          <w:rFonts w:ascii="Arial" w:hAnsi="Arial" w:cs="Arial"/>
          <w:color w:val="000000" w:themeColor="text1"/>
          <w:sz w:val="20"/>
          <w:szCs w:val="20"/>
        </w:rPr>
        <w:lastRenderedPageBreak/>
        <w:t>instructional capabilities. Such teachers are likely better at adapting lessons, addressing student learning issues, and making data-driven decisions, which enhances teaching effectiveness.</w:t>
      </w:r>
    </w:p>
    <w:p w14:paraId="5C0E699E" w14:textId="77777777" w:rsidR="000218AA" w:rsidRPr="002F6DBB" w:rsidRDefault="000218AA" w:rsidP="002F6DBB">
      <w:pPr>
        <w:rPr>
          <w:rFonts w:ascii="Arial" w:hAnsi="Arial" w:cs="Arial"/>
          <w:color w:val="000000" w:themeColor="text1"/>
          <w:sz w:val="20"/>
          <w:szCs w:val="20"/>
        </w:rPr>
      </w:pPr>
    </w:p>
    <w:p w14:paraId="2FF6B6A8"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correlation for Life-long Learning and Career Skills domain is -0.128 with a p-value of 0.091, showing a non-significant negative relationship with performance of TLE teachers. Although life-long learning is essential for professional growth, this result suggests it may not have a direct or immediate impact on day-to-day classroom performance. It could also mean that the benefits of life-long learning manifest more over time rather than being immediately reflected in instructional quality.</w:t>
      </w:r>
    </w:p>
    <w:p w14:paraId="26CA16DC" w14:textId="77777777" w:rsidR="000218AA" w:rsidRPr="002F6DBB" w:rsidRDefault="000218AA" w:rsidP="002F6DBB">
      <w:pPr>
        <w:rPr>
          <w:rFonts w:ascii="Arial" w:hAnsi="Arial" w:cs="Arial"/>
          <w:color w:val="000000" w:themeColor="text1"/>
          <w:sz w:val="20"/>
          <w:szCs w:val="20"/>
        </w:rPr>
      </w:pPr>
    </w:p>
    <w:p w14:paraId="31DBC8DE"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Learning and Innovation</w:t>
      </w:r>
      <w:r w:rsidR="00AF6AC8">
        <w:rPr>
          <w:rFonts w:ascii="Arial" w:hAnsi="Arial" w:cs="Arial"/>
          <w:color w:val="000000" w:themeColor="text1"/>
          <w:sz w:val="20"/>
          <w:szCs w:val="20"/>
        </w:rPr>
        <w:t xml:space="preserve"> </w:t>
      </w:r>
      <w:r w:rsidRPr="002F6DBB">
        <w:rPr>
          <w:rFonts w:ascii="Arial" w:hAnsi="Arial" w:cs="Arial"/>
          <w:color w:val="000000" w:themeColor="text1"/>
          <w:sz w:val="20"/>
          <w:szCs w:val="20"/>
        </w:rPr>
        <w:t>domain appears twice in the table, with conflicting results. In the first instance, it shows a significant positive correlation (r = 0.300, p = 0.000), suggesting that teachers who value and implement innovative practices tend to be more competent in instruction. Innovation likely leads to creative teaching methods, integration of new technologies, and learner-centered strategies.</w:t>
      </w:r>
    </w:p>
    <w:p w14:paraId="57B5C969"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In the second entry, however, it shows a negative and non-significant correlation (r = -0.188, p = 0.077). This inconsistency may be a typographical or data coding error, as the two entries contradict each other. Further validation or correction of this data is recommended for accurate interpretation.</w:t>
      </w:r>
    </w:p>
    <w:p w14:paraId="73FC9609" w14:textId="77777777" w:rsidR="000218AA" w:rsidRPr="002F6DBB" w:rsidRDefault="000218AA" w:rsidP="002F6DBB">
      <w:pPr>
        <w:rPr>
          <w:rFonts w:ascii="Arial" w:hAnsi="Arial" w:cs="Arial"/>
          <w:color w:val="000000" w:themeColor="text1"/>
          <w:sz w:val="20"/>
          <w:szCs w:val="20"/>
        </w:rPr>
      </w:pPr>
    </w:p>
    <w:p w14:paraId="3C14CFC1"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correlation is 0.112, with a p-value of 0.342, indicating a positive but non-significant relationship. While Occupational Safety and Health is critically important in TLE contexts involving tools, machines, and physical activities, its impact on performance of TLE teachers may be more related to classroom safety management than to pedagogy itself. It may enhance the learning environment but does not directly influence teaching strategies or assessment practices.</w:t>
      </w:r>
    </w:p>
    <w:p w14:paraId="0572FBF4" w14:textId="77777777" w:rsidR="000218AA" w:rsidRPr="002F6DBB" w:rsidRDefault="000218AA" w:rsidP="002F6DBB">
      <w:pPr>
        <w:rPr>
          <w:rFonts w:ascii="Arial" w:hAnsi="Arial" w:cs="Arial"/>
          <w:color w:val="000000" w:themeColor="text1"/>
          <w:sz w:val="20"/>
          <w:szCs w:val="20"/>
        </w:rPr>
      </w:pPr>
    </w:p>
    <w:p w14:paraId="27387524"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Environmental Literacy competency has a significant positive correlation (r = 0.318, p = 0.001) with performance of TLE teachers. Teachers who demonstrate environmental awareness may integrate sustainability concepts and real-world issues into their teaching, thereby enhancing the relevance and impact of instruction. This competency likely reflects a broader understanding of context and responsibility, which supports holistic and effective teaching.</w:t>
      </w:r>
    </w:p>
    <w:p w14:paraId="3BF2B414" w14:textId="77777777" w:rsidR="000218AA" w:rsidRPr="002F6DBB" w:rsidRDefault="000218AA" w:rsidP="002F6DBB">
      <w:pPr>
        <w:rPr>
          <w:rFonts w:ascii="Arial" w:hAnsi="Arial" w:cs="Arial"/>
          <w:color w:val="000000" w:themeColor="text1"/>
          <w:sz w:val="20"/>
          <w:szCs w:val="20"/>
        </w:rPr>
      </w:pPr>
    </w:p>
    <w:p w14:paraId="68F34079"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With a correlation of -0.098 and a p-value of 0.077, entrepreneurial skills show a non-significant negative relationship with performance of TLE teachers. This suggests that while entrepreneurial thinking is encouraged in TLE, it may not directly influence instructional delivery. Teachers may possess entrepreneurial knowledge and mindsets, but these may be more applicable to curriculum development, project-based learning, or external partnerships rather than core instructional skills.</w:t>
      </w:r>
    </w:p>
    <w:p w14:paraId="56FD60A9" w14:textId="77777777" w:rsidR="000218AA" w:rsidRPr="002F6DBB" w:rsidRDefault="000218AA" w:rsidP="002F6DBB">
      <w:pPr>
        <w:rPr>
          <w:rFonts w:ascii="Arial" w:hAnsi="Arial" w:cs="Arial"/>
          <w:color w:val="000000" w:themeColor="text1"/>
          <w:sz w:val="20"/>
          <w:szCs w:val="20"/>
        </w:rPr>
      </w:pPr>
    </w:p>
    <w:p w14:paraId="51721327" w14:textId="77777777" w:rsidR="0022508F"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significant positive relationships—particularly in critical thinking, learning and innovation, and environmental literacy—emphasize the importance of higher-order thinking, creativity, and contextual awareness in teaching effectiveness. The unexpected negative correlation in communication and other non-significant relationships suggest that not all 21st-century competencies directly correlate with performance of TLE teachers, possibly due to differences in application, perception, or evaluation methods. These findings call for deeper qualitative inquiry and continuous professional development tailored to bridge perception and practice gaps.</w:t>
      </w:r>
    </w:p>
    <w:p w14:paraId="20559E41" w14:textId="77777777" w:rsidR="000218AA" w:rsidRPr="002F6DBB" w:rsidRDefault="000218AA" w:rsidP="002F6DBB">
      <w:pPr>
        <w:rPr>
          <w:rFonts w:ascii="Arial" w:hAnsi="Arial" w:cs="Arial"/>
          <w:color w:val="000000" w:themeColor="text1"/>
          <w:sz w:val="20"/>
          <w:szCs w:val="20"/>
        </w:rPr>
      </w:pPr>
    </w:p>
    <w:p w14:paraId="0FA4EA59" w14:textId="77777777" w:rsidR="00F66DB8" w:rsidRPr="002F6DBB" w:rsidRDefault="00F66DB8" w:rsidP="002F6DBB">
      <w:pPr>
        <w:jc w:val="both"/>
        <w:rPr>
          <w:rFonts w:ascii="Arial" w:hAnsi="Arial" w:cs="Arial"/>
          <w:b/>
          <w:bCs/>
          <w:color w:val="000000" w:themeColor="text1"/>
          <w:sz w:val="20"/>
          <w:szCs w:val="20"/>
        </w:rPr>
      </w:pPr>
      <w:r w:rsidRPr="002F6DBB">
        <w:rPr>
          <w:rFonts w:ascii="Arial" w:hAnsi="Arial" w:cs="Arial"/>
          <w:b/>
          <w:bCs/>
          <w:color w:val="000000" w:themeColor="text1"/>
          <w:sz w:val="20"/>
          <w:szCs w:val="20"/>
        </w:rPr>
        <w:t xml:space="preserve">Table 3. Relationship between the Extent of Competencies Integrating 21st Century Skills and </w:t>
      </w:r>
      <w:r w:rsidR="000218AA" w:rsidRPr="002F6DBB">
        <w:rPr>
          <w:rFonts w:ascii="Arial" w:hAnsi="Arial" w:cs="Arial"/>
          <w:b/>
          <w:bCs/>
          <w:color w:val="000000" w:themeColor="text1"/>
          <w:sz w:val="20"/>
          <w:szCs w:val="20"/>
        </w:rPr>
        <w:t>Performance</w:t>
      </w:r>
      <w:r w:rsidRPr="002F6DBB">
        <w:rPr>
          <w:rFonts w:ascii="Arial" w:hAnsi="Arial" w:cs="Arial"/>
          <w:b/>
          <w:bCs/>
          <w:color w:val="000000" w:themeColor="text1"/>
          <w:sz w:val="20"/>
          <w:szCs w:val="20"/>
        </w:rPr>
        <w:t xml:space="preserve"> of TLE Teachers</w:t>
      </w:r>
    </w:p>
    <w:p w14:paraId="44BF1DCA" w14:textId="77777777" w:rsidR="00F66DB8" w:rsidRPr="002F6DBB" w:rsidRDefault="00F66DB8" w:rsidP="002F6DBB">
      <w:pPr>
        <w:jc w:val="center"/>
        <w:rPr>
          <w:rFonts w:ascii="Arial" w:hAnsi="Arial" w:cs="Arial"/>
          <w:b/>
          <w:bCs/>
          <w:color w:val="000000" w:themeColor="text1"/>
        </w:rPr>
      </w:pPr>
    </w:p>
    <w:tbl>
      <w:tblPr>
        <w:tblW w:w="7864" w:type="dxa"/>
        <w:tblLook w:val="04A0" w:firstRow="1" w:lastRow="0" w:firstColumn="1" w:lastColumn="0" w:noHBand="0" w:noVBand="1"/>
      </w:tblPr>
      <w:tblGrid>
        <w:gridCol w:w="2377"/>
        <w:gridCol w:w="2726"/>
        <w:gridCol w:w="2761"/>
      </w:tblGrid>
      <w:tr w:rsidR="00F66DB8" w:rsidRPr="00AF6AC8" w14:paraId="1E3A0420" w14:textId="77777777" w:rsidTr="00F66DB8">
        <w:trPr>
          <w:trHeight w:val="813"/>
        </w:trPr>
        <w:tc>
          <w:tcPr>
            <w:tcW w:w="2377" w:type="dxa"/>
            <w:tcBorders>
              <w:top w:val="single" w:sz="4" w:space="0" w:color="auto"/>
              <w:left w:val="nil"/>
              <w:bottom w:val="nil"/>
              <w:right w:val="nil"/>
            </w:tcBorders>
            <w:shd w:val="clear" w:color="auto" w:fill="auto"/>
            <w:vAlign w:val="center"/>
            <w:hideMark/>
          </w:tcPr>
          <w:p w14:paraId="72E6B6D4" w14:textId="77777777" w:rsidR="00F66DB8" w:rsidRPr="00AF6AC8" w:rsidRDefault="00AF6AC8" w:rsidP="002F6DBB">
            <w:pP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C</w:t>
            </w:r>
            <w:r w:rsidR="00F66DB8" w:rsidRPr="00AF6AC8">
              <w:rPr>
                <w:rFonts w:ascii="Arial" w:eastAsia="Times New Roman" w:hAnsi="Arial" w:cs="Arial"/>
                <w:b/>
                <w:bCs/>
                <w:color w:val="000000" w:themeColor="text1"/>
                <w:kern w:val="0"/>
                <w:sz w:val="20"/>
                <w:szCs w:val="20"/>
                <w:lang w:eastAsia="en-PH"/>
                <w14:ligatures w14:val="none"/>
              </w:rPr>
              <w:t>ompetencies integrating 21st century skills</w:t>
            </w:r>
          </w:p>
        </w:tc>
        <w:tc>
          <w:tcPr>
            <w:tcW w:w="2726" w:type="dxa"/>
            <w:tcBorders>
              <w:top w:val="single" w:sz="4" w:space="0" w:color="auto"/>
              <w:left w:val="nil"/>
              <w:bottom w:val="nil"/>
              <w:right w:val="nil"/>
            </w:tcBorders>
            <w:shd w:val="clear" w:color="auto" w:fill="auto"/>
            <w:noWrap/>
            <w:vAlign w:val="center"/>
            <w:hideMark/>
          </w:tcPr>
          <w:p w14:paraId="1800EB2A" w14:textId="77777777" w:rsidR="00F66DB8" w:rsidRPr="00AF6AC8" w:rsidRDefault="00F66DB8" w:rsidP="002F6DBB">
            <w:pP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Parameters</w:t>
            </w:r>
          </w:p>
        </w:tc>
        <w:tc>
          <w:tcPr>
            <w:tcW w:w="2761" w:type="dxa"/>
            <w:tcBorders>
              <w:top w:val="single" w:sz="4" w:space="0" w:color="auto"/>
              <w:left w:val="nil"/>
              <w:bottom w:val="single" w:sz="4" w:space="0" w:color="auto"/>
              <w:right w:val="nil"/>
            </w:tcBorders>
            <w:shd w:val="clear" w:color="auto" w:fill="auto"/>
            <w:vAlign w:val="center"/>
            <w:hideMark/>
          </w:tcPr>
          <w:p w14:paraId="764A5F61" w14:textId="77777777" w:rsidR="00F66DB8" w:rsidRPr="00AF6AC8" w:rsidRDefault="000218AA"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Performance</w:t>
            </w:r>
            <w:r w:rsidR="00F66DB8" w:rsidRPr="00AF6AC8">
              <w:rPr>
                <w:rFonts w:ascii="Arial" w:eastAsia="Times New Roman" w:hAnsi="Arial" w:cs="Arial"/>
                <w:b/>
                <w:bCs/>
                <w:color w:val="000000" w:themeColor="text1"/>
                <w:kern w:val="0"/>
                <w:sz w:val="20"/>
                <w:szCs w:val="20"/>
                <w:lang w:eastAsia="en-PH"/>
                <w14:ligatures w14:val="none"/>
              </w:rPr>
              <w:t xml:space="preserve"> of </w:t>
            </w:r>
            <w:r w:rsidRPr="00AF6AC8">
              <w:rPr>
                <w:rFonts w:ascii="Arial" w:eastAsia="Times New Roman" w:hAnsi="Arial" w:cs="Arial"/>
                <w:b/>
                <w:bCs/>
                <w:color w:val="000000" w:themeColor="text1"/>
                <w:kern w:val="0"/>
                <w:sz w:val="20"/>
                <w:szCs w:val="20"/>
                <w:lang w:eastAsia="en-PH"/>
                <w14:ligatures w14:val="none"/>
              </w:rPr>
              <w:t>T</w:t>
            </w:r>
            <w:r w:rsidR="00F66DB8" w:rsidRPr="00AF6AC8">
              <w:rPr>
                <w:rFonts w:ascii="Arial" w:eastAsia="Times New Roman" w:hAnsi="Arial" w:cs="Arial"/>
                <w:b/>
                <w:bCs/>
                <w:color w:val="000000" w:themeColor="text1"/>
                <w:kern w:val="0"/>
                <w:sz w:val="20"/>
                <w:szCs w:val="20"/>
                <w:lang w:eastAsia="en-PH"/>
                <w14:ligatures w14:val="none"/>
              </w:rPr>
              <w:t xml:space="preserve">eachers </w:t>
            </w:r>
          </w:p>
        </w:tc>
      </w:tr>
      <w:tr w:rsidR="00F66DB8" w:rsidRPr="00AF6AC8" w14:paraId="279C8BFF" w14:textId="77777777" w:rsidTr="00F66DB8">
        <w:trPr>
          <w:trHeight w:val="271"/>
        </w:trPr>
        <w:tc>
          <w:tcPr>
            <w:tcW w:w="2377" w:type="dxa"/>
            <w:vMerge w:val="restart"/>
            <w:tcBorders>
              <w:top w:val="single" w:sz="4" w:space="0" w:color="auto"/>
              <w:left w:val="nil"/>
              <w:bottom w:val="nil"/>
              <w:right w:val="nil"/>
            </w:tcBorders>
            <w:shd w:val="clear" w:color="auto" w:fill="auto"/>
            <w:noWrap/>
            <w:vAlign w:val="center"/>
            <w:hideMark/>
          </w:tcPr>
          <w:p w14:paraId="32BD0B1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communication</w:t>
            </w:r>
          </w:p>
        </w:tc>
        <w:tc>
          <w:tcPr>
            <w:tcW w:w="2726" w:type="dxa"/>
            <w:tcBorders>
              <w:top w:val="single" w:sz="4" w:space="0" w:color="auto"/>
              <w:left w:val="nil"/>
              <w:bottom w:val="nil"/>
              <w:right w:val="nil"/>
            </w:tcBorders>
            <w:shd w:val="clear" w:color="auto" w:fill="auto"/>
            <w:noWrap/>
            <w:vAlign w:val="bottom"/>
            <w:hideMark/>
          </w:tcPr>
          <w:p w14:paraId="195ED4B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6613FB4C"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-0.401</w:t>
            </w:r>
          </w:p>
        </w:tc>
      </w:tr>
      <w:tr w:rsidR="00F66DB8" w:rsidRPr="00AF6AC8" w14:paraId="5D0D4C01" w14:textId="77777777" w:rsidTr="00F66DB8">
        <w:trPr>
          <w:trHeight w:val="271"/>
        </w:trPr>
        <w:tc>
          <w:tcPr>
            <w:tcW w:w="2377" w:type="dxa"/>
            <w:vMerge/>
            <w:tcBorders>
              <w:top w:val="single" w:sz="4" w:space="0" w:color="auto"/>
              <w:left w:val="nil"/>
              <w:bottom w:val="nil"/>
              <w:right w:val="nil"/>
            </w:tcBorders>
            <w:vAlign w:val="center"/>
            <w:hideMark/>
          </w:tcPr>
          <w:p w14:paraId="3BB373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E4FBE22"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043E1737"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0.023</w:t>
            </w:r>
          </w:p>
        </w:tc>
      </w:tr>
      <w:tr w:rsidR="00F66DB8" w:rsidRPr="00AF6AC8" w14:paraId="0B4DC128" w14:textId="77777777" w:rsidTr="00F66DB8">
        <w:trPr>
          <w:trHeight w:val="271"/>
        </w:trPr>
        <w:tc>
          <w:tcPr>
            <w:tcW w:w="2377" w:type="dxa"/>
            <w:tcBorders>
              <w:top w:val="nil"/>
              <w:left w:val="nil"/>
              <w:bottom w:val="single" w:sz="4" w:space="0" w:color="auto"/>
              <w:right w:val="nil"/>
            </w:tcBorders>
            <w:shd w:val="clear" w:color="auto" w:fill="auto"/>
            <w:noWrap/>
            <w:vAlign w:val="bottom"/>
            <w:hideMark/>
          </w:tcPr>
          <w:p w14:paraId="6229B6F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 </w:t>
            </w:r>
          </w:p>
        </w:tc>
        <w:tc>
          <w:tcPr>
            <w:tcW w:w="2726" w:type="dxa"/>
            <w:tcBorders>
              <w:top w:val="nil"/>
              <w:left w:val="nil"/>
              <w:bottom w:val="single" w:sz="4" w:space="0" w:color="auto"/>
              <w:right w:val="nil"/>
            </w:tcBorders>
            <w:shd w:val="clear" w:color="auto" w:fill="auto"/>
            <w:noWrap/>
            <w:vAlign w:val="bottom"/>
            <w:hideMark/>
          </w:tcPr>
          <w:p w14:paraId="755C7A6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77D040AA"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69F82E3C"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40F7D7B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collaboration and teamwork</w:t>
            </w:r>
          </w:p>
        </w:tc>
        <w:tc>
          <w:tcPr>
            <w:tcW w:w="2726" w:type="dxa"/>
            <w:tcBorders>
              <w:top w:val="nil"/>
              <w:left w:val="nil"/>
              <w:bottom w:val="nil"/>
              <w:right w:val="nil"/>
            </w:tcBorders>
            <w:shd w:val="clear" w:color="auto" w:fill="auto"/>
            <w:noWrap/>
            <w:vAlign w:val="bottom"/>
            <w:hideMark/>
          </w:tcPr>
          <w:p w14:paraId="7F1AC26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40A08AC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0.081</w:t>
            </w:r>
          </w:p>
        </w:tc>
      </w:tr>
      <w:tr w:rsidR="00F66DB8" w:rsidRPr="00AF6AC8" w14:paraId="03E3D8F8" w14:textId="77777777" w:rsidTr="00F66DB8">
        <w:trPr>
          <w:trHeight w:val="271"/>
        </w:trPr>
        <w:tc>
          <w:tcPr>
            <w:tcW w:w="2377" w:type="dxa"/>
            <w:vMerge/>
            <w:tcBorders>
              <w:top w:val="nil"/>
              <w:left w:val="nil"/>
              <w:bottom w:val="single" w:sz="4" w:space="0" w:color="000000"/>
              <w:right w:val="nil"/>
            </w:tcBorders>
            <w:vAlign w:val="center"/>
            <w:hideMark/>
          </w:tcPr>
          <w:p w14:paraId="711294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70C4CCE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48F54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0.232</w:t>
            </w:r>
          </w:p>
        </w:tc>
      </w:tr>
      <w:tr w:rsidR="00F66DB8" w:rsidRPr="00AF6AC8" w14:paraId="01E69D85" w14:textId="77777777" w:rsidTr="00F66DB8">
        <w:trPr>
          <w:trHeight w:val="271"/>
        </w:trPr>
        <w:tc>
          <w:tcPr>
            <w:tcW w:w="2377" w:type="dxa"/>
            <w:vMerge/>
            <w:tcBorders>
              <w:top w:val="nil"/>
              <w:left w:val="nil"/>
              <w:bottom w:val="single" w:sz="4" w:space="0" w:color="000000"/>
              <w:right w:val="nil"/>
            </w:tcBorders>
            <w:vAlign w:val="center"/>
            <w:hideMark/>
          </w:tcPr>
          <w:p w14:paraId="570751E6"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4EDDBA0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2B3741DE"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1164437A"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735AFD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critical thinking and problem solving</w:t>
            </w:r>
          </w:p>
        </w:tc>
        <w:tc>
          <w:tcPr>
            <w:tcW w:w="2726" w:type="dxa"/>
            <w:tcBorders>
              <w:top w:val="single" w:sz="4" w:space="0" w:color="auto"/>
              <w:left w:val="nil"/>
              <w:bottom w:val="nil"/>
              <w:right w:val="nil"/>
            </w:tcBorders>
            <w:shd w:val="clear" w:color="auto" w:fill="auto"/>
            <w:noWrap/>
            <w:vAlign w:val="bottom"/>
            <w:hideMark/>
          </w:tcPr>
          <w:p w14:paraId="31A696C2"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5EF252ED"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0.304</w:t>
            </w:r>
          </w:p>
        </w:tc>
      </w:tr>
      <w:tr w:rsidR="00F66DB8" w:rsidRPr="00AF6AC8" w14:paraId="5AB5CDD7" w14:textId="77777777" w:rsidTr="00F66DB8">
        <w:trPr>
          <w:trHeight w:val="271"/>
        </w:trPr>
        <w:tc>
          <w:tcPr>
            <w:tcW w:w="2377" w:type="dxa"/>
            <w:vMerge/>
            <w:tcBorders>
              <w:top w:val="nil"/>
              <w:left w:val="nil"/>
              <w:bottom w:val="single" w:sz="4" w:space="0" w:color="000000"/>
              <w:right w:val="nil"/>
            </w:tcBorders>
            <w:vAlign w:val="center"/>
            <w:hideMark/>
          </w:tcPr>
          <w:p w14:paraId="4E7D545E"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391A8B1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4A55DAC0"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0.011</w:t>
            </w:r>
          </w:p>
        </w:tc>
      </w:tr>
      <w:tr w:rsidR="00F66DB8" w:rsidRPr="00AF6AC8" w14:paraId="310E1B87" w14:textId="77777777" w:rsidTr="00F66DB8">
        <w:trPr>
          <w:trHeight w:val="271"/>
        </w:trPr>
        <w:tc>
          <w:tcPr>
            <w:tcW w:w="2377" w:type="dxa"/>
            <w:vMerge/>
            <w:tcBorders>
              <w:top w:val="nil"/>
              <w:left w:val="nil"/>
              <w:bottom w:val="single" w:sz="4" w:space="0" w:color="000000"/>
              <w:right w:val="nil"/>
            </w:tcBorders>
            <w:vAlign w:val="center"/>
            <w:hideMark/>
          </w:tcPr>
          <w:p w14:paraId="0BA6A5F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133AE8E7"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5605A169"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47951AA6"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542D07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life-long learning and career skills</w:t>
            </w:r>
          </w:p>
        </w:tc>
        <w:tc>
          <w:tcPr>
            <w:tcW w:w="2726" w:type="dxa"/>
            <w:tcBorders>
              <w:top w:val="nil"/>
              <w:left w:val="nil"/>
              <w:bottom w:val="nil"/>
              <w:right w:val="nil"/>
            </w:tcBorders>
            <w:shd w:val="clear" w:color="auto" w:fill="auto"/>
            <w:noWrap/>
            <w:vAlign w:val="bottom"/>
            <w:hideMark/>
          </w:tcPr>
          <w:p w14:paraId="6F44A84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37F83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-0.128</w:t>
            </w:r>
          </w:p>
        </w:tc>
      </w:tr>
      <w:tr w:rsidR="00F66DB8" w:rsidRPr="00AF6AC8" w14:paraId="2C25589A" w14:textId="77777777" w:rsidTr="00F66DB8">
        <w:trPr>
          <w:trHeight w:val="271"/>
        </w:trPr>
        <w:tc>
          <w:tcPr>
            <w:tcW w:w="2377" w:type="dxa"/>
            <w:vMerge/>
            <w:tcBorders>
              <w:top w:val="nil"/>
              <w:left w:val="nil"/>
              <w:bottom w:val="single" w:sz="4" w:space="0" w:color="000000"/>
              <w:right w:val="nil"/>
            </w:tcBorders>
            <w:vAlign w:val="center"/>
            <w:hideMark/>
          </w:tcPr>
          <w:p w14:paraId="3E2C236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3E56083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058721B9"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0.091</w:t>
            </w:r>
          </w:p>
        </w:tc>
      </w:tr>
      <w:tr w:rsidR="00F66DB8" w:rsidRPr="00AF6AC8" w14:paraId="46852F70" w14:textId="77777777" w:rsidTr="00F66DB8">
        <w:trPr>
          <w:trHeight w:val="271"/>
        </w:trPr>
        <w:tc>
          <w:tcPr>
            <w:tcW w:w="2377" w:type="dxa"/>
            <w:vMerge/>
            <w:tcBorders>
              <w:top w:val="nil"/>
              <w:left w:val="nil"/>
              <w:bottom w:val="single" w:sz="4" w:space="0" w:color="000000"/>
              <w:right w:val="nil"/>
            </w:tcBorders>
            <w:vAlign w:val="center"/>
            <w:hideMark/>
          </w:tcPr>
          <w:p w14:paraId="2FC4CDB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2C156B3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CBE95C9"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7EDB1972"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7E79B95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learning and innovation</w:t>
            </w:r>
          </w:p>
        </w:tc>
        <w:tc>
          <w:tcPr>
            <w:tcW w:w="2726" w:type="dxa"/>
            <w:tcBorders>
              <w:top w:val="single" w:sz="4" w:space="0" w:color="auto"/>
              <w:left w:val="nil"/>
              <w:bottom w:val="nil"/>
              <w:right w:val="nil"/>
            </w:tcBorders>
            <w:shd w:val="clear" w:color="auto" w:fill="auto"/>
            <w:noWrap/>
            <w:vAlign w:val="bottom"/>
            <w:hideMark/>
          </w:tcPr>
          <w:p w14:paraId="1EC8671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0928D75F"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0.300</w:t>
            </w:r>
          </w:p>
        </w:tc>
      </w:tr>
      <w:tr w:rsidR="00F66DB8" w:rsidRPr="00AF6AC8" w14:paraId="563CDA81" w14:textId="77777777" w:rsidTr="00F66DB8">
        <w:trPr>
          <w:trHeight w:val="271"/>
        </w:trPr>
        <w:tc>
          <w:tcPr>
            <w:tcW w:w="2377" w:type="dxa"/>
            <w:vMerge/>
            <w:tcBorders>
              <w:top w:val="nil"/>
              <w:left w:val="nil"/>
              <w:bottom w:val="single" w:sz="4" w:space="0" w:color="000000"/>
              <w:right w:val="nil"/>
            </w:tcBorders>
            <w:vAlign w:val="center"/>
            <w:hideMark/>
          </w:tcPr>
          <w:p w14:paraId="366C249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DC5CB7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581C718C"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0.000</w:t>
            </w:r>
          </w:p>
        </w:tc>
      </w:tr>
      <w:tr w:rsidR="00F66DB8" w:rsidRPr="00AF6AC8" w14:paraId="6269B348" w14:textId="77777777" w:rsidTr="00F66DB8">
        <w:trPr>
          <w:trHeight w:val="271"/>
        </w:trPr>
        <w:tc>
          <w:tcPr>
            <w:tcW w:w="2377" w:type="dxa"/>
            <w:vMerge/>
            <w:tcBorders>
              <w:top w:val="nil"/>
              <w:left w:val="nil"/>
              <w:bottom w:val="single" w:sz="4" w:space="0" w:color="000000"/>
              <w:right w:val="nil"/>
            </w:tcBorders>
            <w:vAlign w:val="center"/>
            <w:hideMark/>
          </w:tcPr>
          <w:p w14:paraId="77976E1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076833E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39C68B5"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528ED450"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C0FAE9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learning and innovation</w:t>
            </w:r>
          </w:p>
        </w:tc>
        <w:tc>
          <w:tcPr>
            <w:tcW w:w="2726" w:type="dxa"/>
            <w:tcBorders>
              <w:top w:val="nil"/>
              <w:left w:val="nil"/>
              <w:bottom w:val="nil"/>
              <w:right w:val="nil"/>
            </w:tcBorders>
            <w:shd w:val="clear" w:color="auto" w:fill="auto"/>
            <w:noWrap/>
            <w:vAlign w:val="bottom"/>
            <w:hideMark/>
          </w:tcPr>
          <w:p w14:paraId="50A9C41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1BD4ECD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-0.188</w:t>
            </w:r>
          </w:p>
        </w:tc>
      </w:tr>
      <w:tr w:rsidR="00F66DB8" w:rsidRPr="00AF6AC8" w14:paraId="166E51A3" w14:textId="77777777" w:rsidTr="00F66DB8">
        <w:trPr>
          <w:trHeight w:val="271"/>
        </w:trPr>
        <w:tc>
          <w:tcPr>
            <w:tcW w:w="2377" w:type="dxa"/>
            <w:vMerge/>
            <w:tcBorders>
              <w:top w:val="nil"/>
              <w:left w:val="nil"/>
              <w:bottom w:val="single" w:sz="4" w:space="0" w:color="000000"/>
              <w:right w:val="nil"/>
            </w:tcBorders>
            <w:vAlign w:val="center"/>
            <w:hideMark/>
          </w:tcPr>
          <w:p w14:paraId="4C73E39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14EF1297"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32A8F290"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0.077</w:t>
            </w:r>
          </w:p>
        </w:tc>
      </w:tr>
      <w:tr w:rsidR="00F66DB8" w:rsidRPr="00AF6AC8" w14:paraId="5598C682" w14:textId="77777777" w:rsidTr="00F66DB8">
        <w:trPr>
          <w:trHeight w:val="271"/>
        </w:trPr>
        <w:tc>
          <w:tcPr>
            <w:tcW w:w="2377" w:type="dxa"/>
            <w:vMerge/>
            <w:tcBorders>
              <w:top w:val="nil"/>
              <w:left w:val="nil"/>
              <w:bottom w:val="single" w:sz="4" w:space="0" w:color="000000"/>
              <w:right w:val="nil"/>
            </w:tcBorders>
            <w:vAlign w:val="center"/>
            <w:hideMark/>
          </w:tcPr>
          <w:p w14:paraId="213E8D1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77B792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nil"/>
              <w:right w:val="nil"/>
            </w:tcBorders>
            <w:shd w:val="clear" w:color="auto" w:fill="auto"/>
            <w:noWrap/>
            <w:vAlign w:val="bottom"/>
            <w:hideMark/>
          </w:tcPr>
          <w:p w14:paraId="58692AB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416EDC0F"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6104581E"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occupational safety and health</w:t>
            </w:r>
          </w:p>
        </w:tc>
        <w:tc>
          <w:tcPr>
            <w:tcW w:w="2726" w:type="dxa"/>
            <w:tcBorders>
              <w:top w:val="single" w:sz="4" w:space="0" w:color="auto"/>
              <w:left w:val="nil"/>
              <w:bottom w:val="nil"/>
              <w:right w:val="nil"/>
            </w:tcBorders>
            <w:shd w:val="clear" w:color="auto" w:fill="auto"/>
            <w:noWrap/>
            <w:vAlign w:val="bottom"/>
            <w:hideMark/>
          </w:tcPr>
          <w:p w14:paraId="7EB5708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single" w:sz="4" w:space="0" w:color="auto"/>
              <w:left w:val="nil"/>
              <w:bottom w:val="nil"/>
              <w:right w:val="nil"/>
            </w:tcBorders>
            <w:shd w:val="clear" w:color="auto" w:fill="auto"/>
            <w:noWrap/>
            <w:vAlign w:val="bottom"/>
            <w:hideMark/>
          </w:tcPr>
          <w:p w14:paraId="11A9FD80"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0.112</w:t>
            </w:r>
          </w:p>
        </w:tc>
      </w:tr>
      <w:tr w:rsidR="00F66DB8" w:rsidRPr="00AF6AC8" w14:paraId="52F26AEE" w14:textId="77777777" w:rsidTr="00F66DB8">
        <w:trPr>
          <w:trHeight w:val="271"/>
        </w:trPr>
        <w:tc>
          <w:tcPr>
            <w:tcW w:w="2377" w:type="dxa"/>
            <w:vMerge/>
            <w:tcBorders>
              <w:top w:val="nil"/>
              <w:left w:val="nil"/>
              <w:bottom w:val="single" w:sz="4" w:space="0" w:color="000000"/>
              <w:right w:val="nil"/>
            </w:tcBorders>
            <w:vAlign w:val="center"/>
            <w:hideMark/>
          </w:tcPr>
          <w:p w14:paraId="54FD0D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0AE8CC3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1FEFF0B7"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0.342</w:t>
            </w:r>
          </w:p>
        </w:tc>
      </w:tr>
      <w:tr w:rsidR="00F66DB8" w:rsidRPr="00AF6AC8" w14:paraId="19A2058F" w14:textId="77777777" w:rsidTr="00F66DB8">
        <w:trPr>
          <w:trHeight w:val="271"/>
        </w:trPr>
        <w:tc>
          <w:tcPr>
            <w:tcW w:w="2377" w:type="dxa"/>
            <w:vMerge/>
            <w:tcBorders>
              <w:top w:val="nil"/>
              <w:left w:val="nil"/>
              <w:bottom w:val="single" w:sz="4" w:space="0" w:color="000000"/>
              <w:right w:val="nil"/>
            </w:tcBorders>
            <w:vAlign w:val="center"/>
            <w:hideMark/>
          </w:tcPr>
          <w:p w14:paraId="38FD0D1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5EED1DE0"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99FFC62"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45B8CC99"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77BBFD2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environmental literacy</w:t>
            </w:r>
          </w:p>
        </w:tc>
        <w:tc>
          <w:tcPr>
            <w:tcW w:w="2726" w:type="dxa"/>
            <w:tcBorders>
              <w:top w:val="nil"/>
              <w:left w:val="nil"/>
              <w:bottom w:val="nil"/>
              <w:right w:val="nil"/>
            </w:tcBorders>
            <w:shd w:val="clear" w:color="auto" w:fill="auto"/>
            <w:noWrap/>
            <w:vAlign w:val="bottom"/>
            <w:hideMark/>
          </w:tcPr>
          <w:p w14:paraId="01EB1EC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340883E6"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0.318</w:t>
            </w:r>
          </w:p>
        </w:tc>
      </w:tr>
      <w:tr w:rsidR="00F66DB8" w:rsidRPr="00AF6AC8" w14:paraId="0256BC83" w14:textId="77777777" w:rsidTr="00F66DB8">
        <w:trPr>
          <w:trHeight w:val="271"/>
        </w:trPr>
        <w:tc>
          <w:tcPr>
            <w:tcW w:w="2377" w:type="dxa"/>
            <w:vMerge/>
            <w:tcBorders>
              <w:top w:val="nil"/>
              <w:left w:val="nil"/>
              <w:bottom w:val="single" w:sz="4" w:space="0" w:color="000000"/>
              <w:right w:val="nil"/>
            </w:tcBorders>
            <w:vAlign w:val="center"/>
            <w:hideMark/>
          </w:tcPr>
          <w:p w14:paraId="5D8DE35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2757980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66706EC7"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0.001</w:t>
            </w:r>
          </w:p>
        </w:tc>
      </w:tr>
      <w:tr w:rsidR="00F66DB8" w:rsidRPr="00AF6AC8" w14:paraId="0A24F4A5" w14:textId="77777777" w:rsidTr="00F66DB8">
        <w:trPr>
          <w:trHeight w:val="271"/>
        </w:trPr>
        <w:tc>
          <w:tcPr>
            <w:tcW w:w="2377" w:type="dxa"/>
            <w:vMerge/>
            <w:tcBorders>
              <w:top w:val="nil"/>
              <w:left w:val="nil"/>
              <w:bottom w:val="single" w:sz="4" w:space="0" w:color="000000"/>
              <w:right w:val="nil"/>
            </w:tcBorders>
            <w:vAlign w:val="center"/>
            <w:hideMark/>
          </w:tcPr>
          <w:p w14:paraId="548A9680"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3BC8D1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537D54A4"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4D83A0EB"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46CA01F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entrepreneurial skills</w:t>
            </w:r>
          </w:p>
        </w:tc>
        <w:tc>
          <w:tcPr>
            <w:tcW w:w="2726" w:type="dxa"/>
            <w:tcBorders>
              <w:top w:val="single" w:sz="4" w:space="0" w:color="auto"/>
              <w:left w:val="nil"/>
              <w:bottom w:val="nil"/>
              <w:right w:val="nil"/>
            </w:tcBorders>
            <w:shd w:val="clear" w:color="auto" w:fill="auto"/>
            <w:noWrap/>
            <w:vAlign w:val="bottom"/>
            <w:hideMark/>
          </w:tcPr>
          <w:p w14:paraId="4EBAE22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7284036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-0.098</w:t>
            </w:r>
          </w:p>
        </w:tc>
      </w:tr>
      <w:tr w:rsidR="00F66DB8" w:rsidRPr="00AF6AC8" w14:paraId="7C5F1A6D" w14:textId="77777777" w:rsidTr="00F66DB8">
        <w:trPr>
          <w:trHeight w:val="271"/>
        </w:trPr>
        <w:tc>
          <w:tcPr>
            <w:tcW w:w="2377" w:type="dxa"/>
            <w:vMerge/>
            <w:tcBorders>
              <w:top w:val="nil"/>
              <w:left w:val="nil"/>
              <w:bottom w:val="single" w:sz="4" w:space="0" w:color="000000"/>
              <w:right w:val="nil"/>
            </w:tcBorders>
            <w:vAlign w:val="center"/>
            <w:hideMark/>
          </w:tcPr>
          <w:p w14:paraId="4DC1463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0AAE921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6626DFA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0.077</w:t>
            </w:r>
          </w:p>
        </w:tc>
      </w:tr>
      <w:tr w:rsidR="00F66DB8" w:rsidRPr="00AF6AC8" w14:paraId="21646D33" w14:textId="77777777" w:rsidTr="00F66DB8">
        <w:trPr>
          <w:trHeight w:val="271"/>
        </w:trPr>
        <w:tc>
          <w:tcPr>
            <w:tcW w:w="2377" w:type="dxa"/>
            <w:vMerge/>
            <w:tcBorders>
              <w:top w:val="nil"/>
              <w:left w:val="nil"/>
              <w:bottom w:val="single" w:sz="4" w:space="0" w:color="000000"/>
              <w:right w:val="nil"/>
            </w:tcBorders>
            <w:vAlign w:val="center"/>
            <w:hideMark/>
          </w:tcPr>
          <w:p w14:paraId="6785C51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11E759E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736FC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bl>
    <w:p w14:paraId="24BDEF0F" w14:textId="77777777" w:rsidR="009E230C" w:rsidRPr="002F6DBB" w:rsidRDefault="009E230C" w:rsidP="002F6DBB">
      <w:pPr>
        <w:rPr>
          <w:rFonts w:ascii="Arial" w:hAnsi="Arial" w:cs="Arial"/>
          <w:b/>
          <w:bCs/>
          <w:sz w:val="22"/>
          <w:szCs w:val="22"/>
          <w:u w:val="single"/>
        </w:rPr>
      </w:pPr>
    </w:p>
    <w:p w14:paraId="2588C866"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CONCLUSION</w:t>
      </w:r>
    </w:p>
    <w:p w14:paraId="0B7CC281" w14:textId="77777777" w:rsidR="008F41FE" w:rsidRPr="002F6DBB" w:rsidRDefault="000218AA" w:rsidP="002F6DBB">
      <w:pPr>
        <w:rPr>
          <w:rFonts w:ascii="Arial" w:hAnsi="Arial" w:cs="Arial"/>
          <w:sz w:val="20"/>
          <w:szCs w:val="20"/>
        </w:rPr>
      </w:pPr>
      <w:r w:rsidRPr="002F6DBB">
        <w:rPr>
          <w:rFonts w:ascii="Arial" w:hAnsi="Arial" w:cs="Arial"/>
          <w:sz w:val="20"/>
          <w:szCs w:val="20"/>
        </w:rPr>
        <w:t>TLE teachers demonstrated very high competence in integrating 21st-century skills, especially in occupational safety, collaboration, and communication. However, slightly lower ratings in critical thinking and learning theory application suggest the need for further training in strategic problem-solving and innovative instruction.</w:t>
      </w:r>
      <w:r w:rsidR="00C32CF2" w:rsidRPr="002F6DBB">
        <w:rPr>
          <w:rFonts w:ascii="Arial" w:hAnsi="Arial" w:cs="Arial"/>
          <w:sz w:val="20"/>
          <w:szCs w:val="20"/>
        </w:rPr>
        <w:t xml:space="preserve"> This implies that while teachers are generally well-prepared, there is a need to strengthen their skills in strategic thinking and innovative instructional practices.</w:t>
      </w:r>
    </w:p>
    <w:p w14:paraId="4C3E9359" w14:textId="77777777" w:rsidR="00C32CF2" w:rsidRPr="002F6DBB" w:rsidRDefault="00C32CF2" w:rsidP="002F6DBB">
      <w:pPr>
        <w:rPr>
          <w:rFonts w:ascii="Arial" w:hAnsi="Arial" w:cs="Arial"/>
          <w:sz w:val="20"/>
          <w:szCs w:val="20"/>
        </w:rPr>
      </w:pPr>
    </w:p>
    <w:p w14:paraId="17A797EC" w14:textId="77777777" w:rsidR="002F6DBB" w:rsidRPr="002F6DBB" w:rsidRDefault="002F6DBB" w:rsidP="002F6DBB">
      <w:pPr>
        <w:rPr>
          <w:rFonts w:ascii="Arial" w:hAnsi="Arial" w:cs="Arial"/>
          <w:sz w:val="20"/>
          <w:szCs w:val="20"/>
        </w:rPr>
      </w:pPr>
      <w:r w:rsidRPr="002F6DBB">
        <w:rPr>
          <w:rFonts w:ascii="Arial" w:hAnsi="Arial" w:cs="Arial"/>
          <w:sz w:val="20"/>
          <w:szCs w:val="20"/>
        </w:rPr>
        <w:t>A majority of TLE teachers received an Outstanding performance rating. This implies that TLE teachers consistently perform at a high level, demonstrating excellence in their instructional duties and overall professional responsibilities.</w:t>
      </w:r>
    </w:p>
    <w:p w14:paraId="137C035E" w14:textId="77777777" w:rsidR="002F6DBB" w:rsidRPr="002F6DBB" w:rsidRDefault="002F6DBB" w:rsidP="002F6DBB">
      <w:pPr>
        <w:rPr>
          <w:rFonts w:ascii="Arial" w:hAnsi="Arial" w:cs="Arial"/>
          <w:sz w:val="20"/>
          <w:szCs w:val="20"/>
        </w:rPr>
      </w:pPr>
    </w:p>
    <w:p w14:paraId="1799DD55" w14:textId="77777777" w:rsidR="000218AA" w:rsidRPr="002F6DBB" w:rsidRDefault="000218AA" w:rsidP="002F6DBB">
      <w:pPr>
        <w:rPr>
          <w:rFonts w:ascii="Arial" w:hAnsi="Arial" w:cs="Arial"/>
          <w:sz w:val="20"/>
          <w:szCs w:val="20"/>
        </w:rPr>
      </w:pPr>
      <w:r w:rsidRPr="002F6DBB">
        <w:rPr>
          <w:rFonts w:ascii="Arial" w:hAnsi="Arial" w:cs="Arial"/>
          <w:sz w:val="20"/>
          <w:szCs w:val="20"/>
        </w:rPr>
        <w:t xml:space="preserve">The findings revealed that only critical thinking and problem solving, learning and innovation, and environmental literacy exhibited a significant positive relationship with the </w:t>
      </w:r>
      <w:r w:rsidR="008A7B82" w:rsidRPr="002F6DBB">
        <w:rPr>
          <w:rFonts w:ascii="Arial" w:hAnsi="Arial" w:cs="Arial"/>
          <w:color w:val="000000" w:themeColor="text1"/>
          <w:sz w:val="20"/>
          <w:szCs w:val="20"/>
        </w:rPr>
        <w:t>performance of TLE teachers</w:t>
      </w:r>
      <w:r w:rsidRPr="002F6DBB">
        <w:rPr>
          <w:rFonts w:ascii="Arial" w:hAnsi="Arial" w:cs="Arial"/>
          <w:sz w:val="20"/>
          <w:szCs w:val="20"/>
        </w:rPr>
        <w:t>. Notably, communication showed a significant negative correlation, indicating a potential disconnect between perceived and actual communication effectiveness in instructional practice. This implies that while higher-order thinking, creativity, and contextual awareness enhance instructional performance, there may be a disconnect between teachers’ perceived communication skills and their actual effectiveness in classroom delivery.</w:t>
      </w:r>
    </w:p>
    <w:p w14:paraId="04CCB17E" w14:textId="77777777" w:rsidR="000218AA" w:rsidRPr="002F6DBB" w:rsidRDefault="000218AA" w:rsidP="002F6DBB">
      <w:pPr>
        <w:rPr>
          <w:rFonts w:ascii="Arial" w:hAnsi="Arial" w:cs="Arial"/>
          <w:sz w:val="20"/>
          <w:szCs w:val="20"/>
        </w:rPr>
      </w:pPr>
    </w:p>
    <w:p w14:paraId="0853FDCF" w14:textId="77777777" w:rsidR="005A3F70" w:rsidRDefault="005A3F70" w:rsidP="002F6DBB">
      <w:pPr>
        <w:rPr>
          <w:rFonts w:ascii="Arial" w:hAnsi="Arial" w:cs="Arial"/>
          <w:sz w:val="20"/>
          <w:szCs w:val="20"/>
        </w:rPr>
      </w:pPr>
    </w:p>
    <w:p w14:paraId="641C0113" w14:textId="77777777" w:rsidR="005A3F70" w:rsidRPr="005A3F70" w:rsidRDefault="005A3F70" w:rsidP="005A3F70">
      <w:pPr>
        <w:rPr>
          <w:rFonts w:ascii="Arial" w:hAnsi="Arial" w:cs="Arial"/>
          <w:sz w:val="20"/>
          <w:szCs w:val="20"/>
        </w:rPr>
      </w:pPr>
      <w:r w:rsidRPr="005A3F70">
        <w:rPr>
          <w:rFonts w:ascii="Arial" w:hAnsi="Arial" w:cs="Arial"/>
          <w:sz w:val="20"/>
          <w:szCs w:val="20"/>
        </w:rPr>
        <w:t>COMPETING INTERESTS DISCLAIMER:</w:t>
      </w:r>
    </w:p>
    <w:p w14:paraId="485221A7" w14:textId="08194F49" w:rsidR="005A3F70" w:rsidRDefault="005A3F70" w:rsidP="005A3F70">
      <w:pPr>
        <w:rPr>
          <w:rFonts w:ascii="Arial" w:hAnsi="Arial" w:cs="Arial"/>
          <w:sz w:val="20"/>
          <w:szCs w:val="20"/>
        </w:rPr>
      </w:pPr>
      <w:r w:rsidRPr="005A3F7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E036B4D" w14:textId="74384342" w:rsidR="006F7B04" w:rsidRDefault="006F7B04" w:rsidP="005A3F70">
      <w:pPr>
        <w:rPr>
          <w:rFonts w:ascii="Arial" w:hAnsi="Arial" w:cs="Arial"/>
          <w:sz w:val="20"/>
          <w:szCs w:val="20"/>
        </w:rPr>
      </w:pPr>
    </w:p>
    <w:p w14:paraId="1E2B0D88" w14:textId="77777777" w:rsidR="006F7B04" w:rsidRPr="00394842" w:rsidRDefault="006F7B04" w:rsidP="006F7B04">
      <w:pPr>
        <w:rPr>
          <w:highlight w:val="yellow"/>
        </w:rPr>
      </w:pPr>
      <w:r w:rsidRPr="00394842">
        <w:rPr>
          <w:highlight w:val="yellow"/>
        </w:rPr>
        <w:t>Disclaimer (Artificial intelligence)</w:t>
      </w:r>
    </w:p>
    <w:p w14:paraId="74B2EAE0" w14:textId="77777777" w:rsidR="006F7B04" w:rsidRPr="00394842" w:rsidRDefault="006F7B04" w:rsidP="006F7B04">
      <w:pPr>
        <w:rPr>
          <w:highlight w:val="yellow"/>
        </w:rPr>
      </w:pPr>
    </w:p>
    <w:p w14:paraId="0EE996BA" w14:textId="77777777" w:rsidR="006F7B04" w:rsidRPr="00394842" w:rsidRDefault="006F7B04" w:rsidP="006F7B04">
      <w:pPr>
        <w:rPr>
          <w:highlight w:val="yellow"/>
        </w:rPr>
      </w:pPr>
      <w:r w:rsidRPr="00394842">
        <w:rPr>
          <w:highlight w:val="yellow"/>
        </w:rPr>
        <w:t xml:space="preserve">Option 1: </w:t>
      </w:r>
    </w:p>
    <w:p w14:paraId="32482115" w14:textId="77777777" w:rsidR="006F7B04" w:rsidRPr="00394842" w:rsidRDefault="006F7B04" w:rsidP="006F7B04">
      <w:pPr>
        <w:rPr>
          <w:highlight w:val="yellow"/>
        </w:rPr>
      </w:pPr>
    </w:p>
    <w:p w14:paraId="1429EF5C" w14:textId="77777777" w:rsidR="006F7B04" w:rsidRPr="00394842" w:rsidRDefault="006F7B04" w:rsidP="006F7B04">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7D04FE6" w14:textId="77777777" w:rsidR="006F7B04" w:rsidRPr="00394842" w:rsidRDefault="006F7B04" w:rsidP="006F7B04">
      <w:pPr>
        <w:rPr>
          <w:highlight w:val="yellow"/>
        </w:rPr>
      </w:pPr>
    </w:p>
    <w:p w14:paraId="2D793676" w14:textId="77777777" w:rsidR="006F7B04" w:rsidRDefault="006F7B04" w:rsidP="005A3F70"/>
    <w:p w14:paraId="161A3821" w14:textId="77777777" w:rsidR="00E10DCA" w:rsidRDefault="00E10DCA" w:rsidP="005A3F70">
      <w:pPr>
        <w:rPr>
          <w:rFonts w:ascii="Arial" w:hAnsi="Arial" w:cs="Arial"/>
          <w:sz w:val="20"/>
          <w:szCs w:val="20"/>
        </w:rPr>
      </w:pPr>
    </w:p>
    <w:p w14:paraId="630089F1" w14:textId="193CB0AA" w:rsidR="008F41FE" w:rsidRPr="002F6DBB" w:rsidRDefault="002F6DBB" w:rsidP="002F6DBB">
      <w:pPr>
        <w:rPr>
          <w:rFonts w:ascii="Arial" w:hAnsi="Arial" w:cs="Arial"/>
          <w:sz w:val="20"/>
          <w:szCs w:val="20"/>
        </w:rPr>
      </w:pPr>
      <w:r w:rsidRPr="002F6DBB">
        <w:rPr>
          <w:rFonts w:ascii="Arial" w:hAnsi="Arial" w:cs="Arial"/>
          <w:sz w:val="20"/>
          <w:szCs w:val="20"/>
        </w:rPr>
        <w:br/>
      </w:r>
    </w:p>
    <w:p w14:paraId="26B8DDE2" w14:textId="77777777" w:rsidR="008527FD" w:rsidRPr="002F6DBB" w:rsidRDefault="008527FD" w:rsidP="002F6DBB">
      <w:pPr>
        <w:rPr>
          <w:rFonts w:ascii="Arial" w:hAnsi="Arial" w:cs="Arial"/>
          <w:b/>
          <w:bCs/>
          <w:sz w:val="22"/>
          <w:szCs w:val="22"/>
        </w:rPr>
      </w:pPr>
      <w:r w:rsidRPr="002F6DBB">
        <w:rPr>
          <w:rFonts w:ascii="Arial" w:hAnsi="Arial" w:cs="Arial"/>
          <w:b/>
          <w:bCs/>
          <w:sz w:val="22"/>
          <w:szCs w:val="22"/>
        </w:rPr>
        <w:t>REFERENCES</w:t>
      </w:r>
    </w:p>
    <w:p w14:paraId="1D250032" w14:textId="77777777" w:rsidR="001A66D4" w:rsidRPr="002F6DBB" w:rsidRDefault="001A66D4" w:rsidP="002F6DBB">
      <w:pPr>
        <w:ind w:left="360"/>
        <w:rPr>
          <w:rFonts w:ascii="Arial" w:hAnsi="Arial" w:cs="Arial"/>
          <w:sz w:val="20"/>
          <w:szCs w:val="20"/>
        </w:rPr>
      </w:pPr>
    </w:p>
    <w:p w14:paraId="2F853084" w14:textId="4498A4BA"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 </w:t>
      </w:r>
      <w:r w:rsidRPr="002F6DBB">
        <w:rPr>
          <w:rFonts w:ascii="Arial" w:hAnsi="Arial" w:cs="Arial"/>
          <w:color w:val="000000" w:themeColor="text1"/>
          <w:sz w:val="20"/>
          <w:szCs w:val="20"/>
        </w:rPr>
        <w:t>Trilling, B., &amp; Fadel, C. (2009). 21st Century Skills: Learning for Life in Our Times. Jossey-Bass.</w:t>
      </w:r>
      <w:r w:rsidR="002C0480">
        <w:rPr>
          <w:rFonts w:ascii="Arial" w:hAnsi="Arial" w:cs="Arial"/>
          <w:color w:val="000000" w:themeColor="text1"/>
          <w:sz w:val="20"/>
          <w:szCs w:val="20"/>
        </w:rPr>
        <w:t xml:space="preserve"> </w:t>
      </w:r>
      <w:hyperlink r:id="rId7" w:history="1">
        <w:r w:rsidR="002C0480" w:rsidRPr="002508AC">
          <w:rPr>
            <w:rStyle w:val="Hyperlink"/>
          </w:rPr>
          <w:t>https://scholar.google.com/scholar?hl=en&amp;as_sdt=0%2C5&amp;q=%22Trilling%2C+B.%2C+%26+Fadel%2C+C.+%282009%29.+21st+Century+Skills%3A+Learning+for+Life+in+Our+Times.+Jossey-Bass.%22&amp;btnG=</w:t>
        </w:r>
      </w:hyperlink>
      <w:r w:rsidR="002C0480">
        <w:t xml:space="preserve"> </w:t>
      </w:r>
    </w:p>
    <w:p w14:paraId="23A31431" w14:textId="77777777" w:rsidR="002F6DBB" w:rsidRPr="002F6DBB" w:rsidRDefault="002F6DBB" w:rsidP="002F6DBB">
      <w:pPr>
        <w:rPr>
          <w:rFonts w:ascii="Arial" w:hAnsi="Arial" w:cs="Arial"/>
          <w:color w:val="000000" w:themeColor="text1"/>
          <w:sz w:val="20"/>
          <w:szCs w:val="20"/>
        </w:rPr>
      </w:pPr>
    </w:p>
    <w:p w14:paraId="424A6648" w14:textId="631E8AFE"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[2] </w:t>
      </w:r>
      <w:r w:rsidRPr="002F6DBB">
        <w:rPr>
          <w:rFonts w:ascii="Arial" w:hAnsi="Arial" w:cs="Arial"/>
          <w:color w:val="000000" w:themeColor="text1"/>
          <w:sz w:val="20"/>
          <w:szCs w:val="20"/>
        </w:rPr>
        <w:t>Department of Education. (2013). K to 12 Basic Education Curriculum. DepEd Curriculum Guide.</w:t>
      </w:r>
      <w:r w:rsidR="002C0480">
        <w:rPr>
          <w:rFonts w:ascii="Arial" w:hAnsi="Arial" w:cs="Arial"/>
          <w:color w:val="000000" w:themeColor="text1"/>
          <w:sz w:val="20"/>
          <w:szCs w:val="20"/>
        </w:rPr>
        <w:t xml:space="preserve"> </w:t>
      </w:r>
      <w:hyperlink r:id="rId8" w:history="1">
        <w:r w:rsidR="002C0480" w:rsidRPr="005772C3">
          <w:rPr>
            <w:rStyle w:val="Hyperlink"/>
          </w:rPr>
          <w:t>https://www.deped.gov.ph/wp-content/uploads/2019/08/DO_s2019_021.pdf</w:t>
        </w:r>
      </w:hyperlink>
    </w:p>
    <w:p w14:paraId="3B42A0C3" w14:textId="77777777" w:rsidR="002F6DBB" w:rsidRPr="002F6DBB" w:rsidRDefault="002F6DBB" w:rsidP="002F6DBB">
      <w:pPr>
        <w:rPr>
          <w:rFonts w:ascii="Arial" w:hAnsi="Arial" w:cs="Arial"/>
          <w:color w:val="000000" w:themeColor="text1"/>
          <w:sz w:val="20"/>
          <w:szCs w:val="20"/>
        </w:rPr>
      </w:pPr>
    </w:p>
    <w:p w14:paraId="061E330F" w14:textId="01029FAF"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[3] </w:t>
      </w:r>
      <w:r w:rsidRPr="002F6DBB">
        <w:rPr>
          <w:rFonts w:ascii="Arial" w:hAnsi="Arial" w:cs="Arial"/>
          <w:color w:val="000000" w:themeColor="text1"/>
          <w:sz w:val="20"/>
          <w:szCs w:val="20"/>
        </w:rPr>
        <w:t>Department of Education. (2017). DepEd Order No. 42, s. 2017: National Adoption and Implementation of the Philippine Professional Standards for Teachers (PPST).</w:t>
      </w:r>
      <w:r w:rsidR="002C0480">
        <w:rPr>
          <w:rFonts w:ascii="Arial" w:hAnsi="Arial" w:cs="Arial"/>
          <w:color w:val="000000" w:themeColor="text1"/>
          <w:sz w:val="20"/>
          <w:szCs w:val="20"/>
        </w:rPr>
        <w:t xml:space="preserve"> </w:t>
      </w:r>
      <w:hyperlink r:id="rId9" w:history="1">
        <w:r w:rsidR="002C0480" w:rsidRPr="002508AC">
          <w:rPr>
            <w:rStyle w:val="Hyperlink"/>
            <w:rFonts w:ascii="Arial" w:hAnsi="Arial" w:cs="Arial"/>
            <w:sz w:val="20"/>
            <w:szCs w:val="20"/>
          </w:rPr>
          <w:t>https://www.deped.gov.ph/2017/08/11/do-42-s-2017-national-adoption-and-implementation-of-the-philippine-professional-standards-for-teachers/</w:t>
        </w:r>
      </w:hyperlink>
      <w:r w:rsidR="002C0480">
        <w:rPr>
          <w:rFonts w:ascii="Arial" w:hAnsi="Arial" w:cs="Arial"/>
          <w:color w:val="000000" w:themeColor="text1"/>
          <w:sz w:val="20"/>
          <w:szCs w:val="20"/>
        </w:rPr>
        <w:t xml:space="preserve"> </w:t>
      </w:r>
    </w:p>
    <w:p w14:paraId="4F996E3C" w14:textId="77777777" w:rsidR="002F6DBB" w:rsidRPr="002F6DBB" w:rsidRDefault="002F6DBB" w:rsidP="002F6DBB">
      <w:pPr>
        <w:rPr>
          <w:rFonts w:ascii="Arial" w:hAnsi="Arial" w:cs="Arial"/>
          <w:color w:val="000000" w:themeColor="text1"/>
          <w:sz w:val="20"/>
          <w:szCs w:val="20"/>
        </w:rPr>
      </w:pPr>
    </w:p>
    <w:p w14:paraId="4C26DEF2" w14:textId="7E1BF15C"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[4] </w:t>
      </w:r>
      <w:r w:rsidRPr="002F6DBB">
        <w:rPr>
          <w:rFonts w:ascii="Arial" w:hAnsi="Arial" w:cs="Arial"/>
          <w:color w:val="000000" w:themeColor="text1"/>
          <w:sz w:val="20"/>
          <w:szCs w:val="20"/>
        </w:rPr>
        <w:t>Department of Education. (2019). DepEd Order No. 21, s. 2019: Policy Guidelines on the K to 12 Basic Education Program.</w:t>
      </w:r>
      <w:r w:rsidR="002C0480">
        <w:rPr>
          <w:rFonts w:ascii="Arial" w:hAnsi="Arial" w:cs="Arial"/>
          <w:color w:val="000000" w:themeColor="text1"/>
          <w:sz w:val="20"/>
          <w:szCs w:val="20"/>
        </w:rPr>
        <w:t xml:space="preserve"> </w:t>
      </w:r>
      <w:hyperlink r:id="rId10" w:history="1">
        <w:r w:rsidR="002C0480" w:rsidRPr="002508AC">
          <w:rPr>
            <w:rStyle w:val="Hyperlink"/>
          </w:rPr>
          <w:t>https://www.deped.gov.ph/2019/08/22/august-22-2019-do-021-s-2019-policy-guidelines-on-the-k-to-12-basic-education-program/</w:t>
        </w:r>
      </w:hyperlink>
    </w:p>
    <w:p w14:paraId="0A43BA04" w14:textId="77777777" w:rsidR="002F6DBB" w:rsidRPr="002F6DBB" w:rsidRDefault="002F6DBB" w:rsidP="002F6DBB">
      <w:pPr>
        <w:rPr>
          <w:rFonts w:ascii="Arial" w:hAnsi="Arial" w:cs="Arial"/>
          <w:color w:val="000000" w:themeColor="text1"/>
          <w:sz w:val="20"/>
          <w:szCs w:val="20"/>
        </w:rPr>
      </w:pPr>
    </w:p>
    <w:p w14:paraId="6343E598" w14:textId="057F5512"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[5] </w:t>
      </w:r>
      <w:r w:rsidRPr="002F6DBB">
        <w:rPr>
          <w:rFonts w:ascii="Arial" w:hAnsi="Arial" w:cs="Arial"/>
          <w:color w:val="000000" w:themeColor="text1"/>
          <w:sz w:val="20"/>
          <w:szCs w:val="20"/>
        </w:rPr>
        <w:t>Technical Education and Skills Development Authority (TESDA). (2020). Philippine TVET Trainers Qualification Framework (PTTQF).</w:t>
      </w:r>
      <w:r w:rsidR="002C0480">
        <w:rPr>
          <w:rFonts w:ascii="Arial" w:hAnsi="Arial" w:cs="Arial"/>
          <w:color w:val="000000" w:themeColor="text1"/>
          <w:sz w:val="20"/>
          <w:szCs w:val="20"/>
        </w:rPr>
        <w:t xml:space="preserve"> </w:t>
      </w:r>
      <w:hyperlink r:id="rId11" w:history="1">
        <w:r w:rsidR="002C0480" w:rsidRPr="005772C3">
          <w:rPr>
            <w:rStyle w:val="Hyperlink"/>
          </w:rPr>
          <w:t>https://www.tesda.gov.ph/Uploads/File/TWSP%20and%20STEP/Circular/2022/TESDA%20Circular%20No.%20018-2022.pdf</w:t>
        </w:r>
      </w:hyperlink>
    </w:p>
    <w:p w14:paraId="3ECBF6A0" w14:textId="77777777" w:rsidR="002F6DBB" w:rsidRPr="002F6DBB" w:rsidRDefault="002F6DBB" w:rsidP="002F6DBB">
      <w:pPr>
        <w:rPr>
          <w:rFonts w:ascii="Arial" w:hAnsi="Arial" w:cs="Arial"/>
          <w:color w:val="000000" w:themeColor="text1"/>
          <w:sz w:val="20"/>
          <w:szCs w:val="20"/>
        </w:rPr>
      </w:pPr>
    </w:p>
    <w:p w14:paraId="31C11C03" w14:textId="2D839B0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[6] </w:t>
      </w:r>
      <w:r w:rsidRPr="002F6DBB">
        <w:rPr>
          <w:rFonts w:ascii="Arial" w:hAnsi="Arial" w:cs="Arial"/>
          <w:color w:val="000000" w:themeColor="text1"/>
          <w:sz w:val="20"/>
          <w:szCs w:val="20"/>
        </w:rPr>
        <w:t>TESDA. (2021). National Technical Education and Skills Development Plan 2018–2022: Midterm Review.</w:t>
      </w:r>
      <w:r w:rsidR="00AC7D88">
        <w:rPr>
          <w:rFonts w:ascii="Arial" w:hAnsi="Arial" w:cs="Arial"/>
          <w:color w:val="000000" w:themeColor="text1"/>
          <w:sz w:val="20"/>
          <w:szCs w:val="20"/>
        </w:rPr>
        <w:t xml:space="preserve"> </w:t>
      </w:r>
      <w:hyperlink r:id="rId12" w:history="1">
        <w:r w:rsidR="00AC7D88" w:rsidRPr="002508AC">
          <w:rPr>
            <w:rStyle w:val="Hyperlink"/>
            <w:rFonts w:ascii="Arial" w:hAnsi="Arial" w:cs="Arial"/>
            <w:sz w:val="20"/>
            <w:szCs w:val="20"/>
          </w:rPr>
          <w:t>https://sea-vet.net/images/seb/initiatives/appendix_file/577/ntesdpfinalwithcover-1.pdf</w:t>
        </w:r>
      </w:hyperlink>
      <w:r w:rsidR="00AC7D88">
        <w:rPr>
          <w:rFonts w:ascii="Arial" w:hAnsi="Arial" w:cs="Arial"/>
          <w:color w:val="000000" w:themeColor="text1"/>
          <w:sz w:val="20"/>
          <w:szCs w:val="20"/>
        </w:rPr>
        <w:t xml:space="preserve"> </w:t>
      </w:r>
    </w:p>
    <w:p w14:paraId="585C684B" w14:textId="77777777" w:rsidR="002F6DBB" w:rsidRPr="002F6DBB" w:rsidRDefault="002F6DBB" w:rsidP="002F6DBB">
      <w:pPr>
        <w:rPr>
          <w:rFonts w:ascii="Arial" w:hAnsi="Arial" w:cs="Arial"/>
          <w:color w:val="000000" w:themeColor="text1"/>
          <w:sz w:val="20"/>
          <w:szCs w:val="20"/>
        </w:rPr>
      </w:pPr>
    </w:p>
    <w:p w14:paraId="3A396204" w14:textId="6E6DD0B4" w:rsid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[7] </w:t>
      </w:r>
      <w:proofErr w:type="spellStart"/>
      <w:r w:rsidR="00AC7D88" w:rsidRPr="00AC7D88">
        <w:rPr>
          <w:rFonts w:ascii="Arial" w:hAnsi="Arial" w:cs="Arial"/>
          <w:color w:val="000000" w:themeColor="text1"/>
          <w:sz w:val="20"/>
          <w:szCs w:val="20"/>
        </w:rPr>
        <w:t>Eslit</w:t>
      </w:r>
      <w:proofErr w:type="spellEnd"/>
      <w:r w:rsidR="00AC7D88" w:rsidRPr="00AC7D88">
        <w:rPr>
          <w:rFonts w:ascii="Arial" w:hAnsi="Arial" w:cs="Arial"/>
          <w:color w:val="000000" w:themeColor="text1"/>
          <w:sz w:val="20"/>
          <w:szCs w:val="20"/>
        </w:rPr>
        <w:t xml:space="preserve">, Edgar R.  (2023). 21st Century Teaching. RESEARCHGATE. </w:t>
      </w:r>
      <w:hyperlink r:id="rId13" w:anchor=":~:text=Rigorous%20measures%20were%20implemented%20to,practices%20in%20the%20modern%20era.&amp;text=Content%20may%20be%20subject%20to%20copyright.&amp;text=Science%2C%20Crossr,cilit%2C%20Europe%20PMC.&amp;text=medium%2C%20provide,operly%20cited" w:history="1">
        <w:r w:rsidR="00AC7D88" w:rsidRPr="002508AC">
          <w:rPr>
            <w:rStyle w:val="Hyperlink"/>
            <w:rFonts w:ascii="Arial" w:hAnsi="Arial" w:cs="Arial"/>
            <w:sz w:val="20"/>
            <w:szCs w:val="20"/>
          </w:rPr>
          <w:t>https://www.researchgate.net/publication/371945948_21st_Century_Teaching#:~:text=Rigorous%20measures%20were%20implemented%20to,practices%20in%20the%20modern%20era.&amp;text=Content%20may%20be%20subject%20to%20copyright.&amp;text=Science%2C%20Crossr,cilit%2C%20Europe%20PMC.&amp;text=medium%2C%20provide,operly%20cited</w:t>
        </w:r>
      </w:hyperlink>
      <w:r w:rsidR="00AC7D88" w:rsidRPr="00AC7D88">
        <w:rPr>
          <w:rFonts w:ascii="Arial" w:hAnsi="Arial" w:cs="Arial"/>
          <w:color w:val="000000" w:themeColor="text1"/>
          <w:sz w:val="20"/>
          <w:szCs w:val="20"/>
        </w:rPr>
        <w:t>.</w:t>
      </w:r>
    </w:p>
    <w:p w14:paraId="5E1955D3" w14:textId="77777777" w:rsidR="00AC7D88" w:rsidRPr="002F6DBB" w:rsidRDefault="00AC7D88" w:rsidP="002F6DBB">
      <w:pPr>
        <w:rPr>
          <w:rFonts w:ascii="Arial" w:hAnsi="Arial" w:cs="Arial"/>
          <w:color w:val="000000" w:themeColor="text1"/>
          <w:sz w:val="20"/>
          <w:szCs w:val="20"/>
        </w:rPr>
      </w:pPr>
    </w:p>
    <w:p w14:paraId="4671FB4F" w14:textId="50098EAF"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[8] </w:t>
      </w:r>
      <w:proofErr w:type="spellStart"/>
      <w:r w:rsidR="00476B74" w:rsidRPr="00476B74">
        <w:rPr>
          <w:rFonts w:ascii="Arial" w:hAnsi="Arial" w:cs="Arial"/>
          <w:color w:val="000000" w:themeColor="text1"/>
          <w:sz w:val="20"/>
          <w:szCs w:val="20"/>
        </w:rPr>
        <w:t>Pinatil</w:t>
      </w:r>
      <w:proofErr w:type="spellEnd"/>
      <w:r w:rsidR="00476B74" w:rsidRPr="00476B74">
        <w:rPr>
          <w:rFonts w:ascii="Arial" w:hAnsi="Arial" w:cs="Arial"/>
          <w:color w:val="000000" w:themeColor="text1"/>
          <w:sz w:val="20"/>
          <w:szCs w:val="20"/>
        </w:rPr>
        <w:t xml:space="preserve">, Leila &amp; Ramos, Ariel L.  (2023). Theory of Adaptation of Educators Teaching Technology-Based Courses. </w:t>
      </w:r>
      <w:proofErr w:type="spellStart"/>
      <w:r w:rsidR="00476B74" w:rsidRPr="00476B74">
        <w:rPr>
          <w:rFonts w:ascii="Arial" w:hAnsi="Arial" w:cs="Arial"/>
          <w:color w:val="000000" w:themeColor="text1"/>
          <w:sz w:val="20"/>
          <w:szCs w:val="20"/>
        </w:rPr>
        <w:t>Recoletos</w:t>
      </w:r>
      <w:proofErr w:type="spellEnd"/>
      <w:r w:rsidR="00476B74" w:rsidRPr="00476B74">
        <w:rPr>
          <w:rFonts w:ascii="Arial" w:hAnsi="Arial" w:cs="Arial"/>
          <w:color w:val="000000" w:themeColor="text1"/>
          <w:sz w:val="20"/>
          <w:szCs w:val="20"/>
        </w:rPr>
        <w:t xml:space="preserve"> Multidisciplinary Research Journal. 11 (1). </w:t>
      </w:r>
      <w:hyperlink r:id="rId14" w:anchor=":~:text=Abstract:,by%20the%20COVID%2D19%20pandemic" w:history="1">
        <w:r w:rsidR="00476B74" w:rsidRPr="002508AC">
          <w:rPr>
            <w:rStyle w:val="Hyperlink"/>
            <w:rFonts w:ascii="Arial" w:hAnsi="Arial" w:cs="Arial"/>
            <w:sz w:val="20"/>
            <w:szCs w:val="20"/>
          </w:rPr>
          <w:t>https://ejournals.ph/article.php?id=19829#:~:text=Abstract:,by%20the%20COVID%2D19%20pandemic</w:t>
        </w:r>
      </w:hyperlink>
    </w:p>
    <w:p w14:paraId="1DC2E6F5" w14:textId="77777777" w:rsidR="002F6DBB" w:rsidRPr="002F6DBB" w:rsidRDefault="002F6DBB" w:rsidP="002F6DBB">
      <w:pPr>
        <w:rPr>
          <w:rFonts w:ascii="Arial" w:hAnsi="Arial" w:cs="Arial"/>
          <w:color w:val="000000" w:themeColor="text1"/>
          <w:sz w:val="20"/>
          <w:szCs w:val="20"/>
        </w:rPr>
      </w:pPr>
    </w:p>
    <w:p w14:paraId="59231600" w14:textId="45D77621" w:rsidR="002F6DBB" w:rsidRPr="00A32A87" w:rsidRDefault="002F6DBB" w:rsidP="00A32A87">
      <w:pPr>
        <w:rPr>
          <w:rFonts w:ascii="Arial" w:eastAsia="Calibri" w:hAnsi="Arial" w:cs="Arial"/>
          <w:kern w:val="0"/>
          <w:sz w:val="20"/>
          <w:szCs w:val="20"/>
          <w14:ligatures w14:val="none"/>
        </w:rPr>
      </w:pPr>
      <w:r>
        <w:rPr>
          <w:rFonts w:ascii="Arial" w:hAnsi="Arial" w:cs="Arial"/>
          <w:color w:val="000000" w:themeColor="text1"/>
          <w:sz w:val="20"/>
          <w:szCs w:val="20"/>
        </w:rPr>
        <w:t xml:space="preserve">[9] </w:t>
      </w:r>
      <w:r w:rsidR="00A32A87" w:rsidRPr="00A32A87">
        <w:rPr>
          <w:rFonts w:ascii="Arial" w:eastAsia="Calibri" w:hAnsi="Arial" w:cs="Arial"/>
          <w:kern w:val="0"/>
          <w:sz w:val="20"/>
          <w:szCs w:val="20"/>
          <w14:ligatures w14:val="none"/>
        </w:rPr>
        <w:t xml:space="preserve">Guadalupe, Jocelyn </w:t>
      </w:r>
      <w:proofErr w:type="gramStart"/>
      <w:r w:rsidR="00A32A87" w:rsidRPr="00A32A87">
        <w:rPr>
          <w:rFonts w:ascii="Arial" w:eastAsia="Calibri" w:hAnsi="Arial" w:cs="Arial"/>
          <w:kern w:val="0"/>
          <w:sz w:val="20"/>
          <w:szCs w:val="20"/>
          <w14:ligatures w14:val="none"/>
        </w:rPr>
        <w:t>T. ,</w:t>
      </w:r>
      <w:proofErr w:type="gramEnd"/>
      <w:r w:rsidR="00A32A87" w:rsidRPr="00A32A87">
        <w:rPr>
          <w:rFonts w:ascii="Arial" w:eastAsia="Calibri" w:hAnsi="Arial" w:cs="Arial"/>
          <w:kern w:val="0"/>
          <w:sz w:val="20"/>
          <w:szCs w:val="20"/>
          <w14:ligatures w14:val="none"/>
        </w:rPr>
        <w:t xml:space="preserve"> Abaya, </w:t>
      </w:r>
      <w:proofErr w:type="spellStart"/>
      <w:r w:rsidR="00A32A87" w:rsidRPr="00A32A87">
        <w:rPr>
          <w:rFonts w:ascii="Arial" w:eastAsia="Calibri" w:hAnsi="Arial" w:cs="Arial"/>
          <w:kern w:val="0"/>
          <w:sz w:val="20"/>
          <w:szCs w:val="20"/>
          <w14:ligatures w14:val="none"/>
        </w:rPr>
        <w:t>Eufracio</w:t>
      </w:r>
      <w:proofErr w:type="spellEnd"/>
      <w:r w:rsidR="00A32A87" w:rsidRPr="00A32A87">
        <w:rPr>
          <w:rFonts w:ascii="Arial" w:eastAsia="Calibri" w:hAnsi="Arial" w:cs="Arial"/>
          <w:kern w:val="0"/>
          <w:sz w:val="20"/>
          <w:szCs w:val="20"/>
          <w14:ligatures w14:val="none"/>
        </w:rPr>
        <w:t xml:space="preserve"> C. , and </w:t>
      </w:r>
      <w:proofErr w:type="spellStart"/>
      <w:r w:rsidR="00A32A87" w:rsidRPr="00A32A87">
        <w:rPr>
          <w:rFonts w:ascii="Arial" w:eastAsia="Calibri" w:hAnsi="Arial" w:cs="Arial"/>
          <w:kern w:val="0"/>
          <w:sz w:val="20"/>
          <w:szCs w:val="20"/>
          <w14:ligatures w14:val="none"/>
        </w:rPr>
        <w:t>Camposano</w:t>
      </w:r>
      <w:proofErr w:type="spellEnd"/>
      <w:r w:rsidR="00A32A87" w:rsidRPr="00A32A87">
        <w:rPr>
          <w:rFonts w:ascii="Arial" w:eastAsia="Calibri" w:hAnsi="Arial" w:cs="Arial"/>
          <w:kern w:val="0"/>
          <w:sz w:val="20"/>
          <w:szCs w:val="20"/>
          <w14:ligatures w14:val="none"/>
        </w:rPr>
        <w:t xml:space="preserve">, Clement C.  (2023). Enacting Music Curriculum Contextualization in the Philippine K to 12 Curriculum: Negotiations, Constraints, and Mediating Forces.  Philippine Journal </w:t>
      </w:r>
      <w:r w:rsidR="00A32A87">
        <w:rPr>
          <w:rFonts w:ascii="Arial" w:eastAsia="Calibri" w:hAnsi="Arial" w:cs="Arial"/>
          <w:kern w:val="0"/>
          <w:sz w:val="20"/>
          <w:szCs w:val="20"/>
          <w14:ligatures w14:val="none"/>
        </w:rPr>
        <w:t>o</w:t>
      </w:r>
      <w:r w:rsidR="00A32A87" w:rsidRPr="00A32A87">
        <w:rPr>
          <w:rFonts w:ascii="Arial" w:eastAsia="Calibri" w:hAnsi="Arial" w:cs="Arial"/>
          <w:kern w:val="0"/>
          <w:sz w:val="20"/>
          <w:szCs w:val="20"/>
          <w14:ligatures w14:val="none"/>
        </w:rPr>
        <w:t>f</w:t>
      </w:r>
      <w:r w:rsidR="00A32A87">
        <w:rPr>
          <w:rFonts w:ascii="Arial" w:eastAsia="Calibri" w:hAnsi="Arial" w:cs="Arial"/>
          <w:kern w:val="0"/>
          <w:sz w:val="20"/>
          <w:szCs w:val="20"/>
          <w14:ligatures w14:val="none"/>
        </w:rPr>
        <w:t xml:space="preserve"> </w:t>
      </w:r>
      <w:r w:rsidR="00A32A87" w:rsidRPr="00A32A87">
        <w:rPr>
          <w:rFonts w:ascii="Arial" w:eastAsia="Calibri" w:hAnsi="Arial" w:cs="Arial"/>
          <w:kern w:val="0"/>
          <w:sz w:val="20"/>
          <w:szCs w:val="20"/>
          <w14:ligatures w14:val="none"/>
        </w:rPr>
        <w:t xml:space="preserve">Education Studies. 1 (1). </w:t>
      </w:r>
      <w:hyperlink r:id="rId15" w:history="1">
        <w:r w:rsidR="00A32A87" w:rsidRPr="00A32A87">
          <w:rPr>
            <w:rStyle w:val="Hyperlink"/>
            <w:rFonts w:ascii="Arial" w:eastAsia="Calibri" w:hAnsi="Arial" w:cs="Arial"/>
            <w:kern w:val="0"/>
            <w:sz w:val="20"/>
            <w:szCs w:val="20"/>
            <w14:ligatures w14:val="none"/>
          </w:rPr>
          <w:t>https://educ.upd.edu.ph/wp-content/uploads/2023/07/12-PJES-Volume-1-Number-1-2023.pdf</w:t>
        </w:r>
      </w:hyperlink>
      <w:r w:rsidRPr="00A32A87">
        <w:rPr>
          <w:rFonts w:ascii="Arial" w:hAnsi="Arial" w:cs="Arial"/>
          <w:color w:val="000000" w:themeColor="text1"/>
          <w:sz w:val="20"/>
          <w:szCs w:val="20"/>
        </w:rPr>
        <w:t>.</w:t>
      </w:r>
    </w:p>
    <w:p w14:paraId="320FE567" w14:textId="77777777" w:rsidR="002F6DBB" w:rsidRPr="002F6DBB" w:rsidRDefault="002F6DBB" w:rsidP="002F6DBB">
      <w:pPr>
        <w:rPr>
          <w:rFonts w:ascii="Arial" w:hAnsi="Arial" w:cs="Arial"/>
          <w:color w:val="000000" w:themeColor="text1"/>
          <w:sz w:val="20"/>
          <w:szCs w:val="20"/>
        </w:rPr>
      </w:pPr>
    </w:p>
    <w:p w14:paraId="26E06D5F" w14:textId="4B6E701C"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lastRenderedPageBreak/>
        <w:t xml:space="preserve">[10] </w:t>
      </w:r>
      <w:r w:rsidRPr="002F6DBB">
        <w:rPr>
          <w:rFonts w:ascii="Arial" w:hAnsi="Arial" w:cs="Arial"/>
          <w:color w:val="000000" w:themeColor="text1"/>
          <w:sz w:val="20"/>
          <w:szCs w:val="20"/>
        </w:rPr>
        <w:t>Department of Education. (2015). DepEd Order No. 2, s. 2015: Guidelines on the Establishment and Implementation of the Results-Based Performance Management System (RPMS) in the Department of Education.</w:t>
      </w:r>
      <w:r w:rsidR="00A32A87">
        <w:rPr>
          <w:rFonts w:ascii="Arial" w:hAnsi="Arial" w:cs="Arial"/>
          <w:color w:val="000000" w:themeColor="text1"/>
          <w:sz w:val="20"/>
          <w:szCs w:val="20"/>
        </w:rPr>
        <w:t xml:space="preserve"> </w:t>
      </w:r>
      <w:hyperlink r:id="rId16" w:history="1">
        <w:r w:rsidR="00A32A87" w:rsidRPr="00872BA4">
          <w:rPr>
            <w:color w:val="0563C1" w:themeColor="hyperlink"/>
            <w:u w:val="single"/>
          </w:rPr>
          <w:t>https://www.deped.gov.ph/2015/02/06/do-2-s-2015-guidelines-on-the-establishment-and-implementation-of-the-results-based-performance-management-system-rpms-in-the-department-of-education/</w:t>
        </w:r>
      </w:hyperlink>
      <w:r w:rsidR="00A32A87">
        <w:rPr>
          <w:color w:val="0563C1" w:themeColor="hyperlink"/>
          <w:u w:val="single"/>
        </w:rPr>
        <w:t xml:space="preserve"> </w:t>
      </w:r>
    </w:p>
    <w:p w14:paraId="0AD09DE5" w14:textId="77777777" w:rsidR="002F6DBB" w:rsidRPr="002F6DBB" w:rsidRDefault="002F6DBB" w:rsidP="002F6DBB">
      <w:pPr>
        <w:rPr>
          <w:rFonts w:ascii="Arial" w:hAnsi="Arial" w:cs="Arial"/>
          <w:color w:val="000000" w:themeColor="text1"/>
          <w:sz w:val="20"/>
          <w:szCs w:val="20"/>
        </w:rPr>
      </w:pPr>
    </w:p>
    <w:p w14:paraId="00461F81" w14:textId="2097F7DF" w:rsid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[11] </w:t>
      </w:r>
      <w:r w:rsidRPr="002F6DBB">
        <w:rPr>
          <w:rFonts w:ascii="Arial" w:hAnsi="Arial" w:cs="Arial"/>
          <w:color w:val="000000" w:themeColor="text1"/>
          <w:sz w:val="20"/>
          <w:szCs w:val="20"/>
        </w:rPr>
        <w:t>Department of Education. (2023). RPMS-PPST Manual for Teachers and School Heads: SY 2023–2024 Edition. Bureau of Human Resource and Organizational Development (BHROD).</w:t>
      </w:r>
      <w:r w:rsidR="00D852EA">
        <w:rPr>
          <w:rFonts w:ascii="Arial" w:hAnsi="Arial" w:cs="Arial"/>
          <w:color w:val="000000" w:themeColor="text1"/>
          <w:sz w:val="20"/>
          <w:szCs w:val="20"/>
        </w:rPr>
        <w:t xml:space="preserve"> </w:t>
      </w:r>
      <w:hyperlink r:id="rId17" w:history="1">
        <w:r w:rsidR="00D852EA" w:rsidRPr="002508AC">
          <w:rPr>
            <w:rStyle w:val="Hyperlink"/>
            <w:rFonts w:ascii="Arial" w:hAnsi="Arial" w:cs="Arial"/>
            <w:sz w:val="20"/>
            <w:szCs w:val="20"/>
          </w:rPr>
          <w:t>https://www.deped.gov.ph/wp-content/uploads/DM_s2025_017.pdf</w:t>
        </w:r>
      </w:hyperlink>
      <w:r w:rsidR="00D852EA">
        <w:rPr>
          <w:rFonts w:ascii="Arial" w:hAnsi="Arial" w:cs="Arial"/>
          <w:color w:val="000000" w:themeColor="text1"/>
          <w:sz w:val="20"/>
          <w:szCs w:val="20"/>
        </w:rPr>
        <w:t xml:space="preserve"> </w:t>
      </w:r>
    </w:p>
    <w:p w14:paraId="1D334C04" w14:textId="77777777" w:rsidR="002F6DBB" w:rsidRDefault="002F6DBB" w:rsidP="002F6DBB">
      <w:pPr>
        <w:rPr>
          <w:rFonts w:ascii="Arial" w:hAnsi="Arial" w:cs="Arial"/>
          <w:color w:val="000000" w:themeColor="text1"/>
          <w:sz w:val="20"/>
          <w:szCs w:val="20"/>
        </w:rPr>
      </w:pPr>
    </w:p>
    <w:p w14:paraId="53F7F91D" w14:textId="0EFBC284" w:rsidR="002F6DBB" w:rsidRPr="00C6155D"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[12] </w:t>
      </w:r>
      <w:r w:rsidRPr="00C660BE">
        <w:rPr>
          <w:rFonts w:ascii="Arial" w:hAnsi="Arial" w:cs="Arial"/>
          <w:color w:val="000000" w:themeColor="text1"/>
          <w:sz w:val="20"/>
          <w:szCs w:val="20"/>
        </w:rPr>
        <w:t>Technical Education and Skills Development Authority (TESDA). (2022). TESDA Circular No. 018, s. 2022: Revised Guidelines on TVET Trainers Qualification Framework (PTTQF)</w:t>
      </w:r>
      <w:r w:rsidR="00D852EA">
        <w:rPr>
          <w:rFonts w:ascii="Arial" w:hAnsi="Arial" w:cs="Arial"/>
          <w:color w:val="000000" w:themeColor="text1"/>
          <w:sz w:val="20"/>
          <w:szCs w:val="20"/>
        </w:rPr>
        <w:t xml:space="preserve">. </w:t>
      </w:r>
      <w:hyperlink r:id="rId18" w:history="1">
        <w:r w:rsidR="00AE531C" w:rsidRPr="005772C3">
          <w:rPr>
            <w:rStyle w:val="Hyperlink"/>
          </w:rPr>
          <w:t>https://www.tesda.gov.ph/Uploads/File/TWSP%20and%20STEP/Circular/2022/TESDA%20Circular%20No.%20018-2022.pdf</w:t>
        </w:r>
      </w:hyperlink>
    </w:p>
    <w:p w14:paraId="6B1CB695" w14:textId="77777777" w:rsidR="002F6DBB" w:rsidRPr="002F6DBB" w:rsidRDefault="002F6DBB" w:rsidP="002F6DBB">
      <w:pPr>
        <w:rPr>
          <w:rFonts w:ascii="Arial" w:hAnsi="Arial" w:cs="Arial"/>
          <w:color w:val="000000" w:themeColor="text1"/>
          <w:sz w:val="20"/>
          <w:szCs w:val="20"/>
        </w:rPr>
      </w:pPr>
    </w:p>
    <w:p w14:paraId="4795654B" w14:textId="77777777" w:rsidR="008F41FE" w:rsidRPr="002F6DBB" w:rsidRDefault="008F41FE" w:rsidP="002F6DBB">
      <w:pPr>
        <w:ind w:left="360"/>
        <w:rPr>
          <w:rFonts w:ascii="Arial" w:hAnsi="Arial" w:cs="Arial"/>
          <w:sz w:val="20"/>
          <w:szCs w:val="20"/>
        </w:rPr>
      </w:pPr>
    </w:p>
    <w:sectPr w:rsidR="008F41FE" w:rsidRPr="002F6DB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A6F42" w14:textId="77777777" w:rsidR="00361829" w:rsidRDefault="00361829" w:rsidP="00777C03">
      <w:r>
        <w:separator/>
      </w:r>
    </w:p>
  </w:endnote>
  <w:endnote w:type="continuationSeparator" w:id="0">
    <w:p w14:paraId="003AAD14" w14:textId="77777777" w:rsidR="00361829" w:rsidRDefault="00361829" w:rsidP="0077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7CEF" w14:textId="77777777" w:rsidR="00777C03" w:rsidRDefault="0077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8AB5" w14:textId="77777777" w:rsidR="00777C03" w:rsidRDefault="0077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AA02" w14:textId="77777777" w:rsidR="00777C03" w:rsidRDefault="0077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06678" w14:textId="77777777" w:rsidR="00361829" w:rsidRDefault="00361829" w:rsidP="00777C03">
      <w:r>
        <w:separator/>
      </w:r>
    </w:p>
  </w:footnote>
  <w:footnote w:type="continuationSeparator" w:id="0">
    <w:p w14:paraId="459922EC" w14:textId="77777777" w:rsidR="00361829" w:rsidRDefault="00361829" w:rsidP="0077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2CBB" w14:textId="25454A03" w:rsidR="00777C03" w:rsidRDefault="00B1120F">
    <w:pPr>
      <w:pStyle w:val="Header"/>
    </w:pPr>
    <w:r>
      <w:rPr>
        <w:noProof/>
      </w:rPr>
      <w:pict w14:anchorId="505FA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1"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F2AE" w14:textId="59B541CE" w:rsidR="00777C03" w:rsidRDefault="00B1120F">
    <w:pPr>
      <w:pStyle w:val="Header"/>
    </w:pPr>
    <w:r>
      <w:rPr>
        <w:noProof/>
      </w:rPr>
      <w:pict w14:anchorId="3DDC4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2"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8F42" w14:textId="4234D06A" w:rsidR="00777C03" w:rsidRDefault="00B1120F">
    <w:pPr>
      <w:pStyle w:val="Header"/>
    </w:pPr>
    <w:r>
      <w:rPr>
        <w:noProof/>
      </w:rPr>
      <w:pict w14:anchorId="731A0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0"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E12509"/>
    <w:multiLevelType w:val="hybridMultilevel"/>
    <w:tmpl w:val="0D1C572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3B0DFC"/>
    <w:multiLevelType w:val="multilevel"/>
    <w:tmpl w:val="7AA8F958"/>
    <w:lvl w:ilvl="0">
      <w:start w:val="4"/>
      <w:numFmt w:val="decimal"/>
      <w:lvlText w:val="%1"/>
      <w:lvlJc w:val="left"/>
      <w:pPr>
        <w:ind w:left="420" w:hanging="42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960" w:hanging="1800"/>
      </w:pPr>
      <w:rPr>
        <w:rFonts w:hint="default"/>
      </w:rPr>
    </w:lvl>
    <w:lvl w:ilvl="6">
      <w:start w:val="1"/>
      <w:numFmt w:val="decimal"/>
      <w:lvlText w:val="%1.%2.%3.%4.%5.%6.%7"/>
      <w:lvlJc w:val="left"/>
      <w:pPr>
        <w:ind w:left="4752" w:hanging="216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12"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3"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6"/>
  </w:num>
  <w:num w:numId="4">
    <w:abstractNumId w:val="1"/>
  </w:num>
  <w:num w:numId="5">
    <w:abstractNumId w:val="8"/>
  </w:num>
  <w:num w:numId="6">
    <w:abstractNumId w:val="4"/>
  </w:num>
  <w:num w:numId="7">
    <w:abstractNumId w:val="3"/>
  </w:num>
  <w:num w:numId="8">
    <w:abstractNumId w:val="0"/>
  </w:num>
  <w:num w:numId="9">
    <w:abstractNumId w:val="5"/>
  </w:num>
  <w:num w:numId="10">
    <w:abstractNumId w:val="9"/>
  </w:num>
  <w:num w:numId="11">
    <w:abstractNumId w:val="7"/>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12"/>
    <w:rsid w:val="00006001"/>
    <w:rsid w:val="000218AA"/>
    <w:rsid w:val="00127B68"/>
    <w:rsid w:val="00174930"/>
    <w:rsid w:val="00176F3E"/>
    <w:rsid w:val="001A66D4"/>
    <w:rsid w:val="0020753E"/>
    <w:rsid w:val="0021517E"/>
    <w:rsid w:val="00224004"/>
    <w:rsid w:val="0022508F"/>
    <w:rsid w:val="00232770"/>
    <w:rsid w:val="002C0480"/>
    <w:rsid w:val="002C6C2A"/>
    <w:rsid w:val="002F6DBB"/>
    <w:rsid w:val="003041CA"/>
    <w:rsid w:val="003055EE"/>
    <w:rsid w:val="0030668B"/>
    <w:rsid w:val="00325991"/>
    <w:rsid w:val="00361829"/>
    <w:rsid w:val="00413ECE"/>
    <w:rsid w:val="00423851"/>
    <w:rsid w:val="0044433B"/>
    <w:rsid w:val="00476B74"/>
    <w:rsid w:val="004F1819"/>
    <w:rsid w:val="00514C8C"/>
    <w:rsid w:val="005258A4"/>
    <w:rsid w:val="005A3F70"/>
    <w:rsid w:val="005C740E"/>
    <w:rsid w:val="006021DB"/>
    <w:rsid w:val="006136C2"/>
    <w:rsid w:val="00621469"/>
    <w:rsid w:val="00622E62"/>
    <w:rsid w:val="006D2837"/>
    <w:rsid w:val="006F7B04"/>
    <w:rsid w:val="00706CFC"/>
    <w:rsid w:val="00720AC4"/>
    <w:rsid w:val="0074371A"/>
    <w:rsid w:val="00777C03"/>
    <w:rsid w:val="007D6719"/>
    <w:rsid w:val="008527FD"/>
    <w:rsid w:val="008670E2"/>
    <w:rsid w:val="008A4747"/>
    <w:rsid w:val="008A7B82"/>
    <w:rsid w:val="008B262C"/>
    <w:rsid w:val="008D24BB"/>
    <w:rsid w:val="008D36B8"/>
    <w:rsid w:val="008D79F9"/>
    <w:rsid w:val="008F41FE"/>
    <w:rsid w:val="00912BD0"/>
    <w:rsid w:val="00951D12"/>
    <w:rsid w:val="00955B66"/>
    <w:rsid w:val="009848C0"/>
    <w:rsid w:val="00986175"/>
    <w:rsid w:val="009E230C"/>
    <w:rsid w:val="00A32A87"/>
    <w:rsid w:val="00A34861"/>
    <w:rsid w:val="00A454D3"/>
    <w:rsid w:val="00A6734B"/>
    <w:rsid w:val="00A7196E"/>
    <w:rsid w:val="00AC7D88"/>
    <w:rsid w:val="00AE531C"/>
    <w:rsid w:val="00AF6AC8"/>
    <w:rsid w:val="00B1120F"/>
    <w:rsid w:val="00B21A9A"/>
    <w:rsid w:val="00B835A4"/>
    <w:rsid w:val="00BD7978"/>
    <w:rsid w:val="00BF788D"/>
    <w:rsid w:val="00C329E8"/>
    <w:rsid w:val="00C32CF2"/>
    <w:rsid w:val="00C46665"/>
    <w:rsid w:val="00C607AB"/>
    <w:rsid w:val="00CD00FC"/>
    <w:rsid w:val="00D27F14"/>
    <w:rsid w:val="00D8130D"/>
    <w:rsid w:val="00D8336F"/>
    <w:rsid w:val="00D852EA"/>
    <w:rsid w:val="00D93E41"/>
    <w:rsid w:val="00DC58D7"/>
    <w:rsid w:val="00DF1B70"/>
    <w:rsid w:val="00E10DCA"/>
    <w:rsid w:val="00E116B6"/>
    <w:rsid w:val="00E53204"/>
    <w:rsid w:val="00E673CF"/>
    <w:rsid w:val="00E97FBD"/>
    <w:rsid w:val="00EB4089"/>
    <w:rsid w:val="00EF5800"/>
    <w:rsid w:val="00F66DB8"/>
    <w:rsid w:val="00FD3DD2"/>
    <w:rsid w:val="00FE0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1C5DE"/>
  <w15:chartTrackingRefBased/>
  <w15:docId w15:val="{CB297519-AA3E-7B4C-A4E0-2BBA7C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FD3DD2"/>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FD3DD2"/>
    <w:rPr>
      <w:rFonts w:ascii="Courier New" w:eastAsia="Courier New" w:hAnsi="Courier New" w:cs="Courier New"/>
      <w:kern w:val="0"/>
      <w:lang w:val="en-US"/>
      <w14:ligatures w14:val="none"/>
    </w:rPr>
  </w:style>
  <w:style w:type="character" w:styleId="Hyperlink">
    <w:name w:val="Hyperlink"/>
    <w:basedOn w:val="DefaultParagraphFont"/>
    <w:uiPriority w:val="99"/>
    <w:unhideWhenUsed/>
    <w:rsid w:val="00622E62"/>
    <w:rPr>
      <w:color w:val="0563C1" w:themeColor="hyperlink"/>
      <w:u w:val="single"/>
    </w:rPr>
  </w:style>
  <w:style w:type="character" w:customStyle="1" w:styleId="UnresolvedMention1">
    <w:name w:val="Unresolved Mention1"/>
    <w:basedOn w:val="DefaultParagraphFont"/>
    <w:uiPriority w:val="99"/>
    <w:semiHidden/>
    <w:unhideWhenUsed/>
    <w:rsid w:val="00622E62"/>
    <w:rPr>
      <w:color w:val="605E5C"/>
      <w:shd w:val="clear" w:color="auto" w:fill="E1DFDD"/>
    </w:rPr>
  </w:style>
  <w:style w:type="paragraph" w:styleId="Header">
    <w:name w:val="header"/>
    <w:basedOn w:val="Normal"/>
    <w:link w:val="HeaderChar"/>
    <w:uiPriority w:val="99"/>
    <w:unhideWhenUsed/>
    <w:rsid w:val="00777C03"/>
    <w:pPr>
      <w:tabs>
        <w:tab w:val="center" w:pos="4680"/>
        <w:tab w:val="right" w:pos="9360"/>
      </w:tabs>
    </w:pPr>
  </w:style>
  <w:style w:type="character" w:customStyle="1" w:styleId="HeaderChar">
    <w:name w:val="Header Char"/>
    <w:basedOn w:val="DefaultParagraphFont"/>
    <w:link w:val="Header"/>
    <w:uiPriority w:val="99"/>
    <w:rsid w:val="00777C03"/>
  </w:style>
  <w:style w:type="paragraph" w:styleId="Footer">
    <w:name w:val="footer"/>
    <w:basedOn w:val="Normal"/>
    <w:link w:val="FooterChar"/>
    <w:uiPriority w:val="99"/>
    <w:unhideWhenUsed/>
    <w:rsid w:val="00777C03"/>
    <w:pPr>
      <w:tabs>
        <w:tab w:val="center" w:pos="4680"/>
        <w:tab w:val="right" w:pos="9360"/>
      </w:tabs>
    </w:pPr>
  </w:style>
  <w:style w:type="character" w:customStyle="1" w:styleId="FooterChar">
    <w:name w:val="Footer Char"/>
    <w:basedOn w:val="DefaultParagraphFont"/>
    <w:link w:val="Footer"/>
    <w:uiPriority w:val="99"/>
    <w:rsid w:val="00777C03"/>
  </w:style>
  <w:style w:type="character" w:styleId="UnresolvedMention">
    <w:name w:val="Unresolved Mention"/>
    <w:basedOn w:val="DefaultParagraphFont"/>
    <w:uiPriority w:val="99"/>
    <w:semiHidden/>
    <w:unhideWhenUsed/>
    <w:rsid w:val="002C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wp-content/uploads/2019/08/DO_s2019_021.pdf" TargetMode="External"/><Relationship Id="rId13" Type="http://schemas.openxmlformats.org/officeDocument/2006/relationships/hyperlink" Target="https://www.researchgate.net/publication/371945948_21st_Century_Teaching" TargetMode="External"/><Relationship Id="rId18" Type="http://schemas.openxmlformats.org/officeDocument/2006/relationships/hyperlink" Target="https://www.tesda.gov.ph/Uploads/File/TWSP%20and%20STEP/Circular/2022/TESDA%20Circular%20No.%20018-202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holar.google.com/scholar?hl=en&amp;as_sdt=0%2C5&amp;q=%22Trilling%2C+B.%2C+%26+Fadel%2C+C.+%282009%29.+21st+Century+Skills%3A+Learning+for+Life+in+Our+Times.+Jossey-Bass.%22&amp;btnG=" TargetMode="External"/><Relationship Id="rId12" Type="http://schemas.openxmlformats.org/officeDocument/2006/relationships/hyperlink" Target="https://sea-vet.net/images/seb/initiatives/appendix_file/577/ntesdpfinalwithcover-1.pdf" TargetMode="External"/><Relationship Id="rId17" Type="http://schemas.openxmlformats.org/officeDocument/2006/relationships/hyperlink" Target="https://www.deped.gov.ph/wp-content/uploads/DM_s2025_01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ped.gov.ph/2015/02/06/do-2-s-2015-guidelines-on-the-establishment-and-implementation-of-the-results-based-performance-management-system-rpms-in-the-department-of-educ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sda.gov.ph/Uploads/File/TWSP%20and%20STEP/Circular/2022/TESDA%20Circular%20No.%20018-2022.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upd.edu.ph/wp-content/uploads/2023/07/12-PJES-Volume-1-Number-1-2023.pdf" TargetMode="External"/><Relationship Id="rId23" Type="http://schemas.openxmlformats.org/officeDocument/2006/relationships/header" Target="header3.xml"/><Relationship Id="rId10" Type="http://schemas.openxmlformats.org/officeDocument/2006/relationships/hyperlink" Target="https://www.deped.gov.ph/2019/08/22/august-22-2019-do-021-s-2019-policy-guidelines-on-the-k-to-12-basic-education-progra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ped.gov.ph/2017/08/11/do-42-s-2017-national-adoption-and-implementation-of-the-philippine-professional-standards-for-teachers/" TargetMode="External"/><Relationship Id="rId14" Type="http://schemas.openxmlformats.org/officeDocument/2006/relationships/hyperlink" Target="https://ejournals.ph/article.php?id=1982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5482</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SDI PC New 16</cp:lastModifiedBy>
  <cp:revision>20</cp:revision>
  <cp:lastPrinted>2025-06-06T14:35:00Z</cp:lastPrinted>
  <dcterms:created xsi:type="dcterms:W3CDTF">2025-06-06T17:04:00Z</dcterms:created>
  <dcterms:modified xsi:type="dcterms:W3CDTF">2025-07-08T11:50:00Z</dcterms:modified>
</cp:coreProperties>
</file>