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3AB56" w14:textId="70380EBC" w:rsidR="00F961EE" w:rsidRPr="00F961EE" w:rsidRDefault="00F961EE" w:rsidP="007C4100">
      <w:pPr>
        <w:spacing w:line="240" w:lineRule="auto"/>
        <w:jc w:val="center"/>
        <w:rPr>
          <w:rFonts w:asciiTheme="majorBidi" w:hAnsiTheme="majorBidi" w:cstheme="majorBidi"/>
          <w:sz w:val="32"/>
          <w:szCs w:val="32"/>
        </w:rPr>
      </w:pPr>
      <w:r w:rsidRPr="00F961EE">
        <w:rPr>
          <w:rFonts w:asciiTheme="majorBidi" w:hAnsiTheme="majorBidi" w:cstheme="majorBidi"/>
          <w:b/>
          <w:bCs/>
          <w:sz w:val="32"/>
          <w:szCs w:val="32"/>
        </w:rPr>
        <w:t>Trauma to Transplant: Paediatric Pythium Keratitis Advancing to Anterior Staphyloma</w:t>
      </w:r>
    </w:p>
    <w:p w14:paraId="09A0BE6A" w14:textId="77777777" w:rsidR="00F961EE" w:rsidRP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b/>
          <w:bCs/>
          <w:sz w:val="20"/>
          <w:szCs w:val="20"/>
        </w:rPr>
        <w:t>Abstract</w:t>
      </w:r>
      <w:r w:rsidRPr="00F961EE">
        <w:rPr>
          <w:rFonts w:asciiTheme="majorBidi" w:hAnsiTheme="majorBidi" w:cstheme="majorBidi"/>
          <w:sz w:val="20"/>
          <w:szCs w:val="20"/>
        </w:rPr>
        <w:t> </w:t>
      </w:r>
    </w:p>
    <w:p w14:paraId="76B59683" w14:textId="77777777" w:rsidR="00F961EE" w:rsidRP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sz w:val="20"/>
          <w:szCs w:val="20"/>
        </w:rPr>
        <w:t>Pythium keratitis, an aggressive vision-threatening infection that rarely affects children. We present the case of an 11-year-old boy who, three years after ocular trauma with a cow horn, experienced progressive corneal opacity and protrusion with vision loss in the right eye. He had a clinical diagnosis of Pythium keratitis, which progressed to anterior staphyloma after healing with scarring and ectasia. Histopathology confirmed the patient's healed Pythium keratitis sequelae after therapeutic penetrating keratoplasty. With better vision and cosmesis after surgery, the graft remained clear. This instance emphasises the importance of prompt keratoplasty in visual and cosmetic rehabilitation by highlighting an uncommon consequence of paediatric Pythium keratitis that progresses to anterior staphyloma.</w:t>
      </w:r>
    </w:p>
    <w:p w14:paraId="7984DFC9" w14:textId="711B310B" w:rsidR="00F961EE" w:rsidRDefault="00F961EE" w:rsidP="007C4100">
      <w:pPr>
        <w:spacing w:line="240" w:lineRule="auto"/>
        <w:jc w:val="both"/>
        <w:rPr>
          <w:rFonts w:asciiTheme="majorBidi" w:hAnsiTheme="majorBidi" w:cstheme="majorBidi"/>
          <w:sz w:val="20"/>
          <w:szCs w:val="20"/>
        </w:rPr>
      </w:pPr>
      <w:r w:rsidRPr="00F961EE">
        <w:rPr>
          <w:rFonts w:asciiTheme="majorBidi" w:hAnsiTheme="majorBidi" w:cstheme="majorBidi"/>
          <w:b/>
          <w:bCs/>
          <w:sz w:val="20"/>
          <w:szCs w:val="20"/>
        </w:rPr>
        <w:t>Keywords</w:t>
      </w:r>
      <w:r w:rsidRPr="00F961EE">
        <w:rPr>
          <w:rFonts w:asciiTheme="majorBidi" w:hAnsiTheme="majorBidi" w:cstheme="majorBidi"/>
          <w:sz w:val="20"/>
          <w:szCs w:val="20"/>
        </w:rPr>
        <w:t>: Pythium keratitis, corneal ectasia, cataract, anterior staphyloma, penetrating keratoplasty</w:t>
      </w:r>
    </w:p>
    <w:p w14:paraId="0C2CA1BB" w14:textId="77777777" w:rsidR="003F5DF9" w:rsidRPr="00F961EE" w:rsidRDefault="003F5DF9" w:rsidP="007C4100">
      <w:pPr>
        <w:spacing w:line="240" w:lineRule="auto"/>
        <w:jc w:val="both"/>
        <w:rPr>
          <w:rFonts w:asciiTheme="majorBidi" w:hAnsiTheme="majorBidi" w:cstheme="majorBidi"/>
          <w:sz w:val="20"/>
          <w:szCs w:val="20"/>
        </w:rPr>
      </w:pPr>
    </w:p>
    <w:p w14:paraId="798A2896" w14:textId="77777777"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b/>
          <w:bCs/>
          <w:sz w:val="24"/>
          <w:szCs w:val="24"/>
        </w:rPr>
        <w:t>Introduction</w:t>
      </w:r>
    </w:p>
    <w:p w14:paraId="44440B63" w14:textId="77777777"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Pythium </w:t>
      </w:r>
      <w:proofErr w:type="spellStart"/>
      <w:r w:rsidRPr="00F961EE">
        <w:rPr>
          <w:rFonts w:asciiTheme="majorBidi" w:hAnsiTheme="majorBidi" w:cstheme="majorBidi"/>
          <w:sz w:val="24"/>
          <w:szCs w:val="24"/>
        </w:rPr>
        <w:t>insidiosum</w:t>
      </w:r>
      <w:proofErr w:type="spellEnd"/>
      <w:r w:rsidRPr="00F961EE">
        <w:rPr>
          <w:rFonts w:asciiTheme="majorBidi" w:hAnsiTheme="majorBidi" w:cstheme="majorBidi"/>
          <w:sz w:val="24"/>
          <w:szCs w:val="24"/>
        </w:rPr>
        <w:t xml:space="preserve"> is an aquatic oomycete that primarily affects tropical and subtropical areas and causes severe, quickly progressing keratitis. It frequently delays diagnosis and effective treatment because of its clinical characteristics, which closely resemble fungal keratitis and include feathery stromal infiltrates, tentacle-like borders, linear expansions, and peripheral guttering </w:t>
      </w:r>
      <w:r w:rsidRPr="00F961EE">
        <w:rPr>
          <w:rFonts w:asciiTheme="majorBidi" w:hAnsiTheme="majorBidi" w:cstheme="majorBidi"/>
          <w:sz w:val="24"/>
          <w:szCs w:val="24"/>
          <w:vertAlign w:val="superscript"/>
        </w:rPr>
        <w:t>[1,2]</w:t>
      </w:r>
      <w:r w:rsidRPr="00F961EE">
        <w:rPr>
          <w:rFonts w:asciiTheme="majorBidi" w:hAnsiTheme="majorBidi" w:cstheme="majorBidi"/>
          <w:sz w:val="24"/>
          <w:szCs w:val="24"/>
        </w:rPr>
        <w:t xml:space="preserve">. Medical therapy often fails to stop the course of Pythium, which is unresponsive to typical antifungal medications, unlike fungal keratitis </w:t>
      </w:r>
      <w:r w:rsidRPr="00F961EE">
        <w:rPr>
          <w:rFonts w:asciiTheme="majorBidi" w:hAnsiTheme="majorBidi" w:cstheme="majorBidi"/>
          <w:sz w:val="24"/>
          <w:szCs w:val="24"/>
          <w:vertAlign w:val="superscript"/>
        </w:rPr>
        <w:t>[3]</w:t>
      </w:r>
      <w:r w:rsidRPr="00F961EE">
        <w:rPr>
          <w:rFonts w:asciiTheme="majorBidi" w:hAnsiTheme="majorBidi" w:cstheme="majorBidi"/>
          <w:sz w:val="24"/>
          <w:szCs w:val="24"/>
        </w:rPr>
        <w:t xml:space="preserve">. One significant risk factor, especially in youngsters, is exposure to animals or vegetative materials after trauma </w:t>
      </w:r>
      <w:r w:rsidRPr="00F961EE">
        <w:rPr>
          <w:rFonts w:asciiTheme="majorBidi" w:hAnsiTheme="majorBidi" w:cstheme="majorBidi"/>
          <w:sz w:val="24"/>
          <w:szCs w:val="24"/>
          <w:vertAlign w:val="superscript"/>
        </w:rPr>
        <w:t>[3,4]</w:t>
      </w:r>
      <w:r w:rsidRPr="00F961EE">
        <w:rPr>
          <w:rFonts w:asciiTheme="majorBidi" w:hAnsiTheme="majorBidi" w:cstheme="majorBidi"/>
          <w:sz w:val="24"/>
          <w:szCs w:val="24"/>
        </w:rPr>
        <w:t>. The possibility of amblyopia from extended corneal opacity, delayed reporting, and examination difficulties make paediatric cases more complex.</w:t>
      </w:r>
    </w:p>
    <w:p w14:paraId="4EA95CD0" w14:textId="4CC51FC0" w:rsidR="00F961EE" w:rsidRPr="00F961EE" w:rsidRDefault="00F961EE" w:rsidP="007C4100">
      <w:pPr>
        <w:spacing w:line="240" w:lineRule="auto"/>
        <w:jc w:val="both"/>
        <w:rPr>
          <w:rFonts w:asciiTheme="majorBidi" w:hAnsiTheme="majorBidi" w:cstheme="majorBidi"/>
          <w:sz w:val="24"/>
          <w:szCs w:val="24"/>
        </w:rPr>
      </w:pPr>
      <w:r w:rsidRPr="00F961EE">
        <w:rPr>
          <w:rFonts w:asciiTheme="majorBidi" w:hAnsiTheme="majorBidi" w:cstheme="majorBidi"/>
          <w:sz w:val="24"/>
          <w:szCs w:val="24"/>
        </w:rPr>
        <w:t xml:space="preserve">Anterior staphyloma, an </w:t>
      </w:r>
      <w:proofErr w:type="spellStart"/>
      <w:r w:rsidRPr="00F961EE">
        <w:rPr>
          <w:rFonts w:asciiTheme="majorBidi" w:hAnsiTheme="majorBidi" w:cstheme="majorBidi"/>
          <w:sz w:val="24"/>
          <w:szCs w:val="24"/>
        </w:rPr>
        <w:t>ectatic</w:t>
      </w:r>
      <w:proofErr w:type="spellEnd"/>
      <w:r w:rsidRPr="00F961EE">
        <w:rPr>
          <w:rFonts w:asciiTheme="majorBidi" w:hAnsiTheme="majorBidi" w:cstheme="majorBidi"/>
          <w:sz w:val="24"/>
          <w:szCs w:val="24"/>
        </w:rPr>
        <w:t xml:space="preserve"> protrusion of a thin, scarred cornea lined by uveal tissue, is an uncommon but serious complication of untreated infectious keratitis or trauma, resulting in substantial sight loss and cosmetic disfigurement. In advanced situations, therapeutic penetrating keratoplasty (TPK) is frequently required for anatomical restoration, visual rehabilitation, and cosmetic correction </w:t>
      </w:r>
      <w:r w:rsidRPr="00F961EE">
        <w:rPr>
          <w:rFonts w:asciiTheme="majorBidi" w:hAnsiTheme="majorBidi" w:cstheme="majorBidi"/>
          <w:sz w:val="24"/>
          <w:szCs w:val="24"/>
          <w:vertAlign w:val="superscript"/>
        </w:rPr>
        <w:t>[5]</w:t>
      </w:r>
      <w:r w:rsidRPr="00F961EE">
        <w:rPr>
          <w:rFonts w:asciiTheme="majorBidi" w:hAnsiTheme="majorBidi" w:cstheme="majorBidi"/>
          <w:sz w:val="24"/>
          <w:szCs w:val="24"/>
        </w:rPr>
        <w:t>. Paediatric Pythium keratitis leading to anterior staphyloma is extremely rare. Here, we report on an 11-year-old child with post-traumatic Pythium keratitis who developed anterior staphyloma over three years and was successfully treated with TPK.</w:t>
      </w:r>
    </w:p>
    <w:p w14:paraId="19F0EFD2" w14:textId="77777777" w:rsidR="00F961EE" w:rsidRPr="00F961EE" w:rsidRDefault="00F961EE" w:rsidP="007C4100">
      <w:pPr>
        <w:spacing w:line="240" w:lineRule="auto"/>
        <w:jc w:val="both"/>
        <w:rPr>
          <w:rFonts w:asciiTheme="majorBidi" w:hAnsiTheme="majorBidi" w:cstheme="majorBidi"/>
          <w:sz w:val="24"/>
          <w:szCs w:val="24"/>
        </w:rPr>
      </w:pPr>
      <w:r w:rsidRPr="00F961EE">
        <w:rPr>
          <w:rFonts w:asciiTheme="majorBidi" w:hAnsiTheme="majorBidi" w:cstheme="majorBidi"/>
          <w:b/>
          <w:bCs/>
          <w:sz w:val="24"/>
          <w:szCs w:val="24"/>
        </w:rPr>
        <w:t>Case Report</w:t>
      </w:r>
    </w:p>
    <w:p w14:paraId="1F68D7AE" w14:textId="0A6E0936" w:rsidR="00FA18FC" w:rsidRPr="00FA18FC" w:rsidRDefault="00FA18FC" w:rsidP="007C4100">
      <w:pPr>
        <w:spacing w:line="240" w:lineRule="auto"/>
        <w:jc w:val="both"/>
        <w:rPr>
          <w:rFonts w:asciiTheme="majorBidi" w:hAnsiTheme="majorBidi" w:cstheme="majorBidi"/>
          <w:sz w:val="24"/>
          <w:szCs w:val="24"/>
        </w:rPr>
      </w:pPr>
      <w:r w:rsidRPr="00FA18FC">
        <w:rPr>
          <w:rFonts w:asciiTheme="majorBidi" w:hAnsiTheme="majorBidi" w:cstheme="majorBidi"/>
          <w:sz w:val="24"/>
          <w:szCs w:val="24"/>
        </w:rPr>
        <w:t xml:space="preserve">An 11-year-old male </w:t>
      </w:r>
      <w:r>
        <w:rPr>
          <w:rFonts w:asciiTheme="majorBidi" w:hAnsiTheme="majorBidi" w:cstheme="majorBidi"/>
          <w:sz w:val="24"/>
          <w:szCs w:val="24"/>
        </w:rPr>
        <w:t>presented</w:t>
      </w:r>
      <w:r w:rsidRPr="00FA18FC">
        <w:rPr>
          <w:rFonts w:asciiTheme="majorBidi" w:hAnsiTheme="majorBidi" w:cstheme="majorBidi"/>
          <w:sz w:val="24"/>
          <w:szCs w:val="24"/>
        </w:rPr>
        <w:t xml:space="preserve"> to our tertiary care ophthalmology </w:t>
      </w:r>
      <w:r>
        <w:rPr>
          <w:rFonts w:asciiTheme="majorBidi" w:hAnsiTheme="majorBidi" w:cstheme="majorBidi"/>
          <w:sz w:val="24"/>
          <w:szCs w:val="24"/>
        </w:rPr>
        <w:t>department</w:t>
      </w:r>
      <w:r w:rsidRPr="00FA18FC">
        <w:rPr>
          <w:rFonts w:asciiTheme="majorBidi" w:hAnsiTheme="majorBidi" w:cstheme="majorBidi"/>
          <w:sz w:val="24"/>
          <w:szCs w:val="24"/>
        </w:rPr>
        <w:t xml:space="preserve"> with complaints of developing whitish opacity and protrusion of the right eye, along with poor vision, during the previous three years. At the age of eight, the right eye was traumatised with a cow horn, resulting in pain, redness, watering, and rapid corneal ulceration. At the time, the infant was clinically diagnosed with Pythium keratitis due to a history of trauma, vegetative matter, quickly progressing stromal infiltrates, and feathery edges with surrounding tentacle-like extensions. Despite intensive medical treatment, the infection did not completely resolve, and the cornea developed scarring, thinning, and ectasia.</w:t>
      </w:r>
      <w:r w:rsidR="00DC484A">
        <w:rPr>
          <w:rFonts w:asciiTheme="majorBidi" w:hAnsiTheme="majorBidi" w:cstheme="majorBidi"/>
          <w:sz w:val="24"/>
          <w:szCs w:val="24"/>
        </w:rPr>
        <w:t xml:space="preserve"> </w:t>
      </w:r>
      <w:r w:rsidR="00DC484A" w:rsidRPr="00DC484A">
        <w:rPr>
          <w:rFonts w:asciiTheme="majorBidi" w:hAnsiTheme="majorBidi" w:cstheme="majorBidi"/>
          <w:sz w:val="24"/>
          <w:szCs w:val="24"/>
        </w:rPr>
        <w:t>Over the years, the damaged cornea gradually protruded, resulting in the development of an anterior staphyloma. The parents noted that the protrusion and milky opacity gradually grew in size, and the child's vision decreased dramatically. There was no history of previous ocular surgery, systemic sickness, or similar problems among family members.</w:t>
      </w:r>
    </w:p>
    <w:p w14:paraId="378D8E3E" w14:textId="77777777" w:rsidR="007966D6" w:rsidRDefault="0021645C" w:rsidP="007C4100">
      <w:pPr>
        <w:spacing w:line="240" w:lineRule="auto"/>
        <w:jc w:val="both"/>
        <w:rPr>
          <w:rFonts w:asciiTheme="majorBidi" w:hAnsiTheme="majorBidi" w:cstheme="majorBidi"/>
          <w:sz w:val="24"/>
          <w:szCs w:val="24"/>
        </w:rPr>
      </w:pPr>
      <w:r w:rsidRPr="0021645C">
        <w:rPr>
          <w:rFonts w:asciiTheme="majorBidi" w:hAnsiTheme="majorBidi" w:cstheme="majorBidi"/>
          <w:sz w:val="24"/>
          <w:szCs w:val="24"/>
        </w:rPr>
        <w:lastRenderedPageBreak/>
        <w:t xml:space="preserve">On examination, uncorrected visual acuity (VA) in the right eye (RE) was HM+, PL+, PR4+ not improving further. The left eye (LE) had unaided 6/6 vision. Ocular motility was full in both eyes. Torchlight examination of </w:t>
      </w:r>
      <w:r>
        <w:rPr>
          <w:rFonts w:asciiTheme="majorBidi" w:hAnsiTheme="majorBidi" w:cstheme="majorBidi"/>
          <w:sz w:val="24"/>
          <w:szCs w:val="24"/>
        </w:rPr>
        <w:t>(</w:t>
      </w:r>
      <w:r w:rsidRPr="0021645C">
        <w:rPr>
          <w:rFonts w:asciiTheme="majorBidi" w:hAnsiTheme="majorBidi" w:cstheme="majorBidi"/>
          <w:sz w:val="24"/>
          <w:szCs w:val="24"/>
        </w:rPr>
        <w:t>RE</w:t>
      </w:r>
      <w:r>
        <w:rPr>
          <w:rFonts w:asciiTheme="majorBidi" w:hAnsiTheme="majorBidi" w:cstheme="majorBidi"/>
          <w:sz w:val="24"/>
          <w:szCs w:val="24"/>
        </w:rPr>
        <w:t>)</w:t>
      </w:r>
      <w:r w:rsidRPr="0021645C">
        <w:rPr>
          <w:rFonts w:asciiTheme="majorBidi" w:hAnsiTheme="majorBidi" w:cstheme="majorBidi"/>
          <w:sz w:val="24"/>
          <w:szCs w:val="24"/>
        </w:rPr>
        <w:t xml:space="preserve"> showed an </w:t>
      </w:r>
      <w:proofErr w:type="spellStart"/>
      <w:r w:rsidRPr="0021645C">
        <w:rPr>
          <w:rFonts w:asciiTheme="majorBidi" w:hAnsiTheme="majorBidi" w:cstheme="majorBidi"/>
          <w:sz w:val="24"/>
          <w:szCs w:val="24"/>
        </w:rPr>
        <w:t>ectatic</w:t>
      </w:r>
      <w:proofErr w:type="spellEnd"/>
      <w:r w:rsidRPr="0021645C">
        <w:rPr>
          <w:rFonts w:asciiTheme="majorBidi" w:hAnsiTheme="majorBidi" w:cstheme="majorBidi"/>
          <w:sz w:val="24"/>
          <w:szCs w:val="24"/>
        </w:rPr>
        <w:t>, irregularly contoured cornea with whitish opacity. Slit-lamp examination revealed a protruding anterior staphyloma with extensive corneal neovascularization, hypertrophic epithelium, and diffuse stromal opacity.</w:t>
      </w:r>
      <w:r>
        <w:rPr>
          <w:rFonts w:asciiTheme="majorBidi" w:hAnsiTheme="majorBidi" w:cstheme="majorBidi"/>
          <w:sz w:val="24"/>
          <w:szCs w:val="24"/>
        </w:rPr>
        <w:t xml:space="preserve"> </w:t>
      </w:r>
      <w:r w:rsidR="00F961EE" w:rsidRPr="00F961EE">
        <w:rPr>
          <w:rFonts w:asciiTheme="majorBidi" w:hAnsiTheme="majorBidi" w:cstheme="majorBidi"/>
          <w:sz w:val="24"/>
          <w:szCs w:val="24"/>
        </w:rPr>
        <w:t>(</w:t>
      </w:r>
      <w:r w:rsidR="00F961EE" w:rsidRPr="00F961EE">
        <w:rPr>
          <w:rFonts w:asciiTheme="majorBidi" w:hAnsiTheme="majorBidi" w:cstheme="majorBidi"/>
          <w:b/>
          <w:bCs/>
          <w:sz w:val="24"/>
          <w:szCs w:val="24"/>
        </w:rPr>
        <w:t>Figure 1.</w:t>
      </w:r>
      <w:r w:rsidR="00F961EE" w:rsidRPr="00F961EE">
        <w:rPr>
          <w:rFonts w:asciiTheme="majorBidi" w:hAnsiTheme="majorBidi" w:cstheme="majorBidi"/>
          <w:sz w:val="24"/>
          <w:szCs w:val="24"/>
        </w:rPr>
        <w:t xml:space="preserve">) </w:t>
      </w:r>
      <w:r w:rsidRPr="0021645C">
        <w:rPr>
          <w:rFonts w:asciiTheme="majorBidi" w:hAnsiTheme="majorBidi" w:cstheme="majorBidi"/>
          <w:sz w:val="24"/>
          <w:szCs w:val="24"/>
        </w:rPr>
        <w:t xml:space="preserve">The anterior chamber's details were not visible. The fundus view was obscured, but B-scan ultrasonography revealed cataract formation in the normal posterior segment. The </w:t>
      </w:r>
      <w:r>
        <w:rPr>
          <w:rFonts w:asciiTheme="majorBidi" w:hAnsiTheme="majorBidi" w:cstheme="majorBidi"/>
          <w:sz w:val="24"/>
          <w:szCs w:val="24"/>
        </w:rPr>
        <w:t>(</w:t>
      </w:r>
      <w:r w:rsidRPr="0021645C">
        <w:rPr>
          <w:rFonts w:asciiTheme="majorBidi" w:hAnsiTheme="majorBidi" w:cstheme="majorBidi"/>
          <w:sz w:val="24"/>
          <w:szCs w:val="24"/>
        </w:rPr>
        <w:t>LE</w:t>
      </w:r>
      <w:r>
        <w:rPr>
          <w:rFonts w:asciiTheme="majorBidi" w:hAnsiTheme="majorBidi" w:cstheme="majorBidi"/>
          <w:sz w:val="24"/>
          <w:szCs w:val="24"/>
        </w:rPr>
        <w:t>)</w:t>
      </w:r>
      <w:r w:rsidRPr="0021645C">
        <w:rPr>
          <w:rFonts w:asciiTheme="majorBidi" w:hAnsiTheme="majorBidi" w:cstheme="majorBidi"/>
          <w:sz w:val="24"/>
          <w:szCs w:val="24"/>
        </w:rPr>
        <w:t xml:space="preserve"> anterior segment, adnexa, and fundus were all within normal range</w:t>
      </w:r>
      <w:r w:rsidR="007966D6">
        <w:rPr>
          <w:rFonts w:asciiTheme="majorBidi" w:hAnsiTheme="majorBidi" w:cstheme="majorBidi"/>
          <w:sz w:val="24"/>
          <w:szCs w:val="24"/>
        </w:rPr>
        <w:t>s.</w:t>
      </w:r>
    </w:p>
    <w:p w14:paraId="5FF9906B" w14:textId="2F35A1D1" w:rsidR="00F961EE" w:rsidRPr="00F961EE" w:rsidRDefault="00F961EE" w:rsidP="007C4100">
      <w:pPr>
        <w:spacing w:line="240" w:lineRule="auto"/>
        <w:jc w:val="center"/>
        <w:rPr>
          <w:rFonts w:asciiTheme="majorBidi" w:hAnsiTheme="majorBidi" w:cstheme="majorBidi"/>
          <w:sz w:val="24"/>
          <w:szCs w:val="24"/>
        </w:rPr>
      </w:pPr>
      <w:r w:rsidRPr="00F961EE">
        <w:rPr>
          <w:rFonts w:asciiTheme="majorBidi" w:hAnsiTheme="majorBidi" w:cstheme="majorBidi"/>
          <w:noProof/>
          <w:sz w:val="24"/>
          <w:szCs w:val="24"/>
        </w:rPr>
        <w:drawing>
          <wp:inline distT="0" distB="0" distL="0" distR="0" wp14:anchorId="2E8E925C" wp14:editId="6DCC9347">
            <wp:extent cx="2270760" cy="1692854"/>
            <wp:effectExtent l="0" t="0" r="0" b="3175"/>
            <wp:docPr id="1106835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0760" cy="1692854"/>
                    </a:xfrm>
                    <a:prstGeom prst="rect">
                      <a:avLst/>
                    </a:prstGeom>
                  </pic:spPr>
                </pic:pic>
              </a:graphicData>
            </a:graphic>
          </wp:inline>
        </w:drawing>
      </w:r>
    </w:p>
    <w:p w14:paraId="04264EBD" w14:textId="77777777" w:rsidR="00F961EE" w:rsidRPr="00F961EE" w:rsidRDefault="00F961EE" w:rsidP="007C4100">
      <w:pPr>
        <w:spacing w:line="240" w:lineRule="auto"/>
        <w:jc w:val="center"/>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1:</w:t>
      </w:r>
      <w:r w:rsidRPr="00F961EE">
        <w:rPr>
          <w:rFonts w:asciiTheme="majorBidi" w:hAnsiTheme="majorBidi" w:cstheme="majorBidi"/>
        </w:rPr>
        <w:t xml:space="preserve"> Torchlight photograph of the right eye showing anterior staphyloma with whitish corneal opacity, ectasia, and surface neovascularization.)</w:t>
      </w:r>
    </w:p>
    <w:p w14:paraId="49EB6EE1" w14:textId="3BB6DBCE" w:rsidR="00F961EE" w:rsidRPr="00F961EE" w:rsidRDefault="00F8384E" w:rsidP="007C4100">
      <w:pPr>
        <w:spacing w:line="240" w:lineRule="auto"/>
        <w:jc w:val="both"/>
        <w:rPr>
          <w:rFonts w:asciiTheme="majorBidi" w:hAnsiTheme="majorBidi" w:cstheme="majorBidi"/>
          <w:sz w:val="24"/>
          <w:szCs w:val="24"/>
        </w:rPr>
      </w:pPr>
      <w:r w:rsidRPr="00F8384E">
        <w:rPr>
          <w:rFonts w:asciiTheme="majorBidi" w:hAnsiTheme="majorBidi" w:cstheme="majorBidi"/>
          <w:sz w:val="24"/>
          <w:szCs w:val="24"/>
        </w:rPr>
        <w:t>Given the patient's poor vision and disfiguring anterior staphyloma, therapeutic penetrating keratoplasty (PKP) was recommended.</w:t>
      </w:r>
      <w:r>
        <w:rPr>
          <w:rFonts w:asciiTheme="majorBidi" w:hAnsiTheme="majorBidi" w:cstheme="majorBidi"/>
          <w:sz w:val="24"/>
          <w:szCs w:val="24"/>
        </w:rPr>
        <w:t xml:space="preserve"> </w:t>
      </w:r>
      <w:r w:rsidR="00773985" w:rsidRPr="00773985">
        <w:rPr>
          <w:rFonts w:asciiTheme="majorBidi" w:hAnsiTheme="majorBidi" w:cstheme="majorBidi"/>
          <w:sz w:val="24"/>
          <w:szCs w:val="24"/>
        </w:rPr>
        <w:t>Under general anaesthesia, a 10.0 mm recipient bed was trephined, and a 10.5 mm donor corneal button was secured with interrupted 10-0 nylon sutures. The excised corneal tissue was submitted for histopathological examination (HPE).</w:t>
      </w:r>
      <w:r w:rsidR="00773985">
        <w:rPr>
          <w:rFonts w:asciiTheme="majorBidi" w:hAnsiTheme="majorBidi" w:cstheme="majorBidi"/>
          <w:sz w:val="24"/>
          <w:szCs w:val="24"/>
        </w:rPr>
        <w:t xml:space="preserve"> </w:t>
      </w:r>
      <w:r w:rsidR="00773985" w:rsidRPr="00773985">
        <w:rPr>
          <w:rFonts w:asciiTheme="majorBidi" w:hAnsiTheme="majorBidi" w:cstheme="majorBidi"/>
          <w:sz w:val="24"/>
          <w:szCs w:val="24"/>
        </w:rPr>
        <w:t>HPE revealed stratified squamous epithelium overlying Bowman's layer, as well as disorganised stromal collagen bundles, fibrovascular proliferation, and neovascularisation foci, all of which were consistent with the presence of long-standing staphyloma following healed infectious keratitis (Pythium). No viable fungal elements were detected.</w:t>
      </w:r>
      <w:r w:rsidR="00773985">
        <w:rPr>
          <w:rFonts w:asciiTheme="majorBidi" w:hAnsiTheme="majorBidi" w:cstheme="majorBidi"/>
          <w:sz w:val="24"/>
          <w:szCs w:val="24"/>
        </w:rPr>
        <w:t xml:space="preserve"> </w:t>
      </w:r>
      <w:r w:rsidR="003F5DF9">
        <w:rPr>
          <w:rFonts w:asciiTheme="majorBidi" w:hAnsiTheme="majorBidi" w:cstheme="majorBidi"/>
          <w:sz w:val="24"/>
          <w:szCs w:val="24"/>
        </w:rPr>
        <w:t>(</w:t>
      </w:r>
      <w:r w:rsidR="00F961EE" w:rsidRPr="00F961EE">
        <w:rPr>
          <w:rFonts w:asciiTheme="majorBidi" w:hAnsiTheme="majorBidi" w:cstheme="majorBidi"/>
          <w:b/>
          <w:bCs/>
          <w:sz w:val="24"/>
          <w:szCs w:val="24"/>
        </w:rPr>
        <w:t>Figure 2A and 2B</w:t>
      </w:r>
      <w:r w:rsidR="00F961EE" w:rsidRPr="00F961EE">
        <w:rPr>
          <w:rFonts w:asciiTheme="majorBidi" w:hAnsiTheme="majorBidi" w:cstheme="majorBidi"/>
          <w:sz w:val="24"/>
          <w:szCs w:val="24"/>
        </w:rPr>
        <w:t>)</w:t>
      </w:r>
    </w:p>
    <w:p w14:paraId="52A5934A" w14:textId="12F32DA0" w:rsidR="00F961EE" w:rsidRPr="00F961EE" w:rsidRDefault="00F961EE" w:rsidP="007C4100">
      <w:pPr>
        <w:spacing w:line="240" w:lineRule="auto"/>
        <w:rPr>
          <w:rFonts w:asciiTheme="majorBidi" w:hAnsiTheme="majorBidi" w:cstheme="majorBidi"/>
          <w:sz w:val="24"/>
          <w:szCs w:val="24"/>
        </w:rPr>
      </w:pPr>
      <w:r w:rsidRPr="00F961EE">
        <w:rPr>
          <w:rFonts w:asciiTheme="majorBidi" w:hAnsiTheme="majorBidi" w:cstheme="majorBidi"/>
          <w:noProof/>
          <w:sz w:val="24"/>
          <w:szCs w:val="24"/>
        </w:rPr>
        <w:drawing>
          <wp:inline distT="0" distB="0" distL="0" distR="0" wp14:anchorId="2E91ACD0" wp14:editId="66E0DAE8">
            <wp:extent cx="1790700" cy="1818005"/>
            <wp:effectExtent l="0" t="0" r="0" b="0"/>
            <wp:docPr id="522864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5539" cy="1822918"/>
                    </a:xfrm>
                    <a:prstGeom prst="ellipse">
                      <a:avLst/>
                    </a:prstGeom>
                    <a:ln>
                      <a:noFill/>
                    </a:ln>
                    <a:effectLst>
                      <a:softEdge rad="112500"/>
                    </a:effectLst>
                  </pic:spPr>
                </pic:pic>
              </a:graphicData>
            </a:graphic>
          </wp:inline>
        </w:drawing>
      </w:r>
      <w:r w:rsidRPr="00F961EE">
        <w:rPr>
          <w:rFonts w:asciiTheme="majorBidi" w:hAnsiTheme="majorBidi" w:cstheme="majorBidi"/>
          <w:noProof/>
          <w:sz w:val="24"/>
          <w:szCs w:val="24"/>
        </w:rPr>
        <w:drawing>
          <wp:inline distT="0" distB="0" distL="0" distR="0" wp14:anchorId="259F75CA" wp14:editId="55FFA3C8">
            <wp:extent cx="1927860" cy="1858730"/>
            <wp:effectExtent l="0" t="0" r="0" b="8255"/>
            <wp:docPr id="520752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37155" cy="1867691"/>
                    </a:xfrm>
                    <a:prstGeom prst="ellipse">
                      <a:avLst/>
                    </a:prstGeom>
                    <a:ln>
                      <a:noFill/>
                    </a:ln>
                    <a:effectLst>
                      <a:softEdge rad="112500"/>
                    </a:effectLst>
                  </pic:spPr>
                </pic:pic>
              </a:graphicData>
            </a:graphic>
          </wp:inline>
        </w:drawing>
      </w:r>
      <w:r w:rsidRPr="00F961EE">
        <w:rPr>
          <w:rFonts w:asciiTheme="majorBidi" w:hAnsiTheme="majorBidi" w:cstheme="majorBidi"/>
          <w:noProof/>
          <w:sz w:val="24"/>
          <w:szCs w:val="24"/>
        </w:rPr>
        <w:drawing>
          <wp:inline distT="0" distB="0" distL="0" distR="0" wp14:anchorId="71769222" wp14:editId="3737ED26">
            <wp:extent cx="1979834" cy="1920240"/>
            <wp:effectExtent l="0" t="0" r="1905" b="3810"/>
            <wp:docPr id="2017111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85712" cy="1925941"/>
                    </a:xfrm>
                    <a:prstGeom prst="ellipse">
                      <a:avLst/>
                    </a:prstGeom>
                    <a:ln>
                      <a:noFill/>
                    </a:ln>
                    <a:effectLst>
                      <a:softEdge rad="112500"/>
                    </a:effectLst>
                  </pic:spPr>
                </pic:pic>
              </a:graphicData>
            </a:graphic>
          </wp:inline>
        </w:drawing>
      </w:r>
    </w:p>
    <w:p w14:paraId="35104E82" w14:textId="77777777" w:rsidR="00F961EE" w:rsidRPr="00F961EE" w:rsidRDefault="00F961EE" w:rsidP="007C4100">
      <w:pPr>
        <w:spacing w:line="240" w:lineRule="auto"/>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2A:</w:t>
      </w:r>
      <w:r w:rsidRPr="00F961EE">
        <w:rPr>
          <w:rFonts w:asciiTheme="majorBidi" w:hAnsiTheme="majorBidi" w:cstheme="majorBidi"/>
        </w:rPr>
        <w:t xml:space="preserve"> Gross photograph of the excised corneal button. showing an opaque, </w:t>
      </w:r>
      <w:proofErr w:type="spellStart"/>
      <w:r w:rsidRPr="00F961EE">
        <w:rPr>
          <w:rFonts w:asciiTheme="majorBidi" w:hAnsiTheme="majorBidi" w:cstheme="majorBidi"/>
        </w:rPr>
        <w:t>ectatic</w:t>
      </w:r>
      <w:proofErr w:type="spellEnd"/>
      <w:r w:rsidRPr="00F961EE">
        <w:rPr>
          <w:rFonts w:asciiTheme="majorBidi" w:hAnsiTheme="majorBidi" w:cstheme="majorBidi"/>
        </w:rPr>
        <w:t xml:space="preserve"> specimen consistent with anterior staphyloma. </w:t>
      </w:r>
      <w:r w:rsidRPr="00F961EE">
        <w:rPr>
          <w:rFonts w:asciiTheme="majorBidi" w:hAnsiTheme="majorBidi" w:cstheme="majorBidi"/>
          <w:b/>
          <w:bCs/>
        </w:rPr>
        <w:t>Figure 2B:</w:t>
      </w:r>
      <w:r w:rsidRPr="00F961EE">
        <w:rPr>
          <w:rFonts w:asciiTheme="majorBidi" w:hAnsiTheme="majorBidi" w:cstheme="majorBidi"/>
        </w:rPr>
        <w:t xml:space="preserve"> Histopathology of the corneal button demonstrating disorganized stromal collagen with fibrovascular proliferation and neovascularization (H&amp;E, x40))</w:t>
      </w:r>
    </w:p>
    <w:p w14:paraId="094D99DF" w14:textId="159C9331" w:rsidR="004F210B" w:rsidRPr="004F210B" w:rsidRDefault="004F210B" w:rsidP="007C4100">
      <w:pPr>
        <w:spacing w:line="240" w:lineRule="auto"/>
        <w:jc w:val="both"/>
        <w:rPr>
          <w:rFonts w:asciiTheme="majorBidi" w:hAnsiTheme="majorBidi" w:cstheme="majorBidi"/>
          <w:sz w:val="24"/>
          <w:szCs w:val="24"/>
        </w:rPr>
      </w:pPr>
      <w:r w:rsidRPr="004F210B">
        <w:rPr>
          <w:rFonts w:asciiTheme="majorBidi" w:hAnsiTheme="majorBidi" w:cstheme="majorBidi"/>
          <w:sz w:val="24"/>
          <w:szCs w:val="24"/>
        </w:rPr>
        <w:t xml:space="preserve">Postoperatively, the graft was well-attached and clear, with no symptoms of rejection. (Figure 3). At the 4-week follow-up, the best corrected visual acuity (BCVA) in RE had improved to counting fingers at 3 meters (CF3). The cosmetic look was greatly improved, and both the patient and his parents ‘expressed happiness with the results. </w:t>
      </w:r>
    </w:p>
    <w:p w14:paraId="249F2194" w14:textId="4441709C" w:rsidR="00F961EE" w:rsidRPr="00F961EE" w:rsidRDefault="00F961EE" w:rsidP="007C4100">
      <w:pPr>
        <w:spacing w:line="240" w:lineRule="auto"/>
        <w:jc w:val="center"/>
        <w:rPr>
          <w:rFonts w:asciiTheme="majorBidi" w:hAnsiTheme="majorBidi" w:cstheme="majorBidi"/>
          <w:sz w:val="24"/>
          <w:szCs w:val="24"/>
        </w:rPr>
      </w:pPr>
      <w:r w:rsidRPr="00F961EE">
        <w:rPr>
          <w:rFonts w:asciiTheme="majorBidi" w:hAnsiTheme="majorBidi" w:cstheme="majorBidi"/>
          <w:noProof/>
          <w:sz w:val="24"/>
          <w:szCs w:val="24"/>
        </w:rPr>
        <w:lastRenderedPageBreak/>
        <w:drawing>
          <wp:inline distT="0" distB="0" distL="0" distR="0" wp14:anchorId="6CD114B1" wp14:editId="18DD9665">
            <wp:extent cx="2567940" cy="1684020"/>
            <wp:effectExtent l="0" t="0" r="3810" b="0"/>
            <wp:docPr id="13006108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300000"/>
                              </a14:imgEffect>
                              <a14:imgEffect>
                                <a14:brightnessContrast bright="16000" contrast="9000"/>
                              </a14:imgEffect>
                            </a14:imgLayer>
                          </a14:imgProps>
                        </a:ext>
                        <a:ext uri="{28A0092B-C50C-407E-A947-70E740481C1C}">
                          <a14:useLocalDpi xmlns:a14="http://schemas.microsoft.com/office/drawing/2010/main" val="0"/>
                        </a:ext>
                      </a:extLst>
                    </a:blip>
                    <a:srcRect l="10846" b="21631"/>
                    <a:stretch>
                      <a:fillRect/>
                    </a:stretch>
                  </pic:blipFill>
                  <pic:spPr bwMode="auto">
                    <a:xfrm>
                      <a:off x="0" y="0"/>
                      <a:ext cx="256794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07D7F147" w14:textId="77777777" w:rsidR="00F961EE" w:rsidRPr="00F961EE" w:rsidRDefault="00F961EE" w:rsidP="007C4100">
      <w:pPr>
        <w:spacing w:line="240" w:lineRule="auto"/>
        <w:jc w:val="center"/>
        <w:rPr>
          <w:rFonts w:asciiTheme="majorBidi" w:hAnsiTheme="majorBidi" w:cstheme="majorBidi"/>
        </w:rPr>
      </w:pPr>
      <w:r w:rsidRPr="00F961EE">
        <w:rPr>
          <w:rFonts w:asciiTheme="majorBidi" w:hAnsiTheme="majorBidi" w:cstheme="majorBidi"/>
        </w:rPr>
        <w:t>(</w:t>
      </w:r>
      <w:r w:rsidRPr="00F961EE">
        <w:rPr>
          <w:rFonts w:asciiTheme="majorBidi" w:hAnsiTheme="majorBidi" w:cstheme="majorBidi"/>
          <w:b/>
          <w:bCs/>
        </w:rPr>
        <w:t>Figure 3:</w:t>
      </w:r>
      <w:r w:rsidRPr="00F961EE">
        <w:rPr>
          <w:rFonts w:asciiTheme="majorBidi" w:hAnsiTheme="majorBidi" w:cstheme="majorBidi"/>
        </w:rPr>
        <w:t xml:space="preserve"> Postoperative photograph showing a clear, well- attached penetrating keratoplasty graft with restored corneal curvature)</w:t>
      </w:r>
    </w:p>
    <w:p w14:paraId="024FE15A" w14:textId="77777777" w:rsidR="00F961EE" w:rsidRPr="00F961EE" w:rsidRDefault="00F961EE" w:rsidP="007C4100">
      <w:pPr>
        <w:spacing w:line="240" w:lineRule="auto"/>
        <w:rPr>
          <w:rFonts w:asciiTheme="majorBidi" w:hAnsiTheme="majorBidi" w:cstheme="majorBidi"/>
          <w:sz w:val="24"/>
          <w:szCs w:val="24"/>
        </w:rPr>
      </w:pPr>
    </w:p>
    <w:p w14:paraId="4D84E1C8" w14:textId="77777777" w:rsidR="00F961EE" w:rsidRPr="00F961EE"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Discussion</w:t>
      </w:r>
    </w:p>
    <w:p w14:paraId="1F7161FF" w14:textId="77777777"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 xml:space="preserve">Pythium </w:t>
      </w:r>
      <w:proofErr w:type="spellStart"/>
      <w:r w:rsidRPr="003E5E20">
        <w:rPr>
          <w:rFonts w:asciiTheme="majorBidi" w:hAnsiTheme="majorBidi" w:cstheme="majorBidi"/>
          <w:sz w:val="24"/>
          <w:szCs w:val="24"/>
        </w:rPr>
        <w:t>insidiosum</w:t>
      </w:r>
      <w:proofErr w:type="spellEnd"/>
      <w:r w:rsidRPr="003E5E20">
        <w:rPr>
          <w:rFonts w:asciiTheme="majorBidi" w:hAnsiTheme="majorBidi" w:cstheme="majorBidi"/>
          <w:sz w:val="24"/>
          <w:szCs w:val="24"/>
        </w:rPr>
        <w:t xml:space="preserve"> keratitis is a rare and aggressive corneal infection often misdiagnosed as fungal keratitis due to overlapping clinical features, which can delay diagnosis and worsen prognosis </w:t>
      </w:r>
      <w:r w:rsidRPr="003E5E20">
        <w:rPr>
          <w:rFonts w:asciiTheme="majorBidi" w:hAnsiTheme="majorBidi" w:cstheme="majorBidi"/>
          <w:sz w:val="24"/>
          <w:szCs w:val="24"/>
          <w:vertAlign w:val="superscript"/>
        </w:rPr>
        <w:t>[1,2]</w:t>
      </w:r>
      <w:r w:rsidRPr="003E5E20">
        <w:rPr>
          <w:rFonts w:asciiTheme="majorBidi" w:hAnsiTheme="majorBidi" w:cstheme="majorBidi"/>
          <w:sz w:val="24"/>
          <w:szCs w:val="24"/>
        </w:rPr>
        <w:t xml:space="preserve">. Unlike fungal keratitis, Pythium is refractory to conventional antifungal therapy, and therapeutic penetrating keratoplasty (TPK) is often the only definitive management for advanced or non-resolving cases </w:t>
      </w:r>
      <w:r w:rsidRPr="003E5E20">
        <w:rPr>
          <w:rFonts w:asciiTheme="majorBidi" w:hAnsiTheme="majorBidi" w:cstheme="majorBidi"/>
          <w:sz w:val="24"/>
          <w:szCs w:val="24"/>
          <w:vertAlign w:val="superscript"/>
        </w:rPr>
        <w:t>[3,4]</w:t>
      </w:r>
      <w:r w:rsidRPr="003E5E20">
        <w:rPr>
          <w:rFonts w:asciiTheme="majorBidi" w:hAnsiTheme="majorBidi" w:cstheme="majorBidi"/>
          <w:sz w:val="24"/>
          <w:szCs w:val="24"/>
        </w:rPr>
        <w:t xml:space="preserve">. Recent studies emphasize that early microbiological confirmation and initiation of targeted antimicrobial therapy, particularly with linezolid and azithromycin, can improve outcomes </w:t>
      </w:r>
      <w:r w:rsidRPr="003E5E20">
        <w:rPr>
          <w:rFonts w:asciiTheme="majorBidi" w:hAnsiTheme="majorBidi" w:cstheme="majorBidi"/>
          <w:sz w:val="24"/>
          <w:szCs w:val="24"/>
          <w:vertAlign w:val="superscript"/>
        </w:rPr>
        <w:t>[1,3,5]</w:t>
      </w:r>
      <w:r w:rsidRPr="003E5E20">
        <w:rPr>
          <w:rFonts w:asciiTheme="majorBidi" w:hAnsiTheme="majorBidi" w:cstheme="majorBidi"/>
          <w:sz w:val="24"/>
          <w:szCs w:val="24"/>
        </w:rPr>
        <w:t>.</w:t>
      </w:r>
    </w:p>
    <w:p w14:paraId="5BC9465B" w14:textId="5C0A0C95" w:rsidR="003E5E20" w:rsidRPr="003E5E20" w:rsidRDefault="00827078"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presentations are particularly challenging, as children tend to present late, are difficult to examine, and face the risk of amblyopia due to prolonged corneal opacity and visual deprivation </w:t>
      </w:r>
      <w:r w:rsidR="003E5E20" w:rsidRPr="003E5E20">
        <w:rPr>
          <w:rFonts w:asciiTheme="majorBidi" w:hAnsiTheme="majorBidi" w:cstheme="majorBidi"/>
          <w:sz w:val="24"/>
          <w:szCs w:val="24"/>
          <w:vertAlign w:val="superscript"/>
        </w:rPr>
        <w:t>[3,6]</w:t>
      </w:r>
      <w:r w:rsidR="003E5E20" w:rsidRPr="003E5E20">
        <w:rPr>
          <w:rFonts w:asciiTheme="majorBidi" w:hAnsiTheme="majorBidi" w:cstheme="majorBidi"/>
          <w:sz w:val="24"/>
          <w:szCs w:val="24"/>
        </w:rPr>
        <w:t xml:space="preserve">. Our patient developed keratitis following cow horn trauma, which progressed over three years to anterior staphyloma—a rare chronic outcome in </w:t>
      </w:r>
      <w:r w:rsidR="00400E58"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cases. Most reported </w:t>
      </w:r>
      <w:r w:rsidR="00400E58" w:rsidRPr="003E5E20">
        <w:rPr>
          <w:rFonts w:asciiTheme="majorBidi" w:hAnsiTheme="majorBidi" w:cstheme="majorBidi"/>
          <w:sz w:val="24"/>
          <w:szCs w:val="24"/>
        </w:rPr>
        <w:t>paediatric</w:t>
      </w:r>
      <w:r w:rsidR="003E5E20" w:rsidRPr="003E5E20">
        <w:rPr>
          <w:rFonts w:asciiTheme="majorBidi" w:hAnsiTheme="majorBidi" w:cstheme="majorBidi"/>
          <w:sz w:val="24"/>
          <w:szCs w:val="24"/>
        </w:rPr>
        <w:t xml:space="preserve"> Pythium cases either heal with scarring or progress rapidly to perforation, making this prolonged </w:t>
      </w:r>
      <w:proofErr w:type="spellStart"/>
      <w:r w:rsidR="003E5E20" w:rsidRPr="003E5E20">
        <w:rPr>
          <w:rFonts w:asciiTheme="majorBidi" w:hAnsiTheme="majorBidi" w:cstheme="majorBidi"/>
          <w:sz w:val="24"/>
          <w:szCs w:val="24"/>
        </w:rPr>
        <w:t>ectatic</w:t>
      </w:r>
      <w:proofErr w:type="spellEnd"/>
      <w:r w:rsidR="003E5E20" w:rsidRPr="003E5E20">
        <w:rPr>
          <w:rFonts w:asciiTheme="majorBidi" w:hAnsiTheme="majorBidi" w:cstheme="majorBidi"/>
          <w:sz w:val="24"/>
          <w:szCs w:val="24"/>
        </w:rPr>
        <w:t xml:space="preserve"> sequela unusual </w:t>
      </w:r>
      <w:r w:rsidR="003E5E20" w:rsidRPr="003E5E20">
        <w:rPr>
          <w:rFonts w:asciiTheme="majorBidi" w:hAnsiTheme="majorBidi" w:cstheme="majorBidi"/>
          <w:sz w:val="24"/>
          <w:szCs w:val="24"/>
          <w:vertAlign w:val="superscript"/>
        </w:rPr>
        <w:t>[6,7]</w:t>
      </w:r>
      <w:r w:rsidR="003E5E20" w:rsidRPr="003E5E20">
        <w:rPr>
          <w:rFonts w:asciiTheme="majorBidi" w:hAnsiTheme="majorBidi" w:cstheme="majorBidi"/>
          <w:sz w:val="24"/>
          <w:szCs w:val="24"/>
        </w:rPr>
        <w:t>.</w:t>
      </w:r>
    </w:p>
    <w:p w14:paraId="539CFF47" w14:textId="563534EC"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 xml:space="preserve">Recent literature from Indian </w:t>
      </w:r>
      <w:r w:rsidR="00400E58" w:rsidRPr="003E5E20">
        <w:rPr>
          <w:rFonts w:asciiTheme="majorBidi" w:hAnsiTheme="majorBidi" w:cstheme="majorBidi"/>
          <w:sz w:val="24"/>
          <w:szCs w:val="24"/>
        </w:rPr>
        <w:t>centres</w:t>
      </w:r>
      <w:r w:rsidRPr="003E5E20">
        <w:rPr>
          <w:rFonts w:asciiTheme="majorBidi" w:hAnsiTheme="majorBidi" w:cstheme="majorBidi"/>
          <w:sz w:val="24"/>
          <w:szCs w:val="24"/>
        </w:rPr>
        <w:t xml:space="preserve"> has further defined the clinical spectrum of Pythium keratitis. Vishwakarma et al. described detailed clinical, microbiological, and post-treatment histopathological findings, noting that fibrovascular proliferation and loss of normal stromal architecture often indicate healed infection </w:t>
      </w:r>
      <w:r w:rsidRPr="003E5E20">
        <w:rPr>
          <w:rFonts w:asciiTheme="majorBidi" w:hAnsiTheme="majorBidi" w:cstheme="majorBidi"/>
          <w:sz w:val="24"/>
          <w:szCs w:val="24"/>
          <w:vertAlign w:val="superscript"/>
        </w:rPr>
        <w:t>[11]</w:t>
      </w:r>
      <w:r w:rsidRPr="003E5E20">
        <w:rPr>
          <w:rFonts w:asciiTheme="majorBidi" w:hAnsiTheme="majorBidi" w:cstheme="majorBidi"/>
          <w:sz w:val="24"/>
          <w:szCs w:val="24"/>
        </w:rPr>
        <w:t>. Their findings align with our histopathological observation of disorganized stromal collagen and fibrovascular tissue without viable organisms. Kate et al. reported favo</w:t>
      </w:r>
      <w:r w:rsidR="007C4100">
        <w:rPr>
          <w:rFonts w:asciiTheme="majorBidi" w:hAnsiTheme="majorBidi" w:cstheme="majorBidi"/>
          <w:sz w:val="24"/>
          <w:szCs w:val="24"/>
        </w:rPr>
        <w:t>u</w:t>
      </w:r>
      <w:r w:rsidRPr="003E5E20">
        <w:rPr>
          <w:rFonts w:asciiTheme="majorBidi" w:hAnsiTheme="majorBidi" w:cstheme="majorBidi"/>
          <w:sz w:val="24"/>
          <w:szCs w:val="24"/>
        </w:rPr>
        <w:t xml:space="preserve">rable anatomical outcomes after TPK when managed with a combination of topical and systemic antibiotics, highlighting the evolving role of non-antifungal regimens in perioperative management </w:t>
      </w:r>
      <w:r w:rsidRPr="003E5E20">
        <w:rPr>
          <w:rFonts w:asciiTheme="majorBidi" w:hAnsiTheme="majorBidi" w:cstheme="majorBidi"/>
          <w:sz w:val="24"/>
          <w:szCs w:val="24"/>
          <w:vertAlign w:val="superscript"/>
        </w:rPr>
        <w:t>[12]</w:t>
      </w:r>
      <w:r w:rsidRPr="003E5E20">
        <w:rPr>
          <w:rFonts w:asciiTheme="majorBidi" w:hAnsiTheme="majorBidi" w:cstheme="majorBidi"/>
          <w:sz w:val="24"/>
          <w:szCs w:val="24"/>
        </w:rPr>
        <w:t>.</w:t>
      </w:r>
    </w:p>
    <w:p w14:paraId="48FA280D" w14:textId="27F892B1" w:rsidR="003E5E20" w:rsidRPr="003E5E2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P</w:t>
      </w:r>
      <w:r w:rsidR="007C4100">
        <w:rPr>
          <w:rFonts w:asciiTheme="majorBidi" w:hAnsiTheme="majorBidi" w:cstheme="majorBidi"/>
          <w:sz w:val="24"/>
          <w:szCs w:val="24"/>
        </w:rPr>
        <w:t>a</w:t>
      </w:r>
      <w:r w:rsidRPr="003E5E20">
        <w:rPr>
          <w:rFonts w:asciiTheme="majorBidi" w:hAnsiTheme="majorBidi" w:cstheme="majorBidi"/>
          <w:sz w:val="24"/>
          <w:szCs w:val="24"/>
        </w:rPr>
        <w:t xml:space="preserve">ediatric outcomes remain variable. Gurnani et al. reported successful medical management in a 9-year-old child using linezolid, azithromycin, and cyanoacrylate glue, achieving BCVA of 6/12 </w:t>
      </w:r>
      <w:r w:rsidRPr="003E5E20">
        <w:rPr>
          <w:rFonts w:asciiTheme="majorBidi" w:hAnsiTheme="majorBidi" w:cstheme="majorBidi"/>
          <w:sz w:val="24"/>
          <w:szCs w:val="24"/>
          <w:vertAlign w:val="superscript"/>
        </w:rPr>
        <w:t>[8]</w:t>
      </w:r>
      <w:r w:rsidRPr="003E5E20">
        <w:rPr>
          <w:rFonts w:asciiTheme="majorBidi" w:hAnsiTheme="majorBidi" w:cstheme="majorBidi"/>
          <w:sz w:val="24"/>
          <w:szCs w:val="24"/>
        </w:rPr>
        <w:t xml:space="preserve">. In contrast, Ranasinghe et al. described a Sri Lankan adolescent requiring multiple keratoplasties with poor visual outcomes </w:t>
      </w:r>
      <w:r w:rsidRPr="003E5E20">
        <w:rPr>
          <w:rFonts w:asciiTheme="majorBidi" w:hAnsiTheme="majorBidi" w:cstheme="majorBidi"/>
          <w:sz w:val="24"/>
          <w:szCs w:val="24"/>
          <w:vertAlign w:val="superscript"/>
        </w:rPr>
        <w:t>[9]</w:t>
      </w:r>
      <w:r w:rsidRPr="003E5E20">
        <w:rPr>
          <w:rFonts w:asciiTheme="majorBidi" w:hAnsiTheme="majorBidi" w:cstheme="majorBidi"/>
          <w:sz w:val="24"/>
          <w:szCs w:val="24"/>
        </w:rPr>
        <w:t xml:space="preserve">. Large Indian cohorts demonstrate that over 80% of Pythium keratitis cases ultimately require TPK, with recurrence being common and globe loss occurring in up to 25% of eyes </w:t>
      </w:r>
      <w:r w:rsidRPr="003E5E20">
        <w:rPr>
          <w:rFonts w:asciiTheme="majorBidi" w:hAnsiTheme="majorBidi" w:cstheme="majorBidi"/>
          <w:sz w:val="24"/>
          <w:szCs w:val="24"/>
          <w:vertAlign w:val="superscript"/>
        </w:rPr>
        <w:t>[10,12]</w:t>
      </w:r>
      <w:r w:rsidRPr="003E5E20">
        <w:rPr>
          <w:rFonts w:asciiTheme="majorBidi" w:hAnsiTheme="majorBidi" w:cstheme="majorBidi"/>
          <w:sz w:val="24"/>
          <w:szCs w:val="24"/>
        </w:rPr>
        <w:t>.</w:t>
      </w:r>
    </w:p>
    <w:p w14:paraId="2312F934" w14:textId="64F4E735" w:rsidR="00E14957" w:rsidRPr="007C4100" w:rsidRDefault="003E5E20" w:rsidP="007C4100">
      <w:pPr>
        <w:spacing w:line="240" w:lineRule="auto"/>
        <w:jc w:val="both"/>
        <w:rPr>
          <w:rFonts w:asciiTheme="majorBidi" w:hAnsiTheme="majorBidi" w:cstheme="majorBidi"/>
          <w:sz w:val="24"/>
          <w:szCs w:val="24"/>
        </w:rPr>
      </w:pPr>
      <w:r w:rsidRPr="003E5E20">
        <w:rPr>
          <w:rFonts w:asciiTheme="majorBidi" w:hAnsiTheme="majorBidi" w:cstheme="majorBidi"/>
          <w:sz w:val="24"/>
          <w:szCs w:val="24"/>
        </w:rPr>
        <w:t>In our case, the large-diameter TPK (10.5 mm) successfully restored globe integrity, improved cosmesis, and yielded modest visual recovery. Given the p</w:t>
      </w:r>
      <w:r w:rsidR="007C4100">
        <w:rPr>
          <w:rFonts w:asciiTheme="majorBidi" w:hAnsiTheme="majorBidi" w:cstheme="majorBidi"/>
          <w:sz w:val="24"/>
          <w:szCs w:val="24"/>
        </w:rPr>
        <w:t>a</w:t>
      </w:r>
      <w:r w:rsidRPr="003E5E20">
        <w:rPr>
          <w:rFonts w:asciiTheme="majorBidi" w:hAnsiTheme="majorBidi" w:cstheme="majorBidi"/>
          <w:sz w:val="24"/>
          <w:szCs w:val="24"/>
        </w:rPr>
        <w:t>ediatric context, cosmetic rehabilitation holds special significance for psychosocial well-being and confidence. Early recognition, microbiological confirmation, and aggressive surgical management remain key to improving anatomical and visual outcomes in Pythium keratitis.</w:t>
      </w:r>
    </w:p>
    <w:p w14:paraId="64EE2058" w14:textId="458BE668" w:rsidR="00F961EE" w:rsidRPr="00F961EE" w:rsidRDefault="00F961EE" w:rsidP="007C4100">
      <w:pPr>
        <w:spacing w:after="0" w:line="240" w:lineRule="auto"/>
        <w:rPr>
          <w:rFonts w:asciiTheme="majorBidi" w:hAnsiTheme="majorBidi" w:cstheme="majorBidi"/>
          <w:b/>
          <w:bCs/>
          <w:sz w:val="24"/>
          <w:szCs w:val="24"/>
        </w:rPr>
      </w:pPr>
      <w:r w:rsidRPr="00F961EE">
        <w:rPr>
          <w:rFonts w:asciiTheme="majorBidi" w:hAnsiTheme="majorBidi" w:cstheme="majorBidi"/>
          <w:b/>
          <w:bCs/>
          <w:sz w:val="24"/>
          <w:szCs w:val="24"/>
        </w:rPr>
        <w:lastRenderedPageBreak/>
        <w:t>Conclusion</w:t>
      </w:r>
    </w:p>
    <w:p w14:paraId="5995A8CC" w14:textId="342EA770" w:rsidR="004D7F0D" w:rsidRDefault="004D7F0D" w:rsidP="007C4100">
      <w:pPr>
        <w:spacing w:after="0" w:line="240" w:lineRule="auto"/>
        <w:jc w:val="both"/>
        <w:rPr>
          <w:rFonts w:asciiTheme="majorBidi" w:hAnsiTheme="majorBidi" w:cstheme="majorBidi"/>
          <w:sz w:val="24"/>
          <w:szCs w:val="24"/>
        </w:rPr>
      </w:pPr>
      <w:r w:rsidRPr="004D7F0D">
        <w:rPr>
          <w:rFonts w:asciiTheme="majorBidi" w:hAnsiTheme="majorBidi" w:cstheme="majorBidi"/>
          <w:sz w:val="24"/>
          <w:szCs w:val="24"/>
        </w:rPr>
        <w:t xml:space="preserve">Paediatric Pythium </w:t>
      </w:r>
      <w:proofErr w:type="spellStart"/>
      <w:r w:rsidRPr="004D7F0D">
        <w:rPr>
          <w:rFonts w:asciiTheme="majorBidi" w:hAnsiTheme="majorBidi" w:cstheme="majorBidi"/>
          <w:sz w:val="24"/>
          <w:szCs w:val="24"/>
        </w:rPr>
        <w:t>insidiosum</w:t>
      </w:r>
      <w:proofErr w:type="spellEnd"/>
      <w:r w:rsidRPr="004D7F0D">
        <w:rPr>
          <w:rFonts w:asciiTheme="majorBidi" w:hAnsiTheme="majorBidi" w:cstheme="majorBidi"/>
          <w:sz w:val="24"/>
          <w:szCs w:val="24"/>
        </w:rPr>
        <w:t xml:space="preserve"> keratitis is an uncommon and aggressive infection that can lead to serious complications such as anterior staphyloma, especially after ocular trauma. Early detection and timely action are critical, as traditional antifungal medication is frequently ineffective. Therapeutic penetrating keratoplasty is still the primary treatment for anatomical restoration, visual rehabilitation, and cosmetic improvement in advanced paediatric cases.</w:t>
      </w:r>
    </w:p>
    <w:p w14:paraId="7CDA40A3" w14:textId="5BEE9BF5" w:rsidR="009A20F2" w:rsidRDefault="009A20F2" w:rsidP="007C4100">
      <w:pPr>
        <w:spacing w:after="0" w:line="240" w:lineRule="auto"/>
        <w:jc w:val="both"/>
        <w:rPr>
          <w:rFonts w:asciiTheme="majorBidi" w:hAnsiTheme="majorBidi" w:cstheme="majorBidi"/>
          <w:sz w:val="24"/>
          <w:szCs w:val="24"/>
        </w:rPr>
      </w:pPr>
    </w:p>
    <w:p w14:paraId="6BE1F1D3" w14:textId="5607141A" w:rsidR="009A20F2" w:rsidRDefault="009A20F2" w:rsidP="007C4100">
      <w:pPr>
        <w:spacing w:after="0" w:line="240" w:lineRule="auto"/>
        <w:jc w:val="both"/>
        <w:rPr>
          <w:rFonts w:asciiTheme="majorBidi" w:hAnsiTheme="majorBidi" w:cstheme="majorBidi"/>
          <w:sz w:val="24"/>
          <w:szCs w:val="24"/>
        </w:rPr>
      </w:pPr>
    </w:p>
    <w:p w14:paraId="43D8C867" w14:textId="77777777" w:rsidR="009A20F2" w:rsidRPr="009A20F2" w:rsidRDefault="009A20F2" w:rsidP="009A20F2">
      <w:pPr>
        <w:spacing w:after="0" w:line="240" w:lineRule="auto"/>
        <w:jc w:val="both"/>
        <w:rPr>
          <w:rFonts w:asciiTheme="majorBidi" w:hAnsiTheme="majorBidi" w:cstheme="majorBidi"/>
          <w:b/>
          <w:sz w:val="24"/>
          <w:szCs w:val="24"/>
        </w:rPr>
      </w:pPr>
      <w:r w:rsidRPr="009A20F2">
        <w:rPr>
          <w:rFonts w:asciiTheme="majorBidi" w:hAnsiTheme="majorBidi" w:cstheme="majorBidi"/>
          <w:b/>
          <w:sz w:val="24"/>
          <w:szCs w:val="24"/>
        </w:rPr>
        <w:t>Ethical Approval:</w:t>
      </w:r>
    </w:p>
    <w:p w14:paraId="6E8CF932" w14:textId="77777777" w:rsidR="009A20F2" w:rsidRPr="009A20F2" w:rsidRDefault="009A20F2" w:rsidP="009A20F2">
      <w:pPr>
        <w:spacing w:after="0" w:line="240" w:lineRule="auto"/>
        <w:jc w:val="both"/>
        <w:rPr>
          <w:rFonts w:asciiTheme="majorBidi" w:hAnsiTheme="majorBidi" w:cstheme="majorBidi"/>
          <w:sz w:val="24"/>
          <w:szCs w:val="24"/>
        </w:rPr>
      </w:pPr>
    </w:p>
    <w:p w14:paraId="689B0B60" w14:textId="24018C1B" w:rsidR="009A20F2" w:rsidRDefault="009A20F2" w:rsidP="009A20F2">
      <w:pPr>
        <w:spacing w:after="0" w:line="240" w:lineRule="auto"/>
        <w:jc w:val="both"/>
        <w:rPr>
          <w:rFonts w:asciiTheme="majorBidi" w:hAnsiTheme="majorBidi" w:cstheme="majorBidi"/>
          <w:sz w:val="24"/>
          <w:szCs w:val="24"/>
        </w:rPr>
      </w:pPr>
      <w:r w:rsidRPr="009A20F2">
        <w:rPr>
          <w:rFonts w:asciiTheme="majorBidi" w:hAnsiTheme="majorBidi" w:cstheme="majorBidi"/>
          <w:sz w:val="24"/>
          <w:szCs w:val="24"/>
        </w:rPr>
        <w:t>As per international standards or university standards written ethical approval has been collected and preserved by the author(s).</w:t>
      </w:r>
    </w:p>
    <w:p w14:paraId="6A68B761" w14:textId="77777777" w:rsidR="009A20F2" w:rsidRPr="00F961EE" w:rsidRDefault="009A20F2" w:rsidP="009A20F2">
      <w:pPr>
        <w:spacing w:after="0" w:line="240" w:lineRule="auto"/>
        <w:jc w:val="both"/>
        <w:rPr>
          <w:rFonts w:asciiTheme="majorBidi" w:hAnsiTheme="majorBidi" w:cstheme="majorBidi"/>
          <w:sz w:val="24"/>
          <w:szCs w:val="24"/>
        </w:rPr>
      </w:pPr>
    </w:p>
    <w:p w14:paraId="7EF3A038" w14:textId="34817BDB" w:rsidR="00797EF5"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Consent</w:t>
      </w:r>
      <w:r w:rsidRPr="00F961EE">
        <w:rPr>
          <w:rFonts w:asciiTheme="majorBidi" w:hAnsiTheme="majorBidi" w:cstheme="majorBidi"/>
          <w:sz w:val="24"/>
          <w:szCs w:val="24"/>
        </w:rPr>
        <w:br/>
      </w:r>
      <w:r w:rsidR="009A20F2">
        <w:rPr>
          <w:rFonts w:asciiTheme="majorBidi" w:hAnsiTheme="majorBidi" w:cstheme="majorBidi"/>
          <w:sz w:val="24"/>
          <w:szCs w:val="24"/>
        </w:rPr>
        <w:t xml:space="preserve">As </w:t>
      </w:r>
      <w:r w:rsidR="009A20F2" w:rsidRPr="009A20F2">
        <w:rPr>
          <w:rFonts w:asciiTheme="majorBidi" w:hAnsiTheme="majorBidi" w:cstheme="majorBidi"/>
          <w:sz w:val="24"/>
          <w:szCs w:val="24"/>
        </w:rPr>
        <w:t>per international standards, parental written consent has been collected and preserved by the author(s)</w:t>
      </w:r>
      <w:r w:rsidR="009A20F2">
        <w:rPr>
          <w:rFonts w:asciiTheme="majorBidi" w:hAnsiTheme="majorBidi" w:cstheme="majorBidi"/>
          <w:sz w:val="24"/>
          <w:szCs w:val="24"/>
        </w:rPr>
        <w:t xml:space="preserve"> </w:t>
      </w:r>
      <w:r w:rsidRPr="00F961EE">
        <w:rPr>
          <w:rFonts w:asciiTheme="majorBidi" w:hAnsiTheme="majorBidi" w:cstheme="majorBidi"/>
          <w:sz w:val="24"/>
          <w:szCs w:val="24"/>
        </w:rPr>
        <w:t>for the publication of this case report, including any accompanying images and details</w:t>
      </w:r>
      <w:r w:rsidR="009A20F2">
        <w:rPr>
          <w:rFonts w:asciiTheme="majorBidi" w:hAnsiTheme="majorBidi" w:cstheme="majorBidi"/>
          <w:sz w:val="24"/>
          <w:szCs w:val="24"/>
        </w:rPr>
        <w:t>.</w:t>
      </w:r>
      <w:bookmarkStart w:id="0" w:name="_GoBack"/>
      <w:bookmarkEnd w:id="0"/>
    </w:p>
    <w:p w14:paraId="30BFDCAA" w14:textId="77777777" w:rsidR="00757120" w:rsidRPr="009A20F2" w:rsidRDefault="00757120" w:rsidP="00757120">
      <w:pPr>
        <w:rPr>
          <w:b/>
        </w:rPr>
      </w:pPr>
      <w:r w:rsidRPr="009A20F2">
        <w:rPr>
          <w:b/>
        </w:rPr>
        <w:t>Disclaimer (Artificial intelligence)</w:t>
      </w:r>
    </w:p>
    <w:p w14:paraId="4B81419F" w14:textId="77777777" w:rsidR="00757120" w:rsidRDefault="00757120" w:rsidP="00757120">
      <w:r>
        <w:t xml:space="preserve">Option 1: </w:t>
      </w:r>
    </w:p>
    <w:p w14:paraId="38BF3EC3" w14:textId="77777777" w:rsidR="00757120" w:rsidRDefault="00757120" w:rsidP="0075712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BD79C0E" w14:textId="77777777" w:rsidR="00757120" w:rsidRDefault="00757120" w:rsidP="00757120">
      <w:r>
        <w:t xml:space="preserve">Option 2: </w:t>
      </w:r>
    </w:p>
    <w:p w14:paraId="398A7710" w14:textId="77777777" w:rsidR="00757120" w:rsidRDefault="00757120" w:rsidP="0075712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068093" w14:textId="77777777" w:rsidR="00757120" w:rsidRDefault="00757120" w:rsidP="00757120">
      <w:r>
        <w:t>Details of the AI usage are given below:</w:t>
      </w:r>
    </w:p>
    <w:p w14:paraId="647F401F" w14:textId="77777777" w:rsidR="00757120" w:rsidRDefault="00757120" w:rsidP="00757120">
      <w:r>
        <w:t>1.</w:t>
      </w:r>
    </w:p>
    <w:p w14:paraId="00CBD25D" w14:textId="77777777" w:rsidR="00757120" w:rsidRDefault="00757120" w:rsidP="00757120">
      <w:r>
        <w:t>2.</w:t>
      </w:r>
    </w:p>
    <w:p w14:paraId="2651D8E2" w14:textId="77777777" w:rsidR="00757120" w:rsidRPr="00D047BB" w:rsidRDefault="00757120" w:rsidP="00757120">
      <w:r>
        <w:t>3.</w:t>
      </w:r>
    </w:p>
    <w:p w14:paraId="2CFA1831" w14:textId="77777777" w:rsidR="00757120" w:rsidRPr="0063354D" w:rsidRDefault="00757120" w:rsidP="00757120"/>
    <w:p w14:paraId="117ED6B9" w14:textId="77777777" w:rsidR="00757120" w:rsidRPr="00F7241A" w:rsidRDefault="00757120" w:rsidP="00757120"/>
    <w:p w14:paraId="0A6FA2EE" w14:textId="77777777" w:rsidR="007C4100" w:rsidRPr="00F961EE" w:rsidRDefault="007C4100" w:rsidP="007C4100">
      <w:pPr>
        <w:spacing w:line="240" w:lineRule="auto"/>
        <w:rPr>
          <w:rFonts w:asciiTheme="majorBidi" w:hAnsiTheme="majorBidi" w:cstheme="majorBidi"/>
          <w:b/>
          <w:bCs/>
          <w:sz w:val="24"/>
          <w:szCs w:val="24"/>
        </w:rPr>
      </w:pPr>
    </w:p>
    <w:p w14:paraId="31C107EC" w14:textId="77777777" w:rsidR="00F961EE" w:rsidRPr="00F961EE"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b/>
          <w:bCs/>
          <w:sz w:val="24"/>
          <w:szCs w:val="24"/>
        </w:rPr>
        <w:t>References</w:t>
      </w:r>
    </w:p>
    <w:p w14:paraId="61DF6E8A" w14:textId="7A7DE1B1" w:rsidR="005044ED" w:rsidRPr="005044ED" w:rsidRDefault="005044ED"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1.</w:t>
      </w:r>
      <w:r w:rsidRPr="005044ED">
        <w:rPr>
          <w:rFonts w:asciiTheme="majorBidi" w:hAnsiTheme="majorBidi" w:cstheme="majorBidi"/>
          <w:sz w:val="24"/>
          <w:szCs w:val="24"/>
        </w:rPr>
        <w:t xml:space="preserve">Sood DR, Sood DR. Assessment of cases of Pythium </w:t>
      </w:r>
      <w:proofErr w:type="spellStart"/>
      <w:r w:rsidRPr="005044ED">
        <w:rPr>
          <w:rFonts w:asciiTheme="majorBidi" w:hAnsiTheme="majorBidi" w:cstheme="majorBidi"/>
          <w:sz w:val="24"/>
          <w:szCs w:val="24"/>
        </w:rPr>
        <w:t>insidiosum</w:t>
      </w:r>
      <w:proofErr w:type="spellEnd"/>
      <w:r w:rsidRPr="005044ED">
        <w:rPr>
          <w:rFonts w:asciiTheme="majorBidi" w:hAnsiTheme="majorBidi" w:cstheme="majorBidi"/>
          <w:sz w:val="24"/>
          <w:szCs w:val="24"/>
        </w:rPr>
        <w:t xml:space="preserve"> keratitis- A clinical study. Int J Med </w:t>
      </w:r>
      <w:proofErr w:type="spellStart"/>
      <w:r w:rsidRPr="005044ED">
        <w:rPr>
          <w:rFonts w:asciiTheme="majorBidi" w:hAnsiTheme="majorBidi" w:cstheme="majorBidi"/>
          <w:sz w:val="24"/>
          <w:szCs w:val="24"/>
        </w:rPr>
        <w:t>Ophthalmol</w:t>
      </w:r>
      <w:proofErr w:type="spellEnd"/>
      <w:r w:rsidRPr="005044ED">
        <w:rPr>
          <w:rFonts w:asciiTheme="majorBidi" w:hAnsiTheme="majorBidi" w:cstheme="majorBidi"/>
          <w:sz w:val="24"/>
          <w:szCs w:val="24"/>
        </w:rPr>
        <w:t xml:space="preserve"> [Internet]. 2020;2(2):81–3. Available from: </w:t>
      </w:r>
      <w:hyperlink r:id="rId13" w:history="1">
        <w:r w:rsidRPr="005044ED">
          <w:rPr>
            <w:rStyle w:val="Hyperlink"/>
            <w:rFonts w:asciiTheme="majorBidi" w:hAnsiTheme="majorBidi" w:cstheme="majorBidi"/>
            <w:sz w:val="24"/>
            <w:szCs w:val="24"/>
          </w:rPr>
          <w:t>https://www.ophthalmoljournal.com/articles/45/2-2-3-564.pdf</w:t>
        </w:r>
      </w:hyperlink>
    </w:p>
    <w:p w14:paraId="3643EF09" w14:textId="639B0F34" w:rsidR="00F961EE" w:rsidRPr="00F961EE" w:rsidRDefault="005044ED" w:rsidP="007C4100">
      <w:pPr>
        <w:spacing w:line="240" w:lineRule="auto"/>
        <w:rPr>
          <w:rFonts w:asciiTheme="majorBidi" w:hAnsiTheme="majorBidi" w:cstheme="majorBidi"/>
          <w:sz w:val="24"/>
          <w:szCs w:val="24"/>
        </w:rPr>
      </w:pPr>
      <w:r w:rsidRPr="005044ED">
        <w:rPr>
          <w:rFonts w:asciiTheme="majorBidi" w:hAnsiTheme="majorBidi" w:cstheme="majorBidi"/>
          <w:sz w:val="24"/>
          <w:szCs w:val="24"/>
        </w:rPr>
        <w:t xml:space="preserve">2.Thomas PA, </w:t>
      </w:r>
      <w:proofErr w:type="spellStart"/>
      <w:r w:rsidRPr="005044ED">
        <w:rPr>
          <w:rFonts w:asciiTheme="majorBidi" w:hAnsiTheme="majorBidi" w:cstheme="majorBidi"/>
          <w:sz w:val="24"/>
          <w:szCs w:val="24"/>
        </w:rPr>
        <w:t>Kaliamurthy</w:t>
      </w:r>
      <w:proofErr w:type="spellEnd"/>
      <w:r w:rsidRPr="005044ED">
        <w:rPr>
          <w:rFonts w:asciiTheme="majorBidi" w:hAnsiTheme="majorBidi" w:cstheme="majorBidi"/>
          <w:sz w:val="24"/>
          <w:szCs w:val="24"/>
        </w:rPr>
        <w:t xml:space="preserve"> J. Mycotic keratitis: epidemiology, diagnosis and management. Clin </w:t>
      </w:r>
      <w:proofErr w:type="spellStart"/>
      <w:r w:rsidRPr="005044ED">
        <w:rPr>
          <w:rFonts w:asciiTheme="majorBidi" w:hAnsiTheme="majorBidi" w:cstheme="majorBidi"/>
          <w:sz w:val="24"/>
          <w:szCs w:val="24"/>
        </w:rPr>
        <w:t>Microbiol</w:t>
      </w:r>
      <w:proofErr w:type="spellEnd"/>
      <w:r w:rsidRPr="005044ED">
        <w:rPr>
          <w:rFonts w:asciiTheme="majorBidi" w:hAnsiTheme="majorBidi" w:cstheme="majorBidi"/>
          <w:sz w:val="24"/>
          <w:szCs w:val="24"/>
        </w:rPr>
        <w:t xml:space="preserve"> Infect. 2013 Mar;19(3):210-20. </w:t>
      </w:r>
      <w:proofErr w:type="spellStart"/>
      <w:r w:rsidRPr="005044ED">
        <w:rPr>
          <w:rFonts w:asciiTheme="majorBidi" w:hAnsiTheme="majorBidi" w:cstheme="majorBidi"/>
          <w:sz w:val="24"/>
          <w:szCs w:val="24"/>
        </w:rPr>
        <w:t>doi</w:t>
      </w:r>
      <w:proofErr w:type="spellEnd"/>
      <w:r w:rsidRPr="005044ED">
        <w:rPr>
          <w:rFonts w:asciiTheme="majorBidi" w:hAnsiTheme="majorBidi" w:cstheme="majorBidi"/>
          <w:sz w:val="24"/>
          <w:szCs w:val="24"/>
        </w:rPr>
        <w:t xml:space="preserve">: 10.1111/1469-0691.12126. </w:t>
      </w:r>
      <w:proofErr w:type="spellStart"/>
      <w:r w:rsidRPr="005044ED">
        <w:rPr>
          <w:rFonts w:asciiTheme="majorBidi" w:hAnsiTheme="majorBidi" w:cstheme="majorBidi"/>
          <w:sz w:val="24"/>
          <w:szCs w:val="24"/>
        </w:rPr>
        <w:t>Epub</w:t>
      </w:r>
      <w:proofErr w:type="spellEnd"/>
      <w:r w:rsidRPr="005044ED">
        <w:rPr>
          <w:rFonts w:asciiTheme="majorBidi" w:hAnsiTheme="majorBidi" w:cstheme="majorBidi"/>
          <w:sz w:val="24"/>
          <w:szCs w:val="24"/>
        </w:rPr>
        <w:t xml:space="preserve"> 2013 Feb 9. PMID: 23398543.</w:t>
      </w:r>
      <w:r w:rsidR="00F961EE" w:rsidRPr="005044ED">
        <w:rPr>
          <w:rFonts w:asciiTheme="majorBidi" w:hAnsiTheme="majorBidi" w:cstheme="majorBidi"/>
          <w:sz w:val="24"/>
          <w:szCs w:val="24"/>
        </w:rPr>
        <w:br/>
      </w:r>
      <w:r w:rsidR="00F961EE" w:rsidRPr="005044ED">
        <w:rPr>
          <w:rFonts w:asciiTheme="majorBidi" w:hAnsiTheme="majorBidi" w:cstheme="majorBidi"/>
          <w:sz w:val="24"/>
          <w:szCs w:val="24"/>
        </w:rPr>
        <w:lastRenderedPageBreak/>
        <w:br/>
      </w:r>
      <w:r w:rsidR="00F961EE" w:rsidRPr="00F961EE">
        <w:rPr>
          <w:rFonts w:asciiTheme="majorBidi" w:hAnsiTheme="majorBidi" w:cstheme="majorBidi"/>
          <w:sz w:val="24"/>
          <w:szCs w:val="24"/>
        </w:rPr>
        <w:t xml:space="preserve">3. </w:t>
      </w:r>
      <w:r w:rsidRPr="005044ED">
        <w:rPr>
          <w:rFonts w:asciiTheme="majorBidi" w:hAnsiTheme="majorBidi" w:cstheme="majorBidi"/>
          <w:sz w:val="24"/>
          <w:szCs w:val="24"/>
        </w:rPr>
        <w:t xml:space="preserve">Pratima Vishwakarma &amp; Bhupesh </w:t>
      </w:r>
      <w:proofErr w:type="spellStart"/>
      <w:r w:rsidRPr="005044ED">
        <w:rPr>
          <w:rFonts w:asciiTheme="majorBidi" w:hAnsiTheme="majorBidi" w:cstheme="majorBidi"/>
          <w:sz w:val="24"/>
          <w:szCs w:val="24"/>
        </w:rPr>
        <w:t>Bagga</w:t>
      </w:r>
      <w:proofErr w:type="spellEnd"/>
      <w:r w:rsidRPr="005044ED">
        <w:rPr>
          <w:rFonts w:asciiTheme="majorBidi" w:hAnsiTheme="majorBidi" w:cstheme="majorBidi"/>
          <w:sz w:val="24"/>
          <w:szCs w:val="24"/>
        </w:rPr>
        <w:t xml:space="preserve"> (2022): Pythium</w:t>
      </w:r>
      <w:r>
        <w:rPr>
          <w:rFonts w:ascii="Times New Roman" w:hAnsi="Times New Roman" w:cs="Times New Roman"/>
          <w:sz w:val="24"/>
          <w:szCs w:val="24"/>
        </w:rPr>
        <w:t xml:space="preserve"> </w:t>
      </w:r>
      <w:proofErr w:type="spellStart"/>
      <w:r w:rsidRPr="005044ED">
        <w:rPr>
          <w:rFonts w:asciiTheme="majorBidi" w:hAnsiTheme="majorBidi" w:cstheme="majorBidi"/>
          <w:sz w:val="24"/>
          <w:szCs w:val="24"/>
        </w:rPr>
        <w:t>insidiosum</w:t>
      </w:r>
      <w:proofErr w:type="spellEnd"/>
      <w:r w:rsidRPr="005044ED">
        <w:rPr>
          <w:rFonts w:asciiTheme="majorBidi" w:hAnsiTheme="majorBidi" w:cstheme="majorBidi"/>
          <w:sz w:val="24"/>
          <w:szCs w:val="24"/>
        </w:rPr>
        <w:t xml:space="preserve"> keratitis:</w:t>
      </w:r>
      <w:r>
        <w:rPr>
          <w:rFonts w:asciiTheme="majorBidi" w:hAnsiTheme="majorBidi" w:cstheme="majorBidi"/>
          <w:sz w:val="24"/>
          <w:szCs w:val="24"/>
        </w:rPr>
        <w:t xml:space="preserve"> </w:t>
      </w:r>
      <w:r w:rsidRPr="005044ED">
        <w:rPr>
          <w:rFonts w:asciiTheme="majorBidi" w:hAnsiTheme="majorBidi" w:cstheme="majorBidi"/>
          <w:sz w:val="24"/>
          <w:szCs w:val="24"/>
        </w:rPr>
        <w:t xml:space="preserve">Review of literature of 5 years’ clinical experience at a tertiary eye care </w:t>
      </w:r>
      <w:proofErr w:type="spellStart"/>
      <w:r w:rsidRPr="005044ED">
        <w:rPr>
          <w:rFonts w:asciiTheme="majorBidi" w:hAnsiTheme="majorBidi" w:cstheme="majorBidi"/>
          <w:sz w:val="24"/>
          <w:szCs w:val="24"/>
        </w:rPr>
        <w:t>center</w:t>
      </w:r>
      <w:proofErr w:type="spellEnd"/>
      <w:r w:rsidRPr="005044ED">
        <w:rPr>
          <w:rFonts w:asciiTheme="majorBidi" w:hAnsiTheme="majorBidi" w:cstheme="majorBidi"/>
          <w:sz w:val="24"/>
          <w:szCs w:val="24"/>
        </w:rPr>
        <w:t>, Seminars in</w:t>
      </w:r>
      <w:r>
        <w:rPr>
          <w:rFonts w:asciiTheme="majorBidi" w:hAnsiTheme="majorBidi" w:cstheme="majorBidi"/>
          <w:sz w:val="24"/>
          <w:szCs w:val="24"/>
        </w:rPr>
        <w:t xml:space="preserve"> </w:t>
      </w:r>
      <w:r w:rsidRPr="005044ED">
        <w:rPr>
          <w:rFonts w:asciiTheme="majorBidi" w:hAnsiTheme="majorBidi" w:cstheme="majorBidi"/>
          <w:sz w:val="24"/>
          <w:szCs w:val="24"/>
        </w:rPr>
        <w:t>Ophthalmology, DOI: 10.1080/08820538.2022.2116287</w:t>
      </w:r>
    </w:p>
    <w:p w14:paraId="6735FB51" w14:textId="6DFCBA7E"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4. </w:t>
      </w:r>
      <w:r w:rsidR="00586E7B" w:rsidRPr="00586E7B">
        <w:rPr>
          <w:rFonts w:asciiTheme="majorBidi" w:hAnsiTheme="majorBidi" w:cstheme="majorBidi"/>
          <w:sz w:val="24"/>
          <w:szCs w:val="24"/>
        </w:rPr>
        <w:t xml:space="preserve">Bajracharya L, Gurung R. Outcome of therapeutic penetrating keratoplasty in a tertiary eye care </w:t>
      </w:r>
      <w:proofErr w:type="spellStart"/>
      <w:r w:rsidR="00586E7B" w:rsidRPr="00586E7B">
        <w:rPr>
          <w:rFonts w:asciiTheme="majorBidi" w:hAnsiTheme="majorBidi" w:cstheme="majorBidi"/>
          <w:sz w:val="24"/>
          <w:szCs w:val="24"/>
        </w:rPr>
        <w:t>center</w:t>
      </w:r>
      <w:proofErr w:type="spellEnd"/>
      <w:r w:rsidR="00586E7B" w:rsidRPr="00586E7B">
        <w:rPr>
          <w:rFonts w:asciiTheme="majorBidi" w:hAnsiTheme="majorBidi" w:cstheme="majorBidi"/>
          <w:sz w:val="24"/>
          <w:szCs w:val="24"/>
        </w:rPr>
        <w:t xml:space="preserve"> in Nepal. Clin </w:t>
      </w:r>
      <w:proofErr w:type="spellStart"/>
      <w:r w:rsidR="00586E7B" w:rsidRPr="00586E7B">
        <w:rPr>
          <w:rFonts w:asciiTheme="majorBidi" w:hAnsiTheme="majorBidi" w:cstheme="majorBidi"/>
          <w:sz w:val="24"/>
          <w:szCs w:val="24"/>
        </w:rPr>
        <w:t>Ophthalmol</w:t>
      </w:r>
      <w:proofErr w:type="spellEnd"/>
      <w:r w:rsidR="00586E7B" w:rsidRPr="00586E7B">
        <w:rPr>
          <w:rFonts w:asciiTheme="majorBidi" w:hAnsiTheme="majorBidi" w:cstheme="majorBidi"/>
          <w:sz w:val="24"/>
          <w:szCs w:val="24"/>
        </w:rPr>
        <w:t xml:space="preserve">. 2015 Dec 7; 9:2299-304. </w:t>
      </w:r>
      <w:proofErr w:type="spellStart"/>
      <w:r w:rsidR="00586E7B" w:rsidRPr="00586E7B">
        <w:rPr>
          <w:rFonts w:asciiTheme="majorBidi" w:hAnsiTheme="majorBidi" w:cstheme="majorBidi"/>
          <w:sz w:val="24"/>
          <w:szCs w:val="24"/>
        </w:rPr>
        <w:t>doi</w:t>
      </w:r>
      <w:proofErr w:type="spellEnd"/>
      <w:r w:rsidR="00586E7B" w:rsidRPr="00586E7B">
        <w:rPr>
          <w:rFonts w:asciiTheme="majorBidi" w:hAnsiTheme="majorBidi" w:cstheme="majorBidi"/>
          <w:sz w:val="24"/>
          <w:szCs w:val="24"/>
        </w:rPr>
        <w:t>: 10.2147/OPTH.S92176. PMID: 26673279; PMCID: PMC4676621.</w:t>
      </w:r>
    </w:p>
    <w:p w14:paraId="1CF74478" w14:textId="4DF9E92D" w:rsidR="00F961EE" w:rsidRPr="00F961EE"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5. </w:t>
      </w:r>
      <w:r w:rsidR="005044ED" w:rsidRPr="005044ED">
        <w:rPr>
          <w:rFonts w:asciiTheme="majorBidi" w:hAnsiTheme="majorBidi" w:cstheme="majorBidi"/>
          <w:sz w:val="24"/>
          <w:szCs w:val="24"/>
        </w:rPr>
        <w:t>Gurnani, Bharat; Kaur, Kirandeep</w:t>
      </w:r>
      <w:r w:rsidR="005044ED" w:rsidRPr="005044ED">
        <w:rPr>
          <w:rFonts w:asciiTheme="majorBidi" w:hAnsiTheme="majorBidi" w:cstheme="majorBidi"/>
          <w:sz w:val="24"/>
          <w:szCs w:val="24"/>
          <w:vertAlign w:val="superscript"/>
        </w:rPr>
        <w:t>1</w:t>
      </w:r>
      <w:r w:rsidR="005044ED" w:rsidRPr="005044ED">
        <w:rPr>
          <w:rFonts w:asciiTheme="majorBidi" w:hAnsiTheme="majorBidi" w:cstheme="majorBidi"/>
          <w:sz w:val="24"/>
          <w:szCs w:val="24"/>
        </w:rPr>
        <w:t>; Venugopal, Anitha</w:t>
      </w:r>
      <w:r w:rsidR="005044ED" w:rsidRPr="005044ED">
        <w:rPr>
          <w:rFonts w:asciiTheme="majorBidi" w:hAnsiTheme="majorBidi" w:cstheme="majorBidi"/>
          <w:sz w:val="24"/>
          <w:szCs w:val="24"/>
          <w:vertAlign w:val="superscript"/>
        </w:rPr>
        <w:t>2</w:t>
      </w:r>
      <w:r w:rsidR="005044ED" w:rsidRPr="005044ED">
        <w:rPr>
          <w:rFonts w:asciiTheme="majorBidi" w:hAnsiTheme="majorBidi" w:cstheme="majorBidi"/>
          <w:sz w:val="24"/>
          <w:szCs w:val="24"/>
        </w:rPr>
        <w:t>; Srinivasan, Bhaskar</w:t>
      </w:r>
      <w:r w:rsidR="005044ED" w:rsidRPr="005044ED">
        <w:rPr>
          <w:rFonts w:asciiTheme="majorBidi" w:hAnsiTheme="majorBidi" w:cstheme="majorBidi"/>
          <w:sz w:val="24"/>
          <w:szCs w:val="24"/>
          <w:vertAlign w:val="superscript"/>
        </w:rPr>
        <w:t>3</w:t>
      </w:r>
      <w:r w:rsidR="005044ED" w:rsidRPr="005044ED">
        <w:rPr>
          <w:rFonts w:asciiTheme="majorBidi" w:hAnsiTheme="majorBidi" w:cstheme="majorBidi"/>
          <w:sz w:val="24"/>
          <w:szCs w:val="24"/>
        </w:rPr>
        <w:t>; Bagga, Bhupesh</w:t>
      </w:r>
      <w:r w:rsidR="005044ED" w:rsidRPr="005044ED">
        <w:rPr>
          <w:rFonts w:asciiTheme="majorBidi" w:hAnsiTheme="majorBidi" w:cstheme="majorBidi"/>
          <w:sz w:val="24"/>
          <w:szCs w:val="24"/>
          <w:vertAlign w:val="superscript"/>
        </w:rPr>
        <w:t>4</w:t>
      </w:r>
      <w:r w:rsidR="005044ED" w:rsidRPr="005044ED">
        <w:rPr>
          <w:rFonts w:asciiTheme="majorBidi" w:hAnsiTheme="majorBidi" w:cstheme="majorBidi"/>
          <w:sz w:val="24"/>
          <w:szCs w:val="24"/>
        </w:rPr>
        <w:t>; Iyer, Geetha</w:t>
      </w:r>
      <w:r w:rsidR="005044ED" w:rsidRPr="005044ED">
        <w:rPr>
          <w:rFonts w:asciiTheme="majorBidi" w:hAnsiTheme="majorBidi" w:cstheme="majorBidi"/>
          <w:sz w:val="24"/>
          <w:szCs w:val="24"/>
          <w:vertAlign w:val="superscript"/>
        </w:rPr>
        <w:t>5</w:t>
      </w:r>
      <w:r w:rsidR="005044ED" w:rsidRPr="005044ED">
        <w:rPr>
          <w:rFonts w:asciiTheme="majorBidi" w:hAnsiTheme="majorBidi" w:cstheme="majorBidi"/>
          <w:sz w:val="24"/>
          <w:szCs w:val="24"/>
        </w:rPr>
        <w:t>; Christy, Josephine</w:t>
      </w:r>
      <w:r w:rsidR="005044ED" w:rsidRPr="005044ED">
        <w:rPr>
          <w:rFonts w:asciiTheme="majorBidi" w:hAnsiTheme="majorBidi" w:cstheme="majorBidi"/>
          <w:sz w:val="24"/>
          <w:szCs w:val="24"/>
          <w:vertAlign w:val="superscript"/>
        </w:rPr>
        <w:t>6</w:t>
      </w:r>
      <w:r w:rsidR="005044ED" w:rsidRPr="005044ED">
        <w:rPr>
          <w:rFonts w:asciiTheme="majorBidi" w:hAnsiTheme="majorBidi" w:cstheme="majorBidi"/>
          <w:sz w:val="24"/>
          <w:szCs w:val="24"/>
        </w:rPr>
        <w:t>; Prajna, Lalitha</w:t>
      </w:r>
      <w:r w:rsidR="005044ED" w:rsidRPr="005044ED">
        <w:rPr>
          <w:rFonts w:asciiTheme="majorBidi" w:hAnsiTheme="majorBidi" w:cstheme="majorBidi"/>
          <w:sz w:val="24"/>
          <w:szCs w:val="24"/>
          <w:vertAlign w:val="superscript"/>
        </w:rPr>
        <w:t>7</w:t>
      </w:r>
      <w:r w:rsidR="005044ED" w:rsidRPr="005044ED">
        <w:rPr>
          <w:rFonts w:asciiTheme="majorBidi" w:hAnsiTheme="majorBidi" w:cstheme="majorBidi"/>
          <w:sz w:val="24"/>
          <w:szCs w:val="24"/>
        </w:rPr>
        <w:t>; Vanathi, Murugesan</w:t>
      </w:r>
      <w:r w:rsidR="005044ED" w:rsidRPr="005044ED">
        <w:rPr>
          <w:rFonts w:asciiTheme="majorBidi" w:hAnsiTheme="majorBidi" w:cstheme="majorBidi"/>
          <w:sz w:val="24"/>
          <w:szCs w:val="24"/>
          <w:vertAlign w:val="superscript"/>
        </w:rPr>
        <w:t>8</w:t>
      </w:r>
      <w:r w:rsidR="005044ED" w:rsidRPr="005044ED">
        <w:rPr>
          <w:rFonts w:asciiTheme="majorBidi" w:hAnsiTheme="majorBidi" w:cstheme="majorBidi"/>
          <w:sz w:val="24"/>
          <w:szCs w:val="24"/>
        </w:rPr>
        <w:t>; Garg, Prashant</w:t>
      </w:r>
      <w:r w:rsidR="005044ED" w:rsidRPr="005044ED">
        <w:rPr>
          <w:rFonts w:asciiTheme="majorBidi" w:hAnsiTheme="majorBidi" w:cstheme="majorBidi"/>
          <w:sz w:val="24"/>
          <w:szCs w:val="24"/>
          <w:vertAlign w:val="superscript"/>
        </w:rPr>
        <w:t>9</w:t>
      </w:r>
      <w:r w:rsidR="005044ED" w:rsidRPr="005044ED">
        <w:rPr>
          <w:rFonts w:asciiTheme="majorBidi" w:hAnsiTheme="majorBidi" w:cstheme="majorBidi"/>
          <w:sz w:val="24"/>
          <w:szCs w:val="24"/>
        </w:rPr>
        <w:t>; Narayana, Shivanand</w:t>
      </w:r>
      <w:r w:rsidR="005044ED" w:rsidRPr="005044ED">
        <w:rPr>
          <w:rFonts w:asciiTheme="majorBidi" w:hAnsiTheme="majorBidi" w:cstheme="majorBidi"/>
          <w:sz w:val="24"/>
          <w:szCs w:val="24"/>
          <w:vertAlign w:val="superscript"/>
        </w:rPr>
        <w:t>10</w:t>
      </w:r>
      <w:r w:rsidR="005044ED" w:rsidRPr="005044ED">
        <w:rPr>
          <w:rFonts w:asciiTheme="majorBidi" w:hAnsiTheme="majorBidi" w:cstheme="majorBidi"/>
          <w:sz w:val="24"/>
          <w:szCs w:val="24"/>
        </w:rPr>
        <w:t>; Agarwal, Shweta</w:t>
      </w:r>
      <w:r w:rsidR="005044ED" w:rsidRPr="005044ED">
        <w:rPr>
          <w:rFonts w:asciiTheme="majorBidi" w:hAnsiTheme="majorBidi" w:cstheme="majorBidi"/>
          <w:sz w:val="24"/>
          <w:szCs w:val="24"/>
          <w:vertAlign w:val="superscript"/>
        </w:rPr>
        <w:t>11</w:t>
      </w:r>
      <w:r w:rsidR="005044ED" w:rsidRPr="005044ED">
        <w:rPr>
          <w:rFonts w:asciiTheme="majorBidi" w:hAnsiTheme="majorBidi" w:cstheme="majorBidi"/>
          <w:sz w:val="24"/>
          <w:szCs w:val="24"/>
        </w:rPr>
        <w:t>; Sahu, Srikant</w:t>
      </w:r>
      <w:r w:rsidR="005044ED" w:rsidRPr="005044ED">
        <w:rPr>
          <w:rFonts w:asciiTheme="majorBidi" w:hAnsiTheme="majorBidi" w:cstheme="majorBidi"/>
          <w:sz w:val="24"/>
          <w:szCs w:val="24"/>
          <w:vertAlign w:val="superscript"/>
        </w:rPr>
        <w:t>12</w:t>
      </w:r>
      <w:r w:rsidR="005044ED" w:rsidRPr="005044ED">
        <w:rPr>
          <w:rFonts w:asciiTheme="majorBidi" w:hAnsiTheme="majorBidi" w:cstheme="majorBidi"/>
          <w:sz w:val="24"/>
          <w:szCs w:val="24"/>
        </w:rPr>
        <w:t xml:space="preserve">. Pythium </w:t>
      </w:r>
      <w:proofErr w:type="spellStart"/>
      <w:r w:rsidR="005044ED" w:rsidRPr="005044ED">
        <w:rPr>
          <w:rFonts w:asciiTheme="majorBidi" w:hAnsiTheme="majorBidi" w:cstheme="majorBidi"/>
          <w:sz w:val="24"/>
          <w:szCs w:val="24"/>
        </w:rPr>
        <w:t>insidiosum</w:t>
      </w:r>
      <w:proofErr w:type="spellEnd"/>
      <w:r w:rsidR="005044ED" w:rsidRPr="005044ED">
        <w:rPr>
          <w:rFonts w:asciiTheme="majorBidi" w:hAnsiTheme="majorBidi" w:cstheme="majorBidi"/>
          <w:sz w:val="24"/>
          <w:szCs w:val="24"/>
        </w:rPr>
        <w:t xml:space="preserve"> keratitis - A review. Indian Journal of Ophthalmology 70(4</w:t>
      </w:r>
      <w:r w:rsidR="00797EF5" w:rsidRPr="005044ED">
        <w:rPr>
          <w:rFonts w:asciiTheme="majorBidi" w:hAnsiTheme="majorBidi" w:cstheme="majorBidi"/>
          <w:sz w:val="24"/>
          <w:szCs w:val="24"/>
        </w:rPr>
        <w:t>): p</w:t>
      </w:r>
      <w:r w:rsidR="005044ED" w:rsidRPr="005044ED">
        <w:rPr>
          <w:rFonts w:asciiTheme="majorBidi" w:hAnsiTheme="majorBidi" w:cstheme="majorBidi"/>
          <w:sz w:val="24"/>
          <w:szCs w:val="24"/>
        </w:rPr>
        <w:t xml:space="preserve"> 1107-1120, April 2022. | DOI: 10.4103/ijo.IJO_1534_21</w:t>
      </w:r>
    </w:p>
    <w:p w14:paraId="550A749A" w14:textId="2D9F7F78" w:rsidR="00F961EE" w:rsidRPr="00F961EE" w:rsidRDefault="00F961EE" w:rsidP="007C4100">
      <w:pPr>
        <w:spacing w:line="240" w:lineRule="auto"/>
        <w:jc w:val="both"/>
        <w:rPr>
          <w:rFonts w:asciiTheme="majorBidi" w:hAnsiTheme="majorBidi"/>
          <w:b/>
          <w:bCs/>
          <w:sz w:val="24"/>
          <w:szCs w:val="24"/>
        </w:rPr>
      </w:pPr>
      <w:r w:rsidRPr="00F961EE">
        <w:rPr>
          <w:rFonts w:asciiTheme="majorBidi" w:hAnsiTheme="majorBidi" w:cstheme="majorBidi"/>
          <w:sz w:val="24"/>
          <w:szCs w:val="24"/>
        </w:rPr>
        <w:t xml:space="preserve">6. </w:t>
      </w:r>
      <w:proofErr w:type="spellStart"/>
      <w:r w:rsidR="005044ED" w:rsidRPr="005044ED">
        <w:rPr>
          <w:rFonts w:asciiTheme="majorBidi" w:hAnsiTheme="majorBidi" w:cstheme="majorBidi"/>
          <w:sz w:val="24"/>
          <w:szCs w:val="24"/>
        </w:rPr>
        <w:t>Krajaejun</w:t>
      </w:r>
      <w:proofErr w:type="spellEnd"/>
      <w:r w:rsidR="005044ED" w:rsidRPr="005044ED">
        <w:rPr>
          <w:rFonts w:asciiTheme="majorBidi" w:hAnsiTheme="majorBidi" w:cstheme="majorBidi"/>
          <w:sz w:val="24"/>
          <w:szCs w:val="24"/>
        </w:rPr>
        <w:t xml:space="preserve"> T, </w:t>
      </w:r>
      <w:proofErr w:type="spellStart"/>
      <w:r w:rsidR="005044ED" w:rsidRPr="005044ED">
        <w:rPr>
          <w:rFonts w:asciiTheme="majorBidi" w:hAnsiTheme="majorBidi" w:cstheme="majorBidi"/>
          <w:sz w:val="24"/>
          <w:szCs w:val="24"/>
        </w:rPr>
        <w:t>Sathapatayavongs</w:t>
      </w:r>
      <w:proofErr w:type="spellEnd"/>
      <w:r w:rsidR="005044ED" w:rsidRPr="005044ED">
        <w:rPr>
          <w:rFonts w:asciiTheme="majorBidi" w:hAnsiTheme="majorBidi" w:cstheme="majorBidi"/>
          <w:sz w:val="24"/>
          <w:szCs w:val="24"/>
        </w:rPr>
        <w:t xml:space="preserve"> B, </w:t>
      </w:r>
      <w:proofErr w:type="spellStart"/>
      <w:r w:rsidR="005044ED" w:rsidRPr="005044ED">
        <w:rPr>
          <w:rFonts w:asciiTheme="majorBidi" w:hAnsiTheme="majorBidi" w:cstheme="majorBidi"/>
          <w:sz w:val="24"/>
          <w:szCs w:val="24"/>
        </w:rPr>
        <w:t>Pracharktam</w:t>
      </w:r>
      <w:proofErr w:type="spellEnd"/>
      <w:r w:rsidR="005044ED" w:rsidRPr="005044ED">
        <w:rPr>
          <w:rFonts w:asciiTheme="majorBidi" w:hAnsiTheme="majorBidi" w:cstheme="majorBidi"/>
          <w:sz w:val="24"/>
          <w:szCs w:val="24"/>
        </w:rPr>
        <w:t xml:space="preserve"> R, </w:t>
      </w:r>
      <w:proofErr w:type="spellStart"/>
      <w:r w:rsidR="005044ED" w:rsidRPr="005044ED">
        <w:rPr>
          <w:rFonts w:asciiTheme="majorBidi" w:hAnsiTheme="majorBidi" w:cstheme="majorBidi"/>
          <w:sz w:val="24"/>
          <w:szCs w:val="24"/>
        </w:rPr>
        <w:t>Nitiyanant</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Leelachaikul</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Wanachiwanawin</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Chaiprasert</w:t>
      </w:r>
      <w:proofErr w:type="spellEnd"/>
      <w:r w:rsidR="005044ED" w:rsidRPr="005044ED">
        <w:rPr>
          <w:rFonts w:asciiTheme="majorBidi" w:hAnsiTheme="majorBidi" w:cstheme="majorBidi"/>
          <w:sz w:val="24"/>
          <w:szCs w:val="24"/>
        </w:rPr>
        <w:t xml:space="preserve"> A, </w:t>
      </w:r>
      <w:proofErr w:type="spellStart"/>
      <w:r w:rsidR="005044ED" w:rsidRPr="005044ED">
        <w:rPr>
          <w:rFonts w:asciiTheme="majorBidi" w:hAnsiTheme="majorBidi" w:cstheme="majorBidi"/>
          <w:sz w:val="24"/>
          <w:szCs w:val="24"/>
        </w:rPr>
        <w:t>Assanasen</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Saipetch</w:t>
      </w:r>
      <w:proofErr w:type="spellEnd"/>
      <w:r w:rsidR="005044ED" w:rsidRPr="005044ED">
        <w:rPr>
          <w:rFonts w:asciiTheme="majorBidi" w:hAnsiTheme="majorBidi" w:cstheme="majorBidi"/>
          <w:sz w:val="24"/>
          <w:szCs w:val="24"/>
        </w:rPr>
        <w:t xml:space="preserve"> M, </w:t>
      </w:r>
      <w:proofErr w:type="spellStart"/>
      <w:r w:rsidR="005044ED" w:rsidRPr="005044ED">
        <w:rPr>
          <w:rFonts w:asciiTheme="majorBidi" w:hAnsiTheme="majorBidi" w:cstheme="majorBidi"/>
          <w:sz w:val="24"/>
          <w:szCs w:val="24"/>
        </w:rPr>
        <w:t>Mootsikapun</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Chetchotisakd</w:t>
      </w:r>
      <w:proofErr w:type="spellEnd"/>
      <w:r w:rsidR="005044ED" w:rsidRPr="005044ED">
        <w:rPr>
          <w:rFonts w:asciiTheme="majorBidi" w:hAnsiTheme="majorBidi" w:cstheme="majorBidi"/>
          <w:sz w:val="24"/>
          <w:szCs w:val="24"/>
        </w:rPr>
        <w:t xml:space="preserve"> P, </w:t>
      </w:r>
      <w:proofErr w:type="spellStart"/>
      <w:r w:rsidR="005044ED" w:rsidRPr="005044ED">
        <w:rPr>
          <w:rFonts w:asciiTheme="majorBidi" w:hAnsiTheme="majorBidi" w:cstheme="majorBidi"/>
          <w:sz w:val="24"/>
          <w:szCs w:val="24"/>
        </w:rPr>
        <w:t>Lekhakula</w:t>
      </w:r>
      <w:proofErr w:type="spellEnd"/>
      <w:r w:rsidR="005044ED" w:rsidRPr="005044ED">
        <w:rPr>
          <w:rFonts w:asciiTheme="majorBidi" w:hAnsiTheme="majorBidi" w:cstheme="majorBidi"/>
          <w:sz w:val="24"/>
          <w:szCs w:val="24"/>
        </w:rPr>
        <w:t xml:space="preserve"> A, </w:t>
      </w:r>
      <w:proofErr w:type="spellStart"/>
      <w:r w:rsidR="005044ED" w:rsidRPr="005044ED">
        <w:rPr>
          <w:rFonts w:asciiTheme="majorBidi" w:hAnsiTheme="majorBidi" w:cstheme="majorBidi"/>
          <w:sz w:val="24"/>
          <w:szCs w:val="24"/>
        </w:rPr>
        <w:t>Mitarnun</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Kalnauwakul</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Supparatpinyo</w:t>
      </w:r>
      <w:proofErr w:type="spellEnd"/>
      <w:r w:rsidR="005044ED" w:rsidRPr="005044ED">
        <w:rPr>
          <w:rFonts w:asciiTheme="majorBidi" w:hAnsiTheme="majorBidi" w:cstheme="majorBidi"/>
          <w:sz w:val="24"/>
          <w:szCs w:val="24"/>
        </w:rPr>
        <w:t xml:space="preserve"> K, </w:t>
      </w:r>
      <w:proofErr w:type="spellStart"/>
      <w:r w:rsidR="005044ED" w:rsidRPr="005044ED">
        <w:rPr>
          <w:rFonts w:asciiTheme="majorBidi" w:hAnsiTheme="majorBidi" w:cstheme="majorBidi"/>
          <w:sz w:val="24"/>
          <w:szCs w:val="24"/>
        </w:rPr>
        <w:t>Chaiwarith</w:t>
      </w:r>
      <w:proofErr w:type="spellEnd"/>
      <w:r w:rsidR="005044ED" w:rsidRPr="005044ED">
        <w:rPr>
          <w:rFonts w:asciiTheme="majorBidi" w:hAnsiTheme="majorBidi" w:cstheme="majorBidi"/>
          <w:sz w:val="24"/>
          <w:szCs w:val="24"/>
        </w:rPr>
        <w:t xml:space="preserve"> R, </w:t>
      </w:r>
      <w:proofErr w:type="spellStart"/>
      <w:r w:rsidR="005044ED" w:rsidRPr="005044ED">
        <w:rPr>
          <w:rFonts w:asciiTheme="majorBidi" w:hAnsiTheme="majorBidi" w:cstheme="majorBidi"/>
          <w:sz w:val="24"/>
          <w:szCs w:val="24"/>
        </w:rPr>
        <w:t>Chiewchanvit</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Tananuvat</w:t>
      </w:r>
      <w:proofErr w:type="spellEnd"/>
      <w:r w:rsidR="005044ED" w:rsidRPr="005044ED">
        <w:rPr>
          <w:rFonts w:asciiTheme="majorBidi" w:hAnsiTheme="majorBidi" w:cstheme="majorBidi"/>
          <w:sz w:val="24"/>
          <w:szCs w:val="24"/>
        </w:rPr>
        <w:t xml:space="preserve"> N, </w:t>
      </w:r>
      <w:proofErr w:type="spellStart"/>
      <w:r w:rsidR="005044ED" w:rsidRPr="005044ED">
        <w:rPr>
          <w:rFonts w:asciiTheme="majorBidi" w:hAnsiTheme="majorBidi" w:cstheme="majorBidi"/>
          <w:sz w:val="24"/>
          <w:szCs w:val="24"/>
        </w:rPr>
        <w:t>Srisiri</w:t>
      </w:r>
      <w:proofErr w:type="spellEnd"/>
      <w:r w:rsidR="005044ED" w:rsidRPr="005044ED">
        <w:rPr>
          <w:rFonts w:asciiTheme="majorBidi" w:hAnsiTheme="majorBidi" w:cstheme="majorBidi"/>
          <w:sz w:val="24"/>
          <w:szCs w:val="24"/>
        </w:rPr>
        <w:t xml:space="preserve"> S, </w:t>
      </w:r>
      <w:proofErr w:type="spellStart"/>
      <w:r w:rsidR="005044ED" w:rsidRPr="005044ED">
        <w:rPr>
          <w:rFonts w:asciiTheme="majorBidi" w:hAnsiTheme="majorBidi" w:cstheme="majorBidi"/>
          <w:sz w:val="24"/>
          <w:szCs w:val="24"/>
        </w:rPr>
        <w:t>Suankratay</w:t>
      </w:r>
      <w:proofErr w:type="spellEnd"/>
      <w:r w:rsidR="005044ED" w:rsidRPr="005044ED">
        <w:rPr>
          <w:rFonts w:asciiTheme="majorBidi" w:hAnsiTheme="majorBidi" w:cstheme="majorBidi"/>
          <w:sz w:val="24"/>
          <w:szCs w:val="24"/>
        </w:rPr>
        <w:t xml:space="preserve"> C, </w:t>
      </w:r>
      <w:proofErr w:type="spellStart"/>
      <w:r w:rsidR="005044ED" w:rsidRPr="005044ED">
        <w:rPr>
          <w:rFonts w:asciiTheme="majorBidi" w:hAnsiTheme="majorBidi" w:cstheme="majorBidi"/>
          <w:sz w:val="24"/>
          <w:szCs w:val="24"/>
        </w:rPr>
        <w:t>Kulwichit</w:t>
      </w:r>
      <w:proofErr w:type="spellEnd"/>
      <w:r w:rsidR="005044ED" w:rsidRPr="005044ED">
        <w:rPr>
          <w:rFonts w:asciiTheme="majorBidi" w:hAnsiTheme="majorBidi" w:cstheme="majorBidi"/>
          <w:sz w:val="24"/>
          <w:szCs w:val="24"/>
        </w:rPr>
        <w:t xml:space="preserve"> W, </w:t>
      </w:r>
      <w:proofErr w:type="spellStart"/>
      <w:r w:rsidR="005044ED" w:rsidRPr="005044ED">
        <w:rPr>
          <w:rFonts w:asciiTheme="majorBidi" w:hAnsiTheme="majorBidi" w:cstheme="majorBidi"/>
          <w:sz w:val="24"/>
          <w:szCs w:val="24"/>
        </w:rPr>
        <w:t>Wongsaisuwan</w:t>
      </w:r>
      <w:proofErr w:type="spellEnd"/>
      <w:r w:rsidR="005044ED" w:rsidRPr="005044ED">
        <w:rPr>
          <w:rFonts w:asciiTheme="majorBidi" w:hAnsiTheme="majorBidi" w:cstheme="majorBidi"/>
          <w:sz w:val="24"/>
          <w:szCs w:val="24"/>
        </w:rPr>
        <w:t xml:space="preserve"> M, </w:t>
      </w:r>
      <w:proofErr w:type="spellStart"/>
      <w:r w:rsidR="005044ED" w:rsidRPr="005044ED">
        <w:rPr>
          <w:rFonts w:asciiTheme="majorBidi" w:hAnsiTheme="majorBidi" w:cstheme="majorBidi"/>
          <w:sz w:val="24"/>
          <w:szCs w:val="24"/>
        </w:rPr>
        <w:t>Somkaew</w:t>
      </w:r>
      <w:proofErr w:type="spellEnd"/>
      <w:r w:rsidR="005044ED" w:rsidRPr="005044ED">
        <w:rPr>
          <w:rFonts w:asciiTheme="majorBidi" w:hAnsiTheme="majorBidi" w:cstheme="majorBidi"/>
          <w:sz w:val="24"/>
          <w:szCs w:val="24"/>
        </w:rPr>
        <w:t xml:space="preserve"> S. Clinical and epidemiological analyses of human </w:t>
      </w:r>
      <w:proofErr w:type="spellStart"/>
      <w:r w:rsidR="005044ED" w:rsidRPr="005044ED">
        <w:rPr>
          <w:rFonts w:asciiTheme="majorBidi" w:hAnsiTheme="majorBidi" w:cstheme="majorBidi"/>
          <w:sz w:val="24"/>
          <w:szCs w:val="24"/>
        </w:rPr>
        <w:t>pythiosis</w:t>
      </w:r>
      <w:proofErr w:type="spellEnd"/>
      <w:r w:rsidR="005044ED" w:rsidRPr="005044ED">
        <w:rPr>
          <w:rFonts w:asciiTheme="majorBidi" w:hAnsiTheme="majorBidi" w:cstheme="majorBidi"/>
          <w:sz w:val="24"/>
          <w:szCs w:val="24"/>
        </w:rPr>
        <w:t xml:space="preserve"> in Thailand. Clin Infect Dis. 2006 Sep 1;43(5):569-76. </w:t>
      </w:r>
      <w:proofErr w:type="spellStart"/>
      <w:r w:rsidR="005044ED" w:rsidRPr="005044ED">
        <w:rPr>
          <w:rFonts w:asciiTheme="majorBidi" w:hAnsiTheme="majorBidi" w:cstheme="majorBidi"/>
          <w:sz w:val="24"/>
          <w:szCs w:val="24"/>
        </w:rPr>
        <w:t>doi</w:t>
      </w:r>
      <w:proofErr w:type="spellEnd"/>
      <w:r w:rsidR="005044ED" w:rsidRPr="005044ED">
        <w:rPr>
          <w:rFonts w:asciiTheme="majorBidi" w:hAnsiTheme="majorBidi" w:cstheme="majorBidi"/>
          <w:sz w:val="24"/>
          <w:szCs w:val="24"/>
        </w:rPr>
        <w:t xml:space="preserve">: 10.1086/506353. </w:t>
      </w:r>
      <w:proofErr w:type="spellStart"/>
      <w:r w:rsidR="005044ED" w:rsidRPr="005044ED">
        <w:rPr>
          <w:rFonts w:asciiTheme="majorBidi" w:hAnsiTheme="majorBidi" w:cstheme="majorBidi"/>
          <w:sz w:val="24"/>
          <w:szCs w:val="24"/>
        </w:rPr>
        <w:t>Epub</w:t>
      </w:r>
      <w:proofErr w:type="spellEnd"/>
      <w:r w:rsidR="005044ED" w:rsidRPr="005044ED">
        <w:rPr>
          <w:rFonts w:asciiTheme="majorBidi" w:hAnsiTheme="majorBidi" w:cstheme="majorBidi"/>
          <w:sz w:val="24"/>
          <w:szCs w:val="24"/>
        </w:rPr>
        <w:t xml:space="preserve"> 2006 Jul 13. PMID: 16886148.</w:t>
      </w:r>
    </w:p>
    <w:p w14:paraId="098C2AD4" w14:textId="0EB75ADB" w:rsidR="00797EF5" w:rsidRDefault="00F961EE" w:rsidP="007C4100">
      <w:pPr>
        <w:spacing w:line="240" w:lineRule="auto"/>
        <w:rPr>
          <w:rFonts w:asciiTheme="majorBidi" w:hAnsiTheme="majorBidi" w:cstheme="majorBidi"/>
          <w:b/>
          <w:bCs/>
          <w:sz w:val="24"/>
          <w:szCs w:val="24"/>
        </w:rPr>
      </w:pPr>
      <w:r w:rsidRPr="00F961EE">
        <w:rPr>
          <w:rFonts w:asciiTheme="majorBidi" w:hAnsiTheme="majorBidi" w:cstheme="majorBidi"/>
          <w:sz w:val="24"/>
          <w:szCs w:val="24"/>
        </w:rPr>
        <w:t xml:space="preserve">7. </w:t>
      </w:r>
      <w:r w:rsidR="00EB4AD0" w:rsidRPr="00EB4AD0">
        <w:rPr>
          <w:rFonts w:asciiTheme="majorBidi" w:hAnsiTheme="majorBidi" w:cstheme="majorBidi"/>
          <w:sz w:val="24"/>
          <w:szCs w:val="24"/>
        </w:rPr>
        <w:t xml:space="preserve">Gurnani B, Kaur K, Agarwal S, </w:t>
      </w:r>
      <w:proofErr w:type="spellStart"/>
      <w:r w:rsidR="00EB4AD0" w:rsidRPr="00EB4AD0">
        <w:rPr>
          <w:rFonts w:asciiTheme="majorBidi" w:hAnsiTheme="majorBidi" w:cstheme="majorBidi"/>
          <w:sz w:val="24"/>
          <w:szCs w:val="24"/>
        </w:rPr>
        <w:t>Lalgudi</w:t>
      </w:r>
      <w:proofErr w:type="spellEnd"/>
      <w:r w:rsidR="00EB4AD0" w:rsidRPr="00EB4AD0">
        <w:rPr>
          <w:rFonts w:asciiTheme="majorBidi" w:hAnsiTheme="majorBidi" w:cstheme="majorBidi"/>
          <w:sz w:val="24"/>
          <w:szCs w:val="24"/>
        </w:rPr>
        <w:t xml:space="preserve"> VG, </w:t>
      </w:r>
      <w:proofErr w:type="spellStart"/>
      <w:r w:rsidR="00EB4AD0" w:rsidRPr="00EB4AD0">
        <w:rPr>
          <w:rFonts w:asciiTheme="majorBidi" w:hAnsiTheme="majorBidi" w:cstheme="majorBidi"/>
          <w:sz w:val="24"/>
          <w:szCs w:val="24"/>
        </w:rPr>
        <w:t>Shekhawat</w:t>
      </w:r>
      <w:proofErr w:type="spellEnd"/>
      <w:r w:rsidR="00EB4AD0" w:rsidRPr="00EB4AD0">
        <w:rPr>
          <w:rFonts w:asciiTheme="majorBidi" w:hAnsiTheme="majorBidi" w:cstheme="majorBidi"/>
          <w:sz w:val="24"/>
          <w:szCs w:val="24"/>
        </w:rPr>
        <w:t xml:space="preserve"> NS, Venugopal A, et al. Pythium </w:t>
      </w:r>
      <w:proofErr w:type="spellStart"/>
      <w:r w:rsidR="00EB4AD0" w:rsidRPr="00EB4AD0">
        <w:rPr>
          <w:rFonts w:asciiTheme="majorBidi" w:hAnsiTheme="majorBidi" w:cstheme="majorBidi"/>
          <w:sz w:val="24"/>
          <w:szCs w:val="24"/>
        </w:rPr>
        <w:t>insidiosum</w:t>
      </w:r>
      <w:proofErr w:type="spellEnd"/>
      <w:r w:rsidR="00EB4AD0" w:rsidRPr="00EB4AD0">
        <w:rPr>
          <w:rFonts w:asciiTheme="majorBidi" w:hAnsiTheme="majorBidi" w:cstheme="majorBidi"/>
          <w:sz w:val="24"/>
          <w:szCs w:val="24"/>
        </w:rPr>
        <w:t xml:space="preserve"> Keratitis: Past, Present, and Future. </w:t>
      </w:r>
      <w:proofErr w:type="spellStart"/>
      <w:r w:rsidR="00EB4AD0" w:rsidRPr="00EB4AD0">
        <w:rPr>
          <w:rFonts w:asciiTheme="majorBidi" w:hAnsiTheme="majorBidi" w:cstheme="majorBidi"/>
          <w:sz w:val="24"/>
          <w:szCs w:val="24"/>
        </w:rPr>
        <w:t>Ophthalmol</w:t>
      </w:r>
      <w:proofErr w:type="spellEnd"/>
      <w:r w:rsidR="00EB4AD0" w:rsidRPr="00EB4AD0">
        <w:rPr>
          <w:rFonts w:asciiTheme="majorBidi" w:hAnsiTheme="majorBidi" w:cstheme="majorBidi"/>
          <w:sz w:val="24"/>
          <w:szCs w:val="24"/>
        </w:rPr>
        <w:t xml:space="preserve"> </w:t>
      </w:r>
      <w:proofErr w:type="spellStart"/>
      <w:r w:rsidR="00EB4AD0" w:rsidRPr="00EB4AD0">
        <w:rPr>
          <w:rFonts w:asciiTheme="majorBidi" w:hAnsiTheme="majorBidi" w:cstheme="majorBidi"/>
          <w:sz w:val="24"/>
          <w:szCs w:val="24"/>
        </w:rPr>
        <w:t>Ther</w:t>
      </w:r>
      <w:proofErr w:type="spellEnd"/>
      <w:r w:rsidR="00EB4AD0">
        <w:rPr>
          <w:rFonts w:asciiTheme="majorBidi" w:hAnsiTheme="majorBidi" w:cstheme="majorBidi"/>
          <w:sz w:val="24"/>
          <w:szCs w:val="24"/>
        </w:rPr>
        <w:t>.</w:t>
      </w:r>
      <w:r w:rsidR="00EB4AD0" w:rsidRPr="00EB4AD0">
        <w:rPr>
          <w:rFonts w:asciiTheme="majorBidi" w:hAnsiTheme="majorBidi" w:cstheme="majorBidi"/>
          <w:sz w:val="24"/>
          <w:szCs w:val="24"/>
        </w:rPr>
        <w:t xml:space="preserve"> 2022;11(5):1629–53. Available from: https://d-nb.info/1266282742/34</w:t>
      </w:r>
      <w:r w:rsidRPr="00F961EE">
        <w:rPr>
          <w:rFonts w:asciiTheme="majorBidi" w:hAnsiTheme="majorBidi" w:cstheme="majorBidi"/>
          <w:sz w:val="24"/>
          <w:szCs w:val="24"/>
        </w:rPr>
        <w:br/>
      </w:r>
      <w:r w:rsidRPr="00F961EE">
        <w:rPr>
          <w:rFonts w:asciiTheme="majorBidi" w:hAnsiTheme="majorBidi" w:cstheme="majorBidi"/>
          <w:sz w:val="24"/>
          <w:szCs w:val="24"/>
        </w:rPr>
        <w:br/>
      </w:r>
      <w:r w:rsidR="00EB4AD0">
        <w:rPr>
          <w:rFonts w:asciiTheme="majorBidi" w:hAnsiTheme="majorBidi" w:cstheme="majorBidi"/>
          <w:sz w:val="24"/>
          <w:szCs w:val="24"/>
        </w:rPr>
        <w:t xml:space="preserve">8. </w:t>
      </w:r>
      <w:r w:rsidR="00EB4AD0" w:rsidRPr="00EB4AD0">
        <w:rPr>
          <w:rFonts w:asciiTheme="majorBidi" w:hAnsiTheme="majorBidi" w:cstheme="majorBidi"/>
          <w:sz w:val="24"/>
          <w:szCs w:val="24"/>
        </w:rPr>
        <w:t>Researchgate.net. Available from:</w:t>
      </w:r>
      <w:r w:rsidR="007A455E">
        <w:rPr>
          <w:rFonts w:asciiTheme="majorBidi" w:hAnsiTheme="majorBidi" w:cstheme="majorBidi"/>
          <w:sz w:val="24"/>
          <w:szCs w:val="24"/>
        </w:rPr>
        <w:t xml:space="preserve"> </w:t>
      </w:r>
      <w:hyperlink r:id="rId14" w:history="1">
        <w:r w:rsidR="00797EF5" w:rsidRPr="00EB4AD0">
          <w:rPr>
            <w:rStyle w:val="Hyperlink"/>
            <w:rFonts w:asciiTheme="majorBidi" w:hAnsiTheme="majorBidi" w:cstheme="majorBidi"/>
            <w:sz w:val="24"/>
            <w:szCs w:val="24"/>
          </w:rPr>
          <w:t>https://www.researchgate.net/publication/389070239_A_case_of_Pythium_keratitis_from_Sri_Lanka</w:t>
        </w:r>
      </w:hyperlink>
    </w:p>
    <w:p w14:paraId="58B300F9" w14:textId="58E2A2CB" w:rsidR="00EB4AD0" w:rsidRPr="00797EF5" w:rsidRDefault="00F961EE" w:rsidP="007C4100">
      <w:pPr>
        <w:spacing w:line="240" w:lineRule="auto"/>
        <w:jc w:val="both"/>
        <w:rPr>
          <w:rFonts w:asciiTheme="majorBidi" w:hAnsiTheme="majorBidi" w:cstheme="majorBidi"/>
          <w:b/>
          <w:bCs/>
          <w:sz w:val="24"/>
          <w:szCs w:val="24"/>
        </w:rPr>
      </w:pPr>
      <w:r w:rsidRPr="00F961EE">
        <w:rPr>
          <w:rFonts w:asciiTheme="majorBidi" w:hAnsiTheme="majorBidi" w:cstheme="majorBidi"/>
          <w:sz w:val="24"/>
          <w:szCs w:val="24"/>
        </w:rPr>
        <w:t xml:space="preserve">9. </w:t>
      </w:r>
      <w:r w:rsidR="00AA2DFA" w:rsidRPr="00AA2DFA">
        <w:rPr>
          <w:rFonts w:asciiTheme="majorBidi" w:hAnsiTheme="majorBidi" w:cstheme="majorBidi"/>
          <w:sz w:val="24"/>
          <w:szCs w:val="24"/>
        </w:rPr>
        <w:t>Gurnani B, Kaur K, Venugopal A, Srinivasan B, Bagga B, Iyer G, Christy J, Prajna L, Vanathi M, Garg P, Narayana S, Agarwal S, Sahu S. </w:t>
      </w:r>
      <w:r w:rsidR="00AA2DFA" w:rsidRPr="00AA2DFA">
        <w:rPr>
          <w:rFonts w:asciiTheme="majorBidi" w:hAnsiTheme="majorBidi" w:cstheme="majorBidi"/>
          <w:i/>
          <w:iCs/>
          <w:sz w:val="24"/>
          <w:szCs w:val="24"/>
        </w:rPr>
        <w:t xml:space="preserve">Pythium </w:t>
      </w:r>
      <w:proofErr w:type="spellStart"/>
      <w:r w:rsidR="00AA2DFA" w:rsidRPr="00AA2DFA">
        <w:rPr>
          <w:rFonts w:asciiTheme="majorBidi" w:hAnsiTheme="majorBidi" w:cstheme="majorBidi"/>
          <w:i/>
          <w:iCs/>
          <w:sz w:val="24"/>
          <w:szCs w:val="24"/>
        </w:rPr>
        <w:t>insidiosum</w:t>
      </w:r>
      <w:proofErr w:type="spellEnd"/>
      <w:r w:rsidR="00AA2DFA" w:rsidRPr="00AA2DFA">
        <w:rPr>
          <w:rFonts w:asciiTheme="majorBidi" w:hAnsiTheme="majorBidi" w:cstheme="majorBidi"/>
          <w:sz w:val="24"/>
          <w:szCs w:val="24"/>
        </w:rPr>
        <w:t xml:space="preserve"> keratitis - A review. Indian J </w:t>
      </w:r>
      <w:proofErr w:type="spellStart"/>
      <w:r w:rsidR="00AA2DFA" w:rsidRPr="00AA2DFA">
        <w:rPr>
          <w:rFonts w:asciiTheme="majorBidi" w:hAnsiTheme="majorBidi" w:cstheme="majorBidi"/>
          <w:sz w:val="24"/>
          <w:szCs w:val="24"/>
        </w:rPr>
        <w:t>Ophthalmol</w:t>
      </w:r>
      <w:proofErr w:type="spellEnd"/>
      <w:r w:rsidR="00AA2DFA" w:rsidRPr="00AA2DFA">
        <w:rPr>
          <w:rFonts w:asciiTheme="majorBidi" w:hAnsiTheme="majorBidi" w:cstheme="majorBidi"/>
          <w:sz w:val="24"/>
          <w:szCs w:val="24"/>
        </w:rPr>
        <w:t xml:space="preserve">. 2022 Apr;70(4):1107-1120. </w:t>
      </w:r>
      <w:proofErr w:type="spellStart"/>
      <w:r w:rsidR="00AA2DFA" w:rsidRPr="00AA2DFA">
        <w:rPr>
          <w:rFonts w:asciiTheme="majorBidi" w:hAnsiTheme="majorBidi" w:cstheme="majorBidi"/>
          <w:sz w:val="24"/>
          <w:szCs w:val="24"/>
        </w:rPr>
        <w:t>doi</w:t>
      </w:r>
      <w:proofErr w:type="spellEnd"/>
      <w:r w:rsidR="00AA2DFA" w:rsidRPr="00AA2DFA">
        <w:rPr>
          <w:rFonts w:asciiTheme="majorBidi" w:hAnsiTheme="majorBidi" w:cstheme="majorBidi"/>
          <w:sz w:val="24"/>
          <w:szCs w:val="24"/>
        </w:rPr>
        <w:t>: 10.4103/ijo.IJO_1534_21. PMID: 35325996; PMCID: PMC9240499.</w:t>
      </w:r>
    </w:p>
    <w:p w14:paraId="4E700CC6" w14:textId="66392DF7" w:rsidR="00F961EE" w:rsidRPr="00F961EE" w:rsidRDefault="00BD0536"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10. </w:t>
      </w:r>
      <w:r w:rsidRPr="00BD0536">
        <w:rPr>
          <w:rFonts w:asciiTheme="majorBidi" w:hAnsiTheme="majorBidi" w:cstheme="majorBidi"/>
          <w:sz w:val="24"/>
          <w:szCs w:val="24"/>
        </w:rPr>
        <w:t xml:space="preserve">Cao B, </w:t>
      </w:r>
      <w:proofErr w:type="spellStart"/>
      <w:r w:rsidRPr="00BD0536">
        <w:rPr>
          <w:rFonts w:asciiTheme="majorBidi" w:hAnsiTheme="majorBidi" w:cstheme="majorBidi"/>
          <w:sz w:val="24"/>
          <w:szCs w:val="24"/>
        </w:rPr>
        <w:t>Gonugunta</w:t>
      </w:r>
      <w:proofErr w:type="spellEnd"/>
      <w:r w:rsidRPr="00BD0536">
        <w:rPr>
          <w:rFonts w:asciiTheme="majorBidi" w:hAnsiTheme="majorBidi" w:cstheme="majorBidi"/>
          <w:sz w:val="24"/>
          <w:szCs w:val="24"/>
        </w:rPr>
        <w:t xml:space="preserve"> VT, Radhakrishnan N, Lalitha P, Gurnani B, Kaur K, Iyer G, Agarwal S, Srinivasan B, Keenan JD, Prajna NV. Outcomes of Pythium keratitis: a meta-analysis of individual patient data. </w:t>
      </w:r>
      <w:proofErr w:type="spellStart"/>
      <w:r w:rsidRPr="00BD0536">
        <w:rPr>
          <w:rFonts w:asciiTheme="majorBidi" w:hAnsiTheme="majorBidi" w:cstheme="majorBidi"/>
          <w:sz w:val="24"/>
          <w:szCs w:val="24"/>
        </w:rPr>
        <w:t>Curr</w:t>
      </w:r>
      <w:proofErr w:type="spellEnd"/>
      <w:r w:rsidRPr="00BD0536">
        <w:rPr>
          <w:rFonts w:asciiTheme="majorBidi" w:hAnsiTheme="majorBidi" w:cstheme="majorBidi"/>
          <w:sz w:val="24"/>
          <w:szCs w:val="24"/>
        </w:rPr>
        <w:t xml:space="preserve"> </w:t>
      </w:r>
      <w:proofErr w:type="spellStart"/>
      <w:r w:rsidRPr="00BD0536">
        <w:rPr>
          <w:rFonts w:asciiTheme="majorBidi" w:hAnsiTheme="majorBidi" w:cstheme="majorBidi"/>
          <w:sz w:val="24"/>
          <w:szCs w:val="24"/>
        </w:rPr>
        <w:t>Ophthalmol</w:t>
      </w:r>
      <w:proofErr w:type="spellEnd"/>
      <w:r w:rsidRPr="00BD0536">
        <w:rPr>
          <w:rFonts w:asciiTheme="majorBidi" w:hAnsiTheme="majorBidi" w:cstheme="majorBidi"/>
          <w:sz w:val="24"/>
          <w:szCs w:val="24"/>
        </w:rPr>
        <w:t xml:space="preserve"> Rep. 2022 Dec;10(4):198-208. </w:t>
      </w:r>
      <w:proofErr w:type="spellStart"/>
      <w:r w:rsidRPr="00BD0536">
        <w:rPr>
          <w:rFonts w:asciiTheme="majorBidi" w:hAnsiTheme="majorBidi" w:cstheme="majorBidi"/>
          <w:sz w:val="24"/>
          <w:szCs w:val="24"/>
        </w:rPr>
        <w:t>doi</w:t>
      </w:r>
      <w:proofErr w:type="spellEnd"/>
      <w:r w:rsidRPr="00BD0536">
        <w:rPr>
          <w:rFonts w:asciiTheme="majorBidi" w:hAnsiTheme="majorBidi" w:cstheme="majorBidi"/>
          <w:sz w:val="24"/>
          <w:szCs w:val="24"/>
        </w:rPr>
        <w:t xml:space="preserve">: 10.1007/s40135-022-00302-7. </w:t>
      </w:r>
      <w:proofErr w:type="spellStart"/>
      <w:r w:rsidRPr="00BD0536">
        <w:rPr>
          <w:rFonts w:asciiTheme="majorBidi" w:hAnsiTheme="majorBidi" w:cstheme="majorBidi"/>
          <w:sz w:val="24"/>
          <w:szCs w:val="24"/>
        </w:rPr>
        <w:t>Epub</w:t>
      </w:r>
      <w:proofErr w:type="spellEnd"/>
      <w:r w:rsidRPr="00BD0536">
        <w:rPr>
          <w:rFonts w:asciiTheme="majorBidi" w:hAnsiTheme="majorBidi" w:cstheme="majorBidi"/>
          <w:sz w:val="24"/>
          <w:szCs w:val="24"/>
        </w:rPr>
        <w:t xml:space="preserve"> 2022 Nov 10. PMID: 37250102; PMCID: PMC10211475.</w:t>
      </w:r>
    </w:p>
    <w:p w14:paraId="289A585D" w14:textId="68C637CC" w:rsidR="00AA2DFA" w:rsidRDefault="00AA2DFA"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11. </w:t>
      </w:r>
      <w:r w:rsidRPr="00AA2DFA">
        <w:rPr>
          <w:rFonts w:asciiTheme="majorBidi" w:hAnsiTheme="majorBidi" w:cstheme="majorBidi"/>
          <w:sz w:val="24"/>
          <w:szCs w:val="24"/>
        </w:rPr>
        <w:t xml:space="preserve">Vishwakarma P, Mohanty A, Kaur A, Das S, Priyadarshini SR, Mitra S, et al. </w:t>
      </w:r>
      <w:r w:rsidRPr="00AA2DFA">
        <w:rPr>
          <w:rFonts w:asciiTheme="majorBidi" w:hAnsiTheme="majorBidi" w:cstheme="majorBidi"/>
          <w:i/>
          <w:iCs/>
          <w:sz w:val="24"/>
          <w:szCs w:val="24"/>
        </w:rPr>
        <w:t>Pythium</w:t>
      </w:r>
      <w:r w:rsidRPr="00AA2DFA">
        <w:rPr>
          <w:rFonts w:asciiTheme="majorBidi" w:hAnsiTheme="majorBidi" w:cstheme="majorBidi"/>
          <w:sz w:val="24"/>
          <w:szCs w:val="24"/>
        </w:rPr>
        <w:t xml:space="preserve"> keratitis: clinical profile, laboratory diagnosis, treatment, and histopathology </w:t>
      </w:r>
      <w:r w:rsidR="00797EF5" w:rsidRPr="00AA2DFA">
        <w:rPr>
          <w:rFonts w:asciiTheme="majorBidi" w:hAnsiTheme="majorBidi" w:cstheme="majorBidi"/>
          <w:sz w:val="24"/>
          <w:szCs w:val="24"/>
        </w:rPr>
        <w:t>feature</w:t>
      </w:r>
      <w:r w:rsidRPr="00AA2DFA">
        <w:rPr>
          <w:rFonts w:asciiTheme="majorBidi" w:hAnsiTheme="majorBidi" w:cstheme="majorBidi"/>
          <w:sz w:val="24"/>
          <w:szCs w:val="24"/>
        </w:rPr>
        <w:t xml:space="preserve"> post-treatment at a tertiary eye care </w:t>
      </w:r>
      <w:proofErr w:type="spellStart"/>
      <w:r w:rsidRPr="00AA2DFA">
        <w:rPr>
          <w:rFonts w:asciiTheme="majorBidi" w:hAnsiTheme="majorBidi" w:cstheme="majorBidi"/>
          <w:sz w:val="24"/>
          <w:szCs w:val="24"/>
        </w:rPr>
        <w:t>center</w:t>
      </w:r>
      <w:proofErr w:type="spellEnd"/>
      <w:r w:rsidRPr="00AA2DFA">
        <w:rPr>
          <w:rFonts w:asciiTheme="majorBidi" w:hAnsiTheme="majorBidi" w:cstheme="majorBidi"/>
          <w:sz w:val="24"/>
          <w:szCs w:val="24"/>
        </w:rPr>
        <w:t xml:space="preserve"> in Eastern India. </w:t>
      </w:r>
      <w:r w:rsidRPr="00AA2DFA">
        <w:rPr>
          <w:rFonts w:asciiTheme="majorBidi" w:hAnsiTheme="majorBidi" w:cstheme="majorBidi"/>
          <w:i/>
          <w:iCs/>
          <w:sz w:val="24"/>
          <w:szCs w:val="24"/>
        </w:rPr>
        <w:t xml:space="preserve">Indian J </w:t>
      </w:r>
      <w:proofErr w:type="spellStart"/>
      <w:r w:rsidRPr="00AA2DFA">
        <w:rPr>
          <w:rFonts w:asciiTheme="majorBidi" w:hAnsiTheme="majorBidi" w:cstheme="majorBidi"/>
          <w:i/>
          <w:iCs/>
          <w:sz w:val="24"/>
          <w:szCs w:val="24"/>
        </w:rPr>
        <w:t>Ophthalmol</w:t>
      </w:r>
      <w:proofErr w:type="spellEnd"/>
      <w:r w:rsidRPr="00AA2DFA">
        <w:rPr>
          <w:rFonts w:asciiTheme="majorBidi" w:hAnsiTheme="majorBidi" w:cstheme="majorBidi"/>
          <w:i/>
          <w:iCs/>
          <w:sz w:val="24"/>
          <w:szCs w:val="24"/>
        </w:rPr>
        <w:t>.</w:t>
      </w:r>
      <w:r w:rsidRPr="00AA2DFA">
        <w:rPr>
          <w:rFonts w:asciiTheme="majorBidi" w:hAnsiTheme="majorBidi" w:cstheme="majorBidi"/>
          <w:sz w:val="24"/>
          <w:szCs w:val="24"/>
        </w:rPr>
        <w:t xml:space="preserve"> 2021;69(6):1544–52.</w:t>
      </w:r>
      <w:r w:rsidR="00BD0536">
        <w:rPr>
          <w:rFonts w:asciiTheme="majorBidi" w:hAnsiTheme="majorBidi" w:cstheme="majorBidi"/>
          <w:sz w:val="24"/>
          <w:szCs w:val="24"/>
        </w:rPr>
        <w:t xml:space="preserve"> </w:t>
      </w:r>
      <w:proofErr w:type="spellStart"/>
      <w:r w:rsidR="00BD0536" w:rsidRPr="00AA2DFA">
        <w:rPr>
          <w:rFonts w:asciiTheme="majorBidi" w:hAnsiTheme="majorBidi" w:cstheme="majorBidi"/>
          <w:sz w:val="24"/>
          <w:szCs w:val="24"/>
        </w:rPr>
        <w:t>doi</w:t>
      </w:r>
      <w:proofErr w:type="spellEnd"/>
      <w:r w:rsidR="00BD0536" w:rsidRPr="00AA2DFA">
        <w:rPr>
          <w:rFonts w:asciiTheme="majorBidi" w:hAnsiTheme="majorBidi" w:cstheme="majorBidi"/>
          <w:sz w:val="24"/>
          <w:szCs w:val="24"/>
        </w:rPr>
        <w:t>: 10.4103/ijo.IJO</w:t>
      </w:r>
      <w:r w:rsidRPr="00AA2DFA">
        <w:rPr>
          <w:rFonts w:asciiTheme="majorBidi" w:hAnsiTheme="majorBidi" w:cstheme="majorBidi"/>
          <w:sz w:val="24"/>
          <w:szCs w:val="24"/>
        </w:rPr>
        <w:t>_2356_20.</w:t>
      </w:r>
    </w:p>
    <w:p w14:paraId="44D8B019" w14:textId="724DBC16" w:rsidR="0010273B" w:rsidRPr="00F961EE" w:rsidRDefault="00AA2DFA" w:rsidP="007C4100">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12. </w:t>
      </w:r>
      <w:r w:rsidRPr="00AA2DFA">
        <w:rPr>
          <w:rFonts w:asciiTheme="majorBidi" w:hAnsiTheme="majorBidi" w:cstheme="majorBidi"/>
          <w:sz w:val="24"/>
          <w:szCs w:val="24"/>
        </w:rPr>
        <w:t xml:space="preserve">Kate A, </w:t>
      </w:r>
      <w:proofErr w:type="spellStart"/>
      <w:r w:rsidRPr="00AA2DFA">
        <w:rPr>
          <w:rFonts w:asciiTheme="majorBidi" w:hAnsiTheme="majorBidi" w:cstheme="majorBidi"/>
          <w:sz w:val="24"/>
          <w:szCs w:val="24"/>
        </w:rPr>
        <w:t>Thigale</w:t>
      </w:r>
      <w:proofErr w:type="spellEnd"/>
      <w:r w:rsidRPr="00AA2DFA">
        <w:rPr>
          <w:rFonts w:asciiTheme="majorBidi" w:hAnsiTheme="majorBidi" w:cstheme="majorBidi"/>
          <w:sz w:val="24"/>
          <w:szCs w:val="24"/>
        </w:rPr>
        <w:t xml:space="preserve"> U, </w:t>
      </w:r>
      <w:proofErr w:type="spellStart"/>
      <w:r w:rsidRPr="00AA2DFA">
        <w:rPr>
          <w:rFonts w:asciiTheme="majorBidi" w:hAnsiTheme="majorBidi" w:cstheme="majorBidi"/>
          <w:sz w:val="24"/>
          <w:szCs w:val="24"/>
        </w:rPr>
        <w:t>Ponnapati</w:t>
      </w:r>
      <w:proofErr w:type="spellEnd"/>
      <w:r w:rsidRPr="00AA2DFA">
        <w:rPr>
          <w:rFonts w:asciiTheme="majorBidi" w:hAnsiTheme="majorBidi" w:cstheme="majorBidi"/>
          <w:sz w:val="24"/>
          <w:szCs w:val="24"/>
        </w:rPr>
        <w:t xml:space="preserve"> LP, Chaudhary S, Vishwakarma P, Sharma S, Bagga B, et al. Outcomes of therapeutic penetrating keratoplasty in </w:t>
      </w:r>
      <w:r w:rsidRPr="00AA2DFA">
        <w:rPr>
          <w:rFonts w:asciiTheme="majorBidi" w:hAnsiTheme="majorBidi" w:cstheme="majorBidi"/>
          <w:i/>
          <w:iCs/>
          <w:sz w:val="24"/>
          <w:szCs w:val="24"/>
        </w:rPr>
        <w:t xml:space="preserve">Pythium </w:t>
      </w:r>
      <w:proofErr w:type="spellStart"/>
      <w:r w:rsidRPr="00AA2DFA">
        <w:rPr>
          <w:rFonts w:asciiTheme="majorBidi" w:hAnsiTheme="majorBidi" w:cstheme="majorBidi"/>
          <w:i/>
          <w:iCs/>
          <w:sz w:val="24"/>
          <w:szCs w:val="24"/>
        </w:rPr>
        <w:t>insidiosum</w:t>
      </w:r>
      <w:proofErr w:type="spellEnd"/>
      <w:r w:rsidRPr="00AA2DFA">
        <w:rPr>
          <w:rFonts w:asciiTheme="majorBidi" w:hAnsiTheme="majorBidi" w:cstheme="majorBidi"/>
          <w:sz w:val="24"/>
          <w:szCs w:val="24"/>
        </w:rPr>
        <w:t xml:space="preserve"> keratitis managed with a combination of antibiotics. </w:t>
      </w:r>
      <w:r w:rsidRPr="00AA2DFA">
        <w:rPr>
          <w:rFonts w:asciiTheme="majorBidi" w:hAnsiTheme="majorBidi" w:cstheme="majorBidi"/>
          <w:i/>
          <w:iCs/>
          <w:sz w:val="24"/>
          <w:szCs w:val="24"/>
        </w:rPr>
        <w:t xml:space="preserve">Indian J </w:t>
      </w:r>
      <w:proofErr w:type="spellStart"/>
      <w:r w:rsidRPr="00AA2DFA">
        <w:rPr>
          <w:rFonts w:asciiTheme="majorBidi" w:hAnsiTheme="majorBidi" w:cstheme="majorBidi"/>
          <w:i/>
          <w:iCs/>
          <w:sz w:val="24"/>
          <w:szCs w:val="24"/>
        </w:rPr>
        <w:t>Ophthalmol</w:t>
      </w:r>
      <w:proofErr w:type="spellEnd"/>
      <w:r w:rsidRPr="00AA2DFA">
        <w:rPr>
          <w:rFonts w:asciiTheme="majorBidi" w:hAnsiTheme="majorBidi" w:cstheme="majorBidi"/>
          <w:i/>
          <w:iCs/>
          <w:sz w:val="24"/>
          <w:szCs w:val="24"/>
        </w:rPr>
        <w:t>.</w:t>
      </w:r>
      <w:r w:rsidRPr="00AA2DFA">
        <w:rPr>
          <w:rFonts w:asciiTheme="majorBidi" w:hAnsiTheme="majorBidi" w:cstheme="majorBidi"/>
          <w:sz w:val="24"/>
          <w:szCs w:val="24"/>
        </w:rPr>
        <w:t xml:space="preserve"> 2023;71(5):1868–74. </w:t>
      </w:r>
      <w:proofErr w:type="spellStart"/>
      <w:r w:rsidR="00BD0536" w:rsidRPr="00AA2DFA">
        <w:rPr>
          <w:rFonts w:asciiTheme="majorBidi" w:hAnsiTheme="majorBidi" w:cstheme="majorBidi"/>
          <w:sz w:val="24"/>
          <w:szCs w:val="24"/>
        </w:rPr>
        <w:t>doi</w:t>
      </w:r>
      <w:proofErr w:type="spellEnd"/>
      <w:r w:rsidR="00BD0536" w:rsidRPr="00AA2DFA">
        <w:rPr>
          <w:rFonts w:asciiTheme="majorBidi" w:hAnsiTheme="majorBidi" w:cstheme="majorBidi"/>
          <w:sz w:val="24"/>
          <w:szCs w:val="24"/>
        </w:rPr>
        <w:t>: 10.4103/IJO.IJO</w:t>
      </w:r>
      <w:r w:rsidRPr="00AA2DFA">
        <w:rPr>
          <w:rFonts w:asciiTheme="majorBidi" w:hAnsiTheme="majorBidi" w:cstheme="majorBidi"/>
          <w:sz w:val="24"/>
          <w:szCs w:val="24"/>
        </w:rPr>
        <w:t>_2862_22.</w:t>
      </w:r>
      <w:r w:rsidR="00F961EE" w:rsidRPr="00F961EE">
        <w:rPr>
          <w:rFonts w:asciiTheme="majorBidi" w:hAnsiTheme="majorBidi" w:cstheme="majorBidi"/>
          <w:sz w:val="24"/>
          <w:szCs w:val="24"/>
        </w:rPr>
        <w:br/>
      </w:r>
      <w:r w:rsidR="00F961EE" w:rsidRPr="00F961EE">
        <w:rPr>
          <w:rFonts w:asciiTheme="majorBidi" w:hAnsiTheme="majorBidi" w:cstheme="majorBidi"/>
          <w:sz w:val="24"/>
          <w:szCs w:val="24"/>
        </w:rPr>
        <w:br/>
      </w:r>
    </w:p>
    <w:sectPr w:rsidR="0010273B" w:rsidRPr="00F961EE" w:rsidSect="00F961E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11116"/>
    <w:multiLevelType w:val="multilevel"/>
    <w:tmpl w:val="67E2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A15CA7"/>
    <w:multiLevelType w:val="hybridMultilevel"/>
    <w:tmpl w:val="9F3092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A8E68D0"/>
    <w:multiLevelType w:val="hybridMultilevel"/>
    <w:tmpl w:val="3522D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1EE"/>
    <w:rsid w:val="00100F71"/>
    <w:rsid w:val="0010273B"/>
    <w:rsid w:val="0021645C"/>
    <w:rsid w:val="00282241"/>
    <w:rsid w:val="002A546F"/>
    <w:rsid w:val="003E5E20"/>
    <w:rsid w:val="003F5DF9"/>
    <w:rsid w:val="00400E58"/>
    <w:rsid w:val="004D7F0D"/>
    <w:rsid w:val="004F210B"/>
    <w:rsid w:val="005044ED"/>
    <w:rsid w:val="00586E7B"/>
    <w:rsid w:val="00757120"/>
    <w:rsid w:val="00773985"/>
    <w:rsid w:val="007966D6"/>
    <w:rsid w:val="00797EF5"/>
    <w:rsid w:val="007A455E"/>
    <w:rsid w:val="007C4100"/>
    <w:rsid w:val="00827078"/>
    <w:rsid w:val="009A20F2"/>
    <w:rsid w:val="009D7536"/>
    <w:rsid w:val="00AA2DFA"/>
    <w:rsid w:val="00BD0536"/>
    <w:rsid w:val="00C12B02"/>
    <w:rsid w:val="00D72950"/>
    <w:rsid w:val="00D91CFD"/>
    <w:rsid w:val="00DC484A"/>
    <w:rsid w:val="00E14957"/>
    <w:rsid w:val="00EB4AD0"/>
    <w:rsid w:val="00F46338"/>
    <w:rsid w:val="00F8384E"/>
    <w:rsid w:val="00F961EE"/>
    <w:rsid w:val="00FA18F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D37D"/>
  <w15:chartTrackingRefBased/>
  <w15:docId w15:val="{320FCB42-568D-495C-BDC8-B4A8E6686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1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61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61E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61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61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61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1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1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1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1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61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61E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61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61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6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6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6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61EE"/>
    <w:rPr>
      <w:rFonts w:eastAsiaTheme="majorEastAsia" w:cstheme="majorBidi"/>
      <w:color w:val="272727" w:themeColor="text1" w:themeTint="D8"/>
    </w:rPr>
  </w:style>
  <w:style w:type="paragraph" w:styleId="Title">
    <w:name w:val="Title"/>
    <w:basedOn w:val="Normal"/>
    <w:next w:val="Normal"/>
    <w:link w:val="TitleChar"/>
    <w:uiPriority w:val="10"/>
    <w:qFormat/>
    <w:rsid w:val="00F961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1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6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1EE"/>
    <w:pPr>
      <w:spacing w:before="160"/>
      <w:jc w:val="center"/>
    </w:pPr>
    <w:rPr>
      <w:i/>
      <w:iCs/>
      <w:color w:val="404040" w:themeColor="text1" w:themeTint="BF"/>
    </w:rPr>
  </w:style>
  <w:style w:type="character" w:customStyle="1" w:styleId="QuoteChar">
    <w:name w:val="Quote Char"/>
    <w:basedOn w:val="DefaultParagraphFont"/>
    <w:link w:val="Quote"/>
    <w:uiPriority w:val="29"/>
    <w:rsid w:val="00F961EE"/>
    <w:rPr>
      <w:i/>
      <w:iCs/>
      <w:color w:val="404040" w:themeColor="text1" w:themeTint="BF"/>
    </w:rPr>
  </w:style>
  <w:style w:type="paragraph" w:styleId="ListParagraph">
    <w:name w:val="List Paragraph"/>
    <w:basedOn w:val="Normal"/>
    <w:uiPriority w:val="34"/>
    <w:qFormat/>
    <w:rsid w:val="00F961EE"/>
    <w:pPr>
      <w:ind w:left="720"/>
      <w:contextualSpacing/>
    </w:pPr>
  </w:style>
  <w:style w:type="character" w:styleId="IntenseEmphasis">
    <w:name w:val="Intense Emphasis"/>
    <w:basedOn w:val="DefaultParagraphFont"/>
    <w:uiPriority w:val="21"/>
    <w:qFormat/>
    <w:rsid w:val="00F961EE"/>
    <w:rPr>
      <w:i/>
      <w:iCs/>
      <w:color w:val="2F5496" w:themeColor="accent1" w:themeShade="BF"/>
    </w:rPr>
  </w:style>
  <w:style w:type="paragraph" w:styleId="IntenseQuote">
    <w:name w:val="Intense Quote"/>
    <w:basedOn w:val="Normal"/>
    <w:next w:val="Normal"/>
    <w:link w:val="IntenseQuoteChar"/>
    <w:uiPriority w:val="30"/>
    <w:qFormat/>
    <w:rsid w:val="00F961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61EE"/>
    <w:rPr>
      <w:i/>
      <w:iCs/>
      <w:color w:val="2F5496" w:themeColor="accent1" w:themeShade="BF"/>
    </w:rPr>
  </w:style>
  <w:style w:type="character" w:styleId="IntenseReference">
    <w:name w:val="Intense Reference"/>
    <w:basedOn w:val="DefaultParagraphFont"/>
    <w:uiPriority w:val="32"/>
    <w:qFormat/>
    <w:rsid w:val="00F961EE"/>
    <w:rPr>
      <w:b/>
      <w:bCs/>
      <w:smallCaps/>
      <w:color w:val="2F5496" w:themeColor="accent1" w:themeShade="BF"/>
      <w:spacing w:val="5"/>
    </w:rPr>
  </w:style>
  <w:style w:type="character" w:styleId="Hyperlink">
    <w:name w:val="Hyperlink"/>
    <w:basedOn w:val="DefaultParagraphFont"/>
    <w:uiPriority w:val="99"/>
    <w:unhideWhenUsed/>
    <w:rsid w:val="00F961EE"/>
    <w:rPr>
      <w:color w:val="0563C1" w:themeColor="hyperlink"/>
      <w:u w:val="single"/>
    </w:rPr>
  </w:style>
  <w:style w:type="character" w:styleId="UnresolvedMention">
    <w:name w:val="Unresolved Mention"/>
    <w:basedOn w:val="DefaultParagraphFont"/>
    <w:uiPriority w:val="99"/>
    <w:semiHidden/>
    <w:unhideWhenUsed/>
    <w:rsid w:val="00F96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ophthalmoljournal.com/articles/45/2-2-3-564.pdf" TargetMode="Externa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searchgate.net/publication/389070239_A_case_of_Pythium_keratitis_from_Sri_Lan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dhruvi189.ts@gmail.com</dc:creator>
  <cp:keywords/>
  <dc:description/>
  <cp:lastModifiedBy>SDI 1158</cp:lastModifiedBy>
  <cp:revision>18</cp:revision>
  <dcterms:created xsi:type="dcterms:W3CDTF">2025-10-07T17:18:00Z</dcterms:created>
  <dcterms:modified xsi:type="dcterms:W3CDTF">2025-10-09T10:58:00Z</dcterms:modified>
</cp:coreProperties>
</file>