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E6" w:rsidRDefault="005436E3">
      <w:pPr>
        <w:jc w:val="both"/>
        <w:rPr>
          <w:rFonts w:ascii="Times New Roman" w:eastAsia="Times New Roman" w:hAnsi="Times New Roman" w:cs="Times New Roman"/>
          <w:b/>
        </w:rPr>
      </w:pPr>
      <w:r w:rsidRPr="00413C68">
        <w:rPr>
          <w:rFonts w:ascii="Times New Roman" w:eastAsia="Times New Roman" w:hAnsi="Times New Roman" w:cs="Times New Roman"/>
          <w:b/>
          <w:highlight w:val="yellow"/>
        </w:rPr>
        <w:t xml:space="preserve">Impact of Excessive Screen use on </w:t>
      </w:r>
      <w:r w:rsidR="007662E5" w:rsidRPr="00413C68">
        <w:rPr>
          <w:rFonts w:ascii="Times New Roman" w:eastAsia="Times New Roman" w:hAnsi="Times New Roman" w:cs="Times New Roman"/>
          <w:b/>
          <w:highlight w:val="yellow"/>
        </w:rPr>
        <w:t>Strabismic Anomalies of B</w:t>
      </w:r>
      <w:r w:rsidRPr="00413C68">
        <w:rPr>
          <w:rFonts w:ascii="Times New Roman" w:eastAsia="Times New Roman" w:hAnsi="Times New Roman" w:cs="Times New Roman"/>
          <w:b/>
          <w:highlight w:val="yellow"/>
        </w:rPr>
        <w:t xml:space="preserve">inocular Vision </w:t>
      </w:r>
      <w:r w:rsidR="007662E5" w:rsidRPr="00413C68">
        <w:rPr>
          <w:rFonts w:ascii="Times New Roman" w:eastAsia="Times New Roman" w:hAnsi="Times New Roman" w:cs="Times New Roman"/>
          <w:b/>
          <w:highlight w:val="yellow"/>
        </w:rPr>
        <w:t>in Children and Young Adults</w:t>
      </w:r>
    </w:p>
    <w:p w:rsidR="009E6EE6" w:rsidRDefault="009E6EE6">
      <w:pPr>
        <w:jc w:val="both"/>
        <w:rPr>
          <w:rFonts w:ascii="Times New Roman" w:eastAsia="Times New Roman" w:hAnsi="Times New Roman" w:cs="Times New Roman"/>
          <w:b/>
        </w:rPr>
      </w:pPr>
    </w:p>
    <w:p w:rsidR="000D01B9" w:rsidRPr="00413C68" w:rsidRDefault="007662E5" w:rsidP="00C73D55">
      <w:pPr>
        <w:jc w:val="both"/>
        <w:rPr>
          <w:rFonts w:ascii="Times New Roman" w:eastAsia="Times New Roman" w:hAnsi="Times New Roman" w:cs="Times New Roman"/>
          <w:b/>
          <w:highlight w:val="yellow"/>
        </w:rPr>
      </w:pPr>
      <w:r w:rsidRPr="00413C68">
        <w:rPr>
          <w:rFonts w:ascii="Times New Roman" w:eastAsia="Times New Roman" w:hAnsi="Times New Roman" w:cs="Times New Roman"/>
          <w:b/>
          <w:highlight w:val="yellow"/>
        </w:rPr>
        <w:t>Abstract</w:t>
      </w:r>
    </w:p>
    <w:p w:rsidR="00AE258C" w:rsidRDefault="007662E5" w:rsidP="00C73D55">
      <w:pPr>
        <w:jc w:val="both"/>
        <w:rPr>
          <w:rFonts w:ascii="Times New Roman" w:eastAsia="Times New Roman" w:hAnsi="Times New Roman" w:cs="Times New Roman"/>
        </w:rPr>
      </w:pPr>
      <w:r w:rsidRPr="00413C68">
        <w:rPr>
          <w:rFonts w:ascii="Times New Roman" w:eastAsia="Times New Roman" w:hAnsi="Times New Roman" w:cs="Times New Roman"/>
          <w:highlight w:val="yellow"/>
        </w:rPr>
        <w:t>The pervasive use of digital devices for education and recreation is linked to a rising incidence of binocular vision anomalies, particularly heterophoria</w:t>
      </w:r>
      <w:r w:rsidR="005436E3" w:rsidRPr="00413C68">
        <w:rPr>
          <w:rFonts w:ascii="Times New Roman" w:eastAsia="Times New Roman" w:hAnsi="Times New Roman" w:cs="Times New Roman"/>
          <w:highlight w:val="yellow"/>
        </w:rPr>
        <w:t xml:space="preserve">, in children and young adults. This </w:t>
      </w:r>
      <w:r w:rsidRPr="00413C68">
        <w:rPr>
          <w:rFonts w:ascii="Times New Roman" w:eastAsia="Times New Roman" w:hAnsi="Times New Roman" w:cs="Times New Roman"/>
          <w:highlight w:val="yellow"/>
        </w:rPr>
        <w:t>retrospective cross-sectional stu</w:t>
      </w:r>
      <w:r w:rsidR="005436E3" w:rsidRPr="00413C68">
        <w:rPr>
          <w:rFonts w:ascii="Times New Roman" w:eastAsia="Times New Roman" w:hAnsi="Times New Roman" w:cs="Times New Roman"/>
          <w:highlight w:val="yellow"/>
        </w:rPr>
        <w:t xml:space="preserve">dy investigated the relationship between excessive screen use and heterophoria, specifically esophoria and exophoria, in 40 patients aged </w:t>
      </w:r>
      <w:r w:rsidRPr="00413C68">
        <w:rPr>
          <w:rFonts w:ascii="Times New Roman" w:eastAsia="Times New Roman" w:hAnsi="Times New Roman" w:cs="Times New Roman"/>
          <w:highlight w:val="yellow"/>
        </w:rPr>
        <w:t>5</w:t>
      </w:r>
      <w:r w:rsidR="005436E3" w:rsidRPr="00413C68">
        <w:rPr>
          <w:rFonts w:ascii="Times New Roman" w:eastAsia="Times New Roman" w:hAnsi="Times New Roman" w:cs="Times New Roman"/>
          <w:highlight w:val="yellow"/>
        </w:rPr>
        <w:t xml:space="preserve">-30 years with </w:t>
      </w:r>
      <w:r w:rsidRPr="00413C68">
        <w:rPr>
          <w:rFonts w:ascii="Times New Roman" w:eastAsia="Times New Roman" w:hAnsi="Times New Roman" w:cs="Times New Roman"/>
          <w:highlight w:val="yellow"/>
        </w:rPr>
        <w:t xml:space="preserve">best-corrected </w:t>
      </w:r>
      <w:r w:rsidR="005436E3" w:rsidRPr="00413C68">
        <w:rPr>
          <w:rFonts w:ascii="Times New Roman" w:eastAsia="Times New Roman" w:hAnsi="Times New Roman" w:cs="Times New Roman"/>
          <w:highlight w:val="yellow"/>
        </w:rPr>
        <w:t xml:space="preserve">visual acuity of 6/9 or better. </w:t>
      </w:r>
      <w:r w:rsidRPr="00413C68">
        <w:rPr>
          <w:rFonts w:ascii="Times New Roman" w:eastAsia="Times New Roman" w:hAnsi="Times New Roman" w:cs="Times New Roman"/>
          <w:highlight w:val="yellow"/>
        </w:rPr>
        <w:t>Participants were categorized into exophoria (n=3</w:t>
      </w:r>
      <w:r w:rsidR="005436E3" w:rsidRPr="00413C68">
        <w:rPr>
          <w:rFonts w:ascii="Times New Roman" w:eastAsia="Times New Roman" w:hAnsi="Times New Roman" w:cs="Times New Roman"/>
          <w:highlight w:val="yellow"/>
        </w:rPr>
        <w:t>0) and esophoria (n=10) groups and measurements included t</w:t>
      </w:r>
      <w:r w:rsidRPr="00413C68">
        <w:rPr>
          <w:rFonts w:ascii="Times New Roman" w:eastAsia="Times New Roman" w:hAnsi="Times New Roman" w:cs="Times New Roman"/>
          <w:highlight w:val="yellow"/>
        </w:rPr>
        <w:t xml:space="preserve">he magnitude of </w:t>
      </w:r>
      <w:proofErr w:type="spellStart"/>
      <w:r w:rsidRPr="00413C68">
        <w:rPr>
          <w:rFonts w:ascii="Times New Roman" w:eastAsia="Times New Roman" w:hAnsi="Times New Roman" w:cs="Times New Roman"/>
          <w:highlight w:val="yellow"/>
        </w:rPr>
        <w:t>phoria</w:t>
      </w:r>
      <w:proofErr w:type="spellEnd"/>
      <w:r w:rsidRPr="00413C68">
        <w:rPr>
          <w:rFonts w:ascii="Times New Roman" w:eastAsia="Times New Roman" w:hAnsi="Times New Roman" w:cs="Times New Roman"/>
          <w:highlight w:val="yellow"/>
        </w:rPr>
        <w:t xml:space="preserve"> (prism </w:t>
      </w:r>
      <w:proofErr w:type="spellStart"/>
      <w:r w:rsidRPr="00413C68">
        <w:rPr>
          <w:rFonts w:ascii="Times New Roman" w:eastAsia="Times New Roman" w:hAnsi="Times New Roman" w:cs="Times New Roman"/>
          <w:highlight w:val="yellow"/>
        </w:rPr>
        <w:t>diopters</w:t>
      </w:r>
      <w:proofErr w:type="spellEnd"/>
      <w:r w:rsidRPr="00413C68">
        <w:rPr>
          <w:rFonts w:ascii="Times New Roman" w:eastAsia="Times New Roman" w:hAnsi="Times New Roman" w:cs="Times New Roman"/>
          <w:highlight w:val="yellow"/>
        </w:rPr>
        <w:t>, PD), near point of convergence (NPC), and near point of ac</w:t>
      </w:r>
      <w:r w:rsidR="005436E3" w:rsidRPr="00413C68">
        <w:rPr>
          <w:rFonts w:ascii="Times New Roman" w:eastAsia="Times New Roman" w:hAnsi="Times New Roman" w:cs="Times New Roman"/>
          <w:highlight w:val="yellow"/>
        </w:rPr>
        <w:t xml:space="preserve">commodation (NPA) along with daily screen time exposure data. </w:t>
      </w:r>
      <w:r w:rsidRPr="00413C68">
        <w:rPr>
          <w:rFonts w:ascii="Times New Roman" w:eastAsia="Times New Roman" w:hAnsi="Times New Roman" w:cs="Times New Roman"/>
          <w:highlight w:val="yellow"/>
        </w:rPr>
        <w:t>The mean age was 18.2 ± 6.1 years, with</w:t>
      </w:r>
      <w:r w:rsidR="005436E3" w:rsidRPr="00413C68">
        <w:rPr>
          <w:rFonts w:ascii="Times New Roman" w:eastAsia="Times New Roman" w:hAnsi="Times New Roman" w:cs="Times New Roman"/>
          <w:highlight w:val="yellow"/>
        </w:rPr>
        <w:t xml:space="preserve"> a female predominance (62.5%) and average screen </w:t>
      </w:r>
      <w:proofErr w:type="spellStart"/>
      <w:r w:rsidR="005436E3" w:rsidRPr="00413C68">
        <w:rPr>
          <w:rFonts w:ascii="Times New Roman" w:eastAsia="Times New Roman" w:hAnsi="Times New Roman" w:cs="Times New Roman"/>
          <w:highlight w:val="yellow"/>
        </w:rPr>
        <w:t>sreen</w:t>
      </w:r>
      <w:proofErr w:type="spellEnd"/>
      <w:r w:rsidR="005436E3" w:rsidRPr="00413C68">
        <w:rPr>
          <w:rFonts w:ascii="Times New Roman" w:eastAsia="Times New Roman" w:hAnsi="Times New Roman" w:cs="Times New Roman"/>
          <w:highlight w:val="yellow"/>
        </w:rPr>
        <w:t xml:space="preserve"> time was 5.1</w:t>
      </w:r>
      <w:r w:rsidR="008B6C35" w:rsidRPr="00413C68">
        <w:rPr>
          <w:rFonts w:ascii="Times New Roman" w:eastAsia="Times New Roman" w:hAnsi="Times New Roman" w:cs="Times New Roman"/>
          <w:highlight w:val="yellow"/>
        </w:rPr>
        <w:t xml:space="preserve"> ± 2.3 hours/day. Females had higher odds of esophoria (OR=3.1, p=0.02), while screen time positively correlated with near phoria magnitude (r=0.32, p=0.04) and negativel</w:t>
      </w:r>
      <w:r w:rsidR="009E6EE6" w:rsidRPr="00413C68">
        <w:rPr>
          <w:rFonts w:ascii="Times New Roman" w:eastAsia="Times New Roman" w:hAnsi="Times New Roman" w:cs="Times New Roman"/>
          <w:highlight w:val="yellow"/>
        </w:rPr>
        <w:t>y with NPC (r= 0.41, p= 0.008).</w:t>
      </w:r>
      <w:r w:rsidRPr="00413C68">
        <w:rPr>
          <w:rFonts w:ascii="Times New Roman" w:eastAsia="Times New Roman" w:hAnsi="Times New Roman" w:cs="Times New Roman"/>
          <w:highlight w:val="yellow"/>
        </w:rPr>
        <w:t>Esophoria was associated with shorter NPC (7.6 ± 1.1 cm vs. 9.8 ± 2.1 cm, p=0.003) and NPA (8.2 ± 1.3</w:t>
      </w:r>
      <w:r w:rsidR="008B6C35" w:rsidRPr="00413C68">
        <w:rPr>
          <w:rFonts w:ascii="Times New Roman" w:eastAsia="Times New Roman" w:hAnsi="Times New Roman" w:cs="Times New Roman"/>
          <w:highlight w:val="yellow"/>
        </w:rPr>
        <w:t xml:space="preserve"> cm vs. 10.3 ± 2.3 cm, p=0.02)</w:t>
      </w:r>
      <w:r w:rsidR="009E6EE6" w:rsidRPr="00413C68">
        <w:rPr>
          <w:rFonts w:ascii="Times New Roman" w:eastAsia="Times New Roman" w:hAnsi="Times New Roman" w:cs="Times New Roman"/>
          <w:highlight w:val="yellow"/>
        </w:rPr>
        <w:t xml:space="preserve">, and a </w:t>
      </w:r>
      <w:r w:rsidR="008B6C35" w:rsidRPr="00413C68">
        <w:rPr>
          <w:rFonts w:ascii="Times New Roman" w:eastAsia="Times New Roman" w:hAnsi="Times New Roman" w:cs="Times New Roman"/>
          <w:highlight w:val="yellow"/>
        </w:rPr>
        <w:t xml:space="preserve">higher prevalence of myopia </w:t>
      </w:r>
      <w:r w:rsidRPr="00413C68">
        <w:rPr>
          <w:rFonts w:ascii="Times New Roman" w:eastAsia="Times New Roman" w:hAnsi="Times New Roman" w:cs="Times New Roman"/>
          <w:highlight w:val="yellow"/>
        </w:rPr>
        <w:t>(66.7% vs. 33.3%, p=0.04), while astigmatism was more prevalent in exophoria (66.7% vs. 33.3%, p=0.04).</w:t>
      </w:r>
      <w:r w:rsidR="008B6C35" w:rsidRPr="00413C68">
        <w:rPr>
          <w:rFonts w:ascii="Times New Roman" w:eastAsia="Times New Roman" w:hAnsi="Times New Roman" w:cs="Times New Roman"/>
          <w:highlight w:val="yellow"/>
        </w:rPr>
        <w:t xml:space="preserve"> Regressio</w:t>
      </w:r>
      <w:r w:rsidR="009E6EE6" w:rsidRPr="00413C68">
        <w:rPr>
          <w:rFonts w:ascii="Times New Roman" w:eastAsia="Times New Roman" w:hAnsi="Times New Roman" w:cs="Times New Roman"/>
          <w:highlight w:val="yellow"/>
        </w:rPr>
        <w:t>n analysis showed that each additional hour of screen time increased near phoria by 0.5 PD (p=0.01). these findings indicate that excessive screen exposure is signific</w:t>
      </w:r>
      <w:r w:rsidR="00E81CCE" w:rsidRPr="00413C68">
        <w:rPr>
          <w:rFonts w:ascii="Times New Roman" w:eastAsia="Times New Roman" w:hAnsi="Times New Roman" w:cs="Times New Roman"/>
          <w:highlight w:val="yellow"/>
        </w:rPr>
        <w:t>antly associated with heterophori</w:t>
      </w:r>
      <w:r w:rsidR="009E6EE6" w:rsidRPr="00413C68">
        <w:rPr>
          <w:rFonts w:ascii="Times New Roman" w:eastAsia="Times New Roman" w:hAnsi="Times New Roman" w:cs="Times New Roman"/>
          <w:highlight w:val="yellow"/>
        </w:rPr>
        <w:t>a, reduced convergence, and specific refractive errors, particularly in females, underscoring the importance of early screening, visual hygiene education, and preventive measure to mitigate long term binocular vision complications.</w:t>
      </w:r>
    </w:p>
    <w:p w:rsidR="009E6EE6" w:rsidRDefault="009E6EE6">
      <w:pPr>
        <w:jc w:val="both"/>
        <w:rPr>
          <w:rFonts w:ascii="Times New Roman" w:eastAsia="Times New Roman" w:hAnsi="Times New Roman" w:cs="Times New Roman"/>
        </w:rPr>
      </w:pPr>
    </w:p>
    <w:p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Introduction</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The integration of digital devices into daily life has become ubiquitous, with children and young adults increasingly dependent on screens for</w:t>
      </w:r>
      <w:r w:rsidR="001A62DA">
        <w:rPr>
          <w:rFonts w:ascii="Times New Roman" w:eastAsia="Times New Roman" w:hAnsi="Times New Roman" w:cs="Times New Roman"/>
        </w:rPr>
        <w:t xml:space="preserve"> both education and recreation. </w:t>
      </w:r>
      <w:r>
        <w:rPr>
          <w:rFonts w:ascii="Times New Roman" w:eastAsia="Times New Roman" w:hAnsi="Times New Roman" w:cs="Times New Roman"/>
        </w:rPr>
        <w:t>About 98% of adolescents (10–19 years) use social media/internet on mobile devices, with a mean screen tim</w:t>
      </w:r>
      <w:r w:rsidR="001A62DA">
        <w:rPr>
          <w:rFonts w:ascii="Times New Roman" w:eastAsia="Times New Roman" w:hAnsi="Times New Roman" w:cs="Times New Roman"/>
        </w:rPr>
        <w:t xml:space="preserve">e of 3.89 (±2.77) hours/day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{"citationID":"HtQ0re0P","properties":{"formattedCitation":"(Dubey et al., 2018)","plainCitation":"(Dubey et al., 2018)","noteIndex":0},"citationItems":[{"id":"1DR6qMVm/LZMbfhZ6","uris":["http://zotero.org/users/local/6mH0t5Ye/items/BBXRR3IS"],"itemData":{"id":49,"type":"article-journal","abstract":"Background: Media forms an important part of the lives of adolescents in as much as the shows they watch on television, playing video games, as well as visiting the various websites. There is a growing concern of the influence of media on every aspect of health of children and adolescents. About 95% of the population in India has availability of television. India has limited studies which have explored the use of screen-based media (SBM) and its effect on child health. This study was conducted to assess the pattern of SBM use. Methods: A community-based cross-sectional study was conducted in an Urban Resettlement Colony, New Delhi. The study included 550 adolescents of age group from 10 to 19 years of age selected through simple random sampling from a list of adolescents residing in the area. A semi-structured interview schedule was used. Results: About 98% of the adolescents used SBM. Television formed the maximum used media (96.5%). The mean (standard deviation) of the screen time was found to be 3.8 (2.77) h/day. Out of the total screen time, time contributed by television is 2.8 h/day followed by other SBM. About 68% of adolescents reported having screen time more than the recommended (&gt;2 h). Significant association was observed between screen time and watching television while eating [odds ratio (95% confidence interval) = 0.35 (0.22, 0.55)]. Conclusion: High proportion of adolescents use SBM for more than the recommended screen time. We should have a recommendation for maximum screen time separately for developing countries.","container-title":"Journal of Family Medicine and Primary Care","DOI":"10.4103/jfmpc.jfmpc_190_18","ISSN":"2249-4863","issue":"6","journalAbbreviation":"J Family Med Prim Care","language":"en","page":"1236","source":"DOI.org (Crossref)","title":"Screen-based media use and screen time assessment among adolescents residing in an Urban Resettlement Colony in New Delhi, India","volume":"7","author":[{"family":"Dubey","given":"Mahasweta"},{"family":"Nongkynrih","given":"Baridalyne"},{"family":"Gupta","given":"SanjeevKumar"},{"family":"Kalaivani","given":"Mani"},{"family":"Goswami","given":"AnilKumar"},{"family":"Salve","given":"HarshalRamesh"}],"issued":{"date-parts":[["2018"]]}}}],"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(Dubey et al., 2018)</w:t>
      </w:r>
      <w:r w:rsidR="00FF6408">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 xml:space="preserve">A 2023 study by </w:t>
      </w:r>
      <w:proofErr w:type="spellStart"/>
      <w:r>
        <w:rPr>
          <w:rFonts w:ascii="Times New Roman" w:eastAsia="Times New Roman" w:hAnsi="Times New Roman" w:cs="Times New Roman"/>
        </w:rPr>
        <w:t>Hedderson</w:t>
      </w:r>
      <w:proofErr w:type="spellEnd"/>
      <w:r>
        <w:rPr>
          <w:rFonts w:ascii="Times New Roman" w:eastAsia="Times New Roman" w:hAnsi="Times New Roman" w:cs="Times New Roman"/>
        </w:rPr>
        <w:t xml:space="preserve"> reported that children (4–12 years) averaged 4.4 h/day on recreational screens pre-pandemic, which increased by 1.75 h in the initial phase and </w:t>
      </w:r>
      <w:r w:rsidR="001A62DA">
        <w:rPr>
          <w:rFonts w:ascii="Times New Roman" w:eastAsia="Times New Roman" w:hAnsi="Times New Roman" w:cs="Times New Roman"/>
        </w:rPr>
        <w:t xml:space="preserve">1.11 h in the later phase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{"citationID":"kdugr1dZ","properties":{"formattedCitation":"(Hedderson et al., 2023)","plainCitation":"(Hedderson et al., 2023)","noteIndex":0},"citationItems":[{"id":"1DR6qMVm/Om8EdOM2","uris":["http://zotero.org/users/local/6mH0t5Ye/items/8A4T3B2C"],"itemData":{"id":14,"type":"article-journal","abstract":"OBJECTIVE To evaluate change in children’s screen time from before the pandemic to during the pandemic, from July 2019 through August 2021. DESIGN, SETTING, AND PARTICIPANTS This is a longitudinal cohort study with repeated measures of screen time collected before the pandemic and during 2 pandemic periods. Children aged 4 to 12 years and their parent were enrolled in 3 pediatric cohorts across 3 states in the US participating in the Environmental Influences of Child Health Outcomes (ECHO) Program. Data analysis was performed from November 2021 to July 2022. EXPOSURES COVID-19 pandemic period: prepandemic (July 2019 to March 2020), pandemic period 1 (December 2020 to April 2021), and pandemic period 2 (May 2021 to August 2021). MAIN OUTCOMES AND MEASURES The primary outcomes were total, educational (not including remote school), and recreational screen time assessed via the ECHO Child Media Use questionnaire. Linear mixed-effects models were used for screen time adjusted for child’s age, number of siblings, sex, race, ethnicity, and maternal education.\nRESULTS The cohort included 228 children (prepandemic mean [SD] age, 7.0 [2.7] years; 100 female [43.9%]) with screen time measured during the prepandemic period and at least once during the pandemic period. Prepandemic mean (SD) total screen time was 4.4 (3.9) hours per day and increased 1.75 hours per day (95% CI, 1.18-2.31 hours per day) in the first pandemic period and 1.11 hours per day (95% CI, 0.49-1.72 hours per day) in the second pandemic period, in adjusted models. Prepandemic mean (SD) recreational screen time was 4.0 (3.5) hours per day and increased 0.89 hours per day (95% CI, 0.39-1.39 hours per day) in the first pandemic period and 0.70 hours per day (95% CI, 0.16-1.25 hours per day) in the second pandemic period. Prepandemic mean (SD) educational screen time was 0.5 (1.2) hours per day (median [IQR], 0.0 [0.0-0.4] hours per day) and increased 0.93 hours per day (95% CI, 0.67-1.19 hours per day) in the first pandemic period and 0.46 hours per day (95% CI, 0.18-0.74 hours per day) in the second pandemic period.\nCONCLUSIONS AND RELEVANCE These findings suggest that screen time among children increased during the COVID-19 pandemic and remained elevated even after many public health","container-title":"JAMA Network Open","DOI":"10.1001/jamanetworkopen.2022.56157","ISSN":"2574-3805","issue":"2","journalAbbreviation":"JAMA Netw Open","language":"en","page":"e2256157","source":"DOI.org (Crossref)","title":"Trends in Screen Time Use Among Children During the COVID-19 Pandemic, July 2019 Through August 2021","volume":"6","author":[{"family":"Hedderson","given":"Monique M."},{"family":"Bekelman","given":"Traci A."},{"family":"Li","given":"Mingyi"},{"family":"Knapp","given":"Emily A."},{"family":"Palmore","given":"Meredith"},{"family":"Dong","given":"Yanan"},{"family":"Elliott","given":"Amy J."},{"family":"Friedman","given":"Chloe"},{"family":"Galarce","given":"Maren"},{"family":"Gilbert-Diamond","given":"Diane"},{"family":"Glueck","given":"Deborah"},{"family":"Hockett","given":"Christine W."},{"family":"Lucchini","given":"Maristella"},{"family":"McDonald","given":"Julia"},{"family":"Sauder","given":"Katherine"},{"family":"Zhu","given":"Yeyi"},{"family":"Karagas","given":"Margaret R."},{"family":"Dabelea","given":"Dana"},{"family":"Ferrara","given":"Assiamira"},{"literal":"Environmental Influences on Child Health Outcomes Program"},{"family":"Smith","given":"Brian P"},{"family":"Newby","given":"Kristen L"},{"family":"Jacobson","given":"Lisa P"},{"family":"Parker","given":"Corette B"},{"family":"Gershon","given":"Richard C"},{"family":"Cella","given":"David"},{"family":"Alshawabkeh","given":"Akram N"},{"family":"Aschner","given":"Judy L"},{"family":"Merhar","given":"Stephanie L"},{"family":"Pryhuber","given":"Gloria S"},{"family":"Moore","given":"Paul E"},{"family":"Lampland","given":"Andrea L"},{"family":"Wadhawan","given":"Rajan"},{"family":"Wagner","given":"Carol L"},{"family":"Hudak","given":"Mark L"},{"family":"Mayock","given":"Dennis E"},{"family":"Washburn","given":"Lisa K"},{"family":"Croen","given":"Lisa A"},{"family":"Karr","given":"Caherine J"},{"family":"Mason","given":"Alex"},{"family":"Lester","given":"Barry M"},{"family":"Carter","given":"Brian S"},{"family":"Marsit","given":"Carmen J"},{"family":"Pastyrnak","given":"Steven L"},{"family":"Neal","given":"Charles"},{"family":"Smith","given":"Lynne M"},{"family":"Helderman","given":"Jennifer B"},{"family":"McEvoy","given":"Cindy"},{"family":"Tepper","given":"Robert S"},{"family":"Kerver","given":"Jean"},{"family":"Barone","given":"Charles"},{"family":"McKane","given":"Patricia"},{"family":"Paneth","given":"Nigel"},{"family":"Elliott","given":"Michael R"},{"family":"Trasande","given":"Leonardo"},{"family":"Sathyanarayana","given":"Sheela"},{"family":"Bush","given":"Nicole"},{"family":"Nguyen","given":"Ruby Hn"},{"family":"Barrett","given":"Emily S"}],"issued":{"date-parts":[["2023",2,15]]}}}],"schema":"https://github.com/citation-style-language/schema/raw/master/csl-citation.json"}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(Hedderson et al., 2023)</w:t>
      </w:r>
      <w:r w:rsidR="00FF6408">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A study reported electronic gadget use in 95.6% of participants, with 28.6% using them for more than two h</w:t>
      </w:r>
      <w:r w:rsidR="001A62DA">
        <w:rPr>
          <w:rFonts w:ascii="Times New Roman" w:eastAsia="Times New Roman" w:hAnsi="Times New Roman" w:cs="Times New Roman"/>
        </w:rPr>
        <w:t xml:space="preserve">ours daily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{"citationID":"tLUI7EDW","properties":{"formattedCitation":"(Neena et al., 2023)","plainCitation":"(Neena et al., 2023)","noteIndex":0},"citationItems":[{"id":"1DR6qMVm/ggBw1SgW","uris":["http://zotero.org/users/local/6mH0t5Ye/items/UX3TEUC8"],"itemData":{"id":15,"type":"article-journal","abstract":"BACKGROUND: To analyze the impact of online classes on eye health of children and young adults during the COVID‑19 pandemic. MATERIALS AND METHODS: An observational study with a written questionnaire and comprehensive ophthalmic evaluation at a tertiary eye care center in South India, during the COVID‑19 pandemic.\nRESULTS: Of the 496 patients, most were 5–10 years old, attending online classes 1–2 h/day with majority (84.7%) having &lt;4 h of classes. Electronic gadget use after classes was seen in 95.6% participants and 28.6% admitted to using it for more than 2 h/day. Digital eye strain (DES) was seen in 50.8% of patients of which headache or eye ache were the most common symptom (30.8%). Duration of online class was found to be the single most independent factor associated with the development of eye complaints (P = 0.001). Duration of class hours (P = 0.007) and light setting (P = 0.008) was found to be independent determinants of developing DES.\nCONCLUSIONS: Increased screen time, inadequate light setting, and excessive application of near vision can produce undesirable effects including the development of DES, worsening or development of new refractive errors and squint.","container-title":"Oman Journal of Ophthalmology","DOI":"10.4103/ojo.ojo_57_22","ISSN":"0974-620X","issue":"1","language":"en","page":"45-50","source":"DOI.org (Crossref)","title":"Impact of online classes on eye health of children and young adults in the setting of COVID-19 pandemic: A hospital-based survey","title-short":"Impact of online classes on eye health of children and young adults in the setting of COVID-19 pandemic","volume":"16","author":[{"family":"Neena","given":"R."},{"family":"Gayathri","given":"M. S."},{"family":"Prakash","given":"Nimmy"},{"family":"Anantharaman","given":"Giridhar"}],"issued":{"date-parts":[["2023",1]]}}}],"schema":"https://github.com/citation-style-language/schema/raw/master/csl-citation.json"}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(Neena et al., 2023)</w:t>
      </w:r>
      <w:r w:rsidR="00FF6408">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This increased exposure has significant implications for visual health, contributing to the development of Digital Eye St</w:t>
      </w:r>
      <w:r w:rsidR="001A62DA">
        <w:rPr>
          <w:rFonts w:ascii="Times New Roman" w:eastAsia="Times New Roman" w:hAnsi="Times New Roman" w:cs="Times New Roman"/>
        </w:rPr>
        <w:t xml:space="preserve">rain (DES). </w:t>
      </w:r>
      <w:r>
        <w:rPr>
          <w:rFonts w:ascii="Times New Roman" w:eastAsia="Times New Roman" w:hAnsi="Times New Roman" w:cs="Times New Roman"/>
        </w:rPr>
        <w:t>According to Audrey et al., blue light from LED screens induces photochemical damage to the cor</w:t>
      </w:r>
      <w:r w:rsidR="001A62DA">
        <w:rPr>
          <w:rFonts w:ascii="Times New Roman" w:eastAsia="Times New Roman" w:hAnsi="Times New Roman" w:cs="Times New Roman"/>
        </w:rPr>
        <w:t xml:space="preserve">nea, lens, and retina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{"citationID":"VDqj2kcz","properties":{"formattedCitation":"(Cougnard-Gregoire et al., 2023)","plainCitation":"(Cougnard-Gregoire et al., 2023)","noteIndex":0},"citationItems":[{"id":"1DR6qMVm/EI9gCQHi","uris":["http://zotero.org/users/local/6mH0t5Ye/items/NIXCXBBT"],"itemData":{"id":64,"type":"article-journal","container-title":"Ophthalmology and Therapy","DOI":"10.1007/s40123-023-00675-3","ISSN":"2193-8245, 2193-6528","issue":"2","journalAbbreviation":"Ophthalmol Ther","language":"en","page":"755-788","source":"DOI.org (Crossref)","title":"Blue Light Exposure: Ocular Hazards and Prevention—A Narrative Review","title-short":"Blue Light Exposure","volume":"12","author":[{"family":"Cougnard-Gregoire","given":"Audrey"},{"family":"Merle","given":"Bénédicte M. J."},{"family":"Aslam","given":"Tariq"},{"family":"Seddon","given":"Johanna M."},{"family":"Aknin","given":"Isabelle"},{"family":"Klaver","given":"Caroline C. W."},{"family":"Garhöfer","given":"Gerhard"},{"family":"Layana","given":"Alfredo Garcia"},{"family":"Minnella","given":"Angelo Maria"},{"family":"Silva","given":"Rufino"},{"family":"Delcourt","given":"Cécile"}],"issued":{"date-parts":[["2023",4]]}}}],"schema":"https://github.com/citation-style-language/schema/raw/master/csl-citation.json"}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(Cougnard-Gregoire et al., 2023)</w:t>
      </w:r>
      <w:r w:rsidR="00FF6408">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Digital Eye Syndrome (DES) involves tear film instability causing ocular surface damage, leading to symptoms like dry eyes, epiphora</w:t>
      </w:r>
      <w:r w:rsidR="001A62DA">
        <w:rPr>
          <w:rFonts w:ascii="Times New Roman" w:eastAsia="Times New Roman" w:hAnsi="Times New Roman" w:cs="Times New Roman"/>
        </w:rPr>
        <w:t xml:space="preserve">, and irritation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{"citationID":"VLXSTj0s","properties":{"formattedCitation":"(Al-Mohtaseb et al., 2021)","plainCitation":"(Al-Mohtaseb et al., 2021)","noteIndex":0},"citationItems":[{"id":"1DR6qMVm/DsmSp5Vx","uris":["http://zotero.org/users/local/6mH0t5Ye/items/38ECUJLT"],"itemData":{"id":66,"type":"article-journal","abstract":"Dry eye disease is characterized by tear film instability that can result in ocular surface damage. Patients with dry eye disease may experience ocular pain/discomfort and visual disturbances that may negatively impact quality of life. Increased use of digital screens for work, communication, and entertainment, especially during times of pandemic, may contribute to dry eye. Extensive cross-sectional studies have shown that digital screen use duration is associated with an increased risk of severe symptoms and clinical diagnosis of dry eye disease in adults. Smartphone use duration has also been found to be greater in school-age children with dry eye disease than in those without dry eye disease. A commonly accepted hypothesis for the relationship between digital screen use and dry eye disease is that digital screen use changes blinking dynamics, leading to ocular dryness. This review describes evidence that digital screen use is associated with dry eye disease, that digital device use alters blinking dynamics, and that dry eye affects mental health and work productivity in digital screen users. Helpful prevention and management strategies for dry eye disease exist for those who use digital screens.","container-title":"Clinical Ophthalmology","DOI":"10.2147/OPTH.S321591","ISSN":"1177-5483","journalAbbreviation":"OPTH","language":"en","license":"http://creativecommons.org/licenses/by-nc/3.0/","page":"3811-3820","source":"DOI.org (Crossref)","title":"The Relationship Between Dry Eye Disease and Digital Screen Use","volume":"Volume 15","author":[{"family":"Al-Mohtaseb","given":"Zaina"},{"family":"Schachter","given":"Scott"},{"family":"Shen Lee","given":"Bridgitte"},{"family":"Garlich","given":"Jaclyn"},{"family":"Trattler","given":"William"}],"issued":{"date-parts":[["2021",9]]}}}],"schema":"https://github.com/citation-style-language/schema/raw/master/csl-citation.json"}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(Al-Mohtaseb et al., 2021)</w:t>
      </w:r>
      <w:r w:rsidR="00FF6408">
        <w:rPr>
          <w:rFonts w:ascii="Times New Roman" w:eastAsia="Times New Roman" w:hAnsi="Times New Roman" w:cs="Times New Roman"/>
        </w:rPr>
        <w:fldChar w:fldCharType="end"/>
      </w:r>
      <w:r w:rsidR="001A62DA">
        <w:rPr>
          <w:rFonts w:ascii="Times New Roman" w:eastAsia="Times New Roman" w:hAnsi="Times New Roman" w:cs="Times New Roman"/>
        </w:rPr>
        <w:t>.</w:t>
      </w:r>
      <w:r>
        <w:rPr>
          <w:rFonts w:ascii="Times New Roman" w:eastAsia="Times New Roman" w:hAnsi="Times New Roman" w:cs="Times New Roman"/>
        </w:rPr>
        <w:t>DES is characterized by a range of ocular and visual symptoms, including asthenopia, dry eyes, and irritation, stemming from tear film instability and vergence-accommoda</w:t>
      </w:r>
      <w:r w:rsidR="001A62DA">
        <w:rPr>
          <w:rFonts w:ascii="Times New Roman" w:eastAsia="Times New Roman" w:hAnsi="Times New Roman" w:cs="Times New Roman"/>
        </w:rPr>
        <w:t>tion stress. It was also reported that</w:t>
      </w:r>
      <w:r>
        <w:rPr>
          <w:rFonts w:ascii="Times New Roman" w:eastAsia="Times New Roman" w:hAnsi="Times New Roman" w:cs="Times New Roman"/>
        </w:rPr>
        <w:t xml:space="preserve"> a 50–60% prevalence of DES in children, with associated esotropia and verg</w:t>
      </w:r>
      <w:r w:rsidR="001A62DA">
        <w:rPr>
          <w:rFonts w:ascii="Times New Roman" w:eastAsia="Times New Roman" w:hAnsi="Times New Roman" w:cs="Times New Roman"/>
        </w:rPr>
        <w:t xml:space="preserve">ence abnormalities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{"citationID":"HHAMphqR","properties":{"formattedCitation":"(Kaur et al., 2022)","plainCitation":"(Kaur et al., 2022)","noteIndex":0},"citationItems":[{"id":"1DR6qMVm/zLSGBUqi","uris":["http://zotero.org/users/local/6mH0t5Ye/items/TIKZIDYR"],"itemData":{"id":45,"type":"article-journal","container-title":"Ophthalmology and Therapy","DOI":"10.1007/s40123-022-00540-9","ISSN":"2193-8245, 2193-6528","issue":"5","journalAbbreviation":"Ophthalmol Ther","language":"en","page":"1655-1680","source":"DOI.org (Crossref)","title":"Digital Eye Strain- A Comprehensive Review","volume":"11","author":[{"family":"Kaur","given":"Kirandeep"},{"family":"Gurnani","given":"Bharat"},{"family":"Nayak","given":"Swatishree"},{"family":"Deori","given":"Nilutparna"},{"family":"Kaur","given":"Savleen"},{"family":"Jethani","given":"Jitendra"},{"family":"Singh","given":"Digvijay"},{"family":"Agarkar","given":"Sumita"},{"family":"Hussaindeen","given":"Jameel Rizwana"},{"family":"Sukhija","given":"Jaspreet"},{"family":"Mishra","given":"Deepak"}],"issued":{"date-parts":[["2022",10]]}}}],"schema":"https://github.com/citation-style-language/schema/raw/master/csl-citation.json"}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(Kaur et al., 2022)</w:t>
      </w:r>
      <w:r w:rsidR="00FF6408">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A concerning manifestation of this strain is the development of binocular vision anomalies, particularly heterophoria—a latent misalignment of the visual axes that is controlled b</w:t>
      </w:r>
      <w:r w:rsidR="001A62DA">
        <w:rPr>
          <w:rFonts w:ascii="Times New Roman" w:eastAsia="Times New Roman" w:hAnsi="Times New Roman" w:cs="Times New Roman"/>
        </w:rPr>
        <w:t xml:space="preserve">y fusional vergence mechanisms. Phoria is a latent ocular deviation controlled by fusion, becoming apparent when fusion is disrupted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{"citationID":"pGrdGRnm","properties":{"formattedCitation":"(Alrasheed &amp; Aldakhil, 2024)","plainCitation":"(Alrasheed &amp; Aldakhil, 2024)","noteIndex":0},"citationItems":[{"id":"1DR6qMVm/e17FlOjl","uris":["http://zotero.org/users/local/6mH0t5Ye/items/9RX8669P"],"itemData":{"id":70,"type":"article-journal","abstract":"Background: Fusional vergence amplitude is the amount of convergence and divergence that can be induced before fusion is lost and fusional vergence amplitude controls heterophoria. Aim: This study aimed to investigate the relationship between near heterophoria, near fusional vergence (NFV), and near point of convergence (NPC). Setting: Al-Neelain Eye Hospital Khartoum, Sudan.\nMethods: A hospital-based prospective study from February to October 2019, included 230 patients with age range of 15–30 years and mean age and standard deviation of 19.46 ± 3.33 years. The alternate cover test with prism was used to measure near heterophoria and a prism bar was used to measure quantity of fusional vergence. All measurements were taken at near heterophoria (0.33 m). Then the associations between near heterophoria, NFV and NPC were assessed.\nResults: The most common heterophoria at near among the participants was exophoria: 200 (87.0%). Reported complaints of asthenopia were commonly found among these exophoric patients: 106 (86.9%) (P = 0.735). Positive fusional vergence (PFV) to the break point varied according to the forms of heterophoria (P = 0.003). Esophoria had a higher PFV to break point than exophoria (30.83 ± 8.79∆ compared to 25.59 ± 10.07∆). Negative fusional vergence at the break and recovery points were higher among those with exophoria and lower in esophoria (P ˃ 0.05). The NPC differed by the type of heterophoria (P = 0.01), with exophoria and slightly receded NPC (8.38 cm ± 3.33 cm) than for participants with esophoria (6.77 cm ± 1.52 cm).\nConclusions: Exophoria was the most common type of near heterophoria, with asthenopia being the most reported complaint. Esophoria was found to be strongly associated with high PFV. Exophoria, on the contrary, is related to significant high NFV at the blur, beak, and recovery point. The NPC differed significantly by the type of near heterophoria, with exophoria having more receded NPC compared to those with esophoria.","container-title":"African Vision and Eye Health","DOI":"10.4102/aveh.v83i1.869","ISSN":"2410-1516, 2413-3183","issue":"1","journalAbbreviation":"African Vision and Eye Health","language":"en","license":"https://creativecommons.org/licenses/by/4.0","source":"DOI.org (Crossref)","title":"Heterophoria, fusional vergence, and near point of convergence in Sudanese hospital-based population","URL":"http://www.avehjournal.org/index.php/AVEH/article/view/869","volume":"83","author":[{"family":"Alrasheed","given":"Saif H."},{"family":"Aldakhil","given":"Sulaiman"}],"accessed":{"date-parts":[["2025",4,30]]},"issued":{"date-parts":[["2024",2,5]]}}}],"schema":"https://github.com/citation-style-language/schema/raw/master/csl-citation.json"}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(Alrasheed &amp;Aldakhil, 2024)</w:t>
      </w:r>
      <w:r w:rsidR="00FF6408">
        <w:rPr>
          <w:rFonts w:ascii="Times New Roman" w:eastAsia="Times New Roman" w:hAnsi="Times New Roman" w:cs="Times New Roman"/>
        </w:rPr>
        <w:fldChar w:fldCharType="end"/>
      </w:r>
      <w:r w:rsidR="001A62DA">
        <w:rPr>
          <w:rFonts w:ascii="Times New Roman" w:eastAsia="Times New Roman" w:hAnsi="Times New Roman" w:cs="Times New Roman"/>
        </w:rPr>
        <w:t>.</w:t>
      </w:r>
      <w:r w:rsidR="005E177F">
        <w:rPr>
          <w:rFonts w:ascii="Times New Roman" w:eastAsia="Times New Roman" w:hAnsi="Times New Roman" w:cs="Times New Roman"/>
        </w:rPr>
        <w:t xml:space="preserve"> The term ‘strabismus’ is derived from </w:t>
      </w:r>
      <w:proofErr w:type="spellStart"/>
      <w:r w:rsidR="005E177F">
        <w:rPr>
          <w:rFonts w:ascii="Times New Roman" w:eastAsia="Times New Roman" w:hAnsi="Times New Roman" w:cs="Times New Roman"/>
        </w:rPr>
        <w:t>greek</w:t>
      </w:r>
      <w:proofErr w:type="spellEnd"/>
      <w:r w:rsidR="005E177F">
        <w:rPr>
          <w:rFonts w:ascii="Times New Roman" w:eastAsia="Times New Roman" w:hAnsi="Times New Roman" w:cs="Times New Roman"/>
        </w:rPr>
        <w:t xml:space="preserve"> word </w:t>
      </w:r>
      <w:proofErr w:type="spellStart"/>
      <w:r w:rsidR="005E177F" w:rsidRPr="005E177F">
        <w:rPr>
          <w:rFonts w:ascii="Times New Roman" w:eastAsia="Times New Roman" w:hAnsi="Times New Roman" w:cs="Times New Roman"/>
          <w:i/>
          <w:iCs/>
        </w:rPr>
        <w:t>srabismos</w:t>
      </w:r>
      <w:proofErr w:type="spellEnd"/>
      <w:r w:rsidR="005E177F">
        <w:rPr>
          <w:rFonts w:ascii="Times New Roman" w:eastAsia="Times New Roman" w:hAnsi="Times New Roman" w:cs="Times New Roman"/>
        </w:rPr>
        <w:t xml:space="preserve">, “to squint” or look obliquely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{"citationID":"pM3I266W","properties":{"formattedCitation":"(Buffenn, 2021)","plainCitation":"(Buffenn, 2021)","noteIndex":0},"citationItems":[{"id":"1DR6qMVm/zr31uiIm","uris":["http://zotero.org/users/local/6mH0t5Ye/items/AK294KH3"],"itemData":{"id":252,"type":"article-journal","abstract":"Strabismus can hinder an individual’s ability to perform daily functions and negatively affect their well-being. I examine the impact strabismus has on psychosocial health and quality of life in children and adults and evaluate the challenges confronted by parents of children with strabismus. Numerous misconceptions exist regarding the impact strabismus has on overall health. Negative attitudes persist toward those affected, resulting in difficulties with self-image. Individuals with strabismus are at increased risk for both visual system and psychiatric disorders. Misinformation regarding available treatment options for children and adults with strabismus continues to exist, resulting in decreased access to care. Improved education of health care providers can increase appropriate referrals and initiation of treatment. Treatment of strabismus is not merely cosmetic and has the potential to improve psychosocial health and quality of life for children and adults with and without diplopia.","container-title":"Survey of Ophthalmology","DOI":"10.1016/j.survophthal.2021.03.005","ISSN":"00396257","issue":"6","journalAbbreviation":"Survey of Ophthalmology","language":"en","page":"1051-1064","source":"DOI.org (Crossref)","title":"The impact of strabismus on psychosocial heath and quality of life: a systematic review","title-short":"The impact of strabismus on psychosocial heath and quality of life","volume":"66","author":[{"family":"Buffenn","given":"Angela N."}],"issued":{"date-parts":[["2021",11]]}}}],"schema":"https://github.com/citation-style-language/schema/raw/master/csl-citation.json"}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highlight w:val="yellow"/>
        </w:rPr>
        <w:t>(Buffenn, 2021)</w:t>
      </w:r>
      <w:r w:rsidR="00FF6408">
        <w:rPr>
          <w:rFonts w:ascii="Times New Roman" w:eastAsia="Times New Roman" w:hAnsi="Times New Roman" w:cs="Times New Roman"/>
        </w:rPr>
        <w:fldChar w:fldCharType="end"/>
      </w:r>
      <w:r w:rsidR="005E177F">
        <w:rPr>
          <w:rFonts w:ascii="Times New Roman" w:eastAsia="Times New Roman" w:hAnsi="Times New Roman" w:cs="Times New Roman"/>
        </w:rPr>
        <w:t xml:space="preserve">. </w:t>
      </w:r>
      <w:r w:rsidR="001A62DA">
        <w:rPr>
          <w:rFonts w:ascii="Times New Roman" w:eastAsia="Times New Roman" w:hAnsi="Times New Roman" w:cs="Times New Roman"/>
        </w:rPr>
        <w:t xml:space="preserve"> As stated by Gunton et al, esotropia or strabismus can be defined as a misalignment of the visual axes of the two eyes and can also be referred to as squint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{"citationID":"w7xgTTLb","properties":{"formattedCitation":"(Gunton et al., 2015)","plainCitation":"(Gunton et al., 2015)","noteIndex":0},"citationItems":[{"id":"1DR6qMVm/EouE6jHy","uris":["http://zotero.org/users/local/6mH0t5Ye/items/IGEVMU5F"],"itemData":{"id":41,"type":"article-journal","container-title":"Primary Care: Clinics in Office Practice","DOI":"10.1016/j.pop.2015.05.006","ISSN":"00954543","issue":"3","journalAbbreviation":"Primary Care: Clinics in Office Practice","language":"en","page":"393-407","source":"DOI.org (Crossref)","title":"Strabismus","volume":"42","author":[{"family":"Gunton","given":"Kammi B."},{"family":"Wasserman","given":"Barry N."},{"family":"DeBenedictis","given":"Caroline"}],"issued":{"date-parts":[["2015",9]]}}}],"schema":"https://github.com/citation-style-language/schema/raw/master/csl-citation.json"}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(Gunton et al., 2015)</w:t>
      </w:r>
      <w:r w:rsidR="00FF6408">
        <w:rPr>
          <w:rFonts w:ascii="Times New Roman" w:eastAsia="Times New Roman" w:hAnsi="Times New Roman" w:cs="Times New Roman"/>
        </w:rPr>
        <w:fldChar w:fldCharType="end"/>
      </w:r>
      <w:r w:rsidR="001A62DA">
        <w:rPr>
          <w:rFonts w:ascii="Times New Roman" w:eastAsia="Times New Roman" w:hAnsi="Times New Roman" w:cs="Times New Roman"/>
        </w:rPr>
        <w:t>.</w:t>
      </w:r>
      <w:r>
        <w:rPr>
          <w:rFonts w:ascii="Times New Roman" w:eastAsia="Times New Roman" w:hAnsi="Times New Roman" w:cs="Times New Roman"/>
        </w:rPr>
        <w:t xml:space="preserve"> When compensatory mechanisms are overwhelmed, typically by prolonged near work, esophoria (latent inward deviation) or exophoria (latent outward </w:t>
      </w:r>
      <w:r>
        <w:rPr>
          <w:rFonts w:ascii="Times New Roman" w:eastAsia="Times New Roman" w:hAnsi="Times New Roman" w:cs="Times New Roman"/>
        </w:rPr>
        <w:lastRenderedPageBreak/>
        <w:t>deviation) can become symptomatic, leading to visual disco</w:t>
      </w:r>
      <w:r w:rsidR="001A62DA">
        <w:rPr>
          <w:rFonts w:ascii="Times New Roman" w:eastAsia="Times New Roman" w:hAnsi="Times New Roman" w:cs="Times New Roman"/>
        </w:rPr>
        <w:t xml:space="preserve">mfort, diplopia, and headaches. </w:t>
      </w:r>
      <w:r>
        <w:rPr>
          <w:rFonts w:ascii="Times New Roman" w:eastAsia="Times New Roman" w:hAnsi="Times New Roman" w:cs="Times New Roman"/>
        </w:rPr>
        <w:t>Esophoria is the inward, and exophoria the outward, deviation of the eyeball from the anterior–pos</w:t>
      </w:r>
      <w:r w:rsidR="001A62DA">
        <w:rPr>
          <w:rFonts w:ascii="Times New Roman" w:eastAsia="Times New Roman" w:hAnsi="Times New Roman" w:cs="Times New Roman"/>
        </w:rPr>
        <w:t xml:space="preserve">terior axis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{"citationID":"Et8BvEgJ","properties":{"formattedCitation":"(Chen &amp; Dom, n.d.)","plainCitation":"(Chen &amp; Dom, n.d.)","noteIndex":0},"citationItems":[{"id":"1DR6qMVm/5fZIo36z","uris":["http://zotero.org/users/local/6mH0t5Ye/items/FE3P9QL2"],"itemData":{"id":57,"type":"article-journal","abstract":"The purpose of this study was to investigate the relationship between heterophoria and refractive error. Thirty-six subjects (11 myopes, 25 emmetropes) participated in this study. Heterophoria was measured with the Free-Space Phoria Card at five different viewing distances (25cm, 33cm, 50cm, 100cm and 300cm). Regardless of the types of heterophoria, the amount of heterophoria reduced towards orthophoric position with increasing viewing distance. Emmetropes and myopes did not show any significant difference in the degree of heterophoria at different viewing distances (F = 0.30, p&gt;0.05) or in the type of heterophoria ( 2 = 2, p&gt;0.05).","language":"en","source":"Zotero","title":"HETEROPHORIA IN YOUNG ADULTS WITH EMMETROPIA AND MYOPIA","author":[{"family":"Chen","given":"Ai Hong"},{"family":"Dom","given":"Abdul Aziz"}]}}],"schema":"https://github.com/citation-style-language/schema/raw/master/csl-citation.json"}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(Chen &amp; Dom, n.d.)</w:t>
      </w:r>
      <w:r w:rsidR="00FF6408">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 xml:space="preserve">Smartphones are typically viewed at short distances (≈36 cm texting, 32 cm browsing), inducing convergence, pupil constriction, and accommodation, which in turn affect vergence and ocular alignment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{"citationID":"m0hAF4u7","properties":{"formattedCitation":"(Leung et al., 2020)","plainCitation":"(Leung et al., 2020)","noteIndex":0},"citationItems":[{"id":"1DR6qMVm/CLhNeKdO","uris":["http://zotero.org/users/local/6mH0t5Ye/items/GBY7S2RK"],"itemData":{"id":50,"type":"article-journal","abstract":"Background/Aims Smartphone use has become an indispensable part of our daily life. The handy design and powerful processor allow smartphone users to perform diversified tasks even when walking. This study aimed to investigate and compare the optical aftereffect and vergence adaptation of using a smartphone while walking and sitting.\nMethods Twenty-nine young healthy adults (aged 19 to 24 years old) with normal binocular and accommodative functions were recruited. Participants were asked to watch a movie for 30 minutes using a smartphone while either walking on a treadmill or sitting on a chair. Corneal aberrations and near heterophoria were measured before and after smartphone use by a corneal topographer and modified Thorington heterophoria test, respectively.\nResults Using the smartphone while walking induced a change in corneal H/V astigmatism, becoming 0.11±0.03 μm less negative (two-way ANOVA repeated measures, Bonferroni post-hoc test, p = 0.001). This optical aftereffect was significantly higher than after smartphone use while sitting by 0.10±0.03 μm (paired t-test, p = 0.003). Although smartphone use did not result in a significant change in near heterophoria (Bonferroni post-hoc test, p &gt; 0.15), the vergence adaptation showed relatively more eso- or less exo-deviation by 0.79±0.36Δ in the walking than the sitting condition (paired t-test, p = 0.037).\nConclusions Eyecare practitioners should be cautious of the potential optical after effect and vergence adaptation after prolonged smartphone usage. PLOS ONE","container-title":"PLOS ONE","DOI":"10.1371/journal.pone.0243072","ISSN":"1932-6203","issue":"12","journalAbbreviation":"PLoS ONE","language":"en","page":"e0243072","source":"DOI.org (Crossref)","title":"Changes in corneal astigmatism and near heterophoria after smartphone use while walking and sitting","volume":"15","author":[{"family":"Leung","given":"Tsz Wing"},{"family":"Chan","given":"Chui-Ting"},{"family":"Lam","given":"Chi-Hin"},{"family":"Tong","given":"Yuk-Kwan"},{"family":"Kee","given":"Chea-Su"}],"editor":[{"family":"Golebiowski","given":"Blanka"}],"issued":{"date-parts":[["2020",12,3]]}}}],"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(Leung et al., 2020)</w:t>
      </w:r>
      <w:r w:rsidR="00FF6408">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While the link between screen time and DES is established, its specific association with measurable changes in heterophoria magnitude and vergence function is less defined. This study aims to quantify this relationship by evaluating heterophoria, NPC, and NPA in children and young adults with high screen time exposure, identifying key demographic and refractive risk factors.</w:t>
      </w:r>
    </w:p>
    <w:p w:rsidR="00AE258C" w:rsidRDefault="007662E5">
      <w:pPr>
        <w:spacing w:line="360" w:lineRule="auto"/>
        <w:jc w:val="center"/>
        <w:rPr>
          <w:rFonts w:ascii="Times New Roman" w:eastAsia="Times New Roman" w:hAnsi="Times New Roman" w:cs="Times New Roman"/>
          <w:b/>
          <w:u w:val="single"/>
        </w:rPr>
      </w:pPr>
      <w:r>
        <w:rPr>
          <w:noProof/>
          <w:lang w:val="en-US" w:eastAsia="en-US" w:bidi="ar-SA"/>
        </w:rPr>
        <w:drawing>
          <wp:inline distT="0" distB="0" distL="0" distR="0">
            <wp:extent cx="3032243" cy="2727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descr="A pie chart with different colored circles&#10;&#10;AI-generated content may be incorrect."/>
                    <pic:cNvPicPr/>
                  </pic:nvPicPr>
                  <pic:blipFill rotWithShape="1">
                    <a:blip r:embed="rId4" cstate="print"/>
                    <a:srcRect l="26480" t="11951" r="25430" b="11134"/>
                    <a:stretch>
                      <a:fillRect/>
                    </a:stretch>
                  </pic:blipFill>
                  <pic:spPr bwMode="auto">
                    <a:xfrm>
                      <a:off x="0" y="0"/>
                      <a:ext cx="3129212" cy="2815198"/>
                    </a:xfrm>
                    <a:prstGeom prst="rect">
                      <a:avLst/>
                    </a:prstGeom>
                    <a:ln>
                      <a:noFill/>
                    </a:ln>
                  </pic:spPr>
                </pic:pic>
              </a:graphicData>
            </a:graphic>
          </wp:inline>
        </w:drawing>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b/>
        </w:rPr>
        <w:t>Figure 1:</w:t>
      </w:r>
      <w:r>
        <w:rPr>
          <w:rFonts w:ascii="Times New Roman" w:eastAsia="Times New Roman" w:hAnsi="Times New Roman" w:cs="Times New Roman"/>
        </w:rPr>
        <w:t xml:space="preserve"> Pie chart illustrating the types of digital devices used and their respective percentages (smartphones: 48%, laptops: 25%, tablets: 15%, other: 12%). This figure highlights the predominance of smartphones, a key factor in screen time exposure, showing the percentage distribution of digital devices used by study participants.</w:t>
      </w:r>
    </w:p>
    <w:p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Methods</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This retrospective cross-sectional study was conducted at the Department of Ophthalmology, Jawaharlal Nehru Medical College, Aligarh Muslim University, India. After obtaining ethical approval, data from 40 patients aged 5-30 years was analyzed. Patients were included if they had a best-corrected visual acuity of 6/9 or better and were diagnosed with heterophoria. Exclusion criteria included manifest strabismus, amblyopia, history of ocular surgery, or any ocular pathology affecting binocular vision.</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All participants underwent a comprehensive orthoptic workup. The alternate cover test was used for qualitative assessment. Quantitative measurement of near and distance phoria was performed using the Maddox Wing and Maddox Rod test, respectively, and recorded in prism </w:t>
      </w:r>
      <w:proofErr w:type="spellStart"/>
      <w:r>
        <w:rPr>
          <w:rFonts w:ascii="Times New Roman" w:eastAsia="Times New Roman" w:hAnsi="Times New Roman" w:cs="Times New Roman"/>
        </w:rPr>
        <w:t>diopters</w:t>
      </w:r>
      <w:proofErr w:type="spellEnd"/>
      <w:r>
        <w:rPr>
          <w:rFonts w:ascii="Times New Roman" w:eastAsia="Times New Roman" w:hAnsi="Times New Roman" w:cs="Times New Roman"/>
        </w:rPr>
        <w:t xml:space="preserve"> (PD). The near point of convergence (NPC) and near point of accommodation (NPA) were measured using the Royal Air Force (RAF) Rule. Objective and subjective refraction were performed to diagnose myopia and astigmatism. A structured questionnaire was administered to collect data on daily screen time usage and types of digital devices used.</w:t>
      </w:r>
    </w:p>
    <w:p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Results</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The study included 40 participants, with 30 diagnosed with exophoria and 10 with esophoria, reflecting a diverse age range from 5 to 30 years, with a mean age of 18.2 ± 6.1 years. The cohort </w:t>
      </w:r>
      <w:r>
        <w:rPr>
          <w:rFonts w:ascii="Times New Roman" w:eastAsia="Times New Roman" w:hAnsi="Times New Roman" w:cs="Times New Roman"/>
        </w:rPr>
        <w:lastRenderedPageBreak/>
        <w:t>exhibited a notable gender imbalance, with females comprising 62.5% (n=25) of the total participants, a distribution that varied significantly between phoria types. The average daily screen time across all participants was 5.1 ± 2.3 hours, with no significant difference observed between the exophoria group (5.3 ± 2.4 hours) and the esophoria group (4.6 ± 1.9 hours). This consistency in screen time exposure highlights the broad impact of digital device use across both groups, though the predominance of smartphone use as the primary device (reported by 48% of participants) suggests a specific focus on near-work demands.</w:t>
      </w:r>
    </w:p>
    <w:p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Table 1: Sociodemographic and clinical profile of study participants</w:t>
      </w:r>
    </w:p>
    <w:tbl>
      <w:tblPr>
        <w:tblStyle w:val="a"/>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70"/>
        <w:gridCol w:w="1351"/>
        <w:gridCol w:w="1856"/>
        <w:gridCol w:w="1832"/>
        <w:gridCol w:w="907"/>
      </w:tblGrid>
      <w:tr w:rsidR="00AE258C">
        <w:tc>
          <w:tcPr>
            <w:tcW w:w="3070"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Variable</w:t>
            </w:r>
          </w:p>
        </w:tc>
        <w:tc>
          <w:tcPr>
            <w:tcW w:w="1351"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Total (n=40)</w:t>
            </w:r>
          </w:p>
        </w:tc>
        <w:tc>
          <w:tcPr>
            <w:tcW w:w="1856"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Exophoria (n=30)</w:t>
            </w:r>
          </w:p>
        </w:tc>
        <w:tc>
          <w:tcPr>
            <w:tcW w:w="1832"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Esophoria (n=10)</w:t>
            </w:r>
          </w:p>
        </w:tc>
        <w:tc>
          <w:tcPr>
            <w:tcW w:w="907"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p-value</w:t>
            </w:r>
          </w:p>
        </w:tc>
      </w:tr>
      <w:tr w:rsidR="00AE258C">
        <w:tc>
          <w:tcPr>
            <w:tcW w:w="3070"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Age (years), Mean ± SD</w:t>
            </w:r>
          </w:p>
        </w:tc>
        <w:tc>
          <w:tcPr>
            <w:tcW w:w="1351"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18.2 ± 6.1</w:t>
            </w:r>
          </w:p>
        </w:tc>
        <w:tc>
          <w:tcPr>
            <w:tcW w:w="1856"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19.1 ± 5.8</w:t>
            </w:r>
          </w:p>
        </w:tc>
        <w:tc>
          <w:tcPr>
            <w:tcW w:w="1832"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15.4 ± 6.3</w:t>
            </w:r>
          </w:p>
        </w:tc>
        <w:tc>
          <w:tcPr>
            <w:tcW w:w="907"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0.09</w:t>
            </w:r>
          </w:p>
        </w:tc>
      </w:tr>
      <w:tr w:rsidR="00AE258C">
        <w:tc>
          <w:tcPr>
            <w:tcW w:w="3070"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Gender, n (%)</w:t>
            </w:r>
          </w:p>
        </w:tc>
        <w:tc>
          <w:tcPr>
            <w:tcW w:w="1351" w:type="dxa"/>
          </w:tcPr>
          <w:p w:rsidR="00AE258C" w:rsidRDefault="00AE258C">
            <w:pPr>
              <w:spacing w:after="160" w:line="259" w:lineRule="auto"/>
              <w:jc w:val="both"/>
              <w:rPr>
                <w:rFonts w:ascii="Times New Roman" w:eastAsia="Times New Roman" w:hAnsi="Times New Roman" w:cs="Times New Roman"/>
              </w:rPr>
            </w:pPr>
          </w:p>
        </w:tc>
        <w:tc>
          <w:tcPr>
            <w:tcW w:w="1856" w:type="dxa"/>
          </w:tcPr>
          <w:p w:rsidR="00AE258C" w:rsidRDefault="00AE258C">
            <w:pPr>
              <w:spacing w:after="160" w:line="259" w:lineRule="auto"/>
              <w:jc w:val="both"/>
              <w:rPr>
                <w:rFonts w:ascii="Times New Roman" w:eastAsia="Times New Roman" w:hAnsi="Times New Roman" w:cs="Times New Roman"/>
              </w:rPr>
            </w:pPr>
          </w:p>
        </w:tc>
        <w:tc>
          <w:tcPr>
            <w:tcW w:w="1832" w:type="dxa"/>
          </w:tcPr>
          <w:p w:rsidR="00AE258C" w:rsidRDefault="00AE258C">
            <w:pPr>
              <w:spacing w:after="160" w:line="259" w:lineRule="auto"/>
              <w:jc w:val="both"/>
              <w:rPr>
                <w:rFonts w:ascii="Times New Roman" w:eastAsia="Times New Roman" w:hAnsi="Times New Roman" w:cs="Times New Roman"/>
              </w:rPr>
            </w:pPr>
          </w:p>
        </w:tc>
        <w:tc>
          <w:tcPr>
            <w:tcW w:w="907" w:type="dxa"/>
          </w:tcPr>
          <w:p w:rsidR="00AE258C" w:rsidRDefault="00AE258C">
            <w:pPr>
              <w:spacing w:after="160" w:line="259" w:lineRule="auto"/>
              <w:jc w:val="both"/>
              <w:rPr>
                <w:rFonts w:ascii="Times New Roman" w:eastAsia="Times New Roman" w:hAnsi="Times New Roman" w:cs="Times New Roman"/>
              </w:rPr>
            </w:pPr>
          </w:p>
        </w:tc>
      </w:tr>
      <w:tr w:rsidR="00AE258C">
        <w:tc>
          <w:tcPr>
            <w:tcW w:w="3070"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Female</w:t>
            </w:r>
          </w:p>
        </w:tc>
        <w:tc>
          <w:tcPr>
            <w:tcW w:w="1351"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25 (62.5)</w:t>
            </w:r>
          </w:p>
        </w:tc>
        <w:tc>
          <w:tcPr>
            <w:tcW w:w="1856"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16 (53.3)</w:t>
            </w:r>
          </w:p>
        </w:tc>
        <w:tc>
          <w:tcPr>
            <w:tcW w:w="1832"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8 (80.0)</w:t>
            </w:r>
          </w:p>
        </w:tc>
        <w:tc>
          <w:tcPr>
            <w:tcW w:w="907"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0.04</w:t>
            </w:r>
          </w:p>
        </w:tc>
      </w:tr>
      <w:tr w:rsidR="00AE258C">
        <w:tc>
          <w:tcPr>
            <w:tcW w:w="3070"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Male</w:t>
            </w:r>
          </w:p>
        </w:tc>
        <w:tc>
          <w:tcPr>
            <w:tcW w:w="1351"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15 (37.5)</w:t>
            </w:r>
          </w:p>
        </w:tc>
        <w:tc>
          <w:tcPr>
            <w:tcW w:w="1856"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14 (46.7)</w:t>
            </w:r>
          </w:p>
        </w:tc>
        <w:tc>
          <w:tcPr>
            <w:tcW w:w="1832"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 (20.0)</w:t>
            </w:r>
          </w:p>
        </w:tc>
        <w:tc>
          <w:tcPr>
            <w:tcW w:w="907" w:type="dxa"/>
          </w:tcPr>
          <w:p w:rsidR="00AE258C" w:rsidRDefault="00AE258C">
            <w:pPr>
              <w:spacing w:after="160" w:line="259" w:lineRule="auto"/>
              <w:jc w:val="both"/>
              <w:rPr>
                <w:rFonts w:ascii="Times New Roman" w:eastAsia="Times New Roman" w:hAnsi="Times New Roman" w:cs="Times New Roman"/>
              </w:rPr>
            </w:pPr>
          </w:p>
        </w:tc>
      </w:tr>
      <w:tr w:rsidR="00AE258C">
        <w:tc>
          <w:tcPr>
            <w:tcW w:w="3070"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Screen Time (hours), Mean ± SD</w:t>
            </w:r>
          </w:p>
        </w:tc>
        <w:tc>
          <w:tcPr>
            <w:tcW w:w="1351"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5.1 ± 2.3</w:t>
            </w:r>
          </w:p>
        </w:tc>
        <w:tc>
          <w:tcPr>
            <w:tcW w:w="1856"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5.3 ± 2.4</w:t>
            </w:r>
          </w:p>
        </w:tc>
        <w:tc>
          <w:tcPr>
            <w:tcW w:w="1832"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4.6 ± 1.9</w:t>
            </w:r>
          </w:p>
        </w:tc>
        <w:tc>
          <w:tcPr>
            <w:tcW w:w="907"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0.38</w:t>
            </w:r>
          </w:p>
        </w:tc>
      </w:tr>
    </w:tbl>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This table summarizes the demographic and clinical characteristics of the study participants. The significant difference in gender distribution (p=0.04) indicates a higher proportion of females in the esophoria group, suggesting a potential gender-specific vulnerability. </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Binary logistic regression analysis revealed that female gender was a significant predictor of esophoria, with an odds ratio of 3.1 (95% CI: 1.2–8.0, p=0.02), indicating a threefold increased risk compared to males. This finding suggests a potential gender-specific vulnerability to convergence-related issues, possibly influenced by hormonal or anatomical factors. Screen time exceeding 5 hours per day showed a trend toward increased risk of esophoria (OR=2.4, 95% CI: 0.9–6.3, p=0.08), though this did not reach statistical significance, possibly due to the small sample size in the esophoria group. Myopia as a predictor showed no significant association (OR=1.8, 95% CI: 0.7–4.9, p=0.24), suggesting that while it may contribute, its role requires further exploration with a larger cohort.</w:t>
      </w:r>
    </w:p>
    <w:p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Table 2: Odds ratios for predictors of esophoria</w:t>
      </w:r>
    </w:p>
    <w:tbl>
      <w:tblPr>
        <w:tblStyle w:val="a0"/>
        <w:tblW w:w="5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60"/>
        <w:gridCol w:w="2227"/>
        <w:gridCol w:w="913"/>
      </w:tblGrid>
      <w:tr w:rsidR="00AE258C">
        <w:tc>
          <w:tcPr>
            <w:tcW w:w="2461"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Predictor</w:t>
            </w:r>
          </w:p>
        </w:tc>
        <w:tc>
          <w:tcPr>
            <w:tcW w:w="2227"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Odds Ratio (95% CI)</w:t>
            </w:r>
          </w:p>
        </w:tc>
        <w:tc>
          <w:tcPr>
            <w:tcW w:w="913"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p-value</w:t>
            </w:r>
          </w:p>
        </w:tc>
      </w:tr>
      <w:tr w:rsidR="00AE258C">
        <w:tc>
          <w:tcPr>
            <w:tcW w:w="2461"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Female Gender</w:t>
            </w:r>
          </w:p>
        </w:tc>
        <w:tc>
          <w:tcPr>
            <w:tcW w:w="2227"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3.1 (1.2 - 8.0)</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0.02</w:t>
            </w:r>
          </w:p>
        </w:tc>
      </w:tr>
      <w:tr w:rsidR="00AE258C">
        <w:tc>
          <w:tcPr>
            <w:tcW w:w="2461"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Screen Time (&gt;5 hrs/day)</w:t>
            </w:r>
          </w:p>
        </w:tc>
        <w:tc>
          <w:tcPr>
            <w:tcW w:w="2227"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2.4 (0.9 - 6.3)</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0.08</w:t>
            </w:r>
          </w:p>
        </w:tc>
      </w:tr>
      <w:tr w:rsidR="00AE258C">
        <w:tc>
          <w:tcPr>
            <w:tcW w:w="2461"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Myopia</w:t>
            </w:r>
          </w:p>
        </w:tc>
        <w:tc>
          <w:tcPr>
            <w:tcW w:w="2227"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1.8 (0.7 - 4.9)</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0.24</w:t>
            </w:r>
          </w:p>
        </w:tc>
      </w:tr>
    </w:tbl>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This table presents the odds ratios for predictors of esophoria, with female gender showing statistical significance (p=0.02), indicating its strong association with esophoria development.</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Clinical measurements revealed distinct patterns between phoria types. The mean near phoria was 11.0 ± 4.2 PD in the exophoria group and 12.6 ± 2.8 PD in the esophoria group, a difference that was not statistically significant (p=0.25). Similarly, distance phoria showed a non-significant variation, with 8.0 ± 3.5 PD in exophoria and 9.2 ± 1.9 PD in esophoria (p=0.32). However, significant differences emerged in vergence and accommodation functions. The near point of convergence (NPC) was significantly worse (closer) in the esophoria group (7.6 ± 1.1 cm) compared to the exophoria </w:t>
      </w:r>
      <w:r>
        <w:rPr>
          <w:rFonts w:ascii="Times New Roman" w:eastAsia="Times New Roman" w:hAnsi="Times New Roman" w:cs="Times New Roman"/>
        </w:rPr>
        <w:lastRenderedPageBreak/>
        <w:t>group (9.8 ± 2.1 cm, p=0.003), indicating potential convergence insufficiency that could contribute to visual discomfort during prolonged near work. Likewise, the near point of accommodation (NPA) was worse in the esophoria group (8.2 ± 1.3 cm vs. 10.3 ± 2.3 cm, p=0.02), suggesting a broader impact on accommodative capacity that may exacerbate symptoms.</w:t>
      </w:r>
    </w:p>
    <w:p w:rsidR="00AE258C" w:rsidRDefault="00AE258C">
      <w:pPr>
        <w:jc w:val="both"/>
        <w:rPr>
          <w:rFonts w:ascii="Times New Roman" w:eastAsia="Times New Roman" w:hAnsi="Times New Roman" w:cs="Times New Roman"/>
          <w:b/>
        </w:rPr>
      </w:pPr>
    </w:p>
    <w:p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Table 3: Clinical characteristics by phoria type</w:t>
      </w:r>
    </w:p>
    <w:tbl>
      <w:tblPr>
        <w:tblStyle w:val="a1"/>
        <w:tblW w:w="87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8"/>
        <w:gridCol w:w="1367"/>
        <w:gridCol w:w="1876"/>
        <w:gridCol w:w="1852"/>
        <w:gridCol w:w="913"/>
      </w:tblGrid>
      <w:tr w:rsidR="00AE258C">
        <w:tc>
          <w:tcPr>
            <w:tcW w:w="2788"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Variable</w:t>
            </w:r>
          </w:p>
        </w:tc>
        <w:tc>
          <w:tcPr>
            <w:tcW w:w="1367"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Total (n=40)</w:t>
            </w:r>
          </w:p>
        </w:tc>
        <w:tc>
          <w:tcPr>
            <w:tcW w:w="1876"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Exophoria (n=30)</w:t>
            </w:r>
          </w:p>
        </w:tc>
        <w:tc>
          <w:tcPr>
            <w:tcW w:w="1852"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Esophoria (n=10)</w:t>
            </w:r>
          </w:p>
        </w:tc>
        <w:tc>
          <w:tcPr>
            <w:tcW w:w="913"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p-value</w:t>
            </w:r>
          </w:p>
        </w:tc>
      </w:tr>
      <w:tr w:rsidR="00AE258C">
        <w:tc>
          <w:tcPr>
            <w:tcW w:w="2788"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Near PD (Δ), Mean ± SD</w:t>
            </w:r>
          </w:p>
        </w:tc>
        <w:tc>
          <w:tcPr>
            <w:tcW w:w="1367"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11.4 ± 3.9</w:t>
            </w:r>
          </w:p>
        </w:tc>
        <w:tc>
          <w:tcPr>
            <w:tcW w:w="1876"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11.0 ± 4.2</w:t>
            </w:r>
          </w:p>
        </w:tc>
        <w:tc>
          <w:tcPr>
            <w:tcW w:w="1852"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12.6 ± 2.8</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0.25</w:t>
            </w:r>
          </w:p>
        </w:tc>
      </w:tr>
      <w:tr w:rsidR="00AE258C">
        <w:tc>
          <w:tcPr>
            <w:tcW w:w="2788"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Distance PD (Δ), Mean ± SD</w:t>
            </w:r>
          </w:p>
        </w:tc>
        <w:tc>
          <w:tcPr>
            <w:tcW w:w="1367"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8.4 ± 3.2</w:t>
            </w:r>
          </w:p>
        </w:tc>
        <w:tc>
          <w:tcPr>
            <w:tcW w:w="1876"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8.0 ± 3.5</w:t>
            </w:r>
          </w:p>
        </w:tc>
        <w:tc>
          <w:tcPr>
            <w:tcW w:w="1852"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9.2 ± 1.9</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0.32</w:t>
            </w:r>
          </w:p>
        </w:tc>
      </w:tr>
      <w:tr w:rsidR="00AE258C">
        <w:tc>
          <w:tcPr>
            <w:tcW w:w="2788"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NPC (cm), Mean ± SD</w:t>
            </w:r>
          </w:p>
        </w:tc>
        <w:tc>
          <w:tcPr>
            <w:tcW w:w="1367"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9.2 ± 2.1</w:t>
            </w:r>
          </w:p>
        </w:tc>
        <w:tc>
          <w:tcPr>
            <w:tcW w:w="1876"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9.8 ± 2.1</w:t>
            </w:r>
          </w:p>
        </w:tc>
        <w:tc>
          <w:tcPr>
            <w:tcW w:w="1852"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7.6 ± 1.1</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0.003</w:t>
            </w:r>
          </w:p>
        </w:tc>
      </w:tr>
      <w:tr w:rsidR="00AE258C">
        <w:tc>
          <w:tcPr>
            <w:tcW w:w="2788"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NPA (cm), Mean ± SD</w:t>
            </w:r>
          </w:p>
        </w:tc>
        <w:tc>
          <w:tcPr>
            <w:tcW w:w="1367"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9.7 ± 2.3</w:t>
            </w:r>
          </w:p>
        </w:tc>
        <w:tc>
          <w:tcPr>
            <w:tcW w:w="1876"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10.3 ± 2.3</w:t>
            </w:r>
          </w:p>
        </w:tc>
        <w:tc>
          <w:tcPr>
            <w:tcW w:w="1852"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8.2 ± 1.3</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0.02</w:t>
            </w:r>
          </w:p>
        </w:tc>
      </w:tr>
    </w:tbl>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This table compares clinical measures across phoria types, with significant differences in NPC (p=0.003) and NPA (p=0.02), reflecting the impact of esophoria on convergence and accommodation functions. PD stands for Prism </w:t>
      </w:r>
      <w:proofErr w:type="spellStart"/>
      <w:r>
        <w:rPr>
          <w:rFonts w:ascii="Times New Roman" w:eastAsia="Times New Roman" w:hAnsi="Times New Roman" w:cs="Times New Roman"/>
        </w:rPr>
        <w:t>Diopters</w:t>
      </w:r>
      <w:proofErr w:type="spellEnd"/>
      <w:r>
        <w:rPr>
          <w:rFonts w:ascii="Times New Roman" w:eastAsia="Times New Roman" w:hAnsi="Times New Roman" w:cs="Times New Roman"/>
        </w:rPr>
        <w:t>, NPC for Near Point of Convergence, and NPA for Near Point of Accommodation.</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Correlation analyses revealed several significant relationships. Screen time demonstrated a positive correlation with the magnitude of near phoria (r=0.32, p=0.04), indicating that longer screen use was associated with a larger </w:t>
      </w:r>
      <w:proofErr w:type="spellStart"/>
      <w:r>
        <w:rPr>
          <w:rFonts w:ascii="Times New Roman" w:eastAsia="Times New Roman" w:hAnsi="Times New Roman" w:cs="Times New Roman"/>
        </w:rPr>
        <w:t>phoric</w:t>
      </w:r>
      <w:proofErr w:type="spellEnd"/>
      <w:r>
        <w:rPr>
          <w:rFonts w:ascii="Times New Roman" w:eastAsia="Times New Roman" w:hAnsi="Times New Roman" w:cs="Times New Roman"/>
        </w:rPr>
        <w:t xml:space="preserve"> deviation, potentially reflecting increased accommodative stress over time. A significant negative correlation was found between screen time and NPC (r=-0.41, p=0.008), suggesting that increased screen time is associated with reduced convergence ability, a critical factor in maintaining binocular vision stability. A very strong positive correlation was observed between NPC and NPA (r=0.67, p&lt;0.001), highlighting the interdependence of these visual functions and their joint susceptibility to near-work demands.</w:t>
      </w:r>
    </w:p>
    <w:p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Table 4: Correlation analysis of screen time, near PD, and NPC</w:t>
      </w:r>
    </w:p>
    <w:tbl>
      <w:tblPr>
        <w:tblStyle w:val="a2"/>
        <w:tblW w:w="60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47"/>
        <w:gridCol w:w="2693"/>
        <w:gridCol w:w="913"/>
      </w:tblGrid>
      <w:tr w:rsidR="00AE258C">
        <w:tc>
          <w:tcPr>
            <w:tcW w:w="2447"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Variables</w:t>
            </w:r>
          </w:p>
        </w:tc>
        <w:tc>
          <w:tcPr>
            <w:tcW w:w="2693"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Correlation Coefficient (r)</w:t>
            </w:r>
          </w:p>
        </w:tc>
        <w:tc>
          <w:tcPr>
            <w:tcW w:w="913"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p-value</w:t>
            </w:r>
          </w:p>
        </w:tc>
      </w:tr>
      <w:tr w:rsidR="00AE258C">
        <w:tc>
          <w:tcPr>
            <w:tcW w:w="2447"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Screen Time vs. Near PD</w:t>
            </w:r>
          </w:p>
        </w:tc>
        <w:tc>
          <w:tcPr>
            <w:tcW w:w="269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0.32</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0.04</w:t>
            </w:r>
          </w:p>
        </w:tc>
      </w:tr>
      <w:tr w:rsidR="00AE258C">
        <w:tc>
          <w:tcPr>
            <w:tcW w:w="2447"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Screen Time vs. NPC</w:t>
            </w:r>
          </w:p>
        </w:tc>
        <w:tc>
          <w:tcPr>
            <w:tcW w:w="269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-0.41</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0.008</w:t>
            </w:r>
          </w:p>
        </w:tc>
      </w:tr>
      <w:tr w:rsidR="00AE258C">
        <w:tc>
          <w:tcPr>
            <w:tcW w:w="2447"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NPC vs. NPA</w:t>
            </w:r>
          </w:p>
        </w:tc>
        <w:tc>
          <w:tcPr>
            <w:tcW w:w="269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0.67</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&lt;0.001</w:t>
            </w:r>
          </w:p>
        </w:tc>
      </w:tr>
    </w:tbl>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This table shows the correlation coefficients, with significant relationships between screen time and both near PD (p=0.04) and NPC (p=0.008), emphasizing the impact of screen exposure on visual function.</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The distribution of refractive errors differed significantly between phoria types. Myopia was more prevalent in the esophoria group (70.0%) compared to the exophoria group (33.3%, p=0.04), suggesting a potential link between myopic refractive error and inward eye deviation that may strain accommodative mechanisms. Conversely, astigmatism was more frequent in the exophoria group (66.7%) than in the esophoria group (30.0%, p=0.04), indicating a possible association with outward deviation potentially due to visual blur from uncorrected astigmatism. Hypermetropia was not </w:t>
      </w:r>
      <w:r>
        <w:rPr>
          <w:rFonts w:ascii="Times New Roman" w:eastAsia="Times New Roman" w:hAnsi="Times New Roman" w:cs="Times New Roman"/>
        </w:rPr>
        <w:lastRenderedPageBreak/>
        <w:t>detected in any participant, reinforcing the focus on myopia and astigmatism as relevant factors in this cohort.</w:t>
      </w:r>
    </w:p>
    <w:p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Table 5: Refractive errors by phoria type</w:t>
      </w:r>
    </w:p>
    <w:tbl>
      <w:tblPr>
        <w:tblStyle w:val="a3"/>
        <w:tblW w:w="67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2"/>
        <w:gridCol w:w="1876"/>
        <w:gridCol w:w="1852"/>
        <w:gridCol w:w="913"/>
      </w:tblGrid>
      <w:tr w:rsidR="00AE258C">
        <w:tc>
          <w:tcPr>
            <w:tcW w:w="2153"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Refractive Error</w:t>
            </w:r>
          </w:p>
        </w:tc>
        <w:tc>
          <w:tcPr>
            <w:tcW w:w="1876"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Exophoria (n=30)</w:t>
            </w:r>
          </w:p>
        </w:tc>
        <w:tc>
          <w:tcPr>
            <w:tcW w:w="1852"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Esophoria (n=10)</w:t>
            </w:r>
          </w:p>
        </w:tc>
        <w:tc>
          <w:tcPr>
            <w:tcW w:w="913"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p-value</w:t>
            </w:r>
          </w:p>
        </w:tc>
      </w:tr>
      <w:tr w:rsidR="00AE258C">
        <w:tc>
          <w:tcPr>
            <w:tcW w:w="215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Myopia, n (%)</w:t>
            </w:r>
          </w:p>
        </w:tc>
        <w:tc>
          <w:tcPr>
            <w:tcW w:w="1876"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10 (33.3)</w:t>
            </w:r>
          </w:p>
        </w:tc>
        <w:tc>
          <w:tcPr>
            <w:tcW w:w="1852"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7 (70.0)</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0.04</w:t>
            </w:r>
          </w:p>
        </w:tc>
      </w:tr>
      <w:tr w:rsidR="00AE258C">
        <w:tc>
          <w:tcPr>
            <w:tcW w:w="215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Astigmatism, n (%)</w:t>
            </w:r>
          </w:p>
        </w:tc>
        <w:tc>
          <w:tcPr>
            <w:tcW w:w="1876"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20 (66.7)</w:t>
            </w:r>
          </w:p>
        </w:tc>
        <w:tc>
          <w:tcPr>
            <w:tcW w:w="1852"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 (30.0)</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0.04</w:t>
            </w:r>
          </w:p>
        </w:tc>
      </w:tr>
      <w:tr w:rsidR="00AE258C">
        <w:tc>
          <w:tcPr>
            <w:tcW w:w="215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Hypermetropia, n (%)</w:t>
            </w:r>
          </w:p>
        </w:tc>
        <w:tc>
          <w:tcPr>
            <w:tcW w:w="1876"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 (0)</w:t>
            </w:r>
          </w:p>
        </w:tc>
        <w:tc>
          <w:tcPr>
            <w:tcW w:w="1852"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 (0)</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w:t>
            </w:r>
          </w:p>
        </w:tc>
      </w:tr>
    </w:tbl>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This table shows the distribution of refractive errors by phoria type, with significant differences for both myopia and astigmatism (p=0.04), highlighting their association with specific phoria types. </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A linear regression model was constructed to predict the magnitude of near phoria. The results indicated that screen time was a significant predictor, with each additional hour of daily screen time increasing near phoria by 0.5 prism </w:t>
      </w:r>
      <w:proofErr w:type="spellStart"/>
      <w:r>
        <w:rPr>
          <w:rFonts w:ascii="Times New Roman" w:eastAsia="Times New Roman" w:hAnsi="Times New Roman" w:cs="Times New Roman"/>
        </w:rPr>
        <w:t>diopters</w:t>
      </w:r>
      <w:proofErr w:type="spellEnd"/>
      <w:r>
        <w:rPr>
          <w:rFonts w:ascii="Times New Roman" w:eastAsia="Times New Roman" w:hAnsi="Times New Roman" w:cs="Times New Roman"/>
        </w:rPr>
        <w:t xml:space="preserve"> (β=0.5, 95% CI: 0.1–0.9, p=0.01). This finding highlights the cumulative effect of prolonged screen exposure on phoria magnitude, likely due to sustained accommodative effort. Age, however, was not a significant predictor in this model (β=0.3, 95% CI: -0.1–0.7, p=0.12), suggesting that screen exposure duration has a more direct impact on phoria magnitude than age-related factors within this age range.</w:t>
      </w:r>
    </w:p>
    <w:p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Table 6: Regression analysis for near PD</w:t>
      </w:r>
    </w:p>
    <w:tbl>
      <w:tblPr>
        <w:tblStyle w:val="a4"/>
        <w:tblW w:w="45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23"/>
        <w:gridCol w:w="2293"/>
        <w:gridCol w:w="913"/>
      </w:tblGrid>
      <w:tr w:rsidR="00AE258C">
        <w:tc>
          <w:tcPr>
            <w:tcW w:w="1323"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Predictor</w:t>
            </w:r>
          </w:p>
        </w:tc>
        <w:tc>
          <w:tcPr>
            <w:tcW w:w="2293"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β coefficient (95% CI)</w:t>
            </w:r>
          </w:p>
        </w:tc>
        <w:tc>
          <w:tcPr>
            <w:tcW w:w="913" w:type="dxa"/>
          </w:tcPr>
          <w:p w:rsidR="00AE258C" w:rsidRDefault="007662E5">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p-value</w:t>
            </w:r>
          </w:p>
        </w:tc>
      </w:tr>
      <w:tr w:rsidR="00AE258C">
        <w:tc>
          <w:tcPr>
            <w:tcW w:w="132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Screen Time</w:t>
            </w:r>
          </w:p>
        </w:tc>
        <w:tc>
          <w:tcPr>
            <w:tcW w:w="229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0.5 (0.1 - 0.9)</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0.01</w:t>
            </w:r>
          </w:p>
        </w:tc>
      </w:tr>
      <w:tr w:rsidR="00AE258C">
        <w:tc>
          <w:tcPr>
            <w:tcW w:w="132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Age</w:t>
            </w:r>
          </w:p>
        </w:tc>
        <w:tc>
          <w:tcPr>
            <w:tcW w:w="229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0.3 (-0.1 - 0.7)</w:t>
            </w:r>
          </w:p>
        </w:tc>
        <w:tc>
          <w:tcPr>
            <w:tcW w:w="913" w:type="dxa"/>
          </w:tcPr>
          <w:p w:rsidR="00AE258C" w:rsidRDefault="007662E5">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0.12</w:t>
            </w:r>
          </w:p>
        </w:tc>
      </w:tr>
    </w:tbl>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This table shows the predictors of near PD, with screen time being statistically significant (p=0.01), indicating its role in influencing phoria magnitude.</w:t>
      </w:r>
    </w:p>
    <w:p w:rsidR="00AE258C" w:rsidRDefault="00AE258C">
      <w:pPr>
        <w:jc w:val="both"/>
        <w:rPr>
          <w:rFonts w:ascii="Times New Roman" w:eastAsia="Times New Roman" w:hAnsi="Times New Roman" w:cs="Times New Roman"/>
        </w:rPr>
      </w:pPr>
    </w:p>
    <w:p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Discussion</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This study demonstrates a clear association between excessive screen time and binocular vision anomalies, particularly heterophoria, in a young population. The negative correlation between screen time and NPC suggests that prolonged near work on digital devices impairs convergence ability, likely due to sustained demand on the accommodative-convergence system, leading to fatigue and decompensation of fusional vergence reserves. The positive correlation with near phoria further supports the notion that extended screen exposure exacerbates latent eye deviations.</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The association of esophoria with shorter NPC may indicate convergence excess, potentially as a response to excessive accommodative demand. This contrasts with convergence insufficiency often seen in exophoria, where outward deviation may result from reduced fusional reserves. The increased prevalence of myopia in esophoria and astigmatism in exophoria suggests different mechanistic pathways. Myopia may predispose to esophoria due to a high accommodative convergence to accommodation (AC/A) ratio, placing additional strain on the visual system. In contrast, astigmatism may lead to exophoria via accommodation relaxation, as uncorrected astigmatic blur reduces the drive for convergence.</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lastRenderedPageBreak/>
        <w:t>The predominance of females in esophoria aligns with studies suggesting a higher prevalence of convergence excess in young women, possibly due to hormonal influences or differences in visual processing. The significant gender effect (OR=3.1) underscores the need to consider sex-specific factors in future research.</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Limitations include the retrospective design, small sample size (especially esophoria, n=10), and self-reported screen time subject to recall bias. The absence of a control group limits causal inference, and the lack of longitudinal data prevents assessment of progression. Future prospective studies with larger cohorts, objective screen time metrics, and a control group are recommended to validate these findings and explore causal relationships.</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DES is an emerging public health concern, driven by increasing dependence on digital screens. It was deduced in a study that the prevalence of digital eye strain was 94.3% and eye strain was the most common digital eye strain symptom (62.6%), followed by tiredness of eyes</w:t>
      </w:r>
      <w:r w:rsidR="001A62DA">
        <w:rPr>
          <w:rFonts w:ascii="Times New Roman" w:eastAsia="Times New Roman" w:hAnsi="Times New Roman" w:cs="Times New Roman"/>
        </w:rPr>
        <w:t xml:space="preserve"> (50.29%)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{"citationID":"5d4OEykb","properties":{"formattedCitation":"(Basnet et al., 2022)","plainCitation":"(Basnet et al., 2022)","noteIndex":0},"citationItems":[{"id":"1DR6qMVm/q6Ii3Q56","uris":["http://zotero.org/users/local/6mH0t5Ye/items/NDAQJ493"],"itemData":{"id":68,"type":"article-journal","abstract":"Introduction: The Novel Coronavirus disease 2019 pandemic has sent humanity indoors, replacing human contact with an electronic connection. The mandatory online classes and work from home policy to maintain the social distancing during the pandemic has forced the individual to spend most of the time in front of laptops or mobile screens. Digital eye strain is a group of vision-related symptoms that result from the continuous use of devices with digital displays, such as computers, tablets, and smartphones. The present study is done to find out the prevalence of digital eye strain among the adult population in a tertiary care hospital in the era of the COVID-19 pandemic.\nMethods: This descriptive cross-sectional study was done from 16th January 2021 to 31st July 2021 in a tertiary care hospital of Nepal after receiving ethical approval from the Institutional Review Committee (Registration number: 077/78/30). Convenience sampling was done. The sample size calculated in our study was 322. Data collection and entry were done in Microsoft Excel, point estimate at 95% Confidence Interval was calculated along with frequency and proportion for binary data.\nResults: The prevalence of digital eye strain was 300 (94.3%) (91.8-96.8 at 95% Confidence Interval) among 318 respondents. Eye strain (irritation, heaviness) was the most common digital eye strain symptom 199 (62.6%) followed by the tiredness of eyes 162 (50.9%).\nConclusions: The present study concluded that the prevalence of digital eye strain in the era of COVID-19 is high as compared to other studies conducted among adults.","container-title":"Journal of Nepal Medical Association","DOI":"10.31729/jnma.7092","ISSN":"1815-672X, 0028-2715","issue":"245","journalAbbreviation":"J Nepal Med Assoc","language":"en","license":"http://creativecommons.org/licenses/by/4.0","source":"DOI.org (Crossref)","title":"Digital Eye Strain among Adults Presenting to Tertiary Care Hospital in the Era of COVID-19 Pandemic: A Descriptive Cross-sectional Study","title-short":"Digital Eye Strain among Adults Presenting to Tertiary Care Hospital in the Era of COVID-19 Pandemic","URL":"https://www.jnma.com.np/jnma/index.php/jnma/article/view/7092","volume":"60","author":[{"family":"Basnet","given":"Anjila"},{"family":"Bickram Pathak","given":"Samyam"},{"family":"Marasini","given":"Anurag"},{"family":"Pandit","given":"Rohit"},{"family":"Pradhan","given":"Amita"}],"accessed":{"date-parts":[["2025",4,30]]},"issued":{"date-parts":[["2022",1,23]]}}}],"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(Basnet et al., 2022)</w:t>
      </w:r>
      <w:r w:rsidR="00FF6408">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 xml:space="preserve"> In a study conducted at King Khalid University, it was deduced that among the various symptoms of DES, asthenopia had the highest prevalence at 30.5%, followed by conjunctivitis at 9.4%, squint 3.9%, glaucoma 1.6%, and cataract had </w:t>
      </w:r>
      <w:r w:rsidR="001A62DA">
        <w:rPr>
          <w:rFonts w:ascii="Times New Roman" w:eastAsia="Times New Roman" w:hAnsi="Times New Roman" w:cs="Times New Roman"/>
        </w:rPr>
        <w:t xml:space="preserve">lowest prevalence rate of 1.6%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{"citationID":"unlvdCZl","properties":{"formattedCitation":"(Alamri et al., 2023)","plainCitation":"(Alamri et al., 2023)","noteIndex":0},"citationItems":[{"id":"1DR6qMVm/P8r9x59V","uris":["http://zotero.org/users/local/6mH0t5Ye/items/288FRW52"],"itemData":{"id":52,"type":"article-journal","abstract":"Background Digital eye strain has become a serious concern due to the exponential increase in the usage of digital devices in recent years. This study aimed to assess the prevalence of digital eye strain among medical students.\nMethods A cross-sectional study was conducted over a period of one month, from 15th June to 15th July 2023, among undergraduate medical students at King Khalid University, Aseer Region, Saudi Arabia. An online survey was carried out using a structured questionnaire that was circulated through social media platforms (Facebook, Messenger, Instagram, Telegram, and WhatsApp).\nResults A total of 300 students were enrolled in this study. The prevalence of ocular problems, in descending order, was as follows: asthenopia had the highest prevalence at 30.5% (94), followed by conjunctivitis at 9.4% (29); squint, glaucoma, and cataract had lower prevalence rates of 3.9% (12), 1.6% (5), and 1.6% (5), respectively. The majority of participants used digital devices for fun (92.9% (286)) and study (95.5% (294)). Significant positive correlations were found between asthenopia and the hours spent on digital devices for studying (r = 0.161, p = 0.005), communication (r = 0.146, p = 0.011), and entertainment (r = 0.206, p &lt; 0.001).\nConclusions A substantial number of medical students are experiencing asthenopia. Prolonged usage of these devices is linked to a higher prevalence of asthenopia.","container-title":"Cureus","DOI":"10.7759/cureus.45621","ISSN":"2168-8184","language":"en","source":"DOI.org (Crossref)","title":"Association Between Digital Device Utilization and Asthenopia Among Medical Students at King Khalid University","URL":"https://www.cureus.com/articles/185959-association-between-digital-device-utilization-and-asthenopia-among-medical-students-at-king-khalid-university","author":[{"family":"Alamri","given":"Abdulrahman"},{"family":"Alamri","given":"Manar  M"},{"family":"Rashid","given":"Fatimah  A"},{"family":"Alawashiz","given":"Amal S"},{"family":"Alqahtani","given":"Fatimah H"},{"family":"Alyami","given":"Alhanoof A"},{"family":"Almathami","given":"Lena A"},{"family":"Alwabel","given":"Razan A"},{"family":"Alqarni","given":"Elham M"},{"family":"Alqahtani","given":"Albatool M"},{"family":"Almoghamer","given":"Hanan"},{"family":"Alahmari","given":"Abeer A"}],"accessed":{"date-parts":[["2025",4,30]]},"issued":{"date-parts":[["2023",9,20]]}}}],"schema":"https://github.com/citation-style-language/schema/raw/master/csl-citation.json"}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(Alamri et al., 2023)</w:t>
      </w:r>
      <w:r w:rsidR="00FF6408">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sidR="000D01B9">
        <w:rPr>
          <w:rFonts w:ascii="Times New Roman" w:eastAsia="Times New Roman" w:hAnsi="Times New Roman" w:cs="Times New Roman"/>
        </w:rPr>
        <w:t xml:space="preserve">It was also found in a study that that use of digital screens and smartphones can also potentially increase the risk of myopia among children </w:t>
      </w:r>
      <w:r w:rsidR="00FF6408" w:rsidRPr="00413C68">
        <w:rPr>
          <w:rFonts w:ascii="Times New Roman" w:eastAsia="Times New Roman" w:hAnsi="Times New Roman" w:cs="Times New Roman"/>
          <w:highlight w:val="yellow"/>
        </w:rPr>
        <w:fldChar w:fldCharType="begin"/>
      </w:r>
      <w:r w:rsidR="00413C68">
        <w:rPr>
          <w:rFonts w:ascii="Times New Roman" w:eastAsia="Times New Roman" w:hAnsi="Times New Roman" w:cs="Times New Roman"/>
          <w:highlight w:val="yellow"/>
        </w:rPr>
        <w:instrText xml:space="preserve"> ADDIN ZOTERO_ITEM CSL_CITATION {"citationID":"trbkwW97","properties":{"formattedCitation":"(Lanca &amp; Saw, 2020)","plainCitation":"(Lanca &amp; Saw, 2020)","noteIndex":0},"citationItems":[{"id":"1DR6qMVm/EaeGZdMI","uris":["http://zotero.org/users/local/6mH0t5Ye/items/Z2DPPJFD"],"itemData":{"id":254,"type":"article-journal","abstract":"Purpose: Digital screen time has been cited as a potential modiﬁable environmental risk factor that can increase myopia risk. However, associations between screen time and myopia have not been consistently reported. Although myopia prevalence increased before the massive use of digital devices in some countries, with the rise being inﬂuenced by education, there may be an added recent effect of screen time. The aim of this systematic review is to determine the association between screen time and the risk of developing (1) prevalent or incident myopia, or (2) the risk of myopia progression in children. Published manuscripts were identiﬁed in PubMed, ScienceDirect and the Cochrane Library, and citation lists were reviewed.","container-title":"Ophthalmic and Physiological Optics","DOI":"10.1111/opo.12657","ISSN":"0275-5408, 1475-1313","issue":"2","journalAbbreviation":"Ophthalmic Physiologic Optic","language":"en","page":"216-229","source":"DOI.org (Crossref)","title":"The association between digital screen time and myopia: A systematic review","title-short":"The association between digital screen time and myopia","volume":"40","author":[{"family":"Lanca","given":"Carla"},{"family":"Saw","given":"Seang‐Mei"}],"issued":{"date-parts":[["2020",3]]}}}],"schema":"https://github.com/citation-style-language/schema/raw/master/csl-citation.json"} </w:instrText>
      </w:r>
      <w:r w:rsidR="00FF6408" w:rsidRPr="00413C68">
        <w:rPr>
          <w:rFonts w:ascii="Times New Roman" w:eastAsia="Times New Roman" w:hAnsi="Times New Roman" w:cs="Times New Roman"/>
          <w:highlight w:val="yellow"/>
        </w:rPr>
        <w:fldChar w:fldCharType="separate"/>
      </w:r>
      <w:r w:rsidR="00413C68" w:rsidRPr="00413C68">
        <w:rPr>
          <w:rFonts w:ascii="Times New Roman" w:hAnsi="Times New Roman" w:cs="Times New Roman"/>
          <w:highlight w:val="yellow"/>
        </w:rPr>
        <w:t>(Lanca &amp; Saw, 2020)</w:t>
      </w:r>
      <w:r w:rsidR="00FF6408" w:rsidRPr="00413C68">
        <w:rPr>
          <w:rFonts w:ascii="Times New Roman" w:eastAsia="Times New Roman" w:hAnsi="Times New Roman" w:cs="Times New Roman"/>
          <w:highlight w:val="yellow"/>
        </w:rPr>
        <w:fldChar w:fldCharType="end"/>
      </w:r>
      <w:r w:rsidR="000D01B9" w:rsidRPr="00413C68">
        <w:rPr>
          <w:rFonts w:ascii="Times New Roman" w:eastAsia="Times New Roman" w:hAnsi="Times New Roman" w:cs="Times New Roman"/>
          <w:highlight w:val="yellow"/>
        </w:rPr>
        <w:t>.</w:t>
      </w:r>
    </w:p>
    <w:p w:rsidR="00AE258C" w:rsidRPr="001A62DA" w:rsidRDefault="00AE258C">
      <w:pPr>
        <w:jc w:val="both"/>
        <w:rPr>
          <w:rFonts w:ascii="Times New Roman" w:eastAsia="Times New Roman" w:hAnsi="Times New Roman" w:cs="Times New Roman"/>
          <w:b/>
          <w:bCs/>
        </w:rPr>
      </w:pPr>
    </w:p>
    <w:p w:rsidR="00AE258C" w:rsidRPr="001A62DA" w:rsidRDefault="007662E5">
      <w:pPr>
        <w:jc w:val="both"/>
        <w:rPr>
          <w:rFonts w:ascii="Times New Roman" w:eastAsia="Times New Roman" w:hAnsi="Times New Roman" w:cs="Times New Roman"/>
          <w:b/>
          <w:bCs/>
        </w:rPr>
      </w:pPr>
      <w:r w:rsidRPr="001A62DA">
        <w:rPr>
          <w:rFonts w:ascii="Times New Roman" w:eastAsia="Times New Roman" w:hAnsi="Times New Roman" w:cs="Times New Roman"/>
          <w:b/>
          <w:bCs/>
        </w:rPr>
        <w:t>Preventive measures</w:t>
      </w:r>
    </w:p>
    <w:p w:rsidR="00A27655" w:rsidRDefault="007662E5" w:rsidP="00120B65">
      <w:pPr>
        <w:jc w:val="both"/>
        <w:rPr>
          <w:rFonts w:ascii="Times New Roman" w:eastAsia="Times New Roman" w:hAnsi="Times New Roman" w:cs="Times New Roman"/>
        </w:rPr>
      </w:pPr>
      <w:r>
        <w:rPr>
          <w:rFonts w:ascii="Times New Roman" w:eastAsia="Times New Roman" w:hAnsi="Times New Roman" w:cs="Times New Roman"/>
        </w:rPr>
        <w:t>DES symptoms are broadly categorized as external (dry eye–related) and internal (linked to ametropia, accommodation, or vergence problems)</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{"citationID":"LEEU4eZd","properties":{"formattedCitation":"(Sheppard &amp; Wolffsohn, 2018)","plainCitation":"(Sheppard &amp; Wolffsohn, 2018)","noteIndex":0},"citationItems":[{"id":"1DR6qMVm/cy6g0O91","uris":["http://zotero.org/users/local/6mH0t5Ye/items/BV3P4A7V"],"itemData":{"id":46,"type":"article-journal","abstract":"Digital device usage has increased substantially in recent years across all age groups, so that extensive daily use for both social and professional purposes is now normal. Digital eye strain (DES), also known as computer vision syndrome, encompasses a range of ocular and visual symptoms, and estimates suggest its prevalence may be 50% or more among computer users. Symptoms fall into two main categories: those linked to accommodative or binocular vision stress, and external symptoms linked to dry eye. Although symptoms are typically transient, they may be frequent and persistent, and have an economic impact when vocational computer users are affected. DES may be identified and measured using one of several available questionnaires, or objective evaluations of parameters such as critical flicker–fusion frequency, blink rate and completeness, accommodative function and pupil characteristics may be used to provide indices of visual fatigue. Correlations between objective and subjective measures are not always apparent. A range of management approaches exist for DES including correction of refractive error and/or presbyopia, management of dry eye, incorporating regular screen breaks and consideration of vergence and accommodative problems. Recently, several authors have explored the putative role of blue light-filtering spectacle lenses on treating DES, with mixed results. Given the high prevalence of DES and nearuniversal use of digital devices, it is essential that eye care practitioners are able to provide advice and management options based on quality research evidence.","container-title":"BMJ Open Ophthalmology","DOI":"10.1136/bmjophth-2018-000146","ISSN":"2397-3269","issue":"1","journalAbbreviation":"BMJ Open Ophth","language":"en","page":"e000146","source":"DOI.org (Crossref)","title":"Digital eye strain: prevalence, measurement and amelioration","title-short":"Digital eye strain","volume":"3","author":[{"family":"Sheppard","given":"Amy L"},{"family":"Wolffsohn","given":"James S"}],"issued":{"date-parts":[["2018",4]]}}}],"schema":"https://github.com/citation-style-language/schema/raw/master/csl-citation.json"}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(Sheppard &amp;Wolffsohn, 2018)</w:t>
      </w:r>
      <w:r w:rsidR="00FF6408">
        <w:rPr>
          <w:rFonts w:ascii="Times New Roman" w:eastAsia="Times New Roman" w:hAnsi="Times New Roman" w:cs="Times New Roman"/>
        </w:rPr>
        <w:fldChar w:fldCharType="end"/>
      </w:r>
      <w:r w:rsidR="001A62DA">
        <w:rPr>
          <w:rFonts w:ascii="Times New Roman" w:eastAsia="Times New Roman" w:hAnsi="Times New Roman" w:cs="Times New Roman"/>
        </w:rPr>
        <w:t xml:space="preserve">. </w:t>
      </w:r>
      <w:r>
        <w:rPr>
          <w:rFonts w:ascii="Times New Roman" w:eastAsia="Times New Roman" w:hAnsi="Times New Roman" w:cs="Times New Roman"/>
        </w:rPr>
        <w:t xml:space="preserve"> Prolonged near work on digital devices disrupts natural focusing mechanisms, contributing to muscle imbalance and strabismus.Accommodation and vergence are normally balanced, but their disruption can cause fatigue, eye strain, vergence–accommodation disparity, impaired fusion, and phoria development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{"citationID":"dz7EWc4k","properties":{"formattedCitation":"(Alvarez, 2015)","plainCitation":"(Alvarez, 2015)","noteIndex":0},"citationItems":[{"id":"1DR6qMVm/li7cSID2","uris":["http://zotero.org/users/local/6mH0t5Ye/items/WQEZDJEZ"],"itemData":{"id":72,"type":"article-journal","abstract":"Purpose: This study examined the relationship between the near dissociated phoria and disparity vergence eye movements. Convergence insufﬁciency (CI) patients before vergence therapy were compared to: (1) the same patients after vergence therapy; and (2) binocularly normal controls (BNC).\nMethods: Sixteen subjects were studied—twelve BNC and four with CI. Measurements from the CI subjects were obtained before and after 18 h of vergence eye movement therapy. The near dissociated phoria was measured using the ﬂashed Maddox rod technique. Vergence responses were stimulated from 4◦ symmetrical disparity vergence step stimuli. The peak velocity of the vergence response and the magnitude of the fusion initiating component (FIC) from an independent component analysis (ICA) were calculated. A linear regression analysis was conducted studying the vergence peak velocity as a function of the near dissociated phoria where the Pearson correlation coefﬁcient was computed.\nResults: Before vergence therapy, the average with one standard deviation FIC magnitude of convergence responses from CI subjects was 0.29◦ ± 0.82 and signiﬁcantly less than the FIC magnitude of 1.85◦ ± 0.84 for BNC (p &lt; 0.02). A paired t-test reported that the FIC and near dissociated phoria before vergence therapy for CI subjects signiﬁcantly increased to 1.49◦ ± 0.57 (p &lt; 0.04) and became less exophoric to 3.51 ± 1.9 exo (p &lt; 0.02) after vergence therapy. A signiﬁcant correlation (r = 0.87; p &lt; 0.01) was observed between the near dissociated phoria and the vergence ratio of convergence peak velocity divided by divergence peak velocity.\nConclusion: The results have clinical translational impact in understanding the mechanism by which vergence therapy may be changing the vergence system leading to a sustained reduction in visual symptoms.","container-title":"Frontiers in Human Neuroscience","DOI":"10.3389/fnhum.2015.00419","ISSN":"1662-5161","journalAbbreviation":"Front. Hum. Neurosci.","language":"en","source":"DOI.org (Crossref)","title":"A pilot study of disparity vergence and near dissociated phoria in convergence insufficiency patients before vs. after vergence therapy","URL":"http://journal.frontiersin.org/Article/10.3389/fnhum.2015.00419/abstract","volume":"9","author":[{"family":"Alvarez","given":"Tara L."}],"accessed":{"date-parts":[["2025",4,30]]},"issued":{"date-parts":[["2015",7,27]]}}}],"schema":"https://github.com/citation-style-language/schema/raw/master/csl-citation.json"}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(Alvarez, 2015)</w:t>
      </w:r>
      <w:r w:rsidR="00FF6408">
        <w:rPr>
          <w:rFonts w:ascii="Times New Roman" w:eastAsia="Times New Roman" w:hAnsi="Times New Roman" w:cs="Times New Roman"/>
        </w:rPr>
        <w:fldChar w:fldCharType="end"/>
      </w:r>
      <w:r>
        <w:rPr>
          <w:rFonts w:ascii="Times New Roman" w:eastAsia="Times New Roman" w:hAnsi="Times New Roman" w:cs="Times New Roman"/>
        </w:rPr>
        <w:t xml:space="preserve">.  Eye strain is associated with accommodative and vergence issues like exophoria, convergence insufficiency, reduced fusional convergence, low accommodative amplitude, and transient myopic shift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{"citationID":"Ov8UrqOm","properties":{"formattedCitation":"(Mylona et al., 2023)","plainCitation":"(Mylona et al., 2023)","noteIndex":0},"citationItems":[{"id":"1DR6qMVm/EqxBnLbQ","uris":["http://zotero.org/users/local/6mH0t5Ye/items/4YMJXEX4"],"itemData":{"id":60,"type":"article-journal","abstract":"Digital Eye Strain (DES) is a clinical syndrome manifested with visual disturbances and/or ophthalmic dysfunction related to the usage of screen-enabled digital equipment. This term is gradually replacing the older term computer vision syndrome (CVS) that focused on the same symptoms found on personal computer users. DES is encountered more frequently during the past years due to the explosive increase in the usage of digital devices and subsequent increase in time in front of any screens. It presents with a series of atypical symptoms and signs stemming from asthenopia, dry eye syndrome, preexisting untreated vision issues and poor screen ergonomics. This review summarizes research data to date to determine whether the concept of DES has been conclusively defined and demarcated as a separate entity and if sufficient guidance is offered on professionals and the lay public. The maturity of the field, grouping of symptoms, examination techniques, treatment and prevention modalities are summarily presented.","container-title":"Clinical Optometry","DOI":"10.2147/OPTO.S389114","ISSN":"1179-2752","journalAbbreviation":"OPTO","language":"en","license":"https://creativecommons.org/licenses/by-nc/3.0/","page":"29-36","source":"DOI.org (Crossref)","title":"Spotlight on Digital Eye Strain","volume":"Volume 15","author":[{"family":"Mylona","given":"Ioanna"},{"family":"Glynatsis","given":"Mikes N"},{"family":"Floros","given":"Georgios D"},{"family":"Kandarakis","given":"Stylianos"}],"issued":{"date-parts":[["2023",2]]}}}],"schema":"https://github.com/citation-style-language/schema/raw/master/csl-citation.json"}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(Mylona et al., 2023)</w:t>
      </w:r>
      <w:r w:rsidR="00FF6408">
        <w:rPr>
          <w:rFonts w:ascii="Times New Roman" w:eastAsia="Times New Roman" w:hAnsi="Times New Roman" w:cs="Times New Roman"/>
        </w:rPr>
        <w:fldChar w:fldCharType="end"/>
      </w:r>
      <w:r>
        <w:rPr>
          <w:rFonts w:ascii="Times New Roman" w:eastAsia="Times New Roman" w:hAnsi="Times New Roman" w:cs="Times New Roman"/>
        </w:rPr>
        <w:t xml:space="preserve">. Preventive strategies include the 20-20-20 rule—looking 20 feet away for 20 seconds every 20 minutes of screen time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{"citationID":"llgtGCdg","properties":{"formattedCitation":"(Datta et al., 2023)","plainCitation":"(Datta et al., 2023)","noteIndex":0},"citationItems":[{"id":"1DR6qMVm/D3u7hoGM","uris":["http://zotero.org/users/local/6mH0t5Ye/items/AD4DV5I7"],"itemData":{"id":55,"type":"article-journal","abstract":"Purpose:\n              The present work style and lifestyle have increased the digital device use. Therefore, an increase in digital eyestrain is to be expected. We undertook a survey during coronavirus disease 2019 (COVID-19) pandemic to investigate the practice of 20/20/20 rule and its association with digital device use and asthenopic symptoms. While this rule is commonly advised, little is known about its validity.\n            \n            \n              Methods:\n              An online survey form was disseminated through social media and emails. The questions for eye-related symptoms were similar to the convergence insufficiency symptom survey (CISS). Participants with age ≥5 years were included, with parents completing the survey for children (≤16 years).\n            \n            \n              Results:\n              \n                A total of 432 participants (mean ± standard deviation [SD]: 26.06 ± 13.92 years) were enrolled, of which 125 responses were for children. The 20/20/20 rule was practiced only by 34% of the participants either regularly (\n                n\n                = 38) or occasionally (\n                n\n                = 109). Those who had complaints of burning sensation and headache tended to practice this rule. Among adult participants, more females (47%) practiced this rule when compared to males (23%). Also, adult females significantly (\n                P\n                = 0.04) had more symptoms score when compared to males. In children, no such gender difference was found.\n              \n            \n            \n              Conclusion:\n              Only one-third of participants practice the 20/20/20 rule at least occasionally. More number of adult females being symptomatic and practicing in greater number could be due to higher prevalence of dry eye condition in females. While the symptom of burning sensation could be related to dry eye, that of headache could be related to refractive error or binocular vision dysfunctions.","container-title":"Indian Journal of Ophthalmology","DOI":"10.4103/ijo.IJO_2056_22","ISSN":"0301-4738, 1998-3689","issue":"5","language":"en","page":"2071-2075","source":"DOI.org (Crossref)","title":"The 20/20/20 rule: Practicing pattern and associations with asthenopic symptoms","title-short":"The 20/20/20 rule","volume":"71","author":[{"family":"Datta","given":"Sourav"},{"family":"Sehgal","given":"Shivalika"},{"family":"Bhattacharya","given":"Bidisha"},{"family":"Satgunam","given":"Prem Nandhini"}],"issued":{"date-parts":[["2023",5]]}}}],"schema":"https://github.com/citation-style-language/schema/raw/master/csl-citation.json"}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(Datta et al., 2023)</w:t>
      </w:r>
      <w:r w:rsidR="00FF6408">
        <w:rPr>
          <w:rFonts w:ascii="Times New Roman" w:eastAsia="Times New Roman" w:hAnsi="Times New Roman" w:cs="Times New Roman"/>
        </w:rPr>
        <w:fldChar w:fldCharType="end"/>
      </w:r>
      <w:r>
        <w:rPr>
          <w:rFonts w:ascii="Times New Roman" w:eastAsia="Times New Roman" w:hAnsi="Times New Roman" w:cs="Times New Roman"/>
        </w:rPr>
        <w:t xml:space="preserve">, and regular outdoor activity, which reduces myopia risk through natural light exposure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{"citationID":"VJHAEPff","properties":{"formattedCitation":"(Zhang &amp; Deng, 2020)","plainCitation":"(Zhang &amp; Deng, 2020)","noteIndex":0},"citationItems":[{"id":"1DR6qMVm/7Q2cv6Sv","uris":["http://zotero.org/users/local/6mH0t5Ye/items/58WIF3XM"],"itemData":{"id":43,"type":"article-journal","abstract":"Myopia has become a major cause for concern globally, particularly in East Asian countries. The increasing prevalence of myopia has been associated with a high socioeconomic burden owing to severe ocular complications that may occur with progressive myopia. There is an urgent need to identify effective and safe measures to address the growing number of people with myopia in the general population. Among the numerous strategies implemented to slow the progression of myopia, longer time spent outdoors has come to be recognized as a protective factor against this disorder. Although our understanding of the protective effects of outdoor time has increased in the past decade, considerably more research is needed to understand the mechanisms of action. Here, we summarize the main potential factors associated with the protective effects against myopia of increased outdoor time, namely, exposure to elevated levels and shorter wavelengths of light, and increased dopamine and vitamin D levels. In this review, we aimed to identify safe and effective therapeutic interventions to prevent myopia-related complications and vision loss.","container-title":"Journal of International Medical Research","DOI":"10.1177/0300060519893866","ISSN":"0300-0605, 1473-2300","issue":"3","journalAbbreviation":"J Int Med Res","language":"en","page":"0300060519893866","source":"DOI.org (Crossref)","title":"Protective effects of increased outdoor time against myopia: a review","title-short":"Protective effects of increased outdoor time against myopia","volume":"48","author":[{"family":"Zhang","given":"Jun"},{"family":"Deng","given":"Guohua"}],"issued":{"date-parts":[["2020",3]]}}}],"schema":"https://github.com/citation-style-language/schema/raw/master/csl-citation.json"}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(Zhang &amp; Deng, 2020)</w:t>
      </w:r>
      <w:r w:rsidR="00FF6408">
        <w:rPr>
          <w:rFonts w:ascii="Times New Roman" w:eastAsia="Times New Roman" w:hAnsi="Times New Roman" w:cs="Times New Roman"/>
        </w:rPr>
        <w:fldChar w:fldCharType="end"/>
      </w:r>
      <w:r>
        <w:rPr>
          <w:rFonts w:ascii="Times New Roman" w:eastAsia="Times New Roman" w:hAnsi="Times New Roman" w:cs="Times New Roman"/>
        </w:rPr>
        <w:t xml:space="preserve">. The Government of India also recommends limiting screen exposure: 30 minutes daily for pre-primary, two 45-minute sessions for classes 1–8, and four 45-minute sessions for classes 9–12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{"citationID":"HYlrkpYU","properties":{"formattedCitation":"(Neena et al., 2023)","plainCitation":"(Neena et al., 2023)","noteIndex":0},"citationItems":[{"id":"1DR6qMVm/ggBw1SgW","uris":["http://zotero.org/users/local/6mH0t5Ye/items/UX3TEUC8"],"itemData":{"id":15,"type":"article-journal","abstract":"BACKGROUND: To analyze the impact of online classes on eye health of children and young adults during the COVID‑19 pandemic. MATERIALS AND METHODS: An observational study with a written questionnaire and comprehensive ophthalmic evaluation at a tertiary eye care center in South India, during the COVID‑19 pandemic.\nRESULTS: Of the 496 patients, most were 5–10 years old, attending online classes 1–2 h/day with majority (84.7%) having &lt;4 h of classes. Electronic gadget use after classes was seen in 95.6% participants and 28.6% admitted to using it for more than 2 h/day. Digital eye strain (DES) was seen in 50.8% of patients of which headache or eye ache were the most common symptom (30.8%). Duration of online class was found to be the single most independent factor associated with the development of eye complaints (P = 0.001). Duration of class hours (P = 0.007) and light setting (P = 0.008) was found to be independent determinants of developing DES.\nCONCLUSIONS: Increased screen time, inadequate light setting, and excessive application of near vision can produce undesirable effects including the development of DES, worsening or development of new refractive errors and squint.","container-title":"Oman Journal of Ophthalmology","DOI":"10.4103/ojo.ojo_57_22","ISSN":"0974-620X","issue":"1","language":"en","page":"45-50","source":"DOI.org (Crossref)","title":"Impact of online classes on eye health of children and young adults in the setting of COVID-19 pandemic: A hospital-based survey","title-short":"Impact of online classes on eye health of children and young adults in the setting of COVID-19 pandemic","volume":"16","author":[{"family":"Neena","given":"R."},{"family":"Gayathri","given":"M. S."},{"family":"Prakash","given":"Nimmy"},{"family":"Anantharaman","given":"Giridhar"}],"issued":{"date-parts":[["2023",1]]}}}],"schema":"https://github.com/citation-style-language/schema/raw/master/csl-citation.json"}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(Neena et al., 2023)</w:t>
      </w:r>
      <w:r w:rsidR="00FF6408">
        <w:rPr>
          <w:rFonts w:ascii="Times New Roman" w:eastAsia="Times New Roman" w:hAnsi="Times New Roman" w:cs="Times New Roman"/>
        </w:rPr>
        <w:fldChar w:fldCharType="end"/>
      </w:r>
      <w:r>
        <w:rPr>
          <w:rFonts w:ascii="Times New Roman" w:eastAsia="Times New Roman" w:hAnsi="Times New Roman" w:cs="Times New Roman"/>
        </w:rPr>
        <w:t xml:space="preserve">. Evidence-based management includes refractive error correction, vergence and accommodative therapy, blinking exercises, lubricating drops, comfort-enhanced contact lenses, and monitor filter glasses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{"citationID":"vGzejP3E","properties":{"formattedCitation":"(Coles\\uc0\\u8208{}brennan et al., 2019)","plainCitation":"(Coles‐brennan et al., 2019)","noteIndex":0},"citationItems":[{"id":"1DR6qMVm/5lflhUNz","uris":["http://zotero.org/users/local/6mH0t5Ye/items/GSZT8NLL"],"itemData":{"id":83,"type":"article-journal","abstract":"Submitted: 16 January 2018 Revised: 26 March 2018 Accepted for publication: 20 April 2018 Digital eye strain, an emerging public health issue, is a condition characterised by visual disturbance and/or ocular discomfort related to the use of digital devices and resulting from a range of stresses on the ocular environment. This review aims to provide an overview of the extensive literature on digital eye strain research with particular reference to the clinical management of symptoms. As many as 90 per cent of digital device users experience symptoms of digital eye strain. Many studies suggest that the following factors are associated with digital eye strain: uncorrected refractive error (including presbyopia), accommodative and vergence anomalies, altered blinking pattern (reduced rate and incomplete blinking), excessive exposure to intense light, closer working distance, and smaller font size. Since a symptom may be caused by one or more factors, a holistic approach should be adopted. The following management strategies have been suggested: (i) appropriate correction of refractive error, including astigmatism and presbyopia; (ii) management of vergence anomalies, with the aim of inducing or leaving a small amount of heterophoria (~1.5Δ Exo); (iii) blinking exercise/training to maintain normal blinking pattern; (iv) use of lubricating eye drops (artiﬁcial tears) to help alleviate dry eye-related symptoms; (v) contact lenses with enhanced comfort, particularly at end-of-day and in challenging environments; (vi) prescription of colour ﬁlters in all vision correction options, especially blue lightabsorbing ﬁlters; and (vii) management of accommodative anomalies. Prevention is the main strategy for management of digital eye strain, which involves: (i) ensuring an ergonomic work environment and practice (through patient education and the implementation of ergonomic workplace policies); and (ii) visual examination and eye care to treat visual disorders. Special consideration is needed for people at a high risk of digital eye strain, such as computer workers and contact lens wearers.","container-title":"Clinical and Experimental Optometry","DOI":"10.1111/cxo.12798","ISSN":"0816-4622, 1444-0938","issue":"1","journalAbbreviation":"Clinical and Experimental Optometry","language":"en","page":"18-29","source":"DOI.org (Crossref)","title":"Management of digital eye strain","volume":"102","author":[{"family":"Coles‐brennan","given":"Chantal"},{"family":"Sulley","given":"Anna"},{"family":"Young","given":"Graeme"}],"issued":{"date-parts":[["2019",1,1]]}}}],"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(Coles‐brennan et al., 2019)</w:t>
      </w:r>
      <w:r w:rsidR="00FF6408">
        <w:rPr>
          <w:rFonts w:ascii="Times New Roman" w:eastAsia="Times New Roman" w:hAnsi="Times New Roman" w:cs="Times New Roman"/>
        </w:rPr>
        <w:fldChar w:fldCharType="end"/>
      </w:r>
      <w:r>
        <w:rPr>
          <w:rFonts w:ascii="Times New Roman" w:eastAsia="Times New Roman" w:hAnsi="Times New Roman" w:cs="Times New Roman"/>
        </w:rPr>
        <w:t xml:space="preserve">. Complementary measures such as proper ergonomics, appropriate eyewear, and regular eye examinations are essential to mitigate DES, prevent strabismus, and protect long-term visual health.Poor posture can contribute to ocular misalignment, and esodeviation has been shown to improve after one month of refraining from smartphone use </w:t>
      </w:r>
      <w:r w:rsidR="00FF6408">
        <w:rPr>
          <w:rFonts w:ascii="Times New Roman" w:eastAsia="Times New Roman" w:hAnsi="Times New Roman" w:cs="Times New Roman"/>
        </w:rPr>
        <w:fldChar w:fldCharType="begin"/>
      </w:r>
      <w:r w:rsidR="00413C68">
        <w:rPr>
          <w:rFonts w:ascii="Times New Roman" w:eastAsia="Times New Roman" w:hAnsi="Times New Roman" w:cs="Times New Roman"/>
        </w:rPr>
        <w:instrText xml:space="preserve"> ADDIN ZOTERO_ITEM CSL_CITATION {"citationID":"a9WG5L2a","properties":{"formattedCitation":"(Lee et al., 2016)","plainCitation":"(Lee et al., 2016)","noteIndex":0},"citationItems":[{"id":"1DR6qMVm/gHOI296x","uris":["http://zotero.org/users/local/6mH0t5Ye/items/PPFXRA8H"],"itemData":{"id":44,"type":"article-journal","abstract":"Background: To describe the clinical characteristics and outcomes of acute acquired comitant esotropia (AACE) related to excessive smartphone use in adolescents.\nMethods: The medical records of 12 patients with AACE and a history of excessive smartphone use were retrospectively reviewed, and the duration of smartphone use, angle of deviation, refractive error, stereopsis, and treatment options were analyzed.\nResults: All patients showed convergent and comitant esotropia ranging from 15 to 45 prism diopters (PD; average: 27.75 ± 11.47 PD) at far fixation. The angle of deviation was nearly equivalent for far and near fixation. Every patient used a smartphone for more than 4 h a day over a period of several months (minimum 4 months). Myopic refractive errors were detected in eight patients (average:−3.84 ± 1.68 diopters (D]), and the remaining four patients showed mild hyperopic refractive error (average: +0.84 ± 0.53 D). Reductions in esodeviation were noted in all patients after refraining from smartphone use, and bilateral medial rectus recession was performed in three patients with considerable remnant esodeviation. Postoperative exams showed orthophoria with good stereoacuity in these patients.\nConclusion: Excessive smartphone use might influence AACE development in adolescents. Refraining from smartphone use can decrease the degree of esodeviation in these patients, and remnant deviation can be successfully managed with surgical correction.","container-title":"BMC Ophthalmology","DOI":"10.1186/s12886-016-0213-5","ISSN":"1471-2415","issue":"1","journalAbbreviation":"BMC Ophthalmol","language":"en","page":"37","source":"DOI.org (Crossref)","title":"Acute acquired comitant esotropia related to excessive Smartphone use","volume":"16","author":[{"family":"Lee","given":"Hyo Seok"},{"family":"Park","given":"Sang Woo"},{"family":"Heo","given":"Hwan"}],"issued":{"date-parts":[["2016",12]]}}}],"schema":"https://github.com/citation-style-language/schema/raw/master/csl-citation.json"} </w:instrText>
      </w:r>
      <w:r w:rsidR="00FF6408">
        <w:rPr>
          <w:rFonts w:ascii="Times New Roman" w:eastAsia="Times New Roman" w:hAnsi="Times New Roman" w:cs="Times New Roman"/>
        </w:rPr>
        <w:fldChar w:fldCharType="separate"/>
      </w:r>
      <w:r w:rsidR="00413C68" w:rsidRPr="00413C68">
        <w:rPr>
          <w:rFonts w:ascii="Times New Roman" w:hAnsi="Times New Roman" w:cs="Times New Roman"/>
        </w:rPr>
        <w:t>(Lee et al., 2016)</w:t>
      </w:r>
      <w:r w:rsidR="00FF6408">
        <w:rPr>
          <w:rFonts w:ascii="Times New Roman" w:eastAsia="Times New Roman" w:hAnsi="Times New Roman" w:cs="Times New Roman"/>
        </w:rPr>
        <w:fldChar w:fldCharType="end"/>
      </w:r>
      <w:r>
        <w:rPr>
          <w:rFonts w:ascii="Times New Roman" w:eastAsia="Times New Roman" w:hAnsi="Times New Roman" w:cs="Times New Roman"/>
        </w:rPr>
        <w:t>.</w:t>
      </w:r>
      <w:r w:rsidR="005945D9">
        <w:rPr>
          <w:rFonts w:ascii="Times New Roman" w:eastAsia="Times New Roman" w:hAnsi="Times New Roman" w:cs="Times New Roman"/>
        </w:rPr>
        <w:t xml:space="preserve"> Strabismus can be managed with glasses, prisms, eye exercises and surgery </w:t>
      </w:r>
      <w:r w:rsidR="00FF6408" w:rsidRPr="00413C68">
        <w:rPr>
          <w:rFonts w:ascii="Times New Roman" w:eastAsia="Times New Roman" w:hAnsi="Times New Roman" w:cs="Times New Roman"/>
          <w:highlight w:val="yellow"/>
        </w:rPr>
        <w:fldChar w:fldCharType="begin"/>
      </w:r>
      <w:r w:rsidR="00413C68">
        <w:rPr>
          <w:rFonts w:ascii="Times New Roman" w:eastAsia="Times New Roman" w:hAnsi="Times New Roman" w:cs="Times New Roman"/>
          <w:highlight w:val="yellow"/>
        </w:rPr>
        <w:instrText xml:space="preserve"> ADDIN ZOTERO_ITEM CSL_CITATION {"citationID":"F57kN4yc","properties":{"formattedCitation":"(Assaye et al., 2020)","plainCitation":"(Assaye et al., 2020)","noteIndex":0},"citationItems":[{"id":"1DR6qMVm/GFRKpXci","uris":["http://zotero.org/users/local/6mH0t5Ye/items/ZG96PZW5"],"itemData":{"id":246,"type":"article-journal","abstract":"Introduction\n              . Strabismus/squint is an ocular misalignment in which the eyes are not properly aligned with each other. It is an avoidable cause of blindness and has a global prevalence which ranges from 2% to 6%. Knowledge of eye diseases is important in encouraging people to seek early treatment, which further helps in reducing the burden of visual impairment. Studies in Ethiopia showed that the level of good knowledge was 37%. There is a lack of information regarding knowledge and related factors of strabismus in the study area and limited in Ethiopia at large.\n              Objective\n              . The aim of this study was to asses knowledge about strabismus and associated factors among adults in Gondar town, Northwest Ethiopia.\n              Methods\n              . Community-based cross-sectional study was conducted using a pretested structured questionnaire through face to face interview from April 17 to May 01, 2019. Using multistage random sampling, 553 participants were included. Data from the entire questionnaire were coded, entered into Epi info version 7, and exported to SPSS version 20 for processing and analysis. Binary logistic regression was fitted, and variables with\n              \n                P\n              \n              value &lt;0.05 in the multivariable logistic regression were considered as statistically significant.\n              Results\n              . A total of 553 adults with a response rate of 93.25% participated in the study. The median age was 33 (IQR = 14) years. Among the participants, 52.3% (95% CI: 47.9–56.4) had good knowledge towards strabismus. Being a student (AOR = 2.15, (95% CI: 1.11–4.13) was positively associated, while monthly income &gt;5000 birrs (AOR = 0.44, 95% CI: 0.26–0.76) was negatively associated with good knowledge about strabismus.\n              Conclusion\n              . Almost half of the participants had good knowledge. Occupation and monthly income had a significant association with knowledge about strabismus. Since the source of information (TV/radio and Internet) was extremely important for the reliability and the level of knowledge, it is better to have sufficient media coverage.","container-title":"Journal of Ophthalmology","DOI":"10.1155/2020/3639273","ISSN":"2090-004X, 2090-0058","journalAbbreviation":"Journal of Ophthalmology","language":"en","license":"http://creativecommons.org/licenses/by/4.0/","page":"1-7","source":"DOI.org (Crossref)","title":"Knowledge towards Strabismus and Associated Factors among Adults in Gondar Town, Northwest Ethiopia","volume":"2020","author":[{"family":"Assaye","given":"Aragaw Kegne"},{"family":"Tegegn","given":"Melkamu Temeselew"},{"family":"Assefa","given":"Natnael Lakachew"},{"family":"Yibekal","given":"Betelhem Temesgen"}],"issued":{"date-parts":[["2020",4,25]]}}}],"schema":"https://github.com/citation-style-language/schema/raw/master/csl-citation.json"} </w:instrText>
      </w:r>
      <w:r w:rsidR="00FF6408" w:rsidRPr="00413C68">
        <w:rPr>
          <w:rFonts w:ascii="Times New Roman" w:eastAsia="Times New Roman" w:hAnsi="Times New Roman" w:cs="Times New Roman"/>
          <w:highlight w:val="yellow"/>
        </w:rPr>
        <w:fldChar w:fldCharType="separate"/>
      </w:r>
      <w:r w:rsidR="00413C68" w:rsidRPr="00413C68">
        <w:rPr>
          <w:rFonts w:ascii="Times New Roman" w:hAnsi="Times New Roman" w:cs="Times New Roman"/>
          <w:highlight w:val="yellow"/>
        </w:rPr>
        <w:t>(Assaye et al., 2020)</w:t>
      </w:r>
      <w:r w:rsidR="00FF6408" w:rsidRPr="00413C68">
        <w:rPr>
          <w:rFonts w:ascii="Times New Roman" w:eastAsia="Times New Roman" w:hAnsi="Times New Roman" w:cs="Times New Roman"/>
          <w:highlight w:val="yellow"/>
        </w:rPr>
        <w:fldChar w:fldCharType="end"/>
      </w:r>
      <w:r w:rsidR="005945D9" w:rsidRPr="00413C68">
        <w:rPr>
          <w:rFonts w:ascii="Times New Roman" w:eastAsia="Times New Roman" w:hAnsi="Times New Roman" w:cs="Times New Roman"/>
          <w:highlight w:val="yellow"/>
        </w:rPr>
        <w:t>.</w:t>
      </w:r>
    </w:p>
    <w:p w:rsidR="00AE258C" w:rsidRDefault="00AE258C" w:rsidP="00120B65">
      <w:pPr>
        <w:jc w:val="both"/>
        <w:rPr>
          <w:rFonts w:ascii="Times New Roman" w:eastAsia="Times New Roman" w:hAnsi="Times New Roman" w:cs="Times New Roman"/>
        </w:rPr>
      </w:pPr>
    </w:p>
    <w:p w:rsidR="00AE258C" w:rsidRDefault="00AE258C">
      <w:pPr>
        <w:jc w:val="both"/>
        <w:rPr>
          <w:rFonts w:ascii="Times New Roman" w:eastAsia="Times New Roman" w:hAnsi="Times New Roman" w:cs="Times New Roman"/>
        </w:rPr>
      </w:pPr>
    </w:p>
    <w:p w:rsidR="00AE258C" w:rsidRDefault="007662E5">
      <w:pPr>
        <w:jc w:val="both"/>
        <w:rPr>
          <w:rFonts w:ascii="Times New Roman" w:eastAsia="Times New Roman" w:hAnsi="Times New Roman" w:cs="Times New Roman"/>
          <w:b/>
        </w:rPr>
      </w:pPr>
      <w:r>
        <w:rPr>
          <w:rFonts w:ascii="Times New Roman" w:eastAsia="Times New Roman" w:hAnsi="Times New Roman" w:cs="Times New Roman"/>
          <w:b/>
        </w:rPr>
        <w:t>Conclusions</w:t>
      </w:r>
    </w:p>
    <w:p w:rsidR="00AE258C" w:rsidRDefault="007662E5">
      <w:pPr>
        <w:jc w:val="both"/>
        <w:rPr>
          <w:rFonts w:ascii="Times New Roman" w:eastAsia="Times New Roman" w:hAnsi="Times New Roman" w:cs="Times New Roman"/>
        </w:rPr>
      </w:pPr>
      <w:r>
        <w:rPr>
          <w:rFonts w:ascii="Times New Roman" w:eastAsia="Times New Roman" w:hAnsi="Times New Roman" w:cs="Times New Roman"/>
        </w:rPr>
        <w:t xml:space="preserve">Excessive screen use is significantly associated with heterophoria and reduced convergence function. Female gender and specific refractive errors, such as myopia for esophoria and astigmatism for exophoria, are identified as risk factors. These findings highlight the importance of early screening, </w:t>
      </w:r>
      <w:r>
        <w:rPr>
          <w:rFonts w:ascii="Times New Roman" w:eastAsia="Times New Roman" w:hAnsi="Times New Roman" w:cs="Times New Roman"/>
        </w:rPr>
        <w:lastRenderedPageBreak/>
        <w:t>visual hygiene education, and interventions like regular breaks and ergonomic adjustments to mitigate long-term binocular vision complications in this population.</w:t>
      </w:r>
    </w:p>
    <w:p w:rsidR="00A25E64" w:rsidRPr="00A25E64" w:rsidRDefault="00A25E64">
      <w:pPr>
        <w:jc w:val="both"/>
        <w:rPr>
          <w:rFonts w:ascii="Times New Roman" w:eastAsia="Times New Roman" w:hAnsi="Times New Roman" w:cs="Times New Roman"/>
          <w:b/>
          <w:bCs/>
        </w:rPr>
      </w:pPr>
      <w:r w:rsidRPr="00A25E64">
        <w:rPr>
          <w:rFonts w:ascii="Times New Roman" w:eastAsia="Times New Roman" w:hAnsi="Times New Roman" w:cs="Times New Roman"/>
          <w:b/>
          <w:bCs/>
        </w:rPr>
        <w:t>Ethical Approval</w:t>
      </w:r>
    </w:p>
    <w:p w:rsidR="00A25E64" w:rsidRDefault="00A25E64">
      <w:pPr>
        <w:jc w:val="both"/>
        <w:rPr>
          <w:rFonts w:ascii="Times New Roman" w:eastAsia="Times New Roman" w:hAnsi="Times New Roman" w:cs="Times New Roman"/>
        </w:rPr>
      </w:pPr>
      <w:r>
        <w:rPr>
          <w:rFonts w:ascii="Times New Roman" w:eastAsia="Times New Roman" w:hAnsi="Times New Roman" w:cs="Times New Roman"/>
        </w:rPr>
        <w:t>The study was approved by the Institutional Ethics Committee, J.N. Medical College, Aligarh Muslim University, Aligarh. Approval no. IECJNMC/1885. The confidentiality of participant</w:t>
      </w:r>
      <w:r w:rsidR="00A64BD5">
        <w:rPr>
          <w:rFonts w:ascii="Times New Roman" w:eastAsia="Times New Roman" w:hAnsi="Times New Roman" w:cs="Times New Roman"/>
        </w:rPr>
        <w:t>’s</w:t>
      </w:r>
      <w:r>
        <w:rPr>
          <w:rFonts w:ascii="Times New Roman" w:eastAsia="Times New Roman" w:hAnsi="Times New Roman" w:cs="Times New Roman"/>
        </w:rPr>
        <w:t xml:space="preserve"> identities was maintained, and only the research team had access to this information. </w:t>
      </w:r>
    </w:p>
    <w:p w:rsidR="00A25E64" w:rsidRPr="00413C68" w:rsidRDefault="00A25E64">
      <w:pPr>
        <w:jc w:val="both"/>
        <w:rPr>
          <w:rFonts w:ascii="Times New Roman" w:eastAsia="Times New Roman" w:hAnsi="Times New Roman" w:cs="Times New Roman"/>
          <w:b/>
          <w:bCs/>
          <w:highlight w:val="yellow"/>
        </w:rPr>
      </w:pPr>
      <w:r w:rsidRPr="00413C68">
        <w:rPr>
          <w:rFonts w:ascii="Times New Roman" w:eastAsia="Times New Roman" w:hAnsi="Times New Roman" w:cs="Times New Roman"/>
          <w:b/>
          <w:bCs/>
          <w:highlight w:val="yellow"/>
        </w:rPr>
        <w:t>Disclaimer</w:t>
      </w:r>
    </w:p>
    <w:p w:rsidR="00A25E64" w:rsidRPr="00A25E64" w:rsidRDefault="00A25E64">
      <w:pPr>
        <w:jc w:val="both"/>
        <w:rPr>
          <w:rFonts w:ascii="Times New Roman" w:eastAsia="Times New Roman" w:hAnsi="Times New Roman" w:cs="Times New Roman"/>
        </w:rPr>
      </w:pPr>
      <w:r w:rsidRPr="00413C68">
        <w:rPr>
          <w:rFonts w:ascii="Times New Roman" w:eastAsia="Times New Roman" w:hAnsi="Times New Roman" w:cs="Times New Roman"/>
          <w:highlight w:val="yellow"/>
        </w:rPr>
        <w:t>Author(s) hereby declare that NO generative AI technologies such as Large Language Models (ChatGPT, COPILOT, etc.) and text-to-image generators have been used during the writing or editing of this manuscript.</w:t>
      </w:r>
    </w:p>
    <w:p w:rsidR="00A25E64" w:rsidRDefault="00A25E64">
      <w:pPr>
        <w:jc w:val="both"/>
        <w:rPr>
          <w:rFonts w:ascii="Times New Roman" w:eastAsia="Times New Roman" w:hAnsi="Times New Roman" w:cs="Times New Roman"/>
        </w:rPr>
      </w:pPr>
    </w:p>
    <w:p w:rsidR="001A62DA" w:rsidRPr="007662E5" w:rsidRDefault="007662E5">
      <w:pPr>
        <w:jc w:val="both"/>
        <w:rPr>
          <w:rFonts w:ascii="Times New Roman" w:eastAsia="Times New Roman" w:hAnsi="Times New Roman" w:cs="Times New Roman"/>
          <w:b/>
          <w:bCs/>
        </w:rPr>
      </w:pPr>
      <w:r w:rsidRPr="007662E5">
        <w:rPr>
          <w:rFonts w:ascii="Times New Roman" w:eastAsia="Times New Roman" w:hAnsi="Times New Roman" w:cs="Times New Roman"/>
          <w:b/>
          <w:bCs/>
        </w:rPr>
        <w:t>References</w:t>
      </w:r>
    </w:p>
    <w:p w:rsidR="00413C68" w:rsidRPr="00413C68" w:rsidRDefault="00FF6408" w:rsidP="00413C68">
      <w:pPr>
        <w:pStyle w:val="Bibliography"/>
        <w:rPr>
          <w:rFonts w:ascii="Times New Roman" w:hAnsi="Times New Roman" w:cs="Times New Roman"/>
        </w:rPr>
      </w:pPr>
      <w:r w:rsidRPr="00FF6408">
        <w:rPr>
          <w:rFonts w:eastAsia="Times New Roman"/>
        </w:rPr>
        <w:fldChar w:fldCharType="begin"/>
      </w:r>
      <w:r w:rsidR="00413C68">
        <w:rPr>
          <w:rFonts w:eastAsia="Times New Roman"/>
        </w:rPr>
        <w:instrText xml:space="preserve"> ADDIN ZOTERO_BIBL {"uncited":[],"omitted":[],"custom":[]} CSL_BIBLIOGRAPHY </w:instrText>
      </w:r>
      <w:r w:rsidRPr="00FF6408">
        <w:rPr>
          <w:rFonts w:eastAsia="Times New Roman"/>
        </w:rPr>
        <w:fldChar w:fldCharType="separate"/>
      </w:r>
      <w:r w:rsidR="00413C68" w:rsidRPr="00413C68">
        <w:rPr>
          <w:rFonts w:ascii="Times New Roman" w:hAnsi="Times New Roman" w:cs="Times New Roman"/>
        </w:rPr>
        <w:t xml:space="preserve">Alamri, A., Alamri, M. M., Rashid, F. A., Alawashiz, A. S., Alqahtani, F. H., Alyami, A. A., Almathami, L. A., Alwabel, R. A., Alqarni, E. M., Alqahtani, A. M., Almoghamer, H., &amp;Alahmari, A. A. (2023). Association Between Digital Device Utilization and Asthenopia Among Medical Students at King Khalid University. </w:t>
      </w:r>
      <w:r w:rsidR="00413C68" w:rsidRPr="00413C68">
        <w:rPr>
          <w:rFonts w:ascii="Times New Roman" w:hAnsi="Times New Roman" w:cs="Times New Roman"/>
          <w:i/>
          <w:iCs/>
        </w:rPr>
        <w:t>Cureus</w:t>
      </w:r>
      <w:r w:rsidR="00413C68" w:rsidRPr="00413C68">
        <w:rPr>
          <w:rFonts w:ascii="Times New Roman" w:hAnsi="Times New Roman" w:cs="Times New Roman"/>
        </w:rPr>
        <w:t>. https://doi.org/10.7759/cureus.45621</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Al-Mohtaseb, Z., Schachter, S., Shen Lee, B., Garlich, J., &amp;Trattler, W. (2021). The Relationship Between Dry Eye Disease and Digital Screen Use. </w:t>
      </w:r>
      <w:r w:rsidRPr="00413C68">
        <w:rPr>
          <w:rFonts w:ascii="Times New Roman" w:hAnsi="Times New Roman" w:cs="Times New Roman"/>
          <w:i/>
          <w:iCs/>
        </w:rPr>
        <w:t>Clinical Ophthalmology</w:t>
      </w:r>
      <w:r w:rsidRPr="00413C68">
        <w:rPr>
          <w:rFonts w:ascii="Times New Roman" w:hAnsi="Times New Roman" w:cs="Times New Roman"/>
        </w:rPr>
        <w:t xml:space="preserve">, </w:t>
      </w:r>
      <w:r w:rsidRPr="00413C68">
        <w:rPr>
          <w:rFonts w:ascii="Times New Roman" w:hAnsi="Times New Roman" w:cs="Times New Roman"/>
          <w:i/>
          <w:iCs/>
        </w:rPr>
        <w:t>Volume 15</w:t>
      </w:r>
      <w:r w:rsidRPr="00413C68">
        <w:rPr>
          <w:rFonts w:ascii="Times New Roman" w:hAnsi="Times New Roman" w:cs="Times New Roman"/>
        </w:rPr>
        <w:t>, 3811–3820. https://doi.org/10.2147/OPTH.S321591</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Alrasheed, S. H., &amp;Aldakhil, S. (2024). Heterophoria, fusional vergence, and near point of convergence in Sudanese hospital-based population. </w:t>
      </w:r>
      <w:r w:rsidRPr="00413C68">
        <w:rPr>
          <w:rFonts w:ascii="Times New Roman" w:hAnsi="Times New Roman" w:cs="Times New Roman"/>
          <w:i/>
          <w:iCs/>
        </w:rPr>
        <w:t>African Vision and Eye Health</w:t>
      </w:r>
      <w:r w:rsidRPr="00413C68">
        <w:rPr>
          <w:rFonts w:ascii="Times New Roman" w:hAnsi="Times New Roman" w:cs="Times New Roman"/>
        </w:rPr>
        <w:t xml:space="preserve">, </w:t>
      </w:r>
      <w:r w:rsidRPr="00413C68">
        <w:rPr>
          <w:rFonts w:ascii="Times New Roman" w:hAnsi="Times New Roman" w:cs="Times New Roman"/>
          <w:i/>
          <w:iCs/>
        </w:rPr>
        <w:t>83</w:t>
      </w:r>
      <w:r w:rsidRPr="00413C68">
        <w:rPr>
          <w:rFonts w:ascii="Times New Roman" w:hAnsi="Times New Roman" w:cs="Times New Roman"/>
        </w:rPr>
        <w:t>(1). https://doi.org/10.4102/aveh.v83i1.869</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Alvarez, T. L. (2015). A pilot study of disparity vergence and near dissociated phoria in convergence insufficiency patients before vs. After vergence therapy. </w:t>
      </w:r>
      <w:r w:rsidRPr="00413C68">
        <w:rPr>
          <w:rFonts w:ascii="Times New Roman" w:hAnsi="Times New Roman" w:cs="Times New Roman"/>
          <w:i/>
          <w:iCs/>
        </w:rPr>
        <w:t>Frontiers in Human Neuroscience</w:t>
      </w:r>
      <w:r w:rsidRPr="00413C68">
        <w:rPr>
          <w:rFonts w:ascii="Times New Roman" w:hAnsi="Times New Roman" w:cs="Times New Roman"/>
        </w:rPr>
        <w:t xml:space="preserve">, </w:t>
      </w:r>
      <w:r w:rsidRPr="00413C68">
        <w:rPr>
          <w:rFonts w:ascii="Times New Roman" w:hAnsi="Times New Roman" w:cs="Times New Roman"/>
          <w:i/>
          <w:iCs/>
        </w:rPr>
        <w:t>9</w:t>
      </w:r>
      <w:r w:rsidRPr="00413C68">
        <w:rPr>
          <w:rFonts w:ascii="Times New Roman" w:hAnsi="Times New Roman" w:cs="Times New Roman"/>
        </w:rPr>
        <w:t>. https://doi.org/10.3389/fnhum.2015.00419</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Assaye, A. K., Tegegn, M. T., Assefa, N. L., &amp;Yibekal, B. T. (2020). Knowledge towards Strabismus and Associated Factors among Adults in Gondar Town, Northwest Ethiopia. </w:t>
      </w:r>
      <w:r w:rsidRPr="00413C68">
        <w:rPr>
          <w:rFonts w:ascii="Times New Roman" w:hAnsi="Times New Roman" w:cs="Times New Roman"/>
          <w:i/>
          <w:iCs/>
        </w:rPr>
        <w:t>Journal of Ophthalmology</w:t>
      </w:r>
      <w:r w:rsidRPr="00413C68">
        <w:rPr>
          <w:rFonts w:ascii="Times New Roman" w:hAnsi="Times New Roman" w:cs="Times New Roman"/>
        </w:rPr>
        <w:t xml:space="preserve">, </w:t>
      </w:r>
      <w:r w:rsidRPr="00413C68">
        <w:rPr>
          <w:rFonts w:ascii="Times New Roman" w:hAnsi="Times New Roman" w:cs="Times New Roman"/>
          <w:i/>
          <w:iCs/>
        </w:rPr>
        <w:t>2020</w:t>
      </w:r>
      <w:r w:rsidRPr="00413C68">
        <w:rPr>
          <w:rFonts w:ascii="Times New Roman" w:hAnsi="Times New Roman" w:cs="Times New Roman"/>
        </w:rPr>
        <w:t>, 1–7. https://doi.org/10.1155/2020/3639273</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Basnet, A., Bickram Pathak, S., Marasini, A., Pandit, R., &amp; Pradhan, A. (2022). Digital Eye Strain among Adults Presenting to Tertiary Care Hospital in the Era of COVID-19 Pandemic: A </w:t>
      </w:r>
      <w:r w:rsidRPr="00413C68">
        <w:rPr>
          <w:rFonts w:ascii="Times New Roman" w:hAnsi="Times New Roman" w:cs="Times New Roman"/>
        </w:rPr>
        <w:lastRenderedPageBreak/>
        <w:t xml:space="preserve">Descriptive Cross-sectional Study. </w:t>
      </w:r>
      <w:r w:rsidRPr="00413C68">
        <w:rPr>
          <w:rFonts w:ascii="Times New Roman" w:hAnsi="Times New Roman" w:cs="Times New Roman"/>
          <w:i/>
          <w:iCs/>
        </w:rPr>
        <w:t>Journal of Nepal Medical Association</w:t>
      </w:r>
      <w:r w:rsidRPr="00413C68">
        <w:rPr>
          <w:rFonts w:ascii="Times New Roman" w:hAnsi="Times New Roman" w:cs="Times New Roman"/>
        </w:rPr>
        <w:t xml:space="preserve">, </w:t>
      </w:r>
      <w:r w:rsidRPr="00413C68">
        <w:rPr>
          <w:rFonts w:ascii="Times New Roman" w:hAnsi="Times New Roman" w:cs="Times New Roman"/>
          <w:i/>
          <w:iCs/>
        </w:rPr>
        <w:t>60</w:t>
      </w:r>
      <w:r w:rsidRPr="00413C68">
        <w:rPr>
          <w:rFonts w:ascii="Times New Roman" w:hAnsi="Times New Roman" w:cs="Times New Roman"/>
        </w:rPr>
        <w:t>(245). https://doi.org/10.31729/jnma.7092</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highlight w:val="yellow"/>
        </w:rPr>
        <w:t xml:space="preserve">Buffenn, A. N. (2021). The impact of strabismus on psychosocial heath and quality of life: A systematic review. </w:t>
      </w:r>
      <w:r w:rsidRPr="00413C68">
        <w:rPr>
          <w:rFonts w:ascii="Times New Roman" w:hAnsi="Times New Roman" w:cs="Times New Roman"/>
          <w:i/>
          <w:iCs/>
          <w:highlight w:val="yellow"/>
        </w:rPr>
        <w:t>Survey of Ophthalmology</w:t>
      </w:r>
      <w:r w:rsidRPr="00413C68">
        <w:rPr>
          <w:rFonts w:ascii="Times New Roman" w:hAnsi="Times New Roman" w:cs="Times New Roman"/>
          <w:highlight w:val="yellow"/>
        </w:rPr>
        <w:t xml:space="preserve">, </w:t>
      </w:r>
      <w:r w:rsidRPr="00413C68">
        <w:rPr>
          <w:rFonts w:ascii="Times New Roman" w:hAnsi="Times New Roman" w:cs="Times New Roman"/>
          <w:i/>
          <w:iCs/>
          <w:highlight w:val="yellow"/>
        </w:rPr>
        <w:t>66</w:t>
      </w:r>
      <w:r w:rsidRPr="00413C68">
        <w:rPr>
          <w:rFonts w:ascii="Times New Roman" w:hAnsi="Times New Roman" w:cs="Times New Roman"/>
          <w:highlight w:val="yellow"/>
        </w:rPr>
        <w:t>(6), 1051–1064. https://doi.org/10.1016/j.survophthal.2021.03.005</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Chen, A. H., &amp; Dom, A. A. (n.d.). </w:t>
      </w:r>
      <w:r w:rsidRPr="00413C68">
        <w:rPr>
          <w:rFonts w:ascii="Times New Roman" w:hAnsi="Times New Roman" w:cs="Times New Roman"/>
          <w:i/>
          <w:iCs/>
        </w:rPr>
        <w:t>HETEROPHORIA IN YOUNG ADULTS WITH EMMETROPIA AND MYOPIA</w:t>
      </w:r>
      <w:r w:rsidRPr="00413C68">
        <w:rPr>
          <w:rFonts w:ascii="Times New Roman" w:hAnsi="Times New Roman" w:cs="Times New Roman"/>
        </w:rPr>
        <w:t>.</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Coles‐brennan, C., Sulley, A., &amp; Young, G. (2019). Management of digital eye strain. </w:t>
      </w:r>
      <w:r w:rsidRPr="00413C68">
        <w:rPr>
          <w:rFonts w:ascii="Times New Roman" w:hAnsi="Times New Roman" w:cs="Times New Roman"/>
          <w:i/>
          <w:iCs/>
        </w:rPr>
        <w:t>Clinical and Experimental Optometry</w:t>
      </w:r>
      <w:r w:rsidRPr="00413C68">
        <w:rPr>
          <w:rFonts w:ascii="Times New Roman" w:hAnsi="Times New Roman" w:cs="Times New Roman"/>
        </w:rPr>
        <w:t xml:space="preserve">, </w:t>
      </w:r>
      <w:r w:rsidRPr="00413C68">
        <w:rPr>
          <w:rFonts w:ascii="Times New Roman" w:hAnsi="Times New Roman" w:cs="Times New Roman"/>
          <w:i/>
          <w:iCs/>
        </w:rPr>
        <w:t>102</w:t>
      </w:r>
      <w:r w:rsidRPr="00413C68">
        <w:rPr>
          <w:rFonts w:ascii="Times New Roman" w:hAnsi="Times New Roman" w:cs="Times New Roman"/>
        </w:rPr>
        <w:t>(1), 18–29. https://doi.org/10.1111/cxo.12798</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Cougnard-Gregoire, A., Merle, B. M. J., Aslam, T., Seddon, J. M., Aknin, I., Klaver, C. C. W., Garhöfer, G., Layana, A. G., Minnella, A. M., Silva, R., &amp; Delcourt, C. (2023). Blue Light Exposure: Ocular Hazards and Prevention—A Narrative Review. </w:t>
      </w:r>
      <w:r w:rsidRPr="00413C68">
        <w:rPr>
          <w:rFonts w:ascii="Times New Roman" w:hAnsi="Times New Roman" w:cs="Times New Roman"/>
          <w:i/>
          <w:iCs/>
        </w:rPr>
        <w:t>Ophthalmology and Therapy</w:t>
      </w:r>
      <w:r w:rsidRPr="00413C68">
        <w:rPr>
          <w:rFonts w:ascii="Times New Roman" w:hAnsi="Times New Roman" w:cs="Times New Roman"/>
        </w:rPr>
        <w:t xml:space="preserve">, </w:t>
      </w:r>
      <w:r w:rsidRPr="00413C68">
        <w:rPr>
          <w:rFonts w:ascii="Times New Roman" w:hAnsi="Times New Roman" w:cs="Times New Roman"/>
          <w:i/>
          <w:iCs/>
        </w:rPr>
        <w:t>12</w:t>
      </w:r>
      <w:r w:rsidRPr="00413C68">
        <w:rPr>
          <w:rFonts w:ascii="Times New Roman" w:hAnsi="Times New Roman" w:cs="Times New Roman"/>
        </w:rPr>
        <w:t>(2), 755–788. https://doi.org/10.1007/s40123-023-00675-3</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Datta, S., Sehgal, S., Bhattacharya, B., &amp;Satgunam, P. N. (2023). The 20/20/20 rule: Practicing pattern and associations with asthenopic symptoms. </w:t>
      </w:r>
      <w:r w:rsidRPr="00413C68">
        <w:rPr>
          <w:rFonts w:ascii="Times New Roman" w:hAnsi="Times New Roman" w:cs="Times New Roman"/>
          <w:i/>
          <w:iCs/>
        </w:rPr>
        <w:t>Indian Journal of Ophthalmology</w:t>
      </w:r>
      <w:r w:rsidRPr="00413C68">
        <w:rPr>
          <w:rFonts w:ascii="Times New Roman" w:hAnsi="Times New Roman" w:cs="Times New Roman"/>
        </w:rPr>
        <w:t xml:space="preserve">, </w:t>
      </w:r>
      <w:r w:rsidRPr="00413C68">
        <w:rPr>
          <w:rFonts w:ascii="Times New Roman" w:hAnsi="Times New Roman" w:cs="Times New Roman"/>
          <w:i/>
          <w:iCs/>
        </w:rPr>
        <w:t>71</w:t>
      </w:r>
      <w:r w:rsidRPr="00413C68">
        <w:rPr>
          <w:rFonts w:ascii="Times New Roman" w:hAnsi="Times New Roman" w:cs="Times New Roman"/>
        </w:rPr>
        <w:t>(5), 2071–2075. https://doi.org/10.4103/ijo.IJO_2056_22</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Dubey, M., Nongkynrih, B., Gupta, S., Kalaivani, M., Goswami, A., &amp; Salve, H. (2018). Screen-based media use and screen time assessment among adolescents residing in an Urban Resettlement Colony in New Delhi, India. </w:t>
      </w:r>
      <w:r w:rsidRPr="00413C68">
        <w:rPr>
          <w:rFonts w:ascii="Times New Roman" w:hAnsi="Times New Roman" w:cs="Times New Roman"/>
          <w:i/>
          <w:iCs/>
        </w:rPr>
        <w:t>Journal of Family Medicine and Primary Care</w:t>
      </w:r>
      <w:r w:rsidRPr="00413C68">
        <w:rPr>
          <w:rFonts w:ascii="Times New Roman" w:hAnsi="Times New Roman" w:cs="Times New Roman"/>
        </w:rPr>
        <w:t xml:space="preserve">, </w:t>
      </w:r>
      <w:r w:rsidRPr="00413C68">
        <w:rPr>
          <w:rFonts w:ascii="Times New Roman" w:hAnsi="Times New Roman" w:cs="Times New Roman"/>
          <w:i/>
          <w:iCs/>
        </w:rPr>
        <w:t>7</w:t>
      </w:r>
      <w:r w:rsidRPr="00413C68">
        <w:rPr>
          <w:rFonts w:ascii="Times New Roman" w:hAnsi="Times New Roman" w:cs="Times New Roman"/>
        </w:rPr>
        <w:t>(6), 1236. https://doi.org/10.4103/jfmpc.jfmpc_190_18</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Gunton, K. B., Wasserman, B. N., &amp; DeBenedictis, C. (2015). Strabismus. </w:t>
      </w:r>
      <w:r w:rsidRPr="00413C68">
        <w:rPr>
          <w:rFonts w:ascii="Times New Roman" w:hAnsi="Times New Roman" w:cs="Times New Roman"/>
          <w:i/>
          <w:iCs/>
        </w:rPr>
        <w:t>Primary Care: Clinics in Office Practice</w:t>
      </w:r>
      <w:r w:rsidRPr="00413C68">
        <w:rPr>
          <w:rFonts w:ascii="Times New Roman" w:hAnsi="Times New Roman" w:cs="Times New Roman"/>
        </w:rPr>
        <w:t xml:space="preserve">, </w:t>
      </w:r>
      <w:r w:rsidRPr="00413C68">
        <w:rPr>
          <w:rFonts w:ascii="Times New Roman" w:hAnsi="Times New Roman" w:cs="Times New Roman"/>
          <w:i/>
          <w:iCs/>
        </w:rPr>
        <w:t>42</w:t>
      </w:r>
      <w:r w:rsidRPr="00413C68">
        <w:rPr>
          <w:rFonts w:ascii="Times New Roman" w:hAnsi="Times New Roman" w:cs="Times New Roman"/>
        </w:rPr>
        <w:t>(3), 393–407. https://doi.org/10.1016/j.pop.2015.05.006</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Hedderson, M. M., Bekelman, T. A., Li, M., Knapp, E. A., Palmore, M., Dong, Y., Elliott, A. J., Friedman, C., Galarce, M., Gilbert-Diamond, D., Glueck, D., Hockett, C. W., Lucchini, M., McDonald, J., Sauder, K., Zhu, Y., Karagas, M. R., Dabelea, D., Ferrara, A., … Barrett, E. S. (2023). Trends in Screen Time Use Among Children During the COVID-19 Pandemic, July 2019 Through August 2021. </w:t>
      </w:r>
      <w:r w:rsidRPr="00413C68">
        <w:rPr>
          <w:rFonts w:ascii="Times New Roman" w:hAnsi="Times New Roman" w:cs="Times New Roman"/>
          <w:i/>
          <w:iCs/>
        </w:rPr>
        <w:t>JAMA Network Open</w:t>
      </w:r>
      <w:r w:rsidRPr="00413C68">
        <w:rPr>
          <w:rFonts w:ascii="Times New Roman" w:hAnsi="Times New Roman" w:cs="Times New Roman"/>
        </w:rPr>
        <w:t xml:space="preserve">, </w:t>
      </w:r>
      <w:r w:rsidRPr="00413C68">
        <w:rPr>
          <w:rFonts w:ascii="Times New Roman" w:hAnsi="Times New Roman" w:cs="Times New Roman"/>
          <w:i/>
          <w:iCs/>
        </w:rPr>
        <w:t>6</w:t>
      </w:r>
      <w:r w:rsidRPr="00413C68">
        <w:rPr>
          <w:rFonts w:ascii="Times New Roman" w:hAnsi="Times New Roman" w:cs="Times New Roman"/>
        </w:rPr>
        <w:t>(2), e2256157. https://doi.org/10.1001/jamanetworkopen.2022.56157</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lastRenderedPageBreak/>
        <w:t xml:space="preserve">Kaur, K., Gurnani, B., Nayak, S., Deori, N., Kaur, S., Jethani, J., Singh, D., Agarkar, S., Hussaindeen, J. R., Sukhija, J., &amp; Mishra, D. (2022). Digital Eye Strain- A Comprehensive Review. </w:t>
      </w:r>
      <w:r w:rsidRPr="00413C68">
        <w:rPr>
          <w:rFonts w:ascii="Times New Roman" w:hAnsi="Times New Roman" w:cs="Times New Roman"/>
          <w:i/>
          <w:iCs/>
        </w:rPr>
        <w:t>Ophthalmology and Therapy</w:t>
      </w:r>
      <w:r w:rsidRPr="00413C68">
        <w:rPr>
          <w:rFonts w:ascii="Times New Roman" w:hAnsi="Times New Roman" w:cs="Times New Roman"/>
        </w:rPr>
        <w:t xml:space="preserve">, </w:t>
      </w:r>
      <w:r w:rsidRPr="00413C68">
        <w:rPr>
          <w:rFonts w:ascii="Times New Roman" w:hAnsi="Times New Roman" w:cs="Times New Roman"/>
          <w:i/>
          <w:iCs/>
        </w:rPr>
        <w:t>11</w:t>
      </w:r>
      <w:r w:rsidRPr="00413C68">
        <w:rPr>
          <w:rFonts w:ascii="Times New Roman" w:hAnsi="Times New Roman" w:cs="Times New Roman"/>
        </w:rPr>
        <w:t>(5), 1655–1680. https://doi.org/10.1007/s40123-022-00540-9</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highlight w:val="yellow"/>
        </w:rPr>
        <w:t xml:space="preserve">Lanca, C., &amp; Saw, S. (2020). The association between digital screen time and myopia: A systematic review. </w:t>
      </w:r>
      <w:r w:rsidRPr="00413C68">
        <w:rPr>
          <w:rFonts w:ascii="Times New Roman" w:hAnsi="Times New Roman" w:cs="Times New Roman"/>
          <w:i/>
          <w:iCs/>
          <w:highlight w:val="yellow"/>
        </w:rPr>
        <w:t>Ophthalmic and Physiological Optics</w:t>
      </w:r>
      <w:r w:rsidRPr="00413C68">
        <w:rPr>
          <w:rFonts w:ascii="Times New Roman" w:hAnsi="Times New Roman" w:cs="Times New Roman"/>
          <w:highlight w:val="yellow"/>
        </w:rPr>
        <w:t xml:space="preserve">, </w:t>
      </w:r>
      <w:r w:rsidRPr="00413C68">
        <w:rPr>
          <w:rFonts w:ascii="Times New Roman" w:hAnsi="Times New Roman" w:cs="Times New Roman"/>
          <w:i/>
          <w:iCs/>
          <w:highlight w:val="yellow"/>
        </w:rPr>
        <w:t>40</w:t>
      </w:r>
      <w:r w:rsidRPr="00413C68">
        <w:rPr>
          <w:rFonts w:ascii="Times New Roman" w:hAnsi="Times New Roman" w:cs="Times New Roman"/>
          <w:highlight w:val="yellow"/>
        </w:rPr>
        <w:t>(2), 216–229. https://doi.org/10.1111/opo.12657</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Lee, H. S., Park, S. W., &amp; Heo, H. (2016). Acute acquired comitant esotropia related to excessive Smartphone use. </w:t>
      </w:r>
      <w:r w:rsidRPr="00413C68">
        <w:rPr>
          <w:rFonts w:ascii="Times New Roman" w:hAnsi="Times New Roman" w:cs="Times New Roman"/>
          <w:i/>
          <w:iCs/>
        </w:rPr>
        <w:t>BMC Ophthalmology</w:t>
      </w:r>
      <w:r w:rsidRPr="00413C68">
        <w:rPr>
          <w:rFonts w:ascii="Times New Roman" w:hAnsi="Times New Roman" w:cs="Times New Roman"/>
        </w:rPr>
        <w:t xml:space="preserve">, </w:t>
      </w:r>
      <w:r w:rsidRPr="00413C68">
        <w:rPr>
          <w:rFonts w:ascii="Times New Roman" w:hAnsi="Times New Roman" w:cs="Times New Roman"/>
          <w:i/>
          <w:iCs/>
        </w:rPr>
        <w:t>16</w:t>
      </w:r>
      <w:r w:rsidRPr="00413C68">
        <w:rPr>
          <w:rFonts w:ascii="Times New Roman" w:hAnsi="Times New Roman" w:cs="Times New Roman"/>
        </w:rPr>
        <w:t>(1), 37. https://doi.org/10.1186/s12886-016-0213-5</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Leung, T. W., Chan, C.-T., Lam, C.-H., Tong, Y.-K., &amp; Kee, C.-S. (2020). Changes in corneal astigmatism and near heterophoria after smartphone use while walking and sitting. </w:t>
      </w:r>
      <w:r w:rsidRPr="00413C68">
        <w:rPr>
          <w:rFonts w:ascii="Times New Roman" w:hAnsi="Times New Roman" w:cs="Times New Roman"/>
          <w:i/>
          <w:iCs/>
        </w:rPr>
        <w:t>PLOS ONE</w:t>
      </w:r>
      <w:r w:rsidRPr="00413C68">
        <w:rPr>
          <w:rFonts w:ascii="Times New Roman" w:hAnsi="Times New Roman" w:cs="Times New Roman"/>
        </w:rPr>
        <w:t xml:space="preserve">, </w:t>
      </w:r>
      <w:r w:rsidRPr="00413C68">
        <w:rPr>
          <w:rFonts w:ascii="Times New Roman" w:hAnsi="Times New Roman" w:cs="Times New Roman"/>
          <w:i/>
          <w:iCs/>
        </w:rPr>
        <w:t>15</w:t>
      </w:r>
      <w:r w:rsidRPr="00413C68">
        <w:rPr>
          <w:rFonts w:ascii="Times New Roman" w:hAnsi="Times New Roman" w:cs="Times New Roman"/>
        </w:rPr>
        <w:t>(12), e0243072. https://doi.org/10.1371/journal.pone.0243072</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Mylona, I., Glynatsis, M. N., Floros, G. D., &amp;Kandarakis, S. (2023). Spotlight on Digital Eye Strain. </w:t>
      </w:r>
      <w:r w:rsidRPr="00413C68">
        <w:rPr>
          <w:rFonts w:ascii="Times New Roman" w:hAnsi="Times New Roman" w:cs="Times New Roman"/>
          <w:i/>
          <w:iCs/>
        </w:rPr>
        <w:t>Clinical Optometry</w:t>
      </w:r>
      <w:r w:rsidRPr="00413C68">
        <w:rPr>
          <w:rFonts w:ascii="Times New Roman" w:hAnsi="Times New Roman" w:cs="Times New Roman"/>
        </w:rPr>
        <w:t xml:space="preserve">, </w:t>
      </w:r>
      <w:r w:rsidRPr="00413C68">
        <w:rPr>
          <w:rFonts w:ascii="Times New Roman" w:hAnsi="Times New Roman" w:cs="Times New Roman"/>
          <w:i/>
          <w:iCs/>
        </w:rPr>
        <w:t>Volume 15</w:t>
      </w:r>
      <w:r w:rsidRPr="00413C68">
        <w:rPr>
          <w:rFonts w:ascii="Times New Roman" w:hAnsi="Times New Roman" w:cs="Times New Roman"/>
        </w:rPr>
        <w:t>, 29–36. https://doi.org/10.2147/OPTO.S389114</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Neena, R., Gayathri, M. S., Prakash, N., &amp; Anantharaman, G. (2023). Impact of online classes on eye health of children and young adults in the setting of COVID-19 pandemic: A hospital-based survey. </w:t>
      </w:r>
      <w:r w:rsidRPr="00413C68">
        <w:rPr>
          <w:rFonts w:ascii="Times New Roman" w:hAnsi="Times New Roman" w:cs="Times New Roman"/>
          <w:i/>
          <w:iCs/>
        </w:rPr>
        <w:t>Oman Journal of Ophthalmology</w:t>
      </w:r>
      <w:r w:rsidRPr="00413C68">
        <w:rPr>
          <w:rFonts w:ascii="Times New Roman" w:hAnsi="Times New Roman" w:cs="Times New Roman"/>
        </w:rPr>
        <w:t xml:space="preserve">, </w:t>
      </w:r>
      <w:r w:rsidRPr="00413C68">
        <w:rPr>
          <w:rFonts w:ascii="Times New Roman" w:hAnsi="Times New Roman" w:cs="Times New Roman"/>
          <w:i/>
          <w:iCs/>
        </w:rPr>
        <w:t>16</w:t>
      </w:r>
      <w:r w:rsidRPr="00413C68">
        <w:rPr>
          <w:rFonts w:ascii="Times New Roman" w:hAnsi="Times New Roman" w:cs="Times New Roman"/>
        </w:rPr>
        <w:t>(1), 45–50. https://doi.org/10.4103/ojo.ojo_57_22</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highlight w:val="yellow"/>
        </w:rPr>
        <w:t xml:space="preserve">Sheppard, A. L., &amp;Wolffsohn, J. S. (2018). Digital eye strain: Prevalence, measurement and amelioration. </w:t>
      </w:r>
      <w:r w:rsidRPr="00413C68">
        <w:rPr>
          <w:rFonts w:ascii="Times New Roman" w:hAnsi="Times New Roman" w:cs="Times New Roman"/>
          <w:i/>
          <w:iCs/>
          <w:highlight w:val="yellow"/>
        </w:rPr>
        <w:t>BMJ Open Ophthalmology</w:t>
      </w:r>
      <w:r w:rsidRPr="00413C68">
        <w:rPr>
          <w:rFonts w:ascii="Times New Roman" w:hAnsi="Times New Roman" w:cs="Times New Roman"/>
          <w:highlight w:val="yellow"/>
        </w:rPr>
        <w:t xml:space="preserve">, </w:t>
      </w:r>
      <w:r w:rsidRPr="00413C68">
        <w:rPr>
          <w:rFonts w:ascii="Times New Roman" w:hAnsi="Times New Roman" w:cs="Times New Roman"/>
          <w:i/>
          <w:iCs/>
          <w:highlight w:val="yellow"/>
        </w:rPr>
        <w:t>3</w:t>
      </w:r>
      <w:r w:rsidRPr="00413C68">
        <w:rPr>
          <w:rFonts w:ascii="Times New Roman" w:hAnsi="Times New Roman" w:cs="Times New Roman"/>
          <w:highlight w:val="yellow"/>
        </w:rPr>
        <w:t>(1), e000146. https://doi.org/10.1136/bmjophth-2018-000146</w:t>
      </w:r>
    </w:p>
    <w:p w:rsidR="00413C68" w:rsidRPr="00413C68" w:rsidRDefault="00413C68" w:rsidP="00413C68">
      <w:pPr>
        <w:pStyle w:val="Bibliography"/>
        <w:rPr>
          <w:rFonts w:ascii="Times New Roman" w:hAnsi="Times New Roman" w:cs="Times New Roman"/>
        </w:rPr>
      </w:pPr>
      <w:r w:rsidRPr="00413C68">
        <w:rPr>
          <w:rFonts w:ascii="Times New Roman" w:hAnsi="Times New Roman" w:cs="Times New Roman"/>
        </w:rPr>
        <w:t xml:space="preserve">Zhang, J., &amp; Deng, G. (2020). Protective effects of increased outdoor time against myopia: A review. </w:t>
      </w:r>
      <w:r w:rsidRPr="00413C68">
        <w:rPr>
          <w:rFonts w:ascii="Times New Roman" w:hAnsi="Times New Roman" w:cs="Times New Roman"/>
          <w:i/>
          <w:iCs/>
        </w:rPr>
        <w:t>Journal of International Medical Research</w:t>
      </w:r>
      <w:r w:rsidRPr="00413C68">
        <w:rPr>
          <w:rFonts w:ascii="Times New Roman" w:hAnsi="Times New Roman" w:cs="Times New Roman"/>
        </w:rPr>
        <w:t xml:space="preserve">, </w:t>
      </w:r>
      <w:r w:rsidRPr="00413C68">
        <w:rPr>
          <w:rFonts w:ascii="Times New Roman" w:hAnsi="Times New Roman" w:cs="Times New Roman"/>
          <w:i/>
          <w:iCs/>
        </w:rPr>
        <w:t>48</w:t>
      </w:r>
      <w:r w:rsidRPr="00413C68">
        <w:rPr>
          <w:rFonts w:ascii="Times New Roman" w:hAnsi="Times New Roman" w:cs="Times New Roman"/>
        </w:rPr>
        <w:t>(3), 0300060519893866. https://doi.org/10.1177/0300060519893866</w:t>
      </w:r>
    </w:p>
    <w:p w:rsidR="007662E5" w:rsidRDefault="00FF6408">
      <w:pPr>
        <w:jc w:val="both"/>
        <w:rPr>
          <w:rFonts w:ascii="Times New Roman" w:eastAsia="Times New Roman" w:hAnsi="Times New Roman" w:cs="Times New Roman"/>
        </w:rPr>
      </w:pPr>
      <w:r>
        <w:rPr>
          <w:rFonts w:ascii="Times New Roman" w:eastAsia="Times New Roman" w:hAnsi="Times New Roman" w:cs="Times New Roman"/>
        </w:rPr>
        <w:fldChar w:fldCharType="end"/>
      </w:r>
    </w:p>
    <w:p w:rsidR="00AE258C" w:rsidRDefault="00AE258C">
      <w:pPr>
        <w:jc w:val="both"/>
        <w:rPr>
          <w:rFonts w:ascii="Times New Roman" w:eastAsia="Times New Roman" w:hAnsi="Times New Roman" w:cs="Times New Roman"/>
        </w:rPr>
      </w:pPr>
    </w:p>
    <w:sectPr w:rsidR="00AE258C" w:rsidSect="00FF6408">
      <w:pgSz w:w="11906" w:h="16838"/>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Play">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E258C"/>
    <w:rsid w:val="000D01B9"/>
    <w:rsid w:val="0011791A"/>
    <w:rsid w:val="00120B65"/>
    <w:rsid w:val="001A62DA"/>
    <w:rsid w:val="002B4000"/>
    <w:rsid w:val="00413C68"/>
    <w:rsid w:val="005436E3"/>
    <w:rsid w:val="005945D9"/>
    <w:rsid w:val="005E177F"/>
    <w:rsid w:val="007662E5"/>
    <w:rsid w:val="008B6C35"/>
    <w:rsid w:val="00925400"/>
    <w:rsid w:val="009E6EE6"/>
    <w:rsid w:val="00A25E64"/>
    <w:rsid w:val="00A27655"/>
    <w:rsid w:val="00A64BD5"/>
    <w:rsid w:val="00A80EAC"/>
    <w:rsid w:val="00AE258C"/>
    <w:rsid w:val="00C0701A"/>
    <w:rsid w:val="00C73D55"/>
    <w:rsid w:val="00DE1716"/>
    <w:rsid w:val="00E81CCE"/>
    <w:rsid w:val="00FF6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6408"/>
  </w:style>
  <w:style w:type="paragraph" w:styleId="Heading1">
    <w:name w:val="heading 1"/>
    <w:basedOn w:val="Normal"/>
    <w:next w:val="Normal"/>
    <w:rsid w:val="00FF6408"/>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rsid w:val="00FF6408"/>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rsid w:val="00FF6408"/>
    <w:pPr>
      <w:keepNext/>
      <w:keepLines/>
      <w:spacing w:before="160" w:after="80"/>
      <w:outlineLvl w:val="2"/>
    </w:pPr>
    <w:rPr>
      <w:color w:val="0F4761"/>
      <w:sz w:val="28"/>
      <w:szCs w:val="28"/>
    </w:rPr>
  </w:style>
  <w:style w:type="paragraph" w:styleId="Heading4">
    <w:name w:val="heading 4"/>
    <w:basedOn w:val="Normal"/>
    <w:next w:val="Normal"/>
    <w:rsid w:val="00FF6408"/>
    <w:pPr>
      <w:keepNext/>
      <w:keepLines/>
      <w:spacing w:before="80" w:after="40"/>
      <w:outlineLvl w:val="3"/>
    </w:pPr>
    <w:rPr>
      <w:i/>
      <w:color w:val="0F4761"/>
    </w:rPr>
  </w:style>
  <w:style w:type="paragraph" w:styleId="Heading5">
    <w:name w:val="heading 5"/>
    <w:basedOn w:val="Normal"/>
    <w:next w:val="Normal"/>
    <w:rsid w:val="00FF6408"/>
    <w:pPr>
      <w:keepNext/>
      <w:keepLines/>
      <w:spacing w:before="80" w:after="40"/>
      <w:outlineLvl w:val="4"/>
    </w:pPr>
    <w:rPr>
      <w:color w:val="0F4761"/>
    </w:rPr>
  </w:style>
  <w:style w:type="paragraph" w:styleId="Heading6">
    <w:name w:val="heading 6"/>
    <w:basedOn w:val="Normal"/>
    <w:next w:val="Normal"/>
    <w:rsid w:val="00FF6408"/>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FF6408"/>
    <w:tblPr>
      <w:tblCellMar>
        <w:top w:w="0" w:type="dxa"/>
        <w:left w:w="0" w:type="dxa"/>
        <w:bottom w:w="0" w:type="dxa"/>
        <w:right w:w="0" w:type="dxa"/>
      </w:tblCellMar>
    </w:tblPr>
  </w:style>
  <w:style w:type="paragraph" w:styleId="Title">
    <w:name w:val="Title"/>
    <w:basedOn w:val="Normal"/>
    <w:next w:val="Normal"/>
    <w:rsid w:val="00FF6408"/>
    <w:pPr>
      <w:spacing w:after="80" w:line="240" w:lineRule="auto"/>
    </w:pPr>
    <w:rPr>
      <w:rFonts w:ascii="Play" w:eastAsia="Play" w:hAnsi="Play" w:cs="Play"/>
      <w:sz w:val="56"/>
      <w:szCs w:val="56"/>
    </w:rPr>
  </w:style>
  <w:style w:type="paragraph" w:styleId="Subtitle">
    <w:name w:val="Subtitle"/>
    <w:basedOn w:val="Normal"/>
    <w:next w:val="Normal"/>
    <w:rsid w:val="00FF6408"/>
    <w:rPr>
      <w:color w:val="595959"/>
      <w:sz w:val="28"/>
      <w:szCs w:val="28"/>
    </w:rPr>
  </w:style>
  <w:style w:type="table" w:customStyle="1" w:styleId="a">
    <w:basedOn w:val="TableNormal0"/>
    <w:rsid w:val="00FF6408"/>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rsid w:val="00FF6408"/>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FF6408"/>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FF6408"/>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FF6408"/>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rsid w:val="00FF6408"/>
    <w:pPr>
      <w:spacing w:after="0" w:line="240" w:lineRule="auto"/>
    </w:pPr>
    <w:tblPr>
      <w:tblStyleRowBandSize w:val="1"/>
      <w:tblStyleColBandSize w:val="1"/>
      <w:tblCellMar>
        <w:top w:w="0" w:type="dxa"/>
        <w:left w:w="108" w:type="dxa"/>
        <w:bottom w:w="0" w:type="dxa"/>
        <w:right w:w="108" w:type="dxa"/>
      </w:tblCellMar>
    </w:tblPr>
  </w:style>
  <w:style w:type="paragraph" w:styleId="Bibliography">
    <w:name w:val="Bibliography"/>
    <w:basedOn w:val="Normal"/>
    <w:next w:val="Normal"/>
    <w:uiPriority w:val="37"/>
    <w:unhideWhenUsed/>
    <w:rsid w:val="007662E5"/>
    <w:pPr>
      <w:spacing w:after="0" w:line="480" w:lineRule="auto"/>
      <w:ind w:left="720" w:hanging="720"/>
    </w:pPr>
    <w:rPr>
      <w:rFonts w:cs="Mangal"/>
      <w:szCs w:val="20"/>
    </w:rPr>
  </w:style>
  <w:style w:type="character" w:styleId="PlaceholderText">
    <w:name w:val="Placeholder Text"/>
    <w:basedOn w:val="DefaultParagraphFont"/>
    <w:uiPriority w:val="99"/>
    <w:semiHidden/>
    <w:rsid w:val="005436E3"/>
    <w:rPr>
      <w:color w:val="808080"/>
    </w:rPr>
  </w:style>
  <w:style w:type="paragraph" w:styleId="BalloonText">
    <w:name w:val="Balloon Text"/>
    <w:basedOn w:val="Normal"/>
    <w:link w:val="BalloonTextChar"/>
    <w:uiPriority w:val="99"/>
    <w:semiHidden/>
    <w:unhideWhenUsed/>
    <w:rsid w:val="00C73D5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73D55"/>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12024</Words>
  <Characters>68537</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 Kausar</dc:creator>
  <cp:lastModifiedBy>Wasil</cp:lastModifiedBy>
  <cp:revision>3</cp:revision>
  <dcterms:created xsi:type="dcterms:W3CDTF">2025-09-22T09:22:00Z</dcterms:created>
  <dcterms:modified xsi:type="dcterms:W3CDTF">2025-09-22T10:22:00Z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c9410db4-d576-48bd-85e7-695dca5471c7</vt:lpwstr>
  </property>
  <property fmtid="{D5CDD505-2E9C-101B-9397-08002B2CF9AE}" pid="3" name="ZOTERO_PREF_1">
    <vt:lpwstr>&lt;data data-version="3" zotero-version="7.0.24"&gt;&lt;session id="1DR6qMVm"/&gt;&lt;style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