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26D6" w14:textId="4BBBF6A8" w:rsidR="00163E3A" w:rsidRDefault="00163E3A" w:rsidP="004E19CC">
      <w:pPr>
        <w:spacing w:after="0" w:line="360" w:lineRule="auto"/>
        <w:jc w:val="center"/>
        <w:rPr>
          <w:rFonts w:ascii="Times New Roman" w:eastAsia="Times New Roman" w:hAnsi="Times New Roman" w:cs="Times New Roman"/>
          <w:b/>
          <w:bCs/>
          <w:kern w:val="0"/>
          <w:lang w:eastAsia="en-GB"/>
          <w14:ligatures w14:val="none"/>
        </w:rPr>
      </w:pPr>
      <w:r w:rsidRPr="00163E3A">
        <w:rPr>
          <w:rFonts w:ascii="Times New Roman" w:eastAsia="Times New Roman" w:hAnsi="Times New Roman" w:cs="Times New Roman"/>
          <w:b/>
          <w:bCs/>
          <w:i/>
          <w:iCs/>
          <w:kern w:val="0"/>
          <w:u w:val="single"/>
          <w:lang w:val="en-US" w:eastAsia="en-GB"/>
          <w14:ligatures w14:val="none"/>
        </w:rPr>
        <w:t>Original Research Article</w:t>
      </w:r>
    </w:p>
    <w:p w14:paraId="2E5F24FB" w14:textId="4701CAED" w:rsidR="005D5722" w:rsidRDefault="0070148F" w:rsidP="004E19CC">
      <w:pPr>
        <w:spacing w:after="0" w:line="360" w:lineRule="auto"/>
        <w:jc w:val="center"/>
        <w:rPr>
          <w:rFonts w:ascii="Times New Roman" w:eastAsia="Times New Roman" w:hAnsi="Times New Roman" w:cs="Times New Roman"/>
          <w:b/>
          <w:bCs/>
          <w:kern w:val="0"/>
          <w:lang w:eastAsia="en-GB"/>
          <w14:ligatures w14:val="none"/>
        </w:rPr>
      </w:pPr>
      <w:r w:rsidRPr="0070148F">
        <w:rPr>
          <w:rFonts w:ascii="Times New Roman" w:eastAsia="Times New Roman" w:hAnsi="Times New Roman" w:cs="Times New Roman"/>
          <w:b/>
          <w:bCs/>
          <w:kern w:val="0"/>
          <w:lang w:eastAsia="en-GB"/>
          <w14:ligatures w14:val="none"/>
        </w:rPr>
        <w:t>Management of Alternaria Leaf Blight in Sponge Gourd (Luffa cylindrica) Using Selected Chemicals and Neem Oil</w:t>
      </w:r>
    </w:p>
    <w:p w14:paraId="47BDD500" w14:textId="58A149C0"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E97220B" w14:textId="77777777" w:rsidR="0070148F" w:rsidRDefault="0070148F" w:rsidP="004E19CC">
      <w:pPr>
        <w:spacing w:after="0" w:line="360" w:lineRule="auto"/>
        <w:jc w:val="center"/>
        <w:rPr>
          <w:rFonts w:ascii="Times New Roman" w:eastAsia="Times New Roman" w:hAnsi="Times New Roman" w:cs="Times New Roman"/>
          <w:b/>
          <w:bCs/>
          <w:kern w:val="0"/>
          <w:lang w:eastAsia="en-GB"/>
          <w14:ligatures w14:val="none"/>
        </w:rPr>
      </w:pPr>
    </w:p>
    <w:p w14:paraId="3ABCCE91" w14:textId="77777777" w:rsidR="005862D3" w:rsidRDefault="005862D3" w:rsidP="0096735A">
      <w:pPr>
        <w:spacing w:after="0" w:line="360" w:lineRule="auto"/>
        <w:jc w:val="both"/>
        <w:rPr>
          <w:rFonts w:ascii="Times New Roman" w:eastAsia="Times New Roman" w:hAnsi="Times New Roman" w:cs="Times New Roman"/>
          <w:b/>
          <w:bCs/>
          <w:kern w:val="0"/>
          <w:lang w:eastAsia="en-GB"/>
          <w14:ligatures w14:val="none"/>
        </w:rPr>
      </w:pPr>
    </w:p>
    <w:p w14:paraId="784D5AC7" w14:textId="77777777" w:rsidR="00340FAD" w:rsidRPr="00BB4B6E" w:rsidRDefault="00340FAD" w:rsidP="0096735A">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Abstract </w:t>
      </w:r>
    </w:p>
    <w:p w14:paraId="4AA076C8" w14:textId="11A31802" w:rsidR="00340FAD" w:rsidRPr="00BB4B6E" w:rsidRDefault="00E90FBE" w:rsidP="00340FAD">
      <w:pPr>
        <w:spacing w:after="0" w:line="360" w:lineRule="auto"/>
        <w:jc w:val="both"/>
        <w:rPr>
          <w:rFonts w:ascii="Times New Roman" w:hAnsi="Times New Roman" w:cs="Times New Roman"/>
        </w:rPr>
      </w:pPr>
      <w:r w:rsidRPr="00E90FBE">
        <w:rPr>
          <w:rFonts w:ascii="Times New Roman" w:hAnsi="Times New Roman" w:cs="Times New Roman"/>
          <w:highlight w:val="yellow"/>
        </w:rPr>
        <w:t>Sponge gourd (</w:t>
      </w:r>
      <w:r w:rsidRPr="00E90FBE">
        <w:rPr>
          <w:rStyle w:val="Emphasis"/>
          <w:rFonts w:ascii="Times New Roman" w:hAnsi="Times New Roman" w:cs="Times New Roman"/>
          <w:highlight w:val="yellow"/>
        </w:rPr>
        <w:t>Luffa cylindrica</w:t>
      </w:r>
      <w:r w:rsidRPr="00E90FBE">
        <w:rPr>
          <w:rFonts w:ascii="Times New Roman" w:hAnsi="Times New Roman" w:cs="Times New Roman"/>
          <w:highlight w:val="yellow"/>
        </w:rPr>
        <w:t xml:space="preserve"> (L.) Roxb.) is one of the most widely cultivated vegetables in the Cucurbitaceae family. It is highly nutritious, providing a good source of vitamins, iron, and essential minerals. The vegetable is light, easy to digest, and commonly used in a variety of dishes.</w:t>
      </w:r>
      <w:r w:rsidRPr="00E90FBE">
        <w:rPr>
          <w:rFonts w:ascii="Times New Roman" w:hAnsi="Times New Roman" w:cs="Times New Roman"/>
        </w:rPr>
        <w:t xml:space="preserve"> </w:t>
      </w:r>
      <w:r w:rsidR="00340FAD" w:rsidRPr="00BB4B6E">
        <w:rPr>
          <w:rFonts w:ascii="Times New Roman" w:hAnsi="Times New Roman" w:cs="Times New Roman"/>
        </w:rPr>
        <w:t xml:space="preserve">Among fungal diseases, Alternaria leaf blight and leaf spot caused by Alternaria spp. are the most important diseases of sponge gourd. A field trial was conducted to evaluate the efficacy of neem oil with different chemicals on Alternaria leaf blight of sponge gourd. The experiment was done using RBD (Randomized Block Design) with three replications with seven treatments </w:t>
      </w:r>
      <w:r w:rsidR="00C942BA" w:rsidRPr="00C942BA">
        <w:rPr>
          <w:rFonts w:ascii="Times New Roman" w:hAnsi="Times New Roman" w:cs="Times New Roman"/>
          <w:highlight w:val="yellow"/>
        </w:rPr>
        <w:t>such as</w:t>
      </w:r>
      <w:r w:rsidR="00340FAD" w:rsidRPr="00BB4B6E">
        <w:rPr>
          <w:rFonts w:ascii="Times New Roman" w:hAnsi="Times New Roman" w:cs="Times New Roman"/>
        </w:rPr>
        <w:t xml:space="preserve">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0 </w:t>
      </w:r>
      <w:r w:rsidR="00D450DB" w:rsidRPr="00D450DB">
        <w:rPr>
          <w:rFonts w:ascii="Times New Roman" w:eastAsia="Times New Roman" w:hAnsi="Times New Roman" w:cs="Times New Roman"/>
          <w:kern w:val="0"/>
          <w:highlight w:val="yellow"/>
          <w:lang w:eastAsia="en-GB"/>
          <w14:ligatures w14:val="none"/>
        </w:rPr>
        <w:t>–</w:t>
      </w:r>
      <w:r w:rsidR="00D450DB" w:rsidRPr="00D450DB">
        <w:rPr>
          <w:rFonts w:ascii="Times New Roman" w:eastAsia="Times New Roman" w:hAnsi="Times New Roman" w:cs="Times New Roman"/>
          <w:b/>
          <w:bCs/>
          <w:kern w:val="0"/>
          <w:highlight w:val="yellow"/>
          <w:lang w:eastAsia="en-GB"/>
          <w14:ligatures w14:val="none"/>
        </w:rPr>
        <w:t xml:space="preserve"> </w:t>
      </w:r>
      <w:r w:rsidR="00D450DB" w:rsidRPr="00D450DB">
        <w:rPr>
          <w:rFonts w:ascii="Times New Roman" w:hAnsi="Times New Roman" w:cs="Times New Roman"/>
          <w:highlight w:val="yellow"/>
        </w:rPr>
        <w:t xml:space="preserve">control,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1 </w:t>
      </w:r>
      <w:r w:rsidR="00D450DB" w:rsidRPr="00D450DB">
        <w:rPr>
          <w:rFonts w:ascii="Times New Roman" w:eastAsia="Times New Roman" w:hAnsi="Times New Roman" w:cs="Times New Roman"/>
          <w:kern w:val="0"/>
          <w:highlight w:val="yellow"/>
          <w:lang w:eastAsia="en-GB"/>
          <w14:ligatures w14:val="none"/>
        </w:rPr>
        <w:t>-</w:t>
      </w:r>
      <w:r w:rsidR="00D450DB" w:rsidRPr="00D450DB">
        <w:rPr>
          <w:rFonts w:ascii="Times New Roman" w:eastAsia="Times New Roman" w:hAnsi="Times New Roman" w:cs="Times New Roman"/>
          <w:b/>
          <w:bCs/>
          <w:kern w:val="0"/>
          <w:highlight w:val="yellow"/>
          <w:lang w:eastAsia="en-GB"/>
          <w14:ligatures w14:val="none"/>
        </w:rPr>
        <w:t xml:space="preserve"> </w:t>
      </w:r>
      <w:r w:rsidR="00D450DB" w:rsidRPr="00D450DB">
        <w:rPr>
          <w:rFonts w:ascii="Times New Roman" w:hAnsi="Times New Roman" w:cs="Times New Roman"/>
          <w:highlight w:val="yellow"/>
        </w:rPr>
        <w:t xml:space="preserve">Neem oil @ 5%,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2 </w:t>
      </w:r>
      <w:r w:rsidR="00D450DB" w:rsidRPr="00D450DB">
        <w:rPr>
          <w:rFonts w:ascii="Times New Roman" w:eastAsia="Times New Roman" w:hAnsi="Times New Roman" w:cs="Times New Roman"/>
          <w:kern w:val="0"/>
          <w:highlight w:val="yellow"/>
          <w:lang w:eastAsia="en-GB"/>
          <w14:ligatures w14:val="none"/>
        </w:rPr>
        <w:t>-</w:t>
      </w:r>
      <w:r w:rsidR="00340FAD" w:rsidRPr="00D450DB">
        <w:rPr>
          <w:rFonts w:ascii="Times New Roman" w:hAnsi="Times New Roman" w:cs="Times New Roman"/>
          <w:highlight w:val="yellow"/>
        </w:rPr>
        <w:t xml:space="preserve">Carbendazim 12% @0.3% + Neem oil @2.0%,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3 </w:t>
      </w:r>
      <w:r w:rsidR="00D450DB" w:rsidRPr="00D450DB">
        <w:rPr>
          <w:rFonts w:ascii="Times New Roman" w:eastAsia="Times New Roman" w:hAnsi="Times New Roman" w:cs="Times New Roman"/>
          <w:kern w:val="0"/>
          <w:highlight w:val="yellow"/>
          <w:lang w:eastAsia="en-GB"/>
          <w14:ligatures w14:val="none"/>
        </w:rPr>
        <w:t>-</w:t>
      </w:r>
      <w:r w:rsidR="00D450DB" w:rsidRPr="00D450DB">
        <w:rPr>
          <w:rFonts w:ascii="Times New Roman" w:hAnsi="Times New Roman" w:cs="Times New Roman"/>
          <w:highlight w:val="yellow"/>
        </w:rPr>
        <w:t xml:space="preserve"> Captan 70% @0.2% + Neem oil @2.0%,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4 </w:t>
      </w:r>
      <w:r w:rsidR="00D450DB" w:rsidRPr="00D450DB">
        <w:rPr>
          <w:rFonts w:ascii="Times New Roman" w:eastAsia="Times New Roman" w:hAnsi="Times New Roman" w:cs="Times New Roman"/>
          <w:kern w:val="0"/>
          <w:highlight w:val="yellow"/>
          <w:lang w:eastAsia="en-GB"/>
          <w14:ligatures w14:val="none"/>
        </w:rPr>
        <w:t>–</w:t>
      </w:r>
      <w:r w:rsidR="00D450DB" w:rsidRPr="00D450DB">
        <w:rPr>
          <w:rFonts w:ascii="Times New Roman" w:eastAsia="Times New Roman" w:hAnsi="Times New Roman" w:cs="Times New Roman"/>
          <w:b/>
          <w:bCs/>
          <w:kern w:val="0"/>
          <w:highlight w:val="yellow"/>
          <w:lang w:eastAsia="en-GB"/>
          <w14:ligatures w14:val="none"/>
        </w:rPr>
        <w:t xml:space="preserve"> </w:t>
      </w:r>
      <w:r w:rsidR="00340FAD" w:rsidRPr="00D450DB">
        <w:rPr>
          <w:rFonts w:ascii="Times New Roman" w:hAnsi="Times New Roman" w:cs="Times New Roman"/>
          <w:highlight w:val="yellow"/>
        </w:rPr>
        <w:t xml:space="preserve">Fosetyl-Al @0.2% + Neem oil @2.0%,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5 </w:t>
      </w:r>
      <w:r w:rsidR="00D450DB" w:rsidRPr="00D450DB">
        <w:rPr>
          <w:rFonts w:ascii="Times New Roman" w:eastAsia="Times New Roman" w:hAnsi="Times New Roman" w:cs="Times New Roman"/>
          <w:kern w:val="0"/>
          <w:highlight w:val="yellow"/>
          <w:lang w:eastAsia="en-GB"/>
          <w14:ligatures w14:val="none"/>
        </w:rPr>
        <w:t xml:space="preserve">– </w:t>
      </w:r>
      <w:r w:rsidR="00340FAD" w:rsidRPr="00D450DB">
        <w:rPr>
          <w:rFonts w:ascii="Times New Roman" w:hAnsi="Times New Roman" w:cs="Times New Roman"/>
          <w:highlight w:val="yellow"/>
        </w:rPr>
        <w:t>Tebuconazole 50% @0.2% Neem oil @2.0%</w:t>
      </w:r>
      <w:r w:rsidR="00D450DB" w:rsidRPr="00D450DB">
        <w:rPr>
          <w:rFonts w:ascii="Times New Roman" w:hAnsi="Times New Roman" w:cs="Times New Roman"/>
          <w:highlight w:val="yellow"/>
        </w:rPr>
        <w:t xml:space="preserve"> and</w:t>
      </w:r>
      <w:r w:rsidR="00340FAD" w:rsidRPr="00D450DB">
        <w:rPr>
          <w:rFonts w:ascii="Times New Roman" w:hAnsi="Times New Roman" w:cs="Times New Roman"/>
          <w:highlight w:val="yellow"/>
        </w:rPr>
        <w:t xml:space="preserve"> </w:t>
      </w:r>
      <w:r w:rsidR="00D450DB" w:rsidRPr="00D450DB">
        <w:rPr>
          <w:rFonts w:ascii="Times New Roman" w:eastAsia="Times New Roman" w:hAnsi="Times New Roman" w:cs="Times New Roman"/>
          <w:kern w:val="0"/>
          <w:highlight w:val="yellow"/>
          <w:lang w:eastAsia="en-GB"/>
          <w14:ligatures w14:val="none"/>
        </w:rPr>
        <w:t>T</w:t>
      </w:r>
      <w:r w:rsidR="00D450DB" w:rsidRPr="00D450DB">
        <w:rPr>
          <w:rFonts w:ascii="Times New Roman" w:eastAsia="Times New Roman" w:hAnsi="Times New Roman" w:cs="Times New Roman"/>
          <w:kern w:val="0"/>
          <w:highlight w:val="yellow"/>
          <w:vertAlign w:val="subscript"/>
          <w:lang w:eastAsia="en-GB"/>
          <w14:ligatures w14:val="none"/>
        </w:rPr>
        <w:t xml:space="preserve">6 </w:t>
      </w:r>
      <w:r w:rsidR="00D450DB" w:rsidRPr="00D450DB">
        <w:rPr>
          <w:rFonts w:ascii="Times New Roman" w:eastAsia="Times New Roman" w:hAnsi="Times New Roman" w:cs="Times New Roman"/>
          <w:kern w:val="0"/>
          <w:highlight w:val="yellow"/>
          <w:lang w:eastAsia="en-GB"/>
          <w14:ligatures w14:val="none"/>
        </w:rPr>
        <w:t xml:space="preserve">– </w:t>
      </w:r>
      <w:r w:rsidR="00340FAD" w:rsidRPr="00D450DB">
        <w:rPr>
          <w:rFonts w:ascii="Times New Roman" w:hAnsi="Times New Roman" w:cs="Times New Roman"/>
          <w:highlight w:val="yellow"/>
        </w:rPr>
        <w:t>Hexaconazole 5% WP @0.2% + Neem oil @2.0%.</w:t>
      </w:r>
      <w:r w:rsidR="00340FAD" w:rsidRPr="00BB4B6E">
        <w:rPr>
          <w:rFonts w:ascii="Times New Roman" w:hAnsi="Times New Roman" w:cs="Times New Roman"/>
        </w:rPr>
        <w:t xml:space="preserve"> </w:t>
      </w:r>
      <w:r w:rsidR="00340FAD" w:rsidRPr="00C942BA">
        <w:rPr>
          <w:rFonts w:ascii="Times New Roman" w:hAnsi="Times New Roman" w:cs="Times New Roman"/>
          <w:highlight w:val="yellow"/>
        </w:rPr>
        <w:t>All the treatments</w:t>
      </w:r>
      <w:r w:rsidR="00340FAD" w:rsidRPr="00BB4B6E">
        <w:rPr>
          <w:rFonts w:ascii="Times New Roman" w:hAnsi="Times New Roman" w:cs="Times New Roman"/>
        </w:rPr>
        <w:t xml:space="preserve"> used in experiment were found effective to varying </w:t>
      </w:r>
      <w:r w:rsidR="00340FAD" w:rsidRPr="00C942BA">
        <w:rPr>
          <w:rFonts w:ascii="Times New Roman" w:hAnsi="Times New Roman" w:cs="Times New Roman"/>
          <w:highlight w:val="yellow"/>
        </w:rPr>
        <w:t>extent</w:t>
      </w:r>
      <w:r w:rsidR="00C942BA" w:rsidRPr="00C942BA">
        <w:rPr>
          <w:rFonts w:ascii="Times New Roman" w:hAnsi="Times New Roman" w:cs="Times New Roman"/>
          <w:highlight w:val="yellow"/>
        </w:rPr>
        <w:t>s</w:t>
      </w:r>
      <w:r w:rsidR="00340FAD" w:rsidRPr="00BB4B6E">
        <w:rPr>
          <w:rFonts w:ascii="Times New Roman" w:hAnsi="Times New Roman" w:cs="Times New Roman"/>
        </w:rPr>
        <w:t xml:space="preserve">. All the </w:t>
      </w:r>
      <w:r w:rsidR="00340FAD" w:rsidRPr="00C942BA">
        <w:rPr>
          <w:rFonts w:ascii="Times New Roman" w:hAnsi="Times New Roman" w:cs="Times New Roman"/>
          <w:highlight w:val="yellow"/>
        </w:rPr>
        <w:t>treatment</w:t>
      </w:r>
      <w:r w:rsidR="00C942BA" w:rsidRPr="00C942BA">
        <w:rPr>
          <w:rFonts w:ascii="Times New Roman" w:hAnsi="Times New Roman" w:cs="Times New Roman"/>
          <w:highlight w:val="yellow"/>
        </w:rPr>
        <w:t>s were</w:t>
      </w:r>
      <w:r w:rsidR="00340FAD" w:rsidRPr="00BB4B6E">
        <w:rPr>
          <w:rFonts w:ascii="Times New Roman" w:hAnsi="Times New Roman" w:cs="Times New Roman"/>
        </w:rPr>
        <w:t xml:space="preserve"> statistically significant over </w:t>
      </w:r>
      <w:r w:rsidR="00C942BA" w:rsidRPr="00C942BA">
        <w:rPr>
          <w:rFonts w:ascii="Times New Roman" w:hAnsi="Times New Roman" w:cs="Times New Roman"/>
          <w:highlight w:val="yellow"/>
        </w:rPr>
        <w:t>the</w:t>
      </w:r>
      <w:r w:rsidR="00C942BA">
        <w:rPr>
          <w:rFonts w:ascii="Times New Roman" w:hAnsi="Times New Roman" w:cs="Times New Roman"/>
        </w:rPr>
        <w:t xml:space="preserve"> </w:t>
      </w:r>
      <w:r w:rsidR="00340FAD" w:rsidRPr="00C942BA">
        <w:rPr>
          <w:rFonts w:ascii="Times New Roman" w:hAnsi="Times New Roman" w:cs="Times New Roman"/>
          <w:highlight w:val="yellow"/>
        </w:rPr>
        <w:t>control</w:t>
      </w:r>
      <w:r w:rsidR="00C942BA" w:rsidRPr="00C942BA">
        <w:rPr>
          <w:rFonts w:ascii="Times New Roman" w:hAnsi="Times New Roman" w:cs="Times New Roman"/>
          <w:highlight w:val="yellow"/>
        </w:rPr>
        <w:t>,</w:t>
      </w:r>
      <w:r w:rsidR="00340FAD" w:rsidRPr="00C942BA">
        <w:rPr>
          <w:rFonts w:ascii="Times New Roman" w:hAnsi="Times New Roman" w:cs="Times New Roman"/>
          <w:highlight w:val="yellow"/>
        </w:rPr>
        <w:t xml:space="preserve"> but </w:t>
      </w:r>
      <w:r w:rsidR="00C942BA" w:rsidRPr="00C942BA">
        <w:rPr>
          <w:rFonts w:ascii="Times New Roman" w:hAnsi="Times New Roman" w:cs="Times New Roman"/>
          <w:highlight w:val="yellow"/>
        </w:rPr>
        <w:t>the treatments with</w:t>
      </w:r>
      <w:r w:rsidR="00C942BA" w:rsidRPr="00BB4B6E">
        <w:rPr>
          <w:rFonts w:ascii="Times New Roman" w:hAnsi="Times New Roman" w:cs="Times New Roman"/>
        </w:rPr>
        <w:t xml:space="preserve"> </w:t>
      </w:r>
      <w:r w:rsidR="00340FAD" w:rsidRPr="00BB4B6E">
        <w:rPr>
          <w:rFonts w:ascii="Times New Roman" w:hAnsi="Times New Roman" w:cs="Times New Roman"/>
        </w:rPr>
        <w:t xml:space="preserve">Captan 70% @0.2% + Neem oil @2.0% was </w:t>
      </w:r>
      <w:r w:rsidR="00C942BA" w:rsidRPr="00C942BA">
        <w:rPr>
          <w:rFonts w:ascii="Times New Roman" w:hAnsi="Times New Roman" w:cs="Times New Roman"/>
          <w:highlight w:val="yellow"/>
        </w:rPr>
        <w:t>highly</w:t>
      </w:r>
      <w:r w:rsidR="00340FAD" w:rsidRPr="00BB4B6E">
        <w:rPr>
          <w:rFonts w:ascii="Times New Roman" w:hAnsi="Times New Roman" w:cs="Times New Roman"/>
        </w:rPr>
        <w:t xml:space="preserve"> significant. </w:t>
      </w:r>
      <w:r w:rsidR="00685150" w:rsidRPr="00685150">
        <w:rPr>
          <w:rFonts w:ascii="Times New Roman" w:hAnsi="Times New Roman" w:cs="Times New Roman"/>
          <w:highlight w:val="yellow"/>
        </w:rPr>
        <w:t>The treatment</w:t>
      </w:r>
      <w:r w:rsidR="00685150">
        <w:rPr>
          <w:rFonts w:ascii="Times New Roman" w:hAnsi="Times New Roman" w:cs="Times New Roman"/>
        </w:rPr>
        <w:t xml:space="preserve"> </w:t>
      </w:r>
      <w:r w:rsidR="00685150" w:rsidRPr="00D450DB">
        <w:rPr>
          <w:rFonts w:ascii="Times New Roman" w:eastAsia="Times New Roman" w:hAnsi="Times New Roman" w:cs="Times New Roman"/>
          <w:kern w:val="0"/>
          <w:highlight w:val="yellow"/>
          <w:lang w:eastAsia="en-GB"/>
          <w14:ligatures w14:val="none"/>
        </w:rPr>
        <w:t>T</w:t>
      </w:r>
      <w:r w:rsidR="00685150" w:rsidRPr="00D450DB">
        <w:rPr>
          <w:rFonts w:ascii="Times New Roman" w:eastAsia="Times New Roman" w:hAnsi="Times New Roman" w:cs="Times New Roman"/>
          <w:kern w:val="0"/>
          <w:highlight w:val="yellow"/>
          <w:vertAlign w:val="subscript"/>
          <w:lang w:eastAsia="en-GB"/>
          <w14:ligatures w14:val="none"/>
        </w:rPr>
        <w:t xml:space="preserve">3 </w:t>
      </w:r>
      <w:r w:rsidR="00685150" w:rsidRPr="00D450DB">
        <w:rPr>
          <w:rFonts w:ascii="Times New Roman" w:eastAsia="Times New Roman" w:hAnsi="Times New Roman" w:cs="Times New Roman"/>
          <w:kern w:val="0"/>
          <w:highlight w:val="yellow"/>
          <w:lang w:eastAsia="en-GB"/>
          <w14:ligatures w14:val="none"/>
        </w:rPr>
        <w:t>-</w:t>
      </w:r>
      <w:r w:rsidR="00685150" w:rsidRPr="00D450DB">
        <w:rPr>
          <w:rFonts w:ascii="Times New Roman" w:hAnsi="Times New Roman" w:cs="Times New Roman"/>
          <w:highlight w:val="yellow"/>
        </w:rPr>
        <w:t xml:space="preserve"> </w:t>
      </w:r>
      <w:r w:rsidR="00685150">
        <w:rPr>
          <w:rFonts w:ascii="Times New Roman" w:hAnsi="Times New Roman" w:cs="Times New Roman"/>
        </w:rPr>
        <w:t xml:space="preserve"> </w:t>
      </w:r>
      <w:r w:rsidR="00340FAD" w:rsidRPr="00BB4B6E">
        <w:rPr>
          <w:rFonts w:ascii="Times New Roman" w:hAnsi="Times New Roman" w:cs="Times New Roman"/>
        </w:rPr>
        <w:t xml:space="preserve">Captan 70% @0.2% + Neem oil @2.0% proved to be most effective against </w:t>
      </w:r>
      <w:r w:rsidR="00340FAD" w:rsidRPr="00685150">
        <w:rPr>
          <w:rFonts w:ascii="Times New Roman" w:hAnsi="Times New Roman" w:cs="Times New Roman"/>
          <w:i/>
          <w:iCs/>
          <w:highlight w:val="yellow"/>
        </w:rPr>
        <w:t>Alternaria cucumerina</w:t>
      </w:r>
      <w:r w:rsidR="00340FAD" w:rsidRPr="00BB4B6E">
        <w:rPr>
          <w:rFonts w:ascii="Times New Roman" w:hAnsi="Times New Roman" w:cs="Times New Roman"/>
        </w:rPr>
        <w:t xml:space="preserve">, reducing the disease intensity and </w:t>
      </w:r>
      <w:r w:rsidR="00E05A07" w:rsidRPr="00E05A07">
        <w:rPr>
          <w:rFonts w:ascii="Times New Roman" w:hAnsi="Times New Roman" w:cs="Times New Roman"/>
          <w:highlight w:val="yellow"/>
        </w:rPr>
        <w:t>prompting high yield and thus</w:t>
      </w:r>
      <w:r w:rsidR="00E05A07">
        <w:rPr>
          <w:rFonts w:ascii="Times New Roman" w:hAnsi="Times New Roman" w:cs="Times New Roman"/>
        </w:rPr>
        <w:t xml:space="preserve"> </w:t>
      </w:r>
      <w:r w:rsidR="00340FAD" w:rsidRPr="00BB4B6E">
        <w:rPr>
          <w:rFonts w:ascii="Times New Roman" w:hAnsi="Times New Roman" w:cs="Times New Roman"/>
        </w:rPr>
        <w:t xml:space="preserve">statistically significant. The maximum yield </w:t>
      </w:r>
      <w:r w:rsidR="00340FAD" w:rsidRPr="00B75BBB">
        <w:rPr>
          <w:rFonts w:ascii="Times New Roman" w:hAnsi="Times New Roman" w:cs="Times New Roman"/>
          <w:highlight w:val="yellow"/>
        </w:rPr>
        <w:t>(t/ha)</w:t>
      </w:r>
      <w:r w:rsidR="00340FAD" w:rsidRPr="00BB4B6E">
        <w:rPr>
          <w:rFonts w:ascii="Times New Roman" w:hAnsi="Times New Roman" w:cs="Times New Roman"/>
        </w:rPr>
        <w:t xml:space="preserve"> in sponge gourd and </w:t>
      </w:r>
      <w:r w:rsidR="00340FAD" w:rsidRPr="00E05A07">
        <w:rPr>
          <w:rFonts w:ascii="Times New Roman" w:hAnsi="Times New Roman" w:cs="Times New Roman"/>
          <w:highlight w:val="yellow"/>
        </w:rPr>
        <w:t>C</w:t>
      </w:r>
      <w:r w:rsidR="00E05A07" w:rsidRPr="00E05A07">
        <w:rPr>
          <w:rFonts w:ascii="Times New Roman" w:hAnsi="Times New Roman" w:cs="Times New Roman"/>
          <w:highlight w:val="yellow"/>
        </w:rPr>
        <w:t>:B</w:t>
      </w:r>
      <w:r w:rsidR="00340FAD" w:rsidRPr="00BB4B6E">
        <w:rPr>
          <w:rFonts w:ascii="Times New Roman" w:hAnsi="Times New Roman" w:cs="Times New Roman"/>
        </w:rPr>
        <w:t xml:space="preserve"> ratio was recorded </w:t>
      </w:r>
      <w:r w:rsidR="00E05A07" w:rsidRPr="00E05A07">
        <w:rPr>
          <w:rFonts w:ascii="Times New Roman" w:hAnsi="Times New Roman" w:cs="Times New Roman"/>
          <w:highlight w:val="yellow"/>
        </w:rPr>
        <w:t>with</w:t>
      </w:r>
      <w:r w:rsidR="00340FAD" w:rsidRPr="00BB4B6E">
        <w:rPr>
          <w:rFonts w:ascii="Times New Roman" w:hAnsi="Times New Roman" w:cs="Times New Roman"/>
        </w:rPr>
        <w:t xml:space="preserve"> Captan 70% @0.2% + Neem oil @2.0%.</w:t>
      </w:r>
    </w:p>
    <w:p w14:paraId="08F9C57B" w14:textId="77777777" w:rsidR="00340FAD" w:rsidRPr="00BB4B6E" w:rsidRDefault="00340FAD" w:rsidP="00340FAD">
      <w:pPr>
        <w:spacing w:after="0" w:line="360" w:lineRule="auto"/>
        <w:jc w:val="both"/>
        <w:rPr>
          <w:rFonts w:ascii="Times New Roman" w:hAnsi="Times New Roman" w:cs="Times New Roman"/>
        </w:rPr>
      </w:pPr>
    </w:p>
    <w:p w14:paraId="7119A598" w14:textId="77777777" w:rsidR="00340FAD" w:rsidRPr="00BB4B6E" w:rsidRDefault="00340FAD" w:rsidP="00340FAD">
      <w:pPr>
        <w:spacing w:after="0" w:line="360" w:lineRule="auto"/>
        <w:jc w:val="both"/>
        <w:rPr>
          <w:rFonts w:ascii="Times New Roman" w:hAnsi="Times New Roman" w:cs="Times New Roman"/>
        </w:rPr>
      </w:pPr>
      <w:r w:rsidRPr="00BB4B6E">
        <w:rPr>
          <w:rFonts w:ascii="Times New Roman" w:hAnsi="Times New Roman" w:cs="Times New Roman"/>
        </w:rPr>
        <w:t xml:space="preserve">Keywords: </w:t>
      </w:r>
      <w:r w:rsidRPr="00BB4B6E">
        <w:rPr>
          <w:rFonts w:ascii="Times New Roman" w:hAnsi="Times New Roman" w:cs="Times New Roman"/>
          <w:i/>
          <w:iCs/>
        </w:rPr>
        <w:t>Alternaria cucumerina</w:t>
      </w:r>
      <w:r w:rsidRPr="00BB4B6E">
        <w:rPr>
          <w:rFonts w:ascii="Times New Roman" w:hAnsi="Times New Roman" w:cs="Times New Roman"/>
        </w:rPr>
        <w:t xml:space="preserve">, Captan, Carbendazim, Cucurbitaceae,. Fosetyl-Al, Hexaconazole, Neem oil, Tebuconazole. </w:t>
      </w:r>
    </w:p>
    <w:p w14:paraId="7FF2B4F9" w14:textId="77777777" w:rsidR="00340FAD" w:rsidRPr="00BB4B6E" w:rsidRDefault="00340FAD" w:rsidP="0096735A">
      <w:pPr>
        <w:spacing w:after="0" w:line="360" w:lineRule="auto"/>
        <w:jc w:val="both"/>
        <w:rPr>
          <w:rFonts w:ascii="Times New Roman" w:eastAsia="Times New Roman" w:hAnsi="Times New Roman" w:cs="Times New Roman"/>
          <w:kern w:val="0"/>
          <w:lang w:eastAsia="en-GB"/>
          <w14:ligatures w14:val="none"/>
        </w:rPr>
      </w:pPr>
    </w:p>
    <w:p w14:paraId="1D159EEF" w14:textId="77777777" w:rsidR="00340FAD" w:rsidRPr="00BB4B6E" w:rsidRDefault="00340FAD" w:rsidP="00BB4B6E">
      <w:pPr>
        <w:pStyle w:val="ListParagraph"/>
        <w:numPr>
          <w:ilvl w:val="0"/>
          <w:numId w:val="1"/>
        </w:num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Introduction </w:t>
      </w:r>
    </w:p>
    <w:p w14:paraId="617EEEA5" w14:textId="788F417E" w:rsidR="0096735A" w:rsidRPr="0096735A" w:rsidRDefault="00E90FBE" w:rsidP="0096735A">
      <w:pPr>
        <w:spacing w:after="0" w:line="360" w:lineRule="auto"/>
        <w:jc w:val="both"/>
        <w:rPr>
          <w:rFonts w:ascii="Times New Roman" w:eastAsia="Times New Roman" w:hAnsi="Times New Roman" w:cs="Times New Roman"/>
          <w:kern w:val="0"/>
          <w:lang w:eastAsia="en-GB"/>
          <w14:ligatures w14:val="none"/>
        </w:rPr>
      </w:pPr>
      <w:r w:rsidRPr="00E90FBE">
        <w:rPr>
          <w:rFonts w:ascii="Times New Roman" w:hAnsi="Times New Roman" w:cs="Times New Roman"/>
          <w:highlight w:val="yellow"/>
        </w:rPr>
        <w:t>Sponge gourd (</w:t>
      </w:r>
      <w:r w:rsidRPr="00E90FBE">
        <w:rPr>
          <w:rStyle w:val="Emphasis"/>
          <w:rFonts w:ascii="Times New Roman" w:hAnsi="Times New Roman" w:cs="Times New Roman"/>
          <w:highlight w:val="yellow"/>
        </w:rPr>
        <w:t>Luffa cylindrica</w:t>
      </w:r>
      <w:r w:rsidRPr="00E90FBE">
        <w:rPr>
          <w:rFonts w:ascii="Times New Roman" w:hAnsi="Times New Roman" w:cs="Times New Roman"/>
          <w:highlight w:val="yellow"/>
        </w:rPr>
        <w:t xml:space="preserve"> L. Roxb.), often referred to as loofah, is a member of the Cucurbitaceae family and is believed to have originated in India. The crop is now extensively grown across tropical and subtropical regions of the world, particularly in countries such as China, Korea, Japan, India, and parts of Central America</w:t>
      </w:r>
      <w:r w:rsidRPr="0096735A">
        <w:rPr>
          <w:rFonts w:ascii="Times New Roman" w:eastAsia="Times New Roman" w:hAnsi="Times New Roman" w:cs="Times New Roman"/>
          <w:kern w:val="0"/>
          <w:lang w:eastAsia="en-GB"/>
          <w14:ligatures w14:val="none"/>
        </w:rPr>
        <w:t xml:space="preserve"> </w:t>
      </w:r>
      <w:r w:rsidR="0096735A" w:rsidRPr="0096735A">
        <w:rPr>
          <w:rFonts w:ascii="Times New Roman" w:eastAsia="Times New Roman" w:hAnsi="Times New Roman" w:cs="Times New Roman"/>
          <w:kern w:val="0"/>
          <w:lang w:eastAsia="en-GB"/>
          <w14:ligatures w14:val="none"/>
        </w:rPr>
        <w:t xml:space="preserve">(Bal </w:t>
      </w:r>
      <w:r w:rsidR="0096735A" w:rsidRPr="0096735A">
        <w:rPr>
          <w:rFonts w:ascii="Times New Roman" w:eastAsia="Times New Roman" w:hAnsi="Times New Roman" w:cs="Times New Roman"/>
          <w:i/>
          <w:iCs/>
          <w:kern w:val="0"/>
          <w:lang w:eastAsia="en-GB"/>
          <w14:ligatures w14:val="none"/>
        </w:rPr>
        <w:t>et al</w:t>
      </w:r>
      <w:r w:rsidR="0096735A" w:rsidRPr="0096735A">
        <w:rPr>
          <w:rFonts w:ascii="Times New Roman" w:eastAsia="Times New Roman" w:hAnsi="Times New Roman" w:cs="Times New Roman"/>
          <w:kern w:val="0"/>
          <w:lang w:eastAsia="en-GB"/>
          <w14:ligatures w14:val="none"/>
        </w:rPr>
        <w:t xml:space="preserve">., 2004; Oboh and Aluyor, 2009). India is the second-largest producer of cucurbitaceous vegetables after China, </w:t>
      </w:r>
      <w:r w:rsidR="0096735A" w:rsidRPr="0096735A">
        <w:rPr>
          <w:rFonts w:ascii="Times New Roman" w:eastAsia="Times New Roman" w:hAnsi="Times New Roman" w:cs="Times New Roman"/>
          <w:kern w:val="0"/>
          <w:lang w:eastAsia="en-GB"/>
          <w14:ligatures w14:val="none"/>
        </w:rPr>
        <w:lastRenderedPageBreak/>
        <w:t>contributing significantly to global production of approximately 500 million tonnes annually (Kalloo and Pandey, 2002).</w:t>
      </w:r>
    </w:p>
    <w:p w14:paraId="5D961624" w14:textId="04BFD348"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 xml:space="preserve">The crop is grown for both edible immature fruits and mature fibrous sponges used for bathing and cleaning. The fruit is rich in nutrients, containing 93.2 g moisture, 1.2 g protein, 0.20 g fat, 2.9 g carbohydrates, vitamins A and C, iron, calcium (36 mg), phosphorus (19 mg), and fiber (0.20 g) per 100 g of edible portion. </w:t>
      </w:r>
      <w:r w:rsidR="00E90FBE" w:rsidRPr="00E90FBE">
        <w:rPr>
          <w:rFonts w:ascii="Times New Roman" w:hAnsi="Times New Roman" w:cs="Times New Roman"/>
          <w:highlight w:val="yellow"/>
        </w:rPr>
        <w:t>The sponge gourd contains about 55–90% cellulose, 10–23% lignin, 8–22% hemicellulose, and approximately 2.4% ash</w:t>
      </w:r>
      <w:r w:rsidR="00E90FBE"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kern w:val="0"/>
          <w:lang w:eastAsia="en-GB"/>
          <w14:ligatures w14:val="none"/>
        </w:rPr>
        <w:t xml:space="preserve">(Satyanarayana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xml:space="preserve">., 2007; Tanobe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2005).</w:t>
      </w:r>
    </w:p>
    <w:p w14:paraId="61DC59FD" w14:textId="77777777" w:rsidR="0096735A" w:rsidRPr="0096735A"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Sponge gourd is affected by several fungal pathogens causing fruit rot (</w:t>
      </w:r>
      <w:r w:rsidRPr="0096735A">
        <w:rPr>
          <w:rFonts w:ascii="Times New Roman" w:eastAsia="Times New Roman" w:hAnsi="Times New Roman" w:cs="Times New Roman"/>
          <w:i/>
          <w:iCs/>
          <w:kern w:val="0"/>
          <w:lang w:eastAsia="en-GB"/>
          <w14:ligatures w14:val="none"/>
        </w:rPr>
        <w:t>Fusarium oxysporum</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Aspergillus niger</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Alternaria alternata</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F. semitectum</w:t>
      </w:r>
      <w:r w:rsidRPr="0096735A">
        <w:rPr>
          <w:rFonts w:ascii="Times New Roman" w:eastAsia="Times New Roman" w:hAnsi="Times New Roman" w:cs="Times New Roman"/>
          <w:kern w:val="0"/>
          <w:lang w:eastAsia="en-GB"/>
          <w14:ligatures w14:val="none"/>
        </w:rPr>
        <w:t xml:space="preserve">, </w:t>
      </w:r>
      <w:r w:rsidRPr="0096735A">
        <w:rPr>
          <w:rFonts w:ascii="Times New Roman" w:eastAsia="Times New Roman" w:hAnsi="Times New Roman" w:cs="Times New Roman"/>
          <w:i/>
          <w:iCs/>
          <w:kern w:val="0"/>
          <w:lang w:eastAsia="en-GB"/>
          <w14:ligatures w14:val="none"/>
        </w:rPr>
        <w:t>Geotrichum candidum</w:t>
      </w:r>
      <w:r w:rsidRPr="0096735A">
        <w:rPr>
          <w:rFonts w:ascii="Times New Roman" w:eastAsia="Times New Roman" w:hAnsi="Times New Roman" w:cs="Times New Roman"/>
          <w:kern w:val="0"/>
          <w:lang w:eastAsia="en-GB"/>
          <w14:ligatures w14:val="none"/>
        </w:rPr>
        <w:t>), downy mildew (</w:t>
      </w:r>
      <w:r w:rsidRPr="0096735A">
        <w:rPr>
          <w:rFonts w:ascii="Times New Roman" w:eastAsia="Times New Roman" w:hAnsi="Times New Roman" w:cs="Times New Roman"/>
          <w:i/>
          <w:iCs/>
          <w:kern w:val="0"/>
          <w:lang w:eastAsia="en-GB"/>
          <w14:ligatures w14:val="none"/>
        </w:rPr>
        <w:t>Pseudoperonospora cubensis</w:t>
      </w:r>
      <w:r w:rsidRPr="0096735A">
        <w:rPr>
          <w:rFonts w:ascii="Times New Roman" w:eastAsia="Times New Roman" w:hAnsi="Times New Roman" w:cs="Times New Roman"/>
          <w:kern w:val="0"/>
          <w:lang w:eastAsia="en-GB"/>
          <w14:ligatures w14:val="none"/>
        </w:rPr>
        <w:t>), belly rot (</w:t>
      </w:r>
      <w:r w:rsidRPr="0096735A">
        <w:rPr>
          <w:rFonts w:ascii="Times New Roman" w:eastAsia="Times New Roman" w:hAnsi="Times New Roman" w:cs="Times New Roman"/>
          <w:i/>
          <w:iCs/>
          <w:kern w:val="0"/>
          <w:lang w:eastAsia="en-GB"/>
          <w14:ligatures w14:val="none"/>
        </w:rPr>
        <w:t>Rhizoctonia solani</w:t>
      </w:r>
      <w:r w:rsidRPr="0096735A">
        <w:rPr>
          <w:rFonts w:ascii="Times New Roman" w:eastAsia="Times New Roman" w:hAnsi="Times New Roman" w:cs="Times New Roman"/>
          <w:kern w:val="0"/>
          <w:lang w:eastAsia="en-GB"/>
          <w14:ligatures w14:val="none"/>
        </w:rPr>
        <w:t>), and cottony leak (</w:t>
      </w:r>
      <w:r w:rsidRPr="0096735A">
        <w:rPr>
          <w:rFonts w:ascii="Times New Roman" w:eastAsia="Times New Roman" w:hAnsi="Times New Roman" w:cs="Times New Roman"/>
          <w:i/>
          <w:iCs/>
          <w:kern w:val="0"/>
          <w:lang w:eastAsia="en-GB"/>
          <w14:ligatures w14:val="none"/>
        </w:rPr>
        <w:t>Pythium</w:t>
      </w:r>
      <w:r w:rsidRPr="0096735A">
        <w:rPr>
          <w:rFonts w:ascii="Times New Roman" w:eastAsia="Times New Roman" w:hAnsi="Times New Roman" w:cs="Times New Roman"/>
          <w:kern w:val="0"/>
          <w:lang w:eastAsia="en-GB"/>
          <w14:ligatures w14:val="none"/>
        </w:rPr>
        <w:t xml:space="preserve"> spp.).</w:t>
      </w:r>
    </w:p>
    <w:p w14:paraId="5D7522DD" w14:textId="77777777" w:rsidR="0096735A" w:rsidRPr="0096735A" w:rsidRDefault="0096735A" w:rsidP="00E90FBE">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i/>
          <w:iCs/>
          <w:kern w:val="0"/>
          <w:lang w:eastAsia="en-GB"/>
          <w14:ligatures w14:val="none"/>
        </w:rPr>
        <w:t>Alternaria cucumerina</w:t>
      </w:r>
      <w:r w:rsidRPr="0096735A">
        <w:rPr>
          <w:rFonts w:ascii="Times New Roman" w:eastAsia="Times New Roman" w:hAnsi="Times New Roman" w:cs="Times New Roman"/>
          <w:kern w:val="0"/>
          <w:lang w:eastAsia="en-GB"/>
          <w14:ligatures w14:val="none"/>
        </w:rPr>
        <w:t xml:space="preserve"> is a major foliar pathogen causing leaf blight. Symptoms appear as small necrotic flecks on older leaves, which enlarge into irregular, circular, dark brown lesions with concentric rings and yellow halos, leading to reduced yield and smaller fruits. The pathogen develops optimally at 16–24 °C, with sporulation occurring within 12–14 h under high humidity (&gt;91.5% RH). Continuous leaf wetness of 9–24 h is critical for infection.</w:t>
      </w:r>
    </w:p>
    <w:p w14:paraId="71C75DF6" w14:textId="1E53F5EA" w:rsidR="0096735A" w:rsidRPr="00BB4B6E" w:rsidRDefault="0096735A" w:rsidP="0096735A">
      <w:pPr>
        <w:spacing w:after="0" w:line="360" w:lineRule="auto"/>
        <w:jc w:val="both"/>
        <w:rPr>
          <w:rFonts w:ascii="Times New Roman" w:eastAsia="Times New Roman" w:hAnsi="Times New Roman" w:cs="Times New Roman"/>
          <w:kern w:val="0"/>
          <w:lang w:eastAsia="en-GB"/>
          <w14:ligatures w14:val="none"/>
        </w:rPr>
      </w:pPr>
      <w:r w:rsidRPr="0096735A">
        <w:rPr>
          <w:rFonts w:ascii="Times New Roman" w:eastAsia="Times New Roman" w:hAnsi="Times New Roman" w:cs="Times New Roman"/>
          <w:kern w:val="0"/>
          <w:lang w:eastAsia="en-GB"/>
          <w14:ligatures w14:val="none"/>
        </w:rPr>
        <w:t xml:space="preserve">The fungus survives between cropping seasons as spores and mycelia in plant debris or seeds, persisting in soil for up to two years. Dissemination occurs through wind and splashing water. Germinating conidia penetrate directly or through wounds and natural openings. Disease development is favored by warm and humid conditions, making effective residue management and environmental control crucial in disease management (Wagh </w:t>
      </w:r>
      <w:r w:rsidRPr="0096735A">
        <w:rPr>
          <w:rFonts w:ascii="Times New Roman" w:eastAsia="Times New Roman" w:hAnsi="Times New Roman" w:cs="Times New Roman"/>
          <w:i/>
          <w:iCs/>
          <w:kern w:val="0"/>
          <w:lang w:eastAsia="en-GB"/>
          <w14:ligatures w14:val="none"/>
        </w:rPr>
        <w:t>et al</w:t>
      </w:r>
      <w:r w:rsidRPr="0096735A">
        <w:rPr>
          <w:rFonts w:ascii="Times New Roman" w:eastAsia="Times New Roman" w:hAnsi="Times New Roman" w:cs="Times New Roman"/>
          <w:kern w:val="0"/>
          <w:lang w:eastAsia="en-GB"/>
          <w14:ligatures w14:val="none"/>
        </w:rPr>
        <w:t>., 2017</w:t>
      </w:r>
      <w:r w:rsidR="0002202C">
        <w:rPr>
          <w:rFonts w:ascii="Times New Roman" w:eastAsia="Times New Roman" w:hAnsi="Times New Roman" w:cs="Times New Roman"/>
          <w:kern w:val="0"/>
          <w:lang w:eastAsia="en-GB"/>
          <w14:ligatures w14:val="none"/>
        </w:rPr>
        <w:t xml:space="preserve">; </w:t>
      </w:r>
      <w:r w:rsidR="0002202C" w:rsidRPr="0002202C">
        <w:rPr>
          <w:rFonts w:ascii="Times New Roman" w:eastAsia="Times New Roman" w:hAnsi="Times New Roman" w:cs="Times New Roman"/>
          <w:kern w:val="0"/>
          <w:highlight w:val="yellow"/>
          <w:lang w:eastAsia="en-GB"/>
          <w14:ligatures w14:val="none"/>
        </w:rPr>
        <w:t xml:space="preserve">Yadav </w:t>
      </w:r>
      <w:r w:rsidR="0002202C" w:rsidRPr="0002202C">
        <w:rPr>
          <w:rFonts w:ascii="Times New Roman" w:eastAsia="Times New Roman" w:hAnsi="Times New Roman" w:cs="Times New Roman"/>
          <w:i/>
          <w:iCs/>
          <w:kern w:val="0"/>
          <w:highlight w:val="yellow"/>
          <w:lang w:eastAsia="en-GB"/>
          <w14:ligatures w14:val="none"/>
        </w:rPr>
        <w:t>et al</w:t>
      </w:r>
      <w:r w:rsidR="0002202C" w:rsidRPr="0002202C">
        <w:rPr>
          <w:rFonts w:ascii="Times New Roman" w:eastAsia="Times New Roman" w:hAnsi="Times New Roman" w:cs="Times New Roman"/>
          <w:kern w:val="0"/>
          <w:highlight w:val="yellow"/>
          <w:lang w:eastAsia="en-GB"/>
          <w14:ligatures w14:val="none"/>
        </w:rPr>
        <w:t>., 2023</w:t>
      </w:r>
      <w:r w:rsidRPr="0002202C">
        <w:rPr>
          <w:rFonts w:ascii="Times New Roman" w:eastAsia="Times New Roman" w:hAnsi="Times New Roman" w:cs="Times New Roman"/>
          <w:kern w:val="0"/>
          <w:highlight w:val="yellow"/>
          <w:lang w:eastAsia="en-GB"/>
          <w14:ligatures w14:val="none"/>
        </w:rPr>
        <w:t>).</w:t>
      </w:r>
    </w:p>
    <w:p w14:paraId="086C92DE"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6C6BBB4D" w14:textId="77777777" w:rsidR="00E90FBE" w:rsidRDefault="00BB4B6E" w:rsidP="00E90FBE">
      <w:pPr>
        <w:spacing w:after="0" w:line="360" w:lineRule="auto"/>
        <w:jc w:val="both"/>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2. </w:t>
      </w:r>
      <w:r w:rsidR="00770056" w:rsidRPr="00BB4B6E">
        <w:rPr>
          <w:rFonts w:ascii="Times New Roman" w:eastAsia="Times New Roman" w:hAnsi="Times New Roman" w:cs="Times New Roman"/>
          <w:b/>
          <w:bCs/>
          <w:kern w:val="0"/>
          <w:lang w:eastAsia="en-GB"/>
          <w14:ligatures w14:val="none"/>
        </w:rPr>
        <w:t xml:space="preserve">Materials and Methods </w:t>
      </w:r>
    </w:p>
    <w:p w14:paraId="3352E80B" w14:textId="3DE745C0" w:rsidR="00E90FBE" w:rsidRPr="00E90FBE" w:rsidRDefault="00E90FBE" w:rsidP="00E90FBE">
      <w:pPr>
        <w:spacing w:after="0" w:line="360" w:lineRule="auto"/>
        <w:jc w:val="both"/>
        <w:rPr>
          <w:rFonts w:ascii="Times New Roman" w:eastAsia="Times New Roman" w:hAnsi="Times New Roman" w:cs="Times New Roman"/>
          <w:b/>
          <w:bCs/>
          <w:kern w:val="0"/>
          <w:lang w:eastAsia="en-GB"/>
          <w14:ligatures w14:val="none"/>
        </w:rPr>
      </w:pPr>
      <w:r w:rsidRPr="00E90FBE">
        <w:rPr>
          <w:rStyle w:val="Strong"/>
          <w:rFonts w:ascii="Times New Roman" w:hAnsi="Times New Roman" w:cs="Times New Roman"/>
          <w:b w:val="0"/>
          <w:bCs w:val="0"/>
        </w:rPr>
        <w:t>The present investigation</w:t>
      </w:r>
      <w:r w:rsidRPr="00E90FBE">
        <w:rPr>
          <w:rFonts w:ascii="Times New Roman" w:hAnsi="Times New Roman" w:cs="Times New Roman"/>
        </w:rPr>
        <w:t xml:space="preserve"> was carried out during the </w:t>
      </w:r>
      <w:r w:rsidRPr="00E90FBE">
        <w:rPr>
          <w:rStyle w:val="Emphasis"/>
          <w:rFonts w:ascii="Times New Roman" w:hAnsi="Times New Roman" w:cs="Times New Roman"/>
        </w:rPr>
        <w:t>Kharif</w:t>
      </w:r>
      <w:r w:rsidRPr="00E90FBE">
        <w:rPr>
          <w:rFonts w:ascii="Times New Roman" w:hAnsi="Times New Roman" w:cs="Times New Roman"/>
        </w:rPr>
        <w:t xml:space="preserve"> season of 2022 at the Central Research Farm, Department of Plant Pathology, Sam Higginbottom University of Agriculture, Technology and Sciences (SHUATS), Prayagraj. The field experiment followed a </w:t>
      </w:r>
      <w:r w:rsidRPr="00E90FBE">
        <w:rPr>
          <w:rStyle w:val="Strong"/>
          <w:rFonts w:ascii="Times New Roman" w:hAnsi="Times New Roman" w:cs="Times New Roman"/>
          <w:b w:val="0"/>
          <w:bCs w:val="0"/>
        </w:rPr>
        <w:t>Randomized Block Design (RBD)</w:t>
      </w:r>
      <w:r w:rsidRPr="00E90FBE">
        <w:rPr>
          <w:rFonts w:ascii="Times New Roman" w:hAnsi="Times New Roman" w:cs="Times New Roman"/>
        </w:rPr>
        <w:t xml:space="preserve"> with three replications to ensure accuracy and reliability of results.</w:t>
      </w:r>
    </w:p>
    <w:p w14:paraId="0E9CCFC8" w14:textId="77777777" w:rsidR="00E90FBE" w:rsidRPr="00E90FBE" w:rsidRDefault="00E90FBE" w:rsidP="00E90FBE">
      <w:pPr>
        <w:pStyle w:val="Heading4"/>
        <w:spacing w:before="0" w:after="0" w:line="360" w:lineRule="auto"/>
        <w:jc w:val="both"/>
        <w:rPr>
          <w:rFonts w:ascii="Times New Roman" w:hAnsi="Times New Roman" w:cs="Times New Roman"/>
          <w:i w:val="0"/>
          <w:iCs w:val="0"/>
          <w:color w:val="auto"/>
        </w:rPr>
      </w:pPr>
      <w:r w:rsidRPr="00E90FBE">
        <w:rPr>
          <w:rStyle w:val="Strong"/>
          <w:rFonts w:ascii="Times New Roman" w:hAnsi="Times New Roman" w:cs="Times New Roman"/>
          <w:i w:val="0"/>
          <w:iCs w:val="0"/>
          <w:color w:val="auto"/>
        </w:rPr>
        <w:t>2.1 Collection of Diseased Samples</w:t>
      </w:r>
    </w:p>
    <w:p w14:paraId="7E484A4E" w14:textId="65A16779" w:rsidR="00E90FBE" w:rsidRPr="00E90FBE" w:rsidRDefault="00E90FBE" w:rsidP="00E90FBE">
      <w:pPr>
        <w:pStyle w:val="NormalWeb"/>
        <w:spacing w:before="0" w:beforeAutospacing="0" w:after="0" w:afterAutospacing="0" w:line="360" w:lineRule="auto"/>
        <w:jc w:val="both"/>
      </w:pPr>
      <w:r w:rsidRPr="00E90FBE">
        <w:t xml:space="preserve">Sponge gourd leaves showing distinct symptoms of </w:t>
      </w:r>
      <w:r w:rsidRPr="00E90FBE">
        <w:rPr>
          <w:rStyle w:val="Emphasis"/>
          <w:rFonts w:eastAsiaTheme="majorEastAsia"/>
        </w:rPr>
        <w:t>Alternaria</w:t>
      </w:r>
      <w:r w:rsidRPr="00E90FBE">
        <w:t xml:space="preserve"> leaf blight were collected from the Central Research Field (CRF), Department of Plant Pathology, SHUATS, Prayagraj. These infected samples were brought to the laboratory for the isolation of the causal organism.</w:t>
      </w:r>
    </w:p>
    <w:p w14:paraId="36578846" w14:textId="77777777" w:rsidR="00E90FBE" w:rsidRPr="00E90FBE" w:rsidRDefault="00E90FBE" w:rsidP="00E90FBE">
      <w:pPr>
        <w:pStyle w:val="Heading4"/>
        <w:spacing w:before="0" w:after="0" w:line="360" w:lineRule="auto"/>
        <w:jc w:val="both"/>
        <w:rPr>
          <w:rFonts w:ascii="Times New Roman" w:hAnsi="Times New Roman" w:cs="Times New Roman"/>
          <w:i w:val="0"/>
          <w:iCs w:val="0"/>
          <w:color w:val="auto"/>
        </w:rPr>
      </w:pPr>
      <w:r w:rsidRPr="00E90FBE">
        <w:rPr>
          <w:rStyle w:val="Strong"/>
          <w:rFonts w:ascii="Times New Roman" w:hAnsi="Times New Roman" w:cs="Times New Roman"/>
          <w:i w:val="0"/>
          <w:iCs w:val="0"/>
          <w:color w:val="auto"/>
        </w:rPr>
        <w:lastRenderedPageBreak/>
        <w:t>2.2 Isolation of the Pathogen</w:t>
      </w:r>
    </w:p>
    <w:p w14:paraId="2B0DD235" w14:textId="61169C5E" w:rsidR="00E90FBE" w:rsidRPr="00E90FBE" w:rsidRDefault="00E90FBE" w:rsidP="00E90FBE">
      <w:pPr>
        <w:pStyle w:val="NormalWeb"/>
        <w:spacing w:before="0" w:beforeAutospacing="0" w:after="0" w:afterAutospacing="0" w:line="360" w:lineRule="auto"/>
        <w:jc w:val="both"/>
      </w:pPr>
      <w:r w:rsidRPr="00E90FBE">
        <w:t xml:space="preserve">The collected diseased leaves were cut into small sections measuring about 5 mm in length and 2–3 mm in width, ensuring that each piece contained both infected and healthy tissues. The leaf bits were surface sterilized using a 1% sodium hypochlorite (NaOCl) solution for one minute, followed by three rinses with sterile distilled water. After air-drying on sterile blotting paper, the pieces were placed on </w:t>
      </w:r>
      <w:r w:rsidRPr="00E90FBE">
        <w:rPr>
          <w:rStyle w:val="Strong"/>
          <w:rFonts w:eastAsiaTheme="majorEastAsia"/>
          <w:b w:val="0"/>
          <w:bCs w:val="0"/>
        </w:rPr>
        <w:t>Potato Dextrose Agar (PDA)</w:t>
      </w:r>
      <w:r w:rsidRPr="00E90FBE">
        <w:t xml:space="preserve"> medium in Petri plates and incubated at </w:t>
      </w:r>
      <w:r w:rsidRPr="00E90FBE">
        <w:rPr>
          <w:rStyle w:val="Strong"/>
          <w:rFonts w:eastAsiaTheme="majorEastAsia"/>
          <w:b w:val="0"/>
          <w:bCs w:val="0"/>
        </w:rPr>
        <w:t>25 ± 2°C</w:t>
      </w:r>
      <w:r w:rsidRPr="00E90FBE">
        <w:t xml:space="preserve"> in a Biological Oxygen Demand (BOD) incubator. The plates were examined periodically for fungal growth over five days. Emerging fungal colonies were purified and further identified.</w:t>
      </w:r>
    </w:p>
    <w:p w14:paraId="4C45FC84" w14:textId="77777777" w:rsidR="00E90FBE" w:rsidRPr="00E90FBE" w:rsidRDefault="00E90FBE" w:rsidP="00E90FBE">
      <w:pPr>
        <w:pStyle w:val="Heading4"/>
        <w:spacing w:before="0" w:after="0" w:line="360" w:lineRule="auto"/>
        <w:jc w:val="both"/>
        <w:rPr>
          <w:rFonts w:ascii="Times New Roman" w:hAnsi="Times New Roman" w:cs="Times New Roman"/>
          <w:i w:val="0"/>
          <w:iCs w:val="0"/>
          <w:color w:val="auto"/>
        </w:rPr>
      </w:pPr>
      <w:r w:rsidRPr="00E90FBE">
        <w:rPr>
          <w:rStyle w:val="Strong"/>
          <w:rFonts w:ascii="Times New Roman" w:hAnsi="Times New Roman" w:cs="Times New Roman"/>
          <w:i w:val="0"/>
          <w:iCs w:val="0"/>
          <w:color w:val="auto"/>
        </w:rPr>
        <w:t>2.3 Maintenance of Pure Culture</w:t>
      </w:r>
    </w:p>
    <w:p w14:paraId="611E2894" w14:textId="46F9E133" w:rsidR="00E90FBE" w:rsidRPr="00E90FBE" w:rsidRDefault="00E90FBE" w:rsidP="00E90FBE">
      <w:pPr>
        <w:pStyle w:val="NormalWeb"/>
        <w:spacing w:before="0" w:beforeAutospacing="0" w:after="0" w:afterAutospacing="0" w:line="360" w:lineRule="auto"/>
        <w:jc w:val="both"/>
      </w:pPr>
      <w:r w:rsidRPr="00E90FBE">
        <w:t xml:space="preserve">Pure cultures of the isolated fungus were maintained on PDA slants and incubated at </w:t>
      </w:r>
      <w:r w:rsidRPr="00E90FBE">
        <w:rPr>
          <w:rStyle w:val="Strong"/>
          <w:rFonts w:eastAsiaTheme="majorEastAsia"/>
          <w:b w:val="0"/>
          <w:bCs w:val="0"/>
        </w:rPr>
        <w:t>25 ± 2°C</w:t>
      </w:r>
      <w:r w:rsidRPr="00E90FBE">
        <w:rPr>
          <w:b/>
          <w:bCs/>
        </w:rPr>
        <w:t xml:space="preserve"> </w:t>
      </w:r>
      <w:r w:rsidRPr="00E90FBE">
        <w:t xml:space="preserve">for 15 days. The developed mother cultures were stored at </w:t>
      </w:r>
      <w:r w:rsidRPr="00E90FBE">
        <w:rPr>
          <w:rStyle w:val="Strong"/>
          <w:rFonts w:eastAsiaTheme="majorEastAsia"/>
          <w:b w:val="0"/>
          <w:bCs w:val="0"/>
        </w:rPr>
        <w:t>4°C</w:t>
      </w:r>
      <w:r w:rsidRPr="00E90FBE">
        <w:t xml:space="preserve"> in a refrigerator for preservation. These cultures were sub-cultured at monthly intervals to maintain viability for subsequent studies (Pandey et al., 2003; Sharma </w:t>
      </w:r>
      <w:r w:rsidRPr="00E90FBE">
        <w:rPr>
          <w:i/>
          <w:iCs/>
        </w:rPr>
        <w:t>et al</w:t>
      </w:r>
      <w:r w:rsidRPr="00E90FBE">
        <w:t>., 2012).</w:t>
      </w:r>
    </w:p>
    <w:p w14:paraId="5D07A28F" w14:textId="77777777" w:rsidR="00E90FBE" w:rsidRPr="00E90FBE" w:rsidRDefault="00E90FBE" w:rsidP="00E90FBE">
      <w:pPr>
        <w:pStyle w:val="Heading4"/>
        <w:spacing w:before="0" w:after="0" w:line="360" w:lineRule="auto"/>
        <w:jc w:val="both"/>
        <w:rPr>
          <w:rFonts w:ascii="Times New Roman" w:hAnsi="Times New Roman" w:cs="Times New Roman"/>
          <w:i w:val="0"/>
          <w:iCs w:val="0"/>
          <w:color w:val="auto"/>
        </w:rPr>
      </w:pPr>
      <w:r w:rsidRPr="00E90FBE">
        <w:rPr>
          <w:rStyle w:val="Strong"/>
          <w:rFonts w:ascii="Times New Roman" w:hAnsi="Times New Roman" w:cs="Times New Roman"/>
          <w:i w:val="0"/>
          <w:iCs w:val="0"/>
          <w:color w:val="auto"/>
        </w:rPr>
        <w:t>2.4 Identification of the Pathogen</w:t>
      </w:r>
    </w:p>
    <w:p w14:paraId="08F43E44" w14:textId="77777777" w:rsidR="00E90FBE" w:rsidRPr="00E90FBE" w:rsidRDefault="00E90FBE" w:rsidP="00E90FBE">
      <w:pPr>
        <w:pStyle w:val="NormalWeb"/>
        <w:spacing w:before="0" w:beforeAutospacing="0" w:after="0" w:afterAutospacing="0" w:line="360" w:lineRule="auto"/>
        <w:jc w:val="both"/>
      </w:pPr>
      <w:r w:rsidRPr="00E90FBE">
        <w:t xml:space="preserve">The morphological features of the fungal colony were studied using microscopic examination. A small portion of the culture was mounted on a clean glass slide with a drop of </w:t>
      </w:r>
      <w:r w:rsidRPr="00E90FBE">
        <w:rPr>
          <w:rStyle w:val="Strong"/>
          <w:rFonts w:eastAsiaTheme="majorEastAsia"/>
          <w:b w:val="0"/>
          <w:bCs w:val="0"/>
        </w:rPr>
        <w:t>lactophenol cotton blue</w:t>
      </w:r>
      <w:r w:rsidRPr="00E90FBE">
        <w:t xml:space="preserve"> stain and observed under a compound microscope. Identification of the isolated fungus was based on its cultural and microscopic characteristics, following the descriptions provided by Keissler (1912) and Kumari </w:t>
      </w:r>
      <w:r w:rsidRPr="00E90FBE">
        <w:rPr>
          <w:i/>
          <w:iCs/>
        </w:rPr>
        <w:t>et al</w:t>
      </w:r>
      <w:r w:rsidRPr="00E90FBE">
        <w:t>. (2020).</w:t>
      </w:r>
    </w:p>
    <w:p w14:paraId="5CA71E09" w14:textId="5A31F580" w:rsidR="004037D6" w:rsidRPr="00E90FBE" w:rsidRDefault="004037D6" w:rsidP="00E90FBE">
      <w:pPr>
        <w:pStyle w:val="ListParagraph"/>
        <w:numPr>
          <w:ilvl w:val="1"/>
          <w:numId w:val="8"/>
        </w:numPr>
        <w:spacing w:after="0" w:line="360" w:lineRule="auto"/>
        <w:jc w:val="both"/>
        <w:rPr>
          <w:rFonts w:ascii="Times New Roman" w:hAnsi="Times New Roman" w:cs="Times New Roman"/>
          <w:lang w:val="en-US"/>
        </w:rPr>
      </w:pPr>
      <w:r w:rsidRPr="00E90FBE">
        <w:rPr>
          <w:rFonts w:ascii="Times New Roman" w:hAnsi="Times New Roman" w:cs="Times New Roman"/>
          <w:b/>
          <w:bCs/>
          <w:lang w:val="en-US"/>
        </w:rPr>
        <w:t>Land preparation</w:t>
      </w:r>
    </w:p>
    <w:p w14:paraId="0F4752C3" w14:textId="77777777" w:rsidR="00E90FBE" w:rsidRPr="00E90FBE" w:rsidRDefault="00E90FBE" w:rsidP="004037D6">
      <w:pPr>
        <w:spacing w:after="0" w:line="360" w:lineRule="auto"/>
        <w:jc w:val="both"/>
        <w:rPr>
          <w:rFonts w:ascii="Times New Roman" w:hAnsi="Times New Roman" w:cs="Times New Roman"/>
        </w:rPr>
      </w:pPr>
      <w:r w:rsidRPr="00E90FBE">
        <w:rPr>
          <w:rFonts w:ascii="Times New Roman" w:hAnsi="Times New Roman" w:cs="Times New Roman"/>
          <w:highlight w:val="yellow"/>
        </w:rPr>
        <w:t>The experimental field was thoroughly prepared by ploughing and pulverizing the soil with a tractor-drawn cultivator to obtain a fine tilth, followed by a single round of harrowing. The plots were then manually leveled and shaped. All remnants of the previous crop, including stubble and weeds, were carefully removed, and any remaining soil clods were broken using a wooden mallet. The prepared field was subsequently divided into twenty-one sub-plots for the experiment.</w:t>
      </w:r>
    </w:p>
    <w:p w14:paraId="0D675601" w14:textId="6338A60E" w:rsidR="004037D6" w:rsidRPr="004037D6" w:rsidRDefault="004037D6" w:rsidP="004037D6">
      <w:pPr>
        <w:spacing w:after="0" w:line="360" w:lineRule="auto"/>
        <w:jc w:val="both"/>
        <w:rPr>
          <w:rFonts w:ascii="Times New Roman" w:hAnsi="Times New Roman" w:cs="Times New Roman"/>
          <w:b/>
          <w:bCs/>
          <w:lang w:val="en-US"/>
        </w:rPr>
      </w:pPr>
      <w:r w:rsidRPr="004037D6">
        <w:rPr>
          <w:rFonts w:ascii="Times New Roman" w:hAnsi="Times New Roman" w:cs="Times New Roman"/>
          <w:b/>
          <w:bCs/>
          <w:lang w:val="en-US"/>
        </w:rPr>
        <w:t>2.6 Intercultural operation</w:t>
      </w:r>
    </w:p>
    <w:p w14:paraId="505B0974"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 xml:space="preserve">Sowing: </w:t>
      </w:r>
      <w:r w:rsidRPr="004037D6">
        <w:rPr>
          <w:rFonts w:ascii="Times New Roman" w:eastAsia="Calibri" w:hAnsi="Times New Roman" w:cs="Times New Roman"/>
        </w:rPr>
        <w:t>The experimental plot was laid out as per statistical design and necessary marking was done for sowing of seeds. The sponge gourd seeds were sown with spacing 30 cm row to row and 45cm plant to plant. The sowing was done on 9th August 2023.</w:t>
      </w:r>
    </w:p>
    <w:p w14:paraId="4F867D9B" w14:textId="77777777" w:rsidR="004037D6" w:rsidRPr="004037D6" w:rsidRDefault="004037D6" w:rsidP="004037D6">
      <w:pPr>
        <w:spacing w:after="0" w:line="360" w:lineRule="auto"/>
        <w:jc w:val="both"/>
        <w:rPr>
          <w:rFonts w:ascii="Times New Roman" w:eastAsia="Calibri" w:hAnsi="Times New Roman" w:cs="Times New Roman"/>
        </w:rPr>
      </w:pPr>
      <w:r w:rsidRPr="004037D6">
        <w:rPr>
          <w:rFonts w:ascii="Times New Roman" w:eastAsia="Calibri" w:hAnsi="Times New Roman" w:cs="Times New Roman"/>
          <w:b/>
          <w:bCs/>
        </w:rPr>
        <w:t>Weeding:</w:t>
      </w:r>
      <w:r w:rsidRPr="004037D6">
        <w:rPr>
          <w:rFonts w:ascii="Times New Roman" w:eastAsia="Calibri" w:hAnsi="Times New Roman" w:cs="Times New Roman"/>
        </w:rPr>
        <w:t xml:space="preserve"> Frequent weeding and hoeing were done to keep the plot weed free and to increase soil aeration and conserve soil moisture.</w:t>
      </w:r>
    </w:p>
    <w:p w14:paraId="758D94AC" w14:textId="77777777" w:rsidR="004037D6" w:rsidRPr="004037D6" w:rsidRDefault="004037D6" w:rsidP="004037D6">
      <w:pPr>
        <w:pStyle w:val="ListParagraph"/>
        <w:numPr>
          <w:ilvl w:val="1"/>
          <w:numId w:val="5"/>
        </w:numPr>
        <w:spacing w:after="0" w:line="360" w:lineRule="auto"/>
        <w:rPr>
          <w:rFonts w:ascii="Times New Roman" w:hAnsi="Times New Roman" w:cs="Times New Roman"/>
          <w:b/>
          <w:bCs/>
        </w:rPr>
      </w:pPr>
      <w:r w:rsidRPr="004037D6">
        <w:rPr>
          <w:rFonts w:ascii="Times New Roman" w:hAnsi="Times New Roman" w:cs="Times New Roman"/>
          <w:b/>
          <w:bCs/>
        </w:rPr>
        <w:t xml:space="preserve"> Observation</w:t>
      </w:r>
      <w:r w:rsidRPr="004037D6">
        <w:rPr>
          <w:rFonts w:ascii="Times New Roman" w:hAnsi="Times New Roman" w:cs="Times New Roman"/>
          <w:b/>
          <w:bCs/>
          <w:spacing w:val="-2"/>
        </w:rPr>
        <w:t xml:space="preserve"> </w:t>
      </w:r>
      <w:r w:rsidRPr="004037D6">
        <w:rPr>
          <w:rFonts w:ascii="Times New Roman" w:hAnsi="Times New Roman" w:cs="Times New Roman"/>
          <w:b/>
          <w:bCs/>
        </w:rPr>
        <w:t>was</w:t>
      </w:r>
      <w:r w:rsidRPr="004037D6">
        <w:rPr>
          <w:rFonts w:ascii="Times New Roman" w:hAnsi="Times New Roman" w:cs="Times New Roman"/>
          <w:b/>
          <w:bCs/>
          <w:spacing w:val="-3"/>
        </w:rPr>
        <w:t xml:space="preserve"> </w:t>
      </w:r>
      <w:r w:rsidRPr="004037D6">
        <w:rPr>
          <w:rFonts w:ascii="Times New Roman" w:hAnsi="Times New Roman" w:cs="Times New Roman"/>
          <w:b/>
          <w:bCs/>
        </w:rPr>
        <w:t>recorded</w:t>
      </w:r>
    </w:p>
    <w:p w14:paraId="538D83DE"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lastRenderedPageBreak/>
        <w:t>Tendril height (cm)</w:t>
      </w:r>
      <w:r w:rsidRPr="004037D6">
        <w:rPr>
          <w:rFonts w:ascii="Times New Roman" w:hAnsi="Times New Roman" w:cs="Times New Roman"/>
          <w:b/>
          <w:bCs/>
        </w:rPr>
        <w:t xml:space="preserve"> </w:t>
      </w:r>
      <w:r w:rsidRPr="004037D6">
        <w:rPr>
          <w:rFonts w:ascii="Times New Roman" w:hAnsi="Times New Roman" w:cs="Times New Roman"/>
          <w:lang w:val="en-US"/>
        </w:rPr>
        <w:t>was recorded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 xml:space="preserve">90 days after sowing (DAS). Five plants were randomly selected and tagged in each plot. The plant height was measured from the ground level to the top of the highest leaf using a meter scale.                             </w:t>
      </w:r>
    </w:p>
    <w:p w14:paraId="7708BF60"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 xml:space="preserve">Number of leaves </w:t>
      </w:r>
      <w:r w:rsidRPr="004037D6">
        <w:rPr>
          <w:rFonts w:ascii="Times New Roman" w:hAnsi="Times New Roman" w:cs="Times New Roman"/>
          <w:b/>
          <w:bCs/>
        </w:rPr>
        <w:t xml:space="preserve">- </w:t>
      </w:r>
      <w:r w:rsidRPr="004037D6">
        <w:rPr>
          <w:rFonts w:ascii="Times New Roman" w:hAnsi="Times New Roman" w:cs="Times New Roman"/>
          <w:lang w:val="en-US"/>
        </w:rPr>
        <w:t>The total number of leaves was counted at 30, 60</w:t>
      </w:r>
      <w:r w:rsidRPr="004037D6">
        <w:rPr>
          <w:rFonts w:ascii="Times New Roman" w:hAnsi="Times New Roman" w:cs="Times New Roman"/>
          <w:lang w:val="en-GB"/>
        </w:rPr>
        <w:t xml:space="preserve"> and </w:t>
      </w:r>
      <w:r w:rsidRPr="004037D6">
        <w:rPr>
          <w:rFonts w:ascii="Times New Roman" w:hAnsi="Times New Roman" w:cs="Times New Roman"/>
          <w:lang w:val="en-US"/>
        </w:rPr>
        <w:t>90 DAS from five randomly selected plants to compute the mean number of leaves per plant.</w:t>
      </w:r>
    </w:p>
    <w:p w14:paraId="25A2BD03"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rPr>
      </w:pPr>
      <w:r w:rsidRPr="004037D6">
        <w:rPr>
          <w:rFonts w:ascii="Times New Roman" w:hAnsi="Times New Roman" w:cs="Times New Roman"/>
          <w:b/>
          <w:bCs/>
          <w:lang w:val="en-US"/>
        </w:rPr>
        <w:t>Number of fruits</w:t>
      </w:r>
      <w:r w:rsidRPr="004037D6">
        <w:rPr>
          <w:rFonts w:ascii="Times New Roman" w:hAnsi="Times New Roman" w:cs="Times New Roman"/>
        </w:rPr>
        <w:t xml:space="preserve"> - </w:t>
      </w:r>
      <w:r w:rsidRPr="004037D6">
        <w:rPr>
          <w:rFonts w:ascii="Times New Roman" w:hAnsi="Times New Roman" w:cs="Times New Roman"/>
          <w:lang w:val="en-US"/>
        </w:rPr>
        <w:t>At 60, 75</w:t>
      </w:r>
      <w:r w:rsidRPr="004037D6">
        <w:rPr>
          <w:rFonts w:ascii="Times New Roman" w:hAnsi="Times New Roman" w:cs="Times New Roman"/>
          <w:lang w:val="en-GB"/>
        </w:rPr>
        <w:t xml:space="preserve"> and </w:t>
      </w:r>
      <w:r w:rsidRPr="004037D6">
        <w:rPr>
          <w:rFonts w:ascii="Times New Roman" w:hAnsi="Times New Roman" w:cs="Times New Roman"/>
          <w:lang w:val="en-US"/>
        </w:rPr>
        <w:t>90 DAS number of fruits was counted for five randomly selected plants to compute the mean number of leaves per plant.</w:t>
      </w:r>
    </w:p>
    <w:p w14:paraId="6F39EEBC" w14:textId="77777777" w:rsidR="004037D6" w:rsidRPr="004037D6" w:rsidRDefault="004037D6" w:rsidP="004037D6">
      <w:pPr>
        <w:widowControl w:val="0"/>
        <w:autoSpaceDE w:val="0"/>
        <w:autoSpaceDN w:val="0"/>
        <w:spacing w:after="0" w:line="360" w:lineRule="auto"/>
        <w:jc w:val="both"/>
        <w:rPr>
          <w:rFonts w:ascii="Times New Roman" w:hAnsi="Times New Roman" w:cs="Times New Roman"/>
          <w:b/>
          <w:bCs/>
        </w:rPr>
      </w:pPr>
      <w:r w:rsidRPr="004037D6">
        <w:rPr>
          <w:rFonts w:ascii="Times New Roman" w:hAnsi="Times New Roman" w:cs="Times New Roman"/>
          <w:b/>
          <w:bCs/>
          <w:lang w:val="en-US"/>
        </w:rPr>
        <w:t>Disease intensity</w:t>
      </w:r>
    </w:p>
    <w:p w14:paraId="1C88898D" w14:textId="77777777"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t>Disease intensity of plants was recorded at 60,</w:t>
      </w:r>
      <w:r w:rsidRPr="004037D6">
        <w:rPr>
          <w:rFonts w:ascii="Times New Roman" w:hAnsi="Times New Roman" w:cs="Times New Roman"/>
          <w:lang w:val="en-GB"/>
        </w:rPr>
        <w:t xml:space="preserve"> </w:t>
      </w:r>
      <w:r w:rsidRPr="004037D6">
        <w:rPr>
          <w:rFonts w:ascii="Times New Roman" w:hAnsi="Times New Roman" w:cs="Times New Roman"/>
          <w:lang w:val="en-US"/>
        </w:rPr>
        <w:t>75</w:t>
      </w:r>
      <w:r w:rsidRPr="004037D6">
        <w:rPr>
          <w:rFonts w:ascii="Times New Roman" w:hAnsi="Times New Roman" w:cs="Times New Roman"/>
          <w:lang w:val="en-GB"/>
        </w:rPr>
        <w:t xml:space="preserve"> and</w:t>
      </w:r>
      <w:r w:rsidRPr="004037D6">
        <w:rPr>
          <w:rFonts w:ascii="Times New Roman" w:hAnsi="Times New Roman" w:cs="Times New Roman"/>
          <w:lang w:val="en-US"/>
        </w:rPr>
        <w:t xml:space="preserve"> 90 DAT. In each plot, five plants were examined randomly and scored for disease severity by following 0-9 scale as given by </w:t>
      </w:r>
      <w:r w:rsidRPr="004037D6">
        <w:rPr>
          <w:rFonts w:ascii="Times New Roman" w:hAnsi="Times New Roman" w:cs="Times New Roman"/>
          <w:lang w:val="en-US" w:eastAsia="en-IN"/>
        </w:rPr>
        <w:t>Wheeler (1969).</w:t>
      </w:r>
    </w:p>
    <w:p w14:paraId="33DE8738" w14:textId="77777777" w:rsidR="004037D6" w:rsidRPr="004037D6" w:rsidRDefault="004037D6" w:rsidP="004037D6">
      <w:pPr>
        <w:widowControl w:val="0"/>
        <w:tabs>
          <w:tab w:val="left" w:pos="1421"/>
        </w:tabs>
        <w:autoSpaceDE w:val="0"/>
        <w:autoSpaceDN w:val="0"/>
        <w:spacing w:after="0" w:line="360" w:lineRule="auto"/>
        <w:jc w:val="both"/>
        <w:rPr>
          <w:rFonts w:ascii="Times New Roman" w:hAnsi="Times New Roman" w:cs="Times New Roman"/>
          <w:lang w:val="en-US"/>
        </w:rPr>
      </w:pPr>
    </w:p>
    <w:p w14:paraId="7AF6407D" w14:textId="378D49EC" w:rsidR="004037D6" w:rsidRPr="004037D6" w:rsidRDefault="004037D6" w:rsidP="004037D6">
      <w:pPr>
        <w:widowControl w:val="0"/>
        <w:autoSpaceDE w:val="0"/>
        <w:autoSpaceDN w:val="0"/>
        <w:spacing w:after="0" w:line="360" w:lineRule="auto"/>
        <w:jc w:val="both"/>
        <w:rPr>
          <w:rFonts w:ascii="Times New Roman" w:eastAsia="Calibri" w:hAnsi="Times New Roman" w:cs="Times New Roman"/>
          <w:lang w:val="en-GB"/>
        </w:rPr>
      </w:pPr>
      <w:r w:rsidRPr="004037D6">
        <w:rPr>
          <w:rFonts w:ascii="Times New Roman" w:hAnsi="Times New Roman" w:cs="Times New Roman"/>
          <w:lang w:val="en-US"/>
        </w:rPr>
        <w:t>Percent Disease Intensity (PDI) was calculated by using formula</w:t>
      </w:r>
      <w:r w:rsidRPr="004037D6">
        <w:rPr>
          <w:rFonts w:ascii="Times New Roman" w:hAnsi="Times New Roman" w:cs="Times New Roman"/>
          <w:b/>
          <w:bCs/>
          <w:lang w:val="en-US"/>
        </w:rPr>
        <w:t xml:space="preserve"> </w:t>
      </w:r>
      <w:r w:rsidR="0031172A" w:rsidRPr="0031172A">
        <w:rPr>
          <w:rFonts w:ascii="Times New Roman" w:hAnsi="Times New Roman" w:cs="Times New Roman"/>
          <w:highlight w:val="yellow"/>
          <w:lang w:val="en-US"/>
        </w:rPr>
        <w:t>as follows</w:t>
      </w:r>
      <w:r w:rsidR="0031172A" w:rsidRPr="0031172A">
        <w:rPr>
          <w:rFonts w:ascii="Times New Roman" w:hAnsi="Times New Roman" w:cs="Times New Roman"/>
          <w:b/>
          <w:bCs/>
          <w:highlight w:val="yellow"/>
          <w:lang w:val="en-US"/>
        </w:rPr>
        <w:t xml:space="preserve"> (</w:t>
      </w:r>
      <w:r w:rsidRPr="0031172A">
        <w:rPr>
          <w:rFonts w:ascii="Times New Roman" w:hAnsi="Times New Roman" w:cs="Times New Roman"/>
          <w:highlight w:val="yellow"/>
          <w:lang w:val="en-US" w:eastAsia="en-IN"/>
        </w:rPr>
        <w:t>Wheeler</w:t>
      </w:r>
      <w:r w:rsidR="0031172A" w:rsidRPr="0031172A">
        <w:rPr>
          <w:rFonts w:ascii="Times New Roman" w:hAnsi="Times New Roman" w:cs="Times New Roman"/>
          <w:highlight w:val="yellow"/>
          <w:lang w:val="en-US" w:eastAsia="en-IN"/>
        </w:rPr>
        <w:t xml:space="preserve">, </w:t>
      </w:r>
      <w:r w:rsidRPr="0031172A">
        <w:rPr>
          <w:rFonts w:ascii="Times New Roman" w:hAnsi="Times New Roman" w:cs="Times New Roman"/>
          <w:highlight w:val="yellow"/>
          <w:lang w:val="en-US" w:eastAsia="en-IN"/>
        </w:rPr>
        <w:t>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4037D6" w:rsidRPr="004037D6" w14:paraId="1BE3340D" w14:textId="77777777" w:rsidTr="00367E00">
        <w:trPr>
          <w:trHeight w:val="432"/>
          <w:jc w:val="center"/>
        </w:trPr>
        <w:tc>
          <w:tcPr>
            <w:tcW w:w="0" w:type="auto"/>
            <w:vMerge w:val="restart"/>
            <w:vAlign w:val="center"/>
          </w:tcPr>
          <w:p w14:paraId="5414F0BF"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PDI=</w:t>
            </w:r>
          </w:p>
        </w:tc>
        <w:tc>
          <w:tcPr>
            <w:tcW w:w="0" w:type="auto"/>
            <w:tcBorders>
              <w:bottom w:val="single" w:sz="4" w:space="0" w:color="auto"/>
            </w:tcBorders>
            <w:vAlign w:val="center"/>
          </w:tcPr>
          <w:p w14:paraId="4264BA9C"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Sum of numerical disease ratings</w:t>
            </w:r>
          </w:p>
        </w:tc>
        <w:tc>
          <w:tcPr>
            <w:tcW w:w="0" w:type="auto"/>
            <w:vMerge w:val="restart"/>
            <w:vAlign w:val="center"/>
          </w:tcPr>
          <w:p w14:paraId="2D57C9BD"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eastAsia="Times New Roman" w:hAnsi="Times New Roman" w:cs="Times New Roman"/>
                <w:color w:val="000000"/>
              </w:rPr>
              <w:t>× 100</w:t>
            </w:r>
          </w:p>
        </w:tc>
      </w:tr>
      <w:tr w:rsidR="004037D6" w:rsidRPr="004037D6" w14:paraId="1F19B29E" w14:textId="77777777" w:rsidTr="00367E00">
        <w:trPr>
          <w:trHeight w:val="432"/>
          <w:jc w:val="center"/>
        </w:trPr>
        <w:tc>
          <w:tcPr>
            <w:tcW w:w="0" w:type="auto"/>
            <w:vMerge/>
            <w:vAlign w:val="center"/>
          </w:tcPr>
          <w:p w14:paraId="765088C6" w14:textId="77777777" w:rsidR="004037D6" w:rsidRPr="004037D6" w:rsidRDefault="004037D6" w:rsidP="00367E00">
            <w:pPr>
              <w:spacing w:line="360" w:lineRule="auto"/>
              <w:jc w:val="center"/>
              <w:rPr>
                <w:rFonts w:ascii="Times New Roman" w:eastAsia="Times New Roman" w:hAnsi="Times New Roman" w:cs="Times New Roman"/>
                <w:color w:val="000000"/>
              </w:rPr>
            </w:pPr>
          </w:p>
        </w:tc>
        <w:tc>
          <w:tcPr>
            <w:tcW w:w="0" w:type="auto"/>
            <w:tcBorders>
              <w:top w:val="single" w:sz="4" w:space="0" w:color="auto"/>
            </w:tcBorders>
            <w:vAlign w:val="center"/>
          </w:tcPr>
          <w:p w14:paraId="0A9BFAA9" w14:textId="77777777" w:rsidR="004037D6" w:rsidRPr="004037D6" w:rsidRDefault="004037D6" w:rsidP="00367E00">
            <w:pPr>
              <w:spacing w:line="360" w:lineRule="auto"/>
              <w:jc w:val="center"/>
              <w:rPr>
                <w:rFonts w:ascii="Times New Roman" w:eastAsia="Times New Roman" w:hAnsi="Times New Roman" w:cs="Times New Roman"/>
                <w:color w:val="000000"/>
              </w:rPr>
            </w:pPr>
            <w:r w:rsidRPr="004037D6">
              <w:rPr>
                <w:rFonts w:ascii="Times New Roman" w:hAnsi="Times New Roman" w:cs="Times New Roman"/>
                <w:lang w:val="en-US"/>
              </w:rPr>
              <w:t>Number of plants observed × Maximum disease rating</w:t>
            </w:r>
          </w:p>
        </w:tc>
        <w:tc>
          <w:tcPr>
            <w:tcW w:w="0" w:type="auto"/>
            <w:vMerge/>
            <w:vAlign w:val="center"/>
          </w:tcPr>
          <w:p w14:paraId="1CEBDA12" w14:textId="77777777" w:rsidR="004037D6" w:rsidRPr="004037D6" w:rsidRDefault="004037D6" w:rsidP="00367E00">
            <w:pPr>
              <w:spacing w:line="360" w:lineRule="auto"/>
              <w:jc w:val="center"/>
              <w:rPr>
                <w:rFonts w:ascii="Times New Roman" w:eastAsia="Times New Roman" w:hAnsi="Times New Roman" w:cs="Times New Roman"/>
                <w:color w:val="000000"/>
              </w:rPr>
            </w:pPr>
          </w:p>
        </w:tc>
      </w:tr>
    </w:tbl>
    <w:p w14:paraId="37E61537" w14:textId="77777777" w:rsidR="004037D6" w:rsidRPr="004037D6" w:rsidRDefault="004037D6" w:rsidP="004037D6">
      <w:pPr>
        <w:spacing w:line="360" w:lineRule="auto"/>
        <w:jc w:val="both"/>
        <w:rPr>
          <w:rFonts w:ascii="Times New Roman" w:hAnsi="Times New Roman" w:cs="Times New Roman"/>
          <w:b/>
          <w:bCs/>
        </w:rPr>
      </w:pPr>
      <w:r w:rsidRPr="004037D6">
        <w:rPr>
          <w:rFonts w:ascii="Times New Roman" w:hAnsi="Times New Roman" w:cs="Times New Roman"/>
          <w:b/>
          <w:bCs/>
          <w:lang w:val="en-US"/>
        </w:rPr>
        <w:t>2.7 Harvesting And Yield (q/ha)</w:t>
      </w:r>
    </w:p>
    <w:p w14:paraId="10C8B334" w14:textId="77777777" w:rsidR="004037D6" w:rsidRPr="004037D6" w:rsidRDefault="004037D6" w:rsidP="004037D6">
      <w:pPr>
        <w:widowControl w:val="0"/>
        <w:tabs>
          <w:tab w:val="left" w:pos="1421"/>
        </w:tabs>
        <w:autoSpaceDE w:val="0"/>
        <w:autoSpaceDN w:val="0"/>
        <w:spacing w:line="360" w:lineRule="auto"/>
        <w:jc w:val="both"/>
        <w:rPr>
          <w:rFonts w:ascii="Times New Roman" w:hAnsi="Times New Roman" w:cs="Times New Roman"/>
          <w:lang w:val="en-US"/>
        </w:rPr>
      </w:pPr>
      <w:r w:rsidRPr="004037D6">
        <w:rPr>
          <w:rFonts w:ascii="Times New Roman" w:hAnsi="Times New Roman" w:cs="Times New Roman"/>
          <w:lang w:val="en-US"/>
        </w:rPr>
        <w:t>Harvesting was done separately from each plot. Data were recorded for each treatment and replication over three pickings.</w:t>
      </w:r>
    </w:p>
    <w:p w14:paraId="7E8F8BA8" w14:textId="77777777" w:rsidR="004037D6" w:rsidRPr="004037D6" w:rsidRDefault="004037D6" w:rsidP="004037D6">
      <w:pPr>
        <w:spacing w:line="360" w:lineRule="auto"/>
        <w:jc w:val="both"/>
        <w:rPr>
          <w:rFonts w:ascii="Times New Roman" w:hAnsi="Times New Roman" w:cs="Times New Roman"/>
          <w:noProof/>
          <w:lang w:eastAsia="en-IN"/>
        </w:rPr>
      </w:pPr>
      <w:r w:rsidRPr="004037D6">
        <w:rPr>
          <w:rFonts w:ascii="Times New Roman" w:hAnsi="Times New Roman" w:cs="Times New Roman"/>
          <w:b/>
          <w:bCs/>
          <w:noProof/>
          <w:lang w:eastAsia="en-IN"/>
        </w:rPr>
        <w:t xml:space="preserve">2.8 </w:t>
      </w:r>
      <w:r w:rsidRPr="004037D6">
        <w:rPr>
          <w:rFonts w:ascii="Times New Roman" w:hAnsi="Times New Roman" w:cs="Times New Roman"/>
          <w:b/>
          <w:bCs/>
        </w:rPr>
        <w:t xml:space="preserve">Cost of cultivation (₹/ha) </w:t>
      </w:r>
    </w:p>
    <w:p w14:paraId="63EDADF4"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cost of cultivation for each treatment was calculated separately taking into consideration of all the cultural practices followed in the cultivation.</w:t>
      </w:r>
    </w:p>
    <w:p w14:paraId="303768A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t>2.9 Gross return (₹/ha)</w:t>
      </w:r>
    </w:p>
    <w:p w14:paraId="58B65735"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gross return from each treatment was calculated taking into the consideration the market price of the produce.</w:t>
      </w:r>
    </w:p>
    <w:p w14:paraId="663C8137"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b/>
          <w:bCs/>
        </w:rPr>
        <w:t>2.10 Net profit (₹/ha)</w:t>
      </w:r>
    </w:p>
    <w:p w14:paraId="3A36099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The net profit from each treatment was calculated separately by using the following formula:</w:t>
      </w:r>
    </w:p>
    <w:p w14:paraId="461A2A23" w14:textId="77777777" w:rsidR="004037D6" w:rsidRPr="004037D6" w:rsidRDefault="004037D6" w:rsidP="004037D6">
      <w:pPr>
        <w:spacing w:line="360" w:lineRule="auto"/>
        <w:jc w:val="both"/>
        <w:rPr>
          <w:rFonts w:ascii="Times New Roman" w:hAnsi="Times New Roman" w:cs="Times New Roman"/>
        </w:rPr>
      </w:pPr>
      <w:r w:rsidRPr="004037D6">
        <w:rPr>
          <w:rFonts w:ascii="Times New Roman" w:hAnsi="Times New Roman" w:cs="Times New Roman"/>
        </w:rPr>
        <w:t>Net profit (Rs/ha) = Gross return – Total cost of cultivation</w:t>
      </w:r>
    </w:p>
    <w:p w14:paraId="74CF6378" w14:textId="77777777" w:rsidR="004037D6" w:rsidRPr="004037D6" w:rsidRDefault="004037D6" w:rsidP="004037D6">
      <w:pPr>
        <w:spacing w:line="360" w:lineRule="auto"/>
        <w:jc w:val="both"/>
        <w:rPr>
          <w:rFonts w:ascii="Times New Roman" w:hAnsi="Times New Roman" w:cs="Times New Roman"/>
          <w:b/>
        </w:rPr>
      </w:pPr>
      <w:r w:rsidRPr="004037D6">
        <w:rPr>
          <w:rFonts w:ascii="Times New Roman" w:hAnsi="Times New Roman" w:cs="Times New Roman"/>
          <w:b/>
        </w:rPr>
        <w:t>2.11 Cost benefit ratio (C:B ratio)</w:t>
      </w:r>
    </w:p>
    <w:p w14:paraId="5327DBDE" w14:textId="77777777" w:rsidR="004037D6" w:rsidRPr="004037D6" w:rsidRDefault="004037D6" w:rsidP="004037D6">
      <w:pPr>
        <w:spacing w:line="360" w:lineRule="auto"/>
        <w:jc w:val="both"/>
        <w:rPr>
          <w:rFonts w:ascii="Times New Roman" w:hAnsi="Times New Roman" w:cs="Times New Roman"/>
          <w:bCs/>
        </w:rPr>
      </w:pPr>
      <w:r w:rsidRPr="004037D6">
        <w:rPr>
          <w:rFonts w:ascii="Times New Roman" w:hAnsi="Times New Roman" w:cs="Times New Roman"/>
        </w:rPr>
        <w:t xml:space="preserve">The benefit cost ratio from each treatment was determined by using the following formula </w:t>
      </w:r>
      <w:r w:rsidRPr="0031172A">
        <w:rPr>
          <w:rFonts w:ascii="Times New Roman" w:hAnsi="Times New Roman" w:cs="Times New Roman"/>
          <w:bCs/>
          <w:highlight w:val="yellow"/>
        </w:rPr>
        <w:t xml:space="preserve">(Reddy </w:t>
      </w:r>
      <w:r w:rsidRPr="0031172A">
        <w:rPr>
          <w:rFonts w:ascii="Times New Roman" w:hAnsi="Times New Roman" w:cs="Times New Roman"/>
          <w:bCs/>
          <w:iCs/>
          <w:highlight w:val="yellow"/>
        </w:rPr>
        <w:t>and Reddi,</w:t>
      </w:r>
      <w:r w:rsidRPr="0031172A">
        <w:rPr>
          <w:rFonts w:ascii="Times New Roman" w:hAnsi="Times New Roman" w:cs="Times New Roman"/>
          <w:bCs/>
          <w:highlight w:val="yellow"/>
        </w:rPr>
        <w:t xml:space="preserve"> 2004).</w:t>
      </w:r>
    </w:p>
    <w:p w14:paraId="3B2AB56E" w14:textId="77777777" w:rsidR="004037D6" w:rsidRPr="004037D6" w:rsidRDefault="004037D6" w:rsidP="004037D6">
      <w:pPr>
        <w:spacing w:line="360" w:lineRule="auto"/>
        <w:jc w:val="both"/>
        <w:rPr>
          <w:rFonts w:ascii="Times New Roman" w:hAnsi="Times New Roman" w:cs="Times New Roman"/>
          <w:b/>
        </w:rPr>
      </w:pPr>
      <m:oMathPara>
        <m:oMath>
          <m:r>
            <m:rPr>
              <m:sty m:val="b"/>
            </m:rPr>
            <w:rPr>
              <w:rFonts w:ascii="Cambria Math" w:eastAsia="Times New Roman" w:hAnsi="Cambria Math" w:cs="Times New Roman"/>
              <w:noProof/>
              <w:color w:val="000000"/>
              <w:lang w:eastAsia="en-IN"/>
            </w:rPr>
            <w:lastRenderedPageBreak/>
            <m:t>C:B ratio=</m:t>
          </m:r>
          <m:f>
            <m:fPr>
              <m:ctrlPr>
                <w:rPr>
                  <w:rFonts w:ascii="Cambria Math" w:eastAsia="Times New Roman" w:hAnsi="Cambria Math" w:cs="Times New Roman"/>
                  <w:b/>
                  <w:bCs/>
                  <w:noProof/>
                  <w:color w:val="000000"/>
                  <w:lang w:eastAsia="en-IN"/>
                </w:rPr>
              </m:ctrlPr>
            </m:fPr>
            <m:num>
              <m:r>
                <m:rPr>
                  <m:sty m:val="p"/>
                </m:rPr>
                <w:rPr>
                  <w:rFonts w:ascii="Cambria Math" w:eastAsia="Times New Roman" w:hAnsi="Cambria Math" w:cs="Times New Roman"/>
                  <w:color w:val="000000"/>
                  <w:lang w:val="en-US"/>
                </w:rPr>
                <m:t>Gross return</m:t>
              </m:r>
            </m:num>
            <m:den>
              <m:r>
                <m:rPr>
                  <m:sty m:val="p"/>
                </m:rPr>
                <w:rPr>
                  <w:rFonts w:ascii="Cambria Math" w:eastAsia="Times New Roman" w:hAnsi="Cambria Math" w:cs="Times New Roman"/>
                  <w:color w:val="000000"/>
                  <w:lang w:val="en-US"/>
                </w:rPr>
                <m:t>Total cost of cultivation</m:t>
              </m:r>
            </m:den>
          </m:f>
        </m:oMath>
      </m:oMathPara>
    </w:p>
    <w:p w14:paraId="707F185F" w14:textId="77777777" w:rsidR="004037D6" w:rsidRPr="004037D6" w:rsidRDefault="004037D6" w:rsidP="004037D6">
      <w:pPr>
        <w:spacing w:after="0" w:line="276" w:lineRule="auto"/>
        <w:jc w:val="both"/>
        <w:rPr>
          <w:rFonts w:ascii="Times New Roman" w:eastAsia="Times New Roman" w:hAnsi="Times New Roman" w:cs="Times New Roman"/>
          <w:b/>
          <w:bCs/>
          <w:color w:val="000000"/>
          <w:lang w:val="en-US"/>
        </w:rPr>
      </w:pPr>
      <w:r w:rsidRPr="004037D6">
        <w:rPr>
          <w:rFonts w:ascii="Times New Roman" w:eastAsia="Times New Roman" w:hAnsi="Times New Roman" w:cs="Times New Roman"/>
          <w:b/>
          <w:bCs/>
          <w:color w:val="000000"/>
          <w:lang w:val="en-US"/>
        </w:rPr>
        <w:t xml:space="preserve">    </w:t>
      </w:r>
    </w:p>
    <w:p w14:paraId="56D6E56D" w14:textId="77777777" w:rsidR="004037D6" w:rsidRPr="004037D6" w:rsidRDefault="004037D6" w:rsidP="004037D6">
      <w:pPr>
        <w:spacing w:after="0" w:line="360" w:lineRule="auto"/>
        <w:jc w:val="both"/>
        <w:rPr>
          <w:rFonts w:ascii="Times New Roman" w:hAnsi="Times New Roman" w:cs="Times New Roman"/>
          <w:b/>
          <w:bCs/>
          <w:spacing w:val="11"/>
        </w:rPr>
      </w:pPr>
      <w:r w:rsidRPr="004037D6">
        <w:rPr>
          <w:rFonts w:ascii="Times New Roman" w:hAnsi="Times New Roman" w:cs="Times New Roman"/>
          <w:b/>
          <w:bCs/>
        </w:rPr>
        <w:t xml:space="preserve">2.12 Statistical </w:t>
      </w:r>
      <w:r w:rsidRPr="004037D6">
        <w:rPr>
          <w:rFonts w:ascii="Times New Roman" w:hAnsi="Times New Roman" w:cs="Times New Roman"/>
          <w:b/>
          <w:bCs/>
          <w:spacing w:val="11"/>
        </w:rPr>
        <w:t>Analysis</w:t>
      </w:r>
    </w:p>
    <w:p w14:paraId="0D2C7C9D" w14:textId="4E335B21" w:rsidR="004037D6" w:rsidRPr="004037D6" w:rsidRDefault="0031172A" w:rsidP="004037D6">
      <w:pPr>
        <w:spacing w:after="0" w:line="360" w:lineRule="auto"/>
        <w:jc w:val="both"/>
        <w:rPr>
          <w:rFonts w:ascii="Times New Roman" w:hAnsi="Times New Roman" w:cs="Times New Roman"/>
        </w:rPr>
      </w:pPr>
      <w:r w:rsidRPr="0031172A">
        <w:rPr>
          <w:highlight w:val="yellow"/>
        </w:rPr>
        <w:t>The data obtained were transformed to corresponding arcsine or square root values (Yates, 1984).</w:t>
      </w:r>
      <w:r>
        <w:t xml:space="preserve"> </w:t>
      </w:r>
      <w:r w:rsidR="004037D6" w:rsidRPr="004037D6">
        <w:rPr>
          <w:rFonts w:ascii="Times New Roman" w:hAnsi="Times New Roman" w:cs="Times New Roman"/>
          <w:spacing w:val="13"/>
        </w:rPr>
        <w:t xml:space="preserve">Statistical </w:t>
      </w:r>
      <w:r w:rsidR="004037D6" w:rsidRPr="004037D6">
        <w:rPr>
          <w:rFonts w:ascii="Times New Roman" w:hAnsi="Times New Roman" w:cs="Times New Roman"/>
        </w:rPr>
        <w:t xml:space="preserve">analysis </w:t>
      </w:r>
      <w:r w:rsidR="004037D6" w:rsidRPr="004037D6">
        <w:rPr>
          <w:rFonts w:ascii="Times New Roman" w:hAnsi="Times New Roman" w:cs="Times New Roman"/>
          <w:spacing w:val="9"/>
        </w:rPr>
        <w:t xml:space="preserve">was </w:t>
      </w:r>
      <w:r w:rsidR="004037D6" w:rsidRPr="004037D6">
        <w:rPr>
          <w:rFonts w:ascii="Times New Roman" w:hAnsi="Times New Roman" w:cs="Times New Roman"/>
          <w:spacing w:val="11"/>
        </w:rPr>
        <w:t xml:space="preserve">done </w:t>
      </w:r>
      <w:r w:rsidR="004037D6" w:rsidRPr="004037D6">
        <w:rPr>
          <w:rFonts w:ascii="Times New Roman" w:hAnsi="Times New Roman" w:cs="Times New Roman"/>
        </w:rPr>
        <w:t xml:space="preserve">to </w:t>
      </w:r>
      <w:r w:rsidR="004037D6" w:rsidRPr="004037D6">
        <w:rPr>
          <w:rFonts w:ascii="Times New Roman" w:hAnsi="Times New Roman" w:cs="Times New Roman"/>
          <w:spacing w:val="10"/>
        </w:rPr>
        <w:t xml:space="preserve">test the </w:t>
      </w:r>
      <w:r w:rsidR="004037D6" w:rsidRPr="004037D6">
        <w:rPr>
          <w:rFonts w:ascii="Times New Roman" w:hAnsi="Times New Roman" w:cs="Times New Roman"/>
          <w:spacing w:val="11"/>
        </w:rPr>
        <w:t xml:space="preserve">level </w:t>
      </w:r>
      <w:r w:rsidR="004037D6" w:rsidRPr="004037D6">
        <w:rPr>
          <w:rFonts w:ascii="Times New Roman" w:hAnsi="Times New Roman" w:cs="Times New Roman"/>
        </w:rPr>
        <w:t xml:space="preserve">of significance and to </w:t>
      </w:r>
      <w:r w:rsidR="004037D6" w:rsidRPr="004037D6">
        <w:rPr>
          <w:rFonts w:ascii="Times New Roman" w:hAnsi="Times New Roman" w:cs="Times New Roman"/>
          <w:spacing w:val="11"/>
        </w:rPr>
        <w:t xml:space="preserve">compare </w:t>
      </w:r>
      <w:r w:rsidR="004037D6" w:rsidRPr="004037D6">
        <w:rPr>
          <w:rFonts w:ascii="Times New Roman" w:hAnsi="Times New Roman" w:cs="Times New Roman"/>
          <w:spacing w:val="10"/>
        </w:rPr>
        <w:t xml:space="preserve">the </w:t>
      </w:r>
      <w:r w:rsidR="004037D6" w:rsidRPr="004037D6">
        <w:rPr>
          <w:rFonts w:ascii="Times New Roman" w:hAnsi="Times New Roman" w:cs="Times New Roman"/>
        </w:rPr>
        <w:t xml:space="preserve">treatments. The </w:t>
      </w:r>
      <w:r w:rsidR="004037D6" w:rsidRPr="004037D6">
        <w:rPr>
          <w:rFonts w:ascii="Times New Roman" w:hAnsi="Times New Roman" w:cs="Times New Roman"/>
          <w:spacing w:val="11"/>
        </w:rPr>
        <w:t xml:space="preserve">data </w:t>
      </w:r>
      <w:r w:rsidR="004037D6" w:rsidRPr="004037D6">
        <w:rPr>
          <w:rFonts w:ascii="Times New Roman" w:hAnsi="Times New Roman" w:cs="Times New Roman"/>
          <w:spacing w:val="10"/>
        </w:rPr>
        <w:t xml:space="preserve">were </w:t>
      </w:r>
      <w:r w:rsidR="004037D6" w:rsidRPr="004037D6">
        <w:rPr>
          <w:rFonts w:ascii="Times New Roman" w:hAnsi="Times New Roman" w:cs="Times New Roman"/>
        </w:rPr>
        <w:t xml:space="preserve">subjected to </w:t>
      </w:r>
      <w:r w:rsidR="004037D6" w:rsidRPr="004037D6">
        <w:rPr>
          <w:rFonts w:ascii="Times New Roman" w:hAnsi="Times New Roman" w:cs="Times New Roman"/>
          <w:spacing w:val="13"/>
        </w:rPr>
        <w:t xml:space="preserve">statistical </w:t>
      </w:r>
      <w:r w:rsidR="004037D6" w:rsidRPr="004037D6">
        <w:rPr>
          <w:rFonts w:ascii="Times New Roman" w:hAnsi="Times New Roman" w:cs="Times New Roman"/>
        </w:rPr>
        <w:t xml:space="preserve">analysis of variance (ANOVA). </w:t>
      </w:r>
      <w:r w:rsidR="004037D6" w:rsidRPr="004037D6">
        <w:rPr>
          <w:rFonts w:ascii="Times New Roman" w:hAnsi="Times New Roman" w:cs="Times New Roman"/>
          <w:spacing w:val="17"/>
        </w:rPr>
        <w:t>F-</w:t>
      </w:r>
      <w:r w:rsidR="004037D6" w:rsidRPr="004037D6">
        <w:rPr>
          <w:rFonts w:ascii="Times New Roman" w:hAnsi="Times New Roman" w:cs="Times New Roman"/>
          <w:spacing w:val="11"/>
        </w:rPr>
        <w:t xml:space="preserve">test </w:t>
      </w:r>
      <w:r w:rsidR="004037D6" w:rsidRPr="004037D6">
        <w:rPr>
          <w:rFonts w:ascii="Times New Roman" w:hAnsi="Times New Roman" w:cs="Times New Roman"/>
        </w:rPr>
        <w:t xml:space="preserve">was </w:t>
      </w:r>
      <w:r w:rsidR="004037D6" w:rsidRPr="004037D6">
        <w:rPr>
          <w:rFonts w:ascii="Times New Roman" w:hAnsi="Times New Roman" w:cs="Times New Roman"/>
          <w:spacing w:val="11"/>
        </w:rPr>
        <w:t xml:space="preserve">used </w:t>
      </w:r>
      <w:r w:rsidR="004037D6" w:rsidRPr="004037D6">
        <w:rPr>
          <w:rFonts w:ascii="Times New Roman" w:hAnsi="Times New Roman" w:cs="Times New Roman"/>
        </w:rPr>
        <w:t xml:space="preserve">to </w:t>
      </w:r>
      <w:r w:rsidR="004037D6" w:rsidRPr="004037D6">
        <w:rPr>
          <w:rFonts w:ascii="Times New Roman" w:hAnsi="Times New Roman" w:cs="Times New Roman"/>
          <w:spacing w:val="13"/>
        </w:rPr>
        <w:t xml:space="preserve">determine </w:t>
      </w:r>
      <w:r w:rsidR="004037D6" w:rsidRPr="004037D6">
        <w:rPr>
          <w:rFonts w:ascii="Times New Roman" w:hAnsi="Times New Roman" w:cs="Times New Roman"/>
          <w:spacing w:val="10"/>
        </w:rPr>
        <w:t xml:space="preserve">the </w:t>
      </w:r>
      <w:r w:rsidR="004037D6" w:rsidRPr="004037D6">
        <w:rPr>
          <w:rFonts w:ascii="Times New Roman" w:hAnsi="Times New Roman" w:cs="Times New Roman"/>
          <w:spacing w:val="13"/>
        </w:rPr>
        <w:t xml:space="preserve">significant </w:t>
      </w:r>
      <w:r w:rsidR="004037D6" w:rsidRPr="004037D6">
        <w:rPr>
          <w:rFonts w:ascii="Times New Roman" w:hAnsi="Times New Roman" w:cs="Times New Roman"/>
          <w:spacing w:val="10"/>
        </w:rPr>
        <w:t>difference.</w:t>
      </w:r>
    </w:p>
    <w:p w14:paraId="7EB549BB" w14:textId="77777777" w:rsidR="004037D6" w:rsidRPr="00A77C78" w:rsidRDefault="004037D6" w:rsidP="004037D6">
      <w:pPr>
        <w:widowControl w:val="0"/>
        <w:tabs>
          <w:tab w:val="left" w:pos="1421"/>
        </w:tabs>
        <w:autoSpaceDE w:val="0"/>
        <w:autoSpaceDN w:val="0"/>
        <w:spacing w:line="360" w:lineRule="auto"/>
        <w:jc w:val="both"/>
        <w:rPr>
          <w:rFonts w:ascii="Times New Roman" w:hAnsi="Times New Roman" w:cs="Times New Roman"/>
          <w:lang w:val="en-GB"/>
        </w:rPr>
      </w:pPr>
    </w:p>
    <w:p w14:paraId="0BDA7BB4" w14:textId="77777777" w:rsidR="002856D6" w:rsidRPr="00BB4B6E" w:rsidRDefault="002856D6" w:rsidP="00BB4B6E">
      <w:pPr>
        <w:pStyle w:val="ListParagraph"/>
        <w:numPr>
          <w:ilvl w:val="0"/>
          <w:numId w:val="2"/>
        </w:numPr>
        <w:spacing w:after="0" w:line="360" w:lineRule="auto"/>
        <w:jc w:val="both"/>
        <w:rPr>
          <w:rFonts w:ascii="Times New Roman" w:hAnsi="Times New Roman" w:cs="Times New Roman"/>
          <w:b/>
          <w:bCs/>
        </w:rPr>
      </w:pPr>
      <w:r w:rsidRPr="00BB4B6E">
        <w:rPr>
          <w:rFonts w:ascii="Times New Roman" w:hAnsi="Times New Roman" w:cs="Times New Roman"/>
          <w:b/>
          <w:bCs/>
        </w:rPr>
        <w:t xml:space="preserve">Result and discussion </w:t>
      </w:r>
    </w:p>
    <w:p w14:paraId="57C86A1A" w14:textId="2CFCB854" w:rsidR="00DF781D" w:rsidRPr="00BB4B6E" w:rsidRDefault="00BB4B6E" w:rsidP="00DF781D">
      <w:pPr>
        <w:spacing w:after="0" w:line="360" w:lineRule="auto"/>
        <w:jc w:val="both"/>
        <w:rPr>
          <w:rFonts w:ascii="Times New Roman" w:hAnsi="Times New Roman" w:cs="Times New Roman"/>
          <w:b/>
          <w:bCs/>
        </w:rPr>
      </w:pPr>
      <w:r w:rsidRPr="00BB4B6E">
        <w:rPr>
          <w:rFonts w:ascii="Times New Roman" w:hAnsi="Times New Roman" w:cs="Times New Roman"/>
          <w:b/>
          <w:bCs/>
        </w:rPr>
        <w:t xml:space="preserve">3.1 </w:t>
      </w:r>
      <w:r w:rsidR="003F167B" w:rsidRPr="003F167B">
        <w:rPr>
          <w:rFonts w:ascii="Times New Roman" w:hAnsi="Times New Roman" w:cs="Times New Roman"/>
          <w:b/>
          <w:bCs/>
          <w:highlight w:val="yellow"/>
        </w:rPr>
        <w:t>Effect of different treatments on the tendril length (cm) of sponge gourd at 30, 60, and 90 days after sowing</w:t>
      </w:r>
    </w:p>
    <w:p w14:paraId="3E9B4CC0" w14:textId="77777777" w:rsidR="00DF781D" w:rsidRPr="00BB4B6E"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30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(22.29cm) followed by T</w:t>
      </w:r>
      <w:r w:rsidRPr="00BB4B6E">
        <w:rPr>
          <w:rFonts w:ascii="Times New Roman" w:hAnsi="Times New Roman" w:cs="Times New Roman"/>
          <w:vertAlign w:val="subscript"/>
        </w:rPr>
        <w:t>2</w:t>
      </w:r>
      <w:r w:rsidRPr="00BB4B6E">
        <w:rPr>
          <w:rFonts w:ascii="Times New Roman" w:hAnsi="Times New Roman" w:cs="Times New Roman"/>
        </w:rPr>
        <w:t>- (20.48cm), T</w:t>
      </w:r>
      <w:r w:rsidRPr="00BB4B6E">
        <w:rPr>
          <w:rFonts w:ascii="Times New Roman" w:hAnsi="Times New Roman" w:cs="Times New Roman"/>
          <w:vertAlign w:val="subscript"/>
        </w:rPr>
        <w:t>4</w:t>
      </w:r>
      <w:r w:rsidRPr="00BB4B6E">
        <w:rPr>
          <w:rFonts w:ascii="Times New Roman" w:hAnsi="Times New Roman" w:cs="Times New Roman"/>
        </w:rPr>
        <w:t>- (19.47cm), T</w:t>
      </w:r>
      <w:r w:rsidRPr="00BB4B6E">
        <w:rPr>
          <w:rFonts w:ascii="Times New Roman" w:hAnsi="Times New Roman" w:cs="Times New Roman"/>
          <w:vertAlign w:val="subscript"/>
        </w:rPr>
        <w:t>5</w:t>
      </w:r>
      <w:r w:rsidRPr="00BB4B6E">
        <w:rPr>
          <w:rFonts w:ascii="Times New Roman" w:hAnsi="Times New Roman" w:cs="Times New Roman"/>
        </w:rPr>
        <w:t>- (17.72cm), T</w:t>
      </w:r>
      <w:r w:rsidRPr="00BB4B6E">
        <w:rPr>
          <w:rFonts w:ascii="Times New Roman" w:hAnsi="Times New Roman" w:cs="Times New Roman"/>
          <w:vertAlign w:val="subscript"/>
        </w:rPr>
        <w:t>6</w:t>
      </w:r>
      <w:r w:rsidRPr="00BB4B6E">
        <w:rPr>
          <w:rFonts w:ascii="Times New Roman" w:hAnsi="Times New Roman" w:cs="Times New Roman"/>
        </w:rPr>
        <w:t>- (16.59cm), T</w:t>
      </w:r>
      <w:r w:rsidRPr="00BB4B6E">
        <w:rPr>
          <w:rFonts w:ascii="Times New Roman" w:hAnsi="Times New Roman" w:cs="Times New Roman"/>
          <w:vertAlign w:val="subscript"/>
        </w:rPr>
        <w:t>1</w:t>
      </w:r>
      <w:r w:rsidRPr="00BB4B6E">
        <w:rPr>
          <w:rFonts w:ascii="Times New Roman" w:hAnsi="Times New Roman" w:cs="Times New Roman"/>
        </w:rPr>
        <w:t xml:space="preserve">- (15.76cm),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(14.26cm). </w:t>
      </w:r>
    </w:p>
    <w:p w14:paraId="66DC2B67" w14:textId="77777777" w:rsidR="00DF781D" w:rsidRPr="00BB4B6E"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60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(120.49cm) followed by T</w:t>
      </w:r>
      <w:r w:rsidRPr="00BB4B6E">
        <w:rPr>
          <w:rFonts w:ascii="Times New Roman" w:hAnsi="Times New Roman" w:cs="Times New Roman"/>
          <w:vertAlign w:val="subscript"/>
        </w:rPr>
        <w:t>2</w:t>
      </w:r>
      <w:r w:rsidRPr="00BB4B6E">
        <w:rPr>
          <w:rFonts w:ascii="Times New Roman" w:hAnsi="Times New Roman" w:cs="Times New Roman"/>
        </w:rPr>
        <w:t>- (118.5cm), T</w:t>
      </w:r>
      <w:r w:rsidRPr="00BB4B6E">
        <w:rPr>
          <w:rFonts w:ascii="Times New Roman" w:hAnsi="Times New Roman" w:cs="Times New Roman"/>
          <w:vertAlign w:val="subscript"/>
        </w:rPr>
        <w:t>4</w:t>
      </w:r>
      <w:r w:rsidRPr="00BB4B6E">
        <w:rPr>
          <w:rFonts w:ascii="Times New Roman" w:hAnsi="Times New Roman" w:cs="Times New Roman"/>
        </w:rPr>
        <w:t>- (117.4cm), T</w:t>
      </w:r>
      <w:r w:rsidRPr="00BB4B6E">
        <w:rPr>
          <w:rFonts w:ascii="Times New Roman" w:hAnsi="Times New Roman" w:cs="Times New Roman"/>
          <w:vertAlign w:val="subscript"/>
        </w:rPr>
        <w:t>5</w:t>
      </w:r>
      <w:r w:rsidRPr="00BB4B6E">
        <w:rPr>
          <w:rFonts w:ascii="Times New Roman" w:hAnsi="Times New Roman" w:cs="Times New Roman"/>
        </w:rPr>
        <w:t>- (114.81cm), T</w:t>
      </w:r>
      <w:r w:rsidRPr="00BB4B6E">
        <w:rPr>
          <w:rFonts w:ascii="Times New Roman" w:hAnsi="Times New Roman" w:cs="Times New Roman"/>
          <w:vertAlign w:val="subscript"/>
        </w:rPr>
        <w:t>6</w:t>
      </w:r>
      <w:r w:rsidRPr="00BB4B6E">
        <w:rPr>
          <w:rFonts w:ascii="Times New Roman" w:hAnsi="Times New Roman" w:cs="Times New Roman"/>
        </w:rPr>
        <w:t>- (113.27cm), T</w:t>
      </w:r>
      <w:r w:rsidRPr="00BB4B6E">
        <w:rPr>
          <w:rFonts w:ascii="Times New Roman" w:hAnsi="Times New Roman" w:cs="Times New Roman"/>
          <w:vertAlign w:val="subscript"/>
        </w:rPr>
        <w:t>1</w:t>
      </w:r>
      <w:r w:rsidRPr="00BB4B6E">
        <w:rPr>
          <w:rFonts w:ascii="Times New Roman" w:hAnsi="Times New Roman" w:cs="Times New Roman"/>
        </w:rPr>
        <w:t>- (111.71cm), least in T</w:t>
      </w:r>
      <w:r w:rsidRPr="00BB4B6E">
        <w:rPr>
          <w:rFonts w:ascii="Times New Roman" w:hAnsi="Times New Roman" w:cs="Times New Roman"/>
          <w:vertAlign w:val="subscript"/>
        </w:rPr>
        <w:t>0</w:t>
      </w:r>
      <w:r w:rsidRPr="00BB4B6E">
        <w:rPr>
          <w:rFonts w:ascii="Times New Roman" w:hAnsi="Times New Roman" w:cs="Times New Roman"/>
        </w:rPr>
        <w:t xml:space="preserve">- (108.02cm). </w:t>
      </w:r>
    </w:p>
    <w:p w14:paraId="2779FD77" w14:textId="77777777" w:rsidR="00DF781D" w:rsidRDefault="00DF781D" w:rsidP="00DF781D">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tendrils height was recorded in treatment T</w:t>
      </w:r>
      <w:r w:rsidRPr="00BB4B6E">
        <w:rPr>
          <w:rFonts w:ascii="Times New Roman" w:hAnsi="Times New Roman" w:cs="Times New Roman"/>
          <w:vertAlign w:val="subscript"/>
        </w:rPr>
        <w:t>3</w:t>
      </w:r>
      <w:r w:rsidRPr="00BB4B6E">
        <w:rPr>
          <w:rFonts w:ascii="Times New Roman" w:hAnsi="Times New Roman" w:cs="Times New Roman"/>
        </w:rPr>
        <w:t>- (163.43cm) followed by T</w:t>
      </w:r>
      <w:r w:rsidRPr="00BB4B6E">
        <w:rPr>
          <w:rFonts w:ascii="Times New Roman" w:hAnsi="Times New Roman" w:cs="Times New Roman"/>
          <w:vertAlign w:val="subscript"/>
        </w:rPr>
        <w:t>2</w:t>
      </w:r>
      <w:r w:rsidRPr="00BB4B6E">
        <w:rPr>
          <w:rFonts w:ascii="Times New Roman" w:hAnsi="Times New Roman" w:cs="Times New Roman"/>
        </w:rPr>
        <w:t>- (161.58cm), T</w:t>
      </w:r>
      <w:r w:rsidRPr="00BB4B6E">
        <w:rPr>
          <w:rFonts w:ascii="Times New Roman" w:hAnsi="Times New Roman" w:cs="Times New Roman"/>
          <w:vertAlign w:val="subscript"/>
        </w:rPr>
        <w:t>4</w:t>
      </w:r>
      <w:r w:rsidRPr="00BB4B6E">
        <w:rPr>
          <w:rFonts w:ascii="Times New Roman" w:hAnsi="Times New Roman" w:cs="Times New Roman"/>
        </w:rPr>
        <w:t>- (159.70cm), T</w:t>
      </w:r>
      <w:r w:rsidRPr="00BB4B6E">
        <w:rPr>
          <w:rFonts w:ascii="Times New Roman" w:hAnsi="Times New Roman" w:cs="Times New Roman"/>
          <w:vertAlign w:val="subscript"/>
        </w:rPr>
        <w:t>5</w:t>
      </w:r>
      <w:r w:rsidRPr="00BB4B6E">
        <w:rPr>
          <w:rFonts w:ascii="Times New Roman" w:hAnsi="Times New Roman" w:cs="Times New Roman"/>
        </w:rPr>
        <w:t>- (157.44cm), T</w:t>
      </w:r>
      <w:r w:rsidRPr="00BB4B6E">
        <w:rPr>
          <w:rFonts w:ascii="Times New Roman" w:hAnsi="Times New Roman" w:cs="Times New Roman"/>
          <w:vertAlign w:val="subscript"/>
        </w:rPr>
        <w:t>6</w:t>
      </w:r>
      <w:r w:rsidRPr="00BB4B6E">
        <w:rPr>
          <w:rFonts w:ascii="Times New Roman" w:hAnsi="Times New Roman" w:cs="Times New Roman"/>
        </w:rPr>
        <w:t>- (155.12cm), T</w:t>
      </w:r>
      <w:r w:rsidRPr="00BB4B6E">
        <w:rPr>
          <w:rFonts w:ascii="Times New Roman" w:hAnsi="Times New Roman" w:cs="Times New Roman"/>
          <w:vertAlign w:val="subscript"/>
        </w:rPr>
        <w:t>1</w:t>
      </w:r>
      <w:r w:rsidRPr="00BB4B6E">
        <w:rPr>
          <w:rFonts w:ascii="Times New Roman" w:hAnsi="Times New Roman" w:cs="Times New Roman"/>
        </w:rPr>
        <w:t xml:space="preserve">- (153.48cm),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(151.21cm). </w:t>
      </w:r>
    </w:p>
    <w:p w14:paraId="0DFD790D" w14:textId="77777777" w:rsidR="007A149C" w:rsidRPr="00597CC1" w:rsidRDefault="007A149C" w:rsidP="007A149C">
      <w:pPr>
        <w:pStyle w:val="NormalWeb"/>
        <w:spacing w:before="0" w:beforeAutospacing="0" w:after="0" w:afterAutospacing="0" w:line="360" w:lineRule="auto"/>
        <w:jc w:val="both"/>
      </w:pPr>
      <w:r w:rsidRPr="00597CC1">
        <w:t>The study revealed a significant impact of fungicidal treatments combined with neem oil on tendril growth of sponge gourd (</w:t>
      </w:r>
      <w:r w:rsidRPr="00597CC1">
        <w:rPr>
          <w:rStyle w:val="Emphasis"/>
          <w:rFonts w:eastAsiaTheme="majorEastAsia"/>
        </w:rPr>
        <w:t>Luffa cylindrica</w:t>
      </w:r>
      <w:r w:rsidRPr="00597CC1">
        <w:t xml:space="preserve"> L.). Tendril height increased steadily from 30 to 90 DAS in all treatments, with T</w:t>
      </w:r>
      <w:r w:rsidRPr="00597CC1">
        <w:rPr>
          <w:vertAlign w:val="subscript"/>
        </w:rPr>
        <w:t>3</w:t>
      </w:r>
      <w:r w:rsidRPr="00597CC1">
        <w:t xml:space="preserve"> (Captan 70% @ 0.2% + neem oil @ 2.0%) recording the maximum height (22.29 cm at 30 DAS; 163.43 cm at 90 DAS), followed by T</w:t>
      </w:r>
      <w:r w:rsidRPr="00597CC1">
        <w:rPr>
          <w:vertAlign w:val="subscript"/>
        </w:rPr>
        <w:t>2</w:t>
      </w:r>
      <w:r w:rsidRPr="00597CC1">
        <w:t xml:space="preserve"> and T</w:t>
      </w:r>
      <w:r w:rsidRPr="00597CC1">
        <w:rPr>
          <w:vertAlign w:val="subscript"/>
        </w:rPr>
        <w:t>4</w:t>
      </w:r>
      <w:r w:rsidRPr="00597CC1">
        <w:t>, while T</w:t>
      </w:r>
      <w:r w:rsidRPr="00597CC1">
        <w:rPr>
          <w:vertAlign w:val="subscript"/>
        </w:rPr>
        <w:t>0</w:t>
      </w:r>
      <w:r w:rsidRPr="00597CC1">
        <w:t xml:space="preserve"> (control) showed the least growth.</w:t>
      </w:r>
    </w:p>
    <w:p w14:paraId="5019B1C0" w14:textId="77777777" w:rsidR="007A149C" w:rsidRPr="00597CC1" w:rsidRDefault="007A149C" w:rsidP="007A149C">
      <w:pPr>
        <w:pStyle w:val="NormalWeb"/>
        <w:spacing w:before="0" w:beforeAutospacing="0" w:after="0" w:afterAutospacing="0" w:line="360" w:lineRule="auto"/>
        <w:jc w:val="both"/>
      </w:pPr>
      <w:r w:rsidRPr="00597CC1">
        <w:t>The enhanced growth under T</w:t>
      </w:r>
      <w:r w:rsidRPr="00597CC1">
        <w:rPr>
          <w:vertAlign w:val="subscript"/>
        </w:rPr>
        <w:t>3</w:t>
      </w:r>
      <w:r w:rsidRPr="00597CC1">
        <w:t xml:space="preserve"> may be attributed to effective disease suppression, reduced biotic stress, and synergistic action between Captan and neem oil, promoting vigorous vegetative development. Similar positive effects of Captan, Carbendazim, and Fosetyl-Al on plant growth have been reported in cucurbits (Isman, 2006</w:t>
      </w:r>
      <w:r w:rsidR="009265B6">
        <w:t xml:space="preserve"> and </w:t>
      </w:r>
      <w:r w:rsidRPr="00597CC1">
        <w:rPr>
          <w:color w:val="222222"/>
          <w:shd w:val="clear" w:color="auto" w:fill="FFFFFF"/>
        </w:rPr>
        <w:t>Maheshwari</w:t>
      </w:r>
      <w:r w:rsidRPr="00597CC1">
        <w:t xml:space="preserve"> </w:t>
      </w:r>
      <w:r w:rsidRPr="00597CC1">
        <w:rPr>
          <w:i/>
          <w:iCs/>
        </w:rPr>
        <w:t>et al</w:t>
      </w:r>
      <w:r w:rsidRPr="00597CC1">
        <w:t xml:space="preserve">., 2017). </w:t>
      </w:r>
    </w:p>
    <w:p w14:paraId="04C4FE47" w14:textId="77777777" w:rsidR="007A149C" w:rsidRPr="00BB4B6E" w:rsidRDefault="007A149C" w:rsidP="00DF781D">
      <w:pPr>
        <w:spacing w:after="0" w:line="360" w:lineRule="auto"/>
        <w:jc w:val="both"/>
        <w:rPr>
          <w:rFonts w:ascii="Times New Roman" w:hAnsi="Times New Roman" w:cs="Times New Roman"/>
        </w:rPr>
      </w:pPr>
    </w:p>
    <w:p w14:paraId="145B9002" w14:textId="7334B6A9" w:rsidR="00BB4B6E" w:rsidRPr="00BB4B6E" w:rsidRDefault="00BB4B6E" w:rsidP="00BB4B6E">
      <w:pPr>
        <w:spacing w:after="0" w:line="360" w:lineRule="auto"/>
        <w:jc w:val="both"/>
        <w:rPr>
          <w:rFonts w:ascii="Times New Roman" w:hAnsi="Times New Roman" w:cs="Times New Roman"/>
          <w:b/>
          <w:bCs/>
        </w:rPr>
      </w:pPr>
      <w:r w:rsidRPr="00E90FBE">
        <w:rPr>
          <w:rFonts w:ascii="Times New Roman" w:eastAsia="Times New Roman" w:hAnsi="Times New Roman" w:cs="Times New Roman"/>
          <w:b/>
          <w:bCs/>
          <w:kern w:val="0"/>
          <w:highlight w:val="yellow"/>
          <w:lang w:eastAsia="en-GB"/>
          <w14:ligatures w14:val="none"/>
        </w:rPr>
        <w:t xml:space="preserve">Table </w:t>
      </w:r>
      <w:r w:rsidR="00E90FBE" w:rsidRPr="00E90FBE">
        <w:rPr>
          <w:rFonts w:ascii="Times New Roman" w:eastAsia="Times New Roman" w:hAnsi="Times New Roman" w:cs="Times New Roman"/>
          <w:b/>
          <w:bCs/>
          <w:kern w:val="0"/>
          <w:highlight w:val="yellow"/>
          <w:lang w:eastAsia="en-GB"/>
          <w14:ligatures w14:val="none"/>
        </w:rPr>
        <w:t>1</w:t>
      </w:r>
      <w:r w:rsidRPr="00BB4B6E">
        <w:rPr>
          <w:rFonts w:ascii="Times New Roman" w:eastAsia="Times New Roman" w:hAnsi="Times New Roman" w:cs="Times New Roman"/>
          <w:b/>
          <w:bCs/>
          <w:kern w:val="0"/>
          <w:lang w:eastAsia="en-GB"/>
          <w14:ligatures w14:val="none"/>
        </w:rPr>
        <w:t xml:space="preserve"> </w:t>
      </w:r>
      <w:r w:rsidRPr="00BB4B6E">
        <w:rPr>
          <w:rFonts w:ascii="Times New Roman" w:hAnsi="Times New Roman" w:cs="Times New Roman"/>
          <w:b/>
          <w:bCs/>
        </w:rPr>
        <w:t xml:space="preserve">Effect of treatments on the Tendril height (cm) of sponge gourd </w:t>
      </w:r>
    </w:p>
    <w:p w14:paraId="17B068A2" w14:textId="77777777" w:rsidR="00DF781D" w:rsidRPr="00BB4B6E" w:rsidRDefault="00DF781D" w:rsidP="0096735A">
      <w:pPr>
        <w:spacing w:after="0" w:line="360" w:lineRule="auto"/>
        <w:jc w:val="both"/>
        <w:rPr>
          <w:rFonts w:ascii="Times New Roman" w:eastAsia="Times New Roman" w:hAnsi="Times New Roman" w:cs="Times New Roman"/>
          <w:kern w:val="0"/>
          <w:lang w:eastAsia="en-GB"/>
          <w14:ligatures w14:val="none"/>
        </w:rPr>
      </w:pPr>
    </w:p>
    <w:tbl>
      <w:tblPr>
        <w:tblStyle w:val="TableGrid"/>
        <w:tblW w:w="0" w:type="auto"/>
        <w:tblLook w:val="04A0" w:firstRow="1" w:lastRow="0" w:firstColumn="1" w:lastColumn="0" w:noHBand="0" w:noVBand="1"/>
      </w:tblPr>
      <w:tblGrid>
        <w:gridCol w:w="846"/>
        <w:gridCol w:w="3969"/>
        <w:gridCol w:w="1417"/>
        <w:gridCol w:w="1418"/>
        <w:gridCol w:w="1366"/>
      </w:tblGrid>
      <w:tr w:rsidR="00C03535" w:rsidRPr="00BB4B6E" w14:paraId="58DCF771" w14:textId="77777777" w:rsidTr="00FF11A4">
        <w:tc>
          <w:tcPr>
            <w:tcW w:w="846" w:type="dxa"/>
            <w:vMerge w:val="restart"/>
            <w:vAlign w:val="center"/>
          </w:tcPr>
          <w:p w14:paraId="65AAC266"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lastRenderedPageBreak/>
              <w:t>S. No.</w:t>
            </w:r>
          </w:p>
        </w:tc>
        <w:tc>
          <w:tcPr>
            <w:tcW w:w="3969" w:type="dxa"/>
            <w:vMerge w:val="restart"/>
            <w:vAlign w:val="center"/>
          </w:tcPr>
          <w:p w14:paraId="62F0C20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9518EB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Tendril Height (cm)</w:t>
            </w:r>
          </w:p>
        </w:tc>
      </w:tr>
      <w:tr w:rsidR="00C03535" w:rsidRPr="00BB4B6E" w14:paraId="2658E42B" w14:textId="77777777" w:rsidTr="00FF11A4">
        <w:tc>
          <w:tcPr>
            <w:tcW w:w="846" w:type="dxa"/>
            <w:vMerge/>
            <w:vAlign w:val="center"/>
          </w:tcPr>
          <w:p w14:paraId="300D98A5"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14A5CFA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381D02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4BF9B738"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45F6C10D"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C03535" w:rsidRPr="00BB4B6E" w14:paraId="2240CC30" w14:textId="77777777" w:rsidTr="00FF11A4">
        <w:tc>
          <w:tcPr>
            <w:tcW w:w="846" w:type="dxa"/>
            <w:vAlign w:val="center"/>
          </w:tcPr>
          <w:p w14:paraId="3B36144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24B576D0"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09BBCD0" w14:textId="77777777" w:rsidR="00DD5E26"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14.26</w:t>
            </w:r>
            <w:r w:rsidRPr="00BB4B6E">
              <w:rPr>
                <w:rFonts w:ascii="Times New Roman" w:eastAsia="Times New Roman" w:hAnsi="Times New Roman" w:cs="Times New Roman"/>
                <w:kern w:val="0"/>
                <w:vertAlign w:val="superscript"/>
                <w:lang w:eastAsia="en-GB"/>
                <w14:ligatures w14:val="none"/>
              </w:rPr>
              <w:t>g</w:t>
            </w:r>
          </w:p>
        </w:tc>
        <w:tc>
          <w:tcPr>
            <w:tcW w:w="1418" w:type="dxa"/>
            <w:vAlign w:val="center"/>
          </w:tcPr>
          <w:p w14:paraId="51A75AB1" w14:textId="77777777" w:rsidR="00C03535" w:rsidRPr="00BB4B6E" w:rsidRDefault="00673849"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108</w:t>
            </w:r>
            <w:r w:rsidR="00FF11A4" w:rsidRPr="00BB4B6E">
              <w:rPr>
                <w:rFonts w:ascii="Times New Roman" w:eastAsia="Times New Roman" w:hAnsi="Times New Roman" w:cs="Times New Roman"/>
                <w:kern w:val="0"/>
                <w:lang w:eastAsia="en-GB"/>
                <w14:ligatures w14:val="none"/>
              </w:rPr>
              <w:t>.02</w:t>
            </w:r>
            <w:r w:rsidR="00FF11A4"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C4F1E0E"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151,21</w:t>
            </w:r>
            <w:r w:rsidRPr="00BB4B6E">
              <w:rPr>
                <w:rFonts w:ascii="Times New Roman" w:eastAsia="Times New Roman" w:hAnsi="Times New Roman" w:cs="Times New Roman"/>
                <w:kern w:val="0"/>
                <w:vertAlign w:val="superscript"/>
                <w:lang w:eastAsia="en-GB"/>
                <w14:ligatures w14:val="none"/>
              </w:rPr>
              <w:t>e</w:t>
            </w:r>
          </w:p>
        </w:tc>
      </w:tr>
      <w:tr w:rsidR="00C03535" w:rsidRPr="00BB4B6E" w14:paraId="07C22D23" w14:textId="77777777" w:rsidTr="00FF11A4">
        <w:tc>
          <w:tcPr>
            <w:tcW w:w="846" w:type="dxa"/>
            <w:vAlign w:val="center"/>
          </w:tcPr>
          <w:p w14:paraId="2AE623C2"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59F6868B" w14:textId="77777777" w:rsidR="00C03535" w:rsidRPr="00BB4B6E" w:rsidRDefault="0093476F"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61945DC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15.76</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13DDBE76"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111.71</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3CE06652"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153.48</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71E4A7B3" w14:textId="77777777" w:rsidTr="00FF11A4">
        <w:tc>
          <w:tcPr>
            <w:tcW w:w="846" w:type="dxa"/>
            <w:vAlign w:val="center"/>
          </w:tcPr>
          <w:p w14:paraId="3F4A46EC"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1F8F8FD9"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618E2F9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20.48</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26C4200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118.5</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D0C74AB"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161.58</w:t>
            </w:r>
            <w:r w:rsidRPr="00BB4B6E">
              <w:rPr>
                <w:rFonts w:ascii="Times New Roman" w:eastAsia="Times New Roman" w:hAnsi="Times New Roman" w:cs="Times New Roman"/>
                <w:kern w:val="0"/>
                <w:vertAlign w:val="superscript"/>
                <w:lang w:eastAsia="en-GB"/>
                <w14:ligatures w14:val="none"/>
              </w:rPr>
              <w:t>ab</w:t>
            </w:r>
          </w:p>
        </w:tc>
      </w:tr>
      <w:tr w:rsidR="00C03535" w:rsidRPr="00BB4B6E" w14:paraId="2822398E" w14:textId="77777777" w:rsidTr="00FF11A4">
        <w:tc>
          <w:tcPr>
            <w:tcW w:w="846" w:type="dxa"/>
            <w:vAlign w:val="center"/>
          </w:tcPr>
          <w:p w14:paraId="6C026739"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333EF6CF"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118F3BD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22.29</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3EF77C6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120.49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76B3D7A"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163.43</w:t>
            </w:r>
            <w:r w:rsidRPr="00BB4B6E">
              <w:rPr>
                <w:rFonts w:ascii="Times New Roman" w:eastAsia="Times New Roman" w:hAnsi="Times New Roman" w:cs="Times New Roman"/>
                <w:kern w:val="0"/>
                <w:vertAlign w:val="superscript"/>
                <w:lang w:eastAsia="en-GB"/>
                <w14:ligatures w14:val="none"/>
              </w:rPr>
              <w:t>a</w:t>
            </w:r>
          </w:p>
        </w:tc>
      </w:tr>
      <w:tr w:rsidR="00C03535" w:rsidRPr="00BB4B6E" w14:paraId="307E4B07" w14:textId="77777777" w:rsidTr="00FF11A4">
        <w:tc>
          <w:tcPr>
            <w:tcW w:w="846" w:type="dxa"/>
            <w:vAlign w:val="center"/>
          </w:tcPr>
          <w:p w14:paraId="4406B3F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5032A0C2"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414E1BC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19.47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6C8B767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117.4</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3D4C3AF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159.70</w:t>
            </w:r>
            <w:r w:rsidRPr="00BB4B6E">
              <w:rPr>
                <w:rFonts w:ascii="Times New Roman" w:eastAsia="Times New Roman" w:hAnsi="Times New Roman" w:cs="Times New Roman"/>
                <w:kern w:val="0"/>
                <w:vertAlign w:val="superscript"/>
                <w:lang w:eastAsia="en-GB"/>
                <w14:ligatures w14:val="none"/>
              </w:rPr>
              <w:t>b</w:t>
            </w:r>
          </w:p>
        </w:tc>
      </w:tr>
      <w:tr w:rsidR="00C03535" w:rsidRPr="00BB4B6E" w14:paraId="0F050A86" w14:textId="77777777" w:rsidTr="00FF11A4">
        <w:tc>
          <w:tcPr>
            <w:tcW w:w="846" w:type="dxa"/>
            <w:vAlign w:val="center"/>
          </w:tcPr>
          <w:p w14:paraId="781121B5"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4447189C"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7687FC40"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17.72</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9E50C73"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114.81</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431B7284"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157.44</w:t>
            </w:r>
            <w:r w:rsidRPr="00BB4B6E">
              <w:rPr>
                <w:rFonts w:ascii="Times New Roman" w:eastAsia="Times New Roman" w:hAnsi="Times New Roman" w:cs="Times New Roman"/>
                <w:kern w:val="0"/>
                <w:vertAlign w:val="superscript"/>
                <w:lang w:eastAsia="en-GB"/>
                <w14:ligatures w14:val="none"/>
              </w:rPr>
              <w:t>c</w:t>
            </w:r>
          </w:p>
        </w:tc>
      </w:tr>
      <w:tr w:rsidR="00C03535" w:rsidRPr="00BB4B6E" w14:paraId="74FC5C71" w14:textId="77777777" w:rsidTr="00FF11A4">
        <w:tc>
          <w:tcPr>
            <w:tcW w:w="846" w:type="dxa"/>
            <w:vAlign w:val="center"/>
          </w:tcPr>
          <w:p w14:paraId="4F715E9E" w14:textId="77777777" w:rsidR="00C03535" w:rsidRPr="00BB4B6E" w:rsidRDefault="00C03535" w:rsidP="00FF11A4">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B47A61E" w14:textId="77777777" w:rsidR="00C03535" w:rsidRPr="00BB4B6E" w:rsidRDefault="00C03535" w:rsidP="00FF11A4">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16BCBB1F"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16.59e</w:t>
            </w:r>
          </w:p>
        </w:tc>
        <w:tc>
          <w:tcPr>
            <w:tcW w:w="1418" w:type="dxa"/>
            <w:vAlign w:val="center"/>
          </w:tcPr>
          <w:p w14:paraId="61634F27"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113.27</w:t>
            </w:r>
            <w:r w:rsidRPr="00BB4B6E">
              <w:rPr>
                <w:rFonts w:ascii="Times New Roman" w:eastAsia="Times New Roman" w:hAnsi="Times New Roman" w:cs="Times New Roman"/>
                <w:kern w:val="0"/>
                <w:vertAlign w:val="superscript"/>
                <w:lang w:eastAsia="en-GB"/>
                <w14:ligatures w14:val="none"/>
              </w:rPr>
              <w:t>cd</w:t>
            </w:r>
          </w:p>
        </w:tc>
        <w:tc>
          <w:tcPr>
            <w:tcW w:w="1366" w:type="dxa"/>
            <w:vAlign w:val="center"/>
          </w:tcPr>
          <w:p w14:paraId="39E08288" w14:textId="77777777" w:rsidR="00C03535" w:rsidRPr="00BB4B6E" w:rsidRDefault="00FF11A4" w:rsidP="00FF11A4">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155.12</w:t>
            </w:r>
            <w:r w:rsidRPr="00BB4B6E">
              <w:rPr>
                <w:rFonts w:ascii="Times New Roman" w:eastAsia="Times New Roman" w:hAnsi="Times New Roman" w:cs="Times New Roman"/>
                <w:kern w:val="0"/>
                <w:vertAlign w:val="superscript"/>
                <w:lang w:eastAsia="en-GB"/>
                <w14:ligatures w14:val="none"/>
              </w:rPr>
              <w:t>d</w:t>
            </w:r>
          </w:p>
        </w:tc>
      </w:tr>
      <w:tr w:rsidR="00C03535" w:rsidRPr="00BB4B6E" w14:paraId="38450FA4" w14:textId="77777777" w:rsidTr="00FF11A4">
        <w:tc>
          <w:tcPr>
            <w:tcW w:w="846" w:type="dxa"/>
            <w:vAlign w:val="center"/>
          </w:tcPr>
          <w:p w14:paraId="10734E5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292349B"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2DF8EA96"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14C52E2"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28149280" w14:textId="77777777" w:rsidR="00C03535" w:rsidRPr="00BB4B6E" w:rsidRDefault="00C03535"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C03535" w:rsidRPr="00BB4B6E" w14:paraId="55C07D2E" w14:textId="77777777" w:rsidTr="00FF11A4">
        <w:tc>
          <w:tcPr>
            <w:tcW w:w="846" w:type="dxa"/>
            <w:vAlign w:val="center"/>
          </w:tcPr>
          <w:p w14:paraId="4C75E9E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29C4A1E"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0D4480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0ADAFF72"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0.73</w:t>
            </w:r>
          </w:p>
        </w:tc>
        <w:tc>
          <w:tcPr>
            <w:tcW w:w="1366" w:type="dxa"/>
            <w:vAlign w:val="center"/>
          </w:tcPr>
          <w:p w14:paraId="0E866AEB"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0.89</w:t>
            </w:r>
          </w:p>
        </w:tc>
      </w:tr>
      <w:tr w:rsidR="00C03535" w:rsidRPr="00BB4B6E" w14:paraId="2C769B1C" w14:textId="77777777" w:rsidTr="00FF11A4">
        <w:tc>
          <w:tcPr>
            <w:tcW w:w="846" w:type="dxa"/>
            <w:vAlign w:val="center"/>
          </w:tcPr>
          <w:p w14:paraId="548F364F"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523646C" w14:textId="77777777" w:rsidR="00C03535" w:rsidRPr="00BB4B6E" w:rsidRDefault="00C03535" w:rsidP="00FF11A4">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09D0300C"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0/76</w:t>
            </w:r>
          </w:p>
        </w:tc>
        <w:tc>
          <w:tcPr>
            <w:tcW w:w="1418" w:type="dxa"/>
            <w:vAlign w:val="center"/>
          </w:tcPr>
          <w:p w14:paraId="12CFE14D"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1.59</w:t>
            </w:r>
          </w:p>
        </w:tc>
        <w:tc>
          <w:tcPr>
            <w:tcW w:w="1366" w:type="dxa"/>
            <w:vAlign w:val="center"/>
          </w:tcPr>
          <w:p w14:paraId="4C030F81" w14:textId="77777777" w:rsidR="00C03535" w:rsidRPr="00BB4B6E" w:rsidRDefault="00FF11A4" w:rsidP="00FF11A4">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1.93</w:t>
            </w:r>
          </w:p>
        </w:tc>
      </w:tr>
    </w:tbl>
    <w:p w14:paraId="5D295371"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57300D4"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77F37245" w14:textId="77777777" w:rsidR="00770056" w:rsidRPr="00BB4B6E" w:rsidRDefault="00770056" w:rsidP="0096735A">
      <w:pPr>
        <w:spacing w:after="0" w:line="360" w:lineRule="auto"/>
        <w:jc w:val="both"/>
        <w:rPr>
          <w:rFonts w:ascii="Times New Roman" w:eastAsia="Times New Roman" w:hAnsi="Times New Roman" w:cs="Times New Roman"/>
          <w:kern w:val="0"/>
          <w:lang w:eastAsia="en-GB"/>
          <w14:ligatures w14:val="none"/>
        </w:rPr>
      </w:pPr>
    </w:p>
    <w:p w14:paraId="5173B62E"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5F20D8F4" w14:textId="42A1A276" w:rsidR="00E76F58" w:rsidRPr="00BB4B6E" w:rsidRDefault="00BB4B6E" w:rsidP="00E76F58">
      <w:pPr>
        <w:spacing w:after="0" w:line="360" w:lineRule="auto"/>
        <w:jc w:val="both"/>
        <w:rPr>
          <w:rFonts w:ascii="Times New Roman" w:hAnsi="Times New Roman" w:cs="Times New Roman"/>
          <w:b/>
          <w:bCs/>
        </w:rPr>
      </w:pPr>
      <w:r>
        <w:rPr>
          <w:rFonts w:ascii="Times New Roman" w:hAnsi="Times New Roman" w:cs="Times New Roman"/>
          <w:b/>
          <w:bCs/>
        </w:rPr>
        <w:t xml:space="preserve">3.2 </w:t>
      </w:r>
      <w:r w:rsidR="003F167B" w:rsidRPr="003F167B">
        <w:rPr>
          <w:rFonts w:ascii="Times New Roman" w:hAnsi="Times New Roman" w:cs="Times New Roman"/>
          <w:b/>
          <w:bCs/>
          <w:highlight w:val="yellow"/>
        </w:rPr>
        <w:t>Effect of different treatments on the number of leaves of sponge gourd at 30, 60, and 90 days after sowing</w:t>
      </w:r>
    </w:p>
    <w:p w14:paraId="0A2FE51B" w14:textId="77777777" w:rsidR="00E76F58" w:rsidRPr="00BB4B6E"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30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(11.33)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(9.8), T</w:t>
      </w:r>
      <w:r w:rsidRPr="00BB4B6E">
        <w:rPr>
          <w:rFonts w:ascii="Times New Roman" w:hAnsi="Times New Roman" w:cs="Times New Roman"/>
          <w:vertAlign w:val="subscript"/>
        </w:rPr>
        <w:t>5</w:t>
      </w:r>
      <w:r w:rsidRPr="00BB4B6E">
        <w:rPr>
          <w:rFonts w:ascii="Times New Roman" w:hAnsi="Times New Roman" w:cs="Times New Roman"/>
        </w:rPr>
        <w:t>- (9.07),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xml:space="preserve">- (7.87),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(7.27). </w:t>
      </w:r>
    </w:p>
    <w:p w14:paraId="6A74F5D4" w14:textId="77777777" w:rsidR="00E76F58" w:rsidRPr="00BB4B6E"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60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(39) followed by T</w:t>
      </w:r>
      <w:r w:rsidRPr="00BB4B6E">
        <w:rPr>
          <w:rFonts w:ascii="Times New Roman" w:hAnsi="Times New Roman" w:cs="Times New Roman"/>
          <w:vertAlign w:val="subscript"/>
        </w:rPr>
        <w:t>2</w:t>
      </w:r>
      <w:r w:rsidRPr="00BB4B6E">
        <w:rPr>
          <w:rFonts w:ascii="Times New Roman" w:hAnsi="Times New Roman" w:cs="Times New Roman"/>
        </w:rPr>
        <w:t>- (37.73), T</w:t>
      </w:r>
      <w:r w:rsidRPr="00BB4B6E">
        <w:rPr>
          <w:rFonts w:ascii="Times New Roman" w:hAnsi="Times New Roman" w:cs="Times New Roman"/>
          <w:vertAlign w:val="subscript"/>
        </w:rPr>
        <w:t>4</w:t>
      </w:r>
      <w:r w:rsidRPr="00BB4B6E">
        <w:rPr>
          <w:rFonts w:ascii="Times New Roman" w:hAnsi="Times New Roman" w:cs="Times New Roman"/>
        </w:rPr>
        <w:t>- (36.07), T</w:t>
      </w:r>
      <w:r w:rsidRPr="00BB4B6E">
        <w:rPr>
          <w:rFonts w:ascii="Times New Roman" w:hAnsi="Times New Roman" w:cs="Times New Roman"/>
          <w:vertAlign w:val="subscript"/>
        </w:rPr>
        <w:t>5</w:t>
      </w:r>
      <w:r w:rsidRPr="00BB4B6E">
        <w:rPr>
          <w:rFonts w:ascii="Times New Roman" w:hAnsi="Times New Roman" w:cs="Times New Roman"/>
        </w:rPr>
        <w:t>- (34.6), T</w:t>
      </w:r>
      <w:r w:rsidRPr="00BB4B6E">
        <w:rPr>
          <w:rFonts w:ascii="Times New Roman" w:hAnsi="Times New Roman" w:cs="Times New Roman"/>
          <w:vertAlign w:val="subscript"/>
        </w:rPr>
        <w:t>6</w:t>
      </w:r>
      <w:r w:rsidRPr="00BB4B6E">
        <w:rPr>
          <w:rFonts w:ascii="Times New Roman" w:hAnsi="Times New Roman" w:cs="Times New Roman"/>
        </w:rPr>
        <w:t>- (32.67), T</w:t>
      </w:r>
      <w:r w:rsidRPr="00BB4B6E">
        <w:rPr>
          <w:rFonts w:ascii="Times New Roman" w:hAnsi="Times New Roman" w:cs="Times New Roman"/>
          <w:vertAlign w:val="subscript"/>
        </w:rPr>
        <w:t>1</w:t>
      </w:r>
      <w:r w:rsidRPr="00BB4B6E">
        <w:rPr>
          <w:rFonts w:ascii="Times New Roman" w:hAnsi="Times New Roman" w:cs="Times New Roman"/>
        </w:rPr>
        <w:t xml:space="preserve">- (30.6), least in </w:t>
      </w:r>
      <w:r w:rsidR="00B628DD" w:rsidRPr="00BB4B6E">
        <w:rPr>
          <w:rFonts w:ascii="Times New Roman" w:hAnsi="Times New Roman" w:cs="Times New Roman"/>
        </w:rPr>
        <w:t>T</w:t>
      </w:r>
      <w:r w:rsidR="00B628DD" w:rsidRPr="00BB4B6E">
        <w:rPr>
          <w:rFonts w:ascii="Times New Roman" w:hAnsi="Times New Roman" w:cs="Times New Roman"/>
          <w:vertAlign w:val="subscript"/>
        </w:rPr>
        <w:t>0</w:t>
      </w:r>
      <w:r w:rsidRPr="00BB4B6E">
        <w:rPr>
          <w:rFonts w:ascii="Times New Roman" w:hAnsi="Times New Roman" w:cs="Times New Roman"/>
        </w:rPr>
        <w:t xml:space="preserve">- (29.4). </w:t>
      </w:r>
    </w:p>
    <w:p w14:paraId="2407A8A0" w14:textId="77777777" w:rsidR="00E76F58" w:rsidRDefault="00E76F58" w:rsidP="00E76F58">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leaves was recorded in treatment T</w:t>
      </w:r>
      <w:r w:rsidRPr="00BB4B6E">
        <w:rPr>
          <w:rFonts w:ascii="Times New Roman" w:hAnsi="Times New Roman" w:cs="Times New Roman"/>
          <w:vertAlign w:val="subscript"/>
        </w:rPr>
        <w:t>3</w:t>
      </w:r>
      <w:r w:rsidRPr="00BB4B6E">
        <w:rPr>
          <w:rFonts w:ascii="Times New Roman" w:hAnsi="Times New Roman" w:cs="Times New Roman"/>
        </w:rPr>
        <w:t>- (65.6) followed by T</w:t>
      </w:r>
      <w:r w:rsidRPr="00BB4B6E">
        <w:rPr>
          <w:rFonts w:ascii="Times New Roman" w:hAnsi="Times New Roman" w:cs="Times New Roman"/>
          <w:vertAlign w:val="subscript"/>
        </w:rPr>
        <w:t>2</w:t>
      </w:r>
      <w:r w:rsidRPr="00BB4B6E">
        <w:rPr>
          <w:rFonts w:ascii="Times New Roman" w:hAnsi="Times New Roman" w:cs="Times New Roman"/>
        </w:rPr>
        <w:t>- (64.13), T</w:t>
      </w:r>
      <w:r w:rsidRPr="00BB4B6E">
        <w:rPr>
          <w:rFonts w:ascii="Times New Roman" w:hAnsi="Times New Roman" w:cs="Times New Roman"/>
          <w:vertAlign w:val="subscript"/>
        </w:rPr>
        <w:t>4</w:t>
      </w:r>
      <w:r w:rsidRPr="00BB4B6E">
        <w:rPr>
          <w:rFonts w:ascii="Times New Roman" w:hAnsi="Times New Roman" w:cs="Times New Roman"/>
        </w:rPr>
        <w:t>- (62.26), T</w:t>
      </w:r>
      <w:r w:rsidRPr="00BB4B6E">
        <w:rPr>
          <w:rFonts w:ascii="Times New Roman" w:hAnsi="Times New Roman" w:cs="Times New Roman"/>
          <w:vertAlign w:val="subscript"/>
        </w:rPr>
        <w:t>5</w:t>
      </w:r>
      <w:r w:rsidRPr="00BB4B6E">
        <w:rPr>
          <w:rFonts w:ascii="Times New Roman" w:hAnsi="Times New Roman" w:cs="Times New Roman"/>
        </w:rPr>
        <w:t>- (60.8), T</w:t>
      </w:r>
      <w:r w:rsidRPr="00BB4B6E">
        <w:rPr>
          <w:rFonts w:ascii="Times New Roman" w:hAnsi="Times New Roman" w:cs="Times New Roman"/>
          <w:vertAlign w:val="subscript"/>
        </w:rPr>
        <w:t>6</w:t>
      </w:r>
      <w:r w:rsidRPr="00BB4B6E">
        <w:rPr>
          <w:rFonts w:ascii="Times New Roman" w:hAnsi="Times New Roman" w:cs="Times New Roman"/>
        </w:rPr>
        <w:t>- (60), T</w:t>
      </w:r>
      <w:r w:rsidRPr="00BB4B6E">
        <w:rPr>
          <w:rFonts w:ascii="Times New Roman" w:hAnsi="Times New Roman" w:cs="Times New Roman"/>
          <w:vertAlign w:val="subscript"/>
        </w:rPr>
        <w:t>1</w:t>
      </w:r>
      <w:r w:rsidRPr="00BB4B6E">
        <w:rPr>
          <w:rFonts w:ascii="Times New Roman" w:hAnsi="Times New Roman" w:cs="Times New Roman"/>
        </w:rPr>
        <w:t>- (58.93), least in T</w:t>
      </w:r>
      <w:r w:rsidR="00B628DD" w:rsidRPr="00BB4B6E">
        <w:rPr>
          <w:rFonts w:ascii="Times New Roman" w:hAnsi="Times New Roman" w:cs="Times New Roman"/>
          <w:vertAlign w:val="subscript"/>
        </w:rPr>
        <w:t>0</w:t>
      </w:r>
      <w:r w:rsidRPr="00BB4B6E">
        <w:rPr>
          <w:rFonts w:ascii="Times New Roman" w:hAnsi="Times New Roman" w:cs="Times New Roman"/>
        </w:rPr>
        <w:t xml:space="preserve">- (55.33). </w:t>
      </w:r>
    </w:p>
    <w:p w14:paraId="54DCB719" w14:textId="77777777" w:rsidR="007A149C" w:rsidRDefault="007A149C" w:rsidP="007A149C">
      <w:pPr>
        <w:pStyle w:val="NormalWeb"/>
        <w:spacing w:before="0" w:beforeAutospacing="0" w:after="0" w:afterAutospacing="0" w:line="360" w:lineRule="auto"/>
        <w:jc w:val="both"/>
      </w:pPr>
      <w:r>
        <w:t>The study showed a significant increase in leaf number of sponge gourd (</w:t>
      </w:r>
      <w:r>
        <w:rPr>
          <w:rStyle w:val="Emphasis"/>
          <w:rFonts w:eastAsiaTheme="majorEastAsia"/>
        </w:rPr>
        <w:t>Luffa cylindrica</w:t>
      </w:r>
      <w:r>
        <w:t xml:space="preserve"> L.) with different fungicidal treatments combined with neem oil. The highest number of leaves was consistently recorded in T</w:t>
      </w:r>
      <w:r w:rsidRPr="00E0328D">
        <w:rPr>
          <w:vertAlign w:val="subscript"/>
        </w:rPr>
        <w:t>3</w:t>
      </w:r>
      <w:r>
        <w:t xml:space="preserve"> (Captan 70% @ 0.2% + neem oil @ 2.0%) at 30 DAS (11.33), 60 DAS (39.0), and 90 DAS (65.6), followed by T</w:t>
      </w:r>
      <w:r w:rsidRPr="00E0328D">
        <w:rPr>
          <w:vertAlign w:val="subscript"/>
        </w:rPr>
        <w:t>2</w:t>
      </w:r>
      <w:r>
        <w:t xml:space="preserve"> and T</w:t>
      </w:r>
      <w:r w:rsidRPr="00E0328D">
        <w:rPr>
          <w:vertAlign w:val="subscript"/>
        </w:rPr>
        <w:t>4</w:t>
      </w:r>
      <w:r>
        <w:t>, while the lowest was observed in the untreated control (T</w:t>
      </w:r>
      <w:r w:rsidRPr="00E0328D">
        <w:rPr>
          <w:vertAlign w:val="subscript"/>
        </w:rPr>
        <w:t>0</w:t>
      </w:r>
      <w:r>
        <w:t>).</w:t>
      </w:r>
    </w:p>
    <w:p w14:paraId="32692408" w14:textId="77777777" w:rsidR="007A149C" w:rsidRPr="00BB4B6E" w:rsidRDefault="007A149C" w:rsidP="007A149C">
      <w:pPr>
        <w:pStyle w:val="NormalWeb"/>
        <w:spacing w:before="0" w:beforeAutospacing="0" w:after="0" w:afterAutospacing="0" w:line="360" w:lineRule="auto"/>
        <w:jc w:val="both"/>
      </w:pPr>
      <w:r>
        <w:t>The superior performance of T</w:t>
      </w:r>
      <w:r w:rsidRPr="00E0328D">
        <w:rPr>
          <w:vertAlign w:val="subscript"/>
        </w:rPr>
        <w:t>3</w:t>
      </w:r>
      <w:r>
        <w:t xml:space="preserve"> may be attributed to effective disease suppression, reduced pathogen pressure, and improved physiological activity, resulting in enhanced vegetative </w:t>
      </w:r>
      <w:r>
        <w:lastRenderedPageBreak/>
        <w:t xml:space="preserve">growth. Captan’s broad-spectrum activity and the synergistic antifungal effects of neem oil likely supported leaf proliferation and canopy development </w:t>
      </w:r>
      <w:r w:rsidRPr="00597CC1">
        <w:t>(Isman, 2006</w:t>
      </w:r>
      <w:r w:rsidR="009265B6">
        <w:t xml:space="preserve"> and</w:t>
      </w:r>
      <w:r w:rsidRPr="00597CC1">
        <w:t xml:space="preserve"> </w:t>
      </w:r>
      <w:r w:rsidRPr="00597CC1">
        <w:rPr>
          <w:color w:val="222222"/>
          <w:shd w:val="clear" w:color="auto" w:fill="FFFFFF"/>
        </w:rPr>
        <w:t>Maheshwari</w:t>
      </w:r>
      <w:r w:rsidRPr="00597CC1">
        <w:t xml:space="preserve"> </w:t>
      </w:r>
      <w:r w:rsidRPr="00597CC1">
        <w:rPr>
          <w:i/>
          <w:iCs/>
        </w:rPr>
        <w:t>et al</w:t>
      </w:r>
      <w:r w:rsidRPr="00597CC1">
        <w:t xml:space="preserve">., 2017). </w:t>
      </w:r>
    </w:p>
    <w:p w14:paraId="06981A9B" w14:textId="77777777" w:rsidR="00C84846" w:rsidRPr="00BB4B6E" w:rsidRDefault="00C84846" w:rsidP="0096735A">
      <w:pPr>
        <w:spacing w:after="0" w:line="360" w:lineRule="auto"/>
        <w:jc w:val="both"/>
        <w:rPr>
          <w:rFonts w:ascii="Times New Roman" w:eastAsia="Times New Roman" w:hAnsi="Times New Roman" w:cs="Times New Roman"/>
          <w:kern w:val="0"/>
          <w:lang w:eastAsia="en-GB"/>
          <w14:ligatures w14:val="none"/>
        </w:rPr>
      </w:pPr>
    </w:p>
    <w:p w14:paraId="14415BAB" w14:textId="71BC39A8" w:rsidR="00C84846" w:rsidRPr="0096735A" w:rsidRDefault="00E90FBE" w:rsidP="0096735A">
      <w:pPr>
        <w:spacing w:after="0" w:line="360" w:lineRule="auto"/>
        <w:jc w:val="both"/>
        <w:rPr>
          <w:rFonts w:ascii="Times New Roman" w:hAnsi="Times New Roman" w:cs="Times New Roman"/>
          <w:b/>
          <w:bCs/>
        </w:rPr>
      </w:pPr>
      <w:r w:rsidRPr="00E90FBE">
        <w:rPr>
          <w:rFonts w:ascii="Times New Roman" w:eastAsia="Times New Roman" w:hAnsi="Times New Roman" w:cs="Times New Roman"/>
          <w:b/>
          <w:bCs/>
          <w:kern w:val="0"/>
          <w:highlight w:val="yellow"/>
          <w:lang w:eastAsia="en-GB"/>
          <w14:ligatures w14:val="none"/>
        </w:rPr>
        <w:t xml:space="preserve">Table </w:t>
      </w:r>
      <w:r>
        <w:rPr>
          <w:rFonts w:ascii="Times New Roman" w:eastAsia="Times New Roman" w:hAnsi="Times New Roman" w:cs="Times New Roman"/>
          <w:b/>
          <w:bCs/>
          <w:kern w:val="0"/>
          <w:highlight w:val="yellow"/>
          <w:lang w:eastAsia="en-GB"/>
          <w14:ligatures w14:val="none"/>
        </w:rPr>
        <w:t>2</w:t>
      </w:r>
      <w:r w:rsidR="00BB4B6E">
        <w:rPr>
          <w:rFonts w:ascii="Times New Roman" w:eastAsia="Times New Roman" w:hAnsi="Times New Roman" w:cs="Times New Roman"/>
          <w:kern w:val="0"/>
          <w:lang w:eastAsia="en-GB"/>
          <w14:ligatures w14:val="none"/>
        </w:rPr>
        <w:t xml:space="preserve"> </w:t>
      </w:r>
      <w:r w:rsidR="00BB4B6E" w:rsidRPr="00BB4B6E">
        <w:rPr>
          <w:rFonts w:ascii="Times New Roman" w:hAnsi="Times New Roman" w:cs="Times New Roman"/>
          <w:b/>
          <w:bCs/>
        </w:rPr>
        <w:t xml:space="preserve">Effect of treatments on the number of leaves of sponge gourd </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404F1B80" w14:textId="77777777" w:rsidTr="00C84846">
        <w:tc>
          <w:tcPr>
            <w:tcW w:w="846" w:type="dxa"/>
            <w:vMerge w:val="restart"/>
            <w:vAlign w:val="center"/>
          </w:tcPr>
          <w:p w14:paraId="2A665AC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33B666B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778EE75F"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Number of leaves</w:t>
            </w:r>
          </w:p>
        </w:tc>
      </w:tr>
      <w:tr w:rsidR="00DD5E26" w:rsidRPr="00BB4B6E" w14:paraId="5BAF3FF0" w14:textId="77777777" w:rsidTr="00C84846">
        <w:tc>
          <w:tcPr>
            <w:tcW w:w="846" w:type="dxa"/>
            <w:vMerge/>
            <w:vAlign w:val="center"/>
          </w:tcPr>
          <w:p w14:paraId="35DEDE3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42006A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4FDE920"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30 DAS</w:t>
            </w:r>
          </w:p>
        </w:tc>
        <w:tc>
          <w:tcPr>
            <w:tcW w:w="1418" w:type="dxa"/>
            <w:vAlign w:val="center"/>
          </w:tcPr>
          <w:p w14:paraId="3BE53AF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 DAS</w:t>
            </w:r>
          </w:p>
        </w:tc>
        <w:tc>
          <w:tcPr>
            <w:tcW w:w="1366" w:type="dxa"/>
            <w:vAlign w:val="center"/>
          </w:tcPr>
          <w:p w14:paraId="641383A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2959F0DB" w14:textId="77777777" w:rsidTr="00C84846">
        <w:tc>
          <w:tcPr>
            <w:tcW w:w="846" w:type="dxa"/>
            <w:vAlign w:val="center"/>
          </w:tcPr>
          <w:p w14:paraId="6D34CD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DCDD57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7C832F8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7.27</w:t>
            </w:r>
            <w:r w:rsidRPr="00BB4B6E">
              <w:rPr>
                <w:rFonts w:ascii="Times New Roman" w:eastAsia="Times New Roman" w:hAnsi="Times New Roman" w:cs="Times New Roman"/>
                <w:kern w:val="0"/>
                <w:vertAlign w:val="superscript"/>
                <w:lang w:eastAsia="en-GB"/>
                <w14:ligatures w14:val="none"/>
              </w:rPr>
              <w:t>f</w:t>
            </w:r>
          </w:p>
        </w:tc>
        <w:tc>
          <w:tcPr>
            <w:tcW w:w="1418" w:type="dxa"/>
            <w:vAlign w:val="center"/>
          </w:tcPr>
          <w:p w14:paraId="4FC39DE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29.4</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1E8D2F3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55.33</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6AE6EB9" w14:textId="77777777" w:rsidTr="00C84846">
        <w:tc>
          <w:tcPr>
            <w:tcW w:w="846" w:type="dxa"/>
            <w:vAlign w:val="center"/>
          </w:tcPr>
          <w:p w14:paraId="7A79D626"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F1972C8"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E55299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7,87</w:t>
            </w:r>
            <w:r w:rsidRPr="00BB4B6E">
              <w:rPr>
                <w:rFonts w:ascii="Times New Roman" w:eastAsia="Times New Roman" w:hAnsi="Times New Roman" w:cs="Times New Roman"/>
                <w:kern w:val="0"/>
                <w:vertAlign w:val="superscript"/>
                <w:lang w:eastAsia="en-GB"/>
                <w14:ligatures w14:val="none"/>
              </w:rPr>
              <w:t>ef</w:t>
            </w:r>
          </w:p>
        </w:tc>
        <w:tc>
          <w:tcPr>
            <w:tcW w:w="1418" w:type="dxa"/>
            <w:vAlign w:val="center"/>
          </w:tcPr>
          <w:p w14:paraId="242A466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30.6</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04DB934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58.93</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9C0301A" w14:textId="77777777" w:rsidTr="00C84846">
        <w:tc>
          <w:tcPr>
            <w:tcW w:w="846" w:type="dxa"/>
            <w:vAlign w:val="center"/>
          </w:tcPr>
          <w:p w14:paraId="1CDA9E2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9F2FEA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4A1F885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36BE0BE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37.73</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33DB93C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64.13</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40493290" w14:textId="77777777" w:rsidTr="00C84846">
        <w:tc>
          <w:tcPr>
            <w:tcW w:w="846" w:type="dxa"/>
            <w:vAlign w:val="center"/>
          </w:tcPr>
          <w:p w14:paraId="2D0218E2"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4815BD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31ADE4E2"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11.33</w:t>
            </w:r>
            <w:r w:rsidRPr="00BB4B6E">
              <w:rPr>
                <w:rFonts w:ascii="Times New Roman" w:eastAsia="Times New Roman" w:hAnsi="Times New Roman" w:cs="Times New Roman"/>
                <w:kern w:val="0"/>
                <w:vertAlign w:val="superscript"/>
                <w:lang w:eastAsia="en-GB"/>
                <w14:ligatures w14:val="none"/>
              </w:rPr>
              <w:t>a</w:t>
            </w:r>
          </w:p>
        </w:tc>
        <w:tc>
          <w:tcPr>
            <w:tcW w:w="1418" w:type="dxa"/>
            <w:vAlign w:val="center"/>
          </w:tcPr>
          <w:p w14:paraId="7732836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39</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67E7BC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65.6</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0752CA0B" w14:textId="77777777" w:rsidTr="00C84846">
        <w:tc>
          <w:tcPr>
            <w:tcW w:w="846" w:type="dxa"/>
            <w:vAlign w:val="center"/>
          </w:tcPr>
          <w:p w14:paraId="53258831"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1E69D62"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6730B3C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9.8</w:t>
            </w:r>
            <w:r w:rsidRPr="00BB4B6E">
              <w:rPr>
                <w:rFonts w:ascii="Times New Roman" w:eastAsia="Times New Roman" w:hAnsi="Times New Roman" w:cs="Times New Roman"/>
                <w:kern w:val="0"/>
                <w:vertAlign w:val="superscript"/>
                <w:lang w:eastAsia="en-GB"/>
                <w14:ligatures w14:val="none"/>
              </w:rPr>
              <w:t>bc</w:t>
            </w:r>
          </w:p>
        </w:tc>
        <w:tc>
          <w:tcPr>
            <w:tcW w:w="1418" w:type="dxa"/>
            <w:vAlign w:val="center"/>
          </w:tcPr>
          <w:p w14:paraId="526DF12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36.07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5ECA05F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62.26</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5765D6A" w14:textId="77777777" w:rsidTr="00C84846">
        <w:tc>
          <w:tcPr>
            <w:tcW w:w="846" w:type="dxa"/>
            <w:vAlign w:val="center"/>
          </w:tcPr>
          <w:p w14:paraId="0E1DB32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246ED0F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4A542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9.07</w:t>
            </w:r>
            <w:r w:rsidRPr="00BB4B6E">
              <w:rPr>
                <w:rFonts w:ascii="Times New Roman" w:eastAsia="Times New Roman" w:hAnsi="Times New Roman" w:cs="Times New Roman"/>
                <w:kern w:val="0"/>
                <w:vertAlign w:val="superscript"/>
                <w:lang w:eastAsia="en-GB"/>
                <w14:ligatures w14:val="none"/>
              </w:rPr>
              <w:t>cd</w:t>
            </w:r>
          </w:p>
        </w:tc>
        <w:tc>
          <w:tcPr>
            <w:tcW w:w="1418" w:type="dxa"/>
            <w:vAlign w:val="center"/>
          </w:tcPr>
          <w:p w14:paraId="19DCA67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34.6</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40EAA98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60.8</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2F0954A0" w14:textId="77777777" w:rsidTr="00C84846">
        <w:tc>
          <w:tcPr>
            <w:tcW w:w="846" w:type="dxa"/>
            <w:vAlign w:val="center"/>
          </w:tcPr>
          <w:p w14:paraId="28EA55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40EEEADE"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28B51FF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c>
          <w:tcPr>
            <w:tcW w:w="1418" w:type="dxa"/>
            <w:vAlign w:val="center"/>
          </w:tcPr>
          <w:p w14:paraId="47980DF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32.67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2F5D72C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36F8B241" w14:textId="77777777" w:rsidTr="00C84846">
        <w:tc>
          <w:tcPr>
            <w:tcW w:w="846" w:type="dxa"/>
            <w:vAlign w:val="center"/>
          </w:tcPr>
          <w:p w14:paraId="14003C2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681100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6F48835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BE4B033"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1F486288"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34DC3AAD" w14:textId="77777777" w:rsidTr="00C84846">
        <w:tc>
          <w:tcPr>
            <w:tcW w:w="846" w:type="dxa"/>
            <w:vAlign w:val="center"/>
          </w:tcPr>
          <w:p w14:paraId="7DDB3FF3"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F31536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02594F4B"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0.37</w:t>
            </w:r>
          </w:p>
        </w:tc>
        <w:tc>
          <w:tcPr>
            <w:tcW w:w="1418" w:type="dxa"/>
            <w:vAlign w:val="center"/>
          </w:tcPr>
          <w:p w14:paraId="37439E8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c>
          <w:tcPr>
            <w:tcW w:w="1366" w:type="dxa"/>
            <w:vAlign w:val="center"/>
          </w:tcPr>
          <w:p w14:paraId="38266A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0.51</w:t>
            </w:r>
          </w:p>
        </w:tc>
      </w:tr>
      <w:tr w:rsidR="00DD5E26" w:rsidRPr="00BB4B6E" w14:paraId="202EA358" w14:textId="77777777" w:rsidTr="00C84846">
        <w:tc>
          <w:tcPr>
            <w:tcW w:w="846" w:type="dxa"/>
            <w:vAlign w:val="center"/>
          </w:tcPr>
          <w:p w14:paraId="7FC3D0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62357B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64E8890D"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0.81</w:t>
            </w:r>
          </w:p>
        </w:tc>
        <w:tc>
          <w:tcPr>
            <w:tcW w:w="1418" w:type="dxa"/>
            <w:vAlign w:val="center"/>
          </w:tcPr>
          <w:p w14:paraId="47DEB0C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1.61</w:t>
            </w:r>
          </w:p>
        </w:tc>
        <w:tc>
          <w:tcPr>
            <w:tcW w:w="1366" w:type="dxa"/>
            <w:vAlign w:val="center"/>
          </w:tcPr>
          <w:p w14:paraId="4531BD0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1.12</w:t>
            </w:r>
          </w:p>
        </w:tc>
      </w:tr>
    </w:tbl>
    <w:p w14:paraId="383D37F8"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1F98E622"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7C1734E" w14:textId="77777777" w:rsidR="004C1420" w:rsidRPr="00BB4B6E" w:rsidRDefault="004C1420">
      <w:pPr>
        <w:rPr>
          <w:rFonts w:ascii="Times New Roman" w:hAnsi="Times New Roman" w:cs="Times New Roman"/>
        </w:rPr>
      </w:pPr>
    </w:p>
    <w:p w14:paraId="63713FB7" w14:textId="77777777" w:rsidR="00A758C1" w:rsidRPr="00BB4B6E" w:rsidRDefault="00A758C1" w:rsidP="00A758C1">
      <w:pPr>
        <w:spacing w:after="0" w:line="360" w:lineRule="auto"/>
        <w:jc w:val="both"/>
        <w:rPr>
          <w:rFonts w:ascii="Times New Roman" w:hAnsi="Times New Roman" w:cs="Times New Roman"/>
        </w:rPr>
      </w:pPr>
    </w:p>
    <w:p w14:paraId="0AA63B28" w14:textId="323B2366" w:rsidR="00A758C1" w:rsidRPr="00BB4B6E" w:rsidRDefault="00BB4B6E" w:rsidP="00A758C1">
      <w:pPr>
        <w:spacing w:after="0" w:line="360" w:lineRule="auto"/>
        <w:jc w:val="both"/>
        <w:rPr>
          <w:rFonts w:ascii="Times New Roman" w:hAnsi="Times New Roman" w:cs="Times New Roman"/>
          <w:b/>
          <w:bCs/>
        </w:rPr>
      </w:pPr>
      <w:r>
        <w:rPr>
          <w:rFonts w:ascii="Times New Roman" w:hAnsi="Times New Roman" w:cs="Times New Roman"/>
          <w:b/>
          <w:bCs/>
        </w:rPr>
        <w:t xml:space="preserve">3.3 </w:t>
      </w:r>
      <w:r w:rsidR="003F167B" w:rsidRPr="003F167B">
        <w:rPr>
          <w:rFonts w:ascii="Times New Roman" w:hAnsi="Times New Roman" w:cs="Times New Roman"/>
          <w:b/>
          <w:bCs/>
          <w:highlight w:val="yellow"/>
        </w:rPr>
        <w:t>Effect of different treatments on the number of fruits of sponge gourd at 60, 75, and 90 days after sowing</w:t>
      </w:r>
    </w:p>
    <w:p w14:paraId="263821AF" w14:textId="77777777" w:rsidR="00A758C1" w:rsidRPr="00BB4B6E"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 xml:space="preserve">At </w:t>
      </w:r>
      <w:r w:rsidR="00D24CB0" w:rsidRPr="00BB4B6E">
        <w:rPr>
          <w:rFonts w:ascii="Times New Roman" w:hAnsi="Times New Roman" w:cs="Times New Roman"/>
        </w:rPr>
        <w:t>6</w:t>
      </w:r>
      <w:r w:rsidRPr="00BB4B6E">
        <w:rPr>
          <w:rFonts w:ascii="Times New Roman" w:hAnsi="Times New Roman" w:cs="Times New Roman"/>
        </w:rPr>
        <w:t>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(6.07) followed by T</w:t>
      </w:r>
      <w:r w:rsidRPr="00BB4B6E">
        <w:rPr>
          <w:rFonts w:ascii="Times New Roman" w:hAnsi="Times New Roman" w:cs="Times New Roman"/>
          <w:vertAlign w:val="subscript"/>
        </w:rPr>
        <w:t>2</w:t>
      </w:r>
      <w:r w:rsidRPr="00BB4B6E">
        <w:rPr>
          <w:rFonts w:ascii="Times New Roman" w:hAnsi="Times New Roman" w:cs="Times New Roman"/>
        </w:rPr>
        <w:t>- (5.13), T</w:t>
      </w:r>
      <w:r w:rsidRPr="00BB4B6E">
        <w:rPr>
          <w:rFonts w:ascii="Times New Roman" w:hAnsi="Times New Roman" w:cs="Times New Roman"/>
          <w:vertAlign w:val="subscript"/>
        </w:rPr>
        <w:t>4</w:t>
      </w:r>
      <w:r w:rsidRPr="00BB4B6E">
        <w:rPr>
          <w:rFonts w:ascii="Times New Roman" w:hAnsi="Times New Roman" w:cs="Times New Roman"/>
        </w:rPr>
        <w:t>- (4.2), T</w:t>
      </w:r>
      <w:r w:rsidRPr="00BB4B6E">
        <w:rPr>
          <w:rFonts w:ascii="Times New Roman" w:hAnsi="Times New Roman" w:cs="Times New Roman"/>
          <w:vertAlign w:val="subscript"/>
        </w:rPr>
        <w:t>5</w:t>
      </w:r>
      <w:r w:rsidRPr="00BB4B6E">
        <w:rPr>
          <w:rFonts w:ascii="Times New Roman" w:hAnsi="Times New Roman" w:cs="Times New Roman"/>
        </w:rPr>
        <w:t>- (3.73), T</w:t>
      </w:r>
      <w:r w:rsidRPr="00BB4B6E">
        <w:rPr>
          <w:rFonts w:ascii="Times New Roman" w:hAnsi="Times New Roman" w:cs="Times New Roman"/>
          <w:vertAlign w:val="subscript"/>
        </w:rPr>
        <w:t>6</w:t>
      </w:r>
      <w:r w:rsidRPr="00BB4B6E">
        <w:rPr>
          <w:rFonts w:ascii="Times New Roman" w:hAnsi="Times New Roman" w:cs="Times New Roman"/>
        </w:rPr>
        <w:t>- (3.47), T</w:t>
      </w:r>
      <w:r w:rsidRPr="00BB4B6E">
        <w:rPr>
          <w:rFonts w:ascii="Times New Roman" w:hAnsi="Times New Roman" w:cs="Times New Roman"/>
          <w:vertAlign w:val="subscript"/>
        </w:rPr>
        <w:t>1</w:t>
      </w:r>
      <w:r w:rsidRPr="00BB4B6E">
        <w:rPr>
          <w:rFonts w:ascii="Times New Roman" w:hAnsi="Times New Roman" w:cs="Times New Roman"/>
        </w:rPr>
        <w:t>- (3.6), least in T</w:t>
      </w:r>
      <w:r w:rsidRPr="00BB4B6E">
        <w:rPr>
          <w:rFonts w:ascii="Times New Roman" w:hAnsi="Times New Roman" w:cs="Times New Roman"/>
          <w:vertAlign w:val="subscript"/>
        </w:rPr>
        <w:t>0</w:t>
      </w:r>
      <w:r w:rsidRPr="00BB4B6E">
        <w:rPr>
          <w:rFonts w:ascii="Times New Roman" w:hAnsi="Times New Roman" w:cs="Times New Roman"/>
        </w:rPr>
        <w:t xml:space="preserve">- (3). </w:t>
      </w:r>
    </w:p>
    <w:p w14:paraId="5270FA3C" w14:textId="77777777" w:rsidR="00A758C1" w:rsidRPr="00BB4B6E"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 xml:space="preserve">At </w:t>
      </w:r>
      <w:r w:rsidR="00D24CB0" w:rsidRPr="00BB4B6E">
        <w:rPr>
          <w:rFonts w:ascii="Times New Roman" w:hAnsi="Times New Roman" w:cs="Times New Roman"/>
        </w:rPr>
        <w:t>75</w:t>
      </w:r>
      <w:r w:rsidRPr="00BB4B6E">
        <w:rPr>
          <w:rFonts w:ascii="Times New Roman" w:hAnsi="Times New Roman" w:cs="Times New Roman"/>
        </w:rPr>
        <w:t xml:space="preserve">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(8) followed by T</w:t>
      </w:r>
      <w:r w:rsidRPr="00BB4B6E">
        <w:rPr>
          <w:rFonts w:ascii="Times New Roman" w:hAnsi="Times New Roman" w:cs="Times New Roman"/>
          <w:vertAlign w:val="subscript"/>
        </w:rPr>
        <w:t>2</w:t>
      </w:r>
      <w:r w:rsidRPr="00BB4B6E">
        <w:rPr>
          <w:rFonts w:ascii="Times New Roman" w:hAnsi="Times New Roman" w:cs="Times New Roman"/>
        </w:rPr>
        <w:t>- (6.87), T</w:t>
      </w:r>
      <w:r w:rsidRPr="00BB4B6E">
        <w:rPr>
          <w:rFonts w:ascii="Times New Roman" w:hAnsi="Times New Roman" w:cs="Times New Roman"/>
          <w:vertAlign w:val="subscript"/>
        </w:rPr>
        <w:t>4</w:t>
      </w:r>
      <w:r w:rsidRPr="00BB4B6E">
        <w:rPr>
          <w:rFonts w:ascii="Times New Roman" w:hAnsi="Times New Roman" w:cs="Times New Roman"/>
        </w:rPr>
        <w:t>- (6.07), T</w:t>
      </w:r>
      <w:r w:rsidRPr="00BB4B6E">
        <w:rPr>
          <w:rFonts w:ascii="Times New Roman" w:hAnsi="Times New Roman" w:cs="Times New Roman"/>
          <w:vertAlign w:val="subscript"/>
        </w:rPr>
        <w:t>5</w:t>
      </w:r>
      <w:r w:rsidRPr="00BB4B6E">
        <w:rPr>
          <w:rFonts w:ascii="Times New Roman" w:hAnsi="Times New Roman" w:cs="Times New Roman"/>
        </w:rPr>
        <w:t>- (5.07), T</w:t>
      </w:r>
      <w:r w:rsidRPr="00BB4B6E">
        <w:rPr>
          <w:rFonts w:ascii="Times New Roman" w:hAnsi="Times New Roman" w:cs="Times New Roman"/>
          <w:vertAlign w:val="subscript"/>
        </w:rPr>
        <w:t>6</w:t>
      </w:r>
      <w:r w:rsidRPr="00BB4B6E">
        <w:rPr>
          <w:rFonts w:ascii="Times New Roman" w:hAnsi="Times New Roman" w:cs="Times New Roman"/>
        </w:rPr>
        <w:t>- (4.67), T</w:t>
      </w:r>
      <w:r w:rsidRPr="00BB4B6E">
        <w:rPr>
          <w:rFonts w:ascii="Times New Roman" w:hAnsi="Times New Roman" w:cs="Times New Roman"/>
          <w:vertAlign w:val="subscript"/>
        </w:rPr>
        <w:t>1</w:t>
      </w:r>
      <w:r w:rsidRPr="00BB4B6E">
        <w:rPr>
          <w:rFonts w:ascii="Times New Roman" w:hAnsi="Times New Roman" w:cs="Times New Roman"/>
        </w:rPr>
        <w:t>- (4.27), least in T</w:t>
      </w:r>
      <w:r w:rsidRPr="00BB4B6E">
        <w:rPr>
          <w:rFonts w:ascii="Times New Roman" w:hAnsi="Times New Roman" w:cs="Times New Roman"/>
          <w:vertAlign w:val="subscript"/>
        </w:rPr>
        <w:t>0</w:t>
      </w:r>
      <w:r w:rsidRPr="00BB4B6E">
        <w:rPr>
          <w:rFonts w:ascii="Times New Roman" w:hAnsi="Times New Roman" w:cs="Times New Roman"/>
        </w:rPr>
        <w:t xml:space="preserve">- (3.8). </w:t>
      </w:r>
    </w:p>
    <w:p w14:paraId="533CAA76" w14:textId="77777777" w:rsidR="00A758C1" w:rsidRDefault="00A758C1" w:rsidP="00A758C1">
      <w:pPr>
        <w:spacing w:after="0" w:line="360" w:lineRule="auto"/>
        <w:jc w:val="both"/>
        <w:rPr>
          <w:rFonts w:ascii="Times New Roman" w:hAnsi="Times New Roman" w:cs="Times New Roman"/>
        </w:rPr>
      </w:pPr>
      <w:r w:rsidRPr="00BB4B6E">
        <w:rPr>
          <w:rFonts w:ascii="Times New Roman" w:hAnsi="Times New Roman" w:cs="Times New Roman"/>
        </w:rPr>
        <w:t>At 90 days after sowing maximum number of fruits was recorded in treatment T</w:t>
      </w:r>
      <w:r w:rsidRPr="00BB4B6E">
        <w:rPr>
          <w:rFonts w:ascii="Times New Roman" w:hAnsi="Times New Roman" w:cs="Times New Roman"/>
          <w:vertAlign w:val="subscript"/>
        </w:rPr>
        <w:t>3</w:t>
      </w:r>
      <w:r w:rsidRPr="00BB4B6E">
        <w:rPr>
          <w:rFonts w:ascii="Times New Roman" w:hAnsi="Times New Roman" w:cs="Times New Roman"/>
        </w:rPr>
        <w:t>- (11.27) followed by T</w:t>
      </w:r>
      <w:r w:rsidRPr="00BB4B6E">
        <w:rPr>
          <w:rFonts w:ascii="Times New Roman" w:hAnsi="Times New Roman" w:cs="Times New Roman"/>
          <w:vertAlign w:val="subscript"/>
        </w:rPr>
        <w:t>2</w:t>
      </w:r>
      <w:r w:rsidRPr="00BB4B6E">
        <w:rPr>
          <w:rFonts w:ascii="Times New Roman" w:hAnsi="Times New Roman" w:cs="Times New Roman"/>
        </w:rPr>
        <w:t>- (10.47), T</w:t>
      </w:r>
      <w:r w:rsidRPr="00BB4B6E">
        <w:rPr>
          <w:rFonts w:ascii="Times New Roman" w:hAnsi="Times New Roman" w:cs="Times New Roman"/>
          <w:vertAlign w:val="subscript"/>
        </w:rPr>
        <w:t>4</w:t>
      </w:r>
      <w:r w:rsidRPr="00BB4B6E">
        <w:rPr>
          <w:rFonts w:ascii="Times New Roman" w:hAnsi="Times New Roman" w:cs="Times New Roman"/>
        </w:rPr>
        <w:t>- (9.2), T</w:t>
      </w:r>
      <w:r w:rsidRPr="00BB4B6E">
        <w:rPr>
          <w:rFonts w:ascii="Times New Roman" w:hAnsi="Times New Roman" w:cs="Times New Roman"/>
          <w:vertAlign w:val="subscript"/>
        </w:rPr>
        <w:t>5</w:t>
      </w:r>
      <w:r w:rsidRPr="00BB4B6E">
        <w:rPr>
          <w:rFonts w:ascii="Times New Roman" w:hAnsi="Times New Roman" w:cs="Times New Roman"/>
        </w:rPr>
        <w:t>- (8.47), T</w:t>
      </w:r>
      <w:r w:rsidRPr="00BB4B6E">
        <w:rPr>
          <w:rFonts w:ascii="Times New Roman" w:hAnsi="Times New Roman" w:cs="Times New Roman"/>
          <w:vertAlign w:val="subscript"/>
        </w:rPr>
        <w:t>6</w:t>
      </w:r>
      <w:r w:rsidRPr="00BB4B6E">
        <w:rPr>
          <w:rFonts w:ascii="Times New Roman" w:hAnsi="Times New Roman" w:cs="Times New Roman"/>
        </w:rPr>
        <w:t>- (8.33), T</w:t>
      </w:r>
      <w:r w:rsidRPr="00BB4B6E">
        <w:rPr>
          <w:rFonts w:ascii="Times New Roman" w:hAnsi="Times New Roman" w:cs="Times New Roman"/>
          <w:vertAlign w:val="subscript"/>
        </w:rPr>
        <w:t>1</w:t>
      </w:r>
      <w:r w:rsidRPr="00BB4B6E">
        <w:rPr>
          <w:rFonts w:ascii="Times New Roman" w:hAnsi="Times New Roman" w:cs="Times New Roman"/>
        </w:rPr>
        <w:t>- (7.67), least in T</w:t>
      </w:r>
      <w:r w:rsidRPr="00BB4B6E">
        <w:rPr>
          <w:rFonts w:ascii="Times New Roman" w:hAnsi="Times New Roman" w:cs="Times New Roman"/>
          <w:vertAlign w:val="subscript"/>
        </w:rPr>
        <w:t>0</w:t>
      </w:r>
      <w:r w:rsidRPr="00BB4B6E">
        <w:rPr>
          <w:rFonts w:ascii="Times New Roman" w:hAnsi="Times New Roman" w:cs="Times New Roman"/>
        </w:rPr>
        <w:t xml:space="preserve">- (6.87). </w:t>
      </w:r>
    </w:p>
    <w:p w14:paraId="59644276" w14:textId="77777777" w:rsidR="00A618CE" w:rsidRPr="00E0328D" w:rsidRDefault="00A618CE" w:rsidP="00A618CE">
      <w:pPr>
        <w:pStyle w:val="NormalWeb"/>
        <w:spacing w:before="0" w:beforeAutospacing="0" w:after="0" w:afterAutospacing="0" w:line="360" w:lineRule="auto"/>
        <w:jc w:val="both"/>
      </w:pPr>
      <w:r w:rsidRPr="00E0328D">
        <w:t>A significant increase in fruit number of sponge gourd (</w:t>
      </w:r>
      <w:r w:rsidRPr="00E0328D">
        <w:rPr>
          <w:rStyle w:val="Emphasis"/>
          <w:rFonts w:eastAsiaTheme="majorEastAsia"/>
        </w:rPr>
        <w:t>Luffa cylindrica</w:t>
      </w:r>
      <w:r w:rsidRPr="00E0328D">
        <w:t xml:space="preserve"> L.) was observed under different fungicidal treatments combined with neem oil. T</w:t>
      </w:r>
      <w:r w:rsidRPr="00E0328D">
        <w:rPr>
          <w:vertAlign w:val="subscript"/>
        </w:rPr>
        <w:t>3</w:t>
      </w:r>
      <w:r w:rsidRPr="00E0328D">
        <w:t xml:space="preserve"> (Captan 70% @ 0.2% + neem oil </w:t>
      </w:r>
      <w:r w:rsidRPr="00E0328D">
        <w:lastRenderedPageBreak/>
        <w:t>@ 2.0%) consistently recorded the highest fruit number at 60 DAS (6.07), 75 DAS (8.00), and 90 DAS (11.27), followed by T</w:t>
      </w:r>
      <w:r w:rsidRPr="00E0328D">
        <w:rPr>
          <w:vertAlign w:val="subscript"/>
        </w:rPr>
        <w:t>2</w:t>
      </w:r>
      <w:r w:rsidRPr="00E0328D">
        <w:t xml:space="preserve"> and T</w:t>
      </w:r>
      <w:r w:rsidRPr="00E0328D">
        <w:rPr>
          <w:vertAlign w:val="subscript"/>
        </w:rPr>
        <w:t>4</w:t>
      </w:r>
      <w:r w:rsidRPr="00E0328D">
        <w:t>, whereas T</w:t>
      </w:r>
      <w:r w:rsidRPr="00E0328D">
        <w:rPr>
          <w:vertAlign w:val="subscript"/>
        </w:rPr>
        <w:t>0</w:t>
      </w:r>
      <w:r w:rsidRPr="00E0328D">
        <w:t xml:space="preserve"> (control) recorded the lowest values.</w:t>
      </w:r>
    </w:p>
    <w:p w14:paraId="7656A1A6" w14:textId="77777777" w:rsidR="00A618CE" w:rsidRPr="00E0328D" w:rsidRDefault="00A618CE" w:rsidP="00A618CE">
      <w:pPr>
        <w:pStyle w:val="NormalWeb"/>
        <w:spacing w:before="0" w:beforeAutospacing="0" w:after="0" w:afterAutospacing="0" w:line="360" w:lineRule="auto"/>
        <w:jc w:val="both"/>
      </w:pPr>
      <w:r w:rsidRPr="00E0328D">
        <w:t>The enhanced fruiting in T</w:t>
      </w:r>
      <w:r w:rsidRPr="00A618CE">
        <w:rPr>
          <w:vertAlign w:val="subscript"/>
        </w:rPr>
        <w:t xml:space="preserve">3 </w:t>
      </w:r>
      <w:r w:rsidRPr="00E0328D">
        <w:t>can be attributed to effective disease control, improved vegetative growth, and better physiological activity, resulting in higher reproductive potential. Captan’s broad-spectrum activity and the synergistic antifungal effect of neem oil likely minimized pathogen load and improved plant health, supporting greater fruit set and retention</w:t>
      </w:r>
    </w:p>
    <w:p w14:paraId="74845603" w14:textId="77777777" w:rsidR="00A618CE" w:rsidRPr="00E0328D" w:rsidRDefault="00A618CE" w:rsidP="00A618CE">
      <w:pPr>
        <w:pStyle w:val="NormalWeb"/>
        <w:spacing w:before="0" w:beforeAutospacing="0" w:after="0" w:afterAutospacing="0" w:line="360" w:lineRule="auto"/>
        <w:jc w:val="both"/>
      </w:pP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13E4A2E9" w14:textId="77777777" w:rsidR="005862D3" w:rsidRPr="00BB4B6E" w:rsidRDefault="005862D3" w:rsidP="00A758C1">
      <w:pPr>
        <w:spacing w:after="0" w:line="360" w:lineRule="auto"/>
        <w:jc w:val="both"/>
        <w:rPr>
          <w:rFonts w:ascii="Times New Roman" w:hAnsi="Times New Roman" w:cs="Times New Roman"/>
        </w:rPr>
      </w:pPr>
    </w:p>
    <w:p w14:paraId="454A74D3" w14:textId="6ED7607A" w:rsidR="00DD5E26" w:rsidRPr="00BB4B6E" w:rsidRDefault="00E90FBE">
      <w:pPr>
        <w:rPr>
          <w:rFonts w:ascii="Times New Roman" w:hAnsi="Times New Roman" w:cs="Times New Roman"/>
        </w:rPr>
      </w:pPr>
      <w:r w:rsidRPr="00E90FBE">
        <w:rPr>
          <w:rFonts w:ascii="Times New Roman" w:eastAsia="Times New Roman" w:hAnsi="Times New Roman" w:cs="Times New Roman"/>
          <w:b/>
          <w:bCs/>
          <w:kern w:val="0"/>
          <w:highlight w:val="yellow"/>
          <w:lang w:eastAsia="en-GB"/>
          <w14:ligatures w14:val="none"/>
        </w:rPr>
        <w:t xml:space="preserve">Table </w:t>
      </w:r>
      <w:r>
        <w:rPr>
          <w:rFonts w:ascii="Times New Roman" w:eastAsia="Times New Roman" w:hAnsi="Times New Roman" w:cs="Times New Roman"/>
          <w:b/>
          <w:bCs/>
          <w:kern w:val="0"/>
          <w:highlight w:val="yellow"/>
          <w:lang w:eastAsia="en-GB"/>
          <w14:ligatures w14:val="none"/>
        </w:rPr>
        <w:t>3</w:t>
      </w:r>
      <w:r w:rsidR="00BB4B6E">
        <w:rPr>
          <w:rFonts w:ascii="Times New Roman" w:hAnsi="Times New Roman" w:cs="Times New Roman"/>
          <w:b/>
          <w:bCs/>
        </w:rPr>
        <w:t xml:space="preserve"> </w:t>
      </w:r>
      <w:r w:rsidR="00BB4B6E" w:rsidRPr="00BB4B6E">
        <w:rPr>
          <w:rFonts w:ascii="Times New Roman" w:hAnsi="Times New Roman" w:cs="Times New Roman"/>
          <w:b/>
          <w:bCs/>
        </w:rPr>
        <w:t xml:space="preserve">Effect of treatments on the number of fruits of sponge gourd </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02FD4C6" w14:textId="77777777" w:rsidTr="00C84846">
        <w:tc>
          <w:tcPr>
            <w:tcW w:w="846" w:type="dxa"/>
            <w:vMerge w:val="restart"/>
            <w:vAlign w:val="center"/>
          </w:tcPr>
          <w:p w14:paraId="5470949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7E028D0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42E90349"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Number of </w:t>
            </w:r>
            <w:r w:rsidR="00A758C1" w:rsidRPr="00BB4B6E">
              <w:rPr>
                <w:rFonts w:ascii="Times New Roman" w:eastAsia="Times New Roman" w:hAnsi="Times New Roman" w:cs="Times New Roman"/>
                <w:b/>
                <w:bCs/>
                <w:kern w:val="0"/>
                <w:lang w:eastAsia="en-GB"/>
                <w14:ligatures w14:val="none"/>
              </w:rPr>
              <w:t>fruits</w:t>
            </w:r>
          </w:p>
        </w:tc>
      </w:tr>
      <w:tr w:rsidR="00DD5E26" w:rsidRPr="00BB4B6E" w14:paraId="3004D737" w14:textId="77777777" w:rsidTr="00C84846">
        <w:tc>
          <w:tcPr>
            <w:tcW w:w="846" w:type="dxa"/>
            <w:vMerge/>
            <w:vAlign w:val="center"/>
          </w:tcPr>
          <w:p w14:paraId="46026D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663BEC7A"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23EBEEB8"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w:t>
            </w:r>
            <w:r w:rsidR="00DD5E26" w:rsidRPr="00BB4B6E">
              <w:rPr>
                <w:rFonts w:ascii="Times New Roman" w:eastAsia="Times New Roman" w:hAnsi="Times New Roman" w:cs="Times New Roman"/>
                <w:b/>
                <w:bCs/>
                <w:kern w:val="0"/>
                <w:lang w:eastAsia="en-GB"/>
                <w14:ligatures w14:val="none"/>
              </w:rPr>
              <w:t>0 DAS</w:t>
            </w:r>
          </w:p>
        </w:tc>
        <w:tc>
          <w:tcPr>
            <w:tcW w:w="1418" w:type="dxa"/>
            <w:vAlign w:val="center"/>
          </w:tcPr>
          <w:p w14:paraId="2D31DFFD"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6D6AA9E6"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4CDAEEAB" w14:textId="77777777" w:rsidTr="00C84846">
        <w:tc>
          <w:tcPr>
            <w:tcW w:w="846" w:type="dxa"/>
            <w:vAlign w:val="center"/>
          </w:tcPr>
          <w:p w14:paraId="44C119C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3F075F2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18DA5647"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0B2CA5F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4AE84CE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0BF009BD" w14:textId="77777777" w:rsidTr="00C84846">
        <w:tc>
          <w:tcPr>
            <w:tcW w:w="846" w:type="dxa"/>
            <w:vAlign w:val="center"/>
          </w:tcPr>
          <w:p w14:paraId="0602EB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39048A51"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E3B1A04"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C620E6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4.27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18D058E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7.67</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0C5F0FAE" w14:textId="77777777" w:rsidTr="00C84846">
        <w:tc>
          <w:tcPr>
            <w:tcW w:w="846" w:type="dxa"/>
            <w:vAlign w:val="center"/>
          </w:tcPr>
          <w:p w14:paraId="12B24D63"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5D4F8B8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4FA7CB1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5.13</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7326715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6.87</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24D7F85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10.47</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5782E015" w14:textId="77777777" w:rsidTr="00C84846">
        <w:tc>
          <w:tcPr>
            <w:tcW w:w="846" w:type="dxa"/>
            <w:vAlign w:val="center"/>
          </w:tcPr>
          <w:p w14:paraId="35E9332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4E5CD1DC"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59EBCB93"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6.07a</w:t>
            </w:r>
          </w:p>
        </w:tc>
        <w:tc>
          <w:tcPr>
            <w:tcW w:w="1418" w:type="dxa"/>
            <w:vAlign w:val="center"/>
          </w:tcPr>
          <w:p w14:paraId="45ED9A66"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w:t>
            </w:r>
            <w:r w:rsidRPr="00BB4B6E">
              <w:rPr>
                <w:rFonts w:ascii="Times New Roman" w:eastAsia="Times New Roman" w:hAnsi="Times New Roman" w:cs="Times New Roman"/>
                <w:kern w:val="0"/>
                <w:vertAlign w:val="superscript"/>
                <w:lang w:eastAsia="en-GB"/>
                <w14:ligatures w14:val="none"/>
              </w:rPr>
              <w:t>a</w:t>
            </w:r>
          </w:p>
        </w:tc>
        <w:tc>
          <w:tcPr>
            <w:tcW w:w="1366" w:type="dxa"/>
            <w:vAlign w:val="center"/>
          </w:tcPr>
          <w:p w14:paraId="4749064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11.27</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32F0D730" w14:textId="77777777" w:rsidTr="00C84846">
        <w:tc>
          <w:tcPr>
            <w:tcW w:w="846" w:type="dxa"/>
            <w:vAlign w:val="center"/>
          </w:tcPr>
          <w:p w14:paraId="52DB5CF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448B7489"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350273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4.2c</w:t>
            </w:r>
          </w:p>
        </w:tc>
        <w:tc>
          <w:tcPr>
            <w:tcW w:w="1418" w:type="dxa"/>
            <w:vAlign w:val="center"/>
          </w:tcPr>
          <w:p w14:paraId="3A1D824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6.07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191AC47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9.2</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442E4C3A" w14:textId="77777777" w:rsidTr="00C84846">
        <w:tc>
          <w:tcPr>
            <w:tcW w:w="846" w:type="dxa"/>
            <w:vAlign w:val="center"/>
          </w:tcPr>
          <w:p w14:paraId="5C7C15D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1F5FBFCA"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374D6F91"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3.73</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30BDD695"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507</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7DDDE1D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8.47</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1018230A" w14:textId="77777777" w:rsidTr="00C84846">
        <w:tc>
          <w:tcPr>
            <w:tcW w:w="846" w:type="dxa"/>
            <w:vAlign w:val="center"/>
          </w:tcPr>
          <w:p w14:paraId="3F2F136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0C092BF2"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56E7933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3.47</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0D08916F"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4.67</w:t>
            </w:r>
            <w:r w:rsidRPr="00BB4B6E">
              <w:rPr>
                <w:rFonts w:ascii="Times New Roman" w:eastAsia="Times New Roman" w:hAnsi="Times New Roman" w:cs="Times New Roman"/>
                <w:kern w:val="0"/>
                <w:vertAlign w:val="superscript"/>
                <w:lang w:eastAsia="en-GB"/>
                <w14:ligatures w14:val="none"/>
              </w:rPr>
              <w:t>de</w:t>
            </w:r>
          </w:p>
        </w:tc>
        <w:tc>
          <w:tcPr>
            <w:tcW w:w="1366" w:type="dxa"/>
            <w:vAlign w:val="center"/>
          </w:tcPr>
          <w:p w14:paraId="1CC015F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8.33</w:t>
            </w:r>
            <w:r w:rsidRPr="00BB4B6E">
              <w:rPr>
                <w:rFonts w:ascii="Times New Roman" w:eastAsia="Times New Roman" w:hAnsi="Times New Roman" w:cs="Times New Roman"/>
                <w:kern w:val="0"/>
                <w:vertAlign w:val="superscript"/>
                <w:lang w:eastAsia="en-GB"/>
                <w14:ligatures w14:val="none"/>
              </w:rPr>
              <w:t>de</w:t>
            </w:r>
          </w:p>
        </w:tc>
      </w:tr>
      <w:tr w:rsidR="00DD5E26" w:rsidRPr="00BB4B6E" w14:paraId="41C05747" w14:textId="77777777" w:rsidTr="00C84846">
        <w:tc>
          <w:tcPr>
            <w:tcW w:w="846" w:type="dxa"/>
            <w:vAlign w:val="center"/>
          </w:tcPr>
          <w:p w14:paraId="0904FCD8"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1F64A58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732E718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57C600D6"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621B05F4"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002CAA9B" w14:textId="77777777" w:rsidTr="00C84846">
        <w:tc>
          <w:tcPr>
            <w:tcW w:w="846" w:type="dxa"/>
            <w:vAlign w:val="center"/>
          </w:tcPr>
          <w:p w14:paraId="0AE11F6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797D84E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5F5FB83A"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0.16</w:t>
            </w:r>
          </w:p>
        </w:tc>
        <w:tc>
          <w:tcPr>
            <w:tcW w:w="1418" w:type="dxa"/>
            <w:vAlign w:val="center"/>
          </w:tcPr>
          <w:p w14:paraId="762B791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0.2</w:t>
            </w:r>
          </w:p>
        </w:tc>
        <w:tc>
          <w:tcPr>
            <w:tcW w:w="1366" w:type="dxa"/>
            <w:vAlign w:val="center"/>
          </w:tcPr>
          <w:p w14:paraId="7CD13008"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0.34</w:t>
            </w:r>
          </w:p>
        </w:tc>
      </w:tr>
      <w:tr w:rsidR="00DD5E26" w:rsidRPr="00BB4B6E" w14:paraId="57FF2F43" w14:textId="77777777" w:rsidTr="00C84846">
        <w:tc>
          <w:tcPr>
            <w:tcW w:w="846" w:type="dxa"/>
            <w:vAlign w:val="center"/>
          </w:tcPr>
          <w:p w14:paraId="4C99ADF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3EB486C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2EA417B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418" w:type="dxa"/>
            <w:vAlign w:val="center"/>
          </w:tcPr>
          <w:p w14:paraId="682E14D4"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0.44</w:t>
            </w:r>
          </w:p>
        </w:tc>
        <w:tc>
          <w:tcPr>
            <w:tcW w:w="1366" w:type="dxa"/>
            <w:vAlign w:val="center"/>
          </w:tcPr>
          <w:p w14:paraId="4AE1EAF2"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0.74</w:t>
            </w:r>
          </w:p>
        </w:tc>
      </w:tr>
    </w:tbl>
    <w:p w14:paraId="73C50603"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688497C6"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41BF7C58" w14:textId="77777777" w:rsidR="00DD5E26" w:rsidRPr="00BB4B6E" w:rsidRDefault="00DD5E26">
      <w:pPr>
        <w:rPr>
          <w:rFonts w:ascii="Times New Roman" w:hAnsi="Times New Roman" w:cs="Times New Roman"/>
        </w:rPr>
      </w:pPr>
    </w:p>
    <w:p w14:paraId="6A1207A5" w14:textId="7C0E31AD" w:rsidR="00307DDA" w:rsidRPr="00BB4B6E" w:rsidRDefault="00BB4B6E" w:rsidP="00307DDA">
      <w:pPr>
        <w:spacing w:after="0" w:line="360" w:lineRule="auto"/>
        <w:jc w:val="both"/>
        <w:rPr>
          <w:rFonts w:ascii="Times New Roman" w:hAnsi="Times New Roman" w:cs="Times New Roman"/>
          <w:b/>
          <w:bCs/>
        </w:rPr>
      </w:pPr>
      <w:r>
        <w:rPr>
          <w:rFonts w:ascii="Times New Roman" w:hAnsi="Times New Roman" w:cs="Times New Roman"/>
          <w:b/>
          <w:bCs/>
        </w:rPr>
        <w:t xml:space="preserve">3.4 </w:t>
      </w:r>
      <w:r w:rsidR="003F167B" w:rsidRPr="003F167B">
        <w:rPr>
          <w:rFonts w:ascii="Times New Roman" w:hAnsi="Times New Roman" w:cs="Times New Roman"/>
          <w:b/>
          <w:bCs/>
          <w:highlight w:val="yellow"/>
        </w:rPr>
        <w:t>Effect of different treatments on the disease intensity (%) of sponge gourd at 60, 75, and 90 days after sowing</w:t>
      </w:r>
    </w:p>
    <w:p w14:paraId="50BC3050" w14:textId="56CE7536" w:rsidR="00307DDA" w:rsidRPr="000327FA" w:rsidRDefault="000327FA" w:rsidP="00307DDA">
      <w:pPr>
        <w:spacing w:after="0" w:line="360" w:lineRule="auto"/>
        <w:jc w:val="both"/>
        <w:rPr>
          <w:rFonts w:ascii="Times New Roman" w:hAnsi="Times New Roman" w:cs="Times New Roman"/>
        </w:rPr>
      </w:pPr>
      <w:r w:rsidRPr="000327FA">
        <w:rPr>
          <w:rFonts w:ascii="Times New Roman" w:hAnsi="Times New Roman" w:cs="Times New Roman"/>
          <w:highlight w:val="yellow"/>
        </w:rPr>
        <w:t>At 30 days after sowing, the lowest disease intensity (%) was observed in treatment</w:t>
      </w:r>
      <w:r w:rsidRPr="000327FA">
        <w:rPr>
          <w:rFonts w:ascii="Times New Roman" w:hAnsi="Times New Roman" w:cs="Times New Roman"/>
          <w:highlight w:val="yellow"/>
        </w:rPr>
        <w:t xml:space="preserve"> </w:t>
      </w:r>
      <w:r w:rsidR="00307DDA" w:rsidRPr="000327FA">
        <w:rPr>
          <w:rFonts w:ascii="Times New Roman" w:hAnsi="Times New Roman" w:cs="Times New Roman"/>
          <w:highlight w:val="yellow"/>
        </w:rPr>
        <w:t>T</w:t>
      </w:r>
      <w:r w:rsidR="00307DDA" w:rsidRPr="000327FA">
        <w:rPr>
          <w:rFonts w:ascii="Times New Roman" w:hAnsi="Times New Roman" w:cs="Times New Roman"/>
          <w:highlight w:val="yellow"/>
          <w:vertAlign w:val="subscript"/>
        </w:rPr>
        <w:t>3</w:t>
      </w:r>
      <w:r w:rsidR="00307DDA" w:rsidRPr="000327FA">
        <w:rPr>
          <w:rFonts w:ascii="Times New Roman" w:hAnsi="Times New Roman" w:cs="Times New Roman"/>
          <w:highlight w:val="yellow"/>
        </w:rPr>
        <w:t>- (10.21) followed by T</w:t>
      </w:r>
      <w:r w:rsidR="00307DDA" w:rsidRPr="000327FA">
        <w:rPr>
          <w:rFonts w:ascii="Times New Roman" w:hAnsi="Times New Roman" w:cs="Times New Roman"/>
          <w:highlight w:val="yellow"/>
          <w:vertAlign w:val="subscript"/>
        </w:rPr>
        <w:t>2</w:t>
      </w:r>
      <w:r w:rsidR="00307DDA" w:rsidRPr="000327FA">
        <w:rPr>
          <w:rFonts w:ascii="Times New Roman" w:hAnsi="Times New Roman" w:cs="Times New Roman"/>
          <w:highlight w:val="yellow"/>
        </w:rPr>
        <w:t>- (12.27), T</w:t>
      </w:r>
      <w:r w:rsidR="00307DDA" w:rsidRPr="000327FA">
        <w:rPr>
          <w:rFonts w:ascii="Times New Roman" w:hAnsi="Times New Roman" w:cs="Times New Roman"/>
          <w:highlight w:val="yellow"/>
          <w:vertAlign w:val="subscript"/>
        </w:rPr>
        <w:t>4</w:t>
      </w:r>
      <w:r w:rsidR="00307DDA" w:rsidRPr="000327FA">
        <w:rPr>
          <w:rFonts w:ascii="Times New Roman" w:hAnsi="Times New Roman" w:cs="Times New Roman"/>
          <w:highlight w:val="yellow"/>
        </w:rPr>
        <w:t>- (12.78), T</w:t>
      </w:r>
      <w:r w:rsidR="00307DDA" w:rsidRPr="000327FA">
        <w:rPr>
          <w:rFonts w:ascii="Times New Roman" w:hAnsi="Times New Roman" w:cs="Times New Roman"/>
          <w:highlight w:val="yellow"/>
          <w:vertAlign w:val="subscript"/>
        </w:rPr>
        <w:t>5</w:t>
      </w:r>
      <w:r w:rsidR="00307DDA" w:rsidRPr="000327FA">
        <w:rPr>
          <w:rFonts w:ascii="Times New Roman" w:hAnsi="Times New Roman" w:cs="Times New Roman"/>
          <w:highlight w:val="yellow"/>
        </w:rPr>
        <w:t>- (14.20), T</w:t>
      </w:r>
      <w:r w:rsidR="00307DDA" w:rsidRPr="000327FA">
        <w:rPr>
          <w:rFonts w:ascii="Times New Roman" w:hAnsi="Times New Roman" w:cs="Times New Roman"/>
          <w:highlight w:val="yellow"/>
          <w:vertAlign w:val="subscript"/>
        </w:rPr>
        <w:t>6</w:t>
      </w:r>
      <w:r w:rsidR="00307DDA" w:rsidRPr="000327FA">
        <w:rPr>
          <w:rFonts w:ascii="Times New Roman" w:hAnsi="Times New Roman" w:cs="Times New Roman"/>
          <w:highlight w:val="yellow"/>
        </w:rPr>
        <w:t>- (15.27), T</w:t>
      </w:r>
      <w:r w:rsidR="00307DDA" w:rsidRPr="000327FA">
        <w:rPr>
          <w:rFonts w:ascii="Times New Roman" w:hAnsi="Times New Roman" w:cs="Times New Roman"/>
          <w:highlight w:val="yellow"/>
          <w:vertAlign w:val="subscript"/>
        </w:rPr>
        <w:t>1</w:t>
      </w:r>
      <w:r w:rsidR="00307DDA" w:rsidRPr="000327FA">
        <w:rPr>
          <w:rFonts w:ascii="Times New Roman" w:hAnsi="Times New Roman" w:cs="Times New Roman"/>
          <w:highlight w:val="yellow"/>
        </w:rPr>
        <w:t xml:space="preserve">- (16.19), </w:t>
      </w:r>
      <w:r w:rsidRPr="000327FA">
        <w:rPr>
          <w:rFonts w:ascii="Times New Roman" w:hAnsi="Times New Roman" w:cs="Times New Roman"/>
          <w:highlight w:val="yellow"/>
        </w:rPr>
        <w:t>while the highest disease intensity was recorded in the</w:t>
      </w:r>
      <w:r w:rsidRPr="000327FA">
        <w:rPr>
          <w:rFonts w:ascii="Times New Roman" w:hAnsi="Times New Roman" w:cs="Times New Roman"/>
          <w:highlight w:val="yellow"/>
        </w:rPr>
        <w:t xml:space="preserve"> </w:t>
      </w:r>
      <w:r w:rsidR="00307DDA" w:rsidRPr="000327FA">
        <w:rPr>
          <w:rFonts w:ascii="Times New Roman" w:hAnsi="Times New Roman" w:cs="Times New Roman"/>
          <w:highlight w:val="yellow"/>
        </w:rPr>
        <w:t>T</w:t>
      </w:r>
      <w:r w:rsidR="00307DDA" w:rsidRPr="000327FA">
        <w:rPr>
          <w:rFonts w:ascii="Times New Roman" w:hAnsi="Times New Roman" w:cs="Times New Roman"/>
          <w:highlight w:val="yellow"/>
          <w:vertAlign w:val="subscript"/>
        </w:rPr>
        <w:t>0</w:t>
      </w:r>
      <w:r w:rsidR="00307DDA" w:rsidRPr="000327FA">
        <w:rPr>
          <w:rFonts w:ascii="Times New Roman" w:hAnsi="Times New Roman" w:cs="Times New Roman"/>
          <w:highlight w:val="yellow"/>
        </w:rPr>
        <w:t>- (18.21).</w:t>
      </w:r>
      <w:r w:rsidR="00307DDA" w:rsidRPr="000327FA">
        <w:rPr>
          <w:rFonts w:ascii="Times New Roman" w:hAnsi="Times New Roman" w:cs="Times New Roman"/>
        </w:rPr>
        <w:t xml:space="preserve"> </w:t>
      </w:r>
    </w:p>
    <w:p w14:paraId="5E965210" w14:textId="77777777" w:rsidR="00307DDA" w:rsidRPr="00BB4B6E"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lastRenderedPageBreak/>
        <w:t>At 60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(19.17) followed by T</w:t>
      </w:r>
      <w:r w:rsidRPr="00BB4B6E">
        <w:rPr>
          <w:rFonts w:ascii="Times New Roman" w:hAnsi="Times New Roman" w:cs="Times New Roman"/>
          <w:vertAlign w:val="subscript"/>
        </w:rPr>
        <w:t>2</w:t>
      </w:r>
      <w:r w:rsidRPr="00BB4B6E">
        <w:rPr>
          <w:rFonts w:ascii="Times New Roman" w:hAnsi="Times New Roman" w:cs="Times New Roman"/>
        </w:rPr>
        <w:t>- (21.37), T</w:t>
      </w:r>
      <w:r w:rsidRPr="00BB4B6E">
        <w:rPr>
          <w:rFonts w:ascii="Times New Roman" w:hAnsi="Times New Roman" w:cs="Times New Roman"/>
          <w:vertAlign w:val="subscript"/>
        </w:rPr>
        <w:t>4</w:t>
      </w:r>
      <w:r w:rsidRPr="00BB4B6E">
        <w:rPr>
          <w:rFonts w:ascii="Times New Roman" w:hAnsi="Times New Roman" w:cs="Times New Roman"/>
        </w:rPr>
        <w:t>- (23.23), T</w:t>
      </w:r>
      <w:r w:rsidRPr="00BB4B6E">
        <w:rPr>
          <w:rFonts w:ascii="Times New Roman" w:hAnsi="Times New Roman" w:cs="Times New Roman"/>
          <w:vertAlign w:val="subscript"/>
        </w:rPr>
        <w:t>5</w:t>
      </w:r>
      <w:r w:rsidRPr="00BB4B6E">
        <w:rPr>
          <w:rFonts w:ascii="Times New Roman" w:hAnsi="Times New Roman" w:cs="Times New Roman"/>
        </w:rPr>
        <w:t>- (28.33), T</w:t>
      </w:r>
      <w:r w:rsidRPr="00BB4B6E">
        <w:rPr>
          <w:rFonts w:ascii="Times New Roman" w:hAnsi="Times New Roman" w:cs="Times New Roman"/>
          <w:vertAlign w:val="subscript"/>
        </w:rPr>
        <w:t>6</w:t>
      </w:r>
      <w:r w:rsidRPr="00BB4B6E">
        <w:rPr>
          <w:rFonts w:ascii="Times New Roman" w:hAnsi="Times New Roman" w:cs="Times New Roman"/>
        </w:rPr>
        <w:t>- (28.57), T</w:t>
      </w:r>
      <w:r w:rsidRPr="00BB4B6E">
        <w:rPr>
          <w:rFonts w:ascii="Times New Roman" w:hAnsi="Times New Roman" w:cs="Times New Roman"/>
          <w:vertAlign w:val="subscript"/>
        </w:rPr>
        <w:t>1</w:t>
      </w:r>
      <w:r w:rsidRPr="00BB4B6E">
        <w:rPr>
          <w:rFonts w:ascii="Times New Roman" w:hAnsi="Times New Roman" w:cs="Times New Roman"/>
        </w:rPr>
        <w:t>- (31), maximum  in T</w:t>
      </w:r>
      <w:r w:rsidRPr="00BB4B6E">
        <w:rPr>
          <w:rFonts w:ascii="Times New Roman" w:hAnsi="Times New Roman" w:cs="Times New Roman"/>
          <w:vertAlign w:val="subscript"/>
        </w:rPr>
        <w:t>0</w:t>
      </w:r>
      <w:r w:rsidRPr="00BB4B6E">
        <w:rPr>
          <w:rFonts w:ascii="Times New Roman" w:hAnsi="Times New Roman" w:cs="Times New Roman"/>
        </w:rPr>
        <w:t xml:space="preserve">- (34.54). </w:t>
      </w:r>
    </w:p>
    <w:p w14:paraId="47D72A52" w14:textId="77777777" w:rsidR="00307DDA" w:rsidRDefault="00307DDA" w:rsidP="00307DDA">
      <w:pPr>
        <w:spacing w:after="0" w:line="360" w:lineRule="auto"/>
        <w:jc w:val="both"/>
        <w:rPr>
          <w:rFonts w:ascii="Times New Roman" w:hAnsi="Times New Roman" w:cs="Times New Roman"/>
        </w:rPr>
      </w:pPr>
      <w:r w:rsidRPr="00BB4B6E">
        <w:rPr>
          <w:rFonts w:ascii="Times New Roman" w:hAnsi="Times New Roman" w:cs="Times New Roman"/>
        </w:rPr>
        <w:t>At 90 days after sowing minimum disease intensity (%) was recorded in treatment T</w:t>
      </w:r>
      <w:r w:rsidRPr="00BB4B6E">
        <w:rPr>
          <w:rFonts w:ascii="Times New Roman" w:hAnsi="Times New Roman" w:cs="Times New Roman"/>
          <w:vertAlign w:val="subscript"/>
        </w:rPr>
        <w:t>3</w:t>
      </w:r>
      <w:r w:rsidRPr="00BB4B6E">
        <w:rPr>
          <w:rFonts w:ascii="Times New Roman" w:hAnsi="Times New Roman" w:cs="Times New Roman"/>
        </w:rPr>
        <w:t>- (30.25) followed by T</w:t>
      </w:r>
      <w:r w:rsidRPr="00BB4B6E">
        <w:rPr>
          <w:rFonts w:ascii="Times New Roman" w:hAnsi="Times New Roman" w:cs="Times New Roman"/>
          <w:vertAlign w:val="subscript"/>
        </w:rPr>
        <w:t>2</w:t>
      </w:r>
      <w:r w:rsidRPr="00BB4B6E">
        <w:rPr>
          <w:rFonts w:ascii="Times New Roman" w:hAnsi="Times New Roman" w:cs="Times New Roman"/>
        </w:rPr>
        <w:t>- (33.35), T</w:t>
      </w:r>
      <w:r w:rsidRPr="00BB4B6E">
        <w:rPr>
          <w:rFonts w:ascii="Times New Roman" w:hAnsi="Times New Roman" w:cs="Times New Roman"/>
          <w:vertAlign w:val="subscript"/>
        </w:rPr>
        <w:t>4</w:t>
      </w:r>
      <w:r w:rsidRPr="00BB4B6E">
        <w:rPr>
          <w:rFonts w:ascii="Times New Roman" w:hAnsi="Times New Roman" w:cs="Times New Roman"/>
        </w:rPr>
        <w:t>- (36.46), T</w:t>
      </w:r>
      <w:r w:rsidRPr="00BB4B6E">
        <w:rPr>
          <w:rFonts w:ascii="Times New Roman" w:hAnsi="Times New Roman" w:cs="Times New Roman"/>
          <w:vertAlign w:val="subscript"/>
        </w:rPr>
        <w:t>5</w:t>
      </w:r>
      <w:r w:rsidRPr="00BB4B6E">
        <w:rPr>
          <w:rFonts w:ascii="Times New Roman" w:hAnsi="Times New Roman" w:cs="Times New Roman"/>
        </w:rPr>
        <w:t>- (37.51), T</w:t>
      </w:r>
      <w:r w:rsidRPr="00BB4B6E">
        <w:rPr>
          <w:rFonts w:ascii="Times New Roman" w:hAnsi="Times New Roman" w:cs="Times New Roman"/>
          <w:vertAlign w:val="subscript"/>
        </w:rPr>
        <w:t>6</w:t>
      </w:r>
      <w:r w:rsidRPr="00BB4B6E">
        <w:rPr>
          <w:rFonts w:ascii="Times New Roman" w:hAnsi="Times New Roman" w:cs="Times New Roman"/>
        </w:rPr>
        <w:t>- (38.33), T</w:t>
      </w:r>
      <w:r w:rsidRPr="00BB4B6E">
        <w:rPr>
          <w:rFonts w:ascii="Times New Roman" w:hAnsi="Times New Roman" w:cs="Times New Roman"/>
          <w:vertAlign w:val="subscript"/>
        </w:rPr>
        <w:t>1</w:t>
      </w:r>
      <w:r w:rsidRPr="00BB4B6E">
        <w:rPr>
          <w:rFonts w:ascii="Times New Roman" w:hAnsi="Times New Roman" w:cs="Times New Roman"/>
        </w:rPr>
        <w:t>- (41.11), maximum  in T</w:t>
      </w:r>
      <w:r w:rsidRPr="00BB4B6E">
        <w:rPr>
          <w:rFonts w:ascii="Times New Roman" w:hAnsi="Times New Roman" w:cs="Times New Roman"/>
          <w:vertAlign w:val="subscript"/>
        </w:rPr>
        <w:t>0</w:t>
      </w:r>
      <w:r w:rsidRPr="00BB4B6E">
        <w:rPr>
          <w:rFonts w:ascii="Times New Roman" w:hAnsi="Times New Roman" w:cs="Times New Roman"/>
        </w:rPr>
        <w:t xml:space="preserve">- (48.35). </w:t>
      </w:r>
    </w:p>
    <w:p w14:paraId="247F64F5" w14:textId="77777777" w:rsidR="00073130" w:rsidRPr="005F56F7" w:rsidRDefault="00073130" w:rsidP="00073130">
      <w:pPr>
        <w:spacing w:after="0" w:line="360" w:lineRule="auto"/>
        <w:jc w:val="both"/>
        <w:rPr>
          <w:rFonts w:ascii="Times New Roman" w:hAnsi="Times New Roman" w:cs="Times New Roman"/>
          <w:lang w:val="en-US"/>
        </w:rPr>
      </w:pPr>
      <w:r w:rsidRPr="005F56F7">
        <w:rPr>
          <w:rFonts w:ascii="Times New Roman" w:hAnsi="Times New Roman" w:cs="Times New Roman"/>
        </w:rPr>
        <w:t>The superior performance of T</w:t>
      </w:r>
      <w:r w:rsidRPr="005F56F7">
        <w:rPr>
          <w:rFonts w:ascii="Times New Roman" w:hAnsi="Times New Roman" w:cs="Times New Roman"/>
          <w:vertAlign w:val="subscript"/>
        </w:rPr>
        <w:t>3</w:t>
      </w:r>
      <w:r w:rsidRPr="005F56F7">
        <w:rPr>
          <w:rFonts w:ascii="Times New Roman" w:hAnsi="Times New Roman" w:cs="Times New Roman"/>
        </w:rPr>
        <w:t xml:space="preserve"> can be attributed to the broad-spectrum activity of Captan and the synergistic antifungal properties of neem oil, which effectively suppressed </w:t>
      </w:r>
      <w:r w:rsidRPr="005F56F7">
        <w:rPr>
          <w:rStyle w:val="Emphasis"/>
          <w:rFonts w:ascii="Times New Roman" w:hAnsi="Times New Roman" w:cs="Times New Roman"/>
        </w:rPr>
        <w:t>Alternaria cucumerina</w:t>
      </w:r>
      <w:r w:rsidRPr="005F56F7">
        <w:rPr>
          <w:rFonts w:ascii="Times New Roman" w:hAnsi="Times New Roman" w:cs="Times New Roman"/>
        </w:rPr>
        <w:t xml:space="preserve"> and reduced disease progression. Similar trends were reported by </w:t>
      </w:r>
      <w:r w:rsidRPr="00456F11">
        <w:rPr>
          <w:rFonts w:ascii="Times New Roman" w:hAnsi="Times New Roman" w:cs="Times New Roman"/>
        </w:rPr>
        <w:t>Chourasiya</w:t>
      </w:r>
      <w:r w:rsidRPr="005F56F7">
        <w:rPr>
          <w:rFonts w:ascii="Times New Roman" w:hAnsi="Times New Roman" w:cs="Times New Roman"/>
        </w:rPr>
        <w:t xml:space="preserve"> </w:t>
      </w:r>
      <w:r w:rsidRPr="005F56F7">
        <w:rPr>
          <w:rFonts w:ascii="Times New Roman" w:hAnsi="Times New Roman" w:cs="Times New Roman"/>
          <w:i/>
          <w:iCs/>
        </w:rPr>
        <w:t>et al.</w:t>
      </w:r>
      <w:r w:rsidRPr="005F56F7">
        <w:rPr>
          <w:rFonts w:ascii="Times New Roman" w:hAnsi="Times New Roman" w:cs="Times New Roman"/>
        </w:rPr>
        <w:t xml:space="preserve"> (2013), where carbendazim and mancozeb treatments lowered disease severity, and by Ginoya and Gohel (2015), who observed reduced severity with hexaconazole. Thakare and Gaikwad (2016) also demonstrated the efficacy of combining fungicides with neem oil in reducing mycelial growth and disease intensity under </w:t>
      </w:r>
      <w:r w:rsidRPr="005F56F7">
        <w:rPr>
          <w:rFonts w:ascii="Times New Roman" w:hAnsi="Times New Roman" w:cs="Times New Roman"/>
          <w:i/>
          <w:iCs/>
        </w:rPr>
        <w:t>in vi</w:t>
      </w:r>
      <w:r w:rsidR="00D975EA">
        <w:rPr>
          <w:rFonts w:ascii="Times New Roman" w:hAnsi="Times New Roman" w:cs="Times New Roman"/>
          <w:i/>
          <w:iCs/>
        </w:rPr>
        <w:t>v</w:t>
      </w:r>
      <w:r w:rsidRPr="005F56F7">
        <w:rPr>
          <w:rFonts w:ascii="Times New Roman" w:hAnsi="Times New Roman" w:cs="Times New Roman"/>
          <w:i/>
          <w:iCs/>
        </w:rPr>
        <w:t>o</w:t>
      </w:r>
      <w:r w:rsidRPr="005F56F7">
        <w:rPr>
          <w:rFonts w:ascii="Times New Roman" w:hAnsi="Times New Roman" w:cs="Times New Roman"/>
        </w:rPr>
        <w:t xml:space="preserve"> conditions.</w:t>
      </w:r>
    </w:p>
    <w:p w14:paraId="4650C453" w14:textId="77777777" w:rsidR="005862D3" w:rsidRPr="00BB4B6E" w:rsidRDefault="005862D3" w:rsidP="00307DDA">
      <w:pPr>
        <w:spacing w:after="0" w:line="360" w:lineRule="auto"/>
        <w:jc w:val="both"/>
        <w:rPr>
          <w:rFonts w:ascii="Times New Roman" w:hAnsi="Times New Roman" w:cs="Times New Roman"/>
        </w:rPr>
      </w:pPr>
    </w:p>
    <w:p w14:paraId="23887C45" w14:textId="185AB07D" w:rsidR="00DD5E26" w:rsidRPr="00BB4B6E" w:rsidRDefault="00E90FBE">
      <w:pPr>
        <w:rPr>
          <w:rFonts w:ascii="Times New Roman" w:hAnsi="Times New Roman" w:cs="Times New Roman"/>
        </w:rPr>
      </w:pPr>
      <w:r w:rsidRPr="00E90FBE">
        <w:rPr>
          <w:rFonts w:ascii="Times New Roman" w:eastAsia="Times New Roman" w:hAnsi="Times New Roman" w:cs="Times New Roman"/>
          <w:b/>
          <w:bCs/>
          <w:kern w:val="0"/>
          <w:highlight w:val="yellow"/>
          <w:lang w:eastAsia="en-GB"/>
          <w14:ligatures w14:val="none"/>
        </w:rPr>
        <w:t xml:space="preserve">Table </w:t>
      </w:r>
      <w:r>
        <w:rPr>
          <w:rFonts w:ascii="Times New Roman" w:eastAsia="Times New Roman" w:hAnsi="Times New Roman" w:cs="Times New Roman"/>
          <w:b/>
          <w:bCs/>
          <w:kern w:val="0"/>
          <w:highlight w:val="yellow"/>
          <w:lang w:eastAsia="en-GB"/>
          <w14:ligatures w14:val="none"/>
        </w:rPr>
        <w:t>4</w:t>
      </w:r>
      <w:r w:rsidR="00BB4B6E">
        <w:rPr>
          <w:rFonts w:ascii="Times New Roman" w:hAnsi="Times New Roman" w:cs="Times New Roman"/>
          <w:b/>
          <w:bCs/>
        </w:rPr>
        <w:t xml:space="preserve"> </w:t>
      </w:r>
      <w:r w:rsidR="00BB4B6E" w:rsidRPr="00BB4B6E">
        <w:rPr>
          <w:rFonts w:ascii="Times New Roman" w:hAnsi="Times New Roman" w:cs="Times New Roman"/>
          <w:b/>
          <w:bCs/>
        </w:rPr>
        <w:t xml:space="preserve">Effect of treatments on the disease intensity (%)  of sponge gourd </w:t>
      </w:r>
    </w:p>
    <w:tbl>
      <w:tblPr>
        <w:tblStyle w:val="TableGrid"/>
        <w:tblW w:w="0" w:type="auto"/>
        <w:tblLook w:val="04A0" w:firstRow="1" w:lastRow="0" w:firstColumn="1" w:lastColumn="0" w:noHBand="0" w:noVBand="1"/>
      </w:tblPr>
      <w:tblGrid>
        <w:gridCol w:w="846"/>
        <w:gridCol w:w="3969"/>
        <w:gridCol w:w="1417"/>
        <w:gridCol w:w="1418"/>
        <w:gridCol w:w="1366"/>
      </w:tblGrid>
      <w:tr w:rsidR="00DD5E26" w:rsidRPr="00BB4B6E" w14:paraId="03C10395" w14:textId="77777777" w:rsidTr="00C84846">
        <w:tc>
          <w:tcPr>
            <w:tcW w:w="846" w:type="dxa"/>
            <w:vMerge w:val="restart"/>
            <w:vAlign w:val="center"/>
          </w:tcPr>
          <w:p w14:paraId="46142DEB"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3969" w:type="dxa"/>
            <w:vMerge w:val="restart"/>
            <w:vAlign w:val="center"/>
          </w:tcPr>
          <w:p w14:paraId="0F327BD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4201" w:type="dxa"/>
            <w:gridSpan w:val="3"/>
            <w:vAlign w:val="center"/>
          </w:tcPr>
          <w:p w14:paraId="1EC4ECE6"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Disease Intensity (%)</w:t>
            </w:r>
          </w:p>
        </w:tc>
      </w:tr>
      <w:tr w:rsidR="00DD5E26" w:rsidRPr="00BB4B6E" w14:paraId="5A6A12E0" w14:textId="77777777" w:rsidTr="00C84846">
        <w:tc>
          <w:tcPr>
            <w:tcW w:w="846" w:type="dxa"/>
            <w:vMerge/>
            <w:vAlign w:val="center"/>
          </w:tcPr>
          <w:p w14:paraId="1EB31E4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Merge/>
            <w:vAlign w:val="center"/>
          </w:tcPr>
          <w:p w14:paraId="589E727F"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1417" w:type="dxa"/>
            <w:vAlign w:val="center"/>
          </w:tcPr>
          <w:p w14:paraId="519B5C02"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60</w:t>
            </w:r>
            <w:r w:rsidR="00DD5E26" w:rsidRPr="00BB4B6E">
              <w:rPr>
                <w:rFonts w:ascii="Times New Roman" w:eastAsia="Times New Roman" w:hAnsi="Times New Roman" w:cs="Times New Roman"/>
                <w:b/>
                <w:bCs/>
                <w:kern w:val="0"/>
                <w:lang w:eastAsia="en-GB"/>
                <w14:ligatures w14:val="none"/>
              </w:rPr>
              <w:t xml:space="preserve"> DAS</w:t>
            </w:r>
          </w:p>
        </w:tc>
        <w:tc>
          <w:tcPr>
            <w:tcW w:w="1418" w:type="dxa"/>
            <w:vAlign w:val="center"/>
          </w:tcPr>
          <w:p w14:paraId="5025ABD1" w14:textId="77777777" w:rsidR="00DD5E26" w:rsidRPr="00BB4B6E" w:rsidRDefault="00C8484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75</w:t>
            </w:r>
            <w:r w:rsidR="00DD5E26" w:rsidRPr="00BB4B6E">
              <w:rPr>
                <w:rFonts w:ascii="Times New Roman" w:eastAsia="Times New Roman" w:hAnsi="Times New Roman" w:cs="Times New Roman"/>
                <w:b/>
                <w:bCs/>
                <w:kern w:val="0"/>
                <w:lang w:eastAsia="en-GB"/>
                <w14:ligatures w14:val="none"/>
              </w:rPr>
              <w:t xml:space="preserve"> DAS</w:t>
            </w:r>
          </w:p>
        </w:tc>
        <w:tc>
          <w:tcPr>
            <w:tcW w:w="1366" w:type="dxa"/>
            <w:vAlign w:val="center"/>
          </w:tcPr>
          <w:p w14:paraId="503D4A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90 DAS</w:t>
            </w:r>
          </w:p>
        </w:tc>
      </w:tr>
      <w:tr w:rsidR="00DD5E26" w:rsidRPr="00BB4B6E" w14:paraId="1F09CB7C" w14:textId="77777777" w:rsidTr="00C84846">
        <w:tc>
          <w:tcPr>
            <w:tcW w:w="846" w:type="dxa"/>
            <w:vAlign w:val="center"/>
          </w:tcPr>
          <w:p w14:paraId="3262F4C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3969" w:type="dxa"/>
            <w:vAlign w:val="center"/>
          </w:tcPr>
          <w:p w14:paraId="1954D16E"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417" w:type="dxa"/>
            <w:vAlign w:val="center"/>
          </w:tcPr>
          <w:p w14:paraId="65F334B6"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18.21a</w:t>
            </w:r>
          </w:p>
        </w:tc>
        <w:tc>
          <w:tcPr>
            <w:tcW w:w="1418" w:type="dxa"/>
            <w:vAlign w:val="center"/>
          </w:tcPr>
          <w:p w14:paraId="3E3A1C75"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34.54a</w:t>
            </w:r>
          </w:p>
        </w:tc>
        <w:tc>
          <w:tcPr>
            <w:tcW w:w="1366" w:type="dxa"/>
            <w:vAlign w:val="center"/>
          </w:tcPr>
          <w:p w14:paraId="5662956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48.35</w:t>
            </w:r>
            <w:r w:rsidRPr="00BB4B6E">
              <w:rPr>
                <w:rFonts w:ascii="Times New Roman" w:eastAsia="Times New Roman" w:hAnsi="Times New Roman" w:cs="Times New Roman"/>
                <w:kern w:val="0"/>
                <w:vertAlign w:val="superscript"/>
                <w:lang w:eastAsia="en-GB"/>
                <w14:ligatures w14:val="none"/>
              </w:rPr>
              <w:t>a</w:t>
            </w:r>
          </w:p>
        </w:tc>
      </w:tr>
      <w:tr w:rsidR="00DD5E26" w:rsidRPr="00BB4B6E" w14:paraId="2DB48166" w14:textId="77777777" w:rsidTr="00C84846">
        <w:tc>
          <w:tcPr>
            <w:tcW w:w="846" w:type="dxa"/>
            <w:vAlign w:val="center"/>
          </w:tcPr>
          <w:p w14:paraId="55D029B0"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3969" w:type="dxa"/>
            <w:vAlign w:val="center"/>
          </w:tcPr>
          <w:p w14:paraId="2DDC3661" w14:textId="77777777" w:rsidR="00DD5E26" w:rsidRPr="00BB4B6E" w:rsidRDefault="0093476F"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417" w:type="dxa"/>
            <w:vAlign w:val="center"/>
          </w:tcPr>
          <w:p w14:paraId="741F0139"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16.19</w:t>
            </w:r>
            <w:r w:rsidRPr="00BB4B6E">
              <w:rPr>
                <w:rFonts w:ascii="Times New Roman" w:eastAsia="Times New Roman" w:hAnsi="Times New Roman" w:cs="Times New Roman"/>
                <w:kern w:val="0"/>
                <w:vertAlign w:val="superscript"/>
                <w:lang w:eastAsia="en-GB"/>
                <w14:ligatures w14:val="none"/>
              </w:rPr>
              <w:t>b</w:t>
            </w:r>
          </w:p>
        </w:tc>
        <w:tc>
          <w:tcPr>
            <w:tcW w:w="1418" w:type="dxa"/>
            <w:vAlign w:val="center"/>
          </w:tcPr>
          <w:p w14:paraId="647EEDAD"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31</w:t>
            </w:r>
            <w:r w:rsidRPr="00BB4B6E">
              <w:rPr>
                <w:rFonts w:ascii="Times New Roman" w:eastAsia="Times New Roman" w:hAnsi="Times New Roman" w:cs="Times New Roman"/>
                <w:kern w:val="0"/>
                <w:vertAlign w:val="superscript"/>
                <w:lang w:eastAsia="en-GB"/>
                <w14:ligatures w14:val="none"/>
              </w:rPr>
              <w:t>b</w:t>
            </w:r>
          </w:p>
        </w:tc>
        <w:tc>
          <w:tcPr>
            <w:tcW w:w="1366" w:type="dxa"/>
            <w:vAlign w:val="center"/>
          </w:tcPr>
          <w:p w14:paraId="7470FD5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41.11</w:t>
            </w:r>
            <w:r w:rsidRPr="00BB4B6E">
              <w:rPr>
                <w:rFonts w:ascii="Times New Roman" w:eastAsia="Times New Roman" w:hAnsi="Times New Roman" w:cs="Times New Roman"/>
                <w:kern w:val="0"/>
                <w:vertAlign w:val="superscript"/>
                <w:lang w:eastAsia="en-GB"/>
                <w14:ligatures w14:val="none"/>
              </w:rPr>
              <w:t>b</w:t>
            </w:r>
          </w:p>
        </w:tc>
      </w:tr>
      <w:tr w:rsidR="00DD5E26" w:rsidRPr="00BB4B6E" w14:paraId="0D0C3C1A" w14:textId="77777777" w:rsidTr="00C84846">
        <w:tc>
          <w:tcPr>
            <w:tcW w:w="846" w:type="dxa"/>
            <w:vAlign w:val="center"/>
          </w:tcPr>
          <w:p w14:paraId="00D4EAEB"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3969" w:type="dxa"/>
            <w:vAlign w:val="center"/>
          </w:tcPr>
          <w:p w14:paraId="0344EA14"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417" w:type="dxa"/>
            <w:vAlign w:val="center"/>
          </w:tcPr>
          <w:p w14:paraId="05D4B74B"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12.27</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4C8875CC"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21.37</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2A1BF17E" w14:textId="77777777" w:rsidR="00DD5E26" w:rsidRPr="00BB4B6E" w:rsidRDefault="00C8484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33.35</w:t>
            </w:r>
            <w:r w:rsidRPr="00BB4B6E">
              <w:rPr>
                <w:rFonts w:ascii="Times New Roman" w:eastAsia="Times New Roman" w:hAnsi="Times New Roman" w:cs="Times New Roman"/>
                <w:kern w:val="0"/>
                <w:vertAlign w:val="superscript"/>
                <w:lang w:eastAsia="en-GB"/>
                <w14:ligatures w14:val="none"/>
              </w:rPr>
              <w:t>e</w:t>
            </w:r>
          </w:p>
        </w:tc>
      </w:tr>
      <w:tr w:rsidR="00DD5E26" w:rsidRPr="00BB4B6E" w14:paraId="6653BFAC" w14:textId="77777777" w:rsidTr="00C84846">
        <w:tc>
          <w:tcPr>
            <w:tcW w:w="846" w:type="dxa"/>
            <w:vAlign w:val="center"/>
          </w:tcPr>
          <w:p w14:paraId="296A764E"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3969" w:type="dxa"/>
            <w:vAlign w:val="center"/>
          </w:tcPr>
          <w:p w14:paraId="74496566"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417" w:type="dxa"/>
            <w:vAlign w:val="center"/>
          </w:tcPr>
          <w:p w14:paraId="3EC3FCCE"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10</w:t>
            </w:r>
            <w:r w:rsidR="00F833AB" w:rsidRPr="00BB4B6E">
              <w:rPr>
                <w:rFonts w:ascii="Times New Roman" w:eastAsia="Times New Roman" w:hAnsi="Times New Roman" w:cs="Times New Roman"/>
                <w:kern w:val="0"/>
                <w:lang w:eastAsia="en-GB"/>
                <w14:ligatures w14:val="none"/>
              </w:rPr>
              <w:t>.</w:t>
            </w:r>
            <w:r w:rsidRPr="00BB4B6E">
              <w:rPr>
                <w:rFonts w:ascii="Times New Roman" w:eastAsia="Times New Roman" w:hAnsi="Times New Roman" w:cs="Times New Roman"/>
                <w:kern w:val="0"/>
                <w:lang w:eastAsia="en-GB"/>
                <w14:ligatures w14:val="none"/>
              </w:rPr>
              <w:t>21</w:t>
            </w:r>
          </w:p>
        </w:tc>
        <w:tc>
          <w:tcPr>
            <w:tcW w:w="1418" w:type="dxa"/>
            <w:vAlign w:val="center"/>
          </w:tcPr>
          <w:p w14:paraId="7FC64353"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19.17</w:t>
            </w:r>
            <w:r w:rsidRPr="00BB4B6E">
              <w:rPr>
                <w:rFonts w:ascii="Times New Roman" w:eastAsia="Times New Roman" w:hAnsi="Times New Roman" w:cs="Times New Roman"/>
                <w:kern w:val="0"/>
                <w:vertAlign w:val="superscript"/>
                <w:lang w:eastAsia="en-GB"/>
                <w14:ligatures w14:val="none"/>
              </w:rPr>
              <w:t>f</w:t>
            </w:r>
          </w:p>
        </w:tc>
        <w:tc>
          <w:tcPr>
            <w:tcW w:w="1366" w:type="dxa"/>
            <w:vAlign w:val="center"/>
          </w:tcPr>
          <w:p w14:paraId="7411B4D8" w14:textId="77777777" w:rsidR="00DD5E26" w:rsidRPr="00BB4B6E" w:rsidRDefault="00C84846"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30.25</w:t>
            </w:r>
            <w:r w:rsidRPr="00BB4B6E">
              <w:rPr>
                <w:rFonts w:ascii="Times New Roman" w:eastAsia="Times New Roman" w:hAnsi="Times New Roman" w:cs="Times New Roman"/>
                <w:kern w:val="0"/>
                <w:vertAlign w:val="superscript"/>
                <w:lang w:eastAsia="en-GB"/>
                <w14:ligatures w14:val="none"/>
              </w:rPr>
              <w:t>f</w:t>
            </w:r>
          </w:p>
        </w:tc>
      </w:tr>
      <w:tr w:rsidR="00DD5E26" w:rsidRPr="00BB4B6E" w14:paraId="78B107C4" w14:textId="77777777" w:rsidTr="00C84846">
        <w:tc>
          <w:tcPr>
            <w:tcW w:w="846" w:type="dxa"/>
            <w:vAlign w:val="center"/>
          </w:tcPr>
          <w:p w14:paraId="35ED1768"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3969" w:type="dxa"/>
            <w:vAlign w:val="center"/>
          </w:tcPr>
          <w:p w14:paraId="63A7B62A"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417" w:type="dxa"/>
            <w:vAlign w:val="center"/>
          </w:tcPr>
          <w:p w14:paraId="34044ABE"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12.78</w:t>
            </w:r>
            <w:r w:rsidRPr="00BB4B6E">
              <w:rPr>
                <w:rFonts w:ascii="Times New Roman" w:eastAsia="Times New Roman" w:hAnsi="Times New Roman" w:cs="Times New Roman"/>
                <w:kern w:val="0"/>
                <w:vertAlign w:val="superscript"/>
                <w:lang w:eastAsia="en-GB"/>
                <w14:ligatures w14:val="none"/>
              </w:rPr>
              <w:t>e</w:t>
            </w:r>
          </w:p>
        </w:tc>
        <w:tc>
          <w:tcPr>
            <w:tcW w:w="1418" w:type="dxa"/>
            <w:vAlign w:val="center"/>
          </w:tcPr>
          <w:p w14:paraId="23B41A9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23.23</w:t>
            </w:r>
            <w:r w:rsidRPr="00BB4B6E">
              <w:rPr>
                <w:rFonts w:ascii="Times New Roman" w:eastAsia="Times New Roman" w:hAnsi="Times New Roman" w:cs="Times New Roman"/>
                <w:kern w:val="0"/>
                <w:vertAlign w:val="superscript"/>
                <w:lang w:eastAsia="en-GB"/>
                <w14:ligatures w14:val="none"/>
              </w:rPr>
              <w:t>d</w:t>
            </w:r>
          </w:p>
        </w:tc>
        <w:tc>
          <w:tcPr>
            <w:tcW w:w="1366" w:type="dxa"/>
            <w:vAlign w:val="center"/>
          </w:tcPr>
          <w:p w14:paraId="4F6BE15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36.46</w:t>
            </w:r>
            <w:r w:rsidRPr="00BB4B6E">
              <w:rPr>
                <w:rFonts w:ascii="Times New Roman" w:eastAsia="Times New Roman" w:hAnsi="Times New Roman" w:cs="Times New Roman"/>
                <w:kern w:val="0"/>
                <w:vertAlign w:val="superscript"/>
                <w:lang w:eastAsia="en-GB"/>
                <w14:ligatures w14:val="none"/>
              </w:rPr>
              <w:t>d</w:t>
            </w:r>
          </w:p>
        </w:tc>
      </w:tr>
      <w:tr w:rsidR="00DD5E26" w:rsidRPr="00BB4B6E" w14:paraId="32113FBF" w14:textId="77777777" w:rsidTr="00C84846">
        <w:tc>
          <w:tcPr>
            <w:tcW w:w="846" w:type="dxa"/>
            <w:vAlign w:val="center"/>
          </w:tcPr>
          <w:p w14:paraId="3A83F4B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3969" w:type="dxa"/>
            <w:vAlign w:val="center"/>
          </w:tcPr>
          <w:p w14:paraId="735117AE"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417" w:type="dxa"/>
            <w:vAlign w:val="center"/>
          </w:tcPr>
          <w:p w14:paraId="0906555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14.20</w:t>
            </w:r>
            <w:r w:rsidRPr="00BB4B6E">
              <w:rPr>
                <w:rFonts w:ascii="Times New Roman" w:eastAsia="Times New Roman" w:hAnsi="Times New Roman" w:cs="Times New Roman"/>
                <w:kern w:val="0"/>
                <w:vertAlign w:val="superscript"/>
                <w:lang w:eastAsia="en-GB"/>
                <w14:ligatures w14:val="none"/>
              </w:rPr>
              <w:t>d</w:t>
            </w:r>
          </w:p>
        </w:tc>
        <w:tc>
          <w:tcPr>
            <w:tcW w:w="1418" w:type="dxa"/>
            <w:vAlign w:val="center"/>
          </w:tcPr>
          <w:p w14:paraId="5303B581"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28.33</w:t>
            </w:r>
            <w:r w:rsidRPr="00BB4B6E">
              <w:rPr>
                <w:rFonts w:ascii="Times New Roman" w:eastAsia="Times New Roman" w:hAnsi="Times New Roman" w:cs="Times New Roman"/>
                <w:kern w:val="0"/>
                <w:vertAlign w:val="superscript"/>
                <w:lang w:eastAsia="en-GB"/>
                <w14:ligatures w14:val="none"/>
              </w:rPr>
              <w:t>e</w:t>
            </w:r>
          </w:p>
        </w:tc>
        <w:tc>
          <w:tcPr>
            <w:tcW w:w="1366" w:type="dxa"/>
            <w:vAlign w:val="center"/>
          </w:tcPr>
          <w:p w14:paraId="5056EEBA"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37.51</w:t>
            </w:r>
            <w:r w:rsidRPr="00BB4B6E">
              <w:rPr>
                <w:rFonts w:ascii="Times New Roman" w:eastAsia="Times New Roman" w:hAnsi="Times New Roman" w:cs="Times New Roman"/>
                <w:kern w:val="0"/>
                <w:vertAlign w:val="superscript"/>
                <w:lang w:eastAsia="en-GB"/>
                <w14:ligatures w14:val="none"/>
              </w:rPr>
              <w:t>cd</w:t>
            </w:r>
          </w:p>
        </w:tc>
      </w:tr>
      <w:tr w:rsidR="00DD5E26" w:rsidRPr="00BB4B6E" w14:paraId="233E9B2C" w14:textId="77777777" w:rsidTr="00C84846">
        <w:tc>
          <w:tcPr>
            <w:tcW w:w="846" w:type="dxa"/>
            <w:vAlign w:val="center"/>
          </w:tcPr>
          <w:p w14:paraId="5AC7449F" w14:textId="77777777" w:rsidR="00DD5E26" w:rsidRPr="00BB4B6E" w:rsidRDefault="00DD5E26" w:rsidP="00C84846">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3969" w:type="dxa"/>
            <w:vAlign w:val="center"/>
          </w:tcPr>
          <w:p w14:paraId="29A0777B" w14:textId="77777777" w:rsidR="00DD5E26" w:rsidRPr="00BB4B6E" w:rsidRDefault="00DD5E26" w:rsidP="00C84846">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417" w:type="dxa"/>
            <w:vAlign w:val="center"/>
          </w:tcPr>
          <w:p w14:paraId="0C147CDC"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15.27</w:t>
            </w:r>
            <w:r w:rsidRPr="00BB4B6E">
              <w:rPr>
                <w:rFonts w:ascii="Times New Roman" w:eastAsia="Times New Roman" w:hAnsi="Times New Roman" w:cs="Times New Roman"/>
                <w:kern w:val="0"/>
                <w:vertAlign w:val="superscript"/>
                <w:lang w:eastAsia="en-GB"/>
                <w14:ligatures w14:val="none"/>
              </w:rPr>
              <w:t>c</w:t>
            </w:r>
          </w:p>
        </w:tc>
        <w:tc>
          <w:tcPr>
            <w:tcW w:w="1418" w:type="dxa"/>
            <w:vAlign w:val="center"/>
          </w:tcPr>
          <w:p w14:paraId="0906A8DD"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28.57</w:t>
            </w:r>
            <w:r w:rsidRPr="00BB4B6E">
              <w:rPr>
                <w:rFonts w:ascii="Times New Roman" w:eastAsia="Times New Roman" w:hAnsi="Times New Roman" w:cs="Times New Roman"/>
                <w:kern w:val="0"/>
                <w:vertAlign w:val="superscript"/>
                <w:lang w:eastAsia="en-GB"/>
                <w14:ligatures w14:val="none"/>
              </w:rPr>
              <w:t>c</w:t>
            </w:r>
          </w:p>
        </w:tc>
        <w:tc>
          <w:tcPr>
            <w:tcW w:w="1366" w:type="dxa"/>
            <w:vAlign w:val="center"/>
          </w:tcPr>
          <w:p w14:paraId="5F88EED0" w14:textId="77777777" w:rsidR="00DD5E26" w:rsidRPr="00BB4B6E" w:rsidRDefault="00F833AB" w:rsidP="00C84846">
            <w:pPr>
              <w:spacing w:line="360" w:lineRule="auto"/>
              <w:jc w:val="center"/>
              <w:rPr>
                <w:rFonts w:ascii="Times New Roman" w:eastAsia="Times New Roman" w:hAnsi="Times New Roman" w:cs="Times New Roman"/>
                <w:kern w:val="0"/>
                <w:vertAlign w:val="superscript"/>
                <w:lang w:eastAsia="en-GB"/>
                <w14:ligatures w14:val="none"/>
              </w:rPr>
            </w:pPr>
            <w:r w:rsidRPr="00BB4B6E">
              <w:rPr>
                <w:rFonts w:ascii="Times New Roman" w:eastAsia="Times New Roman" w:hAnsi="Times New Roman" w:cs="Times New Roman"/>
                <w:kern w:val="0"/>
                <w:lang w:eastAsia="en-GB"/>
                <w14:ligatures w14:val="none"/>
              </w:rPr>
              <w:t>38.33</w:t>
            </w:r>
            <w:r w:rsidRPr="00BB4B6E">
              <w:rPr>
                <w:rFonts w:ascii="Times New Roman" w:eastAsia="Times New Roman" w:hAnsi="Times New Roman" w:cs="Times New Roman"/>
                <w:kern w:val="0"/>
                <w:vertAlign w:val="superscript"/>
                <w:lang w:eastAsia="en-GB"/>
                <w14:ligatures w14:val="none"/>
              </w:rPr>
              <w:t>c</w:t>
            </w:r>
          </w:p>
        </w:tc>
      </w:tr>
      <w:tr w:rsidR="00DD5E26" w:rsidRPr="00BB4B6E" w14:paraId="6C1206CB" w14:textId="77777777" w:rsidTr="00C84846">
        <w:tc>
          <w:tcPr>
            <w:tcW w:w="846" w:type="dxa"/>
            <w:vAlign w:val="center"/>
          </w:tcPr>
          <w:p w14:paraId="33D3B94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C76DD62"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F- Test</w:t>
            </w:r>
          </w:p>
        </w:tc>
        <w:tc>
          <w:tcPr>
            <w:tcW w:w="1417" w:type="dxa"/>
            <w:vAlign w:val="center"/>
          </w:tcPr>
          <w:p w14:paraId="5717F295"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418" w:type="dxa"/>
            <w:vAlign w:val="center"/>
          </w:tcPr>
          <w:p w14:paraId="4CC2333E"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c>
          <w:tcPr>
            <w:tcW w:w="1366" w:type="dxa"/>
            <w:vAlign w:val="center"/>
          </w:tcPr>
          <w:p w14:paraId="5134A7B1" w14:textId="77777777" w:rsidR="00DD5E26" w:rsidRPr="00BB4B6E" w:rsidRDefault="00DD5E26"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S</w:t>
            </w:r>
          </w:p>
        </w:tc>
      </w:tr>
      <w:tr w:rsidR="00DD5E26" w:rsidRPr="00BB4B6E" w14:paraId="79A3D5CD" w14:textId="77777777" w:rsidTr="00C84846">
        <w:tc>
          <w:tcPr>
            <w:tcW w:w="846" w:type="dxa"/>
            <w:vAlign w:val="center"/>
          </w:tcPr>
          <w:p w14:paraId="0A9B7D41"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0A20E27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 xml:space="preserve">S. Ed. </w:t>
            </w:r>
            <w:r w:rsidRPr="00BB4B6E">
              <w:rPr>
                <w:rFonts w:ascii="Times New Roman" w:eastAsia="Times New Roman" w:hAnsi="Times New Roman" w:cs="Times New Roman"/>
                <w:color w:val="000000"/>
                <w:lang w:eastAsia="en-IN"/>
              </w:rPr>
              <w:t>(±)</w:t>
            </w:r>
          </w:p>
        </w:tc>
        <w:tc>
          <w:tcPr>
            <w:tcW w:w="1417" w:type="dxa"/>
            <w:vAlign w:val="center"/>
          </w:tcPr>
          <w:p w14:paraId="2A9D678B"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0.05</w:t>
            </w:r>
          </w:p>
        </w:tc>
        <w:tc>
          <w:tcPr>
            <w:tcW w:w="1418" w:type="dxa"/>
            <w:vAlign w:val="center"/>
          </w:tcPr>
          <w:p w14:paraId="739A17AF"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0.35</w:t>
            </w:r>
          </w:p>
        </w:tc>
        <w:tc>
          <w:tcPr>
            <w:tcW w:w="1366" w:type="dxa"/>
            <w:vAlign w:val="center"/>
          </w:tcPr>
          <w:p w14:paraId="798B8CC2"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0.67</w:t>
            </w:r>
          </w:p>
        </w:tc>
      </w:tr>
      <w:tr w:rsidR="00DD5E26" w:rsidRPr="00BB4B6E" w14:paraId="17469E3C" w14:textId="77777777" w:rsidTr="00C84846">
        <w:tc>
          <w:tcPr>
            <w:tcW w:w="846" w:type="dxa"/>
            <w:vAlign w:val="center"/>
          </w:tcPr>
          <w:p w14:paraId="1D4E05E5"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p>
        </w:tc>
        <w:tc>
          <w:tcPr>
            <w:tcW w:w="3969" w:type="dxa"/>
            <w:vAlign w:val="center"/>
          </w:tcPr>
          <w:p w14:paraId="5544F5BC" w14:textId="77777777" w:rsidR="00DD5E26" w:rsidRPr="00BB4B6E" w:rsidRDefault="00DD5E26" w:rsidP="00C84846">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C.D. @0.5%</w:t>
            </w:r>
          </w:p>
        </w:tc>
        <w:tc>
          <w:tcPr>
            <w:tcW w:w="1417" w:type="dxa"/>
            <w:vAlign w:val="center"/>
          </w:tcPr>
          <w:p w14:paraId="51941B71"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0.86</w:t>
            </w:r>
          </w:p>
        </w:tc>
        <w:tc>
          <w:tcPr>
            <w:tcW w:w="1418" w:type="dxa"/>
            <w:vAlign w:val="center"/>
          </w:tcPr>
          <w:p w14:paraId="39ED9857"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0.77</w:t>
            </w:r>
          </w:p>
        </w:tc>
        <w:tc>
          <w:tcPr>
            <w:tcW w:w="1366" w:type="dxa"/>
            <w:vAlign w:val="center"/>
          </w:tcPr>
          <w:p w14:paraId="6AFA16B9" w14:textId="77777777" w:rsidR="00DD5E26" w:rsidRPr="00BB4B6E" w:rsidRDefault="00F833AB" w:rsidP="00C84846">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r>
    </w:tbl>
    <w:p w14:paraId="0B313459" w14:textId="77777777" w:rsidR="00DD5E26" w:rsidRPr="00BB4B6E" w:rsidRDefault="00F805FD" w:rsidP="00BB4B6E">
      <w:pPr>
        <w:spacing w:after="0"/>
        <w:rPr>
          <w:rFonts w:ascii="Times New Roman" w:hAnsi="Times New Roman" w:cs="Times New Roman"/>
        </w:rPr>
      </w:pPr>
      <w:r w:rsidRPr="00BB4B6E">
        <w:rPr>
          <w:rFonts w:ascii="Times New Roman" w:hAnsi="Times New Roman" w:cs="Times New Roman"/>
        </w:rPr>
        <w:t>F.S.- Foliar Spray</w:t>
      </w:r>
    </w:p>
    <w:p w14:paraId="79B1F7EB" w14:textId="77777777" w:rsidR="00F805FD" w:rsidRPr="00BB4B6E" w:rsidRDefault="00F805FD" w:rsidP="00BB4B6E">
      <w:pPr>
        <w:spacing w:after="0"/>
        <w:rPr>
          <w:rFonts w:ascii="Times New Roman" w:hAnsi="Times New Roman" w:cs="Times New Roman"/>
        </w:rPr>
      </w:pPr>
      <w:r w:rsidRPr="00BB4B6E">
        <w:rPr>
          <w:rFonts w:ascii="Times New Roman" w:hAnsi="Times New Roman" w:cs="Times New Roman"/>
        </w:rPr>
        <w:t>DAS- Days After Sowing</w:t>
      </w:r>
    </w:p>
    <w:p w14:paraId="3B80FE6A" w14:textId="77777777" w:rsidR="005862D3" w:rsidRDefault="005862D3" w:rsidP="00FA13DB">
      <w:pPr>
        <w:spacing w:after="0" w:line="360" w:lineRule="auto"/>
        <w:jc w:val="both"/>
        <w:rPr>
          <w:rFonts w:ascii="Times New Roman" w:hAnsi="Times New Roman" w:cs="Times New Roman"/>
          <w:b/>
          <w:bCs/>
        </w:rPr>
      </w:pPr>
    </w:p>
    <w:p w14:paraId="5EACEEB7" w14:textId="4794A3F2" w:rsidR="00FA13DB" w:rsidRPr="00BB4B6E" w:rsidRDefault="00BB4B6E" w:rsidP="00FA13DB">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3.5 </w:t>
      </w:r>
      <w:r w:rsidR="003F167B" w:rsidRPr="003F167B">
        <w:rPr>
          <w:rFonts w:ascii="Times New Roman" w:hAnsi="Times New Roman" w:cs="Times New Roman"/>
          <w:b/>
          <w:bCs/>
          <w:highlight w:val="yellow"/>
        </w:rPr>
        <w:t>Effect of different treatments on the yield (t/ha) and cost–benefit (C:B) ratio of sponge gourd</w:t>
      </w:r>
    </w:p>
    <w:p w14:paraId="2B4EC3E4" w14:textId="77777777" w:rsidR="00FA13DB" w:rsidRDefault="00FA13DB" w:rsidP="00FA13DB">
      <w:pPr>
        <w:spacing w:after="0" w:line="360" w:lineRule="auto"/>
        <w:jc w:val="both"/>
        <w:rPr>
          <w:rFonts w:ascii="Times New Roman" w:hAnsi="Times New Roman" w:cs="Times New Roman"/>
        </w:rPr>
      </w:pPr>
      <w:r w:rsidRPr="00BB4B6E">
        <w:rPr>
          <w:rFonts w:ascii="Times New Roman" w:hAnsi="Times New Roman" w:cs="Times New Roman"/>
        </w:rPr>
        <w:t>The maximum yield (t/ha) and C:B ratio was recorded in treatment T</w:t>
      </w:r>
      <w:r w:rsidRPr="00BB4B6E">
        <w:rPr>
          <w:rFonts w:ascii="Times New Roman" w:hAnsi="Times New Roman" w:cs="Times New Roman"/>
          <w:vertAlign w:val="subscript"/>
        </w:rPr>
        <w:t>3</w:t>
      </w:r>
      <w:r w:rsidRPr="00BB4B6E">
        <w:rPr>
          <w:rFonts w:ascii="Times New Roman" w:hAnsi="Times New Roman" w:cs="Times New Roman"/>
        </w:rPr>
        <w:t>- (19.8; 2.89) followed by T</w:t>
      </w:r>
      <w:r w:rsidRPr="00BB4B6E">
        <w:rPr>
          <w:rFonts w:ascii="Times New Roman" w:hAnsi="Times New Roman" w:cs="Times New Roman"/>
          <w:vertAlign w:val="subscript"/>
        </w:rPr>
        <w:t>2</w:t>
      </w:r>
      <w:r w:rsidRPr="00BB4B6E">
        <w:rPr>
          <w:rFonts w:ascii="Times New Roman" w:hAnsi="Times New Roman" w:cs="Times New Roman"/>
        </w:rPr>
        <w:t>- (18.7; 2.8), T</w:t>
      </w:r>
      <w:r w:rsidRPr="00BB4B6E">
        <w:rPr>
          <w:rFonts w:ascii="Times New Roman" w:hAnsi="Times New Roman" w:cs="Times New Roman"/>
          <w:vertAlign w:val="subscript"/>
        </w:rPr>
        <w:t>4</w:t>
      </w:r>
      <w:r w:rsidRPr="00BB4B6E">
        <w:rPr>
          <w:rFonts w:ascii="Times New Roman" w:hAnsi="Times New Roman" w:cs="Times New Roman"/>
        </w:rPr>
        <w:t>- (16.5; 2.4), T</w:t>
      </w:r>
      <w:r w:rsidRPr="00BB4B6E">
        <w:rPr>
          <w:rFonts w:ascii="Times New Roman" w:hAnsi="Times New Roman" w:cs="Times New Roman"/>
          <w:vertAlign w:val="subscript"/>
        </w:rPr>
        <w:t>5</w:t>
      </w:r>
      <w:r w:rsidRPr="00BB4B6E">
        <w:rPr>
          <w:rFonts w:ascii="Times New Roman" w:hAnsi="Times New Roman" w:cs="Times New Roman"/>
        </w:rPr>
        <w:t>- (14.7; 2.2), T</w:t>
      </w:r>
      <w:r w:rsidRPr="00BB4B6E">
        <w:rPr>
          <w:rFonts w:ascii="Times New Roman" w:hAnsi="Times New Roman" w:cs="Times New Roman"/>
          <w:vertAlign w:val="subscript"/>
        </w:rPr>
        <w:t>6</w:t>
      </w:r>
      <w:r w:rsidRPr="00BB4B6E">
        <w:rPr>
          <w:rFonts w:ascii="Times New Roman" w:hAnsi="Times New Roman" w:cs="Times New Roman"/>
        </w:rPr>
        <w:t>- (13.3; 1.9), T</w:t>
      </w:r>
      <w:r w:rsidRPr="00BB4B6E">
        <w:rPr>
          <w:rFonts w:ascii="Times New Roman" w:hAnsi="Times New Roman" w:cs="Times New Roman"/>
          <w:vertAlign w:val="subscript"/>
        </w:rPr>
        <w:t>1</w:t>
      </w:r>
      <w:r w:rsidRPr="00BB4B6E">
        <w:rPr>
          <w:rFonts w:ascii="Times New Roman" w:hAnsi="Times New Roman" w:cs="Times New Roman"/>
        </w:rPr>
        <w:t>- (11.4; 1.6), least  in T</w:t>
      </w:r>
      <w:r w:rsidRPr="00BB4B6E">
        <w:rPr>
          <w:rFonts w:ascii="Times New Roman" w:hAnsi="Times New Roman" w:cs="Times New Roman"/>
          <w:vertAlign w:val="subscript"/>
        </w:rPr>
        <w:t>0</w:t>
      </w:r>
      <w:r w:rsidRPr="00BB4B6E">
        <w:rPr>
          <w:rFonts w:ascii="Times New Roman" w:hAnsi="Times New Roman" w:cs="Times New Roman"/>
        </w:rPr>
        <w:t>- (9.5; 1.4) respectively</w:t>
      </w:r>
      <w:r w:rsidR="00FE3AC3">
        <w:rPr>
          <w:rFonts w:ascii="Times New Roman" w:hAnsi="Times New Roman" w:cs="Times New Roman"/>
        </w:rPr>
        <w:t>.</w:t>
      </w:r>
    </w:p>
    <w:p w14:paraId="07BDBA67" w14:textId="77777777" w:rsidR="00FE3AC3" w:rsidRDefault="00FE3AC3" w:rsidP="00FE3AC3">
      <w:pPr>
        <w:pStyle w:val="NormalWeb"/>
        <w:spacing w:before="0" w:beforeAutospacing="0" w:after="0" w:afterAutospacing="0" w:line="360" w:lineRule="auto"/>
        <w:jc w:val="both"/>
      </w:pPr>
      <w:r>
        <w:t>A significant increase in yield and cost–benefit (C:B) ratio of sponge gourd (</w:t>
      </w:r>
      <w:r>
        <w:rPr>
          <w:rStyle w:val="Emphasis"/>
          <w:rFonts w:eastAsiaTheme="majorEastAsia"/>
        </w:rPr>
        <w:t>Luffa cylindrica</w:t>
      </w:r>
      <w:r>
        <w:t xml:space="preserve"> L.) was observed under different fungicidal treatments combined with neem oil. The highest yield (19.8 t/ha) and C:B ratio (2.89) were recorded in T</w:t>
      </w:r>
      <w:r w:rsidRPr="00832151">
        <w:rPr>
          <w:vertAlign w:val="subscript"/>
        </w:rPr>
        <w:t>3</w:t>
      </w:r>
      <w:r>
        <w:t xml:space="preserve"> (Captan 70% @ 0.2% + neem oil @ 2.0%), followed by T</w:t>
      </w:r>
      <w:r w:rsidRPr="00832151">
        <w:rPr>
          <w:vertAlign w:val="subscript"/>
        </w:rPr>
        <w:t xml:space="preserve">2 </w:t>
      </w:r>
      <w:r>
        <w:t>and T</w:t>
      </w:r>
      <w:r w:rsidRPr="00832151">
        <w:rPr>
          <w:vertAlign w:val="subscript"/>
        </w:rPr>
        <w:t>4</w:t>
      </w:r>
      <w:r>
        <w:t>, while the lowest values were observed in the control (T0).</w:t>
      </w:r>
    </w:p>
    <w:p w14:paraId="14A4BA37" w14:textId="77777777" w:rsidR="00FE3AC3" w:rsidRDefault="00FE3AC3" w:rsidP="00FE3AC3">
      <w:pPr>
        <w:pStyle w:val="NormalWeb"/>
        <w:spacing w:before="0" w:beforeAutospacing="0" w:after="0" w:afterAutospacing="0" w:line="360" w:lineRule="auto"/>
        <w:jc w:val="both"/>
      </w:pPr>
      <w:r>
        <w:t>The superior performance of T</w:t>
      </w:r>
      <w:r w:rsidRPr="00832151">
        <w:rPr>
          <w:vertAlign w:val="subscript"/>
        </w:rPr>
        <w:t xml:space="preserve">3 </w:t>
      </w:r>
      <w:r>
        <w:t xml:space="preserve">may be attributed to effective disease suppression, improved vegetative growth, and enhanced fruit set, leading to higher productivity and economic returns. The synergistic action of Captan and neem oil likely reduced pathogen pressure, optimized physiological processes, and improved yield efficiency </w:t>
      </w:r>
      <w:r w:rsidRPr="00E0328D">
        <w:t>(</w:t>
      </w:r>
      <w:r w:rsidRPr="00E0328D">
        <w:rPr>
          <w:color w:val="222222"/>
          <w:shd w:val="clear" w:color="auto" w:fill="FFFFFF"/>
        </w:rPr>
        <w:t>Maheshwari</w:t>
      </w:r>
      <w:r w:rsidRPr="00E0328D">
        <w:t xml:space="preserve"> </w:t>
      </w:r>
      <w:r w:rsidRPr="00E0328D">
        <w:rPr>
          <w:i/>
          <w:iCs/>
        </w:rPr>
        <w:t>et al</w:t>
      </w:r>
      <w:r w:rsidRPr="00E0328D">
        <w:t xml:space="preserve">., 2017 and </w:t>
      </w:r>
      <w:r w:rsidRPr="00E0328D">
        <w:rPr>
          <w:color w:val="222222"/>
          <w:shd w:val="clear" w:color="auto" w:fill="FFFFFF"/>
        </w:rPr>
        <w:t xml:space="preserve">Daunde </w:t>
      </w:r>
      <w:r w:rsidRPr="00E0328D">
        <w:rPr>
          <w:i/>
          <w:iCs/>
        </w:rPr>
        <w:t>et al</w:t>
      </w:r>
      <w:r w:rsidRPr="00E0328D">
        <w:t xml:space="preserve">., 2020). </w:t>
      </w:r>
    </w:p>
    <w:p w14:paraId="0E889DAF" w14:textId="77777777" w:rsidR="005862D3" w:rsidRPr="00BB4B6E" w:rsidRDefault="005862D3" w:rsidP="00FA13DB">
      <w:pPr>
        <w:spacing w:after="0" w:line="360" w:lineRule="auto"/>
        <w:jc w:val="both"/>
        <w:rPr>
          <w:rFonts w:ascii="Times New Roman" w:hAnsi="Times New Roman" w:cs="Times New Roman"/>
        </w:rPr>
      </w:pPr>
    </w:p>
    <w:p w14:paraId="2A1603EA" w14:textId="0F1BD9C8" w:rsidR="0093476F" w:rsidRPr="00BB4B6E" w:rsidRDefault="00E90FBE">
      <w:pPr>
        <w:rPr>
          <w:rFonts w:ascii="Times New Roman" w:hAnsi="Times New Roman" w:cs="Times New Roman"/>
        </w:rPr>
      </w:pPr>
      <w:r w:rsidRPr="00E90FBE">
        <w:rPr>
          <w:rFonts w:ascii="Times New Roman" w:eastAsia="Times New Roman" w:hAnsi="Times New Roman" w:cs="Times New Roman"/>
          <w:b/>
          <w:bCs/>
          <w:kern w:val="0"/>
          <w:highlight w:val="yellow"/>
          <w:lang w:eastAsia="en-GB"/>
          <w14:ligatures w14:val="none"/>
        </w:rPr>
        <w:t xml:space="preserve">Table </w:t>
      </w:r>
      <w:r>
        <w:rPr>
          <w:rFonts w:ascii="Times New Roman" w:eastAsia="Times New Roman" w:hAnsi="Times New Roman" w:cs="Times New Roman"/>
          <w:b/>
          <w:bCs/>
          <w:kern w:val="0"/>
          <w:highlight w:val="yellow"/>
          <w:lang w:eastAsia="en-GB"/>
          <w14:ligatures w14:val="none"/>
        </w:rPr>
        <w:t>5</w:t>
      </w:r>
      <w:r w:rsidR="00214A83">
        <w:rPr>
          <w:rFonts w:ascii="Times New Roman" w:hAnsi="Times New Roman" w:cs="Times New Roman"/>
          <w:b/>
          <w:bCs/>
        </w:rPr>
        <w:t xml:space="preserve"> </w:t>
      </w:r>
      <w:r w:rsidR="00BB4B6E" w:rsidRPr="00BB4B6E">
        <w:rPr>
          <w:rFonts w:ascii="Times New Roman" w:hAnsi="Times New Roman" w:cs="Times New Roman"/>
          <w:b/>
          <w:bCs/>
        </w:rPr>
        <w:t>Effect of treatments on the yield (t/ha) and C:B ratio of sponge gourd</w:t>
      </w:r>
    </w:p>
    <w:tbl>
      <w:tblPr>
        <w:tblStyle w:val="TableGrid"/>
        <w:tblW w:w="9067" w:type="dxa"/>
        <w:tblLook w:val="04A0" w:firstRow="1" w:lastRow="0" w:firstColumn="1" w:lastColumn="0" w:noHBand="0" w:noVBand="1"/>
      </w:tblPr>
      <w:tblGrid>
        <w:gridCol w:w="846"/>
        <w:gridCol w:w="4961"/>
        <w:gridCol w:w="1701"/>
        <w:gridCol w:w="1559"/>
      </w:tblGrid>
      <w:tr w:rsidR="00460233" w:rsidRPr="00BB4B6E" w14:paraId="501EA4BB" w14:textId="77777777" w:rsidTr="003737ED">
        <w:trPr>
          <w:trHeight w:val="838"/>
        </w:trPr>
        <w:tc>
          <w:tcPr>
            <w:tcW w:w="846" w:type="dxa"/>
            <w:vAlign w:val="center"/>
          </w:tcPr>
          <w:p w14:paraId="29A0EA79"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S. No.</w:t>
            </w:r>
          </w:p>
        </w:tc>
        <w:tc>
          <w:tcPr>
            <w:tcW w:w="4961" w:type="dxa"/>
            <w:vAlign w:val="center"/>
          </w:tcPr>
          <w:p w14:paraId="1D4FDBDB"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Treatment detail</w:t>
            </w:r>
          </w:p>
        </w:tc>
        <w:tc>
          <w:tcPr>
            <w:tcW w:w="1701" w:type="dxa"/>
            <w:vAlign w:val="center"/>
          </w:tcPr>
          <w:p w14:paraId="1BB2275E"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Yield (t/ha)</w:t>
            </w:r>
          </w:p>
        </w:tc>
        <w:tc>
          <w:tcPr>
            <w:tcW w:w="1559" w:type="dxa"/>
            <w:vAlign w:val="center"/>
          </w:tcPr>
          <w:p w14:paraId="1C9D0D94" w14:textId="77777777" w:rsidR="00460233" w:rsidRPr="00BB4B6E" w:rsidRDefault="00460233"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C:B ratio</w:t>
            </w:r>
          </w:p>
        </w:tc>
      </w:tr>
      <w:tr w:rsidR="0093476F" w:rsidRPr="00BB4B6E" w14:paraId="2F06DF4E" w14:textId="77777777" w:rsidTr="0093476F">
        <w:tc>
          <w:tcPr>
            <w:tcW w:w="846" w:type="dxa"/>
            <w:vAlign w:val="center"/>
          </w:tcPr>
          <w:p w14:paraId="42A27C17"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0</w:t>
            </w:r>
          </w:p>
        </w:tc>
        <w:tc>
          <w:tcPr>
            <w:tcW w:w="4961" w:type="dxa"/>
            <w:vAlign w:val="center"/>
          </w:tcPr>
          <w:p w14:paraId="6E7F563E"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Control</w:t>
            </w:r>
          </w:p>
        </w:tc>
        <w:tc>
          <w:tcPr>
            <w:tcW w:w="1701" w:type="dxa"/>
            <w:vAlign w:val="center"/>
          </w:tcPr>
          <w:p w14:paraId="261C8B3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9.5</w:t>
            </w:r>
          </w:p>
        </w:tc>
        <w:tc>
          <w:tcPr>
            <w:tcW w:w="1559" w:type="dxa"/>
            <w:vAlign w:val="center"/>
          </w:tcPr>
          <w:p w14:paraId="3014F4FA"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w:t>
            </w:r>
          </w:p>
        </w:tc>
      </w:tr>
      <w:tr w:rsidR="0093476F" w:rsidRPr="00BB4B6E" w14:paraId="1C80F500" w14:textId="77777777" w:rsidTr="0093476F">
        <w:tc>
          <w:tcPr>
            <w:tcW w:w="846" w:type="dxa"/>
            <w:vAlign w:val="center"/>
          </w:tcPr>
          <w:p w14:paraId="35B18DED"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1</w:t>
            </w:r>
          </w:p>
        </w:tc>
        <w:tc>
          <w:tcPr>
            <w:tcW w:w="4961" w:type="dxa"/>
            <w:vAlign w:val="center"/>
          </w:tcPr>
          <w:p w14:paraId="779E87B9"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Neem oil @5% (F.S.)</w:t>
            </w:r>
          </w:p>
        </w:tc>
        <w:tc>
          <w:tcPr>
            <w:tcW w:w="1701" w:type="dxa"/>
            <w:vAlign w:val="center"/>
          </w:tcPr>
          <w:p w14:paraId="17C9C11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11.4</w:t>
            </w:r>
          </w:p>
        </w:tc>
        <w:tc>
          <w:tcPr>
            <w:tcW w:w="1559" w:type="dxa"/>
            <w:vAlign w:val="center"/>
          </w:tcPr>
          <w:p w14:paraId="32024795"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w:t>
            </w:r>
          </w:p>
        </w:tc>
      </w:tr>
      <w:tr w:rsidR="0093476F" w:rsidRPr="00BB4B6E" w14:paraId="2AFCB88F" w14:textId="77777777" w:rsidTr="0093476F">
        <w:tc>
          <w:tcPr>
            <w:tcW w:w="846" w:type="dxa"/>
            <w:vAlign w:val="center"/>
          </w:tcPr>
          <w:p w14:paraId="1A43BA9F"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2</w:t>
            </w:r>
          </w:p>
        </w:tc>
        <w:tc>
          <w:tcPr>
            <w:tcW w:w="4961" w:type="dxa"/>
            <w:vAlign w:val="center"/>
          </w:tcPr>
          <w:p w14:paraId="335B3363" w14:textId="77777777" w:rsidR="0093476F" w:rsidRPr="00BB4B6E" w:rsidRDefault="0093476F" w:rsidP="00367E00">
            <w:pPr>
              <w:spacing w:line="360" w:lineRule="auto"/>
              <w:jc w:val="center"/>
              <w:rPr>
                <w:rFonts w:ascii="Times New Roman" w:eastAsia="Times New Roman" w:hAnsi="Times New Roman" w:cs="Times New Roman"/>
                <w:b/>
                <w:bCs/>
                <w:kern w:val="0"/>
                <w:lang w:eastAsia="en-GB"/>
                <w14:ligatures w14:val="none"/>
              </w:rPr>
            </w:pPr>
            <w:r w:rsidRPr="00BB4B6E">
              <w:rPr>
                <w:rFonts w:ascii="Times New Roman" w:eastAsia="Times New Roman" w:hAnsi="Times New Roman" w:cs="Times New Roman"/>
                <w:b/>
                <w:bCs/>
                <w:kern w:val="0"/>
                <w:lang w:eastAsia="en-GB"/>
                <w14:ligatures w14:val="none"/>
              </w:rPr>
              <w:t>Carbendazim 12% @0.3% (F.S.) + Neem oil @2.0 % (F.S.)</w:t>
            </w:r>
          </w:p>
        </w:tc>
        <w:tc>
          <w:tcPr>
            <w:tcW w:w="1701" w:type="dxa"/>
            <w:vAlign w:val="center"/>
          </w:tcPr>
          <w:p w14:paraId="4CCF3DB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18.7</w:t>
            </w:r>
          </w:p>
        </w:tc>
        <w:tc>
          <w:tcPr>
            <w:tcW w:w="1559" w:type="dxa"/>
            <w:vAlign w:val="center"/>
          </w:tcPr>
          <w:p w14:paraId="457EC29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2.8</w:t>
            </w:r>
          </w:p>
        </w:tc>
      </w:tr>
      <w:tr w:rsidR="0093476F" w:rsidRPr="00BB4B6E" w14:paraId="777B633A" w14:textId="77777777" w:rsidTr="0093476F">
        <w:tc>
          <w:tcPr>
            <w:tcW w:w="846" w:type="dxa"/>
            <w:vAlign w:val="center"/>
          </w:tcPr>
          <w:p w14:paraId="3C411047"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3</w:t>
            </w:r>
          </w:p>
        </w:tc>
        <w:tc>
          <w:tcPr>
            <w:tcW w:w="4961" w:type="dxa"/>
            <w:vAlign w:val="center"/>
          </w:tcPr>
          <w:p w14:paraId="271A54D4"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Captan 70% @0.2% (F.S.) + Neem oil @2.0 % (F.S.)</w:t>
            </w:r>
          </w:p>
        </w:tc>
        <w:tc>
          <w:tcPr>
            <w:tcW w:w="1701" w:type="dxa"/>
            <w:vAlign w:val="center"/>
          </w:tcPr>
          <w:p w14:paraId="3835051C"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19.8</w:t>
            </w:r>
          </w:p>
        </w:tc>
        <w:tc>
          <w:tcPr>
            <w:tcW w:w="1559" w:type="dxa"/>
            <w:vAlign w:val="center"/>
          </w:tcPr>
          <w:p w14:paraId="6511D092"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2.9</w:t>
            </w:r>
          </w:p>
        </w:tc>
      </w:tr>
      <w:tr w:rsidR="0093476F" w:rsidRPr="00BB4B6E" w14:paraId="789083EA" w14:textId="77777777" w:rsidTr="0093476F">
        <w:tc>
          <w:tcPr>
            <w:tcW w:w="846" w:type="dxa"/>
            <w:vAlign w:val="center"/>
          </w:tcPr>
          <w:p w14:paraId="539AA161"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4</w:t>
            </w:r>
          </w:p>
        </w:tc>
        <w:tc>
          <w:tcPr>
            <w:tcW w:w="4961" w:type="dxa"/>
            <w:vAlign w:val="center"/>
          </w:tcPr>
          <w:p w14:paraId="6E2DE312"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Fosetyl- Al @0.2% (F.S.) + Neem oil @2.0 % (F.S.)</w:t>
            </w:r>
          </w:p>
        </w:tc>
        <w:tc>
          <w:tcPr>
            <w:tcW w:w="1701" w:type="dxa"/>
            <w:vAlign w:val="center"/>
          </w:tcPr>
          <w:p w14:paraId="716D2BC3"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16.5</w:t>
            </w:r>
          </w:p>
        </w:tc>
        <w:tc>
          <w:tcPr>
            <w:tcW w:w="1559" w:type="dxa"/>
            <w:vAlign w:val="center"/>
          </w:tcPr>
          <w:p w14:paraId="0434CC5B"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2.4</w:t>
            </w:r>
          </w:p>
        </w:tc>
      </w:tr>
      <w:tr w:rsidR="0093476F" w:rsidRPr="00BB4B6E" w14:paraId="5495DC89" w14:textId="77777777" w:rsidTr="0093476F">
        <w:tc>
          <w:tcPr>
            <w:tcW w:w="846" w:type="dxa"/>
            <w:vAlign w:val="center"/>
          </w:tcPr>
          <w:p w14:paraId="5B21A570"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5</w:t>
            </w:r>
          </w:p>
        </w:tc>
        <w:tc>
          <w:tcPr>
            <w:tcW w:w="4961" w:type="dxa"/>
            <w:vAlign w:val="center"/>
          </w:tcPr>
          <w:p w14:paraId="34D4963A"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Tebuconazole 50% @0.2% (F.S.) + Neem oil @2.0 % (F.S.)</w:t>
            </w:r>
          </w:p>
        </w:tc>
        <w:tc>
          <w:tcPr>
            <w:tcW w:w="1701" w:type="dxa"/>
            <w:vAlign w:val="center"/>
          </w:tcPr>
          <w:p w14:paraId="5A93EF0F"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14.7</w:t>
            </w:r>
          </w:p>
        </w:tc>
        <w:tc>
          <w:tcPr>
            <w:tcW w:w="1559" w:type="dxa"/>
            <w:vAlign w:val="center"/>
          </w:tcPr>
          <w:p w14:paraId="7846F0E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2.2</w:t>
            </w:r>
          </w:p>
        </w:tc>
      </w:tr>
      <w:tr w:rsidR="0093476F" w:rsidRPr="00BB4B6E" w14:paraId="1434C50D" w14:textId="77777777" w:rsidTr="0093476F">
        <w:tc>
          <w:tcPr>
            <w:tcW w:w="846" w:type="dxa"/>
            <w:vAlign w:val="center"/>
          </w:tcPr>
          <w:p w14:paraId="143A5A33" w14:textId="77777777" w:rsidR="0093476F" w:rsidRPr="00BB4B6E" w:rsidRDefault="0093476F" w:rsidP="00367E00">
            <w:pPr>
              <w:jc w:val="center"/>
              <w:rPr>
                <w:rFonts w:ascii="Times New Roman" w:hAnsi="Times New Roman" w:cs="Times New Roman"/>
                <w:b/>
                <w:bCs/>
              </w:rPr>
            </w:pPr>
            <w:r w:rsidRPr="00BB4B6E">
              <w:rPr>
                <w:rFonts w:ascii="Times New Roman" w:eastAsia="Times New Roman" w:hAnsi="Times New Roman" w:cs="Times New Roman"/>
                <w:b/>
                <w:bCs/>
                <w:kern w:val="0"/>
                <w:lang w:eastAsia="en-GB"/>
                <w14:ligatures w14:val="none"/>
              </w:rPr>
              <w:t>T</w:t>
            </w:r>
            <w:r w:rsidRPr="00BB4B6E">
              <w:rPr>
                <w:rFonts w:ascii="Times New Roman" w:eastAsia="Times New Roman" w:hAnsi="Times New Roman" w:cs="Times New Roman"/>
                <w:b/>
                <w:bCs/>
                <w:kern w:val="0"/>
                <w:vertAlign w:val="subscript"/>
                <w:lang w:eastAsia="en-GB"/>
                <w14:ligatures w14:val="none"/>
              </w:rPr>
              <w:t>6</w:t>
            </w:r>
          </w:p>
        </w:tc>
        <w:tc>
          <w:tcPr>
            <w:tcW w:w="4961" w:type="dxa"/>
            <w:vAlign w:val="center"/>
          </w:tcPr>
          <w:p w14:paraId="1DA3159F" w14:textId="77777777" w:rsidR="0093476F" w:rsidRPr="00BB4B6E" w:rsidRDefault="0093476F" w:rsidP="00367E00">
            <w:pPr>
              <w:jc w:val="center"/>
              <w:rPr>
                <w:rFonts w:ascii="Times New Roman" w:hAnsi="Times New Roman" w:cs="Times New Roman"/>
              </w:rPr>
            </w:pPr>
            <w:r w:rsidRPr="00BB4B6E">
              <w:rPr>
                <w:rFonts w:ascii="Times New Roman" w:eastAsia="Times New Roman" w:hAnsi="Times New Roman" w:cs="Times New Roman"/>
                <w:b/>
                <w:bCs/>
                <w:kern w:val="0"/>
                <w:lang w:eastAsia="en-GB"/>
                <w14:ligatures w14:val="none"/>
              </w:rPr>
              <w:t>Hexaconazole 5% WP @0.2% (F.S.) + Neem oil @2.0 % (F.S.)</w:t>
            </w:r>
          </w:p>
        </w:tc>
        <w:tc>
          <w:tcPr>
            <w:tcW w:w="1701" w:type="dxa"/>
            <w:vAlign w:val="center"/>
          </w:tcPr>
          <w:p w14:paraId="148125FE"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13.3</w:t>
            </w:r>
          </w:p>
        </w:tc>
        <w:tc>
          <w:tcPr>
            <w:tcW w:w="1559" w:type="dxa"/>
            <w:vAlign w:val="center"/>
          </w:tcPr>
          <w:p w14:paraId="399B41B6" w14:textId="77777777" w:rsidR="0093476F" w:rsidRPr="00BB4B6E" w:rsidRDefault="00460233" w:rsidP="00367E00">
            <w:pPr>
              <w:spacing w:line="360" w:lineRule="auto"/>
              <w:jc w:val="center"/>
              <w:rPr>
                <w:rFonts w:ascii="Times New Roman" w:eastAsia="Times New Roman" w:hAnsi="Times New Roman" w:cs="Times New Roman"/>
                <w:kern w:val="0"/>
                <w:lang w:eastAsia="en-GB"/>
                <w14:ligatures w14:val="none"/>
              </w:rPr>
            </w:pPr>
            <w:r w:rsidRPr="00BB4B6E">
              <w:rPr>
                <w:rFonts w:ascii="Times New Roman" w:eastAsia="Times New Roman" w:hAnsi="Times New Roman" w:cs="Times New Roman"/>
                <w:kern w:val="0"/>
                <w:lang w:eastAsia="en-GB"/>
                <w14:ligatures w14:val="none"/>
              </w:rPr>
              <w:t>1.9</w:t>
            </w:r>
          </w:p>
        </w:tc>
      </w:tr>
    </w:tbl>
    <w:p w14:paraId="477846B5" w14:textId="77777777" w:rsidR="0093476F" w:rsidRDefault="0093476F">
      <w:pPr>
        <w:rPr>
          <w:rFonts w:ascii="Times New Roman" w:hAnsi="Times New Roman" w:cs="Times New Roman"/>
        </w:rPr>
      </w:pPr>
    </w:p>
    <w:p w14:paraId="6C3D766D" w14:textId="77777777" w:rsidR="007570F6" w:rsidRPr="00C6256E" w:rsidRDefault="007570F6" w:rsidP="007570F6">
      <w:pPr>
        <w:pStyle w:val="Heading3"/>
        <w:spacing w:before="0" w:after="0" w:line="360" w:lineRule="auto"/>
        <w:jc w:val="both"/>
        <w:rPr>
          <w:rFonts w:ascii="Times New Roman" w:hAnsi="Times New Roman" w:cs="Times New Roman"/>
          <w:color w:val="auto"/>
          <w:sz w:val="24"/>
          <w:szCs w:val="24"/>
        </w:rPr>
      </w:pPr>
      <w:r w:rsidRPr="00C6256E">
        <w:rPr>
          <w:rStyle w:val="Strong"/>
          <w:rFonts w:ascii="Times New Roman" w:hAnsi="Times New Roman" w:cs="Times New Roman"/>
          <w:color w:val="auto"/>
          <w:sz w:val="24"/>
          <w:szCs w:val="24"/>
        </w:rPr>
        <w:t>Conclusion</w:t>
      </w:r>
    </w:p>
    <w:p w14:paraId="0CF52A4A" w14:textId="732A8FC9" w:rsidR="007570F6" w:rsidRPr="00C6256E" w:rsidRDefault="007570F6" w:rsidP="007570F6">
      <w:pPr>
        <w:pStyle w:val="NormalWeb"/>
        <w:spacing w:before="0" w:beforeAutospacing="0" w:after="0" w:afterAutospacing="0" w:line="360" w:lineRule="auto"/>
        <w:jc w:val="both"/>
      </w:pPr>
      <w:r w:rsidRPr="00C6256E">
        <w:t>The present study revealed that T</w:t>
      </w:r>
      <w:r w:rsidRPr="00C6256E">
        <w:rPr>
          <w:vertAlign w:val="subscript"/>
        </w:rPr>
        <w:t>3</w:t>
      </w:r>
      <w:r w:rsidRPr="00C6256E">
        <w:t xml:space="preserve"> (Captan 70% @ 0.2% + neem oil @ 2.0%) was the most effective treatment under </w:t>
      </w:r>
      <w:r w:rsidRPr="00C6256E">
        <w:rPr>
          <w:i/>
          <w:iCs/>
        </w:rPr>
        <w:t>in vivo</w:t>
      </w:r>
      <w:r w:rsidRPr="00C6256E">
        <w:t xml:space="preserve"> conditions. This treatment resulted in the highest tendril height, number of leaves, number of fruits per plant, yield, and cost benefit</w:t>
      </w:r>
      <w:r>
        <w:t xml:space="preserve"> </w:t>
      </w:r>
      <w:r w:rsidRPr="00C6256E">
        <w:t>ratio, along with the lowest disease intensity.</w:t>
      </w:r>
    </w:p>
    <w:p w14:paraId="34640192" w14:textId="77777777" w:rsidR="007570F6" w:rsidRPr="00C6256E" w:rsidRDefault="007570F6" w:rsidP="007570F6">
      <w:pPr>
        <w:pStyle w:val="NormalWeb"/>
        <w:spacing w:before="0" w:beforeAutospacing="0" w:after="0" w:afterAutospacing="0" w:line="360" w:lineRule="auto"/>
        <w:jc w:val="both"/>
      </w:pPr>
      <w:r w:rsidRPr="00C6256E">
        <w:lastRenderedPageBreak/>
        <w:t>The integration of Captan with neem oil provided superior disease suppression compared to other treatments and the control, demonstrating the potential of combining chemical and botanical agents to reduce disease severity and minimize chemical load on the environment and human health.</w:t>
      </w:r>
    </w:p>
    <w:p w14:paraId="7B9D09B7" w14:textId="06068554" w:rsidR="007570F6" w:rsidRDefault="007570F6" w:rsidP="007570F6">
      <w:pPr>
        <w:pStyle w:val="NormalWeb"/>
        <w:spacing w:before="0" w:beforeAutospacing="0" w:after="0" w:afterAutospacing="0" w:line="360" w:lineRule="auto"/>
        <w:jc w:val="both"/>
      </w:pPr>
      <w:r w:rsidRPr="00C6256E">
        <w:t>These results are promising under Prayagraj agro-climatic conditions; however, further multi-location and seasonal trials are recommended to validate and optimize the findings for broader application.</w:t>
      </w:r>
    </w:p>
    <w:p w14:paraId="43359406" w14:textId="797C7FF8" w:rsidR="00CB1C92" w:rsidRDefault="00CB1C92" w:rsidP="007570F6">
      <w:pPr>
        <w:pStyle w:val="NormalWeb"/>
        <w:spacing w:before="0" w:beforeAutospacing="0" w:after="0" w:afterAutospacing="0" w:line="360" w:lineRule="auto"/>
        <w:jc w:val="both"/>
      </w:pPr>
    </w:p>
    <w:p w14:paraId="7BF08FB3" w14:textId="77777777" w:rsidR="00CB1C92" w:rsidRPr="009C5487" w:rsidRDefault="00CB1C92" w:rsidP="00CB1C92">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56C5CCBF"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D4CAC00"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16F7C6E"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D054853"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B4731E"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BB11882"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40603D9" w14:textId="77777777" w:rsidR="00CB1C92" w:rsidRPr="009C5487" w:rsidRDefault="00CB1C92" w:rsidP="00CB1C9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35CE86C1" w14:textId="77777777" w:rsidR="00CB1C92" w:rsidRPr="009C5487" w:rsidRDefault="00CB1C92" w:rsidP="00CB1C92">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38464C79" w14:textId="77777777" w:rsidR="00CB1C92" w:rsidRPr="00C6256E" w:rsidRDefault="00CB1C92" w:rsidP="007570F6">
      <w:pPr>
        <w:pStyle w:val="NormalWeb"/>
        <w:spacing w:before="0" w:beforeAutospacing="0" w:after="0" w:afterAutospacing="0" w:line="360" w:lineRule="auto"/>
        <w:jc w:val="both"/>
      </w:pPr>
    </w:p>
    <w:p w14:paraId="528A9CDA" w14:textId="77777777" w:rsidR="007A149C" w:rsidRDefault="007A149C">
      <w:pPr>
        <w:rPr>
          <w:rFonts w:ascii="Times New Roman" w:hAnsi="Times New Roman" w:cs="Times New Roman"/>
        </w:rPr>
      </w:pPr>
    </w:p>
    <w:p w14:paraId="2AB03C46" w14:textId="77777777" w:rsidR="007A149C" w:rsidRPr="007570F6" w:rsidRDefault="007570F6">
      <w:pPr>
        <w:rPr>
          <w:rFonts w:ascii="Times New Roman" w:hAnsi="Times New Roman" w:cs="Times New Roman"/>
          <w:b/>
          <w:bCs/>
        </w:rPr>
      </w:pPr>
      <w:r w:rsidRPr="007570F6">
        <w:rPr>
          <w:rFonts w:ascii="Times New Roman" w:hAnsi="Times New Roman" w:cs="Times New Roman"/>
          <w:b/>
          <w:bCs/>
        </w:rPr>
        <w:t xml:space="preserve">References </w:t>
      </w:r>
    </w:p>
    <w:p w14:paraId="0CEC9CD1"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Bal, K. E., Bal, Y., &amp; Lallam, A. (2004). Ciross morphology and absorption capacity of onll-files from the fibrous vascular system of Loofah (Luffa cylindrica). Textile research journal 74(3), 241-247.</w:t>
      </w:r>
    </w:p>
    <w:p w14:paraId="6C48B898"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Chourasiya, P. K., Lal, A. A. and Simon, S. (2013). Effect of certain fungicides and botanicals against early blight of tomato caused by </w:t>
      </w:r>
      <w:r w:rsidRPr="0003663F">
        <w:rPr>
          <w:rFonts w:ascii="Times New Roman" w:hAnsi="Times New Roman" w:cs="Times New Roman"/>
          <w:i/>
          <w:iCs/>
          <w:lang w:val="en-GB" w:eastAsia="en-IN"/>
        </w:rPr>
        <w:t>Alternaria solani</w:t>
      </w:r>
      <w:r w:rsidRPr="00C6256E">
        <w:rPr>
          <w:rFonts w:ascii="Times New Roman" w:hAnsi="Times New Roman" w:cs="Times New Roman"/>
          <w:lang w:val="en-GB" w:eastAsia="en-IN"/>
        </w:rPr>
        <w:t xml:space="preserve"> (Ellis and Martin) under Allahabad Uttar Pradesh, India conditions. International Journal of Agricultural Science and Research. 3(3), 151-155.</w:t>
      </w:r>
    </w:p>
    <w:p w14:paraId="3CDE81AD"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US"/>
        </w:rPr>
      </w:pPr>
      <w:r w:rsidRPr="00C6256E">
        <w:rPr>
          <w:rFonts w:ascii="Times New Roman" w:hAnsi="Times New Roman" w:cs="Times New Roman"/>
          <w:color w:val="222222"/>
          <w:shd w:val="clear" w:color="auto" w:fill="FFFFFF"/>
        </w:rPr>
        <w:lastRenderedPageBreak/>
        <w:t>Daunde, A. T., Baghele, R. D., &amp; Khandare, V. S. (2020). Management of prevalent diseases of cucumber (Cucumis sativus) through integrated approach.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9</w:t>
      </w:r>
      <w:r w:rsidRPr="00C6256E">
        <w:rPr>
          <w:rFonts w:ascii="Times New Roman" w:hAnsi="Times New Roman" w:cs="Times New Roman"/>
          <w:color w:val="222222"/>
          <w:shd w:val="clear" w:color="auto" w:fill="FFFFFF"/>
        </w:rPr>
        <w:t>(7), 3022-3028.</w:t>
      </w:r>
    </w:p>
    <w:p w14:paraId="3F219740"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Ginoya, C.M. and Gobel, N.M. (2015). Evaluation of newer fungicides against Alternaria alternata (Fr.) keissler causing fruit rot disease of chilli. International journal of plantprotection, 8(1):169-173.</w:t>
      </w:r>
    </w:p>
    <w:p w14:paraId="06B43E15"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Gobel, N. M., and Solanky, K. U. (2011). Bio-control of Alternaria Alternata (FR.) keissler causing leaf spot and fruit rot of chilli. Journal of Plant Disease Sciences, 6(2), 200-201.</w:t>
      </w:r>
    </w:p>
    <w:p w14:paraId="4BBE5836"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Isman, M. B. (2006). Botanical insecticides, deterrents, and repellents in modern agriculture and an increasingly regulated world. </w:t>
      </w:r>
      <w:r w:rsidRPr="00C6256E">
        <w:rPr>
          <w:rFonts w:ascii="Times New Roman" w:hAnsi="Times New Roman" w:cs="Times New Roman"/>
          <w:i/>
          <w:iCs/>
          <w:color w:val="222222"/>
          <w:shd w:val="clear" w:color="auto" w:fill="FFFFFF"/>
        </w:rPr>
        <w:t>Annual review of entomology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51</w:t>
      </w:r>
      <w:r w:rsidRPr="00C6256E">
        <w:rPr>
          <w:rFonts w:ascii="Times New Roman" w:hAnsi="Times New Roman" w:cs="Times New Roman"/>
          <w:color w:val="222222"/>
          <w:shd w:val="clear" w:color="auto" w:fill="FFFFFF"/>
        </w:rPr>
        <w:t>(1), 45-66.</w:t>
      </w:r>
    </w:p>
    <w:p w14:paraId="604AEC60"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Kalloo, G., and Pandey, A. K. (2002), Commendable progress in research. Hindu Survey of balion Agriculture 5(1) 159-163.</w:t>
      </w:r>
    </w:p>
    <w:p w14:paraId="355B1A22" w14:textId="77777777" w:rsidR="004842FB" w:rsidRPr="004842FB" w:rsidRDefault="004842FB" w:rsidP="004842FB">
      <w:pPr>
        <w:pStyle w:val="ListParagraph"/>
        <w:numPr>
          <w:ilvl w:val="1"/>
          <w:numId w:val="6"/>
        </w:numPr>
        <w:spacing w:after="0" w:line="360" w:lineRule="auto"/>
        <w:ind w:right="95"/>
        <w:jc w:val="both"/>
        <w:rPr>
          <w:rFonts w:ascii="Times New Roman" w:hAnsi="Times New Roman" w:cs="Times New Roman"/>
          <w:highlight w:val="yellow"/>
        </w:rPr>
      </w:pPr>
      <w:r w:rsidRPr="004842FB">
        <w:rPr>
          <w:rFonts w:ascii="Times New Roman" w:hAnsi="Times New Roman" w:cs="Times New Roman"/>
          <w:highlight w:val="yellow"/>
          <w:lang w:eastAsia="en-IN"/>
        </w:rPr>
        <w:t xml:space="preserve">Kanna, A., Tiwari, S. and Rohini, T. (2021). Eco-friendly </w:t>
      </w:r>
      <w:r w:rsidRPr="004842FB">
        <w:rPr>
          <w:rFonts w:ascii="Times New Roman" w:hAnsi="Times New Roman" w:cs="Times New Roman"/>
          <w:highlight w:val="yellow"/>
          <w:lang w:val="en-GB" w:eastAsia="en-IN"/>
        </w:rPr>
        <w:t>m</w:t>
      </w:r>
      <w:r w:rsidRPr="004842FB">
        <w:rPr>
          <w:rFonts w:ascii="Times New Roman" w:hAnsi="Times New Roman" w:cs="Times New Roman"/>
          <w:highlight w:val="yellow"/>
          <w:lang w:eastAsia="en-IN"/>
        </w:rPr>
        <w:t xml:space="preserve">anagement of </w:t>
      </w:r>
      <w:r w:rsidRPr="004842FB">
        <w:rPr>
          <w:rFonts w:ascii="Times New Roman" w:hAnsi="Times New Roman" w:cs="Times New Roman"/>
          <w:highlight w:val="yellow"/>
          <w:lang w:val="en-GB" w:eastAsia="en-IN"/>
        </w:rPr>
        <w:t>l</w:t>
      </w:r>
      <w:r w:rsidRPr="004842FB">
        <w:rPr>
          <w:rFonts w:ascii="Times New Roman" w:hAnsi="Times New Roman" w:cs="Times New Roman"/>
          <w:highlight w:val="yellow"/>
          <w:lang w:eastAsia="en-IN"/>
        </w:rPr>
        <w:t xml:space="preserve">eaf </w:t>
      </w:r>
      <w:r w:rsidRPr="004842FB">
        <w:rPr>
          <w:rFonts w:ascii="Times New Roman" w:hAnsi="Times New Roman" w:cs="Times New Roman"/>
          <w:highlight w:val="yellow"/>
          <w:lang w:val="en-GB" w:eastAsia="en-IN"/>
        </w:rPr>
        <w:t>s</w:t>
      </w:r>
      <w:r w:rsidRPr="004842FB">
        <w:rPr>
          <w:rFonts w:ascii="Times New Roman" w:hAnsi="Times New Roman" w:cs="Times New Roman"/>
          <w:highlight w:val="yellow"/>
          <w:lang w:eastAsia="en-IN"/>
        </w:rPr>
        <w:t>pot of Brinjal (</w:t>
      </w:r>
      <w:r w:rsidRPr="004842FB">
        <w:rPr>
          <w:rFonts w:ascii="Times New Roman" w:hAnsi="Times New Roman" w:cs="Times New Roman"/>
          <w:i/>
          <w:iCs/>
          <w:highlight w:val="yellow"/>
          <w:lang w:eastAsia="en-IN"/>
        </w:rPr>
        <w:t>Solanum melongena</w:t>
      </w:r>
      <w:r w:rsidRPr="004842FB">
        <w:rPr>
          <w:rFonts w:ascii="Times New Roman" w:hAnsi="Times New Roman" w:cs="Times New Roman"/>
          <w:highlight w:val="yellow"/>
          <w:lang w:eastAsia="en-IN"/>
        </w:rPr>
        <w:t xml:space="preserve"> L.) caused by </w:t>
      </w:r>
      <w:r w:rsidRPr="004842FB">
        <w:rPr>
          <w:rFonts w:ascii="Times New Roman" w:hAnsi="Times New Roman" w:cs="Times New Roman"/>
          <w:i/>
          <w:iCs/>
          <w:highlight w:val="yellow"/>
          <w:lang w:eastAsia="en-IN"/>
        </w:rPr>
        <w:t>Alternaria</w:t>
      </w:r>
      <w:r w:rsidRPr="004842FB">
        <w:rPr>
          <w:rFonts w:ascii="Times New Roman" w:hAnsi="Times New Roman" w:cs="Times New Roman"/>
          <w:highlight w:val="yellow"/>
          <w:lang w:eastAsia="en-IN"/>
        </w:rPr>
        <w:t xml:space="preserve"> spp.</w:t>
      </w:r>
      <w:r w:rsidRPr="004842FB">
        <w:rPr>
          <w:rFonts w:ascii="Times New Roman" w:hAnsi="Times New Roman" w:cs="Times New Roman"/>
          <w:i/>
          <w:iCs/>
          <w:highlight w:val="yellow"/>
          <w:lang w:eastAsia="en-IN"/>
        </w:rPr>
        <w:t xml:space="preserve"> International Journal of Current Microbiology and Applied Sciences</w:t>
      </w:r>
      <w:r w:rsidRPr="004842FB">
        <w:rPr>
          <w:rFonts w:ascii="Times New Roman" w:hAnsi="Times New Roman" w:cs="Times New Roman"/>
          <w:highlight w:val="yellow"/>
          <w:lang w:eastAsia="en-IN"/>
        </w:rPr>
        <w:t>. 10</w:t>
      </w:r>
      <w:r w:rsidRPr="004842FB">
        <w:rPr>
          <w:rFonts w:ascii="Times New Roman" w:hAnsi="Times New Roman" w:cs="Times New Roman"/>
          <w:highlight w:val="yellow"/>
          <w:lang w:val="en-GB" w:eastAsia="en-IN"/>
        </w:rPr>
        <w:t xml:space="preserve"> </w:t>
      </w:r>
      <w:r w:rsidRPr="004842FB">
        <w:rPr>
          <w:rFonts w:ascii="Times New Roman" w:hAnsi="Times New Roman" w:cs="Times New Roman"/>
          <w:highlight w:val="yellow"/>
          <w:lang w:eastAsia="en-IN"/>
        </w:rPr>
        <w:t>(05).</w:t>
      </w:r>
    </w:p>
    <w:p w14:paraId="03065C7A"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GB" w:eastAsia="en-IN"/>
        </w:rPr>
        <w:t>Kar, S. R</w:t>
      </w:r>
      <w:r w:rsidRPr="00C6256E">
        <w:rPr>
          <w:rFonts w:ascii="Times New Roman" w:hAnsi="Times New Roman" w:cs="Times New Roman"/>
          <w:lang w:val="en-US" w:eastAsia="en-IN"/>
        </w:rPr>
        <w:t>.,</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Zacharia</w:t>
      </w:r>
      <w:r w:rsidRPr="00C6256E">
        <w:rPr>
          <w:rFonts w:ascii="Times New Roman" w:hAnsi="Times New Roman" w:cs="Times New Roman"/>
          <w:lang w:val="en-GB" w:eastAsia="en-IN"/>
        </w:rPr>
        <w:t>, S.</w:t>
      </w:r>
      <w:r w:rsidRPr="00C6256E">
        <w:rPr>
          <w:rFonts w:ascii="Times New Roman" w:hAnsi="Times New Roman" w:cs="Times New Roman"/>
          <w:lang w:val="en-US" w:eastAsia="en-IN"/>
        </w:rPr>
        <w:t xml:space="preserve"> and Bawane</w:t>
      </w:r>
      <w:r w:rsidRPr="00C6256E">
        <w:rPr>
          <w:rFonts w:ascii="Times New Roman" w:hAnsi="Times New Roman" w:cs="Times New Roman"/>
          <w:lang w:val="en-GB" w:eastAsia="en-IN"/>
        </w:rPr>
        <w:t>, A. S</w:t>
      </w:r>
      <w:r w:rsidRPr="00C6256E">
        <w:rPr>
          <w:rFonts w:ascii="Times New Roman" w:hAnsi="Times New Roman" w:cs="Times New Roman"/>
          <w:lang w:val="en-US" w:eastAsia="en-IN"/>
        </w:rPr>
        <w:t>. (2021). Eco-</w:t>
      </w:r>
      <w:r w:rsidRPr="00C6256E">
        <w:rPr>
          <w:rFonts w:ascii="Times New Roman" w:hAnsi="Times New Roman" w:cs="Times New Roman"/>
          <w:lang w:val="en-GB" w:eastAsia="en-IN"/>
        </w:rPr>
        <w:t>f</w:t>
      </w:r>
      <w:r w:rsidRPr="00C6256E">
        <w:rPr>
          <w:rFonts w:ascii="Times New Roman" w:hAnsi="Times New Roman" w:cs="Times New Roman"/>
          <w:lang w:val="en-US" w:eastAsia="en-IN"/>
        </w:rPr>
        <w:t xml:space="preserve">riendly </w:t>
      </w:r>
      <w:r w:rsidRPr="00C6256E">
        <w:rPr>
          <w:rFonts w:ascii="Times New Roman" w:hAnsi="Times New Roman" w:cs="Times New Roman"/>
          <w:lang w:val="en-GB" w:eastAsia="en-IN"/>
        </w:rPr>
        <w:t>m</w:t>
      </w:r>
      <w:r w:rsidRPr="00C6256E">
        <w:rPr>
          <w:rFonts w:ascii="Times New Roman" w:hAnsi="Times New Roman" w:cs="Times New Roman"/>
          <w:lang w:val="en-US" w:eastAsia="en-IN"/>
        </w:rPr>
        <w:t xml:space="preserve">anagement of Alternaria </w:t>
      </w:r>
      <w:r w:rsidRPr="00C6256E">
        <w:rPr>
          <w:rFonts w:ascii="Times New Roman" w:hAnsi="Times New Roman" w:cs="Times New Roman"/>
          <w:lang w:val="en-GB" w:eastAsia="en-IN"/>
        </w:rPr>
        <w:t>l</w:t>
      </w:r>
      <w:r w:rsidRPr="00C6256E">
        <w:rPr>
          <w:rFonts w:ascii="Times New Roman" w:hAnsi="Times New Roman" w:cs="Times New Roman"/>
          <w:lang w:val="en-US" w:eastAsia="en-IN"/>
        </w:rPr>
        <w:t xml:space="preserve">eaf </w:t>
      </w:r>
      <w:r w:rsidRPr="00C6256E">
        <w:rPr>
          <w:rFonts w:ascii="Times New Roman" w:hAnsi="Times New Roman" w:cs="Times New Roman"/>
          <w:lang w:val="en-GB" w:eastAsia="en-IN"/>
        </w:rPr>
        <w:t>s</w:t>
      </w:r>
      <w:r w:rsidRPr="00C6256E">
        <w:rPr>
          <w:rFonts w:ascii="Times New Roman" w:hAnsi="Times New Roman" w:cs="Times New Roman"/>
          <w:lang w:val="en-US" w:eastAsia="en-IN"/>
        </w:rPr>
        <w:t xml:space="preserve">pot of </w:t>
      </w:r>
      <w:r w:rsidRPr="00C6256E">
        <w:rPr>
          <w:rFonts w:ascii="Times New Roman" w:hAnsi="Times New Roman" w:cs="Times New Roman"/>
          <w:lang w:val="en-GB" w:eastAsia="en-IN"/>
        </w:rPr>
        <w:t>b</w:t>
      </w:r>
      <w:r w:rsidRPr="00C6256E">
        <w:rPr>
          <w:rFonts w:ascii="Times New Roman" w:hAnsi="Times New Roman" w:cs="Times New Roman"/>
          <w:lang w:val="en-US" w:eastAsia="en-IN"/>
        </w:rPr>
        <w:t>rinjal (</w:t>
      </w:r>
      <w:r w:rsidRPr="00C6256E">
        <w:rPr>
          <w:rFonts w:ascii="Times New Roman" w:hAnsi="Times New Roman" w:cs="Times New Roman"/>
          <w:i/>
          <w:iCs/>
          <w:lang w:val="en-US" w:eastAsia="en-IN"/>
        </w:rPr>
        <w:t>Solanum melongena</w:t>
      </w:r>
      <w:r w:rsidRPr="00C6256E">
        <w:rPr>
          <w:rFonts w:ascii="Times New Roman" w:hAnsi="Times New Roman" w:cs="Times New Roman"/>
          <w:lang w:val="en-US" w:eastAsia="en-IN"/>
        </w:rPr>
        <w:t xml:space="preserve"> L.). </w:t>
      </w:r>
      <w:r w:rsidRPr="00C6256E">
        <w:rPr>
          <w:rFonts w:ascii="Times New Roman" w:hAnsi="Times New Roman" w:cs="Times New Roman"/>
          <w:i/>
          <w:iCs/>
          <w:lang w:val="en-US" w:eastAsia="en-IN"/>
        </w:rPr>
        <w:t>International Journal of Current Microbiology Applied Sciences.</w:t>
      </w:r>
      <w:r w:rsidRPr="00C6256E">
        <w:rPr>
          <w:rFonts w:ascii="Times New Roman" w:hAnsi="Times New Roman" w:cs="Times New Roman"/>
          <w:lang w:val="en-US" w:eastAsia="en-IN"/>
        </w:rPr>
        <w:t xml:space="preserve"> 10</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(07).</w:t>
      </w:r>
    </w:p>
    <w:p w14:paraId="26166ACC"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Keissler, K. (1912). Zur kenntnis der pilzflora krains,</w:t>
      </w:r>
      <w:r w:rsidRPr="00C6256E">
        <w:rPr>
          <w:rFonts w:ascii="Times New Roman" w:hAnsi="Times New Roman" w:cs="Times New Roman"/>
          <w:i/>
          <w:iCs/>
          <w:lang w:val="en-GB" w:eastAsia="en-IN"/>
        </w:rPr>
        <w:t xml:space="preserve"> Beihefte zum Botanischen  Centrablatt. </w:t>
      </w:r>
      <w:r w:rsidRPr="00C6256E">
        <w:rPr>
          <w:rFonts w:ascii="Times New Roman" w:hAnsi="Times New Roman" w:cs="Times New Roman"/>
          <w:lang w:val="en-GB" w:eastAsia="en-IN"/>
        </w:rPr>
        <w:t>29: 395-440.</w:t>
      </w:r>
    </w:p>
    <w:p w14:paraId="450BC99C"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eastAsia="en-IN"/>
        </w:rPr>
        <w:t xml:space="preserve">Kumari, P., Trivedi, A., Meena, S., Deora, A. and Maurya, S. (2020). Identification of </w:t>
      </w:r>
      <w:r w:rsidRPr="00C6256E">
        <w:rPr>
          <w:rFonts w:ascii="Times New Roman" w:hAnsi="Times New Roman" w:cs="Times New Roman"/>
          <w:i/>
          <w:iCs/>
          <w:lang w:eastAsia="en-IN"/>
        </w:rPr>
        <w:t>Alternaria alternata</w:t>
      </w:r>
      <w:r w:rsidRPr="00C6256E">
        <w:rPr>
          <w:rFonts w:ascii="Times New Roman" w:hAnsi="Times New Roman" w:cs="Times New Roman"/>
          <w:lang w:eastAsia="en-IN"/>
        </w:rPr>
        <w:t>. </w:t>
      </w:r>
      <w:r w:rsidRPr="00C6256E">
        <w:rPr>
          <w:rFonts w:ascii="Times New Roman" w:eastAsia="Times New Roman" w:hAnsi="Times New Roman" w:cs="Times New Roman"/>
          <w:i/>
          <w:iCs/>
          <w:color w:val="111111"/>
          <w:spacing w:val="1"/>
          <w:lang w:val="en-US" w:eastAsia="en-IN"/>
        </w:rPr>
        <w:t>International Journal of Current Microbiology Applied Sciences.</w:t>
      </w:r>
      <w:r w:rsidRPr="00C6256E">
        <w:rPr>
          <w:rFonts w:ascii="Times New Roman" w:hAnsi="Times New Roman" w:cs="Times New Roman"/>
          <w:lang w:eastAsia="en-IN"/>
        </w:rPr>
        <w:t> 9(2): 1011-1015.</w:t>
      </w:r>
    </w:p>
    <w:p w14:paraId="1D809254" w14:textId="77777777" w:rsidR="00CD73F3" w:rsidRPr="00CD73F3" w:rsidRDefault="00CD73F3" w:rsidP="007570F6">
      <w:pPr>
        <w:pStyle w:val="ListParagraph"/>
        <w:numPr>
          <w:ilvl w:val="1"/>
          <w:numId w:val="6"/>
        </w:numPr>
        <w:spacing w:after="0" w:line="360" w:lineRule="auto"/>
        <w:jc w:val="both"/>
        <w:rPr>
          <w:rFonts w:ascii="Times New Roman" w:hAnsi="Times New Roman" w:cs="Times New Roman"/>
          <w:color w:val="222222"/>
          <w:highlight w:val="yellow"/>
          <w:shd w:val="clear" w:color="auto" w:fill="FFFFFF"/>
        </w:rPr>
      </w:pPr>
      <w:r w:rsidRPr="00CD73F3">
        <w:rPr>
          <w:rFonts w:ascii="Times New Roman" w:hAnsi="Times New Roman" w:cs="Times New Roman"/>
          <w:highlight w:val="yellow"/>
          <w:shd w:val="clear" w:color="auto" w:fill="FFFFFF"/>
        </w:rPr>
        <w:t>Madhuri, I., Reddy, M.S. and Tiwari, S. (2021). Effect of different botanicals, Trichoderma viride and their combinations against1011- 1018. Maheshwari, S.K., Choudhary, B.R., Sharma, B.D. and Saroj, P.L. (2017). Management of Alternaria leaf blight of bottle gourd in Western Rajasthan, India. International Journal of Current Microbiology and Applied Sciences, 6 : 1272-1277.</w:t>
      </w:r>
    </w:p>
    <w:p w14:paraId="70424AAC" w14:textId="3ACB1F67" w:rsidR="004842FB" w:rsidRPr="00C6256E" w:rsidRDefault="004842FB" w:rsidP="007570F6">
      <w:pPr>
        <w:pStyle w:val="ListParagraph"/>
        <w:numPr>
          <w:ilvl w:val="1"/>
          <w:numId w:val="6"/>
        </w:numPr>
        <w:spacing w:after="0" w:line="360" w:lineRule="auto"/>
        <w:jc w:val="both"/>
        <w:rPr>
          <w:rFonts w:ascii="Times New Roman" w:hAnsi="Times New Roman" w:cs="Times New Roman"/>
          <w:color w:val="222222"/>
          <w:shd w:val="clear" w:color="auto" w:fill="FFFFFF"/>
        </w:rPr>
      </w:pPr>
      <w:r w:rsidRPr="00C6256E">
        <w:rPr>
          <w:rFonts w:ascii="Times New Roman" w:hAnsi="Times New Roman" w:cs="Times New Roman"/>
          <w:color w:val="222222"/>
          <w:shd w:val="clear" w:color="auto" w:fill="FFFFFF"/>
        </w:rPr>
        <w:t>Maheshwari, S. K., Choudhary, B. R., Sharma, B. D., &amp; Saroj, P. L. (2017). Management of Alternaria leaf blight of bottle gourd in Western Rajasthan, India. </w:t>
      </w:r>
      <w:r w:rsidRPr="00C6256E">
        <w:rPr>
          <w:rFonts w:ascii="Times New Roman" w:hAnsi="Times New Roman" w:cs="Times New Roman"/>
          <w:i/>
          <w:iCs/>
          <w:color w:val="222222"/>
          <w:shd w:val="clear" w:color="auto" w:fill="FFFFFF"/>
        </w:rPr>
        <w:t>International Journal of Current Microbiology and Applied Sciences</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6</w:t>
      </w:r>
      <w:r w:rsidRPr="00C6256E">
        <w:rPr>
          <w:rFonts w:ascii="Times New Roman" w:hAnsi="Times New Roman" w:cs="Times New Roman"/>
          <w:color w:val="222222"/>
          <w:shd w:val="clear" w:color="auto" w:fill="FFFFFF"/>
        </w:rPr>
        <w:t>(6), 1272-1277.</w:t>
      </w:r>
    </w:p>
    <w:p w14:paraId="3A37A2FE" w14:textId="77777777" w:rsidR="004842FB" w:rsidRPr="004842FB" w:rsidRDefault="004842FB" w:rsidP="004842FB">
      <w:pPr>
        <w:pStyle w:val="ListParagraph"/>
        <w:numPr>
          <w:ilvl w:val="1"/>
          <w:numId w:val="6"/>
        </w:numPr>
        <w:spacing w:after="0" w:line="360" w:lineRule="auto"/>
        <w:ind w:right="95"/>
        <w:jc w:val="both"/>
        <w:rPr>
          <w:rFonts w:ascii="Times New Roman" w:hAnsi="Times New Roman" w:cs="Times New Roman"/>
          <w:highlight w:val="yellow"/>
        </w:rPr>
      </w:pPr>
      <w:r w:rsidRPr="004842FB">
        <w:rPr>
          <w:rFonts w:ascii="Times New Roman" w:hAnsi="Times New Roman" w:cs="Times New Roman"/>
          <w:highlight w:val="yellow"/>
        </w:rPr>
        <w:lastRenderedPageBreak/>
        <w:t xml:space="preserve">Murmu, J. J., Tiwari, S., Jennifer, GMJ. and Singh, S. (2021). Eco-friendly Management of </w:t>
      </w:r>
      <w:r w:rsidRPr="004842FB">
        <w:rPr>
          <w:rFonts w:ascii="Times New Roman" w:hAnsi="Times New Roman" w:cs="Times New Roman"/>
          <w:i/>
          <w:iCs/>
          <w:highlight w:val="yellow"/>
        </w:rPr>
        <w:t>Sclerotium rolfsii</w:t>
      </w:r>
      <w:r w:rsidRPr="004842FB">
        <w:rPr>
          <w:rFonts w:ascii="Times New Roman" w:hAnsi="Times New Roman" w:cs="Times New Roman"/>
          <w:highlight w:val="yellow"/>
        </w:rPr>
        <w:t xml:space="preserve"> causing Collar Rot of Brinjal (</w:t>
      </w:r>
      <w:r w:rsidRPr="004842FB">
        <w:rPr>
          <w:rFonts w:ascii="Times New Roman" w:hAnsi="Times New Roman" w:cs="Times New Roman"/>
          <w:i/>
          <w:iCs/>
          <w:highlight w:val="yellow"/>
        </w:rPr>
        <w:t>Solanum melongena</w:t>
      </w:r>
      <w:r w:rsidRPr="004842FB">
        <w:rPr>
          <w:rFonts w:ascii="Times New Roman" w:hAnsi="Times New Roman" w:cs="Times New Roman"/>
          <w:highlight w:val="yellow"/>
        </w:rPr>
        <w:t xml:space="preserve"> L.). </w:t>
      </w:r>
      <w:r w:rsidRPr="004842FB">
        <w:rPr>
          <w:rFonts w:ascii="Times New Roman" w:hAnsi="Times New Roman" w:cs="Times New Roman"/>
          <w:i/>
          <w:iCs/>
          <w:highlight w:val="yellow"/>
        </w:rPr>
        <w:t xml:space="preserve">International Journal of Current Microbiology and Applied Sciences. </w:t>
      </w:r>
      <w:r w:rsidRPr="004842FB">
        <w:rPr>
          <w:rFonts w:ascii="Times New Roman" w:hAnsi="Times New Roman" w:cs="Times New Roman"/>
          <w:highlight w:val="yellow"/>
        </w:rPr>
        <w:t>10(03): 373-381.</w:t>
      </w:r>
    </w:p>
    <w:p w14:paraId="0374C384" w14:textId="3E845AB6"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 xml:space="preserve">Ohoh, I. O., &amp; Aluyor, E. O. (2009). Luffa cylindrica-an emerging </w:t>
      </w:r>
      <w:r w:rsidRPr="0002202C">
        <w:rPr>
          <w:rFonts w:ascii="Times New Roman" w:hAnsi="Times New Roman" w:cs="Times New Roman"/>
          <w:highlight w:val="yellow"/>
          <w:lang w:val="en-GB" w:eastAsia="en-IN"/>
        </w:rPr>
        <w:t>ca</w:t>
      </w:r>
      <w:r w:rsidR="0002202C" w:rsidRPr="0002202C">
        <w:rPr>
          <w:rFonts w:ascii="Times New Roman" w:hAnsi="Times New Roman" w:cs="Times New Roman"/>
          <w:highlight w:val="yellow"/>
          <w:lang w:val="en-GB" w:eastAsia="en-IN"/>
        </w:rPr>
        <w:t>s</w:t>
      </w:r>
      <w:r w:rsidRPr="0002202C">
        <w:rPr>
          <w:rFonts w:ascii="Times New Roman" w:hAnsi="Times New Roman" w:cs="Times New Roman"/>
          <w:highlight w:val="yellow"/>
          <w:lang w:val="en-GB" w:eastAsia="en-IN"/>
        </w:rPr>
        <w:t>h</w:t>
      </w:r>
      <w:r w:rsidRPr="00C6256E">
        <w:rPr>
          <w:rFonts w:ascii="Times New Roman" w:hAnsi="Times New Roman" w:cs="Times New Roman"/>
          <w:lang w:val="en-GB" w:eastAsia="en-IN"/>
        </w:rPr>
        <w:t xml:space="preserve"> coop. African Journal of Agricultural Research. 4(8), 684-688.</w:t>
      </w:r>
    </w:p>
    <w:p w14:paraId="317D5F3E"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US" w:eastAsia="en-IN"/>
        </w:rPr>
      </w:pPr>
      <w:r w:rsidRPr="00C6256E">
        <w:rPr>
          <w:rFonts w:ascii="Times New Roman" w:hAnsi="Times New Roman" w:cs="Times New Roman"/>
          <w:lang w:val="en-US" w:eastAsia="en-IN"/>
        </w:rPr>
        <w:t>Pandey, K.</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Pandey, P.</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 xml:space="preserve">K., Kallo, G. </w:t>
      </w:r>
      <w:r w:rsidRPr="00C6256E">
        <w:rPr>
          <w:rFonts w:ascii="Times New Roman" w:hAnsi="Times New Roman" w:cs="Times New Roman"/>
          <w:lang w:val="en-GB" w:eastAsia="en-IN"/>
        </w:rPr>
        <w:t xml:space="preserve">and </w:t>
      </w:r>
      <w:r w:rsidRPr="00C6256E">
        <w:rPr>
          <w:rFonts w:ascii="Times New Roman" w:hAnsi="Times New Roman" w:cs="Times New Roman"/>
          <w:lang w:val="en-US" w:eastAsia="en-IN"/>
        </w:rPr>
        <w:t>Banerjee, M.</w:t>
      </w:r>
      <w:r w:rsidRPr="00C6256E">
        <w:rPr>
          <w:rFonts w:ascii="Times New Roman" w:hAnsi="Times New Roman" w:cs="Times New Roman"/>
          <w:lang w:val="en-GB" w:eastAsia="en-IN"/>
        </w:rPr>
        <w:t xml:space="preserve"> </w:t>
      </w:r>
      <w:r w:rsidRPr="00C6256E">
        <w:rPr>
          <w:rFonts w:ascii="Times New Roman" w:hAnsi="Times New Roman" w:cs="Times New Roman"/>
          <w:lang w:val="en-US" w:eastAsia="en-IN"/>
        </w:rPr>
        <w:t>K, (2003). Resistance to early blight of tomato with respect to various parameters of disease epidemics.</w:t>
      </w:r>
      <w:r w:rsidRPr="00C6256E">
        <w:rPr>
          <w:rFonts w:ascii="Times New Roman" w:hAnsi="Times New Roman" w:cs="Times New Roman"/>
          <w:i/>
          <w:iCs/>
          <w:lang w:val="en-US" w:eastAsia="en-IN"/>
        </w:rPr>
        <w:t xml:space="preserve"> Journal of Genetics and Plant Pathology</w:t>
      </w:r>
      <w:r w:rsidRPr="00C6256E">
        <w:rPr>
          <w:rFonts w:ascii="Times New Roman" w:hAnsi="Times New Roman" w:cs="Times New Roman"/>
          <w:lang w:val="en-US" w:eastAsia="en-IN"/>
        </w:rPr>
        <w:t>. 69: 364-371.</w:t>
      </w:r>
    </w:p>
    <w:p w14:paraId="31BBA185" w14:textId="77777777" w:rsidR="004842FB" w:rsidRPr="00C6256E" w:rsidRDefault="004842FB" w:rsidP="007570F6">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rPr>
        <w:t xml:space="preserve">Reddy, T. Y. and Reddi, G. H. S. (2004). Principle of agronomy. </w:t>
      </w:r>
      <w:r w:rsidRPr="00C6256E">
        <w:rPr>
          <w:rFonts w:ascii="Times New Roman" w:hAnsi="Times New Roman" w:cs="Times New Roman"/>
          <w:i/>
          <w:iCs/>
        </w:rPr>
        <w:t xml:space="preserve">Kalyani Publishers, </w:t>
      </w:r>
      <w:r w:rsidRPr="00C6256E">
        <w:rPr>
          <w:rFonts w:ascii="Times New Roman" w:hAnsi="Times New Roman" w:cs="Times New Roman"/>
        </w:rPr>
        <w:t>Calcutta, India.</w:t>
      </w:r>
    </w:p>
    <w:p w14:paraId="0630368C"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Satyanarayana, K.G., Guilmaraes, J.L. and Wypych, F. 2007. Studies on lignocellulosicfibres of Brazil. Part I: Production, morphology, properties and applications, Composites, International Journal of Agriculture, Environment and Biotechnology 38(7):1694-1709.</w:t>
      </w:r>
    </w:p>
    <w:p w14:paraId="02A95A6D" w14:textId="77777777" w:rsidR="004842FB" w:rsidRPr="00C6256E" w:rsidRDefault="004842FB" w:rsidP="007570F6">
      <w:pPr>
        <w:pStyle w:val="ListParagraph"/>
        <w:numPr>
          <w:ilvl w:val="1"/>
          <w:numId w:val="6"/>
        </w:numPr>
        <w:spacing w:after="0" w:line="360" w:lineRule="auto"/>
        <w:jc w:val="both"/>
        <w:rPr>
          <w:rStyle w:val="Strong"/>
          <w:rFonts w:ascii="Times New Roman" w:eastAsia="SimSun" w:hAnsi="Times New Roman" w:cs="Times New Roman"/>
        </w:rPr>
      </w:pPr>
      <w:r w:rsidRPr="00C6256E">
        <w:rPr>
          <w:rFonts w:ascii="Times New Roman" w:eastAsia="SimSun" w:hAnsi="Times New Roman" w:cs="Times New Roman"/>
        </w:rPr>
        <w:t xml:space="preserve">Sharma, B. K., Saha, S., Singh, R. P., Rai, R. K. and Rai, A. B. (2012). Evaluation of different long-term preservation and storage methods of </w:t>
      </w:r>
      <w:r w:rsidRPr="00C6256E">
        <w:rPr>
          <w:rFonts w:ascii="Times New Roman" w:eastAsia="SimSun" w:hAnsi="Times New Roman" w:cs="Times New Roman"/>
          <w:i/>
          <w:iCs/>
        </w:rPr>
        <w:t>Fusarium oxysporum</w:t>
      </w:r>
      <w:r w:rsidRPr="00C6256E">
        <w:rPr>
          <w:rFonts w:ascii="Times New Roman" w:eastAsia="SimSun" w:hAnsi="Times New Roman" w:cs="Times New Roman"/>
        </w:rPr>
        <w:t xml:space="preserve"> f. sp. </w:t>
      </w:r>
      <w:r w:rsidRPr="00C6256E">
        <w:rPr>
          <w:rFonts w:ascii="Times New Roman" w:eastAsia="SimSun" w:hAnsi="Times New Roman" w:cs="Times New Roman"/>
          <w:i/>
          <w:iCs/>
        </w:rPr>
        <w:t>lycopersici</w:t>
      </w:r>
      <w:r w:rsidRPr="00C6256E">
        <w:rPr>
          <w:rFonts w:ascii="Times New Roman" w:eastAsia="SimSun" w:hAnsi="Times New Roman" w:cs="Times New Roman"/>
        </w:rPr>
        <w:t xml:space="preserve"> on the basis of survival, growth and pathogenicity. </w:t>
      </w:r>
      <w:r w:rsidRPr="00C6256E">
        <w:rPr>
          <w:rFonts w:ascii="Times New Roman" w:eastAsia="SimSun" w:hAnsi="Times New Roman" w:cs="Times New Roman"/>
          <w:i/>
          <w:iCs/>
        </w:rPr>
        <w:t>International Journal of Agriculture, Environment and Biotechnology</w:t>
      </w:r>
      <w:r w:rsidRPr="00C6256E">
        <w:rPr>
          <w:rFonts w:ascii="Times New Roman" w:eastAsia="SimSun" w:hAnsi="Times New Roman" w:cs="Times New Roman"/>
        </w:rPr>
        <w:t>. 5(3): 293-295.</w:t>
      </w:r>
    </w:p>
    <w:p w14:paraId="35FEB89A"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Tanobe, V.O.A., Sydenstricker, T.H.D., Munaro, M. and Amico, S.C. (2005). A comprehensive characterization of chemically treated Brazilian sponge guards (Luffacylindrica). Polymer Test, 24(4): 474-482.</w:t>
      </w:r>
    </w:p>
    <w:p w14:paraId="07FCBDD9"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GB" w:eastAsia="en-IN"/>
        </w:rPr>
        <w:t>Wagh, P., S. Sinha, H.K. Singh and U.K. Khar. 2013. Pathogenic behaviour of Alternaria alternata and phyto-toxicity of its culture filtrates on Lepidium sativum: a medicinal herb of immense pharmacological potential. The Bioscan. 8: 643-647.</w:t>
      </w:r>
    </w:p>
    <w:p w14:paraId="060BE668" w14:textId="77777777" w:rsidR="004842FB" w:rsidRPr="00C6256E" w:rsidRDefault="004842FB" w:rsidP="007570F6">
      <w:pPr>
        <w:pStyle w:val="ListParagraph"/>
        <w:numPr>
          <w:ilvl w:val="1"/>
          <w:numId w:val="6"/>
        </w:numPr>
        <w:spacing w:after="0" w:line="360" w:lineRule="auto"/>
        <w:jc w:val="both"/>
        <w:rPr>
          <w:rFonts w:ascii="Times New Roman" w:hAnsi="Times New Roman" w:cs="Times New Roman"/>
          <w:lang w:val="en-GB" w:eastAsia="en-IN"/>
        </w:rPr>
      </w:pPr>
      <w:r w:rsidRPr="00C6256E">
        <w:rPr>
          <w:rFonts w:ascii="Times New Roman" w:hAnsi="Times New Roman" w:cs="Times New Roman"/>
          <w:lang w:val="en-US" w:eastAsia="en-IN"/>
        </w:rPr>
        <w:t xml:space="preserve">Wheeler, B. E. J. (1969). An introduction to plant diseases. </w:t>
      </w:r>
      <w:r w:rsidRPr="00C6256E">
        <w:rPr>
          <w:rFonts w:ascii="Times New Roman" w:hAnsi="Times New Roman" w:cs="Times New Roman"/>
          <w:i/>
          <w:iCs/>
          <w:lang w:val="en-US" w:eastAsia="en-IN"/>
        </w:rPr>
        <w:t>John Wiley and Sons Limited</w:t>
      </w:r>
      <w:r w:rsidRPr="00C6256E">
        <w:rPr>
          <w:rFonts w:ascii="Times New Roman" w:hAnsi="Times New Roman" w:cs="Times New Roman"/>
          <w:i/>
          <w:iCs/>
          <w:lang w:val="en-GB" w:eastAsia="en-IN"/>
        </w:rPr>
        <w:t>.</w:t>
      </w:r>
      <w:r w:rsidRPr="00C6256E">
        <w:rPr>
          <w:rFonts w:ascii="Times New Roman" w:hAnsi="Times New Roman" w:cs="Times New Roman"/>
          <w:lang w:val="en-GB" w:eastAsia="en-IN"/>
        </w:rPr>
        <w:t xml:space="preserve"> pp-301.</w:t>
      </w:r>
    </w:p>
    <w:p w14:paraId="20FEA230" w14:textId="77777777" w:rsidR="00823AEE" w:rsidRPr="00823AEE" w:rsidRDefault="00823AEE" w:rsidP="004842FB">
      <w:pPr>
        <w:pStyle w:val="ListParagraph"/>
        <w:numPr>
          <w:ilvl w:val="1"/>
          <w:numId w:val="6"/>
        </w:numPr>
        <w:spacing w:after="0" w:line="360" w:lineRule="auto"/>
        <w:ind w:right="95"/>
        <w:jc w:val="both"/>
        <w:rPr>
          <w:rFonts w:ascii="Times New Roman" w:hAnsi="Times New Roman" w:cs="Times New Roman"/>
          <w:highlight w:val="yellow"/>
        </w:rPr>
      </w:pPr>
      <w:r w:rsidRPr="00823AEE">
        <w:rPr>
          <w:rFonts w:ascii="Times New Roman" w:hAnsi="Times New Roman" w:cs="Times New Roman"/>
          <w:color w:val="222222"/>
          <w:highlight w:val="yellow"/>
          <w:shd w:val="clear" w:color="auto" w:fill="FFFFFF"/>
        </w:rPr>
        <w:t>Yadav, S. K., Kumari, R., &amp; Tiwari, S. (2023). Effect of botanicals and bioagents on disease intensity and cost-benefit ratio of Sponge Gourd.</w:t>
      </w:r>
    </w:p>
    <w:p w14:paraId="1192DC94" w14:textId="04CBFEE7" w:rsidR="004842FB" w:rsidRPr="004842FB" w:rsidRDefault="004842FB" w:rsidP="004842FB">
      <w:pPr>
        <w:pStyle w:val="ListParagraph"/>
        <w:numPr>
          <w:ilvl w:val="1"/>
          <w:numId w:val="6"/>
        </w:numPr>
        <w:spacing w:after="0" w:line="360" w:lineRule="auto"/>
        <w:ind w:right="95"/>
        <w:jc w:val="both"/>
        <w:rPr>
          <w:rFonts w:ascii="Times New Roman" w:hAnsi="Times New Roman" w:cs="Times New Roman"/>
        </w:rPr>
      </w:pPr>
      <w:r w:rsidRPr="00C6256E">
        <w:rPr>
          <w:rFonts w:ascii="Times New Roman" w:hAnsi="Times New Roman" w:cs="Times New Roman"/>
          <w:color w:val="222222"/>
          <w:shd w:val="clear" w:color="auto" w:fill="FFFFFF"/>
        </w:rPr>
        <w:t>Yates, F. (1984). Tests of significance for 2× 2 contingency tables. </w:t>
      </w:r>
      <w:r w:rsidRPr="00C6256E">
        <w:rPr>
          <w:rFonts w:ascii="Times New Roman" w:hAnsi="Times New Roman" w:cs="Times New Roman"/>
          <w:i/>
          <w:iCs/>
          <w:color w:val="222222"/>
          <w:shd w:val="clear" w:color="auto" w:fill="FFFFFF"/>
        </w:rPr>
        <w:t>Journal of the Royal Statistical Society Series A: Statistics in Society</w:t>
      </w:r>
      <w:r w:rsidRPr="00C6256E">
        <w:rPr>
          <w:rFonts w:ascii="Times New Roman" w:hAnsi="Times New Roman" w:cs="Times New Roman"/>
          <w:color w:val="222222"/>
          <w:shd w:val="clear" w:color="auto" w:fill="FFFFFF"/>
        </w:rPr>
        <w:t>, </w:t>
      </w:r>
      <w:r w:rsidRPr="00C6256E">
        <w:rPr>
          <w:rFonts w:ascii="Times New Roman" w:hAnsi="Times New Roman" w:cs="Times New Roman"/>
          <w:i/>
          <w:iCs/>
          <w:color w:val="222222"/>
          <w:shd w:val="clear" w:color="auto" w:fill="FFFFFF"/>
        </w:rPr>
        <w:t>147</w:t>
      </w:r>
      <w:r w:rsidRPr="00C6256E">
        <w:rPr>
          <w:rFonts w:ascii="Times New Roman" w:hAnsi="Times New Roman" w:cs="Times New Roman"/>
          <w:color w:val="222222"/>
          <w:shd w:val="clear" w:color="auto" w:fill="FFFFFF"/>
        </w:rPr>
        <w:t>(3), 426-449.</w:t>
      </w:r>
    </w:p>
    <w:p w14:paraId="07799CC5" w14:textId="77777777" w:rsidR="004842FB" w:rsidRPr="00C6256E" w:rsidRDefault="004842FB" w:rsidP="006504F7">
      <w:pPr>
        <w:pStyle w:val="ListParagraph"/>
        <w:spacing w:after="0" w:line="360" w:lineRule="auto"/>
        <w:ind w:left="360" w:right="95"/>
        <w:jc w:val="both"/>
        <w:rPr>
          <w:rFonts w:ascii="Times New Roman" w:hAnsi="Times New Roman" w:cs="Times New Roman"/>
        </w:rPr>
      </w:pPr>
    </w:p>
    <w:p w14:paraId="7927C259" w14:textId="77777777" w:rsidR="00A618CE" w:rsidRPr="00597CC1" w:rsidRDefault="00A618CE" w:rsidP="007A149C">
      <w:pPr>
        <w:spacing w:after="0" w:line="360" w:lineRule="auto"/>
        <w:jc w:val="both"/>
        <w:rPr>
          <w:rFonts w:ascii="Times New Roman" w:hAnsi="Times New Roman" w:cs="Times New Roman"/>
          <w:lang w:val="en-US"/>
        </w:rPr>
      </w:pPr>
    </w:p>
    <w:p w14:paraId="0557D363" w14:textId="77777777" w:rsidR="007A149C" w:rsidRPr="00BB4B6E" w:rsidRDefault="007A149C">
      <w:pPr>
        <w:rPr>
          <w:rFonts w:ascii="Times New Roman" w:hAnsi="Times New Roman" w:cs="Times New Roman"/>
        </w:rPr>
      </w:pPr>
    </w:p>
    <w:sectPr w:rsidR="007A149C" w:rsidRPr="00BB4B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03FA" w14:textId="77777777" w:rsidR="0057436D" w:rsidRDefault="0057436D" w:rsidP="00273C27">
      <w:pPr>
        <w:spacing w:after="0" w:line="240" w:lineRule="auto"/>
      </w:pPr>
      <w:r>
        <w:separator/>
      </w:r>
    </w:p>
  </w:endnote>
  <w:endnote w:type="continuationSeparator" w:id="0">
    <w:p w14:paraId="5D17EB2B" w14:textId="77777777" w:rsidR="0057436D" w:rsidRDefault="0057436D" w:rsidP="0027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1E05" w14:textId="77777777" w:rsidR="00273C27" w:rsidRDefault="0027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1BAF" w14:textId="77777777" w:rsidR="00273C27" w:rsidRDefault="0027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0232" w14:textId="77777777" w:rsidR="00273C27" w:rsidRDefault="0027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5F4B" w14:textId="77777777" w:rsidR="0057436D" w:rsidRDefault="0057436D" w:rsidP="00273C27">
      <w:pPr>
        <w:spacing w:after="0" w:line="240" w:lineRule="auto"/>
      </w:pPr>
      <w:r>
        <w:separator/>
      </w:r>
    </w:p>
  </w:footnote>
  <w:footnote w:type="continuationSeparator" w:id="0">
    <w:p w14:paraId="1CCD61CF" w14:textId="77777777" w:rsidR="0057436D" w:rsidRDefault="0057436D" w:rsidP="0027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D67B" w14:textId="6DCDFE31" w:rsidR="00273C27" w:rsidRDefault="0057436D">
    <w:pPr>
      <w:pStyle w:val="Header"/>
    </w:pPr>
    <w:r>
      <w:rPr>
        <w:noProof/>
      </w:rPr>
      <w:pict w14:anchorId="2E8B9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1"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DD68" w14:textId="293532A5" w:rsidR="00273C27" w:rsidRDefault="0057436D">
    <w:pPr>
      <w:pStyle w:val="Header"/>
    </w:pPr>
    <w:r>
      <w:rPr>
        <w:noProof/>
      </w:rPr>
      <w:pict w14:anchorId="0D1EF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2"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31AC" w14:textId="166C7742" w:rsidR="00273C27" w:rsidRDefault="0057436D">
    <w:pPr>
      <w:pStyle w:val="Header"/>
    </w:pPr>
    <w:r>
      <w:rPr>
        <w:noProof/>
      </w:rPr>
      <w:pict w14:anchorId="14A8A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86640"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63E"/>
    <w:multiLevelType w:val="multilevel"/>
    <w:tmpl w:val="B890F7E0"/>
    <w:lvl w:ilvl="0">
      <w:start w:val="2"/>
      <w:numFmt w:val="decimal"/>
      <w:lvlText w:val="%1"/>
      <w:lvlJc w:val="left"/>
      <w:pPr>
        <w:ind w:left="360" w:hanging="36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393727"/>
    <w:multiLevelType w:val="multilevel"/>
    <w:tmpl w:val="0BFADE4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2763186"/>
    <w:multiLevelType w:val="hybridMultilevel"/>
    <w:tmpl w:val="D7183D0A"/>
    <w:lvl w:ilvl="0" w:tplc="212636C2">
      <w:start w:val="1"/>
      <w:numFmt w:val="decimal"/>
      <w:lvlText w:val="%1."/>
      <w:lvlJc w:val="left"/>
      <w:pPr>
        <w:ind w:left="720" w:hanging="360"/>
      </w:pPr>
      <w:rPr>
        <w:b/>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8903E1"/>
    <w:multiLevelType w:val="multilevel"/>
    <w:tmpl w:val="1588681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7BA6D51"/>
    <w:multiLevelType w:val="hybridMultilevel"/>
    <w:tmpl w:val="C5C0EA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54DC3"/>
    <w:multiLevelType w:val="multilevel"/>
    <w:tmpl w:val="0D42F65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BD46A0C"/>
    <w:multiLevelType w:val="hybridMultilevel"/>
    <w:tmpl w:val="175A5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D8089D"/>
    <w:multiLevelType w:val="multilevel"/>
    <w:tmpl w:val="50842F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2593019">
    <w:abstractNumId w:val="6"/>
  </w:num>
  <w:num w:numId="2" w16cid:durableId="737939718">
    <w:abstractNumId w:val="4"/>
  </w:num>
  <w:num w:numId="3" w16cid:durableId="506016402">
    <w:abstractNumId w:val="3"/>
  </w:num>
  <w:num w:numId="4" w16cid:durableId="1713728957">
    <w:abstractNumId w:val="5"/>
  </w:num>
  <w:num w:numId="5" w16cid:durableId="407002284">
    <w:abstractNumId w:val="7"/>
  </w:num>
  <w:num w:numId="6" w16cid:durableId="480737202">
    <w:abstractNumId w:val="0"/>
  </w:num>
  <w:num w:numId="7" w16cid:durableId="1965426298">
    <w:abstractNumId w:val="2"/>
  </w:num>
  <w:num w:numId="8" w16cid:durableId="180361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MDM3MjQ0NzMwszRX0lEKTi0uzszPAykwrAUACMkqTiwAAAA="/>
  </w:docVars>
  <w:rsids>
    <w:rsidRoot w:val="0096735A"/>
    <w:rsid w:val="0002202C"/>
    <w:rsid w:val="000327FA"/>
    <w:rsid w:val="0003663F"/>
    <w:rsid w:val="00073130"/>
    <w:rsid w:val="00077CE4"/>
    <w:rsid w:val="00163E3A"/>
    <w:rsid w:val="002115AF"/>
    <w:rsid w:val="00214A83"/>
    <w:rsid w:val="00273C27"/>
    <w:rsid w:val="002856D6"/>
    <w:rsid w:val="002A2C40"/>
    <w:rsid w:val="002C536D"/>
    <w:rsid w:val="002E569F"/>
    <w:rsid w:val="002F2720"/>
    <w:rsid w:val="00307DDA"/>
    <w:rsid w:val="0031172A"/>
    <w:rsid w:val="00340FAD"/>
    <w:rsid w:val="003F167B"/>
    <w:rsid w:val="004037D6"/>
    <w:rsid w:val="00456F11"/>
    <w:rsid w:val="00457894"/>
    <w:rsid w:val="00460233"/>
    <w:rsid w:val="004842FB"/>
    <w:rsid w:val="004C1420"/>
    <w:rsid w:val="004E19CC"/>
    <w:rsid w:val="00532D21"/>
    <w:rsid w:val="0057436D"/>
    <w:rsid w:val="005862D3"/>
    <w:rsid w:val="005D5722"/>
    <w:rsid w:val="006504F7"/>
    <w:rsid w:val="00673849"/>
    <w:rsid w:val="00685150"/>
    <w:rsid w:val="006D474B"/>
    <w:rsid w:val="0070148F"/>
    <w:rsid w:val="00704055"/>
    <w:rsid w:val="00744346"/>
    <w:rsid w:val="007570F6"/>
    <w:rsid w:val="00770056"/>
    <w:rsid w:val="007A149C"/>
    <w:rsid w:val="00823AEE"/>
    <w:rsid w:val="009265B6"/>
    <w:rsid w:val="0093476F"/>
    <w:rsid w:val="0096735A"/>
    <w:rsid w:val="009D5AF9"/>
    <w:rsid w:val="00A618CE"/>
    <w:rsid w:val="00A758C1"/>
    <w:rsid w:val="00B628DD"/>
    <w:rsid w:val="00B75BBB"/>
    <w:rsid w:val="00BB4B6E"/>
    <w:rsid w:val="00BC1537"/>
    <w:rsid w:val="00C03535"/>
    <w:rsid w:val="00C84846"/>
    <w:rsid w:val="00C942BA"/>
    <w:rsid w:val="00CB1C92"/>
    <w:rsid w:val="00CD73F3"/>
    <w:rsid w:val="00D133E1"/>
    <w:rsid w:val="00D24CB0"/>
    <w:rsid w:val="00D450DB"/>
    <w:rsid w:val="00D975EA"/>
    <w:rsid w:val="00DD5E26"/>
    <w:rsid w:val="00DF781D"/>
    <w:rsid w:val="00E05A07"/>
    <w:rsid w:val="00E201A0"/>
    <w:rsid w:val="00E22FC2"/>
    <w:rsid w:val="00E37D6E"/>
    <w:rsid w:val="00E76F58"/>
    <w:rsid w:val="00E90FBE"/>
    <w:rsid w:val="00F009B0"/>
    <w:rsid w:val="00F805FD"/>
    <w:rsid w:val="00F833AB"/>
    <w:rsid w:val="00FA13DB"/>
    <w:rsid w:val="00FE3AC3"/>
    <w:rsid w:val="00FF11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F5D7"/>
  <w15:chartTrackingRefBased/>
  <w15:docId w15:val="{70F56399-86AE-3A4D-B7FD-961A7E3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7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7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35A"/>
    <w:rPr>
      <w:rFonts w:eastAsiaTheme="majorEastAsia" w:cstheme="majorBidi"/>
      <w:color w:val="272727" w:themeColor="text1" w:themeTint="D8"/>
    </w:rPr>
  </w:style>
  <w:style w:type="paragraph" w:styleId="Title">
    <w:name w:val="Title"/>
    <w:basedOn w:val="Normal"/>
    <w:next w:val="Normal"/>
    <w:link w:val="TitleChar"/>
    <w:uiPriority w:val="10"/>
    <w:qFormat/>
    <w:rsid w:val="00967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35A"/>
    <w:pPr>
      <w:spacing w:before="160"/>
      <w:jc w:val="center"/>
    </w:pPr>
    <w:rPr>
      <w:i/>
      <w:iCs/>
      <w:color w:val="404040" w:themeColor="text1" w:themeTint="BF"/>
    </w:rPr>
  </w:style>
  <w:style w:type="character" w:customStyle="1" w:styleId="QuoteChar">
    <w:name w:val="Quote Char"/>
    <w:basedOn w:val="DefaultParagraphFont"/>
    <w:link w:val="Quote"/>
    <w:uiPriority w:val="29"/>
    <w:rsid w:val="0096735A"/>
    <w:rPr>
      <w:i/>
      <w:iCs/>
      <w:color w:val="404040" w:themeColor="text1" w:themeTint="BF"/>
    </w:rPr>
  </w:style>
  <w:style w:type="paragraph" w:styleId="ListParagraph">
    <w:name w:val="List Paragraph"/>
    <w:basedOn w:val="Normal"/>
    <w:uiPriority w:val="34"/>
    <w:qFormat/>
    <w:rsid w:val="0096735A"/>
    <w:pPr>
      <w:ind w:left="720"/>
      <w:contextualSpacing/>
    </w:pPr>
  </w:style>
  <w:style w:type="character" w:styleId="IntenseEmphasis">
    <w:name w:val="Intense Emphasis"/>
    <w:basedOn w:val="DefaultParagraphFont"/>
    <w:uiPriority w:val="21"/>
    <w:qFormat/>
    <w:rsid w:val="0096735A"/>
    <w:rPr>
      <w:i/>
      <w:iCs/>
      <w:color w:val="0F4761" w:themeColor="accent1" w:themeShade="BF"/>
    </w:rPr>
  </w:style>
  <w:style w:type="paragraph" w:styleId="IntenseQuote">
    <w:name w:val="Intense Quote"/>
    <w:basedOn w:val="Normal"/>
    <w:next w:val="Normal"/>
    <w:link w:val="IntenseQuoteChar"/>
    <w:uiPriority w:val="30"/>
    <w:qFormat/>
    <w:rsid w:val="00967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35A"/>
    <w:rPr>
      <w:i/>
      <w:iCs/>
      <w:color w:val="0F4761" w:themeColor="accent1" w:themeShade="BF"/>
    </w:rPr>
  </w:style>
  <w:style w:type="character" w:styleId="IntenseReference">
    <w:name w:val="Intense Reference"/>
    <w:basedOn w:val="DefaultParagraphFont"/>
    <w:uiPriority w:val="32"/>
    <w:qFormat/>
    <w:rsid w:val="0096735A"/>
    <w:rPr>
      <w:b/>
      <w:bCs/>
      <w:smallCaps/>
      <w:color w:val="0F4761" w:themeColor="accent1" w:themeShade="BF"/>
      <w:spacing w:val="5"/>
    </w:rPr>
  </w:style>
  <w:style w:type="paragraph" w:styleId="NormalWeb">
    <w:name w:val="Normal (Web)"/>
    <w:basedOn w:val="Normal"/>
    <w:uiPriority w:val="99"/>
    <w:unhideWhenUsed/>
    <w:qFormat/>
    <w:rsid w:val="009673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6735A"/>
    <w:rPr>
      <w:i/>
      <w:iCs/>
    </w:rPr>
  </w:style>
  <w:style w:type="character" w:styleId="Strong">
    <w:name w:val="Strong"/>
    <w:basedOn w:val="DefaultParagraphFont"/>
    <w:uiPriority w:val="22"/>
    <w:qFormat/>
    <w:rsid w:val="0096735A"/>
    <w:rPr>
      <w:b/>
      <w:bCs/>
    </w:rPr>
  </w:style>
  <w:style w:type="table" w:styleId="TableGrid">
    <w:name w:val="Table Grid"/>
    <w:basedOn w:val="TableNormal"/>
    <w:uiPriority w:val="59"/>
    <w:qFormat/>
    <w:rsid w:val="00C03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37D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qFormat/>
    <w:rsid w:val="004037D6"/>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3E3A"/>
    <w:rPr>
      <w:color w:val="467886" w:themeColor="hyperlink"/>
      <w:u w:val="single"/>
    </w:rPr>
  </w:style>
  <w:style w:type="character" w:styleId="UnresolvedMention">
    <w:name w:val="Unresolved Mention"/>
    <w:basedOn w:val="DefaultParagraphFont"/>
    <w:uiPriority w:val="99"/>
    <w:semiHidden/>
    <w:unhideWhenUsed/>
    <w:rsid w:val="00163E3A"/>
    <w:rPr>
      <w:color w:val="605E5C"/>
      <w:shd w:val="clear" w:color="auto" w:fill="E1DFDD"/>
    </w:rPr>
  </w:style>
  <w:style w:type="paragraph" w:styleId="Header">
    <w:name w:val="header"/>
    <w:basedOn w:val="Normal"/>
    <w:link w:val="HeaderChar"/>
    <w:uiPriority w:val="99"/>
    <w:unhideWhenUsed/>
    <w:rsid w:val="0027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27"/>
  </w:style>
  <w:style w:type="paragraph" w:styleId="Footer">
    <w:name w:val="footer"/>
    <w:basedOn w:val="Normal"/>
    <w:link w:val="FooterChar"/>
    <w:uiPriority w:val="99"/>
    <w:unhideWhenUsed/>
    <w:rsid w:val="0027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13</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atulbawane1995@gmail.com</dc:creator>
  <cp:keywords/>
  <dc:description/>
  <cp:lastModifiedBy>atulbawane1995@gmail.com</cp:lastModifiedBy>
  <cp:revision>68</cp:revision>
  <dcterms:created xsi:type="dcterms:W3CDTF">2025-10-21T10:56:00Z</dcterms:created>
  <dcterms:modified xsi:type="dcterms:W3CDTF">2025-10-26T05:12:00Z</dcterms:modified>
</cp:coreProperties>
</file>