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12F0E" w14:textId="77777777" w:rsidR="0066500E" w:rsidRDefault="0066500E" w:rsidP="0066500E">
      <w:pPr>
        <w:spacing w:line="240" w:lineRule="auto"/>
        <w:jc w:val="right"/>
        <w:rPr>
          <w:rFonts w:ascii="Arial" w:hAnsi="Arial" w:cs="Arial"/>
          <w:b/>
          <w:bCs/>
          <w:i/>
          <w:sz w:val="32"/>
          <w:szCs w:val="24"/>
          <w:u w:val="single"/>
          <w:lang w:val="en-US"/>
        </w:rPr>
      </w:pPr>
      <w:bookmarkStart w:id="0" w:name="_GoBack"/>
      <w:bookmarkEnd w:id="0"/>
      <w:r w:rsidRPr="00652082">
        <w:rPr>
          <w:rFonts w:ascii="Arial" w:hAnsi="Arial" w:cs="Arial"/>
          <w:b/>
          <w:bCs/>
          <w:i/>
          <w:sz w:val="32"/>
          <w:szCs w:val="24"/>
          <w:u w:val="single"/>
          <w:lang w:val="en-US"/>
        </w:rPr>
        <w:t>Review Article</w:t>
      </w:r>
    </w:p>
    <w:p w14:paraId="0A52BB54" w14:textId="77777777" w:rsidR="00443B19" w:rsidRPr="00652082" w:rsidRDefault="00443B19" w:rsidP="00FB3278">
      <w:pPr>
        <w:pStyle w:val="NoSpacing"/>
        <w:rPr>
          <w:lang w:val="en-US"/>
        </w:rPr>
      </w:pPr>
    </w:p>
    <w:p w14:paraId="4B771BBB" w14:textId="13ECCC4A" w:rsidR="0066500E" w:rsidRDefault="00FB3278" w:rsidP="00FB3278">
      <w:pPr>
        <w:spacing w:line="240" w:lineRule="auto"/>
        <w:jc w:val="right"/>
        <w:rPr>
          <w:rFonts w:ascii="Arial" w:hAnsi="Arial" w:cs="Arial"/>
          <w:b/>
          <w:bCs/>
          <w:sz w:val="32"/>
          <w:szCs w:val="24"/>
          <w:lang w:val="en-US"/>
        </w:rPr>
      </w:pPr>
      <w:r w:rsidRPr="00FB3278">
        <w:rPr>
          <w:rFonts w:ascii="Arial" w:hAnsi="Arial" w:cs="Arial"/>
          <w:b/>
          <w:bCs/>
          <w:sz w:val="32"/>
          <w:szCs w:val="24"/>
          <w:highlight w:val="yellow"/>
          <w:lang w:val="en-US"/>
        </w:rPr>
        <w:t xml:space="preserve">Advances in Chemical Protection for Plant Disease </w:t>
      </w:r>
      <w:proofErr w:type="gramStart"/>
      <w:r w:rsidRPr="00FB3278">
        <w:rPr>
          <w:rFonts w:ascii="Arial" w:hAnsi="Arial" w:cs="Arial"/>
          <w:b/>
          <w:bCs/>
          <w:sz w:val="32"/>
          <w:szCs w:val="24"/>
          <w:highlight w:val="yellow"/>
          <w:lang w:val="en-US"/>
        </w:rPr>
        <w:t>Management  in</w:t>
      </w:r>
      <w:proofErr w:type="gramEnd"/>
      <w:r w:rsidRPr="00FB3278">
        <w:rPr>
          <w:rFonts w:ascii="Arial" w:hAnsi="Arial" w:cs="Arial"/>
          <w:b/>
          <w:bCs/>
          <w:sz w:val="32"/>
          <w:szCs w:val="24"/>
          <w:highlight w:val="yellow"/>
          <w:lang w:val="en-US"/>
        </w:rPr>
        <w:t xml:space="preserve"> </w:t>
      </w:r>
      <w:r w:rsidR="0066500E" w:rsidRPr="00FB3278">
        <w:rPr>
          <w:rFonts w:ascii="Arial" w:hAnsi="Arial" w:cs="Arial"/>
          <w:b/>
          <w:bCs/>
          <w:sz w:val="32"/>
          <w:szCs w:val="24"/>
          <w:highlight w:val="yellow"/>
          <w:lang w:val="en-US"/>
        </w:rPr>
        <w:t>Agriculture: From Traditional Practices to Modern Innovations</w:t>
      </w:r>
    </w:p>
    <w:p w14:paraId="44E3ADA5" w14:textId="77777777" w:rsidR="0066500E" w:rsidRDefault="0066500E" w:rsidP="0066500E">
      <w:pPr>
        <w:pStyle w:val="NoSpacing"/>
        <w:rPr>
          <w:lang w:val="en-US"/>
        </w:rPr>
      </w:pPr>
    </w:p>
    <w:p w14:paraId="2A5C16E6" w14:textId="6139325D" w:rsidR="009015A2" w:rsidRDefault="009015A2" w:rsidP="009015A2">
      <w:pPr>
        <w:pStyle w:val="NoSpacing"/>
        <w:jc w:val="center"/>
        <w:rPr>
          <w:rStyle w:val="Strong"/>
          <w:rFonts w:ascii="Arial" w:eastAsia="Times New Roman" w:hAnsi="Arial" w:cs="Arial"/>
          <w:sz w:val="24"/>
          <w:szCs w:val="20"/>
        </w:rPr>
      </w:pPr>
      <w:r w:rsidRPr="009015A2">
        <w:rPr>
          <w:rStyle w:val="Strong"/>
          <w:rFonts w:ascii="Arial" w:eastAsia="Times New Roman" w:hAnsi="Arial" w:cs="Arial"/>
          <w:sz w:val="24"/>
          <w:szCs w:val="20"/>
        </w:rPr>
        <w:t>ABSTRACT</w:t>
      </w:r>
    </w:p>
    <w:p w14:paraId="4F0D55E6" w14:textId="77777777" w:rsidR="00D15EF0" w:rsidRPr="00BF0B51" w:rsidRDefault="00D15EF0" w:rsidP="00D15EF0">
      <w:pPr>
        <w:pStyle w:val="NoSpacing"/>
        <w:ind w:left="0"/>
        <w:rPr>
          <w:rFonts w:ascii="Arial" w:hAnsi="Arial" w:cs="Arial"/>
          <w:sz w:val="20"/>
          <w:highlight w:val="yellow"/>
          <w:lang w:eastAsia="en-IN"/>
        </w:rPr>
      </w:pPr>
      <w:r w:rsidRPr="000C24BC">
        <w:rPr>
          <w:rFonts w:ascii="Arial" w:hAnsi="Arial" w:cs="Arial"/>
          <w:sz w:val="20"/>
          <w:lang w:eastAsia="en-IN"/>
        </w:rPr>
        <w:t xml:space="preserve">Chemical protection in agriculture has played a pivotal role in safeguarding crops from pests, pathogens, and weeds, thereby sustaining global food production and ensuring food security. This </w:t>
      </w:r>
      <w:r w:rsidRPr="00BF0B51">
        <w:rPr>
          <w:rFonts w:ascii="Arial" w:hAnsi="Arial" w:cs="Arial"/>
          <w:sz w:val="20"/>
          <w:highlight w:val="yellow"/>
          <w:lang w:eastAsia="en-IN"/>
        </w:rPr>
        <w:t xml:space="preserve">review aims to provide a comprehensive understanding of the evolution, advancements, and future perspectives of chemical crop protection strategies. It traces the progression from traditional practices such as the use of botanical extracts, </w:t>
      </w:r>
      <w:proofErr w:type="spellStart"/>
      <w:r w:rsidRPr="00BF0B51">
        <w:rPr>
          <w:rFonts w:ascii="Arial" w:hAnsi="Arial" w:cs="Arial"/>
          <w:sz w:val="20"/>
          <w:highlight w:val="yellow"/>
          <w:lang w:eastAsia="en-IN"/>
        </w:rPr>
        <w:t>sulfur</w:t>
      </w:r>
      <w:proofErr w:type="spellEnd"/>
      <w:r w:rsidRPr="00BF0B51">
        <w:rPr>
          <w:rFonts w:ascii="Arial" w:hAnsi="Arial" w:cs="Arial"/>
          <w:sz w:val="20"/>
          <w:highlight w:val="yellow"/>
          <w:lang w:eastAsia="en-IN"/>
        </w:rPr>
        <w:t>, and copper compounds to the modern era of synthetic pesticides, systemic fungicides, and targeted molecular formulations</w:t>
      </w:r>
      <w:r w:rsidRPr="000C24BC">
        <w:rPr>
          <w:rFonts w:ascii="Arial" w:hAnsi="Arial" w:cs="Arial"/>
          <w:sz w:val="20"/>
          <w:lang w:eastAsia="en-IN"/>
        </w:rPr>
        <w:t xml:space="preserve">. Advances in agrochemical chemistry and formulation technology have significantly enhanced efficacy, persistence, and selectivity while minimizing phytotoxicity and non-target effects. The review emphasizes the increasing integration of chemical protection within the framework of integrated pest management (IPM), precision agriculture, and sustainable production systems. Furthermore, emerging innovations such as nanotechnology-based delivery systems, RNA interference (RNAi) technology, CRISPR-mediated resistance, and pheromone-based pest control represent a paradigm shift from curative to preventive crop protection. Despite these advances, challenges persist regarding pesticide resistance, environmental contamination, and evolving regulatory frameworks. </w:t>
      </w:r>
      <w:r w:rsidRPr="00BF0B51">
        <w:rPr>
          <w:rFonts w:ascii="Arial" w:hAnsi="Arial" w:cs="Arial"/>
          <w:sz w:val="20"/>
          <w:highlight w:val="yellow"/>
          <w:lang w:eastAsia="en-IN"/>
        </w:rPr>
        <w:t>Therefore, future strategies should focus on developing eco-compatible molecules, optimizing dose dynamics, and integrating chemical and biological approaches to achieve resilient and sustainable agroecosystems.</w:t>
      </w:r>
    </w:p>
    <w:p w14:paraId="329B1440" w14:textId="31149573" w:rsidR="009015A2" w:rsidRPr="00522BB8" w:rsidRDefault="00522BB8" w:rsidP="00522BB8">
      <w:pPr>
        <w:spacing w:before="100" w:beforeAutospacing="1" w:after="100" w:afterAutospacing="1" w:line="240" w:lineRule="auto"/>
        <w:ind w:left="0"/>
        <w:rPr>
          <w:rStyle w:val="Strong"/>
          <w:rFonts w:ascii="Arial" w:eastAsia="Times New Roman" w:hAnsi="Arial" w:cs="Arial"/>
          <w:b w:val="0"/>
          <w:bCs w:val="0"/>
          <w:i/>
          <w:sz w:val="20"/>
          <w:szCs w:val="24"/>
          <w:lang w:eastAsia="en-IN"/>
        </w:rPr>
      </w:pPr>
      <w:r w:rsidRPr="00522BB8">
        <w:rPr>
          <w:rFonts w:ascii="Arial" w:eastAsia="Times New Roman" w:hAnsi="Arial" w:cs="Arial"/>
          <w:b/>
          <w:bCs/>
          <w:i/>
          <w:sz w:val="20"/>
          <w:szCs w:val="24"/>
          <w:lang w:eastAsia="en-IN"/>
        </w:rPr>
        <w:t>Keywords:</w:t>
      </w:r>
      <w:r w:rsidRPr="00522BB8">
        <w:rPr>
          <w:rFonts w:ascii="Arial" w:eastAsia="Times New Roman" w:hAnsi="Arial" w:cs="Arial"/>
          <w:i/>
          <w:sz w:val="20"/>
          <w:szCs w:val="24"/>
          <w:lang w:eastAsia="en-IN"/>
        </w:rPr>
        <w:t xml:space="preserve"> Chemical protection, agrochemicals, crop chemotherapy, sustainable agriculture, pesticide innovation, integrated pest management (IPM)</w:t>
      </w:r>
    </w:p>
    <w:p w14:paraId="60242E5E" w14:textId="72433B8A" w:rsidR="00962DAC" w:rsidRPr="00522BB8" w:rsidRDefault="008573BA" w:rsidP="008573BA">
      <w:pPr>
        <w:pStyle w:val="NoSpacing"/>
        <w:numPr>
          <w:ilvl w:val="0"/>
          <w:numId w:val="41"/>
        </w:numPr>
        <w:rPr>
          <w:rStyle w:val="Strong"/>
          <w:b w:val="0"/>
          <w:bCs w:val="0"/>
          <w:sz w:val="28"/>
        </w:rPr>
      </w:pPr>
      <w:r w:rsidRPr="008573BA">
        <w:rPr>
          <w:rStyle w:val="Strong"/>
          <w:rFonts w:ascii="Arial" w:hAnsi="Arial" w:cs="Arial"/>
          <w:sz w:val="24"/>
          <w:szCs w:val="20"/>
        </w:rPr>
        <w:t>INTRODUCTION</w:t>
      </w:r>
    </w:p>
    <w:p w14:paraId="0AB38596" w14:textId="01859404" w:rsidR="00522BB8" w:rsidRPr="00522BB8" w:rsidRDefault="00522BB8" w:rsidP="00522BB8">
      <w:pPr>
        <w:spacing w:before="100" w:beforeAutospacing="1" w:after="100" w:afterAutospacing="1" w:line="240" w:lineRule="auto"/>
        <w:ind w:left="0"/>
        <w:rPr>
          <w:rFonts w:ascii="Arial" w:eastAsia="Times New Roman" w:hAnsi="Arial" w:cs="Arial"/>
          <w:sz w:val="20"/>
          <w:szCs w:val="24"/>
          <w:lang w:eastAsia="en-IN"/>
        </w:rPr>
      </w:pPr>
      <w:r w:rsidRPr="00522BB8">
        <w:rPr>
          <w:rFonts w:ascii="Arial" w:eastAsia="Times New Roman" w:hAnsi="Arial" w:cs="Arial"/>
          <w:sz w:val="20"/>
          <w:szCs w:val="24"/>
          <w:lang w:eastAsia="en-IN"/>
        </w:rPr>
        <w:t>Plant diseases remain one of the most critical challenges confronting global agriculture, threatening food security, ecosystem health, and the economic viability of farming systems</w:t>
      </w:r>
      <w:r>
        <w:rPr>
          <w:rFonts w:ascii="Arial" w:eastAsia="Times New Roman" w:hAnsi="Arial" w:cs="Arial"/>
          <w:sz w:val="20"/>
          <w:szCs w:val="24"/>
          <w:lang w:eastAsia="en-IN"/>
        </w:rPr>
        <w:t xml:space="preserve"> (</w:t>
      </w:r>
      <w:proofErr w:type="spellStart"/>
      <w:r>
        <w:rPr>
          <w:rFonts w:ascii="Arial" w:eastAsia="Times New Roman" w:hAnsi="Arial" w:cs="Arial"/>
          <w:sz w:val="20"/>
          <w:szCs w:val="24"/>
          <w:lang w:eastAsia="en-IN"/>
        </w:rPr>
        <w:t>Jeger</w:t>
      </w:r>
      <w:proofErr w:type="spellEnd"/>
      <w:r>
        <w:rPr>
          <w:rFonts w:ascii="Arial" w:eastAsia="Times New Roman" w:hAnsi="Arial" w:cs="Arial"/>
          <w:sz w:val="20"/>
          <w:szCs w:val="24"/>
          <w:lang w:eastAsia="en-IN"/>
        </w:rPr>
        <w:t xml:space="preserve"> et al., 2021)</w:t>
      </w:r>
      <w:r w:rsidRPr="00522BB8">
        <w:rPr>
          <w:rFonts w:ascii="Arial" w:eastAsia="Times New Roman" w:hAnsi="Arial" w:cs="Arial"/>
          <w:sz w:val="20"/>
          <w:szCs w:val="24"/>
          <w:lang w:eastAsia="en-IN"/>
        </w:rPr>
        <w:t>. These diseases are caused by a diverse range of pathogens, including fungi, bacteria, viruses, nematodes, and mycoplasma-like organisms, each capable of inflicting severe damage at different crop growth stages. Their impact is influenced by various factors such as climatic conditions, pathogen virulence, vector populations, and the genetic susceptibility of host plants. In many regions, yield losses due to plant diseases can range from 10% to as high as 40%, representing billions of dollars in lost agricultural productivity each year</w:t>
      </w:r>
      <w:r>
        <w:rPr>
          <w:rFonts w:ascii="Arial" w:eastAsia="Times New Roman" w:hAnsi="Arial" w:cs="Arial"/>
          <w:sz w:val="20"/>
          <w:szCs w:val="24"/>
          <w:lang w:eastAsia="en-IN"/>
        </w:rPr>
        <w:t xml:space="preserve"> (</w:t>
      </w:r>
      <w:r>
        <w:rPr>
          <w:rFonts w:ascii="Arial" w:hAnsi="Arial" w:cs="Arial"/>
          <w:color w:val="222222"/>
          <w:sz w:val="20"/>
          <w:szCs w:val="20"/>
          <w:shd w:val="clear" w:color="auto" w:fill="FFFFFF"/>
        </w:rPr>
        <w:t>Mueller et al., 2020</w:t>
      </w:r>
      <w:r>
        <w:rPr>
          <w:rFonts w:ascii="Arial" w:eastAsia="Times New Roman" w:hAnsi="Arial" w:cs="Arial"/>
          <w:sz w:val="20"/>
          <w:szCs w:val="24"/>
          <w:lang w:eastAsia="en-IN"/>
        </w:rPr>
        <w:t>)</w:t>
      </w:r>
      <w:r w:rsidRPr="00522BB8">
        <w:rPr>
          <w:rFonts w:ascii="Arial" w:eastAsia="Times New Roman" w:hAnsi="Arial" w:cs="Arial"/>
          <w:sz w:val="20"/>
          <w:szCs w:val="24"/>
          <w:lang w:eastAsia="en-IN"/>
        </w:rPr>
        <w:t>. This persistent threat underscores the need for effective and integrated disease management strategies to ensure sustainable food production and to safeguard farmer livelihoods.</w:t>
      </w:r>
    </w:p>
    <w:p w14:paraId="241891B4" w14:textId="496243E3"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Among the various disease management approaches</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such as cultural, biological, genetic, and physical control</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chemical protection and plant chemotherapy have played a pivotal role in modern agriculture. Chemical protection broadly encompasses the use of pesticides, fungicides, bactericides, and nematicides to either prevent or cure plant infections</w:t>
      </w:r>
      <w:r>
        <w:rPr>
          <w:rFonts w:ascii="Arial" w:eastAsia="Times New Roman" w:hAnsi="Arial" w:cs="Arial"/>
          <w:sz w:val="20"/>
          <w:szCs w:val="24"/>
          <w:lang w:eastAsia="en-IN"/>
        </w:rPr>
        <w:t xml:space="preserve"> (</w:t>
      </w:r>
      <w:proofErr w:type="spellStart"/>
      <w:r>
        <w:rPr>
          <w:rFonts w:ascii="Arial" w:hAnsi="Arial" w:cs="Arial"/>
          <w:color w:val="222222"/>
          <w:sz w:val="20"/>
          <w:szCs w:val="20"/>
          <w:shd w:val="clear" w:color="auto" w:fill="FFFFFF"/>
        </w:rPr>
        <w:t>Beyari</w:t>
      </w:r>
      <w:proofErr w:type="spellEnd"/>
      <w:r>
        <w:rPr>
          <w:rFonts w:ascii="Arial" w:hAnsi="Arial" w:cs="Arial"/>
          <w:color w:val="222222"/>
          <w:sz w:val="20"/>
          <w:szCs w:val="20"/>
          <w:shd w:val="clear" w:color="auto" w:fill="FFFFFF"/>
        </w:rPr>
        <w:t>, 2025</w:t>
      </w:r>
      <w:r>
        <w:rPr>
          <w:rFonts w:ascii="Arial" w:eastAsia="Times New Roman" w:hAnsi="Arial" w:cs="Arial"/>
          <w:sz w:val="20"/>
          <w:szCs w:val="24"/>
          <w:lang w:eastAsia="en-IN"/>
        </w:rPr>
        <w:t>)</w:t>
      </w:r>
      <w:r w:rsidRPr="00522BB8">
        <w:rPr>
          <w:rFonts w:ascii="Arial" w:eastAsia="Times New Roman" w:hAnsi="Arial" w:cs="Arial"/>
          <w:sz w:val="20"/>
          <w:szCs w:val="24"/>
          <w:lang w:eastAsia="en-IN"/>
        </w:rPr>
        <w:t xml:space="preserve">. These compounds act through multiple mechanisms: as </w:t>
      </w:r>
      <w:r w:rsidRPr="00522BB8">
        <w:rPr>
          <w:rFonts w:ascii="Arial" w:eastAsia="Times New Roman" w:hAnsi="Arial" w:cs="Arial"/>
          <w:bCs/>
          <w:sz w:val="20"/>
          <w:szCs w:val="24"/>
          <w:lang w:eastAsia="en-IN"/>
        </w:rPr>
        <w:t>protectants</w:t>
      </w:r>
      <w:r w:rsidRPr="00522BB8">
        <w:rPr>
          <w:rFonts w:ascii="Arial" w:eastAsia="Times New Roman" w:hAnsi="Arial" w:cs="Arial"/>
          <w:sz w:val="20"/>
          <w:szCs w:val="24"/>
          <w:lang w:eastAsia="en-IN"/>
        </w:rPr>
        <w:t xml:space="preserve">, they form a barrier on plant surfaces to block pathogen entry, and as </w:t>
      </w:r>
      <w:r w:rsidRPr="00522BB8">
        <w:rPr>
          <w:rFonts w:ascii="Arial" w:eastAsia="Times New Roman" w:hAnsi="Arial" w:cs="Arial"/>
          <w:bCs/>
          <w:sz w:val="20"/>
          <w:szCs w:val="24"/>
          <w:lang w:eastAsia="en-IN"/>
        </w:rPr>
        <w:t>systemic or curative agents</w:t>
      </w:r>
      <w:r w:rsidRPr="00522BB8">
        <w:rPr>
          <w:rFonts w:ascii="Arial" w:eastAsia="Times New Roman" w:hAnsi="Arial" w:cs="Arial"/>
          <w:sz w:val="20"/>
          <w:szCs w:val="24"/>
          <w:lang w:eastAsia="en-IN"/>
        </w:rPr>
        <w:t>, they penetrate plant tissues to inhibit or eliminate pathogens already present within. The evolution of agricultural chemistry over the past century has transformed chemical protection from crude, broad-spectrum toxicants to highly refined, target-specific molecules that offer improved efficacy and safety</w:t>
      </w:r>
      <w:r>
        <w:rPr>
          <w:rFonts w:ascii="Arial" w:eastAsia="Times New Roman" w:hAnsi="Arial" w:cs="Arial"/>
          <w:sz w:val="20"/>
          <w:szCs w:val="24"/>
          <w:lang w:eastAsia="en-IN"/>
        </w:rPr>
        <w:t xml:space="preserve"> (</w:t>
      </w:r>
      <w:r w:rsidR="00494DA7">
        <w:rPr>
          <w:rFonts w:ascii="Arial" w:hAnsi="Arial" w:cs="Arial"/>
          <w:color w:val="222222"/>
          <w:sz w:val="20"/>
          <w:szCs w:val="20"/>
          <w:shd w:val="clear" w:color="auto" w:fill="FFFFFF"/>
        </w:rPr>
        <w:t>Souto et al., 2021</w:t>
      </w:r>
      <w:r>
        <w:rPr>
          <w:rFonts w:ascii="Arial" w:eastAsia="Times New Roman" w:hAnsi="Arial" w:cs="Arial"/>
          <w:sz w:val="20"/>
          <w:szCs w:val="24"/>
          <w:lang w:eastAsia="en-IN"/>
        </w:rPr>
        <w:t>)</w:t>
      </w:r>
      <w:r w:rsidRPr="00522BB8">
        <w:rPr>
          <w:rFonts w:ascii="Arial" w:eastAsia="Times New Roman" w:hAnsi="Arial" w:cs="Arial"/>
          <w:sz w:val="20"/>
          <w:szCs w:val="24"/>
          <w:lang w:eastAsia="en-IN"/>
        </w:rPr>
        <w:t>.</w:t>
      </w:r>
    </w:p>
    <w:p w14:paraId="5D9A616F" w14:textId="2D22D1CB"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The concept of </w:t>
      </w:r>
      <w:r w:rsidRPr="00522BB8">
        <w:rPr>
          <w:rFonts w:ascii="Arial" w:eastAsia="Times New Roman" w:hAnsi="Arial" w:cs="Arial"/>
          <w:bCs/>
          <w:sz w:val="20"/>
          <w:szCs w:val="24"/>
          <w:lang w:eastAsia="en-IN"/>
        </w:rPr>
        <w:t>plant chemotherapy</w:t>
      </w:r>
      <w:r w:rsidRPr="00522BB8">
        <w:rPr>
          <w:rFonts w:ascii="Arial" w:eastAsia="Times New Roman" w:hAnsi="Arial" w:cs="Arial"/>
          <w:sz w:val="20"/>
          <w:szCs w:val="24"/>
          <w:lang w:eastAsia="en-IN"/>
        </w:rPr>
        <w:t>, first introduced in the mid-20th century, represents the therapeutic use of chemicals to treat established infections in plants, much like chemotherapy in medical science</w:t>
      </w:r>
      <w:r w:rsidR="00CE7241">
        <w:rPr>
          <w:rFonts w:ascii="Arial" w:eastAsia="Times New Roman" w:hAnsi="Arial" w:cs="Arial"/>
          <w:sz w:val="20"/>
          <w:szCs w:val="24"/>
          <w:lang w:eastAsia="en-IN"/>
        </w:rPr>
        <w:t xml:space="preserve"> </w:t>
      </w:r>
      <w:r w:rsidR="00CE7241" w:rsidRPr="00CE7241">
        <w:rPr>
          <w:rFonts w:ascii="Arial" w:eastAsia="Times New Roman" w:hAnsi="Arial" w:cs="Arial"/>
          <w:sz w:val="20"/>
          <w:szCs w:val="24"/>
          <w:highlight w:val="yellow"/>
          <w:lang w:eastAsia="en-IN"/>
        </w:rPr>
        <w:t xml:space="preserve">(Banik </w:t>
      </w:r>
      <w:r w:rsidR="00CE7241" w:rsidRPr="00CE7241">
        <w:rPr>
          <w:rFonts w:ascii="Arial" w:eastAsia="Times New Roman" w:hAnsi="Arial" w:cs="Arial"/>
          <w:i/>
          <w:iCs/>
          <w:sz w:val="20"/>
          <w:szCs w:val="24"/>
          <w:highlight w:val="yellow"/>
          <w:lang w:eastAsia="en-IN"/>
        </w:rPr>
        <w:t>et al</w:t>
      </w:r>
      <w:r w:rsidR="00CE7241" w:rsidRPr="00CE7241">
        <w:rPr>
          <w:rFonts w:ascii="Arial" w:eastAsia="Times New Roman" w:hAnsi="Arial" w:cs="Arial"/>
          <w:sz w:val="20"/>
          <w:szCs w:val="24"/>
          <w:highlight w:val="yellow"/>
          <w:lang w:eastAsia="en-IN"/>
        </w:rPr>
        <w:t>., 2023)</w:t>
      </w:r>
      <w:r w:rsidRPr="00522BB8">
        <w:rPr>
          <w:rFonts w:ascii="Arial" w:eastAsia="Times New Roman" w:hAnsi="Arial" w:cs="Arial"/>
          <w:sz w:val="20"/>
          <w:szCs w:val="24"/>
          <w:lang w:eastAsia="en-IN"/>
        </w:rPr>
        <w:t xml:space="preserve">. Unlike preventive fungicidal sprays, plant chemotherapeutic agents act internally by disrupting pathogen metabolism or replication within the host plant. Modern examples include systemic fungicides such as triazoles, strobilurins, and succinate dehydrogenase inhibitors (SDHIs), which have revolutionized disease control by offering long-lasting protection, curative action, </w:t>
      </w:r>
      <w:r w:rsidRPr="00522BB8">
        <w:rPr>
          <w:rFonts w:ascii="Arial" w:eastAsia="Times New Roman" w:hAnsi="Arial" w:cs="Arial"/>
          <w:sz w:val="20"/>
          <w:szCs w:val="24"/>
          <w:lang w:eastAsia="en-IN"/>
        </w:rPr>
        <w:lastRenderedPageBreak/>
        <w:t>and lower environmental persistence compared to older chemistries</w:t>
      </w:r>
      <w:r w:rsidR="00494DA7">
        <w:rPr>
          <w:rFonts w:ascii="Arial" w:eastAsia="Times New Roman" w:hAnsi="Arial" w:cs="Arial"/>
          <w:sz w:val="20"/>
          <w:szCs w:val="24"/>
          <w:lang w:eastAsia="en-IN"/>
        </w:rPr>
        <w:t xml:space="preserve"> (</w:t>
      </w:r>
      <w:r w:rsidR="00494DA7">
        <w:rPr>
          <w:rFonts w:ascii="Arial" w:hAnsi="Arial" w:cs="Arial"/>
          <w:color w:val="222222"/>
          <w:sz w:val="20"/>
          <w:szCs w:val="20"/>
          <w:shd w:val="clear" w:color="auto" w:fill="FFFFFF"/>
        </w:rPr>
        <w:t>Gawande et al., 2025</w:t>
      </w:r>
      <w:r w:rsidR="00494DA7">
        <w:rPr>
          <w:rFonts w:ascii="Arial" w:eastAsia="Times New Roman" w:hAnsi="Arial" w:cs="Arial"/>
          <w:sz w:val="20"/>
          <w:szCs w:val="24"/>
          <w:lang w:eastAsia="en-IN"/>
        </w:rPr>
        <w:t>)</w:t>
      </w:r>
      <w:r w:rsidRPr="00522BB8">
        <w:rPr>
          <w:rFonts w:ascii="Arial" w:eastAsia="Times New Roman" w:hAnsi="Arial" w:cs="Arial"/>
          <w:sz w:val="20"/>
          <w:szCs w:val="24"/>
          <w:lang w:eastAsia="en-IN"/>
        </w:rPr>
        <w:t>. These innovations have significantly reduced yield losses in key crops such as wheat, rice, apple, and soybean, thereby supporting global food and nutritional security.</w:t>
      </w:r>
    </w:p>
    <w:p w14:paraId="0698BE43" w14:textId="794AD0E9"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The growing demand for food due to the expanding global population has led to intensified agricultural practices characterized by monocropping, high-yield varieties, and extensive input use. While these advancements have boosted productivity, they have simultaneously heightened the vulnerability of crops to diseases. Genetically uniform crop systems are more prone to epidemics, as seen in cases such as rice blast, late blight in potatoes, or rusts in cereals</w:t>
      </w:r>
      <w:r w:rsidR="00494DA7">
        <w:rPr>
          <w:rFonts w:ascii="Arial" w:eastAsia="Times New Roman" w:hAnsi="Arial" w:cs="Arial"/>
          <w:sz w:val="20"/>
          <w:szCs w:val="24"/>
          <w:lang w:eastAsia="en-IN"/>
        </w:rPr>
        <w:t xml:space="preserve"> (Singh et al., 2016)</w:t>
      </w:r>
      <w:r w:rsidRPr="00522BB8">
        <w:rPr>
          <w:rFonts w:ascii="Arial" w:eastAsia="Times New Roman" w:hAnsi="Arial" w:cs="Arial"/>
          <w:sz w:val="20"/>
          <w:szCs w:val="24"/>
          <w:lang w:eastAsia="en-IN"/>
        </w:rPr>
        <w:t xml:space="preserve">. In such high-risk systems, </w:t>
      </w:r>
      <w:r w:rsidRPr="00522BB8">
        <w:rPr>
          <w:rFonts w:ascii="Arial" w:eastAsia="Times New Roman" w:hAnsi="Arial" w:cs="Arial"/>
          <w:bCs/>
          <w:sz w:val="20"/>
          <w:szCs w:val="24"/>
          <w:lang w:eastAsia="en-IN"/>
        </w:rPr>
        <w:t>chemical protection</w:t>
      </w:r>
      <w:r w:rsidRPr="00522BB8">
        <w:rPr>
          <w:rFonts w:ascii="Arial" w:eastAsia="Times New Roman" w:hAnsi="Arial" w:cs="Arial"/>
          <w:sz w:val="20"/>
          <w:szCs w:val="24"/>
          <w:lang w:eastAsia="en-IN"/>
        </w:rPr>
        <w:t xml:space="preserve"> becomes an indispensable component of integrated disease management. It not only mitigates yield losses but also ensures the consistent quality of produce, which is crucial for global supply chains and market competitiveness.</w:t>
      </w:r>
    </w:p>
    <w:p w14:paraId="2CC7C923" w14:textId="271FBE51"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In recent decades, the development of </w:t>
      </w:r>
      <w:r w:rsidRPr="00522BB8">
        <w:rPr>
          <w:rFonts w:ascii="Arial" w:eastAsia="Times New Roman" w:hAnsi="Arial" w:cs="Arial"/>
          <w:bCs/>
          <w:sz w:val="20"/>
          <w:szCs w:val="24"/>
          <w:lang w:eastAsia="en-IN"/>
        </w:rPr>
        <w:t>next-generation agrochemicals</w:t>
      </w:r>
      <w:r w:rsidRPr="00522BB8">
        <w:rPr>
          <w:rFonts w:ascii="Arial" w:eastAsia="Times New Roman" w:hAnsi="Arial" w:cs="Arial"/>
          <w:sz w:val="20"/>
          <w:szCs w:val="24"/>
          <w:lang w:eastAsia="en-IN"/>
        </w:rPr>
        <w:t xml:space="preserve"> has reflected a shift toward precision agriculture and environmental stewardship</w:t>
      </w:r>
      <w:r w:rsidR="00413430">
        <w:rPr>
          <w:rFonts w:ascii="Arial" w:eastAsia="Times New Roman" w:hAnsi="Arial" w:cs="Arial"/>
          <w:sz w:val="20"/>
          <w:szCs w:val="24"/>
          <w:lang w:eastAsia="en-IN"/>
        </w:rPr>
        <w:t xml:space="preserve"> </w:t>
      </w:r>
      <w:r w:rsidR="00413430" w:rsidRPr="00413430">
        <w:rPr>
          <w:rFonts w:ascii="Arial" w:eastAsia="Times New Roman" w:hAnsi="Arial" w:cs="Arial"/>
          <w:sz w:val="20"/>
          <w:szCs w:val="24"/>
          <w:lang w:eastAsia="en-IN"/>
        </w:rPr>
        <w:t>(</w:t>
      </w:r>
      <w:r w:rsidR="00413430">
        <w:rPr>
          <w:rFonts w:ascii="Arial" w:eastAsia="Times New Roman" w:hAnsi="Arial" w:cs="Arial"/>
          <w:sz w:val="20"/>
          <w:szCs w:val="24"/>
          <w:lang w:eastAsia="en-IN"/>
        </w:rPr>
        <w:t xml:space="preserve">McLeod </w:t>
      </w:r>
      <w:r w:rsidR="00413430" w:rsidRPr="00413430">
        <w:rPr>
          <w:rFonts w:ascii="Arial" w:eastAsia="Times New Roman" w:hAnsi="Arial" w:cs="Arial"/>
          <w:i/>
          <w:iCs/>
          <w:sz w:val="20"/>
          <w:szCs w:val="24"/>
          <w:lang w:eastAsia="en-IN"/>
        </w:rPr>
        <w:t>et al</w:t>
      </w:r>
      <w:r w:rsidR="00413430" w:rsidRPr="00413430">
        <w:rPr>
          <w:rFonts w:ascii="Arial" w:eastAsia="Times New Roman" w:hAnsi="Arial" w:cs="Arial"/>
          <w:sz w:val="20"/>
          <w:szCs w:val="24"/>
          <w:lang w:eastAsia="en-IN"/>
        </w:rPr>
        <w:t>., 2024</w:t>
      </w:r>
      <w:r w:rsidR="00413430" w:rsidRPr="00FB3278">
        <w:rPr>
          <w:rFonts w:ascii="Arial" w:eastAsia="Times New Roman" w:hAnsi="Arial" w:cs="Arial"/>
          <w:sz w:val="20"/>
          <w:szCs w:val="24"/>
          <w:highlight w:val="yellow"/>
          <w:lang w:eastAsia="en-IN"/>
        </w:rPr>
        <w:t>; Nath, 2024</w:t>
      </w:r>
      <w:r w:rsidR="00413430" w:rsidRPr="00413430">
        <w:rPr>
          <w:rFonts w:ascii="Arial" w:eastAsia="Times New Roman" w:hAnsi="Arial" w:cs="Arial"/>
          <w:sz w:val="20"/>
          <w:szCs w:val="24"/>
          <w:lang w:eastAsia="en-IN"/>
        </w:rPr>
        <w:t>)</w:t>
      </w:r>
      <w:r w:rsidRPr="00522BB8">
        <w:rPr>
          <w:rFonts w:ascii="Arial" w:eastAsia="Times New Roman" w:hAnsi="Arial" w:cs="Arial"/>
          <w:sz w:val="20"/>
          <w:szCs w:val="24"/>
          <w:lang w:eastAsia="en-IN"/>
        </w:rPr>
        <w:t>. Innovations in formulation technology</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 xml:space="preserve">such as </w:t>
      </w:r>
      <w:proofErr w:type="spellStart"/>
      <w:r w:rsidRPr="00522BB8">
        <w:rPr>
          <w:rFonts w:ascii="Arial" w:eastAsia="Times New Roman" w:hAnsi="Arial" w:cs="Arial"/>
          <w:sz w:val="20"/>
          <w:szCs w:val="24"/>
          <w:lang w:eastAsia="en-IN"/>
        </w:rPr>
        <w:t>nanoemulsions</w:t>
      </w:r>
      <w:proofErr w:type="spellEnd"/>
      <w:r w:rsidRPr="00522BB8">
        <w:rPr>
          <w:rFonts w:ascii="Arial" w:eastAsia="Times New Roman" w:hAnsi="Arial" w:cs="Arial"/>
          <w:sz w:val="20"/>
          <w:szCs w:val="24"/>
          <w:lang w:eastAsia="en-IN"/>
        </w:rPr>
        <w:t>, controlled-release systems, and bio-based adjuvants</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 xml:space="preserve">have enhanced pesticide efficacy while minimizing off-target effects and chemical residues. The integration of </w:t>
      </w:r>
      <w:proofErr w:type="spellStart"/>
      <w:r w:rsidRPr="00522BB8">
        <w:rPr>
          <w:rFonts w:ascii="Arial" w:eastAsia="Times New Roman" w:hAnsi="Arial" w:cs="Arial"/>
          <w:bCs/>
          <w:sz w:val="20"/>
          <w:szCs w:val="24"/>
          <w:lang w:eastAsia="en-IN"/>
        </w:rPr>
        <w:t>chemosensors</w:t>
      </w:r>
      <w:proofErr w:type="spellEnd"/>
      <w:r w:rsidRPr="00522BB8">
        <w:rPr>
          <w:rFonts w:ascii="Arial" w:eastAsia="Times New Roman" w:hAnsi="Arial" w:cs="Arial"/>
          <w:sz w:val="20"/>
          <w:szCs w:val="24"/>
          <w:lang w:eastAsia="en-IN"/>
        </w:rPr>
        <w:t xml:space="preserve"> and </w:t>
      </w:r>
      <w:r w:rsidRPr="00522BB8">
        <w:rPr>
          <w:rFonts w:ascii="Arial" w:eastAsia="Times New Roman" w:hAnsi="Arial" w:cs="Arial"/>
          <w:bCs/>
          <w:sz w:val="20"/>
          <w:szCs w:val="24"/>
          <w:lang w:eastAsia="en-IN"/>
        </w:rPr>
        <w:t>AI-based predictive models</w:t>
      </w:r>
      <w:r w:rsidRPr="00522BB8">
        <w:rPr>
          <w:rFonts w:ascii="Arial" w:eastAsia="Times New Roman" w:hAnsi="Arial" w:cs="Arial"/>
          <w:sz w:val="20"/>
          <w:szCs w:val="24"/>
          <w:lang w:eastAsia="en-IN"/>
        </w:rPr>
        <w:t xml:space="preserve"> allows for optimized spray timing and dosage, thereby reducing chemical footprints</w:t>
      </w:r>
      <w:r w:rsidR="00494DA7">
        <w:rPr>
          <w:rFonts w:ascii="Arial" w:eastAsia="Times New Roman" w:hAnsi="Arial" w:cs="Arial"/>
          <w:sz w:val="20"/>
          <w:szCs w:val="24"/>
          <w:lang w:eastAsia="en-IN"/>
        </w:rPr>
        <w:t xml:space="preserve"> (</w:t>
      </w:r>
      <w:r w:rsidR="00494DA7">
        <w:rPr>
          <w:rFonts w:ascii="Arial" w:hAnsi="Arial" w:cs="Arial"/>
          <w:color w:val="222222"/>
          <w:sz w:val="20"/>
          <w:szCs w:val="20"/>
          <w:shd w:val="clear" w:color="auto" w:fill="FFFFFF"/>
        </w:rPr>
        <w:t xml:space="preserve">Chowdhury &amp; </w:t>
      </w:r>
      <w:proofErr w:type="spellStart"/>
      <w:r w:rsidR="00494DA7">
        <w:rPr>
          <w:rFonts w:ascii="Arial" w:hAnsi="Arial" w:cs="Arial"/>
          <w:color w:val="222222"/>
          <w:sz w:val="20"/>
          <w:szCs w:val="20"/>
          <w:shd w:val="clear" w:color="auto" w:fill="FFFFFF"/>
        </w:rPr>
        <w:t>Oehlschlaeger</w:t>
      </w:r>
      <w:proofErr w:type="spellEnd"/>
      <w:r w:rsidR="00494DA7">
        <w:rPr>
          <w:rFonts w:ascii="Arial" w:hAnsi="Arial" w:cs="Arial"/>
          <w:color w:val="222222"/>
          <w:sz w:val="20"/>
          <w:szCs w:val="20"/>
          <w:shd w:val="clear" w:color="auto" w:fill="FFFFFF"/>
        </w:rPr>
        <w:t>, 2025</w:t>
      </w:r>
      <w:r w:rsidR="00494DA7">
        <w:rPr>
          <w:rFonts w:ascii="Arial" w:eastAsia="Times New Roman" w:hAnsi="Arial" w:cs="Arial"/>
          <w:sz w:val="20"/>
          <w:szCs w:val="24"/>
          <w:lang w:eastAsia="en-IN"/>
        </w:rPr>
        <w:t>)</w:t>
      </w:r>
      <w:r w:rsidRPr="00522BB8">
        <w:rPr>
          <w:rFonts w:ascii="Arial" w:eastAsia="Times New Roman" w:hAnsi="Arial" w:cs="Arial"/>
          <w:sz w:val="20"/>
          <w:szCs w:val="24"/>
          <w:lang w:eastAsia="en-IN"/>
        </w:rPr>
        <w:t>. Moreover, the discovery of molecules that target specific enzymatic pathways in pathogens has improved selectivity, reducing harm to beneficial organisms and mitigating the emergence of resistance.</w:t>
      </w:r>
    </w:p>
    <w:p w14:paraId="077C116B" w14:textId="47C43023"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Despite these advancements, the overreliance on synthetic chemicals has raised ecological and health concerns, including pesticide resistance, soil degradation, and non-target toxicity. As a result, there is a growing emphasis on developing </w:t>
      </w:r>
      <w:r w:rsidRPr="00522BB8">
        <w:rPr>
          <w:rFonts w:ascii="Arial" w:eastAsia="Times New Roman" w:hAnsi="Arial" w:cs="Arial"/>
          <w:bCs/>
          <w:sz w:val="20"/>
          <w:szCs w:val="24"/>
          <w:lang w:eastAsia="en-IN"/>
        </w:rPr>
        <w:t>eco-compatible chemistries</w:t>
      </w:r>
      <w:r w:rsidRPr="00522BB8">
        <w:rPr>
          <w:rFonts w:ascii="Arial" w:eastAsia="Times New Roman" w:hAnsi="Arial" w:cs="Arial"/>
          <w:sz w:val="20"/>
          <w:szCs w:val="24"/>
          <w:lang w:eastAsia="en-IN"/>
        </w:rPr>
        <w:t xml:space="preserve">, combining traditional protection with biopesticides, natural extracts, and resistance inducers. This fusion represents a sustainable transition from purely chemical control to </w:t>
      </w:r>
      <w:r w:rsidRPr="00522BB8">
        <w:rPr>
          <w:rFonts w:ascii="Arial" w:eastAsia="Times New Roman" w:hAnsi="Arial" w:cs="Arial"/>
          <w:bCs/>
          <w:sz w:val="20"/>
          <w:szCs w:val="24"/>
          <w:lang w:eastAsia="en-IN"/>
        </w:rPr>
        <w:t>chemical-biological hybrid strategies</w:t>
      </w:r>
      <w:r w:rsidRPr="00522BB8">
        <w:rPr>
          <w:rFonts w:ascii="Arial" w:eastAsia="Times New Roman" w:hAnsi="Arial" w:cs="Arial"/>
          <w:sz w:val="20"/>
          <w:szCs w:val="24"/>
          <w:lang w:eastAsia="en-IN"/>
        </w:rPr>
        <w:t>, aligning with global efforts to achieve safe, sustainable, and climate-resilient agriculture</w:t>
      </w:r>
      <w:r w:rsidR="00494DA7">
        <w:rPr>
          <w:rFonts w:ascii="Arial" w:eastAsia="Times New Roman" w:hAnsi="Arial" w:cs="Arial"/>
          <w:sz w:val="20"/>
          <w:szCs w:val="24"/>
          <w:lang w:eastAsia="en-IN"/>
        </w:rPr>
        <w:t xml:space="preserve"> (</w:t>
      </w:r>
      <w:proofErr w:type="spellStart"/>
      <w:r w:rsidR="00494DA7">
        <w:rPr>
          <w:rFonts w:ascii="Arial" w:hAnsi="Arial" w:cs="Arial"/>
          <w:color w:val="222222"/>
          <w:sz w:val="20"/>
          <w:szCs w:val="20"/>
          <w:shd w:val="clear" w:color="auto" w:fill="FFFFFF"/>
        </w:rPr>
        <w:t>Salakinkop</w:t>
      </w:r>
      <w:proofErr w:type="spellEnd"/>
      <w:r w:rsidR="00494DA7">
        <w:rPr>
          <w:rFonts w:ascii="Arial" w:hAnsi="Arial" w:cs="Arial"/>
          <w:color w:val="222222"/>
          <w:sz w:val="20"/>
          <w:szCs w:val="20"/>
          <w:shd w:val="clear" w:color="auto" w:fill="FFFFFF"/>
        </w:rPr>
        <w:t xml:space="preserve"> et al., 2024</w:t>
      </w:r>
      <w:r w:rsidR="00494DA7">
        <w:rPr>
          <w:rFonts w:ascii="Arial" w:eastAsia="Times New Roman" w:hAnsi="Arial" w:cs="Arial"/>
          <w:sz w:val="20"/>
          <w:szCs w:val="24"/>
          <w:lang w:eastAsia="en-IN"/>
        </w:rPr>
        <w:t>)</w:t>
      </w:r>
      <w:r w:rsidRPr="00522BB8">
        <w:rPr>
          <w:rFonts w:ascii="Arial" w:eastAsia="Times New Roman" w:hAnsi="Arial" w:cs="Arial"/>
          <w:sz w:val="20"/>
          <w:szCs w:val="24"/>
          <w:lang w:eastAsia="en-IN"/>
        </w:rPr>
        <w:t>.</w:t>
      </w:r>
    </w:p>
    <w:p w14:paraId="3DB4F736" w14:textId="4E60E844" w:rsidR="00522BB8" w:rsidRPr="00522BB8" w:rsidRDefault="00522BB8" w:rsidP="00522BB8">
      <w:pPr>
        <w:spacing w:before="100" w:beforeAutospacing="1" w:after="100" w:afterAutospacing="1" w:line="240" w:lineRule="auto"/>
        <w:ind w:left="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In conclusion, </w:t>
      </w:r>
      <w:r w:rsidRPr="00522BB8">
        <w:rPr>
          <w:rFonts w:ascii="Arial" w:eastAsia="Times New Roman" w:hAnsi="Arial" w:cs="Arial"/>
          <w:bCs/>
          <w:sz w:val="20"/>
          <w:szCs w:val="24"/>
          <w:lang w:eastAsia="en-IN"/>
        </w:rPr>
        <w:t>chemical protection and chemotherapy in agriculture</w:t>
      </w:r>
      <w:r w:rsidRPr="00522BB8">
        <w:rPr>
          <w:rFonts w:ascii="Arial" w:eastAsia="Times New Roman" w:hAnsi="Arial" w:cs="Arial"/>
          <w:sz w:val="20"/>
          <w:szCs w:val="24"/>
          <w:lang w:eastAsia="en-IN"/>
        </w:rPr>
        <w:t xml:space="preserve"> have evolved from simple disease prevention tools to sophisticated technologies underpinning modern plant health management</w:t>
      </w:r>
      <w:r w:rsidR="00413430">
        <w:rPr>
          <w:rFonts w:ascii="Arial" w:eastAsia="Times New Roman" w:hAnsi="Arial" w:cs="Arial"/>
          <w:sz w:val="20"/>
          <w:szCs w:val="24"/>
          <w:lang w:eastAsia="en-IN"/>
        </w:rPr>
        <w:t xml:space="preserve"> </w:t>
      </w:r>
      <w:r w:rsidR="00413430" w:rsidRPr="00413430">
        <w:rPr>
          <w:rFonts w:ascii="Arial" w:eastAsia="Times New Roman" w:hAnsi="Arial" w:cs="Arial"/>
          <w:sz w:val="20"/>
          <w:szCs w:val="24"/>
          <w:lang w:eastAsia="en-IN"/>
        </w:rPr>
        <w:t>(</w:t>
      </w:r>
      <w:r w:rsidR="00413430" w:rsidRPr="00FB3278">
        <w:rPr>
          <w:rFonts w:ascii="Arial" w:eastAsia="Times New Roman" w:hAnsi="Arial" w:cs="Arial"/>
          <w:sz w:val="20"/>
          <w:szCs w:val="24"/>
          <w:highlight w:val="yellow"/>
          <w:lang w:eastAsia="en-IN"/>
        </w:rPr>
        <w:t xml:space="preserve">Rizzo </w:t>
      </w:r>
      <w:r w:rsidR="00413430" w:rsidRPr="00FB3278">
        <w:rPr>
          <w:rFonts w:ascii="Arial" w:eastAsia="Times New Roman" w:hAnsi="Arial" w:cs="Arial"/>
          <w:i/>
          <w:iCs/>
          <w:sz w:val="20"/>
          <w:szCs w:val="24"/>
          <w:highlight w:val="yellow"/>
          <w:lang w:eastAsia="en-IN"/>
        </w:rPr>
        <w:t>et al</w:t>
      </w:r>
      <w:r w:rsidR="00413430" w:rsidRPr="00FB3278">
        <w:rPr>
          <w:rFonts w:ascii="Arial" w:eastAsia="Times New Roman" w:hAnsi="Arial" w:cs="Arial"/>
          <w:sz w:val="20"/>
          <w:szCs w:val="24"/>
          <w:highlight w:val="yellow"/>
          <w:lang w:eastAsia="en-IN"/>
        </w:rPr>
        <w:t xml:space="preserve">., 2021; Harman </w:t>
      </w:r>
      <w:r w:rsidR="00413430" w:rsidRPr="00FB3278">
        <w:rPr>
          <w:rFonts w:ascii="Arial" w:eastAsia="Times New Roman" w:hAnsi="Arial" w:cs="Arial"/>
          <w:i/>
          <w:iCs/>
          <w:sz w:val="20"/>
          <w:szCs w:val="24"/>
          <w:highlight w:val="yellow"/>
          <w:lang w:eastAsia="en-IN"/>
        </w:rPr>
        <w:t>et al</w:t>
      </w:r>
      <w:r w:rsidR="00413430" w:rsidRPr="00FB3278">
        <w:rPr>
          <w:rFonts w:ascii="Arial" w:eastAsia="Times New Roman" w:hAnsi="Arial" w:cs="Arial"/>
          <w:sz w:val="20"/>
          <w:szCs w:val="24"/>
          <w:highlight w:val="yellow"/>
          <w:lang w:eastAsia="en-IN"/>
        </w:rPr>
        <w:t>., 2021)</w:t>
      </w:r>
      <w:r w:rsidRPr="00FB3278">
        <w:rPr>
          <w:rFonts w:ascii="Arial" w:eastAsia="Times New Roman" w:hAnsi="Arial" w:cs="Arial"/>
          <w:sz w:val="20"/>
          <w:szCs w:val="24"/>
          <w:highlight w:val="yellow"/>
          <w:lang w:eastAsia="en-IN"/>
        </w:rPr>
        <w:t>.</w:t>
      </w:r>
      <w:r w:rsidRPr="00522BB8">
        <w:rPr>
          <w:rFonts w:ascii="Arial" w:eastAsia="Times New Roman" w:hAnsi="Arial" w:cs="Arial"/>
          <w:sz w:val="20"/>
          <w:szCs w:val="24"/>
          <w:lang w:eastAsia="en-IN"/>
        </w:rPr>
        <w:t xml:space="preserve"> Their continued refinement</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through innovation, regulation, and integration with other sustainable practices</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will remain central to ensuring global food and nutritional security. The future of plant disease management lies not in eliminating chemical tools but in enhancing their precision, safety, and synergy with ecological principles, thus bridging traditional practices with modern innovations in agricultural science.</w:t>
      </w:r>
    </w:p>
    <w:p w14:paraId="6531895B" w14:textId="43BFB666" w:rsidR="00962DAC" w:rsidRPr="008573BA" w:rsidRDefault="008573BA" w:rsidP="008573BA">
      <w:pPr>
        <w:pStyle w:val="Heading2"/>
        <w:numPr>
          <w:ilvl w:val="0"/>
          <w:numId w:val="41"/>
        </w:numPr>
        <w:jc w:val="both"/>
        <w:rPr>
          <w:rFonts w:ascii="Arial" w:hAnsi="Arial" w:cs="Arial"/>
          <w:sz w:val="24"/>
          <w:szCs w:val="20"/>
        </w:rPr>
      </w:pPr>
      <w:r w:rsidRPr="008573BA">
        <w:rPr>
          <w:rStyle w:val="Strong"/>
          <w:rFonts w:ascii="Arial" w:hAnsi="Arial" w:cs="Arial"/>
          <w:b/>
          <w:bCs/>
          <w:sz w:val="24"/>
          <w:szCs w:val="20"/>
        </w:rPr>
        <w:t>ROLE OF CHEMICAL PROTECTION IN MODERN AGRICULTURE</w:t>
      </w:r>
    </w:p>
    <w:p w14:paraId="386F6185" w14:textId="77777777" w:rsidR="00962DAC" w:rsidRPr="009015A2" w:rsidRDefault="00962DAC" w:rsidP="009015A2">
      <w:pPr>
        <w:pStyle w:val="NormalWeb"/>
        <w:jc w:val="both"/>
        <w:rPr>
          <w:rFonts w:ascii="Arial" w:hAnsi="Arial" w:cs="Arial"/>
          <w:sz w:val="20"/>
          <w:szCs w:val="20"/>
        </w:rPr>
      </w:pPr>
      <w:r w:rsidRPr="009015A2">
        <w:rPr>
          <w:rFonts w:ascii="Arial" w:hAnsi="Arial" w:cs="Arial"/>
          <w:sz w:val="20"/>
          <w:szCs w:val="20"/>
        </w:rPr>
        <w:t>Chemical protection remains one of the most widely adopted strategies in plant disease management due to its rapid and broad-spectrum effectiveness. While cultural, biological, and genetic methods are valuable components of integrated disease management, they often require longer timeframes for implementation and may not provide immediate solutions. Chemical protection, on the other hand, offers a quick response to emerging disease threats, especially under epidemic conditions.</w:t>
      </w:r>
    </w:p>
    <w:p w14:paraId="23FCEFA7" w14:textId="4CDCA95C" w:rsidR="00962DAC" w:rsidRPr="009015A2" w:rsidRDefault="00962DAC" w:rsidP="009015A2">
      <w:pPr>
        <w:pStyle w:val="NormalWeb"/>
        <w:jc w:val="both"/>
        <w:rPr>
          <w:rFonts w:ascii="Arial" w:hAnsi="Arial" w:cs="Arial"/>
          <w:sz w:val="20"/>
          <w:szCs w:val="20"/>
        </w:rPr>
      </w:pPr>
      <w:r w:rsidRPr="009015A2">
        <w:rPr>
          <w:rFonts w:ascii="Arial" w:hAnsi="Arial" w:cs="Arial"/>
          <w:sz w:val="20"/>
          <w:szCs w:val="20"/>
        </w:rPr>
        <w:t>In modern agriculture, fungicides and bactericides are routinely used to protect staple crops such as rice, wheat, maize, and vegetables from devastating fungal and bacterial diseases</w:t>
      </w:r>
      <w:r w:rsidR="00494DA7">
        <w:rPr>
          <w:rFonts w:ascii="Arial" w:hAnsi="Arial" w:cs="Arial"/>
          <w:sz w:val="20"/>
          <w:szCs w:val="20"/>
        </w:rPr>
        <w:t xml:space="preserve"> (</w:t>
      </w:r>
      <w:r w:rsidR="00494DA7">
        <w:rPr>
          <w:rFonts w:ascii="Arial" w:hAnsi="Arial" w:cs="Arial"/>
          <w:color w:val="222222"/>
          <w:sz w:val="20"/>
          <w:szCs w:val="20"/>
          <w:shd w:val="clear" w:color="auto" w:fill="FFFFFF"/>
        </w:rPr>
        <w:t>Mehmood et al., 2025</w:t>
      </w:r>
      <w:r w:rsidR="00494DA7">
        <w:rPr>
          <w:rFonts w:ascii="Arial" w:hAnsi="Arial" w:cs="Arial"/>
          <w:sz w:val="20"/>
          <w:szCs w:val="20"/>
        </w:rPr>
        <w:t>)</w:t>
      </w:r>
      <w:r w:rsidRPr="009015A2">
        <w:rPr>
          <w:rFonts w:ascii="Arial" w:hAnsi="Arial" w:cs="Arial"/>
          <w:sz w:val="20"/>
          <w:szCs w:val="20"/>
        </w:rPr>
        <w:t>. For example, powdery mildew, rust, and blight diseases, which can cause severe yield losses, are effectively controlled through systemic and contact fungicides. Similarly, antibiotics and bactericides are employed to manage bacterial infections such as fire blight in apples and bacterial wilt in solanaceous crops</w:t>
      </w:r>
      <w:r w:rsidR="00494DA7">
        <w:rPr>
          <w:rFonts w:ascii="Arial" w:hAnsi="Arial" w:cs="Arial"/>
          <w:sz w:val="20"/>
          <w:szCs w:val="20"/>
        </w:rPr>
        <w:t xml:space="preserve"> (</w:t>
      </w:r>
      <w:r w:rsidR="00494DA7">
        <w:rPr>
          <w:rFonts w:ascii="Arial" w:hAnsi="Arial" w:cs="Arial"/>
          <w:color w:val="222222"/>
          <w:sz w:val="20"/>
          <w:szCs w:val="20"/>
          <w:shd w:val="clear" w:color="auto" w:fill="FFFFFF"/>
        </w:rPr>
        <w:t>Nguyen et al., 2025</w:t>
      </w:r>
      <w:r w:rsidR="00494DA7">
        <w:rPr>
          <w:rFonts w:ascii="Arial" w:hAnsi="Arial" w:cs="Arial"/>
          <w:sz w:val="20"/>
          <w:szCs w:val="20"/>
        </w:rPr>
        <w:t>)</w:t>
      </w:r>
      <w:r w:rsidRPr="009015A2">
        <w:rPr>
          <w:rFonts w:ascii="Arial" w:hAnsi="Arial" w:cs="Arial"/>
          <w:sz w:val="20"/>
          <w:szCs w:val="20"/>
        </w:rPr>
        <w:t>.</w:t>
      </w:r>
    </w:p>
    <w:p w14:paraId="3982A652" w14:textId="652F54E0" w:rsidR="00962DAC" w:rsidRDefault="00962DAC" w:rsidP="00494DA7">
      <w:pPr>
        <w:pStyle w:val="NormalWeb"/>
        <w:ind w:firstLine="720"/>
        <w:jc w:val="both"/>
        <w:rPr>
          <w:rFonts w:ascii="Arial" w:hAnsi="Arial" w:cs="Arial"/>
          <w:sz w:val="20"/>
          <w:szCs w:val="20"/>
        </w:rPr>
      </w:pPr>
      <w:r w:rsidRPr="009015A2">
        <w:rPr>
          <w:rFonts w:ascii="Arial" w:hAnsi="Arial" w:cs="Arial"/>
          <w:sz w:val="20"/>
          <w:szCs w:val="20"/>
        </w:rPr>
        <w:t xml:space="preserve">However, the indiscriminate and excessive use of chemical pesticides has raised concerns regarding environmental pollution, pesticide resistance, and non-target effects on beneficial organisms. To address these challenges, recent advancements in chemical protection have focused on developing eco-friendly and biodegradable compounds with improved target specificity and reduced toxicity. Additionally, integrated disease management approaches advocate for the judicious use of chemical </w:t>
      </w:r>
      <w:r w:rsidRPr="009015A2">
        <w:rPr>
          <w:rFonts w:ascii="Arial" w:hAnsi="Arial" w:cs="Arial"/>
          <w:sz w:val="20"/>
          <w:szCs w:val="20"/>
        </w:rPr>
        <w:lastRenderedPageBreak/>
        <w:t>control methods in combination with other sustainable practices.</w:t>
      </w:r>
      <w:r w:rsidR="00C2364E">
        <w:rPr>
          <w:rFonts w:ascii="Arial" w:hAnsi="Arial" w:cs="Arial"/>
          <w:sz w:val="20"/>
          <w:szCs w:val="20"/>
        </w:rPr>
        <w:t xml:space="preserve"> </w:t>
      </w:r>
      <w:proofErr w:type="spellStart"/>
      <w:r w:rsidR="00C2364E">
        <w:rPr>
          <w:rFonts w:ascii="Arial" w:hAnsi="Arial" w:cs="Arial"/>
          <w:sz w:val="20"/>
          <w:szCs w:val="20"/>
        </w:rPr>
        <w:t>Claasification</w:t>
      </w:r>
      <w:proofErr w:type="spellEnd"/>
      <w:r w:rsidR="00C2364E">
        <w:rPr>
          <w:rFonts w:ascii="Arial" w:hAnsi="Arial" w:cs="Arial"/>
          <w:sz w:val="20"/>
          <w:szCs w:val="20"/>
        </w:rPr>
        <w:t xml:space="preserve"> of pesticides shown n Fig. 1.</w:t>
      </w:r>
    </w:p>
    <w:p w14:paraId="29FC304F" w14:textId="77777777" w:rsidR="00C2364E" w:rsidRDefault="00C2364E" w:rsidP="00C2364E">
      <w:pPr>
        <w:pStyle w:val="NoSpacing"/>
        <w:jc w:val="center"/>
        <w:rPr>
          <w:rFonts w:ascii="Arial" w:hAnsi="Arial" w:cs="Arial"/>
          <w:sz w:val="20"/>
          <w:szCs w:val="20"/>
        </w:rPr>
      </w:pPr>
      <w:r>
        <w:rPr>
          <w:noProof/>
        </w:rPr>
        <w:drawing>
          <wp:inline distT="0" distB="0" distL="0" distR="0" wp14:anchorId="1118DD6C" wp14:editId="01F34245">
            <wp:extent cx="5378450" cy="3339465"/>
            <wp:effectExtent l="19050" t="19050" r="12700" b="13335"/>
            <wp:docPr id="1" name="Picture 1" descr="Agricultural Pest Management: The Role of Microorganisms in Biopesticides  and Soil Bioreme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ricultural Pest Management: The Role of Microorganisms in Biopesticides  and Soil Bioremed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8996" cy="3339804"/>
                    </a:xfrm>
                    <a:prstGeom prst="rect">
                      <a:avLst/>
                    </a:prstGeom>
                    <a:noFill/>
                    <a:ln w="3175">
                      <a:solidFill>
                        <a:schemeClr val="tx1"/>
                      </a:solidFill>
                    </a:ln>
                  </pic:spPr>
                </pic:pic>
              </a:graphicData>
            </a:graphic>
          </wp:inline>
        </w:drawing>
      </w:r>
    </w:p>
    <w:p w14:paraId="63D806E4" w14:textId="714BFD1E" w:rsidR="00C2364E" w:rsidRPr="009015A2" w:rsidRDefault="00C2364E" w:rsidP="00FB3278">
      <w:pPr>
        <w:pStyle w:val="NormalWeb"/>
        <w:ind w:firstLine="720"/>
        <w:jc w:val="center"/>
        <w:rPr>
          <w:rFonts w:ascii="Arial" w:hAnsi="Arial" w:cs="Arial"/>
          <w:sz w:val="20"/>
          <w:szCs w:val="20"/>
        </w:rPr>
      </w:pPr>
      <w:r w:rsidRPr="00FB3278">
        <w:rPr>
          <w:rFonts w:ascii="Arial" w:hAnsi="Arial" w:cs="Arial"/>
          <w:b/>
          <w:sz w:val="20"/>
          <w:szCs w:val="20"/>
          <w:highlight w:val="yellow"/>
        </w:rPr>
        <w:t xml:space="preserve">Fig.1:  Classification </w:t>
      </w:r>
      <w:proofErr w:type="gramStart"/>
      <w:r w:rsidRPr="00FB3278">
        <w:rPr>
          <w:rFonts w:ascii="Arial" w:hAnsi="Arial" w:cs="Arial"/>
          <w:b/>
          <w:sz w:val="20"/>
          <w:szCs w:val="20"/>
          <w:highlight w:val="yellow"/>
        </w:rPr>
        <w:t>of  pesticide</w:t>
      </w:r>
      <w:proofErr w:type="gramEnd"/>
      <w:r w:rsidR="00FB3278" w:rsidRPr="00FB3278">
        <w:rPr>
          <w:rFonts w:ascii="Arial" w:hAnsi="Arial" w:cs="Arial"/>
          <w:b/>
          <w:sz w:val="20"/>
          <w:szCs w:val="20"/>
          <w:highlight w:val="yellow"/>
        </w:rPr>
        <w:t xml:space="preserve"> (Chemical, Biological and functions)</w:t>
      </w:r>
    </w:p>
    <w:p w14:paraId="64336AA8" w14:textId="2A6CA646" w:rsidR="00962DAC" w:rsidRPr="009015A2" w:rsidRDefault="00494DA7" w:rsidP="009015A2">
      <w:pPr>
        <w:pStyle w:val="Heading2"/>
        <w:jc w:val="both"/>
        <w:rPr>
          <w:rFonts w:ascii="Arial" w:hAnsi="Arial" w:cs="Arial"/>
          <w:sz w:val="20"/>
          <w:szCs w:val="20"/>
        </w:rPr>
      </w:pPr>
      <w:r>
        <w:rPr>
          <w:rStyle w:val="Strong"/>
          <w:rFonts w:ascii="Arial" w:hAnsi="Arial" w:cs="Arial"/>
          <w:b/>
          <w:bCs/>
          <w:sz w:val="20"/>
          <w:szCs w:val="20"/>
        </w:rPr>
        <w:t xml:space="preserve">2.1 </w:t>
      </w:r>
      <w:r w:rsidR="00962DAC" w:rsidRPr="009015A2">
        <w:rPr>
          <w:rStyle w:val="Strong"/>
          <w:rFonts w:ascii="Arial" w:hAnsi="Arial" w:cs="Arial"/>
          <w:b/>
          <w:bCs/>
          <w:sz w:val="20"/>
          <w:szCs w:val="20"/>
        </w:rPr>
        <w:t>Chemotherapy: A Curative Approach to Plant Disease Management</w:t>
      </w:r>
    </w:p>
    <w:p w14:paraId="238FAB31" w14:textId="77777777" w:rsidR="00962DAC" w:rsidRPr="009015A2" w:rsidRDefault="00962DAC" w:rsidP="009015A2">
      <w:pPr>
        <w:pStyle w:val="NormalWeb"/>
        <w:jc w:val="both"/>
        <w:rPr>
          <w:rFonts w:ascii="Arial" w:hAnsi="Arial" w:cs="Arial"/>
          <w:sz w:val="20"/>
          <w:szCs w:val="20"/>
        </w:rPr>
      </w:pPr>
      <w:r w:rsidRPr="009015A2">
        <w:rPr>
          <w:rFonts w:ascii="Arial" w:hAnsi="Arial" w:cs="Arial"/>
          <w:sz w:val="20"/>
          <w:szCs w:val="20"/>
        </w:rPr>
        <w:t>While chemical protection primarily focuses on preventing disease establishment, chemotherapy refers to the use of chemical agents to cure infected plants by suppressing or eliminating the pathogens within plant tissues. This approach is particularly relevant for systemic infections caused by vascular pathogens, such as bacterial wilt, viral diseases, and certain fungal infections that spread internally within the plant system.</w:t>
      </w:r>
    </w:p>
    <w:p w14:paraId="7CEE18E2" w14:textId="10169671" w:rsidR="00962DAC" w:rsidRPr="009015A2" w:rsidRDefault="00962DAC" w:rsidP="00494DA7">
      <w:pPr>
        <w:pStyle w:val="NormalWeb"/>
        <w:ind w:firstLine="720"/>
        <w:jc w:val="both"/>
        <w:rPr>
          <w:rFonts w:ascii="Arial" w:hAnsi="Arial" w:cs="Arial"/>
          <w:sz w:val="20"/>
          <w:szCs w:val="20"/>
        </w:rPr>
      </w:pPr>
      <w:r w:rsidRPr="009015A2">
        <w:rPr>
          <w:rFonts w:ascii="Arial" w:hAnsi="Arial" w:cs="Arial"/>
          <w:sz w:val="20"/>
          <w:szCs w:val="20"/>
        </w:rPr>
        <w:t>Chemotherapeutic agents include systemic fungicides, antibiotics, and antiviral compounds that can penetrate plant tissues and inhibit pathogen multiplication</w:t>
      </w:r>
      <w:r w:rsidR="00494DA7">
        <w:rPr>
          <w:rFonts w:ascii="Arial" w:hAnsi="Arial" w:cs="Arial"/>
          <w:sz w:val="20"/>
          <w:szCs w:val="20"/>
        </w:rPr>
        <w:t xml:space="preserve"> (</w:t>
      </w:r>
      <w:r w:rsidR="00494DA7">
        <w:rPr>
          <w:rFonts w:ascii="Arial" w:hAnsi="Arial" w:cs="Arial"/>
          <w:color w:val="222222"/>
          <w:sz w:val="20"/>
          <w:szCs w:val="20"/>
          <w:shd w:val="clear" w:color="auto" w:fill="FFFFFF"/>
        </w:rPr>
        <w:t>Stan et al., 2021</w:t>
      </w:r>
      <w:r w:rsidR="00494DA7">
        <w:rPr>
          <w:rFonts w:ascii="Arial" w:hAnsi="Arial" w:cs="Arial"/>
          <w:sz w:val="20"/>
          <w:szCs w:val="20"/>
        </w:rPr>
        <w:t>)</w:t>
      </w:r>
      <w:r w:rsidRPr="009015A2">
        <w:rPr>
          <w:rFonts w:ascii="Arial" w:hAnsi="Arial" w:cs="Arial"/>
          <w:sz w:val="20"/>
          <w:szCs w:val="20"/>
        </w:rPr>
        <w:t>. For instance, systemic fungicides such as benzimidazoles and triazoles have been successfully used to manage soil-borne and vascular fungal diseases. Similarly, antibiotics like streptomycin and oxytetracycline have been employed to treat bacterial infections in high-value crops like citrus, apples, and pears</w:t>
      </w:r>
      <w:r w:rsidR="00494DA7">
        <w:rPr>
          <w:rFonts w:ascii="Arial" w:hAnsi="Arial" w:cs="Arial"/>
          <w:sz w:val="20"/>
          <w:szCs w:val="20"/>
        </w:rPr>
        <w:t xml:space="preserve"> (</w:t>
      </w:r>
      <w:proofErr w:type="spellStart"/>
      <w:r w:rsidR="00494DA7">
        <w:rPr>
          <w:rFonts w:ascii="Arial" w:hAnsi="Arial" w:cs="Arial"/>
          <w:color w:val="222222"/>
          <w:sz w:val="20"/>
          <w:szCs w:val="20"/>
          <w:shd w:val="clear" w:color="auto" w:fill="FFFFFF"/>
        </w:rPr>
        <w:t>Batuman</w:t>
      </w:r>
      <w:proofErr w:type="spellEnd"/>
      <w:r w:rsidR="00494DA7">
        <w:rPr>
          <w:rFonts w:ascii="Arial" w:hAnsi="Arial" w:cs="Arial"/>
          <w:color w:val="222222"/>
          <w:sz w:val="20"/>
          <w:szCs w:val="20"/>
          <w:shd w:val="clear" w:color="auto" w:fill="FFFFFF"/>
        </w:rPr>
        <w:t xml:space="preserve"> et al., 2024</w:t>
      </w:r>
      <w:r w:rsidR="00494DA7">
        <w:rPr>
          <w:rFonts w:ascii="Arial" w:hAnsi="Arial" w:cs="Arial"/>
          <w:sz w:val="20"/>
          <w:szCs w:val="20"/>
        </w:rPr>
        <w:t>)</w:t>
      </w:r>
      <w:r w:rsidRPr="009015A2">
        <w:rPr>
          <w:rFonts w:ascii="Arial" w:hAnsi="Arial" w:cs="Arial"/>
          <w:sz w:val="20"/>
          <w:szCs w:val="20"/>
        </w:rPr>
        <w:t>.</w:t>
      </w:r>
      <w:r w:rsidR="00494DA7">
        <w:rPr>
          <w:rFonts w:ascii="Arial" w:hAnsi="Arial" w:cs="Arial"/>
          <w:sz w:val="20"/>
          <w:szCs w:val="20"/>
        </w:rPr>
        <w:t xml:space="preserve"> </w:t>
      </w:r>
      <w:r w:rsidRPr="009015A2">
        <w:rPr>
          <w:rFonts w:ascii="Arial" w:hAnsi="Arial" w:cs="Arial"/>
          <w:sz w:val="20"/>
          <w:szCs w:val="20"/>
        </w:rPr>
        <w:t>Despite its potential, chemotherapy in plant pathology faces limitations, including the emergence of resistant pathogen strains, the high cost of treatment, and regulatory restrictions on certain chemical agents. Therefore, it is often integrated with other disease management practices to enhance its efficacy and sustainability.</w:t>
      </w:r>
    </w:p>
    <w:p w14:paraId="1B77AA6F" w14:textId="30D01B6E" w:rsidR="00962DAC" w:rsidRPr="00494DA7" w:rsidRDefault="00543B61" w:rsidP="00543B61">
      <w:pPr>
        <w:spacing w:before="100" w:beforeAutospacing="1" w:after="100" w:afterAutospacing="1" w:line="240" w:lineRule="auto"/>
        <w:ind w:left="0" w:firstLine="720"/>
        <w:outlineLvl w:val="0"/>
        <w:rPr>
          <w:rFonts w:ascii="Arial" w:eastAsia="Times New Roman" w:hAnsi="Arial" w:cs="Arial"/>
          <w:b/>
          <w:bCs/>
          <w:kern w:val="36"/>
          <w:sz w:val="24"/>
          <w:szCs w:val="20"/>
          <w:lang w:eastAsia="en-IN"/>
        </w:rPr>
      </w:pPr>
      <w:r>
        <w:rPr>
          <w:rFonts w:ascii="Arial" w:eastAsia="Times New Roman" w:hAnsi="Arial" w:cs="Arial"/>
          <w:b/>
          <w:bCs/>
          <w:kern w:val="36"/>
          <w:sz w:val="24"/>
          <w:szCs w:val="20"/>
          <w:lang w:eastAsia="en-IN"/>
        </w:rPr>
        <w:t xml:space="preserve">3. </w:t>
      </w:r>
      <w:r w:rsidR="00962DAC" w:rsidRPr="00494DA7">
        <w:rPr>
          <w:rFonts w:ascii="Arial" w:eastAsia="Times New Roman" w:hAnsi="Arial" w:cs="Arial"/>
          <w:b/>
          <w:bCs/>
          <w:kern w:val="36"/>
          <w:sz w:val="24"/>
          <w:szCs w:val="20"/>
          <w:lang w:eastAsia="en-IN"/>
        </w:rPr>
        <w:t>Chemical Protection in Plant Pathology</w:t>
      </w:r>
    </w:p>
    <w:p w14:paraId="58D22A9B" w14:textId="119BE18A" w:rsidR="00962DAC" w:rsidRPr="009015A2" w:rsidRDefault="00494DA7" w:rsidP="009015A2">
      <w:pPr>
        <w:spacing w:before="100" w:beforeAutospacing="1" w:after="100" w:afterAutospacing="1" w:line="240" w:lineRule="auto"/>
        <w:ind w:left="0"/>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.1 Definition and Importance</w:t>
      </w:r>
    </w:p>
    <w:p w14:paraId="11B964B0" w14:textId="37956662"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Chemical protection in plant pathology refers to the application of synthetic or natural chemicals to prevent, suppress, or eliminate plant diseases caused by fungal, bacterial, viral, or nematode pathogens</w:t>
      </w:r>
      <w:r w:rsidR="00494DA7">
        <w:rPr>
          <w:rFonts w:ascii="Arial" w:eastAsia="Times New Roman" w:hAnsi="Arial" w:cs="Arial"/>
          <w:sz w:val="20"/>
          <w:szCs w:val="20"/>
          <w:lang w:eastAsia="en-IN"/>
        </w:rPr>
        <w:t xml:space="preserve"> (</w:t>
      </w:r>
      <w:r w:rsidR="00543B61">
        <w:rPr>
          <w:rFonts w:ascii="Arial" w:hAnsi="Arial" w:cs="Arial"/>
          <w:color w:val="222222"/>
          <w:sz w:val="20"/>
          <w:szCs w:val="20"/>
          <w:shd w:val="clear" w:color="auto" w:fill="FFFFFF"/>
        </w:rPr>
        <w:t>Ul Haq et al., 2020</w:t>
      </w:r>
      <w:r w:rsidR="00494DA7">
        <w:rPr>
          <w:rFonts w:ascii="Arial" w:eastAsia="Times New Roman" w:hAnsi="Arial" w:cs="Arial"/>
          <w:sz w:val="20"/>
          <w:szCs w:val="20"/>
          <w:lang w:eastAsia="en-IN"/>
        </w:rPr>
        <w:t>)</w:t>
      </w:r>
      <w:r w:rsidRPr="009015A2">
        <w:rPr>
          <w:rFonts w:ascii="Arial" w:eastAsia="Times New Roman" w:hAnsi="Arial" w:cs="Arial"/>
          <w:sz w:val="20"/>
          <w:szCs w:val="20"/>
          <w:lang w:eastAsia="en-IN"/>
        </w:rPr>
        <w:t>. It is a fundamental component of plant disease management strategies, playing a critical role in maintaining agricultural productivity and ensuring food security. Chemical protection methods help in reducing crop losses, improving yield quality, and enhancing resistance against destructive plant diseases.</w:t>
      </w:r>
    </w:p>
    <w:p w14:paraId="10586864" w14:textId="5D9F7DE3" w:rsidR="00962DAC" w:rsidRPr="009015A2" w:rsidRDefault="00962DAC" w:rsidP="00543B61">
      <w:pPr>
        <w:spacing w:before="100" w:beforeAutospacing="1" w:after="100" w:afterAutospacing="1" w:line="240" w:lineRule="auto"/>
        <w:ind w:left="0" w:firstLine="720"/>
        <w:rPr>
          <w:rFonts w:ascii="Arial" w:eastAsia="Times New Roman" w:hAnsi="Arial" w:cs="Arial"/>
          <w:sz w:val="20"/>
          <w:szCs w:val="20"/>
          <w:lang w:eastAsia="en-IN"/>
        </w:rPr>
      </w:pPr>
      <w:r w:rsidRPr="009015A2">
        <w:rPr>
          <w:rFonts w:ascii="Arial" w:eastAsia="Times New Roman" w:hAnsi="Arial" w:cs="Arial"/>
          <w:sz w:val="20"/>
          <w:szCs w:val="20"/>
          <w:lang w:eastAsia="en-IN"/>
        </w:rPr>
        <w:lastRenderedPageBreak/>
        <w:t>The importance of chemical protection arises from the increasing threats posed by plant diseases, which can lead to severe economic losses for farmers and disrupt global food supply chains. Climate change, monoculture farming, and evolving pathogen populations have intensified disease outbreaks, necessitating the use of chemical agents as a rapid and effective means of disease control</w:t>
      </w:r>
      <w:r w:rsidR="00543B61">
        <w:rPr>
          <w:rFonts w:ascii="Arial" w:eastAsia="Times New Roman" w:hAnsi="Arial" w:cs="Arial"/>
          <w:sz w:val="20"/>
          <w:szCs w:val="20"/>
          <w:lang w:eastAsia="en-IN"/>
        </w:rPr>
        <w:t xml:space="preserve"> (Singh et al., 2023)</w:t>
      </w:r>
      <w:r w:rsidRPr="009015A2">
        <w:rPr>
          <w:rFonts w:ascii="Arial" w:eastAsia="Times New Roman" w:hAnsi="Arial" w:cs="Arial"/>
          <w:sz w:val="20"/>
          <w:szCs w:val="20"/>
          <w:lang w:eastAsia="en-IN"/>
        </w:rPr>
        <w:t xml:space="preserve">. Furthermore, chemical protection is often integrated with other management practices, such as biological control, cultural practices, and resistant crop varieties, to form a comprehensive </w:t>
      </w:r>
      <w:r w:rsidRPr="00543B61">
        <w:rPr>
          <w:rFonts w:ascii="Arial" w:eastAsia="Times New Roman" w:hAnsi="Arial" w:cs="Arial"/>
          <w:bCs/>
          <w:sz w:val="20"/>
          <w:szCs w:val="20"/>
          <w:lang w:eastAsia="en-IN"/>
        </w:rPr>
        <w:t>Integrated Disease Management (IDM)</w:t>
      </w:r>
      <w:r w:rsidRPr="009015A2">
        <w:rPr>
          <w:rFonts w:ascii="Arial" w:eastAsia="Times New Roman" w:hAnsi="Arial" w:cs="Arial"/>
          <w:sz w:val="20"/>
          <w:szCs w:val="20"/>
          <w:lang w:eastAsia="en-IN"/>
        </w:rPr>
        <w:t xml:space="preserve"> approach.</w:t>
      </w:r>
    </w:p>
    <w:p w14:paraId="2AA97D80" w14:textId="64995E1F"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Advancements in chemical formulations have led to the development of safer, more efficient, and environmentally friendly fungicides, bactericides, and other protective agents. However, the excessive and indiscriminate use of chemical protectants has raised concerns regarding environmental pollution, human health risks, and the development of resistant pathogen strains</w:t>
      </w:r>
      <w:r w:rsidR="00543B61">
        <w:rPr>
          <w:rFonts w:ascii="Arial" w:eastAsia="Times New Roman" w:hAnsi="Arial" w:cs="Arial"/>
          <w:sz w:val="20"/>
          <w:szCs w:val="20"/>
          <w:lang w:eastAsia="en-IN"/>
        </w:rPr>
        <w:t xml:space="preserve"> (</w:t>
      </w:r>
      <w:r w:rsidR="00543B61">
        <w:rPr>
          <w:rFonts w:ascii="Arial" w:hAnsi="Arial" w:cs="Arial"/>
          <w:color w:val="222222"/>
          <w:sz w:val="20"/>
          <w:szCs w:val="20"/>
          <w:shd w:val="clear" w:color="auto" w:fill="FFFFFF"/>
        </w:rPr>
        <w:t>Pathak et al., 2022</w:t>
      </w:r>
      <w:r w:rsidR="00543B61">
        <w:rPr>
          <w:rFonts w:ascii="Arial" w:eastAsia="Times New Roman" w:hAnsi="Arial" w:cs="Arial"/>
          <w:sz w:val="20"/>
          <w:szCs w:val="20"/>
          <w:lang w:eastAsia="en-IN"/>
        </w:rPr>
        <w:t>)</w:t>
      </w:r>
      <w:r w:rsidRPr="009015A2">
        <w:rPr>
          <w:rFonts w:ascii="Arial" w:eastAsia="Times New Roman" w:hAnsi="Arial" w:cs="Arial"/>
          <w:sz w:val="20"/>
          <w:szCs w:val="20"/>
          <w:lang w:eastAsia="en-IN"/>
        </w:rPr>
        <w:t>. Therefore, proper application techniques, adherence to recommended dosages, and the use of alternative eco-friendly options are essential for sustainable disease management.</w:t>
      </w:r>
    </w:p>
    <w:p w14:paraId="434061AE" w14:textId="7949B6D1" w:rsidR="00962DAC" w:rsidRPr="009015A2" w:rsidRDefault="00543B61" w:rsidP="009015A2">
      <w:pPr>
        <w:spacing w:before="100" w:beforeAutospacing="1" w:after="100" w:afterAutospacing="1" w:line="240" w:lineRule="auto"/>
        <w:ind w:left="0"/>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.2 Types of Chemical Protection</w:t>
      </w:r>
    </w:p>
    <w:p w14:paraId="17F0234F"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Chemical protection in plant pathology can be categorized into two major types based on the timing and purpose of chemical application:</w:t>
      </w:r>
    </w:p>
    <w:p w14:paraId="72875208" w14:textId="654FA300"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.2.1 Preventive Protection</w:t>
      </w:r>
    </w:p>
    <w:p w14:paraId="4C62EFEC"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Preventive protection involves applying chemicals before the onset of disease to create a protective barrier against pathogens. This method aims to prevent infection by inhibiting spore germination, disrupting pathogen life cycles, or altering the host surface to make it unsuitable for pathogen colonization.</w:t>
      </w:r>
    </w:p>
    <w:p w14:paraId="0A9B03AF" w14:textId="77777777" w:rsidR="00962DAC" w:rsidRPr="009015A2" w:rsidRDefault="00962DAC" w:rsidP="009015A2">
      <w:pPr>
        <w:numPr>
          <w:ilvl w:val="0"/>
          <w:numId w:val="14"/>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Contact fungicides</w:t>
      </w:r>
      <w:r w:rsidRPr="009015A2">
        <w:rPr>
          <w:rFonts w:ascii="Arial" w:eastAsia="Times New Roman" w:hAnsi="Arial" w:cs="Arial"/>
          <w:sz w:val="20"/>
          <w:szCs w:val="20"/>
          <w:lang w:eastAsia="en-IN"/>
        </w:rPr>
        <w:t>, such as copper-based fungicides (e.g., Bordeaux mixture, copper oxychloride), are commonly used as preventive agents. These chemicals form a protective layer on plant surfaces and inhibit the germination of fungal spores.</w:t>
      </w:r>
    </w:p>
    <w:p w14:paraId="77E906F8" w14:textId="77777777" w:rsidR="00962DAC" w:rsidRPr="009015A2" w:rsidRDefault="00962DAC" w:rsidP="009015A2">
      <w:pPr>
        <w:numPr>
          <w:ilvl w:val="0"/>
          <w:numId w:val="14"/>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Seed treatments</w:t>
      </w:r>
      <w:r w:rsidRPr="009015A2">
        <w:rPr>
          <w:rFonts w:ascii="Arial" w:eastAsia="Times New Roman" w:hAnsi="Arial" w:cs="Arial"/>
          <w:sz w:val="20"/>
          <w:szCs w:val="20"/>
          <w:lang w:eastAsia="en-IN"/>
        </w:rPr>
        <w:t xml:space="preserve"> with fungicidal coatings (e.g., thiram, </w:t>
      </w:r>
      <w:proofErr w:type="spellStart"/>
      <w:r w:rsidRPr="009015A2">
        <w:rPr>
          <w:rFonts w:ascii="Arial" w:eastAsia="Times New Roman" w:hAnsi="Arial" w:cs="Arial"/>
          <w:sz w:val="20"/>
          <w:szCs w:val="20"/>
          <w:lang w:eastAsia="en-IN"/>
        </w:rPr>
        <w:t>captan</w:t>
      </w:r>
      <w:proofErr w:type="spellEnd"/>
      <w:r w:rsidRPr="009015A2">
        <w:rPr>
          <w:rFonts w:ascii="Arial" w:eastAsia="Times New Roman" w:hAnsi="Arial" w:cs="Arial"/>
          <w:sz w:val="20"/>
          <w:szCs w:val="20"/>
          <w:lang w:eastAsia="en-IN"/>
        </w:rPr>
        <w:t>) protect seedlings from soil-borne and seed-borne pathogens, reducing early-stage infections.</w:t>
      </w:r>
    </w:p>
    <w:p w14:paraId="41BD535A" w14:textId="77777777" w:rsidR="00962DAC" w:rsidRPr="009015A2" w:rsidRDefault="00962DAC" w:rsidP="009015A2">
      <w:pPr>
        <w:numPr>
          <w:ilvl w:val="0"/>
          <w:numId w:val="14"/>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Soil fumigants</w:t>
      </w:r>
      <w:r w:rsidRPr="009015A2">
        <w:rPr>
          <w:rFonts w:ascii="Arial" w:eastAsia="Times New Roman" w:hAnsi="Arial" w:cs="Arial"/>
          <w:sz w:val="20"/>
          <w:szCs w:val="20"/>
          <w:lang w:eastAsia="en-IN"/>
        </w:rPr>
        <w:t xml:space="preserve"> such as methyl bromide and chloropicrin are used to sterilize soil and eliminate harmful pathogens before planting.</w:t>
      </w:r>
    </w:p>
    <w:p w14:paraId="173375E5"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Preventive protection is particularly effective for crops that are highly susceptible to foliar diseases, such as vegetables, fruits, and cereals. It is widely used in large-scale commercial farming to ensure consistent crop health.</w:t>
      </w:r>
    </w:p>
    <w:p w14:paraId="2C3E8FA2" w14:textId="4BD4AF4D"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.2.2 Curative Protection</w:t>
      </w:r>
    </w:p>
    <w:p w14:paraId="77191197"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Curative protection involves applying chemicals after an infection has already occurred to control disease progression and minimize damage. These chemicals are often </w:t>
      </w:r>
      <w:r w:rsidRPr="009015A2">
        <w:rPr>
          <w:rFonts w:ascii="Arial" w:eastAsia="Times New Roman" w:hAnsi="Arial" w:cs="Arial"/>
          <w:b/>
          <w:bCs/>
          <w:sz w:val="20"/>
          <w:szCs w:val="20"/>
          <w:lang w:eastAsia="en-IN"/>
        </w:rPr>
        <w:t>systemic fungicides or bactericides</w:t>
      </w:r>
      <w:r w:rsidRPr="009015A2">
        <w:rPr>
          <w:rFonts w:ascii="Arial" w:eastAsia="Times New Roman" w:hAnsi="Arial" w:cs="Arial"/>
          <w:sz w:val="20"/>
          <w:szCs w:val="20"/>
          <w:lang w:eastAsia="en-IN"/>
        </w:rPr>
        <w:t xml:space="preserve"> that can penetrate plant tissues and target pathogens within the plant.</w:t>
      </w:r>
    </w:p>
    <w:p w14:paraId="17C4C299" w14:textId="77777777" w:rsidR="00962DAC" w:rsidRPr="009015A2" w:rsidRDefault="00962DAC" w:rsidP="009015A2">
      <w:pPr>
        <w:numPr>
          <w:ilvl w:val="0"/>
          <w:numId w:val="15"/>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Systemic fungicides</w:t>
      </w:r>
      <w:r w:rsidRPr="009015A2">
        <w:rPr>
          <w:rFonts w:ascii="Arial" w:eastAsia="Times New Roman" w:hAnsi="Arial" w:cs="Arial"/>
          <w:sz w:val="20"/>
          <w:szCs w:val="20"/>
          <w:lang w:eastAsia="en-IN"/>
        </w:rPr>
        <w:t>, such as benzimidazoles (e.g., carbendazim) and triazoles (e.g., propiconazole), move through the plant’s vascular system and inhibit fungal growth even after infection has begun.</w:t>
      </w:r>
    </w:p>
    <w:p w14:paraId="726A1B0E" w14:textId="77777777" w:rsidR="00962DAC" w:rsidRPr="009015A2" w:rsidRDefault="00962DAC" w:rsidP="009015A2">
      <w:pPr>
        <w:numPr>
          <w:ilvl w:val="0"/>
          <w:numId w:val="15"/>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Antibiotics</w:t>
      </w:r>
      <w:r w:rsidRPr="009015A2">
        <w:rPr>
          <w:rFonts w:ascii="Arial" w:eastAsia="Times New Roman" w:hAnsi="Arial" w:cs="Arial"/>
          <w:sz w:val="20"/>
          <w:szCs w:val="20"/>
          <w:lang w:eastAsia="en-IN"/>
        </w:rPr>
        <w:t>, such as streptomycin and tetracycline, are used to manage bacterial diseases by inhibiting bacterial protein synthesis.</w:t>
      </w:r>
    </w:p>
    <w:p w14:paraId="6B9CE01E" w14:textId="77777777" w:rsidR="00962DAC" w:rsidRPr="009015A2" w:rsidRDefault="00962DAC" w:rsidP="009015A2">
      <w:pPr>
        <w:numPr>
          <w:ilvl w:val="0"/>
          <w:numId w:val="15"/>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Curative sprays</w:t>
      </w:r>
      <w:r w:rsidRPr="009015A2">
        <w:rPr>
          <w:rFonts w:ascii="Arial" w:eastAsia="Times New Roman" w:hAnsi="Arial" w:cs="Arial"/>
          <w:sz w:val="20"/>
          <w:szCs w:val="20"/>
          <w:lang w:eastAsia="en-IN"/>
        </w:rPr>
        <w:t xml:space="preserve"> are applied when disease symptoms first appear, preventing further pathogen multiplication and spread.</w:t>
      </w:r>
    </w:p>
    <w:p w14:paraId="7C4EDECC"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Curative chemical protection is particularly useful for managing systemic diseases, such as rusts, powdery mildew, and bacterial blights, where infections spread internally and cannot be controlled by contact fungicides alone.</w:t>
      </w:r>
    </w:p>
    <w:p w14:paraId="78C63AB5" w14:textId="3390E839" w:rsidR="00962DAC" w:rsidRPr="009015A2" w:rsidRDefault="00543B61" w:rsidP="009015A2">
      <w:pPr>
        <w:spacing w:before="100" w:beforeAutospacing="1" w:after="100" w:afterAutospacing="1" w:line="240" w:lineRule="auto"/>
        <w:ind w:left="0"/>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3</w:t>
      </w:r>
      <w:r w:rsidR="00962DAC" w:rsidRPr="009015A2">
        <w:rPr>
          <w:rFonts w:ascii="Arial" w:eastAsia="Times New Roman" w:hAnsi="Arial" w:cs="Arial"/>
          <w:b/>
          <w:bCs/>
          <w:sz w:val="20"/>
          <w:szCs w:val="20"/>
          <w:lang w:eastAsia="en-IN"/>
        </w:rPr>
        <w:t>.3 Modes of Action</w:t>
      </w:r>
    </w:p>
    <w:p w14:paraId="67C722AB"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The effectiveness of chemical protection depends on the mode of action of the chemical agents used. Chemical protectants can be classified into three main categories based on how they interact with plant tissues and pathogens:</w:t>
      </w:r>
    </w:p>
    <w:p w14:paraId="5D89F022" w14:textId="2FEF9B78"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.3.1 Contact Fungicides</w:t>
      </w:r>
    </w:p>
    <w:p w14:paraId="0FCE256A"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Contact fungicides, also known as </w:t>
      </w:r>
      <w:r w:rsidRPr="009015A2">
        <w:rPr>
          <w:rFonts w:ascii="Arial" w:eastAsia="Times New Roman" w:hAnsi="Arial" w:cs="Arial"/>
          <w:b/>
          <w:bCs/>
          <w:sz w:val="20"/>
          <w:szCs w:val="20"/>
          <w:lang w:eastAsia="en-IN"/>
        </w:rPr>
        <w:t>protectant fungicides</w:t>
      </w:r>
      <w:r w:rsidRPr="009015A2">
        <w:rPr>
          <w:rFonts w:ascii="Arial" w:eastAsia="Times New Roman" w:hAnsi="Arial" w:cs="Arial"/>
          <w:sz w:val="20"/>
          <w:szCs w:val="20"/>
          <w:lang w:eastAsia="en-IN"/>
        </w:rPr>
        <w:t>, remain on the surface of plant tissues and act as a physical barrier against pathogen infection. They do not penetrate plant cells but instead prevent spore germination and fungal establishment.</w:t>
      </w:r>
    </w:p>
    <w:p w14:paraId="727E1DE9" w14:textId="77777777" w:rsidR="00962DAC" w:rsidRPr="009015A2" w:rsidRDefault="00962DAC" w:rsidP="009015A2">
      <w:pPr>
        <w:numPr>
          <w:ilvl w:val="0"/>
          <w:numId w:val="16"/>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Example: </w:t>
      </w:r>
      <w:r w:rsidRPr="009015A2">
        <w:rPr>
          <w:rFonts w:ascii="Arial" w:eastAsia="Times New Roman" w:hAnsi="Arial" w:cs="Arial"/>
          <w:b/>
          <w:bCs/>
          <w:sz w:val="20"/>
          <w:szCs w:val="20"/>
          <w:lang w:eastAsia="en-IN"/>
        </w:rPr>
        <w:t>Copper-based fungicides</w:t>
      </w:r>
      <w:r w:rsidRPr="009015A2">
        <w:rPr>
          <w:rFonts w:ascii="Arial" w:eastAsia="Times New Roman" w:hAnsi="Arial" w:cs="Arial"/>
          <w:sz w:val="20"/>
          <w:szCs w:val="20"/>
          <w:lang w:eastAsia="en-IN"/>
        </w:rPr>
        <w:t xml:space="preserve"> (e.g., Bordeaux mixture, copper hydroxide) and </w:t>
      </w:r>
      <w:r w:rsidRPr="009015A2">
        <w:rPr>
          <w:rFonts w:ascii="Arial" w:eastAsia="Times New Roman" w:hAnsi="Arial" w:cs="Arial"/>
          <w:b/>
          <w:bCs/>
          <w:sz w:val="20"/>
          <w:szCs w:val="20"/>
          <w:lang w:eastAsia="en-IN"/>
        </w:rPr>
        <w:t>mancozeb</w:t>
      </w:r>
      <w:r w:rsidRPr="009015A2">
        <w:rPr>
          <w:rFonts w:ascii="Arial" w:eastAsia="Times New Roman" w:hAnsi="Arial" w:cs="Arial"/>
          <w:sz w:val="20"/>
          <w:szCs w:val="20"/>
          <w:lang w:eastAsia="en-IN"/>
        </w:rPr>
        <w:t xml:space="preserve"> are widely used contact fungicides.</w:t>
      </w:r>
    </w:p>
    <w:p w14:paraId="6B4E5BA5" w14:textId="77777777" w:rsidR="00962DAC" w:rsidRPr="009015A2" w:rsidRDefault="00962DAC" w:rsidP="009015A2">
      <w:pPr>
        <w:numPr>
          <w:ilvl w:val="0"/>
          <w:numId w:val="16"/>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They are effective against foliar pathogens such as downy mildew, leaf spot, and anthracnose.</w:t>
      </w:r>
    </w:p>
    <w:p w14:paraId="381EA747" w14:textId="77777777" w:rsidR="00962DAC" w:rsidRPr="009015A2" w:rsidRDefault="00962DAC" w:rsidP="009015A2">
      <w:pPr>
        <w:numPr>
          <w:ilvl w:val="0"/>
          <w:numId w:val="16"/>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Since they do not enter plant tissues, they must be applied repeatedly to ensure continuous protection, especially after rainfall.</w:t>
      </w:r>
    </w:p>
    <w:p w14:paraId="0B041CA6" w14:textId="374A9ED1"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.3.2 Systemic Fungicides</w:t>
      </w:r>
    </w:p>
    <w:p w14:paraId="37CBB537"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Systemic fungicides are absorbed by the plant and translocated through the vascular system, providing internal protection against pathogens. These fungicides have curative properties and can stop disease progression even after infection has occurred.</w:t>
      </w:r>
    </w:p>
    <w:p w14:paraId="1CF3DF91" w14:textId="77777777" w:rsidR="00962DAC" w:rsidRPr="009015A2" w:rsidRDefault="00962DAC" w:rsidP="009015A2">
      <w:pPr>
        <w:numPr>
          <w:ilvl w:val="0"/>
          <w:numId w:val="17"/>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Example: </w:t>
      </w:r>
      <w:r w:rsidRPr="009015A2">
        <w:rPr>
          <w:rFonts w:ascii="Arial" w:eastAsia="Times New Roman" w:hAnsi="Arial" w:cs="Arial"/>
          <w:b/>
          <w:bCs/>
          <w:sz w:val="20"/>
          <w:szCs w:val="20"/>
          <w:lang w:eastAsia="en-IN"/>
        </w:rPr>
        <w:t>Benzimidazoles</w:t>
      </w:r>
      <w:r w:rsidRPr="009015A2">
        <w:rPr>
          <w:rFonts w:ascii="Arial" w:eastAsia="Times New Roman" w:hAnsi="Arial" w:cs="Arial"/>
          <w:sz w:val="20"/>
          <w:szCs w:val="20"/>
          <w:lang w:eastAsia="en-IN"/>
        </w:rPr>
        <w:t xml:space="preserve"> (e.g., carbendazim), </w:t>
      </w:r>
      <w:r w:rsidRPr="009015A2">
        <w:rPr>
          <w:rFonts w:ascii="Arial" w:eastAsia="Times New Roman" w:hAnsi="Arial" w:cs="Arial"/>
          <w:b/>
          <w:bCs/>
          <w:sz w:val="20"/>
          <w:szCs w:val="20"/>
          <w:lang w:eastAsia="en-IN"/>
        </w:rPr>
        <w:t>triazoles</w:t>
      </w:r>
      <w:r w:rsidRPr="009015A2">
        <w:rPr>
          <w:rFonts w:ascii="Arial" w:eastAsia="Times New Roman" w:hAnsi="Arial" w:cs="Arial"/>
          <w:sz w:val="20"/>
          <w:szCs w:val="20"/>
          <w:lang w:eastAsia="en-IN"/>
        </w:rPr>
        <w:t xml:space="preserve"> (e.g., propiconazole), and </w:t>
      </w:r>
      <w:r w:rsidRPr="009015A2">
        <w:rPr>
          <w:rFonts w:ascii="Arial" w:eastAsia="Times New Roman" w:hAnsi="Arial" w:cs="Arial"/>
          <w:b/>
          <w:bCs/>
          <w:sz w:val="20"/>
          <w:szCs w:val="20"/>
          <w:lang w:eastAsia="en-IN"/>
        </w:rPr>
        <w:t>strobilurins</w:t>
      </w:r>
      <w:r w:rsidRPr="009015A2">
        <w:rPr>
          <w:rFonts w:ascii="Arial" w:eastAsia="Times New Roman" w:hAnsi="Arial" w:cs="Arial"/>
          <w:sz w:val="20"/>
          <w:szCs w:val="20"/>
          <w:lang w:eastAsia="en-IN"/>
        </w:rPr>
        <w:t xml:space="preserve"> (e.g., azoxystrobin).</w:t>
      </w:r>
    </w:p>
    <w:p w14:paraId="52D47652" w14:textId="77777777" w:rsidR="00962DAC" w:rsidRPr="009015A2" w:rsidRDefault="00962DAC" w:rsidP="009015A2">
      <w:pPr>
        <w:numPr>
          <w:ilvl w:val="0"/>
          <w:numId w:val="17"/>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Systemic fungicides are widely used in cereals, fruits, and vegetables for controlling rusts, smuts, powdery mildew, and vascular wilt diseases.</w:t>
      </w:r>
    </w:p>
    <w:p w14:paraId="3BCC0DEB" w14:textId="77777777" w:rsidR="00962DAC" w:rsidRPr="009015A2" w:rsidRDefault="00962DAC" w:rsidP="009015A2">
      <w:pPr>
        <w:numPr>
          <w:ilvl w:val="0"/>
          <w:numId w:val="17"/>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They provide longer-lasting protection compared to contact fungicides but may contribute to the development of resistant pathogen strains if overused.</w:t>
      </w:r>
    </w:p>
    <w:p w14:paraId="1E3EB9F4" w14:textId="6727E82A"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.3.3 Translaminar Fungicides</w:t>
      </w:r>
    </w:p>
    <w:p w14:paraId="6770875A"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Translaminar fungicides move across the leaf surface and penetrate only a few cell layers but do not travel through the entire plant system. They offer localized protection against pathogens attacking leaf tissues.</w:t>
      </w:r>
    </w:p>
    <w:p w14:paraId="63056CFF" w14:textId="77777777" w:rsidR="00962DAC" w:rsidRPr="009015A2" w:rsidRDefault="00962DAC" w:rsidP="009015A2">
      <w:pPr>
        <w:numPr>
          <w:ilvl w:val="0"/>
          <w:numId w:val="18"/>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Example: </w:t>
      </w:r>
      <w:proofErr w:type="spellStart"/>
      <w:r w:rsidRPr="009015A2">
        <w:rPr>
          <w:rFonts w:ascii="Arial" w:eastAsia="Times New Roman" w:hAnsi="Arial" w:cs="Arial"/>
          <w:b/>
          <w:bCs/>
          <w:sz w:val="20"/>
          <w:szCs w:val="20"/>
          <w:lang w:eastAsia="en-IN"/>
        </w:rPr>
        <w:t>Fluopyram</w:t>
      </w:r>
      <w:proofErr w:type="spellEnd"/>
      <w:r w:rsidRPr="009015A2">
        <w:rPr>
          <w:rFonts w:ascii="Arial" w:eastAsia="Times New Roman" w:hAnsi="Arial" w:cs="Arial"/>
          <w:sz w:val="20"/>
          <w:szCs w:val="20"/>
          <w:lang w:eastAsia="en-IN"/>
        </w:rPr>
        <w:t xml:space="preserve"> and </w:t>
      </w:r>
      <w:r w:rsidRPr="009015A2">
        <w:rPr>
          <w:rFonts w:ascii="Arial" w:eastAsia="Times New Roman" w:hAnsi="Arial" w:cs="Arial"/>
          <w:b/>
          <w:bCs/>
          <w:sz w:val="20"/>
          <w:szCs w:val="20"/>
          <w:lang w:eastAsia="en-IN"/>
        </w:rPr>
        <w:t>spiroxamine</w:t>
      </w:r>
      <w:r w:rsidRPr="009015A2">
        <w:rPr>
          <w:rFonts w:ascii="Arial" w:eastAsia="Times New Roman" w:hAnsi="Arial" w:cs="Arial"/>
          <w:sz w:val="20"/>
          <w:szCs w:val="20"/>
          <w:lang w:eastAsia="en-IN"/>
        </w:rPr>
        <w:t xml:space="preserve"> are translaminar fungicides used against powdery mildew and botrytis.</w:t>
      </w:r>
    </w:p>
    <w:p w14:paraId="623362A7" w14:textId="77777777" w:rsidR="00962DAC" w:rsidRPr="009015A2" w:rsidRDefault="00962DAC" w:rsidP="009015A2">
      <w:pPr>
        <w:numPr>
          <w:ilvl w:val="0"/>
          <w:numId w:val="18"/>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They provide better protection than contact fungicides and reduce the risk of wash-off by rain.</w:t>
      </w:r>
    </w:p>
    <w:p w14:paraId="685C8FB6" w14:textId="77777777" w:rsidR="00962DAC" w:rsidRPr="009015A2" w:rsidRDefault="00962DAC" w:rsidP="009015A2">
      <w:pPr>
        <w:numPr>
          <w:ilvl w:val="0"/>
          <w:numId w:val="18"/>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These fungicides are effective for foliar diseases but do not protect other parts of the plant, such as stems and roots.</w:t>
      </w:r>
    </w:p>
    <w:p w14:paraId="42021A4D" w14:textId="55C9C21F"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.3.4 Multi-Site and Single-Site Fungicides</w:t>
      </w:r>
    </w:p>
    <w:p w14:paraId="65B7C600"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Fungicides can also be categorized based on whether they target multiple metabolic pathways or a single specific site in the pathogen’s biochemical processes.</w:t>
      </w:r>
    </w:p>
    <w:p w14:paraId="5633D985" w14:textId="77777777" w:rsidR="00962DAC" w:rsidRPr="009015A2" w:rsidRDefault="00962DAC" w:rsidP="009015A2">
      <w:pPr>
        <w:numPr>
          <w:ilvl w:val="0"/>
          <w:numId w:val="19"/>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Multi-site fungicides</w:t>
      </w:r>
      <w:r w:rsidRPr="009015A2">
        <w:rPr>
          <w:rFonts w:ascii="Arial" w:eastAsia="Times New Roman" w:hAnsi="Arial" w:cs="Arial"/>
          <w:sz w:val="20"/>
          <w:szCs w:val="20"/>
          <w:lang w:eastAsia="en-IN"/>
        </w:rPr>
        <w:t xml:space="preserve"> (e.g., mancozeb, </w:t>
      </w:r>
      <w:proofErr w:type="spellStart"/>
      <w:r w:rsidRPr="009015A2">
        <w:rPr>
          <w:rFonts w:ascii="Arial" w:eastAsia="Times New Roman" w:hAnsi="Arial" w:cs="Arial"/>
          <w:sz w:val="20"/>
          <w:szCs w:val="20"/>
          <w:lang w:eastAsia="en-IN"/>
        </w:rPr>
        <w:t>captan</w:t>
      </w:r>
      <w:proofErr w:type="spellEnd"/>
      <w:r w:rsidRPr="009015A2">
        <w:rPr>
          <w:rFonts w:ascii="Arial" w:eastAsia="Times New Roman" w:hAnsi="Arial" w:cs="Arial"/>
          <w:sz w:val="20"/>
          <w:szCs w:val="20"/>
          <w:lang w:eastAsia="en-IN"/>
        </w:rPr>
        <w:t>) act on multiple biochemical pathways, making it harder for pathogens to develop resistance.</w:t>
      </w:r>
    </w:p>
    <w:p w14:paraId="1E2CB642" w14:textId="77777777" w:rsidR="00962DAC" w:rsidRPr="009015A2" w:rsidRDefault="00962DAC" w:rsidP="009015A2">
      <w:pPr>
        <w:numPr>
          <w:ilvl w:val="0"/>
          <w:numId w:val="19"/>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Single-site fungicides</w:t>
      </w:r>
      <w:r w:rsidRPr="009015A2">
        <w:rPr>
          <w:rFonts w:ascii="Arial" w:eastAsia="Times New Roman" w:hAnsi="Arial" w:cs="Arial"/>
          <w:sz w:val="20"/>
          <w:szCs w:val="20"/>
          <w:lang w:eastAsia="en-IN"/>
        </w:rPr>
        <w:t xml:space="preserve"> (e.g., benzimidazoles, triazoles) target a specific enzyme or pathway, offering high efficacy but posing a higher risk of resistance development.</w:t>
      </w:r>
    </w:p>
    <w:p w14:paraId="58E5337C" w14:textId="1AA66C85" w:rsidR="00CE4393" w:rsidRPr="00543B61" w:rsidRDefault="00543B61" w:rsidP="009015A2">
      <w:pPr>
        <w:tabs>
          <w:tab w:val="left" w:pos="567"/>
        </w:tabs>
        <w:spacing w:before="100" w:beforeAutospacing="1" w:after="100" w:afterAutospacing="1" w:line="240" w:lineRule="auto"/>
        <w:ind w:left="0"/>
        <w:outlineLvl w:val="0"/>
        <w:rPr>
          <w:rFonts w:ascii="Arial" w:eastAsia="Times New Roman" w:hAnsi="Arial" w:cs="Arial"/>
          <w:b/>
          <w:bCs/>
          <w:kern w:val="36"/>
          <w:sz w:val="24"/>
          <w:szCs w:val="20"/>
          <w:lang w:eastAsia="en-IN"/>
        </w:rPr>
      </w:pPr>
      <w:r>
        <w:rPr>
          <w:rFonts w:ascii="Arial" w:eastAsia="Times New Roman" w:hAnsi="Arial" w:cs="Arial"/>
          <w:b/>
          <w:bCs/>
          <w:kern w:val="36"/>
          <w:sz w:val="24"/>
          <w:szCs w:val="20"/>
          <w:lang w:eastAsia="en-IN"/>
        </w:rPr>
        <w:t>4</w:t>
      </w:r>
      <w:r w:rsidR="00CE4393" w:rsidRPr="00543B61">
        <w:rPr>
          <w:rFonts w:ascii="Arial" w:eastAsia="Times New Roman" w:hAnsi="Arial" w:cs="Arial"/>
          <w:b/>
          <w:bCs/>
          <w:kern w:val="36"/>
          <w:sz w:val="24"/>
          <w:szCs w:val="20"/>
          <w:lang w:eastAsia="en-IN"/>
        </w:rPr>
        <w:t>. Chemotherapy in Plant Pathology</w:t>
      </w:r>
    </w:p>
    <w:p w14:paraId="6BF51235" w14:textId="77777777" w:rsidR="00CE4393" w:rsidRPr="009015A2" w:rsidRDefault="00CE4393" w:rsidP="009015A2">
      <w:pPr>
        <w:tabs>
          <w:tab w:val="left" w:pos="567"/>
        </w:tabs>
        <w:spacing w:before="100" w:beforeAutospacing="1" w:after="100" w:afterAutospacing="1" w:line="240" w:lineRule="auto"/>
        <w:ind w:left="0"/>
        <w:outlineLvl w:val="1"/>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2.1 Concept and Definition</w:t>
      </w:r>
    </w:p>
    <w:p w14:paraId="33C86641"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lastRenderedPageBreak/>
        <w:t xml:space="preserve">Chemotherapy in plant pathology refers to the use of chemicals for the </w:t>
      </w:r>
      <w:r w:rsidRPr="009015A2">
        <w:rPr>
          <w:rFonts w:ascii="Arial" w:eastAsia="Times New Roman" w:hAnsi="Arial" w:cs="Arial"/>
          <w:b/>
          <w:bCs/>
          <w:sz w:val="20"/>
          <w:szCs w:val="20"/>
          <w:lang w:eastAsia="en-IN"/>
        </w:rPr>
        <w:t>therapeutic treatment</w:t>
      </w:r>
      <w:r w:rsidRPr="009015A2">
        <w:rPr>
          <w:rFonts w:ascii="Arial" w:eastAsia="Times New Roman" w:hAnsi="Arial" w:cs="Arial"/>
          <w:sz w:val="20"/>
          <w:szCs w:val="20"/>
          <w:lang w:eastAsia="en-IN"/>
        </w:rPr>
        <w:t xml:space="preserve"> of plants already infected by pathogens. Unlike </w:t>
      </w:r>
      <w:r w:rsidRPr="009015A2">
        <w:rPr>
          <w:rFonts w:ascii="Arial" w:eastAsia="Times New Roman" w:hAnsi="Arial" w:cs="Arial"/>
          <w:b/>
          <w:bCs/>
          <w:sz w:val="20"/>
          <w:szCs w:val="20"/>
          <w:lang w:eastAsia="en-IN"/>
        </w:rPr>
        <w:t>protective chemical treatments</w:t>
      </w:r>
      <w:r w:rsidRPr="009015A2">
        <w:rPr>
          <w:rFonts w:ascii="Arial" w:eastAsia="Times New Roman" w:hAnsi="Arial" w:cs="Arial"/>
          <w:sz w:val="20"/>
          <w:szCs w:val="20"/>
          <w:lang w:eastAsia="en-IN"/>
        </w:rPr>
        <w:t>, which aim to prevent infection, chemotherapy involves the direct eradication or suppression of pathogens that have already established themselves within the plant tissues.</w:t>
      </w:r>
    </w:p>
    <w:p w14:paraId="2A078DC7"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Chemotherapeutic agents primarily function by interfering with the metabolic pathways of pathogens, inhibiting their growth, reproduction, or survival. These agents can be applied through foliar sprays, seed treatments, soil drenches, or systemic injections, depending on the nature of the disease and the affected crop.</w:t>
      </w:r>
    </w:p>
    <w:p w14:paraId="7ED6CDAD"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importance of chemotherapy lies in its ability to </w:t>
      </w:r>
      <w:r w:rsidRPr="009015A2">
        <w:rPr>
          <w:rFonts w:ascii="Arial" w:eastAsia="Times New Roman" w:hAnsi="Arial" w:cs="Arial"/>
          <w:b/>
          <w:bCs/>
          <w:sz w:val="20"/>
          <w:szCs w:val="20"/>
          <w:lang w:eastAsia="en-IN"/>
        </w:rPr>
        <w:t>salvage infected crops</w:t>
      </w:r>
      <w:r w:rsidRPr="009015A2">
        <w:rPr>
          <w:rFonts w:ascii="Arial" w:eastAsia="Times New Roman" w:hAnsi="Arial" w:cs="Arial"/>
          <w:sz w:val="20"/>
          <w:szCs w:val="20"/>
          <w:lang w:eastAsia="en-IN"/>
        </w:rPr>
        <w:t xml:space="preserve">, particularly in cases where cultural and preventive chemical methods fail to prevent disease outbreaks. Chemotherapy plays a significant role in managing </w:t>
      </w:r>
      <w:r w:rsidRPr="009015A2">
        <w:rPr>
          <w:rFonts w:ascii="Arial" w:eastAsia="Times New Roman" w:hAnsi="Arial" w:cs="Arial"/>
          <w:b/>
          <w:bCs/>
          <w:sz w:val="20"/>
          <w:szCs w:val="20"/>
          <w:lang w:eastAsia="en-IN"/>
        </w:rPr>
        <w:t>systemic infections</w:t>
      </w:r>
      <w:r w:rsidRPr="009015A2">
        <w:rPr>
          <w:rFonts w:ascii="Arial" w:eastAsia="Times New Roman" w:hAnsi="Arial" w:cs="Arial"/>
          <w:sz w:val="20"/>
          <w:szCs w:val="20"/>
          <w:lang w:eastAsia="en-IN"/>
        </w:rPr>
        <w:t xml:space="preserve"> caused by fungi, bacteria, and viruses that spread internally within the plant. Some of the most widely used chemotherapeutic agents include systemic fungicides, bactericides, and antiviral compounds.</w:t>
      </w:r>
    </w:p>
    <w:p w14:paraId="119D6381"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While chemotherapy provides an </w:t>
      </w:r>
      <w:r w:rsidRPr="009015A2">
        <w:rPr>
          <w:rFonts w:ascii="Arial" w:eastAsia="Times New Roman" w:hAnsi="Arial" w:cs="Arial"/>
          <w:b/>
          <w:bCs/>
          <w:sz w:val="20"/>
          <w:szCs w:val="20"/>
          <w:lang w:eastAsia="en-IN"/>
        </w:rPr>
        <w:t>effective disease control measure</w:t>
      </w:r>
      <w:r w:rsidRPr="009015A2">
        <w:rPr>
          <w:rFonts w:ascii="Arial" w:eastAsia="Times New Roman" w:hAnsi="Arial" w:cs="Arial"/>
          <w:sz w:val="20"/>
          <w:szCs w:val="20"/>
          <w:lang w:eastAsia="en-IN"/>
        </w:rPr>
        <w:t xml:space="preserve">, it must be used judiciously to minimize risks such as </w:t>
      </w:r>
      <w:r w:rsidRPr="009015A2">
        <w:rPr>
          <w:rFonts w:ascii="Arial" w:eastAsia="Times New Roman" w:hAnsi="Arial" w:cs="Arial"/>
          <w:b/>
          <w:bCs/>
          <w:sz w:val="20"/>
          <w:szCs w:val="20"/>
          <w:lang w:eastAsia="en-IN"/>
        </w:rPr>
        <w:t>pathogen resistance, environmental contamination, and toxicity to non-target organisms</w:t>
      </w:r>
      <w:r w:rsidRPr="009015A2">
        <w:rPr>
          <w:rFonts w:ascii="Arial" w:eastAsia="Times New Roman" w:hAnsi="Arial" w:cs="Arial"/>
          <w:sz w:val="20"/>
          <w:szCs w:val="20"/>
          <w:lang w:eastAsia="en-IN"/>
        </w:rPr>
        <w:t xml:space="preserve">. Integrated disease management (IDM) strategies often combine chemotherapy with </w:t>
      </w:r>
      <w:r w:rsidRPr="009015A2">
        <w:rPr>
          <w:rFonts w:ascii="Arial" w:eastAsia="Times New Roman" w:hAnsi="Arial" w:cs="Arial"/>
          <w:b/>
          <w:bCs/>
          <w:sz w:val="20"/>
          <w:szCs w:val="20"/>
          <w:lang w:eastAsia="en-IN"/>
        </w:rPr>
        <w:t>biological control, crop rotation, and resistant crop varieties</w:t>
      </w:r>
      <w:r w:rsidRPr="009015A2">
        <w:rPr>
          <w:rFonts w:ascii="Arial" w:eastAsia="Times New Roman" w:hAnsi="Arial" w:cs="Arial"/>
          <w:sz w:val="20"/>
          <w:szCs w:val="20"/>
          <w:lang w:eastAsia="en-IN"/>
        </w:rPr>
        <w:t xml:space="preserve"> to achieve sustainable plant disease management.</w:t>
      </w:r>
    </w:p>
    <w:p w14:paraId="5DFF16DD" w14:textId="77777777" w:rsidR="00CE4393" w:rsidRPr="009015A2" w:rsidRDefault="00CE4393" w:rsidP="009015A2">
      <w:pPr>
        <w:tabs>
          <w:tab w:val="left" w:pos="567"/>
        </w:tabs>
        <w:spacing w:before="100" w:beforeAutospacing="1" w:after="100" w:afterAutospacing="1" w:line="240" w:lineRule="auto"/>
        <w:ind w:left="0"/>
        <w:outlineLvl w:val="1"/>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2.2 History and Development</w:t>
      </w:r>
    </w:p>
    <w:p w14:paraId="1E1D15AC"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concept of chemotherapy in plant pathology emerged in the </w:t>
      </w:r>
      <w:r w:rsidRPr="009015A2">
        <w:rPr>
          <w:rFonts w:ascii="Arial" w:eastAsia="Times New Roman" w:hAnsi="Arial" w:cs="Arial"/>
          <w:b/>
          <w:bCs/>
          <w:sz w:val="20"/>
          <w:szCs w:val="20"/>
          <w:lang w:eastAsia="en-IN"/>
        </w:rPr>
        <w:t>early 20th century</w:t>
      </w:r>
      <w:r w:rsidRPr="009015A2">
        <w:rPr>
          <w:rFonts w:ascii="Arial" w:eastAsia="Times New Roman" w:hAnsi="Arial" w:cs="Arial"/>
          <w:sz w:val="20"/>
          <w:szCs w:val="20"/>
          <w:lang w:eastAsia="en-IN"/>
        </w:rPr>
        <w:t xml:space="preserve">, when researchers first began experimenting with </w:t>
      </w:r>
      <w:r w:rsidRPr="009015A2">
        <w:rPr>
          <w:rFonts w:ascii="Arial" w:eastAsia="Times New Roman" w:hAnsi="Arial" w:cs="Arial"/>
          <w:b/>
          <w:bCs/>
          <w:sz w:val="20"/>
          <w:szCs w:val="20"/>
          <w:lang w:eastAsia="en-IN"/>
        </w:rPr>
        <w:t>mercury-based compounds</w:t>
      </w:r>
      <w:r w:rsidRPr="009015A2">
        <w:rPr>
          <w:rFonts w:ascii="Arial" w:eastAsia="Times New Roman" w:hAnsi="Arial" w:cs="Arial"/>
          <w:sz w:val="20"/>
          <w:szCs w:val="20"/>
          <w:lang w:eastAsia="en-IN"/>
        </w:rPr>
        <w:t xml:space="preserve"> to control fungal and bacterial diseases in plants. These early compounds, such as </w:t>
      </w:r>
      <w:r w:rsidRPr="009015A2">
        <w:rPr>
          <w:rFonts w:ascii="Arial" w:eastAsia="Times New Roman" w:hAnsi="Arial" w:cs="Arial"/>
          <w:b/>
          <w:bCs/>
          <w:sz w:val="20"/>
          <w:szCs w:val="20"/>
          <w:lang w:eastAsia="en-IN"/>
        </w:rPr>
        <w:t>ethyl mercury chloride and phenylmercuric acetate</w:t>
      </w:r>
      <w:r w:rsidRPr="009015A2">
        <w:rPr>
          <w:rFonts w:ascii="Arial" w:eastAsia="Times New Roman" w:hAnsi="Arial" w:cs="Arial"/>
          <w:sz w:val="20"/>
          <w:szCs w:val="20"/>
          <w:lang w:eastAsia="en-IN"/>
        </w:rPr>
        <w:t xml:space="preserve">, were widely used due to their broad-spectrum activity. However, concerns regarding </w:t>
      </w:r>
      <w:r w:rsidRPr="009015A2">
        <w:rPr>
          <w:rFonts w:ascii="Arial" w:eastAsia="Times New Roman" w:hAnsi="Arial" w:cs="Arial"/>
          <w:b/>
          <w:bCs/>
          <w:sz w:val="20"/>
          <w:szCs w:val="20"/>
          <w:lang w:eastAsia="en-IN"/>
        </w:rPr>
        <w:t>toxicity, environmental persistence, and bioaccumulation</w:t>
      </w:r>
      <w:r w:rsidRPr="009015A2">
        <w:rPr>
          <w:rFonts w:ascii="Arial" w:eastAsia="Times New Roman" w:hAnsi="Arial" w:cs="Arial"/>
          <w:sz w:val="20"/>
          <w:szCs w:val="20"/>
          <w:lang w:eastAsia="en-IN"/>
        </w:rPr>
        <w:t xml:space="preserve"> led to their eventual ban or restricted use in most countries.</w:t>
      </w:r>
    </w:p>
    <w:p w14:paraId="5CD524D9" w14:textId="77777777" w:rsidR="00CE4393" w:rsidRPr="009015A2" w:rsidRDefault="00CE4393" w:rsidP="009015A2">
      <w:pPr>
        <w:tabs>
          <w:tab w:val="left" w:pos="567"/>
        </w:tabs>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Early Developments (1900s–1950s):</w:t>
      </w:r>
    </w:p>
    <w:p w14:paraId="77F38FF7" w14:textId="77777777" w:rsidR="00CE4393" w:rsidRPr="009015A2" w:rsidRDefault="00CE4393" w:rsidP="009015A2">
      <w:pPr>
        <w:numPr>
          <w:ilvl w:val="0"/>
          <w:numId w:val="20"/>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first chemotherapeutic agents included </w:t>
      </w:r>
      <w:r w:rsidRPr="009015A2">
        <w:rPr>
          <w:rFonts w:ascii="Arial" w:eastAsia="Times New Roman" w:hAnsi="Arial" w:cs="Arial"/>
          <w:b/>
          <w:bCs/>
          <w:sz w:val="20"/>
          <w:szCs w:val="20"/>
          <w:lang w:eastAsia="en-IN"/>
        </w:rPr>
        <w:t>copper-based fungicides</w:t>
      </w:r>
      <w:r w:rsidRPr="009015A2">
        <w:rPr>
          <w:rFonts w:ascii="Arial" w:eastAsia="Times New Roman" w:hAnsi="Arial" w:cs="Arial"/>
          <w:sz w:val="20"/>
          <w:szCs w:val="20"/>
          <w:lang w:eastAsia="en-IN"/>
        </w:rPr>
        <w:t xml:space="preserve"> (e.g., Bordeaux mixture), which were initially used as preventive measures but later showed some therapeutic properties.</w:t>
      </w:r>
    </w:p>
    <w:p w14:paraId="55E6EF97" w14:textId="77777777" w:rsidR="00CE4393" w:rsidRPr="009015A2" w:rsidRDefault="00CE4393" w:rsidP="009015A2">
      <w:pPr>
        <w:numPr>
          <w:ilvl w:val="0"/>
          <w:numId w:val="20"/>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Organic mercury compounds</w:t>
      </w:r>
      <w:r w:rsidRPr="009015A2">
        <w:rPr>
          <w:rFonts w:ascii="Arial" w:eastAsia="Times New Roman" w:hAnsi="Arial" w:cs="Arial"/>
          <w:sz w:val="20"/>
          <w:szCs w:val="20"/>
          <w:lang w:eastAsia="en-IN"/>
        </w:rPr>
        <w:t xml:space="preserve"> became popular as seed treatments and foliar sprays to control various plant diseases.</w:t>
      </w:r>
    </w:p>
    <w:p w14:paraId="17824D3F" w14:textId="77777777" w:rsidR="00CE4393" w:rsidRPr="009015A2" w:rsidRDefault="00CE4393" w:rsidP="009015A2">
      <w:pPr>
        <w:numPr>
          <w:ilvl w:val="0"/>
          <w:numId w:val="20"/>
        </w:numPr>
        <w:tabs>
          <w:tab w:val="left" w:pos="567"/>
        </w:tabs>
        <w:spacing w:before="100" w:beforeAutospacing="1" w:after="100" w:afterAutospacing="1" w:line="240" w:lineRule="auto"/>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Sulfur</w:t>
      </w:r>
      <w:proofErr w:type="spellEnd"/>
      <w:r w:rsidRPr="009015A2">
        <w:rPr>
          <w:rFonts w:ascii="Arial" w:eastAsia="Times New Roman" w:hAnsi="Arial" w:cs="Arial"/>
          <w:b/>
          <w:bCs/>
          <w:sz w:val="20"/>
          <w:szCs w:val="20"/>
          <w:lang w:eastAsia="en-IN"/>
        </w:rPr>
        <w:t>-based compounds</w:t>
      </w:r>
      <w:r w:rsidRPr="009015A2">
        <w:rPr>
          <w:rFonts w:ascii="Arial" w:eastAsia="Times New Roman" w:hAnsi="Arial" w:cs="Arial"/>
          <w:sz w:val="20"/>
          <w:szCs w:val="20"/>
          <w:lang w:eastAsia="en-IN"/>
        </w:rPr>
        <w:t xml:space="preserve"> and </w:t>
      </w:r>
      <w:proofErr w:type="spellStart"/>
      <w:r w:rsidRPr="009015A2">
        <w:rPr>
          <w:rFonts w:ascii="Arial" w:eastAsia="Times New Roman" w:hAnsi="Arial" w:cs="Arial"/>
          <w:b/>
          <w:bCs/>
          <w:sz w:val="20"/>
          <w:szCs w:val="20"/>
          <w:lang w:eastAsia="en-IN"/>
        </w:rPr>
        <w:t>dithiocarbamates</w:t>
      </w:r>
      <w:proofErr w:type="spellEnd"/>
      <w:r w:rsidRPr="009015A2">
        <w:rPr>
          <w:rFonts w:ascii="Arial" w:eastAsia="Times New Roman" w:hAnsi="Arial" w:cs="Arial"/>
          <w:sz w:val="20"/>
          <w:szCs w:val="20"/>
          <w:lang w:eastAsia="en-IN"/>
        </w:rPr>
        <w:t xml:space="preserve"> (e.g., zineb, mancozeb) were introduced as effective alternatives to mercury-based chemicals.</w:t>
      </w:r>
    </w:p>
    <w:p w14:paraId="7CDA381C" w14:textId="77777777" w:rsidR="00CE4393" w:rsidRPr="009015A2" w:rsidRDefault="00CE4393" w:rsidP="009015A2">
      <w:pPr>
        <w:tabs>
          <w:tab w:val="left" w:pos="567"/>
        </w:tabs>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Advancements in the Mid-20th Century (1950s–1980s):</w:t>
      </w:r>
    </w:p>
    <w:p w14:paraId="5AA77C49" w14:textId="77777777" w:rsidR="00CE4393" w:rsidRPr="009015A2" w:rsidRDefault="00CE4393" w:rsidP="009015A2">
      <w:pPr>
        <w:numPr>
          <w:ilvl w:val="0"/>
          <w:numId w:val="21"/>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discovery of </w:t>
      </w:r>
      <w:r w:rsidRPr="009015A2">
        <w:rPr>
          <w:rFonts w:ascii="Arial" w:eastAsia="Times New Roman" w:hAnsi="Arial" w:cs="Arial"/>
          <w:b/>
          <w:bCs/>
          <w:sz w:val="20"/>
          <w:szCs w:val="20"/>
          <w:lang w:eastAsia="en-IN"/>
        </w:rPr>
        <w:t>systemic fungicides</w:t>
      </w:r>
      <w:r w:rsidRPr="009015A2">
        <w:rPr>
          <w:rFonts w:ascii="Arial" w:eastAsia="Times New Roman" w:hAnsi="Arial" w:cs="Arial"/>
          <w:sz w:val="20"/>
          <w:szCs w:val="20"/>
          <w:lang w:eastAsia="en-IN"/>
        </w:rPr>
        <w:t xml:space="preserve"> revolutionized plant disease management. These fungicides, such as </w:t>
      </w:r>
      <w:r w:rsidRPr="009015A2">
        <w:rPr>
          <w:rFonts w:ascii="Arial" w:eastAsia="Times New Roman" w:hAnsi="Arial" w:cs="Arial"/>
          <w:b/>
          <w:bCs/>
          <w:sz w:val="20"/>
          <w:szCs w:val="20"/>
          <w:lang w:eastAsia="en-IN"/>
        </w:rPr>
        <w:t>benomyl (a benzimidazole fungicide)</w:t>
      </w:r>
      <w:r w:rsidRPr="009015A2">
        <w:rPr>
          <w:rFonts w:ascii="Arial" w:eastAsia="Times New Roman" w:hAnsi="Arial" w:cs="Arial"/>
          <w:sz w:val="20"/>
          <w:szCs w:val="20"/>
          <w:lang w:eastAsia="en-IN"/>
        </w:rPr>
        <w:t xml:space="preserve"> and </w:t>
      </w:r>
      <w:r w:rsidRPr="009015A2">
        <w:rPr>
          <w:rFonts w:ascii="Arial" w:eastAsia="Times New Roman" w:hAnsi="Arial" w:cs="Arial"/>
          <w:b/>
          <w:bCs/>
          <w:sz w:val="20"/>
          <w:szCs w:val="20"/>
          <w:lang w:eastAsia="en-IN"/>
        </w:rPr>
        <w:t>carboxin (an oxathiin fungicide)</w:t>
      </w:r>
      <w:r w:rsidRPr="009015A2">
        <w:rPr>
          <w:rFonts w:ascii="Arial" w:eastAsia="Times New Roman" w:hAnsi="Arial" w:cs="Arial"/>
          <w:sz w:val="20"/>
          <w:szCs w:val="20"/>
          <w:lang w:eastAsia="en-IN"/>
        </w:rPr>
        <w:t xml:space="preserve">, provided </w:t>
      </w:r>
      <w:r w:rsidRPr="009015A2">
        <w:rPr>
          <w:rFonts w:ascii="Arial" w:eastAsia="Times New Roman" w:hAnsi="Arial" w:cs="Arial"/>
          <w:b/>
          <w:bCs/>
          <w:sz w:val="20"/>
          <w:szCs w:val="20"/>
          <w:lang w:eastAsia="en-IN"/>
        </w:rPr>
        <w:t>internal protection</w:t>
      </w:r>
      <w:r w:rsidRPr="009015A2">
        <w:rPr>
          <w:rFonts w:ascii="Arial" w:eastAsia="Times New Roman" w:hAnsi="Arial" w:cs="Arial"/>
          <w:sz w:val="20"/>
          <w:szCs w:val="20"/>
          <w:lang w:eastAsia="en-IN"/>
        </w:rPr>
        <w:t xml:space="preserve"> by moving through the plant’s vascular system.</w:t>
      </w:r>
    </w:p>
    <w:p w14:paraId="6657EEEF" w14:textId="77777777" w:rsidR="00CE4393" w:rsidRPr="009015A2" w:rsidRDefault="00CE4393" w:rsidP="009015A2">
      <w:pPr>
        <w:numPr>
          <w:ilvl w:val="0"/>
          <w:numId w:val="21"/>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w:t>
      </w:r>
      <w:r w:rsidRPr="009015A2">
        <w:rPr>
          <w:rFonts w:ascii="Arial" w:eastAsia="Times New Roman" w:hAnsi="Arial" w:cs="Arial"/>
          <w:b/>
          <w:bCs/>
          <w:sz w:val="20"/>
          <w:szCs w:val="20"/>
          <w:lang w:eastAsia="en-IN"/>
        </w:rPr>
        <w:t>development of antibiotics</w:t>
      </w:r>
      <w:r w:rsidRPr="009015A2">
        <w:rPr>
          <w:rFonts w:ascii="Arial" w:eastAsia="Times New Roman" w:hAnsi="Arial" w:cs="Arial"/>
          <w:sz w:val="20"/>
          <w:szCs w:val="20"/>
          <w:lang w:eastAsia="en-IN"/>
        </w:rPr>
        <w:t xml:space="preserve"> for plant disease control, such as </w:t>
      </w:r>
      <w:r w:rsidRPr="009015A2">
        <w:rPr>
          <w:rFonts w:ascii="Arial" w:eastAsia="Times New Roman" w:hAnsi="Arial" w:cs="Arial"/>
          <w:b/>
          <w:bCs/>
          <w:sz w:val="20"/>
          <w:szCs w:val="20"/>
          <w:lang w:eastAsia="en-IN"/>
        </w:rPr>
        <w:t>streptomycin and tetracycline</w:t>
      </w:r>
      <w:r w:rsidRPr="009015A2">
        <w:rPr>
          <w:rFonts w:ascii="Arial" w:eastAsia="Times New Roman" w:hAnsi="Arial" w:cs="Arial"/>
          <w:sz w:val="20"/>
          <w:szCs w:val="20"/>
          <w:lang w:eastAsia="en-IN"/>
        </w:rPr>
        <w:t>, enabled effective management of bacterial infections like fire blight in apples and pears.</w:t>
      </w:r>
    </w:p>
    <w:p w14:paraId="56762EAC" w14:textId="77777777" w:rsidR="00CE4393" w:rsidRPr="009015A2" w:rsidRDefault="00CE4393" w:rsidP="009015A2">
      <w:pPr>
        <w:numPr>
          <w:ilvl w:val="0"/>
          <w:numId w:val="21"/>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introduction of </w:t>
      </w:r>
      <w:proofErr w:type="spellStart"/>
      <w:r w:rsidRPr="009015A2">
        <w:rPr>
          <w:rFonts w:ascii="Arial" w:eastAsia="Times New Roman" w:hAnsi="Arial" w:cs="Arial"/>
          <w:b/>
          <w:bCs/>
          <w:sz w:val="20"/>
          <w:szCs w:val="20"/>
          <w:lang w:eastAsia="en-IN"/>
        </w:rPr>
        <w:t>phenylamide</w:t>
      </w:r>
      <w:proofErr w:type="spellEnd"/>
      <w:r w:rsidRPr="009015A2">
        <w:rPr>
          <w:rFonts w:ascii="Arial" w:eastAsia="Times New Roman" w:hAnsi="Arial" w:cs="Arial"/>
          <w:b/>
          <w:bCs/>
          <w:sz w:val="20"/>
          <w:szCs w:val="20"/>
          <w:lang w:eastAsia="en-IN"/>
        </w:rPr>
        <w:t xml:space="preserve"> fungicides</w:t>
      </w:r>
      <w:r w:rsidRPr="009015A2">
        <w:rPr>
          <w:rFonts w:ascii="Arial" w:eastAsia="Times New Roman" w:hAnsi="Arial" w:cs="Arial"/>
          <w:sz w:val="20"/>
          <w:szCs w:val="20"/>
          <w:lang w:eastAsia="en-IN"/>
        </w:rPr>
        <w:t xml:space="preserve"> (e.g., </w:t>
      </w:r>
      <w:proofErr w:type="spellStart"/>
      <w:r w:rsidRPr="009015A2">
        <w:rPr>
          <w:rFonts w:ascii="Arial" w:eastAsia="Times New Roman" w:hAnsi="Arial" w:cs="Arial"/>
          <w:sz w:val="20"/>
          <w:szCs w:val="20"/>
          <w:lang w:eastAsia="en-IN"/>
        </w:rPr>
        <w:t>metalaxyl</w:t>
      </w:r>
      <w:proofErr w:type="spellEnd"/>
      <w:r w:rsidRPr="009015A2">
        <w:rPr>
          <w:rFonts w:ascii="Arial" w:eastAsia="Times New Roman" w:hAnsi="Arial" w:cs="Arial"/>
          <w:sz w:val="20"/>
          <w:szCs w:val="20"/>
          <w:lang w:eastAsia="en-IN"/>
        </w:rPr>
        <w:t xml:space="preserve">) marked a major breakthrough in controlling oomycete pathogens such as </w:t>
      </w:r>
      <w:r w:rsidRPr="009015A2">
        <w:rPr>
          <w:rFonts w:ascii="Arial" w:eastAsia="Times New Roman" w:hAnsi="Arial" w:cs="Arial"/>
          <w:b/>
          <w:bCs/>
          <w:sz w:val="20"/>
          <w:szCs w:val="20"/>
          <w:lang w:eastAsia="en-IN"/>
        </w:rPr>
        <w:t>Phytophthora and Pythium</w:t>
      </w:r>
      <w:r w:rsidRPr="009015A2">
        <w:rPr>
          <w:rFonts w:ascii="Arial" w:eastAsia="Times New Roman" w:hAnsi="Arial" w:cs="Arial"/>
          <w:sz w:val="20"/>
          <w:szCs w:val="20"/>
          <w:lang w:eastAsia="en-IN"/>
        </w:rPr>
        <w:t>.</w:t>
      </w:r>
    </w:p>
    <w:p w14:paraId="0EE97340" w14:textId="77777777" w:rsidR="00CE4393" w:rsidRPr="009015A2" w:rsidRDefault="00CE4393" w:rsidP="009015A2">
      <w:pPr>
        <w:tabs>
          <w:tab w:val="left" w:pos="567"/>
        </w:tabs>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Modern Chemotherapy (1990s–Present):</w:t>
      </w:r>
    </w:p>
    <w:p w14:paraId="2CF70DE8" w14:textId="77777777" w:rsidR="00CE4393" w:rsidRPr="009015A2" w:rsidRDefault="00CE4393" w:rsidP="009015A2">
      <w:pPr>
        <w:numPr>
          <w:ilvl w:val="0"/>
          <w:numId w:val="22"/>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Research in </w:t>
      </w:r>
      <w:r w:rsidRPr="009015A2">
        <w:rPr>
          <w:rFonts w:ascii="Arial" w:eastAsia="Times New Roman" w:hAnsi="Arial" w:cs="Arial"/>
          <w:b/>
          <w:bCs/>
          <w:sz w:val="20"/>
          <w:szCs w:val="20"/>
          <w:lang w:eastAsia="en-IN"/>
        </w:rPr>
        <w:t>molecular plant pathology</w:t>
      </w:r>
      <w:r w:rsidRPr="009015A2">
        <w:rPr>
          <w:rFonts w:ascii="Arial" w:eastAsia="Times New Roman" w:hAnsi="Arial" w:cs="Arial"/>
          <w:sz w:val="20"/>
          <w:szCs w:val="20"/>
          <w:lang w:eastAsia="en-IN"/>
        </w:rPr>
        <w:t xml:space="preserve"> has led to the identification of </w:t>
      </w:r>
      <w:r w:rsidRPr="009015A2">
        <w:rPr>
          <w:rFonts w:ascii="Arial" w:eastAsia="Times New Roman" w:hAnsi="Arial" w:cs="Arial"/>
          <w:b/>
          <w:bCs/>
          <w:sz w:val="20"/>
          <w:szCs w:val="20"/>
          <w:lang w:eastAsia="en-IN"/>
        </w:rPr>
        <w:t>highly specific and environmentally safe fungicides</w:t>
      </w:r>
      <w:r w:rsidRPr="009015A2">
        <w:rPr>
          <w:rFonts w:ascii="Arial" w:eastAsia="Times New Roman" w:hAnsi="Arial" w:cs="Arial"/>
          <w:sz w:val="20"/>
          <w:szCs w:val="20"/>
          <w:lang w:eastAsia="en-IN"/>
        </w:rPr>
        <w:t xml:space="preserve">, including </w:t>
      </w:r>
      <w:r w:rsidRPr="009015A2">
        <w:rPr>
          <w:rFonts w:ascii="Arial" w:eastAsia="Times New Roman" w:hAnsi="Arial" w:cs="Arial"/>
          <w:b/>
          <w:bCs/>
          <w:sz w:val="20"/>
          <w:szCs w:val="20"/>
          <w:lang w:eastAsia="en-IN"/>
        </w:rPr>
        <w:t>strobilurins and triazoles</w:t>
      </w:r>
      <w:r w:rsidRPr="009015A2">
        <w:rPr>
          <w:rFonts w:ascii="Arial" w:eastAsia="Times New Roman" w:hAnsi="Arial" w:cs="Arial"/>
          <w:sz w:val="20"/>
          <w:szCs w:val="20"/>
          <w:lang w:eastAsia="en-IN"/>
        </w:rPr>
        <w:t>, which target fungal respiration and sterol biosynthesis, respectively.</w:t>
      </w:r>
    </w:p>
    <w:p w14:paraId="1CDD44D7" w14:textId="77777777" w:rsidR="00CE4393" w:rsidRPr="009015A2" w:rsidRDefault="00CE4393" w:rsidP="009015A2">
      <w:pPr>
        <w:numPr>
          <w:ilvl w:val="0"/>
          <w:numId w:val="22"/>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lastRenderedPageBreak/>
        <w:t xml:space="preserve">The development of </w:t>
      </w:r>
      <w:r w:rsidRPr="009015A2">
        <w:rPr>
          <w:rFonts w:ascii="Arial" w:eastAsia="Times New Roman" w:hAnsi="Arial" w:cs="Arial"/>
          <w:b/>
          <w:bCs/>
          <w:sz w:val="20"/>
          <w:szCs w:val="20"/>
          <w:lang w:eastAsia="en-IN"/>
        </w:rPr>
        <w:t xml:space="preserve">plant </w:t>
      </w:r>
      <w:proofErr w:type="spellStart"/>
      <w:r w:rsidRPr="009015A2">
        <w:rPr>
          <w:rFonts w:ascii="Arial" w:eastAsia="Times New Roman" w:hAnsi="Arial" w:cs="Arial"/>
          <w:b/>
          <w:bCs/>
          <w:sz w:val="20"/>
          <w:szCs w:val="20"/>
          <w:lang w:eastAsia="en-IN"/>
        </w:rPr>
        <w:t>defense</w:t>
      </w:r>
      <w:proofErr w:type="spellEnd"/>
      <w:r w:rsidRPr="009015A2">
        <w:rPr>
          <w:rFonts w:ascii="Arial" w:eastAsia="Times New Roman" w:hAnsi="Arial" w:cs="Arial"/>
          <w:b/>
          <w:bCs/>
          <w:sz w:val="20"/>
          <w:szCs w:val="20"/>
          <w:lang w:eastAsia="en-IN"/>
        </w:rPr>
        <w:t xml:space="preserve"> activators</w:t>
      </w:r>
      <w:r w:rsidRPr="009015A2">
        <w:rPr>
          <w:rFonts w:ascii="Arial" w:eastAsia="Times New Roman" w:hAnsi="Arial" w:cs="Arial"/>
          <w:sz w:val="20"/>
          <w:szCs w:val="20"/>
          <w:lang w:eastAsia="en-IN"/>
        </w:rPr>
        <w:t xml:space="preserve">, such as </w:t>
      </w:r>
      <w:r w:rsidRPr="009015A2">
        <w:rPr>
          <w:rFonts w:ascii="Arial" w:eastAsia="Times New Roman" w:hAnsi="Arial" w:cs="Arial"/>
          <w:b/>
          <w:bCs/>
          <w:sz w:val="20"/>
          <w:szCs w:val="20"/>
          <w:lang w:eastAsia="en-IN"/>
        </w:rPr>
        <w:t xml:space="preserve">salicylic acid </w:t>
      </w:r>
      <w:proofErr w:type="spellStart"/>
      <w:r w:rsidRPr="009015A2">
        <w:rPr>
          <w:rFonts w:ascii="Arial" w:eastAsia="Times New Roman" w:hAnsi="Arial" w:cs="Arial"/>
          <w:b/>
          <w:bCs/>
          <w:sz w:val="20"/>
          <w:szCs w:val="20"/>
          <w:lang w:eastAsia="en-IN"/>
        </w:rPr>
        <w:t>analogs</w:t>
      </w:r>
      <w:proofErr w:type="spellEnd"/>
      <w:r w:rsidRPr="009015A2">
        <w:rPr>
          <w:rFonts w:ascii="Arial" w:eastAsia="Times New Roman" w:hAnsi="Arial" w:cs="Arial"/>
          <w:b/>
          <w:bCs/>
          <w:sz w:val="20"/>
          <w:szCs w:val="20"/>
          <w:lang w:eastAsia="en-IN"/>
        </w:rPr>
        <w:t xml:space="preserve"> and </w:t>
      </w:r>
      <w:proofErr w:type="spellStart"/>
      <w:r w:rsidRPr="009015A2">
        <w:rPr>
          <w:rFonts w:ascii="Arial" w:eastAsia="Times New Roman" w:hAnsi="Arial" w:cs="Arial"/>
          <w:b/>
          <w:bCs/>
          <w:sz w:val="20"/>
          <w:szCs w:val="20"/>
          <w:lang w:eastAsia="en-IN"/>
        </w:rPr>
        <w:t>jasmonic</w:t>
      </w:r>
      <w:proofErr w:type="spellEnd"/>
      <w:r w:rsidRPr="009015A2">
        <w:rPr>
          <w:rFonts w:ascii="Arial" w:eastAsia="Times New Roman" w:hAnsi="Arial" w:cs="Arial"/>
          <w:b/>
          <w:bCs/>
          <w:sz w:val="20"/>
          <w:szCs w:val="20"/>
          <w:lang w:eastAsia="en-IN"/>
        </w:rPr>
        <w:t xml:space="preserve"> acid derivatives</w:t>
      </w:r>
      <w:r w:rsidRPr="009015A2">
        <w:rPr>
          <w:rFonts w:ascii="Arial" w:eastAsia="Times New Roman" w:hAnsi="Arial" w:cs="Arial"/>
          <w:sz w:val="20"/>
          <w:szCs w:val="20"/>
          <w:lang w:eastAsia="en-IN"/>
        </w:rPr>
        <w:t>, has provided alternative approaches to chemotherapy by enhancing plant immunity.</w:t>
      </w:r>
    </w:p>
    <w:p w14:paraId="6FA6B17D" w14:textId="77777777" w:rsidR="00CE4393" w:rsidRPr="009015A2" w:rsidRDefault="00CE4393" w:rsidP="009015A2">
      <w:pPr>
        <w:numPr>
          <w:ilvl w:val="0"/>
          <w:numId w:val="22"/>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RNA-based therapies</w:t>
      </w:r>
      <w:r w:rsidRPr="009015A2">
        <w:rPr>
          <w:rFonts w:ascii="Arial" w:eastAsia="Times New Roman" w:hAnsi="Arial" w:cs="Arial"/>
          <w:sz w:val="20"/>
          <w:szCs w:val="20"/>
          <w:lang w:eastAsia="en-IN"/>
        </w:rPr>
        <w:t>, including RNA interference (RNAi) and CRISPR-mediated pathogen control, have emerged as potential futuristic tools in chemotherapy for viral and fungal diseases.</w:t>
      </w:r>
    </w:p>
    <w:p w14:paraId="495497D1" w14:textId="601C3FAF" w:rsidR="00CE4393" w:rsidRPr="009015A2" w:rsidRDefault="00CE4393" w:rsidP="009015A2">
      <w:pPr>
        <w:pStyle w:val="Heading1"/>
        <w:jc w:val="both"/>
        <w:rPr>
          <w:rFonts w:ascii="Arial" w:hAnsi="Arial" w:cs="Arial"/>
          <w:sz w:val="20"/>
          <w:szCs w:val="20"/>
        </w:rPr>
      </w:pPr>
      <w:r w:rsidRPr="009015A2">
        <w:rPr>
          <w:rStyle w:val="Strong"/>
          <w:rFonts w:ascii="Arial" w:hAnsi="Arial" w:cs="Arial"/>
          <w:b/>
          <w:bCs/>
          <w:sz w:val="20"/>
          <w:szCs w:val="20"/>
        </w:rPr>
        <w:t xml:space="preserve">3. </w:t>
      </w:r>
      <w:r w:rsidR="00543B61">
        <w:rPr>
          <w:rStyle w:val="Strong"/>
          <w:rFonts w:ascii="Arial" w:hAnsi="Arial" w:cs="Arial"/>
          <w:b/>
          <w:bCs/>
          <w:sz w:val="20"/>
          <w:szCs w:val="20"/>
        </w:rPr>
        <w:t>1</w:t>
      </w:r>
      <w:r w:rsidRPr="009015A2">
        <w:rPr>
          <w:rStyle w:val="Strong"/>
          <w:rFonts w:ascii="Arial" w:hAnsi="Arial" w:cs="Arial"/>
          <w:b/>
          <w:bCs/>
          <w:sz w:val="20"/>
          <w:szCs w:val="20"/>
        </w:rPr>
        <w:t>Classification of Chemicals Used in Plant Protection</w:t>
      </w:r>
    </w:p>
    <w:p w14:paraId="4D510976"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 use of chemicals in plant protection is a fundamental approach to controlling plant diseases caused by various pathogens, including fungi, bacteria, nematodes, and viruses. These chemicals are classified based on their </w:t>
      </w:r>
      <w:r w:rsidRPr="00543B61">
        <w:rPr>
          <w:rStyle w:val="Strong"/>
          <w:rFonts w:ascii="Arial" w:hAnsi="Arial" w:cs="Arial"/>
          <w:b w:val="0"/>
          <w:sz w:val="20"/>
          <w:szCs w:val="20"/>
        </w:rPr>
        <w:t>target pathogens, chemical composition, and mode of action</w:t>
      </w:r>
      <w:r w:rsidRPr="009015A2">
        <w:rPr>
          <w:rFonts w:ascii="Arial" w:hAnsi="Arial" w:cs="Arial"/>
          <w:sz w:val="20"/>
          <w:szCs w:val="20"/>
        </w:rPr>
        <w:t xml:space="preserve">. Proper classification and understanding of these chemicals ensure their </w:t>
      </w:r>
      <w:r w:rsidRPr="00543B61">
        <w:rPr>
          <w:rStyle w:val="Strong"/>
          <w:rFonts w:ascii="Arial" w:hAnsi="Arial" w:cs="Arial"/>
          <w:b w:val="0"/>
          <w:sz w:val="20"/>
          <w:szCs w:val="20"/>
        </w:rPr>
        <w:t>effective application</w:t>
      </w:r>
      <w:r w:rsidRPr="00543B61">
        <w:rPr>
          <w:rFonts w:ascii="Arial" w:hAnsi="Arial" w:cs="Arial"/>
          <w:b/>
          <w:sz w:val="20"/>
          <w:szCs w:val="20"/>
        </w:rPr>
        <w:t>,</w:t>
      </w:r>
      <w:r w:rsidRPr="009015A2">
        <w:rPr>
          <w:rFonts w:ascii="Arial" w:hAnsi="Arial" w:cs="Arial"/>
          <w:sz w:val="20"/>
          <w:szCs w:val="20"/>
        </w:rPr>
        <w:t xml:space="preserve"> reducing crop losses and enhancing global food security.</w:t>
      </w:r>
    </w:p>
    <w:p w14:paraId="38E4DA38" w14:textId="17D6A66A"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2</w:t>
      </w:r>
      <w:r w:rsidRPr="009015A2">
        <w:rPr>
          <w:rStyle w:val="Strong"/>
          <w:rFonts w:ascii="Arial" w:hAnsi="Arial" w:cs="Arial"/>
          <w:b/>
          <w:bCs/>
          <w:sz w:val="20"/>
          <w:szCs w:val="20"/>
        </w:rPr>
        <w:t xml:space="preserve"> Fungicides</w:t>
      </w:r>
    </w:p>
    <w:p w14:paraId="3E9474D4"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6052C4BA"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Fungicides are chemical substances used to </w:t>
      </w:r>
      <w:r w:rsidRPr="00543B61">
        <w:rPr>
          <w:rStyle w:val="Strong"/>
          <w:rFonts w:ascii="Arial" w:hAnsi="Arial" w:cs="Arial"/>
          <w:b w:val="0"/>
          <w:sz w:val="20"/>
          <w:szCs w:val="20"/>
        </w:rPr>
        <w:t>inhibit or eliminate fungal pathogens</w:t>
      </w:r>
      <w:r w:rsidRPr="009015A2">
        <w:rPr>
          <w:rFonts w:ascii="Arial" w:hAnsi="Arial" w:cs="Arial"/>
          <w:sz w:val="20"/>
          <w:szCs w:val="20"/>
        </w:rPr>
        <w:t xml:space="preserve"> that cause plant diseases such as </w:t>
      </w:r>
      <w:r w:rsidRPr="00543B61">
        <w:rPr>
          <w:rStyle w:val="Strong"/>
          <w:rFonts w:ascii="Arial" w:hAnsi="Arial" w:cs="Arial"/>
          <w:b w:val="0"/>
          <w:sz w:val="20"/>
          <w:szCs w:val="20"/>
        </w:rPr>
        <w:t>powdery mildew, rusts, leaf spots, and root rots</w:t>
      </w:r>
      <w:r w:rsidRPr="009015A2">
        <w:rPr>
          <w:rFonts w:ascii="Arial" w:hAnsi="Arial" w:cs="Arial"/>
          <w:sz w:val="20"/>
          <w:szCs w:val="20"/>
        </w:rPr>
        <w:t xml:space="preserve">. They work by </w:t>
      </w:r>
      <w:r w:rsidRPr="00543B61">
        <w:rPr>
          <w:rStyle w:val="Strong"/>
          <w:rFonts w:ascii="Arial" w:hAnsi="Arial" w:cs="Arial"/>
          <w:b w:val="0"/>
          <w:sz w:val="20"/>
          <w:szCs w:val="20"/>
        </w:rPr>
        <w:t>preventing spore germination, inhibiting fungal growth, or destroying fungal cells</w:t>
      </w:r>
      <w:r w:rsidRPr="009015A2">
        <w:rPr>
          <w:rFonts w:ascii="Arial" w:hAnsi="Arial" w:cs="Arial"/>
          <w:sz w:val="20"/>
          <w:szCs w:val="20"/>
        </w:rPr>
        <w:t xml:space="preserve">. Fungicides play a key role in </w:t>
      </w:r>
      <w:r w:rsidRPr="00543B61">
        <w:rPr>
          <w:rStyle w:val="Strong"/>
          <w:rFonts w:ascii="Arial" w:hAnsi="Arial" w:cs="Arial"/>
          <w:b w:val="0"/>
          <w:sz w:val="20"/>
          <w:szCs w:val="20"/>
        </w:rPr>
        <w:t>integrated disease management (IDM)</w:t>
      </w:r>
      <w:r w:rsidRPr="009015A2">
        <w:rPr>
          <w:rFonts w:ascii="Arial" w:hAnsi="Arial" w:cs="Arial"/>
          <w:sz w:val="20"/>
          <w:szCs w:val="20"/>
        </w:rPr>
        <w:t xml:space="preserve"> by providing both </w:t>
      </w:r>
      <w:r w:rsidRPr="00543B61">
        <w:rPr>
          <w:rStyle w:val="Strong"/>
          <w:rFonts w:ascii="Arial" w:hAnsi="Arial" w:cs="Arial"/>
          <w:b w:val="0"/>
          <w:sz w:val="20"/>
          <w:szCs w:val="20"/>
        </w:rPr>
        <w:t>preventive and curative</w:t>
      </w:r>
      <w:r w:rsidRPr="009015A2">
        <w:rPr>
          <w:rFonts w:ascii="Arial" w:hAnsi="Arial" w:cs="Arial"/>
          <w:sz w:val="20"/>
          <w:szCs w:val="20"/>
        </w:rPr>
        <w:t xml:space="preserve"> protection.</w:t>
      </w:r>
    </w:p>
    <w:p w14:paraId="6251F9FF"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Fungicides</w:t>
      </w:r>
    </w:p>
    <w:p w14:paraId="7DF09116"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Fungicides can be classified based on their </w:t>
      </w:r>
      <w:r w:rsidRPr="009015A2">
        <w:rPr>
          <w:rStyle w:val="Strong"/>
          <w:rFonts w:ascii="Arial" w:hAnsi="Arial" w:cs="Arial"/>
          <w:sz w:val="20"/>
          <w:szCs w:val="20"/>
        </w:rPr>
        <w:t>chemical composition</w:t>
      </w:r>
      <w:r w:rsidRPr="009015A2">
        <w:rPr>
          <w:rFonts w:ascii="Arial" w:hAnsi="Arial" w:cs="Arial"/>
          <w:sz w:val="20"/>
          <w:szCs w:val="20"/>
        </w:rPr>
        <w:t xml:space="preserve"> and </w:t>
      </w:r>
      <w:r w:rsidRPr="009015A2">
        <w:rPr>
          <w:rStyle w:val="Strong"/>
          <w:rFonts w:ascii="Arial" w:hAnsi="Arial" w:cs="Arial"/>
          <w:sz w:val="20"/>
          <w:szCs w:val="20"/>
        </w:rPr>
        <w:t>mode of action</w:t>
      </w:r>
      <w:r w:rsidRPr="009015A2">
        <w:rPr>
          <w:rFonts w:ascii="Arial" w:hAnsi="Arial" w:cs="Arial"/>
          <w:sz w:val="20"/>
          <w:szCs w:val="20"/>
        </w:rPr>
        <w:t>:</w:t>
      </w:r>
    </w:p>
    <w:p w14:paraId="10FAF6F3"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 xml:space="preserve">A. Organic </w:t>
      </w:r>
      <w:proofErr w:type="spellStart"/>
      <w:r w:rsidRPr="009015A2">
        <w:rPr>
          <w:rStyle w:val="Strong"/>
          <w:rFonts w:ascii="Arial" w:hAnsi="Arial" w:cs="Arial"/>
          <w:b w:val="0"/>
          <w:bCs w:val="0"/>
          <w:sz w:val="20"/>
          <w:szCs w:val="20"/>
        </w:rPr>
        <w:t>Sulfur</w:t>
      </w:r>
      <w:proofErr w:type="spellEnd"/>
      <w:r w:rsidRPr="009015A2">
        <w:rPr>
          <w:rStyle w:val="Strong"/>
          <w:rFonts w:ascii="Arial" w:hAnsi="Arial" w:cs="Arial"/>
          <w:b w:val="0"/>
          <w:bCs w:val="0"/>
          <w:sz w:val="20"/>
          <w:szCs w:val="20"/>
        </w:rPr>
        <w:t xml:space="preserve"> Compounds</w:t>
      </w:r>
    </w:p>
    <w:p w14:paraId="06E088CB"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These fungicides contain </w:t>
      </w:r>
      <w:proofErr w:type="spellStart"/>
      <w:r w:rsidRPr="009015A2">
        <w:rPr>
          <w:rStyle w:val="Strong"/>
          <w:rFonts w:ascii="Arial" w:hAnsi="Arial" w:cs="Arial"/>
          <w:sz w:val="20"/>
          <w:szCs w:val="20"/>
        </w:rPr>
        <w:t>sulfur</w:t>
      </w:r>
      <w:proofErr w:type="spellEnd"/>
      <w:r w:rsidRPr="009015A2">
        <w:rPr>
          <w:rStyle w:val="Strong"/>
          <w:rFonts w:ascii="Arial" w:hAnsi="Arial" w:cs="Arial"/>
          <w:sz w:val="20"/>
          <w:szCs w:val="20"/>
        </w:rPr>
        <w:t>-based active ingredients</w:t>
      </w:r>
      <w:r w:rsidRPr="009015A2">
        <w:rPr>
          <w:rFonts w:ascii="Arial" w:hAnsi="Arial" w:cs="Arial"/>
          <w:sz w:val="20"/>
          <w:szCs w:val="20"/>
        </w:rPr>
        <w:t xml:space="preserve">, which interfere with fungal metabolism and inhibit fungal spore germination. They are widely used against </w:t>
      </w:r>
      <w:r w:rsidRPr="009015A2">
        <w:rPr>
          <w:rStyle w:val="Strong"/>
          <w:rFonts w:ascii="Arial" w:hAnsi="Arial" w:cs="Arial"/>
          <w:sz w:val="20"/>
          <w:szCs w:val="20"/>
        </w:rPr>
        <w:t>leaf spots, downy mildew, and other fungal infections</w:t>
      </w:r>
      <w:r w:rsidRPr="009015A2">
        <w:rPr>
          <w:rFonts w:ascii="Arial" w:hAnsi="Arial" w:cs="Arial"/>
          <w:sz w:val="20"/>
          <w:szCs w:val="20"/>
        </w:rPr>
        <w:t>.</w:t>
      </w:r>
    </w:p>
    <w:p w14:paraId="6EEC9648" w14:textId="77777777" w:rsidR="00CE4393" w:rsidRPr="009015A2" w:rsidRDefault="00CE4393" w:rsidP="009015A2">
      <w:pPr>
        <w:numPr>
          <w:ilvl w:val="0"/>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54E2D63" w14:textId="77777777" w:rsidR="00CE4393" w:rsidRPr="009015A2" w:rsidRDefault="00CE4393" w:rsidP="009015A2">
      <w:pPr>
        <w:numPr>
          <w:ilvl w:val="1"/>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Mancozeb:</w:t>
      </w:r>
      <w:r w:rsidRPr="009015A2">
        <w:rPr>
          <w:rFonts w:ascii="Arial" w:hAnsi="Arial" w:cs="Arial"/>
          <w:sz w:val="20"/>
          <w:szCs w:val="20"/>
        </w:rPr>
        <w:t xml:space="preserve"> A broad-spectrum fungicide used in controlling fungal diseases in vegetables, fruits, and cereals.</w:t>
      </w:r>
    </w:p>
    <w:p w14:paraId="232FF1BA" w14:textId="77777777" w:rsidR="00CE4393" w:rsidRPr="009015A2" w:rsidRDefault="00CE4393" w:rsidP="009015A2">
      <w:pPr>
        <w:numPr>
          <w:ilvl w:val="1"/>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Ziram:</w:t>
      </w:r>
      <w:r w:rsidRPr="009015A2">
        <w:rPr>
          <w:rFonts w:ascii="Arial" w:hAnsi="Arial" w:cs="Arial"/>
          <w:sz w:val="20"/>
          <w:szCs w:val="20"/>
        </w:rPr>
        <w:t xml:space="preserve"> Effective against blights, anthracnose, and damping-off diseases.</w:t>
      </w:r>
    </w:p>
    <w:p w14:paraId="01594058" w14:textId="77777777" w:rsidR="00CE4393" w:rsidRPr="009015A2" w:rsidRDefault="00CE4393" w:rsidP="009015A2">
      <w:pPr>
        <w:numPr>
          <w:ilvl w:val="1"/>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Thiram:</w:t>
      </w:r>
      <w:r w:rsidRPr="009015A2">
        <w:rPr>
          <w:rFonts w:ascii="Arial" w:hAnsi="Arial" w:cs="Arial"/>
          <w:sz w:val="20"/>
          <w:szCs w:val="20"/>
        </w:rPr>
        <w:t xml:space="preserve"> Used primarily as a </w:t>
      </w:r>
      <w:r w:rsidRPr="009015A2">
        <w:rPr>
          <w:rStyle w:val="Strong"/>
          <w:rFonts w:ascii="Arial" w:hAnsi="Arial" w:cs="Arial"/>
          <w:sz w:val="20"/>
          <w:szCs w:val="20"/>
        </w:rPr>
        <w:t>seed treatment</w:t>
      </w:r>
      <w:r w:rsidRPr="009015A2">
        <w:rPr>
          <w:rFonts w:ascii="Arial" w:hAnsi="Arial" w:cs="Arial"/>
          <w:sz w:val="20"/>
          <w:szCs w:val="20"/>
        </w:rPr>
        <w:t xml:space="preserve"> fungicide to prevent seedling diseases.</w:t>
      </w:r>
    </w:p>
    <w:p w14:paraId="5806264A"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Copper-based Fungicides</w:t>
      </w:r>
    </w:p>
    <w:p w14:paraId="7EF7D92B"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Copper-based fungicides </w:t>
      </w:r>
      <w:r w:rsidRPr="009015A2">
        <w:rPr>
          <w:rStyle w:val="Strong"/>
          <w:rFonts w:ascii="Arial" w:hAnsi="Arial" w:cs="Arial"/>
          <w:sz w:val="20"/>
          <w:szCs w:val="20"/>
        </w:rPr>
        <w:t>disrupt fungal enzyme activity</w:t>
      </w:r>
      <w:r w:rsidRPr="009015A2">
        <w:rPr>
          <w:rFonts w:ascii="Arial" w:hAnsi="Arial" w:cs="Arial"/>
          <w:sz w:val="20"/>
          <w:szCs w:val="20"/>
        </w:rPr>
        <w:t xml:space="preserve"> and are effective in managing </w:t>
      </w:r>
      <w:r w:rsidRPr="009015A2">
        <w:rPr>
          <w:rStyle w:val="Strong"/>
          <w:rFonts w:ascii="Arial" w:hAnsi="Arial" w:cs="Arial"/>
          <w:sz w:val="20"/>
          <w:szCs w:val="20"/>
        </w:rPr>
        <w:t>both fungal and bacterial plant diseases</w:t>
      </w:r>
      <w:r w:rsidRPr="009015A2">
        <w:rPr>
          <w:rFonts w:ascii="Arial" w:hAnsi="Arial" w:cs="Arial"/>
          <w:sz w:val="20"/>
          <w:szCs w:val="20"/>
        </w:rPr>
        <w:t>.</w:t>
      </w:r>
    </w:p>
    <w:p w14:paraId="05534EB2" w14:textId="77777777" w:rsidR="00CE4393" w:rsidRPr="009015A2" w:rsidRDefault="00CE4393" w:rsidP="009015A2">
      <w:pPr>
        <w:numPr>
          <w:ilvl w:val="0"/>
          <w:numId w:val="2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67FEB0BE" w14:textId="77777777" w:rsidR="00CE4393" w:rsidRPr="009015A2" w:rsidRDefault="00CE4393" w:rsidP="009015A2">
      <w:pPr>
        <w:numPr>
          <w:ilvl w:val="1"/>
          <w:numId w:val="2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Bordeaux mixture:</w:t>
      </w:r>
      <w:r w:rsidRPr="009015A2">
        <w:rPr>
          <w:rFonts w:ascii="Arial" w:hAnsi="Arial" w:cs="Arial"/>
          <w:sz w:val="20"/>
          <w:szCs w:val="20"/>
        </w:rPr>
        <w:t xml:space="preserve"> A traditional fungicide made from </w:t>
      </w:r>
      <w:r w:rsidRPr="009015A2">
        <w:rPr>
          <w:rStyle w:val="Strong"/>
          <w:rFonts w:ascii="Arial" w:hAnsi="Arial" w:cs="Arial"/>
          <w:sz w:val="20"/>
          <w:szCs w:val="20"/>
        </w:rPr>
        <w:t xml:space="preserve">copper </w:t>
      </w:r>
      <w:proofErr w:type="spellStart"/>
      <w:r w:rsidRPr="009015A2">
        <w:rPr>
          <w:rStyle w:val="Strong"/>
          <w:rFonts w:ascii="Arial" w:hAnsi="Arial" w:cs="Arial"/>
          <w:sz w:val="20"/>
          <w:szCs w:val="20"/>
        </w:rPr>
        <w:t>sulfate</w:t>
      </w:r>
      <w:proofErr w:type="spellEnd"/>
      <w:r w:rsidRPr="009015A2">
        <w:rPr>
          <w:rStyle w:val="Strong"/>
          <w:rFonts w:ascii="Arial" w:hAnsi="Arial" w:cs="Arial"/>
          <w:sz w:val="20"/>
          <w:szCs w:val="20"/>
        </w:rPr>
        <w:t xml:space="preserve"> and lime</w:t>
      </w:r>
      <w:r w:rsidRPr="009015A2">
        <w:rPr>
          <w:rFonts w:ascii="Arial" w:hAnsi="Arial" w:cs="Arial"/>
          <w:sz w:val="20"/>
          <w:szCs w:val="20"/>
        </w:rPr>
        <w:t>, used for controlling downy mildew and blights.</w:t>
      </w:r>
    </w:p>
    <w:p w14:paraId="30CF5E10" w14:textId="77777777" w:rsidR="00CE4393" w:rsidRPr="009015A2" w:rsidRDefault="00CE4393" w:rsidP="009015A2">
      <w:pPr>
        <w:numPr>
          <w:ilvl w:val="1"/>
          <w:numId w:val="2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Copper oxychloride:</w:t>
      </w:r>
      <w:r w:rsidRPr="009015A2">
        <w:rPr>
          <w:rFonts w:ascii="Arial" w:hAnsi="Arial" w:cs="Arial"/>
          <w:sz w:val="20"/>
          <w:szCs w:val="20"/>
        </w:rPr>
        <w:t xml:space="preserve"> A widely used fungicide for controlling </w:t>
      </w:r>
      <w:r w:rsidRPr="009015A2">
        <w:rPr>
          <w:rStyle w:val="Strong"/>
          <w:rFonts w:ascii="Arial" w:hAnsi="Arial" w:cs="Arial"/>
          <w:sz w:val="20"/>
          <w:szCs w:val="20"/>
        </w:rPr>
        <w:t>leaf spots, blights, and rusts</w:t>
      </w:r>
      <w:r w:rsidRPr="009015A2">
        <w:rPr>
          <w:rFonts w:ascii="Arial" w:hAnsi="Arial" w:cs="Arial"/>
          <w:sz w:val="20"/>
          <w:szCs w:val="20"/>
        </w:rPr>
        <w:t xml:space="preserve"> in field crops and horticultural plants.</w:t>
      </w:r>
    </w:p>
    <w:p w14:paraId="1E585B04"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C. Benzimidazoles</w:t>
      </w:r>
    </w:p>
    <w:p w14:paraId="3EA85BB4"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These fungicides </w:t>
      </w:r>
      <w:r w:rsidRPr="009015A2">
        <w:rPr>
          <w:rStyle w:val="Strong"/>
          <w:rFonts w:ascii="Arial" w:hAnsi="Arial" w:cs="Arial"/>
          <w:sz w:val="20"/>
          <w:szCs w:val="20"/>
        </w:rPr>
        <w:t>inhibit fungal mitosis</w:t>
      </w:r>
      <w:r w:rsidRPr="009015A2">
        <w:rPr>
          <w:rFonts w:ascii="Arial" w:hAnsi="Arial" w:cs="Arial"/>
          <w:sz w:val="20"/>
          <w:szCs w:val="20"/>
        </w:rPr>
        <w:t xml:space="preserve"> (cell division) and provide </w:t>
      </w:r>
      <w:r w:rsidRPr="009015A2">
        <w:rPr>
          <w:rStyle w:val="Strong"/>
          <w:rFonts w:ascii="Arial" w:hAnsi="Arial" w:cs="Arial"/>
          <w:sz w:val="20"/>
          <w:szCs w:val="20"/>
        </w:rPr>
        <w:t>systemic protection</w:t>
      </w:r>
      <w:r w:rsidRPr="009015A2">
        <w:rPr>
          <w:rFonts w:ascii="Arial" w:hAnsi="Arial" w:cs="Arial"/>
          <w:sz w:val="20"/>
          <w:szCs w:val="20"/>
        </w:rPr>
        <w:t xml:space="preserve"> to plants.</w:t>
      </w:r>
    </w:p>
    <w:p w14:paraId="5BD2EB85" w14:textId="77777777" w:rsidR="00CE4393" w:rsidRPr="009015A2" w:rsidRDefault="00CE4393" w:rsidP="009015A2">
      <w:pPr>
        <w:numPr>
          <w:ilvl w:val="0"/>
          <w:numId w:val="2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45A23312" w14:textId="77777777" w:rsidR="00CE4393" w:rsidRPr="009015A2" w:rsidRDefault="00CE4393" w:rsidP="009015A2">
      <w:pPr>
        <w:numPr>
          <w:ilvl w:val="1"/>
          <w:numId w:val="2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lastRenderedPageBreak/>
        <w:t>Benomyl:</w:t>
      </w:r>
      <w:r w:rsidRPr="009015A2">
        <w:rPr>
          <w:rFonts w:ascii="Arial" w:hAnsi="Arial" w:cs="Arial"/>
          <w:sz w:val="20"/>
          <w:szCs w:val="20"/>
        </w:rPr>
        <w:t xml:space="preserve"> A systemic fungicide used to control </w:t>
      </w:r>
      <w:r w:rsidRPr="009015A2">
        <w:rPr>
          <w:rStyle w:val="Strong"/>
          <w:rFonts w:ascii="Arial" w:hAnsi="Arial" w:cs="Arial"/>
          <w:sz w:val="20"/>
          <w:szCs w:val="20"/>
        </w:rPr>
        <w:t>leaf spot diseases, powdery mildew, and fruit rots</w:t>
      </w:r>
      <w:r w:rsidRPr="009015A2">
        <w:rPr>
          <w:rFonts w:ascii="Arial" w:hAnsi="Arial" w:cs="Arial"/>
          <w:sz w:val="20"/>
          <w:szCs w:val="20"/>
        </w:rPr>
        <w:t>.</w:t>
      </w:r>
    </w:p>
    <w:p w14:paraId="7A8E06A3" w14:textId="77777777" w:rsidR="00CE4393" w:rsidRPr="009015A2" w:rsidRDefault="00CE4393" w:rsidP="009015A2">
      <w:pPr>
        <w:numPr>
          <w:ilvl w:val="1"/>
          <w:numId w:val="2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Thiabendazole:</w:t>
      </w:r>
      <w:r w:rsidRPr="009015A2">
        <w:rPr>
          <w:rFonts w:ascii="Arial" w:hAnsi="Arial" w:cs="Arial"/>
          <w:sz w:val="20"/>
          <w:szCs w:val="20"/>
        </w:rPr>
        <w:t xml:space="preserve"> Primarily used as a </w:t>
      </w:r>
      <w:r w:rsidRPr="009015A2">
        <w:rPr>
          <w:rStyle w:val="Strong"/>
          <w:rFonts w:ascii="Arial" w:hAnsi="Arial" w:cs="Arial"/>
          <w:sz w:val="20"/>
          <w:szCs w:val="20"/>
        </w:rPr>
        <w:t>post-harvest treatment</w:t>
      </w:r>
      <w:r w:rsidRPr="009015A2">
        <w:rPr>
          <w:rFonts w:ascii="Arial" w:hAnsi="Arial" w:cs="Arial"/>
          <w:sz w:val="20"/>
          <w:szCs w:val="20"/>
        </w:rPr>
        <w:t xml:space="preserve"> for fruits to prevent fungal decay.</w:t>
      </w:r>
    </w:p>
    <w:p w14:paraId="134D0FA0" w14:textId="3E025E1F"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3</w:t>
      </w:r>
      <w:r w:rsidRPr="009015A2">
        <w:rPr>
          <w:rStyle w:val="Strong"/>
          <w:rFonts w:ascii="Arial" w:hAnsi="Arial" w:cs="Arial"/>
          <w:b/>
          <w:bCs/>
          <w:sz w:val="20"/>
          <w:szCs w:val="20"/>
        </w:rPr>
        <w:t xml:space="preserve"> Bactericides</w:t>
      </w:r>
    </w:p>
    <w:p w14:paraId="0E5D2207"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25EF2329"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Bactericides are chemicals used to </w:t>
      </w:r>
      <w:r w:rsidRPr="009015A2">
        <w:rPr>
          <w:rStyle w:val="Strong"/>
          <w:rFonts w:ascii="Arial" w:hAnsi="Arial" w:cs="Arial"/>
          <w:sz w:val="20"/>
          <w:szCs w:val="20"/>
        </w:rPr>
        <w:t>suppress or eliminate bacterial infections</w:t>
      </w:r>
      <w:r w:rsidRPr="009015A2">
        <w:rPr>
          <w:rFonts w:ascii="Arial" w:hAnsi="Arial" w:cs="Arial"/>
          <w:sz w:val="20"/>
          <w:szCs w:val="20"/>
        </w:rPr>
        <w:t xml:space="preserve"> in plants. Since bacterial diseases are often difficult to manage, bactericides are frequently used in combination with other control methods such as </w:t>
      </w:r>
      <w:r w:rsidRPr="009015A2">
        <w:rPr>
          <w:rStyle w:val="Strong"/>
          <w:rFonts w:ascii="Arial" w:hAnsi="Arial" w:cs="Arial"/>
          <w:sz w:val="20"/>
          <w:szCs w:val="20"/>
        </w:rPr>
        <w:t>crop rotation, resistant varieties, and biocontrol agents</w:t>
      </w:r>
      <w:r w:rsidRPr="009015A2">
        <w:rPr>
          <w:rFonts w:ascii="Arial" w:hAnsi="Arial" w:cs="Arial"/>
          <w:sz w:val="20"/>
          <w:szCs w:val="20"/>
        </w:rPr>
        <w:t>.</w:t>
      </w:r>
    </w:p>
    <w:p w14:paraId="6224B3B5"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Bactericides</w:t>
      </w:r>
    </w:p>
    <w:p w14:paraId="350F2276"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Copper Compounds</w:t>
      </w:r>
    </w:p>
    <w:p w14:paraId="20A9DE70"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Copper compounds act as </w:t>
      </w:r>
      <w:r w:rsidRPr="009015A2">
        <w:rPr>
          <w:rStyle w:val="Strong"/>
          <w:rFonts w:ascii="Arial" w:hAnsi="Arial" w:cs="Arial"/>
          <w:sz w:val="20"/>
          <w:szCs w:val="20"/>
        </w:rPr>
        <w:t>multi-site inhibitors</w:t>
      </w:r>
      <w:r w:rsidRPr="009015A2">
        <w:rPr>
          <w:rFonts w:ascii="Arial" w:hAnsi="Arial" w:cs="Arial"/>
          <w:sz w:val="20"/>
          <w:szCs w:val="20"/>
        </w:rPr>
        <w:t>, disrupting bacterial enzymes and proteins.</w:t>
      </w:r>
    </w:p>
    <w:p w14:paraId="2FC732CC" w14:textId="77777777" w:rsidR="00CE4393" w:rsidRPr="009015A2" w:rsidRDefault="00CE4393" w:rsidP="009015A2">
      <w:pPr>
        <w:numPr>
          <w:ilvl w:val="0"/>
          <w:numId w:val="2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7F49A39" w14:textId="77777777" w:rsidR="00CE4393" w:rsidRPr="009015A2" w:rsidRDefault="00CE4393" w:rsidP="009015A2">
      <w:pPr>
        <w:numPr>
          <w:ilvl w:val="1"/>
          <w:numId w:val="2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 xml:space="preserve">Copper </w:t>
      </w:r>
      <w:proofErr w:type="spellStart"/>
      <w:r w:rsidRPr="009015A2">
        <w:rPr>
          <w:rStyle w:val="Strong"/>
          <w:rFonts w:ascii="Arial" w:hAnsi="Arial" w:cs="Arial"/>
          <w:sz w:val="20"/>
          <w:szCs w:val="20"/>
        </w:rPr>
        <w:t>sulfate</w:t>
      </w:r>
      <w:proofErr w:type="spellEnd"/>
      <w:r w:rsidRPr="009015A2">
        <w:rPr>
          <w:rStyle w:val="Strong"/>
          <w:rFonts w:ascii="Arial" w:hAnsi="Arial" w:cs="Arial"/>
          <w:sz w:val="20"/>
          <w:szCs w:val="20"/>
        </w:rPr>
        <w:t>:</w:t>
      </w:r>
      <w:r w:rsidRPr="009015A2">
        <w:rPr>
          <w:rFonts w:ascii="Arial" w:hAnsi="Arial" w:cs="Arial"/>
          <w:sz w:val="20"/>
          <w:szCs w:val="20"/>
        </w:rPr>
        <w:t xml:space="preserve"> Used to manage bacterial blights, leaf spots, and citrus canker.</w:t>
      </w:r>
    </w:p>
    <w:p w14:paraId="4DCD3594" w14:textId="77777777" w:rsidR="00CE4393" w:rsidRPr="009015A2" w:rsidRDefault="00CE4393" w:rsidP="009015A2">
      <w:pPr>
        <w:numPr>
          <w:ilvl w:val="1"/>
          <w:numId w:val="2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Copper hydroxide:</w:t>
      </w:r>
      <w:r w:rsidRPr="009015A2">
        <w:rPr>
          <w:rFonts w:ascii="Arial" w:hAnsi="Arial" w:cs="Arial"/>
          <w:sz w:val="20"/>
          <w:szCs w:val="20"/>
        </w:rPr>
        <w:t xml:space="preserve"> Commonly applied as a foliar spray against bacterial leaf spots and soft rots.</w:t>
      </w:r>
    </w:p>
    <w:p w14:paraId="548D436F"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Antibiotics</w:t>
      </w:r>
    </w:p>
    <w:p w14:paraId="4A60DCE7"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Antibiotics are used to inhibit bacterial growth by targeting </w:t>
      </w:r>
      <w:r w:rsidRPr="009015A2">
        <w:rPr>
          <w:rStyle w:val="Strong"/>
          <w:rFonts w:ascii="Arial" w:hAnsi="Arial" w:cs="Arial"/>
          <w:sz w:val="20"/>
          <w:szCs w:val="20"/>
        </w:rPr>
        <w:t>protein synthesis or DNA replication</w:t>
      </w:r>
      <w:r w:rsidRPr="009015A2">
        <w:rPr>
          <w:rFonts w:ascii="Arial" w:hAnsi="Arial" w:cs="Arial"/>
          <w:sz w:val="20"/>
          <w:szCs w:val="20"/>
        </w:rPr>
        <w:t xml:space="preserve">. They are applied as </w:t>
      </w:r>
      <w:r w:rsidRPr="009015A2">
        <w:rPr>
          <w:rStyle w:val="Strong"/>
          <w:rFonts w:ascii="Arial" w:hAnsi="Arial" w:cs="Arial"/>
          <w:sz w:val="20"/>
          <w:szCs w:val="20"/>
        </w:rPr>
        <w:t>foliar sprays, seed treatments, or trunk injections</w:t>
      </w:r>
      <w:r w:rsidRPr="009015A2">
        <w:rPr>
          <w:rFonts w:ascii="Arial" w:hAnsi="Arial" w:cs="Arial"/>
          <w:sz w:val="20"/>
          <w:szCs w:val="20"/>
        </w:rPr>
        <w:t>.</w:t>
      </w:r>
    </w:p>
    <w:p w14:paraId="0107731F" w14:textId="77777777" w:rsidR="00CE4393" w:rsidRPr="009015A2" w:rsidRDefault="00CE4393" w:rsidP="009015A2">
      <w:pPr>
        <w:numPr>
          <w:ilvl w:val="0"/>
          <w:numId w:val="2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15D820A4" w14:textId="77777777" w:rsidR="00CE4393" w:rsidRPr="009015A2" w:rsidRDefault="00CE4393" w:rsidP="009015A2">
      <w:pPr>
        <w:numPr>
          <w:ilvl w:val="1"/>
          <w:numId w:val="2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Streptomycin:</w:t>
      </w:r>
      <w:r w:rsidRPr="009015A2">
        <w:rPr>
          <w:rFonts w:ascii="Arial" w:hAnsi="Arial" w:cs="Arial"/>
          <w:sz w:val="20"/>
          <w:szCs w:val="20"/>
        </w:rPr>
        <w:t xml:space="preserve"> Used against </w:t>
      </w:r>
      <w:r w:rsidRPr="009015A2">
        <w:rPr>
          <w:rStyle w:val="Strong"/>
          <w:rFonts w:ascii="Arial" w:hAnsi="Arial" w:cs="Arial"/>
          <w:sz w:val="20"/>
          <w:szCs w:val="20"/>
        </w:rPr>
        <w:t>fire blight</w:t>
      </w:r>
      <w:r w:rsidRPr="009015A2">
        <w:rPr>
          <w:rFonts w:ascii="Arial" w:hAnsi="Arial" w:cs="Arial"/>
          <w:sz w:val="20"/>
          <w:szCs w:val="20"/>
        </w:rPr>
        <w:t xml:space="preserve"> in apples and pears.</w:t>
      </w:r>
    </w:p>
    <w:p w14:paraId="1F68E5C9" w14:textId="77777777" w:rsidR="00CE4393" w:rsidRPr="009015A2" w:rsidRDefault="00CE4393" w:rsidP="009015A2">
      <w:pPr>
        <w:numPr>
          <w:ilvl w:val="1"/>
          <w:numId w:val="2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Tetracycline:</w:t>
      </w:r>
      <w:r w:rsidRPr="009015A2">
        <w:rPr>
          <w:rFonts w:ascii="Arial" w:hAnsi="Arial" w:cs="Arial"/>
          <w:sz w:val="20"/>
          <w:szCs w:val="20"/>
        </w:rPr>
        <w:t xml:space="preserve"> Effective against bacterial wilt and phytoplasma diseases in crops like citrus and rice.</w:t>
      </w:r>
    </w:p>
    <w:p w14:paraId="4A4580DF" w14:textId="1C22B5A0"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4</w:t>
      </w:r>
      <w:r w:rsidRPr="009015A2">
        <w:rPr>
          <w:rStyle w:val="Strong"/>
          <w:rFonts w:ascii="Arial" w:hAnsi="Arial" w:cs="Arial"/>
          <w:b/>
          <w:bCs/>
          <w:sz w:val="20"/>
          <w:szCs w:val="20"/>
        </w:rPr>
        <w:t xml:space="preserve"> Nematicides</w:t>
      </w:r>
    </w:p>
    <w:p w14:paraId="676DD9A4"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7C435D03"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Nematicides are chemicals that </w:t>
      </w:r>
      <w:r w:rsidRPr="009015A2">
        <w:rPr>
          <w:rStyle w:val="Strong"/>
          <w:rFonts w:ascii="Arial" w:hAnsi="Arial" w:cs="Arial"/>
          <w:sz w:val="20"/>
          <w:szCs w:val="20"/>
        </w:rPr>
        <w:t>control plant-parasitic nematodes</w:t>
      </w:r>
      <w:r w:rsidRPr="009015A2">
        <w:rPr>
          <w:rFonts w:ascii="Arial" w:hAnsi="Arial" w:cs="Arial"/>
          <w:sz w:val="20"/>
          <w:szCs w:val="20"/>
        </w:rPr>
        <w:t xml:space="preserve">, microscopic worms that damage plant roots, causing yield loss and stunted growth. These chemicals work by either </w:t>
      </w:r>
      <w:r w:rsidRPr="009015A2">
        <w:rPr>
          <w:rStyle w:val="Strong"/>
          <w:rFonts w:ascii="Arial" w:hAnsi="Arial" w:cs="Arial"/>
          <w:sz w:val="20"/>
          <w:szCs w:val="20"/>
        </w:rPr>
        <w:t>fumigating the soil or disrupting nematode nervous systems</w:t>
      </w:r>
      <w:r w:rsidRPr="009015A2">
        <w:rPr>
          <w:rFonts w:ascii="Arial" w:hAnsi="Arial" w:cs="Arial"/>
          <w:sz w:val="20"/>
          <w:szCs w:val="20"/>
        </w:rPr>
        <w:t>.</w:t>
      </w:r>
    </w:p>
    <w:p w14:paraId="3F5446A2"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Nematicides</w:t>
      </w:r>
    </w:p>
    <w:p w14:paraId="1F268926"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Fumigants</w:t>
      </w:r>
    </w:p>
    <w:p w14:paraId="2468378B"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Fumigant nematicides </w:t>
      </w:r>
      <w:r w:rsidRPr="009015A2">
        <w:rPr>
          <w:rStyle w:val="Strong"/>
          <w:rFonts w:ascii="Arial" w:hAnsi="Arial" w:cs="Arial"/>
          <w:sz w:val="20"/>
          <w:szCs w:val="20"/>
        </w:rPr>
        <w:t>volatilize into gas</w:t>
      </w:r>
      <w:r w:rsidRPr="009015A2">
        <w:rPr>
          <w:rFonts w:ascii="Arial" w:hAnsi="Arial" w:cs="Arial"/>
          <w:sz w:val="20"/>
          <w:szCs w:val="20"/>
        </w:rPr>
        <w:t>, penetrating soil pores and killing nematodes.</w:t>
      </w:r>
    </w:p>
    <w:p w14:paraId="4D27A6F0" w14:textId="77777777" w:rsidR="00CE4393" w:rsidRPr="009015A2" w:rsidRDefault="00CE4393" w:rsidP="009015A2">
      <w:pPr>
        <w:numPr>
          <w:ilvl w:val="0"/>
          <w:numId w:val="2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53C1E0E" w14:textId="77777777" w:rsidR="00CE4393" w:rsidRPr="009015A2" w:rsidRDefault="00CE4393" w:rsidP="009015A2">
      <w:pPr>
        <w:numPr>
          <w:ilvl w:val="1"/>
          <w:numId w:val="2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Methyl bromide:</w:t>
      </w:r>
      <w:r w:rsidRPr="009015A2">
        <w:rPr>
          <w:rFonts w:ascii="Arial" w:hAnsi="Arial" w:cs="Arial"/>
          <w:sz w:val="20"/>
          <w:szCs w:val="20"/>
        </w:rPr>
        <w:t xml:space="preserve"> A highly effective but </w:t>
      </w:r>
      <w:r w:rsidRPr="009015A2">
        <w:rPr>
          <w:rStyle w:val="Strong"/>
          <w:rFonts w:ascii="Arial" w:hAnsi="Arial" w:cs="Arial"/>
          <w:sz w:val="20"/>
          <w:szCs w:val="20"/>
        </w:rPr>
        <w:t>restricted</w:t>
      </w:r>
      <w:r w:rsidRPr="009015A2">
        <w:rPr>
          <w:rFonts w:ascii="Arial" w:hAnsi="Arial" w:cs="Arial"/>
          <w:sz w:val="20"/>
          <w:szCs w:val="20"/>
        </w:rPr>
        <w:t xml:space="preserve"> fumigant due to environmental concerns.</w:t>
      </w:r>
    </w:p>
    <w:p w14:paraId="6E59C2E5" w14:textId="77777777" w:rsidR="00CE4393" w:rsidRPr="009015A2" w:rsidRDefault="00CE4393" w:rsidP="009015A2">
      <w:pPr>
        <w:numPr>
          <w:ilvl w:val="1"/>
          <w:numId w:val="2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1,3-Dichloropropene:</w:t>
      </w:r>
      <w:r w:rsidRPr="009015A2">
        <w:rPr>
          <w:rFonts w:ascii="Arial" w:hAnsi="Arial" w:cs="Arial"/>
          <w:sz w:val="20"/>
          <w:szCs w:val="20"/>
        </w:rPr>
        <w:t xml:space="preserve"> Used for pre-plant soil fumigation to control root-knot nematodes.</w:t>
      </w:r>
    </w:p>
    <w:p w14:paraId="0496B3CC"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lastRenderedPageBreak/>
        <w:t>B. Non-fumigant Nematicides</w:t>
      </w:r>
    </w:p>
    <w:p w14:paraId="247C3C1A"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These are </w:t>
      </w:r>
      <w:r w:rsidRPr="009015A2">
        <w:rPr>
          <w:rStyle w:val="Strong"/>
          <w:rFonts w:ascii="Arial" w:hAnsi="Arial" w:cs="Arial"/>
          <w:sz w:val="20"/>
          <w:szCs w:val="20"/>
        </w:rPr>
        <w:t>liquid or granular formulations</w:t>
      </w:r>
      <w:r w:rsidRPr="009015A2">
        <w:rPr>
          <w:rFonts w:ascii="Arial" w:hAnsi="Arial" w:cs="Arial"/>
          <w:sz w:val="20"/>
          <w:szCs w:val="20"/>
        </w:rPr>
        <w:t xml:space="preserve"> applied to soil or roots to </w:t>
      </w:r>
      <w:r w:rsidRPr="009015A2">
        <w:rPr>
          <w:rStyle w:val="Strong"/>
          <w:rFonts w:ascii="Arial" w:hAnsi="Arial" w:cs="Arial"/>
          <w:sz w:val="20"/>
          <w:szCs w:val="20"/>
        </w:rPr>
        <w:t>disrupt nematode metabolism</w:t>
      </w:r>
      <w:r w:rsidRPr="009015A2">
        <w:rPr>
          <w:rFonts w:ascii="Arial" w:hAnsi="Arial" w:cs="Arial"/>
          <w:sz w:val="20"/>
          <w:szCs w:val="20"/>
        </w:rPr>
        <w:t>.</w:t>
      </w:r>
    </w:p>
    <w:p w14:paraId="4D1A849E" w14:textId="77777777" w:rsidR="00CE4393" w:rsidRPr="009015A2" w:rsidRDefault="00CE4393" w:rsidP="009015A2">
      <w:pPr>
        <w:numPr>
          <w:ilvl w:val="0"/>
          <w:numId w:val="2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D5E6CB4" w14:textId="77777777" w:rsidR="00CE4393" w:rsidRPr="009015A2" w:rsidRDefault="00CE4393" w:rsidP="009015A2">
      <w:pPr>
        <w:numPr>
          <w:ilvl w:val="1"/>
          <w:numId w:val="2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Carbofuran:</w:t>
      </w:r>
      <w:r w:rsidRPr="009015A2">
        <w:rPr>
          <w:rFonts w:ascii="Arial" w:hAnsi="Arial" w:cs="Arial"/>
          <w:sz w:val="20"/>
          <w:szCs w:val="20"/>
        </w:rPr>
        <w:t xml:space="preserve"> A systemic nematicide that provides </w:t>
      </w:r>
      <w:r w:rsidRPr="009015A2">
        <w:rPr>
          <w:rStyle w:val="Strong"/>
          <w:rFonts w:ascii="Arial" w:hAnsi="Arial" w:cs="Arial"/>
          <w:sz w:val="20"/>
          <w:szCs w:val="20"/>
        </w:rPr>
        <w:t>long-term root protection</w:t>
      </w:r>
      <w:r w:rsidRPr="009015A2">
        <w:rPr>
          <w:rFonts w:ascii="Arial" w:hAnsi="Arial" w:cs="Arial"/>
          <w:sz w:val="20"/>
          <w:szCs w:val="20"/>
        </w:rPr>
        <w:t>.</w:t>
      </w:r>
    </w:p>
    <w:p w14:paraId="7A7CFDEB" w14:textId="77777777" w:rsidR="00CE4393" w:rsidRPr="009015A2" w:rsidRDefault="00CE4393" w:rsidP="009015A2">
      <w:pPr>
        <w:numPr>
          <w:ilvl w:val="1"/>
          <w:numId w:val="2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Aldicarb:</w:t>
      </w:r>
      <w:r w:rsidRPr="009015A2">
        <w:rPr>
          <w:rFonts w:ascii="Arial" w:hAnsi="Arial" w:cs="Arial"/>
          <w:sz w:val="20"/>
          <w:szCs w:val="20"/>
        </w:rPr>
        <w:t xml:space="preserve"> A highly toxic nematicide used for controlling </w:t>
      </w:r>
      <w:r w:rsidRPr="009015A2">
        <w:rPr>
          <w:rStyle w:val="Strong"/>
          <w:rFonts w:ascii="Arial" w:hAnsi="Arial" w:cs="Arial"/>
          <w:sz w:val="20"/>
          <w:szCs w:val="20"/>
        </w:rPr>
        <w:t>nematodes in citrus, potatoes, and vegetables</w:t>
      </w:r>
      <w:r w:rsidRPr="009015A2">
        <w:rPr>
          <w:rFonts w:ascii="Arial" w:hAnsi="Arial" w:cs="Arial"/>
          <w:sz w:val="20"/>
          <w:szCs w:val="20"/>
        </w:rPr>
        <w:t>.</w:t>
      </w:r>
    </w:p>
    <w:p w14:paraId="58BF8487" w14:textId="2EA371FA"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5</w:t>
      </w:r>
      <w:r w:rsidRPr="009015A2">
        <w:rPr>
          <w:rStyle w:val="Strong"/>
          <w:rFonts w:ascii="Arial" w:hAnsi="Arial" w:cs="Arial"/>
          <w:b/>
          <w:bCs/>
          <w:sz w:val="20"/>
          <w:szCs w:val="20"/>
        </w:rPr>
        <w:t xml:space="preserve"> Viricides</w:t>
      </w:r>
    </w:p>
    <w:p w14:paraId="464C20C9"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31842B4E" w14:textId="6C3980C6" w:rsidR="002A5F5A" w:rsidRPr="009015A2" w:rsidRDefault="00CE4393" w:rsidP="002A5F5A">
      <w:pPr>
        <w:pStyle w:val="Heading3"/>
        <w:jc w:val="both"/>
        <w:rPr>
          <w:rFonts w:ascii="Arial" w:hAnsi="Arial" w:cs="Arial"/>
          <w:sz w:val="20"/>
          <w:szCs w:val="20"/>
        </w:rPr>
      </w:pPr>
      <w:r w:rsidRPr="002A5F5A">
        <w:rPr>
          <w:rFonts w:ascii="Arial" w:hAnsi="Arial" w:cs="Arial"/>
          <w:b w:val="0"/>
          <w:sz w:val="20"/>
          <w:szCs w:val="20"/>
        </w:rPr>
        <w:t>Viricides are chemicals that target</w:t>
      </w:r>
      <w:r w:rsidRPr="00543B61">
        <w:rPr>
          <w:rFonts w:ascii="Arial" w:hAnsi="Arial" w:cs="Arial"/>
          <w:sz w:val="20"/>
          <w:szCs w:val="20"/>
        </w:rPr>
        <w:t xml:space="preserve"> </w:t>
      </w:r>
      <w:r w:rsidRPr="00543B61">
        <w:rPr>
          <w:rStyle w:val="Strong"/>
          <w:rFonts w:ascii="Arial" w:hAnsi="Arial" w:cs="Arial"/>
          <w:sz w:val="20"/>
          <w:szCs w:val="20"/>
        </w:rPr>
        <w:t>plant viruses</w:t>
      </w:r>
      <w:r w:rsidRPr="002A5F5A">
        <w:rPr>
          <w:rFonts w:ascii="Arial" w:hAnsi="Arial" w:cs="Arial"/>
          <w:b w:val="0"/>
          <w:sz w:val="20"/>
          <w:szCs w:val="20"/>
        </w:rPr>
        <w:t>, though their effectiveness is often limited due</w:t>
      </w:r>
      <w:r w:rsidRPr="00543B61">
        <w:rPr>
          <w:rFonts w:ascii="Arial" w:hAnsi="Arial" w:cs="Arial"/>
          <w:sz w:val="20"/>
          <w:szCs w:val="20"/>
        </w:rPr>
        <w:t xml:space="preserve"> </w:t>
      </w:r>
      <w:r w:rsidRPr="002A5F5A">
        <w:rPr>
          <w:rFonts w:ascii="Arial" w:hAnsi="Arial" w:cs="Arial"/>
          <w:b w:val="0"/>
          <w:sz w:val="20"/>
          <w:szCs w:val="20"/>
        </w:rPr>
        <w:t>to the nature of viral infections. Unlike fungicides and bactericides,</w:t>
      </w:r>
      <w:r w:rsidRPr="00543B61">
        <w:rPr>
          <w:rFonts w:ascii="Arial" w:hAnsi="Arial" w:cs="Arial"/>
          <w:sz w:val="20"/>
          <w:szCs w:val="20"/>
        </w:rPr>
        <w:t xml:space="preserve"> </w:t>
      </w:r>
      <w:r w:rsidRPr="00543B61">
        <w:rPr>
          <w:rStyle w:val="Strong"/>
          <w:rFonts w:ascii="Arial" w:hAnsi="Arial" w:cs="Arial"/>
          <w:sz w:val="20"/>
          <w:szCs w:val="20"/>
        </w:rPr>
        <w:t>very few chemical treatments can directly kill plant viruses</w:t>
      </w:r>
      <w:r w:rsidRPr="00543B61">
        <w:rPr>
          <w:rFonts w:ascii="Arial" w:hAnsi="Arial" w:cs="Arial"/>
          <w:sz w:val="20"/>
          <w:szCs w:val="20"/>
        </w:rPr>
        <w:t xml:space="preserve">. </w:t>
      </w:r>
      <w:r w:rsidRPr="002A5F5A">
        <w:rPr>
          <w:rFonts w:ascii="Arial" w:hAnsi="Arial" w:cs="Arial"/>
          <w:b w:val="0"/>
          <w:sz w:val="20"/>
          <w:szCs w:val="20"/>
        </w:rPr>
        <w:t>Instead,</w:t>
      </w:r>
      <w:r w:rsidRPr="00543B61">
        <w:rPr>
          <w:rFonts w:ascii="Arial" w:hAnsi="Arial" w:cs="Arial"/>
          <w:sz w:val="20"/>
          <w:szCs w:val="20"/>
        </w:rPr>
        <w:t xml:space="preserve"> </w:t>
      </w:r>
      <w:r w:rsidRPr="00543B61">
        <w:rPr>
          <w:rStyle w:val="Strong"/>
          <w:rFonts w:ascii="Arial" w:hAnsi="Arial" w:cs="Arial"/>
          <w:sz w:val="20"/>
          <w:szCs w:val="20"/>
        </w:rPr>
        <w:t>most viricidal compounds work by suppressing viral replication or enhancing plant resistance</w:t>
      </w:r>
      <w:r w:rsidRPr="00543B61">
        <w:rPr>
          <w:rFonts w:ascii="Arial" w:hAnsi="Arial" w:cs="Arial"/>
          <w:sz w:val="20"/>
          <w:szCs w:val="20"/>
        </w:rPr>
        <w:t>.</w:t>
      </w:r>
      <w:r w:rsidR="002A5F5A" w:rsidRPr="002A5F5A">
        <w:rPr>
          <w:rStyle w:val="Strong"/>
          <w:rFonts w:ascii="Arial" w:hAnsi="Arial" w:cs="Arial"/>
          <w:b/>
          <w:bCs/>
          <w:sz w:val="20"/>
          <w:szCs w:val="20"/>
        </w:rPr>
        <w:t xml:space="preserve"> </w:t>
      </w:r>
      <w:r w:rsidR="002A5F5A" w:rsidRPr="002A5F5A">
        <w:rPr>
          <w:rStyle w:val="Strong"/>
          <w:rFonts w:ascii="Arial" w:hAnsi="Arial" w:cs="Arial"/>
          <w:bCs/>
          <w:sz w:val="20"/>
          <w:szCs w:val="20"/>
        </w:rPr>
        <w:t>Classification of Viricides shown in Fig. 2.</w:t>
      </w:r>
    </w:p>
    <w:p w14:paraId="1E725371"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Viricides</w:t>
      </w:r>
    </w:p>
    <w:p w14:paraId="22F7E8B3"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Synthetic Antiviral Compounds</w:t>
      </w:r>
    </w:p>
    <w:p w14:paraId="1BA6DBEB" w14:textId="77777777" w:rsidR="00CE4393" w:rsidRPr="002A5F5A" w:rsidRDefault="00CE4393" w:rsidP="009015A2">
      <w:pPr>
        <w:numPr>
          <w:ilvl w:val="0"/>
          <w:numId w:val="30"/>
        </w:numPr>
        <w:spacing w:before="100" w:beforeAutospacing="1" w:after="100" w:afterAutospacing="1" w:line="240" w:lineRule="auto"/>
        <w:rPr>
          <w:rFonts w:ascii="Arial" w:hAnsi="Arial" w:cs="Arial"/>
          <w:b/>
          <w:sz w:val="20"/>
          <w:szCs w:val="20"/>
        </w:rPr>
      </w:pPr>
      <w:r w:rsidRPr="009015A2">
        <w:rPr>
          <w:rStyle w:val="Strong"/>
          <w:rFonts w:ascii="Arial" w:hAnsi="Arial" w:cs="Arial"/>
          <w:sz w:val="20"/>
          <w:szCs w:val="20"/>
        </w:rPr>
        <w:t>Ribavirin:</w:t>
      </w:r>
      <w:r w:rsidRPr="009015A2">
        <w:rPr>
          <w:rFonts w:ascii="Arial" w:hAnsi="Arial" w:cs="Arial"/>
          <w:sz w:val="20"/>
          <w:szCs w:val="20"/>
        </w:rPr>
        <w:t xml:space="preserve"> A broad-spectrum antiviral agent that </w:t>
      </w:r>
      <w:r w:rsidRPr="002A5F5A">
        <w:rPr>
          <w:rStyle w:val="Strong"/>
          <w:rFonts w:ascii="Arial" w:hAnsi="Arial" w:cs="Arial"/>
          <w:b w:val="0"/>
          <w:sz w:val="20"/>
          <w:szCs w:val="20"/>
        </w:rPr>
        <w:t>inhibits viral RNA replication</w:t>
      </w:r>
      <w:r w:rsidRPr="002A5F5A">
        <w:rPr>
          <w:rFonts w:ascii="Arial" w:hAnsi="Arial" w:cs="Arial"/>
          <w:b/>
          <w:sz w:val="20"/>
          <w:szCs w:val="20"/>
        </w:rPr>
        <w:t>.</w:t>
      </w:r>
    </w:p>
    <w:p w14:paraId="6B4F8562" w14:textId="77777777" w:rsidR="00CE4393" w:rsidRPr="009015A2" w:rsidRDefault="00CE4393" w:rsidP="009015A2">
      <w:pPr>
        <w:numPr>
          <w:ilvl w:val="0"/>
          <w:numId w:val="30"/>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Acibenzolar-S-methyl:</w:t>
      </w:r>
      <w:r w:rsidRPr="009015A2">
        <w:rPr>
          <w:rFonts w:ascii="Arial" w:hAnsi="Arial" w:cs="Arial"/>
          <w:sz w:val="20"/>
          <w:szCs w:val="20"/>
        </w:rPr>
        <w:t xml:space="preserve"> Induces </w:t>
      </w:r>
      <w:r w:rsidRPr="002A5F5A">
        <w:rPr>
          <w:rStyle w:val="Strong"/>
          <w:rFonts w:ascii="Arial" w:hAnsi="Arial" w:cs="Arial"/>
          <w:b w:val="0"/>
          <w:sz w:val="20"/>
          <w:szCs w:val="20"/>
        </w:rPr>
        <w:t>systemic acquired resistance (SAR)</w:t>
      </w:r>
      <w:r w:rsidRPr="009015A2">
        <w:rPr>
          <w:rFonts w:ascii="Arial" w:hAnsi="Arial" w:cs="Arial"/>
          <w:sz w:val="20"/>
          <w:szCs w:val="20"/>
        </w:rPr>
        <w:t xml:space="preserve"> in plants, helping them fight viral infections.</w:t>
      </w:r>
    </w:p>
    <w:p w14:paraId="64BCF796"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Plant-derived Compounds</w:t>
      </w:r>
    </w:p>
    <w:p w14:paraId="4073206A" w14:textId="77777777" w:rsidR="00CE4393" w:rsidRPr="009015A2" w:rsidRDefault="00CE4393" w:rsidP="009015A2">
      <w:pPr>
        <w:numPr>
          <w:ilvl w:val="0"/>
          <w:numId w:val="31"/>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Essential oils:</w:t>
      </w:r>
      <w:r w:rsidRPr="009015A2">
        <w:rPr>
          <w:rFonts w:ascii="Arial" w:hAnsi="Arial" w:cs="Arial"/>
          <w:sz w:val="20"/>
          <w:szCs w:val="20"/>
        </w:rPr>
        <w:t xml:space="preserve"> Certain plant oils (e.g., </w:t>
      </w:r>
      <w:r w:rsidRPr="002A5F5A">
        <w:rPr>
          <w:rStyle w:val="Strong"/>
          <w:rFonts w:ascii="Arial" w:hAnsi="Arial" w:cs="Arial"/>
          <w:b w:val="0"/>
          <w:sz w:val="20"/>
          <w:szCs w:val="20"/>
        </w:rPr>
        <w:t>neem oil, tea tree oil</w:t>
      </w:r>
      <w:r w:rsidRPr="009015A2">
        <w:rPr>
          <w:rFonts w:ascii="Arial" w:hAnsi="Arial" w:cs="Arial"/>
          <w:sz w:val="20"/>
          <w:szCs w:val="20"/>
        </w:rPr>
        <w:t>) have been found to reduce viral transmission by interfering with insect vectors.</w:t>
      </w:r>
    </w:p>
    <w:p w14:paraId="1BAF6411" w14:textId="0EE254CA" w:rsidR="00CE4393" w:rsidRDefault="00CE4393" w:rsidP="009015A2">
      <w:pPr>
        <w:numPr>
          <w:ilvl w:val="0"/>
          <w:numId w:val="31"/>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Plant extracts:</w:t>
      </w:r>
      <w:r w:rsidRPr="009015A2">
        <w:rPr>
          <w:rFonts w:ascii="Arial" w:hAnsi="Arial" w:cs="Arial"/>
          <w:sz w:val="20"/>
          <w:szCs w:val="20"/>
        </w:rPr>
        <w:t xml:space="preserve"> Extracts from </w:t>
      </w:r>
      <w:r w:rsidRPr="002A5F5A">
        <w:rPr>
          <w:rStyle w:val="Strong"/>
          <w:rFonts w:ascii="Arial" w:hAnsi="Arial" w:cs="Arial"/>
          <w:b w:val="0"/>
          <w:sz w:val="20"/>
          <w:szCs w:val="20"/>
        </w:rPr>
        <w:t>medicinal plants such as garlic and turmeric</w:t>
      </w:r>
      <w:r w:rsidRPr="009015A2">
        <w:rPr>
          <w:rFonts w:ascii="Arial" w:hAnsi="Arial" w:cs="Arial"/>
          <w:sz w:val="20"/>
          <w:szCs w:val="20"/>
        </w:rPr>
        <w:t xml:space="preserve"> have shown antiviral properties against some plant viruses.</w:t>
      </w:r>
    </w:p>
    <w:p w14:paraId="74E5DE0A" w14:textId="77777777" w:rsidR="002A5F5A" w:rsidRDefault="00C2364E" w:rsidP="002A5F5A">
      <w:pPr>
        <w:pStyle w:val="NoSpacing"/>
        <w:ind w:left="0"/>
        <w:jc w:val="center"/>
        <w:rPr>
          <w:rFonts w:ascii="Arial" w:hAnsi="Arial" w:cs="Arial"/>
          <w:sz w:val="20"/>
          <w:szCs w:val="20"/>
        </w:rPr>
      </w:pPr>
      <w:r>
        <w:rPr>
          <w:rFonts w:ascii="Arial" w:hAnsi="Arial" w:cs="Arial"/>
          <w:b/>
          <w:noProof/>
          <w:sz w:val="20"/>
          <w:szCs w:val="20"/>
        </w:rPr>
        <w:drawing>
          <wp:inline distT="0" distB="0" distL="0" distR="0" wp14:anchorId="2BDEDF99" wp14:editId="0A0AFEA2">
            <wp:extent cx="4475480" cy="28384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2661" t="4827" r="2328" b="7390"/>
                    <a:stretch/>
                  </pic:blipFill>
                  <pic:spPr bwMode="auto">
                    <a:xfrm>
                      <a:off x="0" y="0"/>
                      <a:ext cx="4486804" cy="2845632"/>
                    </a:xfrm>
                    <a:prstGeom prst="rect">
                      <a:avLst/>
                    </a:prstGeom>
                    <a:noFill/>
                    <a:ln>
                      <a:noFill/>
                    </a:ln>
                    <a:extLst>
                      <a:ext uri="{53640926-AAD7-44D8-BBD7-CCE9431645EC}">
                        <a14:shadowObscured xmlns:a14="http://schemas.microsoft.com/office/drawing/2010/main"/>
                      </a:ext>
                    </a:extLst>
                  </pic:spPr>
                </pic:pic>
              </a:graphicData>
            </a:graphic>
          </wp:inline>
        </w:drawing>
      </w:r>
    </w:p>
    <w:p w14:paraId="55B0F372" w14:textId="62D733AA" w:rsidR="002A5F5A" w:rsidRPr="002A5F5A" w:rsidRDefault="00C2364E" w:rsidP="002A5F5A">
      <w:pPr>
        <w:pStyle w:val="NoSpacing"/>
        <w:ind w:left="0"/>
        <w:jc w:val="center"/>
        <w:rPr>
          <w:rFonts w:ascii="Arial" w:hAnsi="Arial" w:cs="Arial"/>
          <w:b/>
          <w:sz w:val="20"/>
          <w:szCs w:val="20"/>
        </w:rPr>
      </w:pPr>
      <w:r w:rsidRPr="002A5F5A">
        <w:rPr>
          <w:rFonts w:ascii="Arial" w:hAnsi="Arial" w:cs="Arial"/>
          <w:b/>
          <w:sz w:val="20"/>
          <w:szCs w:val="20"/>
        </w:rPr>
        <w:t>Fig. 2:</w:t>
      </w:r>
      <w:r>
        <w:rPr>
          <w:rFonts w:ascii="Arial" w:hAnsi="Arial" w:cs="Arial"/>
          <w:b/>
          <w:sz w:val="20"/>
          <w:szCs w:val="20"/>
        </w:rPr>
        <w:t xml:space="preserve"> </w:t>
      </w:r>
      <w:r w:rsidR="002A5F5A" w:rsidRPr="009015A2">
        <w:rPr>
          <w:rStyle w:val="Strong"/>
          <w:rFonts w:ascii="Arial" w:hAnsi="Arial" w:cs="Arial"/>
          <w:sz w:val="20"/>
          <w:szCs w:val="20"/>
        </w:rPr>
        <w:t>Classification of Viricides</w:t>
      </w:r>
    </w:p>
    <w:p w14:paraId="24AF8B0D" w14:textId="5890524D" w:rsidR="00C2364E" w:rsidRPr="00C2364E" w:rsidRDefault="00C2364E" w:rsidP="00C2364E">
      <w:pPr>
        <w:pStyle w:val="NoSpacing"/>
        <w:ind w:left="0"/>
        <w:jc w:val="center"/>
        <w:rPr>
          <w:rFonts w:ascii="Arial" w:hAnsi="Arial" w:cs="Arial"/>
          <w:b/>
          <w:sz w:val="20"/>
          <w:szCs w:val="20"/>
        </w:rPr>
        <w:sectPr w:rsidR="00C2364E" w:rsidRPr="00C2364E" w:rsidSect="000678F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79BED62" w14:textId="257165C5" w:rsidR="00672B96" w:rsidRPr="00543B61" w:rsidRDefault="00E5219C" w:rsidP="00E5219C">
      <w:pPr>
        <w:pStyle w:val="NoSpacing"/>
        <w:jc w:val="center"/>
        <w:rPr>
          <w:rFonts w:ascii="Arial" w:hAnsi="Arial" w:cs="Arial"/>
          <w:b/>
          <w:sz w:val="20"/>
        </w:rPr>
      </w:pPr>
      <w:r w:rsidRPr="00543B61">
        <w:rPr>
          <w:rFonts w:ascii="Arial" w:hAnsi="Arial" w:cs="Arial"/>
          <w:b/>
          <w:sz w:val="20"/>
        </w:rPr>
        <w:lastRenderedPageBreak/>
        <w:t>Table 1:</w:t>
      </w:r>
      <w:r w:rsidR="00543B61" w:rsidRPr="00543B61">
        <w:rPr>
          <w:sz w:val="20"/>
        </w:rPr>
        <w:t xml:space="preserve"> </w:t>
      </w:r>
      <w:r w:rsidR="00543B61" w:rsidRPr="00543B61">
        <w:rPr>
          <w:rFonts w:ascii="Arial" w:hAnsi="Arial" w:cs="Arial"/>
          <w:b/>
          <w:sz w:val="20"/>
        </w:rPr>
        <w:t>Chemical and Physical Characteristics, Dosage and Target Diseases of Common Agrochemicals</w:t>
      </w:r>
    </w:p>
    <w:tbl>
      <w:tblPr>
        <w:tblW w:w="1431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17"/>
        <w:gridCol w:w="6330"/>
        <w:gridCol w:w="4516"/>
        <w:gridCol w:w="1154"/>
      </w:tblGrid>
      <w:tr w:rsidR="004E6445" w:rsidRPr="009015A2" w14:paraId="0963FDF7" w14:textId="5B0298A3" w:rsidTr="003D776D">
        <w:trPr>
          <w:tblHeader/>
          <w:tblCellSpacing w:w="15" w:type="dxa"/>
          <w:jc w:val="center"/>
        </w:trPr>
        <w:tc>
          <w:tcPr>
            <w:tcW w:w="0" w:type="auto"/>
            <w:tcBorders>
              <w:top w:val="single" w:sz="4" w:space="0" w:color="auto"/>
              <w:bottom w:val="single" w:sz="4" w:space="0" w:color="auto"/>
            </w:tcBorders>
            <w:vAlign w:val="center"/>
            <w:hideMark/>
          </w:tcPr>
          <w:p w14:paraId="6ED26E77" w14:textId="77777777" w:rsidR="004E6445" w:rsidRPr="009015A2" w:rsidRDefault="004E6445" w:rsidP="009015A2">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Chemical Name/Common Name</w:t>
            </w:r>
          </w:p>
        </w:tc>
        <w:tc>
          <w:tcPr>
            <w:tcW w:w="6300" w:type="dxa"/>
            <w:tcBorders>
              <w:top w:val="single" w:sz="4" w:space="0" w:color="auto"/>
              <w:bottom w:val="single" w:sz="4" w:space="0" w:color="auto"/>
            </w:tcBorders>
            <w:vAlign w:val="center"/>
            <w:hideMark/>
          </w:tcPr>
          <w:p w14:paraId="19E4CE22" w14:textId="77777777" w:rsidR="004E6445" w:rsidRPr="009015A2" w:rsidRDefault="004E6445" w:rsidP="009015A2">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Chemical and Physical Properties</w:t>
            </w:r>
          </w:p>
        </w:tc>
        <w:tc>
          <w:tcPr>
            <w:tcW w:w="4486" w:type="dxa"/>
            <w:tcBorders>
              <w:top w:val="single" w:sz="4" w:space="0" w:color="auto"/>
              <w:bottom w:val="single" w:sz="4" w:space="0" w:color="auto"/>
            </w:tcBorders>
            <w:vAlign w:val="center"/>
            <w:hideMark/>
          </w:tcPr>
          <w:p w14:paraId="79C4AE69" w14:textId="77777777" w:rsidR="004E6445" w:rsidRPr="009015A2" w:rsidRDefault="004E6445" w:rsidP="009015A2">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Dose and Diseases for Which Used</w:t>
            </w:r>
          </w:p>
        </w:tc>
        <w:tc>
          <w:tcPr>
            <w:tcW w:w="1109" w:type="dxa"/>
            <w:tcBorders>
              <w:top w:val="single" w:sz="4" w:space="0" w:color="auto"/>
              <w:bottom w:val="single" w:sz="4" w:space="0" w:color="auto"/>
            </w:tcBorders>
          </w:tcPr>
          <w:p w14:paraId="0DA69011" w14:textId="481EA975" w:rsidR="004E6445" w:rsidRPr="00D02D24" w:rsidRDefault="004E6445" w:rsidP="00D02D24">
            <w:pPr>
              <w:spacing w:line="240" w:lineRule="auto"/>
              <w:ind w:left="0"/>
              <w:rPr>
                <w:rFonts w:ascii="Arial" w:eastAsia="Times New Roman" w:hAnsi="Arial" w:cs="Arial"/>
                <w:b/>
                <w:bCs/>
                <w:sz w:val="20"/>
                <w:szCs w:val="20"/>
                <w:highlight w:val="yellow"/>
                <w:lang w:eastAsia="en-IN"/>
              </w:rPr>
            </w:pPr>
            <w:r w:rsidRPr="00D02D24">
              <w:rPr>
                <w:rFonts w:ascii="Arial" w:eastAsia="Times New Roman" w:hAnsi="Arial" w:cs="Arial"/>
                <w:b/>
                <w:bCs/>
                <w:sz w:val="20"/>
                <w:szCs w:val="20"/>
                <w:highlight w:val="yellow"/>
                <w:lang w:eastAsia="en-IN"/>
              </w:rPr>
              <w:t>References</w:t>
            </w:r>
          </w:p>
        </w:tc>
      </w:tr>
      <w:tr w:rsidR="004E6445" w:rsidRPr="009015A2" w14:paraId="5B09FEF5" w14:textId="49F19067" w:rsidTr="003D776D">
        <w:trPr>
          <w:tblCellSpacing w:w="15" w:type="dxa"/>
          <w:jc w:val="center"/>
        </w:trPr>
        <w:tc>
          <w:tcPr>
            <w:tcW w:w="0" w:type="auto"/>
            <w:gridSpan w:val="3"/>
            <w:vAlign w:val="center"/>
            <w:hideMark/>
          </w:tcPr>
          <w:p w14:paraId="6192E28C" w14:textId="5C6C673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 Organic Sulphur (Carbamates)</w:t>
            </w:r>
          </w:p>
        </w:tc>
        <w:tc>
          <w:tcPr>
            <w:tcW w:w="1109" w:type="dxa"/>
          </w:tcPr>
          <w:p w14:paraId="533D8A0C" w14:textId="77777777" w:rsidR="004E6445" w:rsidRPr="00D02D24" w:rsidRDefault="004E6445" w:rsidP="00D02D24">
            <w:pPr>
              <w:spacing w:line="240" w:lineRule="auto"/>
              <w:ind w:left="0"/>
              <w:rPr>
                <w:rFonts w:ascii="Arial" w:eastAsia="Times New Roman" w:hAnsi="Arial" w:cs="Arial"/>
                <w:b/>
                <w:bCs/>
                <w:sz w:val="20"/>
                <w:szCs w:val="20"/>
                <w:highlight w:val="yellow"/>
                <w:lang w:eastAsia="en-IN"/>
              </w:rPr>
            </w:pPr>
          </w:p>
        </w:tc>
      </w:tr>
      <w:tr w:rsidR="004E6445" w:rsidRPr="009015A2" w14:paraId="08B0C2E9" w14:textId="7AE5C4E6" w:rsidTr="003D776D">
        <w:trPr>
          <w:tblCellSpacing w:w="15" w:type="dxa"/>
          <w:jc w:val="center"/>
        </w:trPr>
        <w:tc>
          <w:tcPr>
            <w:tcW w:w="0" w:type="auto"/>
            <w:tcBorders>
              <w:top w:val="single" w:sz="4" w:space="0" w:color="auto"/>
            </w:tcBorders>
            <w:vAlign w:val="center"/>
            <w:hideMark/>
          </w:tcPr>
          <w:p w14:paraId="2986DEA3"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Antracol</w:t>
            </w:r>
            <w:proofErr w:type="spellEnd"/>
            <w:r w:rsidRPr="009015A2">
              <w:rPr>
                <w:rFonts w:ascii="Arial" w:eastAsia="Times New Roman" w:hAnsi="Arial" w:cs="Arial"/>
                <w:b/>
                <w:bCs/>
                <w:sz w:val="20"/>
                <w:szCs w:val="20"/>
                <w:lang w:eastAsia="en-IN"/>
              </w:rPr>
              <w:t xml:space="preserve"> (Bayer, Germany)</w:t>
            </w:r>
          </w:p>
        </w:tc>
        <w:tc>
          <w:tcPr>
            <w:tcW w:w="6300" w:type="dxa"/>
            <w:tcBorders>
              <w:top w:val="single" w:sz="4" w:space="0" w:color="auto"/>
            </w:tcBorders>
            <w:vAlign w:val="center"/>
            <w:hideMark/>
          </w:tcPr>
          <w:p w14:paraId="3617E0B1"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Zinc propylene </w:t>
            </w:r>
            <w:proofErr w:type="spellStart"/>
            <w:r w:rsidRPr="009015A2">
              <w:rPr>
                <w:rFonts w:ascii="Arial" w:eastAsia="Times New Roman" w:hAnsi="Arial" w:cs="Arial"/>
                <w:sz w:val="20"/>
                <w:szCs w:val="20"/>
                <w:lang w:eastAsia="en-IN"/>
              </w:rPr>
              <w:t>bisdithiocarbamate</w:t>
            </w:r>
            <w:proofErr w:type="spellEnd"/>
            <w:r w:rsidRPr="009015A2">
              <w:rPr>
                <w:rFonts w:ascii="Arial" w:eastAsia="Times New Roman" w:hAnsi="Arial" w:cs="Arial"/>
                <w:sz w:val="20"/>
                <w:szCs w:val="20"/>
                <w:lang w:eastAsia="en-IN"/>
              </w:rPr>
              <w:t xml:space="preserve"> (70%) / Propineb; Odourless, low toxicity, easily soluble in water, compatible with many insecticides.</w:t>
            </w:r>
          </w:p>
        </w:tc>
        <w:tc>
          <w:tcPr>
            <w:tcW w:w="4486" w:type="dxa"/>
            <w:tcBorders>
              <w:top w:val="single" w:sz="4" w:space="0" w:color="auto"/>
            </w:tcBorders>
            <w:vAlign w:val="center"/>
            <w:hideMark/>
          </w:tcPr>
          <w:p w14:paraId="4D13B919"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 lbs/100 gallons of water; Used against leaf spots and downy mildews.</w:t>
            </w:r>
          </w:p>
        </w:tc>
        <w:tc>
          <w:tcPr>
            <w:tcW w:w="1109" w:type="dxa"/>
            <w:tcBorders>
              <w:top w:val="single" w:sz="4" w:space="0" w:color="auto"/>
            </w:tcBorders>
          </w:tcPr>
          <w:p w14:paraId="5BBFA3E3" w14:textId="4787130A" w:rsidR="004E6445" w:rsidRPr="00D02D24" w:rsidRDefault="004E6445" w:rsidP="00D02D24">
            <w:pPr>
              <w:spacing w:line="240" w:lineRule="auto"/>
              <w:ind w:left="0"/>
              <w:rPr>
                <w:rFonts w:ascii="Arial" w:eastAsia="Times New Roman" w:hAnsi="Arial" w:cs="Arial"/>
                <w:sz w:val="20"/>
                <w:szCs w:val="20"/>
                <w:highlight w:val="yellow"/>
                <w:lang w:eastAsia="en-IN"/>
              </w:rPr>
            </w:pPr>
            <w:r w:rsidRPr="00D02D24">
              <w:rPr>
                <w:rFonts w:ascii="Arial" w:eastAsia="Times New Roman" w:hAnsi="Arial" w:cs="Arial"/>
                <w:sz w:val="20"/>
                <w:szCs w:val="20"/>
                <w:highlight w:val="yellow"/>
                <w:lang w:eastAsia="en-IN"/>
              </w:rPr>
              <w:t>Parihar et al. (2011)</w:t>
            </w:r>
          </w:p>
        </w:tc>
      </w:tr>
      <w:tr w:rsidR="004E6445" w:rsidRPr="009015A2" w14:paraId="60AAC383" w14:textId="61FF30E0" w:rsidTr="003D776D">
        <w:trPr>
          <w:tblCellSpacing w:w="15" w:type="dxa"/>
          <w:jc w:val="center"/>
        </w:trPr>
        <w:tc>
          <w:tcPr>
            <w:tcW w:w="0" w:type="auto"/>
            <w:vAlign w:val="center"/>
            <w:hideMark/>
          </w:tcPr>
          <w:p w14:paraId="00321B6C"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Dithane</w:t>
            </w:r>
            <w:proofErr w:type="spellEnd"/>
            <w:r w:rsidRPr="009015A2">
              <w:rPr>
                <w:rFonts w:ascii="Arial" w:eastAsia="Times New Roman" w:hAnsi="Arial" w:cs="Arial"/>
                <w:b/>
                <w:bCs/>
                <w:sz w:val="20"/>
                <w:szCs w:val="20"/>
                <w:lang w:eastAsia="en-IN"/>
              </w:rPr>
              <w:t xml:space="preserve"> M-45 (Rohm and Haas, USA)</w:t>
            </w:r>
          </w:p>
        </w:tc>
        <w:tc>
          <w:tcPr>
            <w:tcW w:w="6300" w:type="dxa"/>
            <w:vAlign w:val="center"/>
            <w:hideMark/>
          </w:tcPr>
          <w:p w14:paraId="1D52A93F"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Mancozeb (Zn 2% + 78% Maneb) / Manganese ethylene </w:t>
            </w:r>
            <w:proofErr w:type="spellStart"/>
            <w:r w:rsidRPr="009015A2">
              <w:rPr>
                <w:rFonts w:ascii="Arial" w:eastAsia="Times New Roman" w:hAnsi="Arial" w:cs="Arial"/>
                <w:sz w:val="20"/>
                <w:szCs w:val="20"/>
                <w:lang w:eastAsia="en-IN"/>
              </w:rPr>
              <w:t>bisdithiocarbamate</w:t>
            </w:r>
            <w:proofErr w:type="spellEnd"/>
            <w:r w:rsidRPr="009015A2">
              <w:rPr>
                <w:rFonts w:ascii="Arial" w:eastAsia="Times New Roman" w:hAnsi="Arial" w:cs="Arial"/>
                <w:sz w:val="20"/>
                <w:szCs w:val="20"/>
                <w:lang w:eastAsia="en-IN"/>
              </w:rPr>
              <w:t>; Yellow-</w:t>
            </w:r>
            <w:proofErr w:type="spellStart"/>
            <w:r w:rsidRPr="009015A2">
              <w:rPr>
                <w:rFonts w:ascii="Arial" w:eastAsia="Times New Roman" w:hAnsi="Arial" w:cs="Arial"/>
                <w:sz w:val="20"/>
                <w:szCs w:val="20"/>
                <w:lang w:eastAsia="en-IN"/>
              </w:rPr>
              <w:t>colored</w:t>
            </w:r>
            <w:proofErr w:type="spellEnd"/>
            <w:r w:rsidRPr="009015A2">
              <w:rPr>
                <w:rFonts w:ascii="Arial" w:eastAsia="Times New Roman" w:hAnsi="Arial" w:cs="Arial"/>
                <w:sz w:val="20"/>
                <w:szCs w:val="20"/>
                <w:lang w:eastAsia="en-IN"/>
              </w:rPr>
              <w:t>, slightly soluble in water, compatible with most pesticide sprays.</w:t>
            </w:r>
          </w:p>
        </w:tc>
        <w:tc>
          <w:tcPr>
            <w:tcW w:w="4486" w:type="dxa"/>
            <w:vAlign w:val="center"/>
            <w:hideMark/>
          </w:tcPr>
          <w:p w14:paraId="07339368"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1.5-2 lbs/100 gallons of water; For leaf spots and downy mildews of vegetables.</w:t>
            </w:r>
          </w:p>
        </w:tc>
        <w:tc>
          <w:tcPr>
            <w:tcW w:w="1109" w:type="dxa"/>
          </w:tcPr>
          <w:p w14:paraId="1602F36B" w14:textId="65CB8901" w:rsidR="004E6445" w:rsidRPr="00D02D24" w:rsidRDefault="00342531" w:rsidP="00D02D24">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Thind et al. (2018)</w:t>
            </w:r>
          </w:p>
        </w:tc>
      </w:tr>
      <w:tr w:rsidR="004E6445" w:rsidRPr="009015A2" w14:paraId="3950F86A" w14:textId="0A4114E2" w:rsidTr="003D776D">
        <w:trPr>
          <w:tblCellSpacing w:w="15" w:type="dxa"/>
          <w:jc w:val="center"/>
        </w:trPr>
        <w:tc>
          <w:tcPr>
            <w:tcW w:w="0" w:type="auto"/>
            <w:vAlign w:val="center"/>
            <w:hideMark/>
          </w:tcPr>
          <w:p w14:paraId="121B646A"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Zerlate</w:t>
            </w:r>
            <w:proofErr w:type="spellEnd"/>
            <w:r w:rsidRPr="009015A2">
              <w:rPr>
                <w:rFonts w:ascii="Arial" w:eastAsia="Times New Roman" w:hAnsi="Arial" w:cs="Arial"/>
                <w:b/>
                <w:bCs/>
                <w:sz w:val="20"/>
                <w:szCs w:val="20"/>
                <w:lang w:eastAsia="en-IN"/>
              </w:rPr>
              <w:t xml:space="preserve"> (Dupont, USA)</w:t>
            </w:r>
          </w:p>
        </w:tc>
        <w:tc>
          <w:tcPr>
            <w:tcW w:w="6300" w:type="dxa"/>
            <w:vAlign w:val="center"/>
            <w:hideMark/>
          </w:tcPr>
          <w:p w14:paraId="3FE7F898"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Ziram (75%) / Zinc </w:t>
            </w:r>
            <w:proofErr w:type="spellStart"/>
            <w:r w:rsidRPr="009015A2">
              <w:rPr>
                <w:rFonts w:ascii="Arial" w:eastAsia="Times New Roman" w:hAnsi="Arial" w:cs="Arial"/>
                <w:sz w:val="20"/>
                <w:szCs w:val="20"/>
                <w:lang w:eastAsia="en-IN"/>
              </w:rPr>
              <w:t>dimethyldithiocarbamate</w:t>
            </w:r>
            <w:proofErr w:type="spellEnd"/>
            <w:r w:rsidRPr="009015A2">
              <w:rPr>
                <w:rFonts w:ascii="Arial" w:eastAsia="Times New Roman" w:hAnsi="Arial" w:cs="Arial"/>
                <w:sz w:val="20"/>
                <w:szCs w:val="20"/>
                <w:lang w:eastAsia="en-IN"/>
              </w:rPr>
              <w:t>; White powder, partially soluble in water but completely in alcohol, toxic to mammals if consumed orally.</w:t>
            </w:r>
          </w:p>
        </w:tc>
        <w:tc>
          <w:tcPr>
            <w:tcW w:w="4486" w:type="dxa"/>
            <w:vAlign w:val="center"/>
            <w:hideMark/>
          </w:tcPr>
          <w:p w14:paraId="4138C100"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1.5-2 lbs/100 gallons of water; For blights and </w:t>
            </w:r>
            <w:proofErr w:type="spellStart"/>
            <w:r w:rsidRPr="009015A2">
              <w:rPr>
                <w:rFonts w:ascii="Arial" w:eastAsia="Times New Roman" w:hAnsi="Arial" w:cs="Arial"/>
                <w:sz w:val="20"/>
                <w:szCs w:val="20"/>
                <w:lang w:eastAsia="en-IN"/>
              </w:rPr>
              <w:t>anthracnoses</w:t>
            </w:r>
            <w:proofErr w:type="spellEnd"/>
            <w:r w:rsidRPr="009015A2">
              <w:rPr>
                <w:rFonts w:ascii="Arial" w:eastAsia="Times New Roman" w:hAnsi="Arial" w:cs="Arial"/>
                <w:sz w:val="20"/>
                <w:szCs w:val="20"/>
                <w:lang w:eastAsia="en-IN"/>
              </w:rPr>
              <w:t xml:space="preserve"> of vegetables.</w:t>
            </w:r>
          </w:p>
        </w:tc>
        <w:tc>
          <w:tcPr>
            <w:tcW w:w="1109" w:type="dxa"/>
          </w:tcPr>
          <w:p w14:paraId="7DCAE0BD" w14:textId="7FA1CB07" w:rsidR="004E6445" w:rsidRPr="00D02D24" w:rsidRDefault="00FC3399" w:rsidP="00D02D24">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Bhagat and Choudhary (2024)</w:t>
            </w:r>
          </w:p>
        </w:tc>
      </w:tr>
      <w:tr w:rsidR="004E6445" w:rsidRPr="009015A2" w14:paraId="7855BFB6" w14:textId="6B1CAD2A" w:rsidTr="003D776D">
        <w:trPr>
          <w:tblCellSpacing w:w="15" w:type="dxa"/>
          <w:jc w:val="center"/>
        </w:trPr>
        <w:tc>
          <w:tcPr>
            <w:tcW w:w="0" w:type="auto"/>
            <w:vAlign w:val="center"/>
            <w:hideMark/>
          </w:tcPr>
          <w:p w14:paraId="7256C50F"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Dithane</w:t>
            </w:r>
            <w:proofErr w:type="spellEnd"/>
            <w:r w:rsidRPr="009015A2">
              <w:rPr>
                <w:rFonts w:ascii="Arial" w:eastAsia="Times New Roman" w:hAnsi="Arial" w:cs="Arial"/>
                <w:b/>
                <w:bCs/>
                <w:sz w:val="20"/>
                <w:szCs w:val="20"/>
                <w:lang w:eastAsia="en-IN"/>
              </w:rPr>
              <w:t xml:space="preserve"> Z-78 (Dupont, USA)</w:t>
            </w:r>
          </w:p>
        </w:tc>
        <w:tc>
          <w:tcPr>
            <w:tcW w:w="6300" w:type="dxa"/>
            <w:vAlign w:val="center"/>
            <w:hideMark/>
          </w:tcPr>
          <w:p w14:paraId="05D2C664"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Zineb / Zinc ethylene </w:t>
            </w:r>
            <w:proofErr w:type="spellStart"/>
            <w:r w:rsidRPr="009015A2">
              <w:rPr>
                <w:rFonts w:ascii="Arial" w:eastAsia="Times New Roman" w:hAnsi="Arial" w:cs="Arial"/>
                <w:sz w:val="20"/>
                <w:szCs w:val="20"/>
                <w:lang w:eastAsia="en-IN"/>
              </w:rPr>
              <w:t>bisdithiocarbamate</w:t>
            </w:r>
            <w:proofErr w:type="spellEnd"/>
            <w:r w:rsidRPr="009015A2">
              <w:rPr>
                <w:rFonts w:ascii="Arial" w:eastAsia="Times New Roman" w:hAnsi="Arial" w:cs="Arial"/>
                <w:sz w:val="20"/>
                <w:szCs w:val="20"/>
                <w:lang w:eastAsia="en-IN"/>
              </w:rPr>
              <w:t>; Yellowish powder, unstable in light and moisture.</w:t>
            </w:r>
          </w:p>
        </w:tc>
        <w:tc>
          <w:tcPr>
            <w:tcW w:w="4486" w:type="dxa"/>
            <w:vAlign w:val="center"/>
            <w:hideMark/>
          </w:tcPr>
          <w:p w14:paraId="02119A36"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 lbs/100 gallons of water (0.2%); For leaf spots of vegetables and ornamental plants.</w:t>
            </w:r>
          </w:p>
        </w:tc>
        <w:tc>
          <w:tcPr>
            <w:tcW w:w="1109" w:type="dxa"/>
          </w:tcPr>
          <w:p w14:paraId="462C23DC" w14:textId="4DD30862" w:rsidR="004E6445" w:rsidRPr="00D02D24" w:rsidRDefault="00FC3399" w:rsidP="00D02D24">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Brandes (1953)</w:t>
            </w:r>
          </w:p>
        </w:tc>
      </w:tr>
      <w:tr w:rsidR="004E6445" w:rsidRPr="009015A2" w14:paraId="72D6C5A3" w14:textId="266895A7" w:rsidTr="003D776D">
        <w:trPr>
          <w:tblCellSpacing w:w="15" w:type="dxa"/>
          <w:jc w:val="center"/>
        </w:trPr>
        <w:tc>
          <w:tcPr>
            <w:tcW w:w="0" w:type="auto"/>
            <w:vAlign w:val="center"/>
            <w:hideMark/>
          </w:tcPr>
          <w:p w14:paraId="0CA8AEDF"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Thiram (Dupont, USA)</w:t>
            </w:r>
          </w:p>
        </w:tc>
        <w:tc>
          <w:tcPr>
            <w:tcW w:w="6300" w:type="dxa"/>
            <w:vAlign w:val="center"/>
            <w:hideMark/>
          </w:tcPr>
          <w:p w14:paraId="3E494DE5"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Tetramethyl thiuram disulphide / </w:t>
            </w:r>
            <w:proofErr w:type="spellStart"/>
            <w:r w:rsidRPr="009015A2">
              <w:rPr>
                <w:rFonts w:ascii="Arial" w:eastAsia="Times New Roman" w:hAnsi="Arial" w:cs="Arial"/>
                <w:sz w:val="20"/>
                <w:szCs w:val="20"/>
                <w:lang w:eastAsia="en-IN"/>
              </w:rPr>
              <w:t>Arasan</w:t>
            </w:r>
            <w:proofErr w:type="spellEnd"/>
            <w:r w:rsidRPr="009015A2">
              <w:rPr>
                <w:rFonts w:ascii="Arial" w:eastAsia="Times New Roman" w:hAnsi="Arial" w:cs="Arial"/>
                <w:sz w:val="20"/>
                <w:szCs w:val="20"/>
                <w:lang w:eastAsia="en-IN"/>
              </w:rPr>
              <w:t>; White-</w:t>
            </w:r>
            <w:proofErr w:type="spellStart"/>
            <w:r w:rsidRPr="009015A2">
              <w:rPr>
                <w:rFonts w:ascii="Arial" w:eastAsia="Times New Roman" w:hAnsi="Arial" w:cs="Arial"/>
                <w:sz w:val="20"/>
                <w:szCs w:val="20"/>
                <w:lang w:eastAsia="en-IN"/>
              </w:rPr>
              <w:t>colored</w:t>
            </w:r>
            <w:proofErr w:type="spellEnd"/>
            <w:r w:rsidRPr="009015A2">
              <w:rPr>
                <w:rFonts w:ascii="Arial" w:eastAsia="Times New Roman" w:hAnsi="Arial" w:cs="Arial"/>
                <w:sz w:val="20"/>
                <w:szCs w:val="20"/>
                <w:lang w:eastAsia="en-IN"/>
              </w:rPr>
              <w:t>, unstable in acids, insoluble in water, mostly compatible with other pesticides.</w:t>
            </w:r>
          </w:p>
        </w:tc>
        <w:tc>
          <w:tcPr>
            <w:tcW w:w="4486" w:type="dxa"/>
            <w:vAlign w:val="center"/>
            <w:hideMark/>
          </w:tcPr>
          <w:p w14:paraId="1D3E1C77"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Seed treatment (0.15-0.2%); For seedling diseases.</w:t>
            </w:r>
          </w:p>
        </w:tc>
        <w:tc>
          <w:tcPr>
            <w:tcW w:w="1109" w:type="dxa"/>
          </w:tcPr>
          <w:p w14:paraId="1541DC45" w14:textId="3C89CA3A" w:rsidR="004E6445" w:rsidRPr="00D02D24" w:rsidRDefault="00194028" w:rsidP="00D02D24">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Maude et al. (1969)</w:t>
            </w:r>
          </w:p>
        </w:tc>
      </w:tr>
      <w:tr w:rsidR="004E6445" w:rsidRPr="009015A2" w14:paraId="0770CADD" w14:textId="1AAC0A2D" w:rsidTr="003D776D">
        <w:trPr>
          <w:tblCellSpacing w:w="15" w:type="dxa"/>
          <w:jc w:val="center"/>
        </w:trPr>
        <w:tc>
          <w:tcPr>
            <w:tcW w:w="0" w:type="auto"/>
            <w:gridSpan w:val="3"/>
            <w:tcBorders>
              <w:top w:val="single" w:sz="4" w:space="0" w:color="auto"/>
              <w:bottom w:val="single" w:sz="4" w:space="0" w:color="auto"/>
            </w:tcBorders>
            <w:vAlign w:val="center"/>
            <w:hideMark/>
          </w:tcPr>
          <w:p w14:paraId="2819F8F6" w14:textId="0330D2B3"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II. Copper (Organic)</w:t>
            </w:r>
          </w:p>
        </w:tc>
        <w:tc>
          <w:tcPr>
            <w:tcW w:w="1109" w:type="dxa"/>
            <w:tcBorders>
              <w:top w:val="single" w:sz="4" w:space="0" w:color="auto"/>
              <w:bottom w:val="single" w:sz="4" w:space="0" w:color="auto"/>
            </w:tcBorders>
          </w:tcPr>
          <w:p w14:paraId="550F2249" w14:textId="77777777" w:rsidR="004E6445" w:rsidRPr="00D02D24" w:rsidRDefault="004E6445" w:rsidP="00D02D24">
            <w:pPr>
              <w:spacing w:line="240" w:lineRule="auto"/>
              <w:ind w:left="0"/>
              <w:rPr>
                <w:rFonts w:ascii="Arial" w:eastAsia="Times New Roman" w:hAnsi="Arial" w:cs="Arial"/>
                <w:b/>
                <w:bCs/>
                <w:sz w:val="20"/>
                <w:szCs w:val="20"/>
                <w:highlight w:val="yellow"/>
                <w:lang w:eastAsia="en-IN"/>
              </w:rPr>
            </w:pPr>
          </w:p>
        </w:tc>
      </w:tr>
      <w:tr w:rsidR="004E6445" w:rsidRPr="009015A2" w14:paraId="0F7B0092" w14:textId="40A31E5D" w:rsidTr="003D776D">
        <w:trPr>
          <w:tblCellSpacing w:w="15" w:type="dxa"/>
          <w:jc w:val="center"/>
        </w:trPr>
        <w:tc>
          <w:tcPr>
            <w:tcW w:w="0" w:type="auto"/>
            <w:vAlign w:val="center"/>
            <w:hideMark/>
          </w:tcPr>
          <w:p w14:paraId="0D233D6E"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Cupravit</w:t>
            </w:r>
            <w:proofErr w:type="spellEnd"/>
            <w:r w:rsidRPr="009015A2">
              <w:rPr>
                <w:rFonts w:ascii="Arial" w:eastAsia="Times New Roman" w:hAnsi="Arial" w:cs="Arial"/>
                <w:b/>
                <w:bCs/>
                <w:sz w:val="20"/>
                <w:szCs w:val="20"/>
                <w:lang w:eastAsia="en-IN"/>
              </w:rPr>
              <w:t xml:space="preserve"> (Bayer, Germany)</w:t>
            </w:r>
          </w:p>
        </w:tc>
        <w:tc>
          <w:tcPr>
            <w:tcW w:w="6300" w:type="dxa"/>
            <w:vAlign w:val="center"/>
            <w:hideMark/>
          </w:tcPr>
          <w:p w14:paraId="1BF860D5"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Copper oxychloride (50% Cu); Soluble in water, low phytotoxicity.</w:t>
            </w:r>
          </w:p>
        </w:tc>
        <w:tc>
          <w:tcPr>
            <w:tcW w:w="4486" w:type="dxa"/>
            <w:vAlign w:val="center"/>
            <w:hideMark/>
          </w:tcPr>
          <w:p w14:paraId="22A783E1"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1.5-2 lbs/100 gallons of water (0.15-0.2%); For downy mildews and leaf spots of vegetables.</w:t>
            </w:r>
          </w:p>
        </w:tc>
        <w:tc>
          <w:tcPr>
            <w:tcW w:w="1109" w:type="dxa"/>
          </w:tcPr>
          <w:p w14:paraId="4CD0B970" w14:textId="2DEF8BCC" w:rsidR="004E6445" w:rsidRPr="00D02D24" w:rsidRDefault="00194028" w:rsidP="00D02D24">
            <w:pPr>
              <w:spacing w:line="240" w:lineRule="auto"/>
              <w:ind w:left="0"/>
              <w:rPr>
                <w:rFonts w:ascii="Arial" w:eastAsia="Times New Roman" w:hAnsi="Arial" w:cs="Arial"/>
                <w:sz w:val="20"/>
                <w:szCs w:val="20"/>
                <w:highlight w:val="yellow"/>
                <w:lang w:eastAsia="en-IN"/>
              </w:rPr>
            </w:pPr>
            <w:proofErr w:type="spellStart"/>
            <w:r w:rsidRPr="00D02D24">
              <w:rPr>
                <w:rFonts w:ascii="Arial" w:hAnsi="Arial" w:cs="Arial"/>
                <w:sz w:val="20"/>
                <w:szCs w:val="20"/>
                <w:highlight w:val="yellow"/>
              </w:rPr>
              <w:t>Alkolaly</w:t>
            </w:r>
            <w:proofErr w:type="spellEnd"/>
            <w:r w:rsidRPr="00D02D24">
              <w:rPr>
                <w:rFonts w:ascii="Arial" w:hAnsi="Arial" w:cs="Arial"/>
                <w:sz w:val="20"/>
                <w:szCs w:val="20"/>
                <w:highlight w:val="yellow"/>
              </w:rPr>
              <w:t xml:space="preserve"> et al. (2017)</w:t>
            </w:r>
          </w:p>
        </w:tc>
      </w:tr>
      <w:tr w:rsidR="004E6445" w:rsidRPr="009015A2" w14:paraId="3A359C5B" w14:textId="7E66EDDA" w:rsidTr="003D776D">
        <w:trPr>
          <w:tblCellSpacing w:w="15" w:type="dxa"/>
          <w:jc w:val="center"/>
        </w:trPr>
        <w:tc>
          <w:tcPr>
            <w:tcW w:w="0" w:type="auto"/>
            <w:vAlign w:val="center"/>
            <w:hideMark/>
          </w:tcPr>
          <w:p w14:paraId="7CD18C7E"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Perenox</w:t>
            </w:r>
            <w:proofErr w:type="spellEnd"/>
          </w:p>
        </w:tc>
        <w:tc>
          <w:tcPr>
            <w:tcW w:w="6300" w:type="dxa"/>
            <w:vAlign w:val="center"/>
            <w:hideMark/>
          </w:tcPr>
          <w:p w14:paraId="0E07CB77"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Cuprous oxide; Brown powder, fine particle size, soluble in water giving good suspension.</w:t>
            </w:r>
          </w:p>
        </w:tc>
        <w:tc>
          <w:tcPr>
            <w:tcW w:w="4486" w:type="dxa"/>
            <w:vAlign w:val="center"/>
            <w:hideMark/>
          </w:tcPr>
          <w:p w14:paraId="5C155A49"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2-2.5 lbs (0.2-0.25%); For leaf spots, downy and powdery mildews of field crops and vegetables.</w:t>
            </w:r>
          </w:p>
        </w:tc>
        <w:tc>
          <w:tcPr>
            <w:tcW w:w="1109" w:type="dxa"/>
          </w:tcPr>
          <w:p w14:paraId="4DBFC12D" w14:textId="294A86B7" w:rsidR="004E6445" w:rsidRPr="00D02D24" w:rsidRDefault="00194028" w:rsidP="00D02D24">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Mohamed et al. (2016)</w:t>
            </w:r>
          </w:p>
        </w:tc>
      </w:tr>
      <w:tr w:rsidR="004E6445" w:rsidRPr="009015A2" w14:paraId="12CF145F" w14:textId="5062B449" w:rsidTr="003D776D">
        <w:trPr>
          <w:tblCellSpacing w:w="15" w:type="dxa"/>
          <w:jc w:val="center"/>
        </w:trPr>
        <w:tc>
          <w:tcPr>
            <w:tcW w:w="0" w:type="auto"/>
            <w:vAlign w:val="center"/>
            <w:hideMark/>
          </w:tcPr>
          <w:p w14:paraId="35BC0FDF"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Bordeaux Mixture</w:t>
            </w:r>
          </w:p>
        </w:tc>
        <w:tc>
          <w:tcPr>
            <w:tcW w:w="6300" w:type="dxa"/>
            <w:vAlign w:val="center"/>
            <w:hideMark/>
          </w:tcPr>
          <w:p w14:paraId="0AB9BC6D"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Copper </w:t>
            </w:r>
            <w:proofErr w:type="spellStart"/>
            <w:r w:rsidRPr="009015A2">
              <w:rPr>
                <w:rFonts w:ascii="Arial" w:eastAsia="Times New Roman" w:hAnsi="Arial" w:cs="Arial"/>
                <w:sz w:val="20"/>
                <w:szCs w:val="20"/>
                <w:lang w:eastAsia="en-IN"/>
              </w:rPr>
              <w:t>sulfate</w:t>
            </w:r>
            <w:proofErr w:type="spellEnd"/>
            <w:r w:rsidRPr="009015A2">
              <w:rPr>
                <w:rFonts w:ascii="Arial" w:eastAsia="Times New Roman" w:hAnsi="Arial" w:cs="Arial"/>
                <w:sz w:val="20"/>
                <w:szCs w:val="20"/>
                <w:lang w:eastAsia="en-IN"/>
              </w:rPr>
              <w:t xml:space="preserve"> + lime</w:t>
            </w:r>
          </w:p>
        </w:tc>
        <w:tc>
          <w:tcPr>
            <w:tcW w:w="4486" w:type="dxa"/>
            <w:vAlign w:val="center"/>
            <w:hideMark/>
          </w:tcPr>
          <w:p w14:paraId="127E4FFB"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3:3:50, 4:4:50; For leaf spots, downy mildews, and blights.</w:t>
            </w:r>
          </w:p>
        </w:tc>
        <w:tc>
          <w:tcPr>
            <w:tcW w:w="1109" w:type="dxa"/>
          </w:tcPr>
          <w:p w14:paraId="75AB45A9" w14:textId="34D91814" w:rsidR="004E6445" w:rsidRPr="00D02D24" w:rsidRDefault="00194028" w:rsidP="00D02D24">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Roberts (1936)</w:t>
            </w:r>
          </w:p>
        </w:tc>
      </w:tr>
      <w:tr w:rsidR="004E6445" w:rsidRPr="009015A2" w14:paraId="2D8AE5F5" w14:textId="469C48E0" w:rsidTr="003D776D">
        <w:trPr>
          <w:tblCellSpacing w:w="15" w:type="dxa"/>
          <w:jc w:val="center"/>
        </w:trPr>
        <w:tc>
          <w:tcPr>
            <w:tcW w:w="0" w:type="auto"/>
            <w:vAlign w:val="center"/>
            <w:hideMark/>
          </w:tcPr>
          <w:p w14:paraId="2D4D3F3A" w14:textId="77777777" w:rsidR="004E6445" w:rsidRPr="009015A2" w:rsidRDefault="004E6445"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Vitigran</w:t>
            </w:r>
            <w:proofErr w:type="spellEnd"/>
            <w:r w:rsidRPr="009015A2">
              <w:rPr>
                <w:rFonts w:ascii="Arial" w:eastAsia="Times New Roman" w:hAnsi="Arial" w:cs="Arial"/>
                <w:b/>
                <w:bCs/>
                <w:sz w:val="20"/>
                <w:szCs w:val="20"/>
                <w:lang w:eastAsia="en-IN"/>
              </w:rPr>
              <w:t xml:space="preserve"> Blue (Hoechst, Germany)</w:t>
            </w:r>
          </w:p>
        </w:tc>
        <w:tc>
          <w:tcPr>
            <w:tcW w:w="6300" w:type="dxa"/>
            <w:vAlign w:val="center"/>
            <w:hideMark/>
          </w:tcPr>
          <w:p w14:paraId="077F6F30"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Copper oxychloride (35% Cu); Bluish powder, soluble in water.</w:t>
            </w:r>
          </w:p>
        </w:tc>
        <w:tc>
          <w:tcPr>
            <w:tcW w:w="4486" w:type="dxa"/>
            <w:vAlign w:val="center"/>
            <w:hideMark/>
          </w:tcPr>
          <w:p w14:paraId="3ED9331E" w14:textId="7777777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General-purpose fungicide (2.0-3.0 lbs/100 gallons of water) for many fungal diseases.</w:t>
            </w:r>
          </w:p>
        </w:tc>
        <w:tc>
          <w:tcPr>
            <w:tcW w:w="1109" w:type="dxa"/>
          </w:tcPr>
          <w:p w14:paraId="74A4832D" w14:textId="5BD56C27" w:rsidR="004E6445" w:rsidRPr="00D02D24" w:rsidRDefault="00F9417F" w:rsidP="00D02D24">
            <w:pPr>
              <w:spacing w:line="240" w:lineRule="auto"/>
              <w:ind w:left="0"/>
              <w:rPr>
                <w:rFonts w:ascii="Arial" w:eastAsia="Times New Roman" w:hAnsi="Arial" w:cs="Arial"/>
                <w:sz w:val="20"/>
                <w:szCs w:val="20"/>
                <w:highlight w:val="yellow"/>
                <w:lang w:eastAsia="en-IN"/>
              </w:rPr>
            </w:pPr>
            <w:proofErr w:type="spellStart"/>
            <w:r w:rsidRPr="00D02D24">
              <w:rPr>
                <w:rFonts w:ascii="Arial" w:hAnsi="Arial" w:cs="Arial"/>
                <w:sz w:val="20"/>
                <w:szCs w:val="20"/>
                <w:highlight w:val="yellow"/>
              </w:rPr>
              <w:t>Pethybridge</w:t>
            </w:r>
            <w:proofErr w:type="spellEnd"/>
            <w:r w:rsidRPr="00D02D24">
              <w:rPr>
                <w:rFonts w:ascii="Arial" w:hAnsi="Arial" w:cs="Arial"/>
                <w:sz w:val="20"/>
                <w:szCs w:val="20"/>
                <w:highlight w:val="yellow"/>
              </w:rPr>
              <w:t xml:space="preserve"> et al. (2020)</w:t>
            </w:r>
          </w:p>
        </w:tc>
      </w:tr>
      <w:tr w:rsidR="004E6445" w:rsidRPr="009015A2" w14:paraId="62FFD6B3" w14:textId="66495253" w:rsidTr="003D776D">
        <w:trPr>
          <w:tblCellSpacing w:w="15" w:type="dxa"/>
          <w:jc w:val="center"/>
        </w:trPr>
        <w:tc>
          <w:tcPr>
            <w:tcW w:w="0" w:type="auto"/>
            <w:gridSpan w:val="3"/>
            <w:tcBorders>
              <w:top w:val="single" w:sz="4" w:space="0" w:color="auto"/>
            </w:tcBorders>
            <w:vAlign w:val="center"/>
            <w:hideMark/>
          </w:tcPr>
          <w:p w14:paraId="0F344320" w14:textId="3503EA87" w:rsidR="004E6445" w:rsidRPr="009015A2" w:rsidRDefault="004E6445"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III. Oxathiins</w:t>
            </w:r>
          </w:p>
        </w:tc>
        <w:tc>
          <w:tcPr>
            <w:tcW w:w="1109" w:type="dxa"/>
            <w:tcBorders>
              <w:top w:val="single" w:sz="4" w:space="0" w:color="auto"/>
            </w:tcBorders>
          </w:tcPr>
          <w:p w14:paraId="25E83975" w14:textId="77777777" w:rsidR="004E6445" w:rsidRPr="00D02D24" w:rsidRDefault="004E6445" w:rsidP="00D02D24">
            <w:pPr>
              <w:spacing w:line="240" w:lineRule="auto"/>
              <w:ind w:left="0"/>
              <w:rPr>
                <w:rFonts w:ascii="Arial" w:eastAsia="Times New Roman" w:hAnsi="Arial" w:cs="Arial"/>
                <w:b/>
                <w:bCs/>
                <w:sz w:val="20"/>
                <w:szCs w:val="20"/>
                <w:highlight w:val="yellow"/>
                <w:lang w:eastAsia="en-IN"/>
              </w:rPr>
            </w:pPr>
          </w:p>
        </w:tc>
      </w:tr>
      <w:tr w:rsidR="003D776D" w:rsidRPr="009015A2" w14:paraId="579D4AE0" w14:textId="58F10848" w:rsidTr="003D776D">
        <w:trPr>
          <w:tblCellSpacing w:w="15" w:type="dxa"/>
          <w:jc w:val="center"/>
        </w:trPr>
        <w:tc>
          <w:tcPr>
            <w:tcW w:w="0" w:type="auto"/>
            <w:tcBorders>
              <w:top w:val="single" w:sz="4" w:space="0" w:color="auto"/>
            </w:tcBorders>
            <w:vAlign w:val="center"/>
            <w:hideMark/>
          </w:tcPr>
          <w:p w14:paraId="0BDC7416"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Vitavax-200 (Uniroyal, USA)</w:t>
            </w:r>
          </w:p>
        </w:tc>
        <w:tc>
          <w:tcPr>
            <w:tcW w:w="6300" w:type="dxa"/>
            <w:tcBorders>
              <w:top w:val="single" w:sz="4" w:space="0" w:color="auto"/>
            </w:tcBorders>
            <w:vAlign w:val="center"/>
            <w:hideMark/>
          </w:tcPr>
          <w:p w14:paraId="235E286A"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Carboxin / Dihydro-methyl-oxathiin </w:t>
            </w:r>
            <w:proofErr w:type="spellStart"/>
            <w:r w:rsidRPr="009015A2">
              <w:rPr>
                <w:rFonts w:ascii="Arial" w:eastAsia="Times New Roman" w:hAnsi="Arial" w:cs="Arial"/>
                <w:sz w:val="20"/>
                <w:szCs w:val="20"/>
                <w:lang w:eastAsia="en-IN"/>
              </w:rPr>
              <w:t>carboxanilide</w:t>
            </w:r>
            <w:proofErr w:type="spellEnd"/>
            <w:r w:rsidRPr="009015A2">
              <w:rPr>
                <w:rFonts w:ascii="Arial" w:eastAsia="Times New Roman" w:hAnsi="Arial" w:cs="Arial"/>
                <w:sz w:val="20"/>
                <w:szCs w:val="20"/>
                <w:lang w:eastAsia="en-IN"/>
              </w:rPr>
              <w:t xml:space="preserve"> (DMOC); Crystalline compound, often combined with other seed and soil fungicides.</w:t>
            </w:r>
          </w:p>
        </w:tc>
        <w:tc>
          <w:tcPr>
            <w:tcW w:w="4486" w:type="dxa"/>
            <w:tcBorders>
              <w:top w:val="single" w:sz="4" w:space="0" w:color="auto"/>
            </w:tcBorders>
            <w:vAlign w:val="center"/>
            <w:hideMark/>
          </w:tcPr>
          <w:p w14:paraId="6E413BBA"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85g/45 kg of seed; Effective seed dressing fungicide for seedling diseases.</w:t>
            </w:r>
          </w:p>
        </w:tc>
        <w:tc>
          <w:tcPr>
            <w:tcW w:w="1109" w:type="dxa"/>
            <w:tcBorders>
              <w:top w:val="single" w:sz="4" w:space="0" w:color="auto"/>
            </w:tcBorders>
          </w:tcPr>
          <w:p w14:paraId="31D796A3" w14:textId="5E6FA24C" w:rsidR="003D776D" w:rsidRPr="00D02D24" w:rsidRDefault="003D776D" w:rsidP="003D776D">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Mohamed et al. (2016)</w:t>
            </w:r>
          </w:p>
        </w:tc>
      </w:tr>
      <w:tr w:rsidR="003D776D" w:rsidRPr="009015A2" w14:paraId="68D3D95C" w14:textId="36BAB4F2" w:rsidTr="003D776D">
        <w:trPr>
          <w:tblCellSpacing w:w="15" w:type="dxa"/>
          <w:jc w:val="center"/>
        </w:trPr>
        <w:tc>
          <w:tcPr>
            <w:tcW w:w="0" w:type="auto"/>
            <w:vAlign w:val="center"/>
            <w:hideMark/>
          </w:tcPr>
          <w:p w14:paraId="484E5A67" w14:textId="77777777" w:rsidR="003D776D" w:rsidRPr="009015A2" w:rsidRDefault="003D776D" w:rsidP="003D776D">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Vitavax</w:t>
            </w:r>
            <w:proofErr w:type="spellEnd"/>
            <w:r w:rsidRPr="009015A2">
              <w:rPr>
                <w:rFonts w:ascii="Arial" w:eastAsia="Times New Roman" w:hAnsi="Arial" w:cs="Arial"/>
                <w:b/>
                <w:bCs/>
                <w:sz w:val="20"/>
                <w:szCs w:val="20"/>
                <w:lang w:eastAsia="en-IN"/>
              </w:rPr>
              <w:t>-Thiram (Uniroyal, USA)</w:t>
            </w:r>
          </w:p>
        </w:tc>
        <w:tc>
          <w:tcPr>
            <w:tcW w:w="6300" w:type="dxa"/>
            <w:vAlign w:val="center"/>
            <w:hideMark/>
          </w:tcPr>
          <w:p w14:paraId="00EEF1E5"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Carboxin/DMOC + Thiram; Crystalline, soluble in acetone, compatible with common fungicides and insecticides.</w:t>
            </w:r>
          </w:p>
        </w:tc>
        <w:tc>
          <w:tcPr>
            <w:tcW w:w="4486" w:type="dxa"/>
            <w:vAlign w:val="center"/>
            <w:hideMark/>
          </w:tcPr>
          <w:p w14:paraId="69C294D0"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200 g/100 kg; Used as seed protectant against seedling diseases.</w:t>
            </w:r>
          </w:p>
        </w:tc>
        <w:tc>
          <w:tcPr>
            <w:tcW w:w="1109" w:type="dxa"/>
          </w:tcPr>
          <w:p w14:paraId="33BC7790" w14:textId="7BB232D5" w:rsidR="003D776D" w:rsidRPr="00D02D24" w:rsidRDefault="003D776D" w:rsidP="003D776D">
            <w:pPr>
              <w:spacing w:line="240" w:lineRule="auto"/>
              <w:ind w:left="0"/>
              <w:rPr>
                <w:rFonts w:ascii="Arial" w:eastAsia="Times New Roman" w:hAnsi="Arial" w:cs="Arial"/>
                <w:sz w:val="20"/>
                <w:szCs w:val="20"/>
                <w:highlight w:val="yellow"/>
                <w:lang w:eastAsia="en-IN"/>
              </w:rPr>
            </w:pPr>
            <w:r w:rsidRPr="00D02D24">
              <w:rPr>
                <w:rFonts w:ascii="Arial" w:hAnsi="Arial" w:cs="Arial"/>
                <w:sz w:val="20"/>
                <w:szCs w:val="20"/>
                <w:highlight w:val="yellow"/>
              </w:rPr>
              <w:t>Roberts (1936)</w:t>
            </w:r>
          </w:p>
        </w:tc>
      </w:tr>
      <w:tr w:rsidR="003D776D" w:rsidRPr="009015A2" w14:paraId="70134D68" w14:textId="6043AC5F" w:rsidTr="003D776D">
        <w:trPr>
          <w:tblCellSpacing w:w="15" w:type="dxa"/>
          <w:jc w:val="center"/>
        </w:trPr>
        <w:tc>
          <w:tcPr>
            <w:tcW w:w="0" w:type="auto"/>
            <w:vAlign w:val="center"/>
            <w:hideMark/>
          </w:tcPr>
          <w:p w14:paraId="22469602" w14:textId="77777777" w:rsidR="003D776D" w:rsidRPr="009015A2" w:rsidRDefault="003D776D" w:rsidP="003D776D">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Plantavax</w:t>
            </w:r>
            <w:proofErr w:type="spellEnd"/>
            <w:r w:rsidRPr="009015A2">
              <w:rPr>
                <w:rFonts w:ascii="Arial" w:eastAsia="Times New Roman" w:hAnsi="Arial" w:cs="Arial"/>
                <w:b/>
                <w:bCs/>
                <w:sz w:val="20"/>
                <w:szCs w:val="20"/>
                <w:lang w:eastAsia="en-IN"/>
              </w:rPr>
              <w:t xml:space="preserve"> (Uniroyal, USA)</w:t>
            </w:r>
          </w:p>
        </w:tc>
        <w:tc>
          <w:tcPr>
            <w:tcW w:w="6300" w:type="dxa"/>
            <w:vAlign w:val="center"/>
            <w:hideMark/>
          </w:tcPr>
          <w:p w14:paraId="08F5A0AC"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Oxycarboxin / DMOC; Available in granule, liquid, and dust form, compatible with some common fungicides and insecticides.</w:t>
            </w:r>
          </w:p>
        </w:tc>
        <w:tc>
          <w:tcPr>
            <w:tcW w:w="4486" w:type="dxa"/>
            <w:vAlign w:val="center"/>
            <w:hideMark/>
          </w:tcPr>
          <w:p w14:paraId="5221A712" w14:textId="77777777" w:rsidR="003D776D" w:rsidRPr="009015A2" w:rsidRDefault="003D776D" w:rsidP="003D776D">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½ to 1 lbs/acre; Used against rusts of field crops and ornamentals.</w:t>
            </w:r>
          </w:p>
        </w:tc>
        <w:tc>
          <w:tcPr>
            <w:tcW w:w="1109" w:type="dxa"/>
          </w:tcPr>
          <w:p w14:paraId="1F38A948" w14:textId="7E550937" w:rsidR="003D776D" w:rsidRPr="00D02D24" w:rsidRDefault="003D776D" w:rsidP="003D776D">
            <w:pPr>
              <w:spacing w:line="240" w:lineRule="auto"/>
              <w:ind w:left="0"/>
              <w:rPr>
                <w:rFonts w:ascii="Arial" w:eastAsia="Times New Roman" w:hAnsi="Arial" w:cs="Arial"/>
                <w:sz w:val="20"/>
                <w:szCs w:val="20"/>
                <w:highlight w:val="yellow"/>
                <w:lang w:eastAsia="en-IN"/>
              </w:rPr>
            </w:pPr>
            <w:proofErr w:type="spellStart"/>
            <w:r w:rsidRPr="00D02D24">
              <w:rPr>
                <w:rFonts w:ascii="Arial" w:hAnsi="Arial" w:cs="Arial"/>
                <w:sz w:val="20"/>
                <w:szCs w:val="20"/>
                <w:highlight w:val="yellow"/>
              </w:rPr>
              <w:t>Pethybridge</w:t>
            </w:r>
            <w:proofErr w:type="spellEnd"/>
            <w:r w:rsidRPr="00D02D24">
              <w:rPr>
                <w:rFonts w:ascii="Arial" w:hAnsi="Arial" w:cs="Arial"/>
                <w:sz w:val="20"/>
                <w:szCs w:val="20"/>
                <w:highlight w:val="yellow"/>
              </w:rPr>
              <w:t xml:space="preserve"> et al. (2020)</w:t>
            </w:r>
          </w:p>
        </w:tc>
      </w:tr>
    </w:tbl>
    <w:p w14:paraId="29CF1D65" w14:textId="77777777" w:rsidR="00672B96" w:rsidRDefault="00672B96">
      <w:pPr>
        <w:sectPr w:rsidR="00672B96" w:rsidSect="00672B96">
          <w:pgSz w:w="16838" w:h="11906" w:orient="landscape"/>
          <w:pgMar w:top="1440" w:right="1440" w:bottom="1440" w:left="1440" w:header="708" w:footer="708" w:gutter="0"/>
          <w:cols w:space="708"/>
          <w:docGrid w:linePitch="360"/>
        </w:sectPr>
      </w:pPr>
    </w:p>
    <w:p w14:paraId="4E62A137" w14:textId="58817AD0" w:rsidR="00E5219C" w:rsidRPr="00543B61" w:rsidRDefault="00E5219C" w:rsidP="00E5219C">
      <w:pPr>
        <w:pStyle w:val="NoSpacing"/>
        <w:jc w:val="center"/>
        <w:rPr>
          <w:rFonts w:ascii="Arial" w:hAnsi="Arial" w:cs="Arial"/>
          <w:b/>
          <w:sz w:val="20"/>
        </w:rPr>
      </w:pPr>
      <w:r w:rsidRPr="00543B61">
        <w:rPr>
          <w:rFonts w:ascii="Arial" w:hAnsi="Arial" w:cs="Arial"/>
          <w:b/>
          <w:sz w:val="20"/>
        </w:rPr>
        <w:lastRenderedPageBreak/>
        <w:t xml:space="preserve">Table </w:t>
      </w:r>
      <w:r w:rsidR="003D121E">
        <w:rPr>
          <w:rFonts w:ascii="Arial" w:hAnsi="Arial" w:cs="Arial"/>
          <w:b/>
          <w:sz w:val="20"/>
        </w:rPr>
        <w:t>1</w:t>
      </w:r>
      <w:r w:rsidRPr="00543B61">
        <w:rPr>
          <w:rFonts w:ascii="Arial" w:hAnsi="Arial" w:cs="Arial"/>
          <w:b/>
          <w:sz w:val="20"/>
        </w:rPr>
        <w:t>:</w:t>
      </w:r>
      <w:r w:rsidR="00543B61" w:rsidRPr="00543B61">
        <w:t xml:space="preserve"> </w:t>
      </w:r>
      <w:r w:rsidR="00543B61" w:rsidRPr="00543B61">
        <w:rPr>
          <w:rFonts w:ascii="Arial" w:hAnsi="Arial" w:cs="Arial"/>
          <w:b/>
          <w:sz w:val="20"/>
        </w:rPr>
        <w:t>Chemical and Physical Characteristics, Dosage and Target Diseases of Common Agrochemicals</w:t>
      </w:r>
      <w:r w:rsidRPr="00543B61">
        <w:rPr>
          <w:rFonts w:ascii="Arial" w:hAnsi="Arial" w:cs="Arial"/>
          <w:b/>
          <w:sz w:val="20"/>
        </w:rPr>
        <w:t xml:space="preserve"> (</w:t>
      </w:r>
      <w:proofErr w:type="gramStart"/>
      <w:r w:rsidRPr="00543B61">
        <w:rPr>
          <w:rFonts w:ascii="Arial" w:hAnsi="Arial" w:cs="Arial"/>
          <w:b/>
          <w:sz w:val="20"/>
        </w:rPr>
        <w:t>Contd..</w:t>
      </w:r>
      <w:proofErr w:type="gramEnd"/>
      <w:r w:rsidRPr="00543B61">
        <w:rPr>
          <w:rFonts w:ascii="Arial" w:hAnsi="Arial" w:cs="Arial"/>
          <w:b/>
          <w:sz w:val="20"/>
        </w:rPr>
        <w:t xml:space="preserve">) </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16"/>
        <w:gridCol w:w="6048"/>
        <w:gridCol w:w="5594"/>
      </w:tblGrid>
      <w:tr w:rsidR="00672B96" w:rsidRPr="009015A2" w14:paraId="0F72C1FD" w14:textId="77777777" w:rsidTr="003D776D">
        <w:trPr>
          <w:tblCellSpacing w:w="15" w:type="dxa"/>
          <w:jc w:val="center"/>
        </w:trPr>
        <w:tc>
          <w:tcPr>
            <w:tcW w:w="0" w:type="auto"/>
            <w:tcBorders>
              <w:top w:val="single" w:sz="4" w:space="0" w:color="auto"/>
              <w:bottom w:val="nil"/>
            </w:tcBorders>
            <w:vAlign w:val="center"/>
          </w:tcPr>
          <w:p w14:paraId="1AAAAC59" w14:textId="41267EB7" w:rsidR="00672B96" w:rsidRPr="009015A2" w:rsidRDefault="00672B96" w:rsidP="00672B96">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Chemical Name/Common Name</w:t>
            </w:r>
          </w:p>
        </w:tc>
        <w:tc>
          <w:tcPr>
            <w:tcW w:w="6018" w:type="dxa"/>
            <w:tcBorders>
              <w:top w:val="single" w:sz="4" w:space="0" w:color="auto"/>
              <w:bottom w:val="nil"/>
            </w:tcBorders>
            <w:vAlign w:val="center"/>
          </w:tcPr>
          <w:p w14:paraId="20A29060" w14:textId="7CD81276"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Chemical and Physical Properties</w:t>
            </w:r>
          </w:p>
        </w:tc>
        <w:tc>
          <w:tcPr>
            <w:tcW w:w="5549" w:type="dxa"/>
            <w:tcBorders>
              <w:top w:val="single" w:sz="4" w:space="0" w:color="auto"/>
              <w:bottom w:val="nil"/>
            </w:tcBorders>
            <w:vAlign w:val="center"/>
          </w:tcPr>
          <w:p w14:paraId="178975A4" w14:textId="08492CDC"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Dose and Diseases for Which Used</w:t>
            </w:r>
          </w:p>
        </w:tc>
      </w:tr>
      <w:tr w:rsidR="00672B96" w:rsidRPr="009015A2" w14:paraId="2CA3E260" w14:textId="77777777" w:rsidTr="00081712">
        <w:trPr>
          <w:tblCellSpacing w:w="15" w:type="dxa"/>
          <w:jc w:val="center"/>
        </w:trPr>
        <w:tc>
          <w:tcPr>
            <w:tcW w:w="0" w:type="auto"/>
            <w:gridSpan w:val="3"/>
            <w:tcBorders>
              <w:top w:val="single" w:sz="4" w:space="0" w:color="auto"/>
              <w:bottom w:val="single" w:sz="4" w:space="0" w:color="auto"/>
            </w:tcBorders>
            <w:vAlign w:val="center"/>
            <w:hideMark/>
          </w:tcPr>
          <w:p w14:paraId="0468341D" w14:textId="3FAF2486"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IV. Benzimidazole</w:t>
            </w:r>
          </w:p>
        </w:tc>
      </w:tr>
      <w:tr w:rsidR="00672B96" w:rsidRPr="009015A2" w14:paraId="1B4358FE" w14:textId="77777777" w:rsidTr="003D776D">
        <w:trPr>
          <w:tblCellSpacing w:w="15" w:type="dxa"/>
          <w:jc w:val="center"/>
        </w:trPr>
        <w:tc>
          <w:tcPr>
            <w:tcW w:w="0" w:type="auto"/>
            <w:vAlign w:val="center"/>
            <w:hideMark/>
          </w:tcPr>
          <w:p w14:paraId="26304C4D"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Benlate</w:t>
            </w:r>
            <w:proofErr w:type="spellEnd"/>
            <w:r w:rsidRPr="009015A2">
              <w:rPr>
                <w:rFonts w:ascii="Arial" w:eastAsia="Times New Roman" w:hAnsi="Arial" w:cs="Arial"/>
                <w:b/>
                <w:bCs/>
                <w:sz w:val="20"/>
                <w:szCs w:val="20"/>
                <w:lang w:eastAsia="en-IN"/>
              </w:rPr>
              <w:t xml:space="preserve"> (Dupont, USA)</w:t>
            </w:r>
          </w:p>
        </w:tc>
        <w:tc>
          <w:tcPr>
            <w:tcW w:w="6018" w:type="dxa"/>
            <w:vAlign w:val="center"/>
            <w:hideMark/>
          </w:tcPr>
          <w:p w14:paraId="25EBEE21"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Benomyl / Methyl-N-butyl-carbamoyl-benzimidazole carbamate; White powder, non-volatile, insoluble in water.</w:t>
            </w:r>
          </w:p>
        </w:tc>
        <w:tc>
          <w:tcPr>
            <w:tcW w:w="5549" w:type="dxa"/>
            <w:vAlign w:val="center"/>
            <w:hideMark/>
          </w:tcPr>
          <w:p w14:paraId="671B3EC1"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56.7 g/bushel post-harvest dip for fruits (400 ppt).</w:t>
            </w:r>
          </w:p>
        </w:tc>
      </w:tr>
      <w:tr w:rsidR="00672B96" w:rsidRPr="009015A2" w14:paraId="4FA6F61C" w14:textId="77777777" w:rsidTr="003D776D">
        <w:trPr>
          <w:tblCellSpacing w:w="15" w:type="dxa"/>
          <w:jc w:val="center"/>
        </w:trPr>
        <w:tc>
          <w:tcPr>
            <w:tcW w:w="0" w:type="auto"/>
            <w:vAlign w:val="center"/>
            <w:hideMark/>
          </w:tcPr>
          <w:p w14:paraId="01B9CAD0"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Thiabendazole (</w:t>
            </w:r>
            <w:proofErr w:type="spellStart"/>
            <w:r w:rsidRPr="009015A2">
              <w:rPr>
                <w:rFonts w:ascii="Arial" w:eastAsia="Times New Roman" w:hAnsi="Arial" w:cs="Arial"/>
                <w:b/>
                <w:bCs/>
                <w:sz w:val="20"/>
                <w:szCs w:val="20"/>
                <w:lang w:eastAsia="en-IN"/>
              </w:rPr>
              <w:t>Tecto</w:t>
            </w:r>
            <w:proofErr w:type="spellEnd"/>
            <w:r w:rsidRPr="009015A2">
              <w:rPr>
                <w:rFonts w:ascii="Arial" w:eastAsia="Times New Roman" w:hAnsi="Arial" w:cs="Arial"/>
                <w:b/>
                <w:bCs/>
                <w:sz w:val="20"/>
                <w:szCs w:val="20"/>
                <w:lang w:eastAsia="en-IN"/>
              </w:rPr>
              <w:t>)</w:t>
            </w:r>
          </w:p>
        </w:tc>
        <w:tc>
          <w:tcPr>
            <w:tcW w:w="6018" w:type="dxa"/>
            <w:vAlign w:val="center"/>
            <w:hideMark/>
          </w:tcPr>
          <w:p w14:paraId="4FA64C6D"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Thiazolyl benzimidazole; Stable, creamy white, non-phytotoxic at recommended doses.</w:t>
            </w:r>
          </w:p>
        </w:tc>
        <w:tc>
          <w:tcPr>
            <w:tcW w:w="5549" w:type="dxa"/>
            <w:vAlign w:val="center"/>
            <w:hideMark/>
          </w:tcPr>
          <w:p w14:paraId="39CEDAA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Foliar, bulb (corm and tuber), seed, and soil application; Controls same diseases as Benomyl.</w:t>
            </w:r>
          </w:p>
        </w:tc>
      </w:tr>
      <w:tr w:rsidR="00672B96" w:rsidRPr="009015A2" w14:paraId="514DDFFB" w14:textId="77777777" w:rsidTr="003D776D">
        <w:trPr>
          <w:tblCellSpacing w:w="15" w:type="dxa"/>
          <w:jc w:val="center"/>
        </w:trPr>
        <w:tc>
          <w:tcPr>
            <w:tcW w:w="0" w:type="auto"/>
            <w:vAlign w:val="center"/>
            <w:hideMark/>
          </w:tcPr>
          <w:p w14:paraId="533C67E9"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Topsin</w:t>
            </w:r>
            <w:proofErr w:type="spellEnd"/>
            <w:r w:rsidRPr="009015A2">
              <w:rPr>
                <w:rFonts w:ascii="Arial" w:eastAsia="Times New Roman" w:hAnsi="Arial" w:cs="Arial"/>
                <w:b/>
                <w:bCs/>
                <w:sz w:val="20"/>
                <w:szCs w:val="20"/>
                <w:lang w:eastAsia="en-IN"/>
              </w:rPr>
              <w:t>-M (Nippon Soda Co., Japan)</w:t>
            </w:r>
          </w:p>
        </w:tc>
        <w:tc>
          <w:tcPr>
            <w:tcW w:w="6018" w:type="dxa"/>
            <w:vAlign w:val="center"/>
            <w:hideMark/>
          </w:tcPr>
          <w:p w14:paraId="4F6B4A62"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sz w:val="20"/>
                <w:szCs w:val="20"/>
                <w:lang w:eastAsia="en-IN"/>
              </w:rPr>
              <w:t>Cercobin</w:t>
            </w:r>
            <w:proofErr w:type="spellEnd"/>
            <w:r w:rsidRPr="009015A2">
              <w:rPr>
                <w:rFonts w:ascii="Arial" w:eastAsia="Times New Roman" w:hAnsi="Arial" w:cs="Arial"/>
                <w:sz w:val="20"/>
                <w:szCs w:val="20"/>
                <w:lang w:eastAsia="en-IN"/>
              </w:rPr>
              <w:t xml:space="preserve">-M / </w:t>
            </w:r>
            <w:proofErr w:type="spellStart"/>
            <w:r w:rsidRPr="009015A2">
              <w:rPr>
                <w:rFonts w:ascii="Arial" w:eastAsia="Times New Roman" w:hAnsi="Arial" w:cs="Arial"/>
                <w:sz w:val="20"/>
                <w:szCs w:val="20"/>
                <w:lang w:eastAsia="en-IN"/>
              </w:rPr>
              <w:t>Bismethoxycarbonyl-thioureidobenzene</w:t>
            </w:r>
            <w:proofErr w:type="spellEnd"/>
            <w:r w:rsidRPr="009015A2">
              <w:rPr>
                <w:rFonts w:ascii="Arial" w:eastAsia="Times New Roman" w:hAnsi="Arial" w:cs="Arial"/>
                <w:sz w:val="20"/>
                <w:szCs w:val="20"/>
                <w:lang w:eastAsia="en-IN"/>
              </w:rPr>
              <w:t xml:space="preserve">; </w:t>
            </w:r>
            <w:proofErr w:type="spellStart"/>
            <w:r w:rsidRPr="009015A2">
              <w:rPr>
                <w:rFonts w:ascii="Arial" w:eastAsia="Times New Roman" w:hAnsi="Arial" w:cs="Arial"/>
                <w:sz w:val="20"/>
                <w:szCs w:val="20"/>
                <w:lang w:eastAsia="en-IN"/>
              </w:rPr>
              <w:t>Colorless</w:t>
            </w:r>
            <w:proofErr w:type="spellEnd"/>
            <w:r w:rsidRPr="009015A2">
              <w:rPr>
                <w:rFonts w:ascii="Arial" w:eastAsia="Times New Roman" w:hAnsi="Arial" w:cs="Arial"/>
                <w:sz w:val="20"/>
                <w:szCs w:val="20"/>
                <w:lang w:eastAsia="en-IN"/>
              </w:rPr>
              <w:t xml:space="preserve"> crystalline solid, protective, curative, systemic activities, broad-spectrum fungitoxic.</w:t>
            </w:r>
          </w:p>
        </w:tc>
        <w:tc>
          <w:tcPr>
            <w:tcW w:w="5549" w:type="dxa"/>
            <w:vAlign w:val="center"/>
            <w:hideMark/>
          </w:tcPr>
          <w:p w14:paraId="62116B4A"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Used against </w:t>
            </w:r>
            <w:proofErr w:type="spellStart"/>
            <w:r w:rsidRPr="009015A2">
              <w:rPr>
                <w:rFonts w:ascii="Arial" w:eastAsia="Times New Roman" w:hAnsi="Arial" w:cs="Arial"/>
                <w:sz w:val="20"/>
                <w:szCs w:val="20"/>
                <w:lang w:eastAsia="en-IN"/>
              </w:rPr>
              <w:t>Cercospora</w:t>
            </w:r>
            <w:proofErr w:type="spellEnd"/>
            <w:r w:rsidRPr="009015A2">
              <w:rPr>
                <w:rFonts w:ascii="Arial" w:eastAsia="Times New Roman" w:hAnsi="Arial" w:cs="Arial"/>
                <w:sz w:val="20"/>
                <w:szCs w:val="20"/>
                <w:lang w:eastAsia="en-IN"/>
              </w:rPr>
              <w:t xml:space="preserve"> leaf spot, powdery mildew, apple and pear scab, rice blight, Sclerotinia, and Botrytis rots.</w:t>
            </w:r>
          </w:p>
        </w:tc>
      </w:tr>
      <w:tr w:rsidR="00672B96" w:rsidRPr="009015A2" w14:paraId="1964E2CF" w14:textId="77777777" w:rsidTr="006F7CED">
        <w:trPr>
          <w:tblCellSpacing w:w="15" w:type="dxa"/>
          <w:jc w:val="center"/>
        </w:trPr>
        <w:tc>
          <w:tcPr>
            <w:tcW w:w="0" w:type="auto"/>
            <w:gridSpan w:val="3"/>
            <w:tcBorders>
              <w:top w:val="single" w:sz="4" w:space="0" w:color="auto"/>
            </w:tcBorders>
            <w:vAlign w:val="center"/>
            <w:hideMark/>
          </w:tcPr>
          <w:p w14:paraId="6425CE36" w14:textId="6EBB3CD9"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 Heterocyclic Nitrogenous Compounds</w:t>
            </w:r>
          </w:p>
        </w:tc>
      </w:tr>
      <w:tr w:rsidR="00672B96" w:rsidRPr="009015A2" w14:paraId="7C4E49E6" w14:textId="77777777" w:rsidTr="003D776D">
        <w:trPr>
          <w:tblCellSpacing w:w="15" w:type="dxa"/>
          <w:jc w:val="center"/>
        </w:trPr>
        <w:tc>
          <w:tcPr>
            <w:tcW w:w="0" w:type="auto"/>
            <w:tcBorders>
              <w:top w:val="single" w:sz="4" w:space="0" w:color="auto"/>
            </w:tcBorders>
            <w:vAlign w:val="center"/>
            <w:hideMark/>
          </w:tcPr>
          <w:p w14:paraId="4E5DD5F9"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Captan</w:t>
            </w:r>
            <w:proofErr w:type="spellEnd"/>
            <w:r w:rsidRPr="009015A2">
              <w:rPr>
                <w:rFonts w:ascii="Arial" w:eastAsia="Times New Roman" w:hAnsi="Arial" w:cs="Arial"/>
                <w:b/>
                <w:bCs/>
                <w:sz w:val="20"/>
                <w:szCs w:val="20"/>
                <w:lang w:eastAsia="en-IN"/>
              </w:rPr>
              <w:t xml:space="preserve"> (</w:t>
            </w:r>
            <w:proofErr w:type="spellStart"/>
            <w:r w:rsidRPr="009015A2">
              <w:rPr>
                <w:rFonts w:ascii="Arial" w:eastAsia="Times New Roman" w:hAnsi="Arial" w:cs="Arial"/>
                <w:b/>
                <w:bCs/>
                <w:sz w:val="20"/>
                <w:szCs w:val="20"/>
                <w:lang w:eastAsia="en-IN"/>
              </w:rPr>
              <w:t>Chemagro</w:t>
            </w:r>
            <w:proofErr w:type="spellEnd"/>
            <w:r w:rsidRPr="009015A2">
              <w:rPr>
                <w:rFonts w:ascii="Arial" w:eastAsia="Times New Roman" w:hAnsi="Arial" w:cs="Arial"/>
                <w:b/>
                <w:bCs/>
                <w:sz w:val="20"/>
                <w:szCs w:val="20"/>
                <w:lang w:eastAsia="en-IN"/>
              </w:rPr>
              <w:t>, USA)</w:t>
            </w:r>
          </w:p>
        </w:tc>
        <w:tc>
          <w:tcPr>
            <w:tcW w:w="6018" w:type="dxa"/>
            <w:tcBorders>
              <w:top w:val="single" w:sz="4" w:space="0" w:color="auto"/>
            </w:tcBorders>
            <w:vAlign w:val="center"/>
            <w:hideMark/>
          </w:tcPr>
          <w:p w14:paraId="00E682D5"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sz w:val="20"/>
                <w:szCs w:val="20"/>
                <w:lang w:eastAsia="en-IN"/>
              </w:rPr>
              <w:t>Orthocide</w:t>
            </w:r>
            <w:proofErr w:type="spellEnd"/>
            <w:r w:rsidRPr="009015A2">
              <w:rPr>
                <w:rFonts w:ascii="Arial" w:eastAsia="Times New Roman" w:hAnsi="Arial" w:cs="Arial"/>
                <w:sz w:val="20"/>
                <w:szCs w:val="20"/>
                <w:lang w:eastAsia="en-IN"/>
              </w:rPr>
              <w:t xml:space="preserve"> or </w:t>
            </w:r>
            <w:proofErr w:type="spellStart"/>
            <w:r w:rsidRPr="009015A2">
              <w:rPr>
                <w:rFonts w:ascii="Arial" w:eastAsia="Times New Roman" w:hAnsi="Arial" w:cs="Arial"/>
                <w:sz w:val="20"/>
                <w:szCs w:val="20"/>
                <w:lang w:eastAsia="en-IN"/>
              </w:rPr>
              <w:t>Vancide</w:t>
            </w:r>
            <w:proofErr w:type="spellEnd"/>
            <w:r w:rsidRPr="009015A2">
              <w:rPr>
                <w:rFonts w:ascii="Arial" w:eastAsia="Times New Roman" w:hAnsi="Arial" w:cs="Arial"/>
                <w:sz w:val="20"/>
                <w:szCs w:val="20"/>
                <w:lang w:eastAsia="en-IN"/>
              </w:rPr>
              <w:t xml:space="preserve"> / N-trichloromethyl-</w:t>
            </w:r>
            <w:proofErr w:type="spellStart"/>
            <w:r w:rsidRPr="009015A2">
              <w:rPr>
                <w:rFonts w:ascii="Arial" w:eastAsia="Times New Roman" w:hAnsi="Arial" w:cs="Arial"/>
                <w:sz w:val="20"/>
                <w:szCs w:val="20"/>
                <w:lang w:eastAsia="en-IN"/>
              </w:rPr>
              <w:t>thiocyclohexene</w:t>
            </w:r>
            <w:proofErr w:type="spellEnd"/>
            <w:r w:rsidRPr="009015A2">
              <w:rPr>
                <w:rFonts w:ascii="Arial" w:eastAsia="Times New Roman" w:hAnsi="Arial" w:cs="Arial"/>
                <w:sz w:val="20"/>
                <w:szCs w:val="20"/>
                <w:lang w:eastAsia="en-IN"/>
              </w:rPr>
              <w:t xml:space="preserve">-dicarboximide; Incompatible with lime </w:t>
            </w:r>
            <w:proofErr w:type="spellStart"/>
            <w:r w:rsidRPr="009015A2">
              <w:rPr>
                <w:rFonts w:ascii="Arial" w:eastAsia="Times New Roman" w:hAnsi="Arial" w:cs="Arial"/>
                <w:sz w:val="20"/>
                <w:szCs w:val="20"/>
                <w:lang w:eastAsia="en-IN"/>
              </w:rPr>
              <w:t>sulfur</w:t>
            </w:r>
            <w:proofErr w:type="spellEnd"/>
            <w:r w:rsidRPr="009015A2">
              <w:rPr>
                <w:rFonts w:ascii="Arial" w:eastAsia="Times New Roman" w:hAnsi="Arial" w:cs="Arial"/>
                <w:sz w:val="20"/>
                <w:szCs w:val="20"/>
                <w:lang w:eastAsia="en-IN"/>
              </w:rPr>
              <w:t xml:space="preserve"> and Bordeaux mixture.</w:t>
            </w:r>
          </w:p>
        </w:tc>
        <w:tc>
          <w:tcPr>
            <w:tcW w:w="5549" w:type="dxa"/>
            <w:tcBorders>
              <w:top w:val="single" w:sz="4" w:space="0" w:color="auto"/>
            </w:tcBorders>
            <w:vAlign w:val="center"/>
            <w:hideMark/>
          </w:tcPr>
          <w:p w14:paraId="2635E2E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2 lbs/400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 xml:space="preserve"> as spray; For leaf spots, mildews, and smuts of field crops.</w:t>
            </w:r>
          </w:p>
        </w:tc>
      </w:tr>
      <w:tr w:rsidR="00672B96" w:rsidRPr="009015A2" w14:paraId="0D83472E" w14:textId="77777777" w:rsidTr="003D776D">
        <w:trPr>
          <w:tblCellSpacing w:w="15" w:type="dxa"/>
          <w:jc w:val="center"/>
        </w:trPr>
        <w:tc>
          <w:tcPr>
            <w:tcW w:w="0" w:type="auto"/>
            <w:vAlign w:val="center"/>
            <w:hideMark/>
          </w:tcPr>
          <w:p w14:paraId="6275F8AC"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Brassicol</w:t>
            </w:r>
            <w:proofErr w:type="spellEnd"/>
            <w:r w:rsidRPr="009015A2">
              <w:rPr>
                <w:rFonts w:ascii="Arial" w:eastAsia="Times New Roman" w:hAnsi="Arial" w:cs="Arial"/>
                <w:b/>
                <w:bCs/>
                <w:sz w:val="20"/>
                <w:szCs w:val="20"/>
                <w:lang w:eastAsia="en-IN"/>
              </w:rPr>
              <w:t xml:space="preserve"> (Hoechst, Germany)</w:t>
            </w:r>
          </w:p>
        </w:tc>
        <w:tc>
          <w:tcPr>
            <w:tcW w:w="6018" w:type="dxa"/>
            <w:vAlign w:val="center"/>
            <w:hideMark/>
          </w:tcPr>
          <w:p w14:paraId="62D1C74F"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PCNB or </w:t>
            </w:r>
            <w:proofErr w:type="spellStart"/>
            <w:r w:rsidRPr="009015A2">
              <w:rPr>
                <w:rFonts w:ascii="Arial" w:eastAsia="Times New Roman" w:hAnsi="Arial" w:cs="Arial"/>
                <w:sz w:val="20"/>
                <w:szCs w:val="20"/>
                <w:lang w:eastAsia="en-IN"/>
              </w:rPr>
              <w:t>Quintoxene</w:t>
            </w:r>
            <w:proofErr w:type="spellEnd"/>
            <w:r w:rsidRPr="009015A2">
              <w:rPr>
                <w:rFonts w:ascii="Arial" w:eastAsia="Times New Roman" w:hAnsi="Arial" w:cs="Arial"/>
                <w:sz w:val="20"/>
                <w:szCs w:val="20"/>
                <w:lang w:eastAsia="en-IN"/>
              </w:rPr>
              <w:t xml:space="preserve"> (20%) / Pentachloro-nitrobenzene; Yellowish brown crystalline, insoluble in water, characteristic </w:t>
            </w:r>
            <w:proofErr w:type="spellStart"/>
            <w:r w:rsidRPr="009015A2">
              <w:rPr>
                <w:rFonts w:ascii="Arial" w:eastAsia="Times New Roman" w:hAnsi="Arial" w:cs="Arial"/>
                <w:sz w:val="20"/>
                <w:szCs w:val="20"/>
                <w:lang w:eastAsia="en-IN"/>
              </w:rPr>
              <w:t>odor</w:t>
            </w:r>
            <w:proofErr w:type="spellEnd"/>
            <w:r w:rsidRPr="009015A2">
              <w:rPr>
                <w:rFonts w:ascii="Arial" w:eastAsia="Times New Roman" w:hAnsi="Arial" w:cs="Arial"/>
                <w:sz w:val="20"/>
                <w:szCs w:val="20"/>
                <w:lang w:eastAsia="en-IN"/>
              </w:rPr>
              <w:t>, stable at normal conditions.</w:t>
            </w:r>
          </w:p>
        </w:tc>
        <w:tc>
          <w:tcPr>
            <w:tcW w:w="5549" w:type="dxa"/>
            <w:vAlign w:val="center"/>
            <w:hideMark/>
          </w:tcPr>
          <w:p w14:paraId="24D7FFF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Soil drenching (0.5 lbs/1 ft soil drenching, 60/100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 For soil-borne diseases like damping-off, root rots.</w:t>
            </w:r>
          </w:p>
        </w:tc>
      </w:tr>
      <w:tr w:rsidR="00672B96" w:rsidRPr="009015A2" w14:paraId="4766A5A1" w14:textId="77777777" w:rsidTr="003D776D">
        <w:trPr>
          <w:tblCellSpacing w:w="15" w:type="dxa"/>
          <w:jc w:val="center"/>
        </w:trPr>
        <w:tc>
          <w:tcPr>
            <w:tcW w:w="0" w:type="auto"/>
            <w:vAlign w:val="center"/>
            <w:hideMark/>
          </w:tcPr>
          <w:p w14:paraId="004E55C7"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Brestan-60 (Hoechst, Germany)</w:t>
            </w:r>
          </w:p>
        </w:tc>
        <w:tc>
          <w:tcPr>
            <w:tcW w:w="6018" w:type="dxa"/>
            <w:vAlign w:val="center"/>
            <w:hideMark/>
          </w:tcPr>
          <w:p w14:paraId="583D7142"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Fentin acetate (60%) / Triphenyl tin-acetate; White crystalline, </w:t>
            </w:r>
            <w:proofErr w:type="spellStart"/>
            <w:r w:rsidRPr="009015A2">
              <w:rPr>
                <w:rFonts w:ascii="Arial" w:eastAsia="Times New Roman" w:hAnsi="Arial" w:cs="Arial"/>
                <w:sz w:val="20"/>
                <w:szCs w:val="20"/>
                <w:lang w:eastAsia="en-IN"/>
              </w:rPr>
              <w:t>odorless</w:t>
            </w:r>
            <w:proofErr w:type="spellEnd"/>
            <w:r w:rsidRPr="009015A2">
              <w:rPr>
                <w:rFonts w:ascii="Arial" w:eastAsia="Times New Roman" w:hAnsi="Arial" w:cs="Arial"/>
                <w:sz w:val="20"/>
                <w:szCs w:val="20"/>
                <w:lang w:eastAsia="en-IN"/>
              </w:rPr>
              <w:t>, less soluble in water.</w:t>
            </w:r>
          </w:p>
        </w:tc>
        <w:tc>
          <w:tcPr>
            <w:tcW w:w="5549" w:type="dxa"/>
            <w:vAlign w:val="center"/>
            <w:hideMark/>
          </w:tcPr>
          <w:p w14:paraId="482ED322"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200 g/100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w:t>
            </w:r>
          </w:p>
        </w:tc>
      </w:tr>
      <w:tr w:rsidR="00672B96" w:rsidRPr="009015A2" w14:paraId="55A5BDF4" w14:textId="77777777" w:rsidTr="003D776D">
        <w:trPr>
          <w:tblCellSpacing w:w="15" w:type="dxa"/>
          <w:jc w:val="center"/>
        </w:trPr>
        <w:tc>
          <w:tcPr>
            <w:tcW w:w="0" w:type="auto"/>
            <w:vAlign w:val="center"/>
            <w:hideMark/>
          </w:tcPr>
          <w:p w14:paraId="47ECE901"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Morestan</w:t>
            </w:r>
            <w:proofErr w:type="spellEnd"/>
            <w:r w:rsidRPr="009015A2">
              <w:rPr>
                <w:rFonts w:ascii="Arial" w:eastAsia="Times New Roman" w:hAnsi="Arial" w:cs="Arial"/>
                <w:b/>
                <w:bCs/>
                <w:sz w:val="20"/>
                <w:szCs w:val="20"/>
                <w:lang w:eastAsia="en-IN"/>
              </w:rPr>
              <w:t xml:space="preserve"> (Hoechst, Germany)</w:t>
            </w:r>
          </w:p>
        </w:tc>
        <w:tc>
          <w:tcPr>
            <w:tcW w:w="6018" w:type="dxa"/>
            <w:vAlign w:val="center"/>
            <w:hideMark/>
          </w:tcPr>
          <w:p w14:paraId="66B3AB32"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sz w:val="20"/>
                <w:szCs w:val="20"/>
                <w:lang w:eastAsia="en-IN"/>
              </w:rPr>
              <w:t>Oxythioquinox</w:t>
            </w:r>
            <w:proofErr w:type="spellEnd"/>
            <w:r w:rsidRPr="009015A2">
              <w:rPr>
                <w:rFonts w:ascii="Arial" w:eastAsia="Times New Roman" w:hAnsi="Arial" w:cs="Arial"/>
                <w:sz w:val="20"/>
                <w:szCs w:val="20"/>
                <w:lang w:eastAsia="en-IN"/>
              </w:rPr>
              <w:t xml:space="preserve"> (25%) / Methyl quinoxaline-</w:t>
            </w:r>
            <w:proofErr w:type="spellStart"/>
            <w:r w:rsidRPr="009015A2">
              <w:rPr>
                <w:rFonts w:ascii="Arial" w:eastAsia="Times New Roman" w:hAnsi="Arial" w:cs="Arial"/>
                <w:sz w:val="20"/>
                <w:szCs w:val="20"/>
                <w:lang w:eastAsia="en-IN"/>
              </w:rPr>
              <w:t>dithiolocarbonate</w:t>
            </w:r>
            <w:proofErr w:type="spellEnd"/>
            <w:r w:rsidRPr="009015A2">
              <w:rPr>
                <w:rFonts w:ascii="Arial" w:eastAsia="Times New Roman" w:hAnsi="Arial" w:cs="Arial"/>
                <w:sz w:val="20"/>
                <w:szCs w:val="20"/>
                <w:lang w:eastAsia="en-IN"/>
              </w:rPr>
              <w:t>; Insoluble in water, unstable in alkaline medium.</w:t>
            </w:r>
          </w:p>
        </w:tc>
        <w:tc>
          <w:tcPr>
            <w:tcW w:w="5549" w:type="dxa"/>
            <w:vAlign w:val="center"/>
            <w:hideMark/>
          </w:tcPr>
          <w:p w14:paraId="15BB8338"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50 g/100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 For powdery mildews of vegetables.</w:t>
            </w:r>
          </w:p>
        </w:tc>
      </w:tr>
      <w:tr w:rsidR="00672B96" w:rsidRPr="009015A2" w14:paraId="641876D4" w14:textId="77777777" w:rsidTr="00BB5F34">
        <w:trPr>
          <w:tblCellSpacing w:w="15" w:type="dxa"/>
          <w:jc w:val="center"/>
        </w:trPr>
        <w:tc>
          <w:tcPr>
            <w:tcW w:w="0" w:type="auto"/>
            <w:gridSpan w:val="3"/>
            <w:tcBorders>
              <w:top w:val="single" w:sz="4" w:space="0" w:color="auto"/>
            </w:tcBorders>
            <w:vAlign w:val="center"/>
            <w:hideMark/>
          </w:tcPr>
          <w:p w14:paraId="7C4AFEA8" w14:textId="1B43A7B2"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VI. Mercury (Organic)</w:t>
            </w:r>
          </w:p>
        </w:tc>
      </w:tr>
      <w:tr w:rsidR="00672B96" w:rsidRPr="009015A2" w14:paraId="159C389A" w14:textId="77777777" w:rsidTr="003D776D">
        <w:trPr>
          <w:tblCellSpacing w:w="15" w:type="dxa"/>
          <w:jc w:val="center"/>
        </w:trPr>
        <w:tc>
          <w:tcPr>
            <w:tcW w:w="0" w:type="auto"/>
            <w:tcBorders>
              <w:top w:val="single" w:sz="4" w:space="0" w:color="auto"/>
            </w:tcBorders>
            <w:vAlign w:val="center"/>
            <w:hideMark/>
          </w:tcPr>
          <w:p w14:paraId="19939057"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Ceresan</w:t>
            </w:r>
            <w:proofErr w:type="spellEnd"/>
          </w:p>
        </w:tc>
        <w:tc>
          <w:tcPr>
            <w:tcW w:w="6018" w:type="dxa"/>
            <w:tcBorders>
              <w:top w:val="single" w:sz="4" w:space="0" w:color="auto"/>
            </w:tcBorders>
            <w:vAlign w:val="center"/>
            <w:hideMark/>
          </w:tcPr>
          <w:p w14:paraId="4D150D9B"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Ethyl mercury chloride; Reddish fine powder.</w:t>
            </w:r>
          </w:p>
        </w:tc>
        <w:tc>
          <w:tcPr>
            <w:tcW w:w="5549" w:type="dxa"/>
            <w:tcBorders>
              <w:top w:val="single" w:sz="4" w:space="0" w:color="auto"/>
            </w:tcBorders>
            <w:vAlign w:val="center"/>
            <w:hideMark/>
          </w:tcPr>
          <w:p w14:paraId="3BB7CF65"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 ounces/30 kg of seeds; Used as seed protectant for cereals and vegetables.</w:t>
            </w:r>
          </w:p>
        </w:tc>
      </w:tr>
      <w:tr w:rsidR="00672B96" w:rsidRPr="009015A2" w14:paraId="32FCA061" w14:textId="77777777" w:rsidTr="003D776D">
        <w:trPr>
          <w:tblCellSpacing w:w="15" w:type="dxa"/>
          <w:jc w:val="center"/>
        </w:trPr>
        <w:tc>
          <w:tcPr>
            <w:tcW w:w="0" w:type="auto"/>
            <w:vAlign w:val="center"/>
            <w:hideMark/>
          </w:tcPr>
          <w:p w14:paraId="2534166E"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Semesan</w:t>
            </w:r>
          </w:p>
        </w:tc>
        <w:tc>
          <w:tcPr>
            <w:tcW w:w="6018" w:type="dxa"/>
            <w:vAlign w:val="center"/>
            <w:hideMark/>
          </w:tcPr>
          <w:p w14:paraId="5A4D536D"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Hydroxy mercuric chlorophenol.</w:t>
            </w:r>
          </w:p>
        </w:tc>
        <w:tc>
          <w:tcPr>
            <w:tcW w:w="5549" w:type="dxa"/>
            <w:vAlign w:val="center"/>
            <w:hideMark/>
          </w:tcPr>
          <w:p w14:paraId="638651CA"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Seed (bulb) treatment of vegetables and ornamentals (0.25-0.30%).</w:t>
            </w:r>
          </w:p>
        </w:tc>
      </w:tr>
      <w:tr w:rsidR="00672B96" w:rsidRPr="009015A2" w14:paraId="4F900691" w14:textId="77777777" w:rsidTr="003D776D">
        <w:trPr>
          <w:tblCellSpacing w:w="15" w:type="dxa"/>
          <w:jc w:val="center"/>
        </w:trPr>
        <w:tc>
          <w:tcPr>
            <w:tcW w:w="0" w:type="auto"/>
            <w:vAlign w:val="center"/>
            <w:hideMark/>
          </w:tcPr>
          <w:p w14:paraId="20A17598"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Agallol</w:t>
            </w:r>
            <w:proofErr w:type="spellEnd"/>
          </w:p>
        </w:tc>
        <w:tc>
          <w:tcPr>
            <w:tcW w:w="6018" w:type="dxa"/>
            <w:vAlign w:val="center"/>
            <w:hideMark/>
          </w:tcPr>
          <w:p w14:paraId="6D28FF37"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Methoxyethyl Mercury chloride / </w:t>
            </w:r>
            <w:proofErr w:type="spellStart"/>
            <w:r w:rsidRPr="009015A2">
              <w:rPr>
                <w:rFonts w:ascii="Arial" w:eastAsia="Times New Roman" w:hAnsi="Arial" w:cs="Arial"/>
                <w:sz w:val="20"/>
                <w:szCs w:val="20"/>
                <w:lang w:eastAsia="en-IN"/>
              </w:rPr>
              <w:t>Aretan</w:t>
            </w:r>
            <w:proofErr w:type="spellEnd"/>
            <w:r w:rsidRPr="009015A2">
              <w:rPr>
                <w:rFonts w:ascii="Arial" w:eastAsia="Times New Roman" w:hAnsi="Arial" w:cs="Arial"/>
                <w:sz w:val="20"/>
                <w:szCs w:val="20"/>
                <w:lang w:eastAsia="en-IN"/>
              </w:rPr>
              <w:t>.</w:t>
            </w:r>
          </w:p>
        </w:tc>
        <w:tc>
          <w:tcPr>
            <w:tcW w:w="5549" w:type="dxa"/>
            <w:vAlign w:val="center"/>
            <w:hideMark/>
          </w:tcPr>
          <w:p w14:paraId="58D3C742"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Used as dip for sugarcane or tubers (0.5% of 6% Hg).</w:t>
            </w:r>
          </w:p>
        </w:tc>
      </w:tr>
      <w:tr w:rsidR="00672B96" w:rsidRPr="009015A2" w14:paraId="5C3E5B41" w14:textId="77777777" w:rsidTr="00FB4413">
        <w:trPr>
          <w:tblCellSpacing w:w="15" w:type="dxa"/>
          <w:jc w:val="center"/>
        </w:trPr>
        <w:tc>
          <w:tcPr>
            <w:tcW w:w="0" w:type="auto"/>
            <w:gridSpan w:val="3"/>
            <w:tcBorders>
              <w:top w:val="single" w:sz="4" w:space="0" w:color="auto"/>
              <w:bottom w:val="single" w:sz="4" w:space="0" w:color="auto"/>
            </w:tcBorders>
            <w:vAlign w:val="center"/>
            <w:hideMark/>
          </w:tcPr>
          <w:p w14:paraId="1832499A" w14:textId="42670839"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VII. Quinones</w:t>
            </w:r>
          </w:p>
        </w:tc>
      </w:tr>
      <w:tr w:rsidR="00672B96" w:rsidRPr="009015A2" w14:paraId="03D6B9EF" w14:textId="77777777" w:rsidTr="003D776D">
        <w:trPr>
          <w:tblCellSpacing w:w="15" w:type="dxa"/>
          <w:jc w:val="center"/>
        </w:trPr>
        <w:tc>
          <w:tcPr>
            <w:tcW w:w="0" w:type="auto"/>
            <w:vAlign w:val="center"/>
            <w:hideMark/>
          </w:tcPr>
          <w:p w14:paraId="5F3FC34C"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Spergon (Uniroyal, USA)</w:t>
            </w:r>
          </w:p>
        </w:tc>
        <w:tc>
          <w:tcPr>
            <w:tcW w:w="6018" w:type="dxa"/>
            <w:vAlign w:val="center"/>
            <w:hideMark/>
          </w:tcPr>
          <w:p w14:paraId="2C34300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Chloranil / </w:t>
            </w:r>
            <w:proofErr w:type="spellStart"/>
            <w:r w:rsidRPr="009015A2">
              <w:rPr>
                <w:rFonts w:ascii="Arial" w:eastAsia="Times New Roman" w:hAnsi="Arial" w:cs="Arial"/>
                <w:sz w:val="20"/>
                <w:szCs w:val="20"/>
                <w:lang w:eastAsia="en-IN"/>
              </w:rPr>
              <w:t>Tetrachloro</w:t>
            </w:r>
            <w:proofErr w:type="spellEnd"/>
            <w:r w:rsidRPr="009015A2">
              <w:rPr>
                <w:rFonts w:ascii="Arial" w:eastAsia="Times New Roman" w:hAnsi="Arial" w:cs="Arial"/>
                <w:sz w:val="20"/>
                <w:szCs w:val="20"/>
                <w:lang w:eastAsia="en-IN"/>
              </w:rPr>
              <w:t>-benzoquinone; Golden yellow, insoluble in water, stable at acidic pH, unstable in sunlight.</w:t>
            </w:r>
          </w:p>
        </w:tc>
        <w:tc>
          <w:tcPr>
            <w:tcW w:w="5549" w:type="dxa"/>
            <w:vAlign w:val="center"/>
            <w:hideMark/>
          </w:tcPr>
          <w:p w14:paraId="692321DB"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0.2% dry seed protectant; Against certain smuts and downy mildew of field crops.</w:t>
            </w:r>
          </w:p>
        </w:tc>
      </w:tr>
      <w:tr w:rsidR="00672B96" w:rsidRPr="009015A2" w14:paraId="7F19B050" w14:textId="77777777" w:rsidTr="003D776D">
        <w:trPr>
          <w:tblCellSpacing w:w="15" w:type="dxa"/>
          <w:jc w:val="center"/>
        </w:trPr>
        <w:tc>
          <w:tcPr>
            <w:tcW w:w="0" w:type="auto"/>
            <w:tcBorders>
              <w:bottom w:val="nil"/>
            </w:tcBorders>
            <w:vAlign w:val="center"/>
            <w:hideMark/>
          </w:tcPr>
          <w:p w14:paraId="5FA7C476"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Phygon</w:t>
            </w:r>
            <w:proofErr w:type="spellEnd"/>
            <w:r w:rsidRPr="009015A2">
              <w:rPr>
                <w:rFonts w:ascii="Arial" w:eastAsia="Times New Roman" w:hAnsi="Arial" w:cs="Arial"/>
                <w:b/>
                <w:bCs/>
                <w:sz w:val="20"/>
                <w:szCs w:val="20"/>
                <w:lang w:eastAsia="en-IN"/>
              </w:rPr>
              <w:t xml:space="preserve"> (Uniroyal, USA)</w:t>
            </w:r>
          </w:p>
        </w:tc>
        <w:tc>
          <w:tcPr>
            <w:tcW w:w="6018" w:type="dxa"/>
            <w:tcBorders>
              <w:bottom w:val="nil"/>
            </w:tcBorders>
            <w:vAlign w:val="center"/>
            <w:hideMark/>
          </w:tcPr>
          <w:p w14:paraId="4228DD60"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Dichlone / </w:t>
            </w:r>
            <w:proofErr w:type="spellStart"/>
            <w:r w:rsidRPr="009015A2">
              <w:rPr>
                <w:rFonts w:ascii="Arial" w:eastAsia="Times New Roman" w:hAnsi="Arial" w:cs="Arial"/>
                <w:sz w:val="20"/>
                <w:szCs w:val="20"/>
                <w:lang w:eastAsia="en-IN"/>
              </w:rPr>
              <w:t>Dichloronaphthoquinone</w:t>
            </w:r>
            <w:proofErr w:type="spellEnd"/>
            <w:r w:rsidRPr="009015A2">
              <w:rPr>
                <w:rFonts w:ascii="Arial" w:eastAsia="Times New Roman" w:hAnsi="Arial" w:cs="Arial"/>
                <w:sz w:val="20"/>
                <w:szCs w:val="20"/>
                <w:lang w:eastAsia="en-IN"/>
              </w:rPr>
              <w:t xml:space="preserve">; Yellow crystalline, </w:t>
            </w:r>
            <w:proofErr w:type="spellStart"/>
            <w:r w:rsidRPr="009015A2">
              <w:rPr>
                <w:rFonts w:ascii="Arial" w:eastAsia="Times New Roman" w:hAnsi="Arial" w:cs="Arial"/>
                <w:sz w:val="20"/>
                <w:szCs w:val="20"/>
                <w:lang w:eastAsia="en-IN"/>
              </w:rPr>
              <w:t>odorless</w:t>
            </w:r>
            <w:proofErr w:type="spellEnd"/>
            <w:r w:rsidRPr="009015A2">
              <w:rPr>
                <w:rFonts w:ascii="Arial" w:eastAsia="Times New Roman" w:hAnsi="Arial" w:cs="Arial"/>
                <w:sz w:val="20"/>
                <w:szCs w:val="20"/>
                <w:lang w:eastAsia="en-IN"/>
              </w:rPr>
              <w:t>, insoluble in water, stable to sunlight.</w:t>
            </w:r>
          </w:p>
        </w:tc>
        <w:tc>
          <w:tcPr>
            <w:tcW w:w="5549" w:type="dxa"/>
            <w:tcBorders>
              <w:bottom w:val="nil"/>
            </w:tcBorders>
            <w:vAlign w:val="center"/>
            <w:hideMark/>
          </w:tcPr>
          <w:p w14:paraId="34C1850A"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Seed protectant (0.2%) for certain smuts and blight diseases of field crops.</w:t>
            </w:r>
          </w:p>
        </w:tc>
      </w:tr>
    </w:tbl>
    <w:p w14:paraId="3B3B47A5" w14:textId="77777777" w:rsidR="00672B96" w:rsidRDefault="00672B96" w:rsidP="009015A2">
      <w:pPr>
        <w:spacing w:before="100" w:beforeAutospacing="1" w:after="100" w:afterAutospacing="1" w:line="240" w:lineRule="auto"/>
        <w:ind w:left="720"/>
        <w:rPr>
          <w:rFonts w:ascii="Arial" w:hAnsi="Arial" w:cs="Arial"/>
          <w:sz w:val="20"/>
          <w:szCs w:val="20"/>
        </w:rPr>
        <w:sectPr w:rsidR="00672B96" w:rsidSect="00672B96">
          <w:pgSz w:w="16838" w:h="11906" w:orient="landscape"/>
          <w:pgMar w:top="1440" w:right="1440" w:bottom="1440" w:left="1440" w:header="708" w:footer="708" w:gutter="0"/>
          <w:cols w:space="708"/>
          <w:docGrid w:linePitch="360"/>
        </w:sectPr>
      </w:pPr>
    </w:p>
    <w:p w14:paraId="7EC58CCE" w14:textId="1D244095" w:rsidR="00CE4393" w:rsidRPr="00543B61" w:rsidRDefault="00CE4393" w:rsidP="00543B61">
      <w:pPr>
        <w:pStyle w:val="Heading1"/>
        <w:numPr>
          <w:ilvl w:val="1"/>
          <w:numId w:val="30"/>
        </w:numPr>
        <w:jc w:val="both"/>
        <w:rPr>
          <w:rFonts w:ascii="Arial" w:hAnsi="Arial" w:cs="Arial"/>
          <w:sz w:val="24"/>
          <w:szCs w:val="20"/>
        </w:rPr>
      </w:pPr>
      <w:r w:rsidRPr="00543B61">
        <w:rPr>
          <w:rStyle w:val="Strong"/>
          <w:rFonts w:ascii="Arial" w:hAnsi="Arial" w:cs="Arial"/>
          <w:b/>
          <w:bCs/>
          <w:sz w:val="24"/>
          <w:szCs w:val="20"/>
        </w:rPr>
        <w:lastRenderedPageBreak/>
        <w:t>Methods of Chemical Application</w:t>
      </w:r>
    </w:p>
    <w:p w14:paraId="7BB7BCC0"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 effectiveness of chemical protection in plant pathology depends on the </w:t>
      </w:r>
      <w:r w:rsidRPr="009015A2">
        <w:rPr>
          <w:rStyle w:val="Strong"/>
          <w:rFonts w:ascii="Arial" w:hAnsi="Arial" w:cs="Arial"/>
          <w:sz w:val="20"/>
          <w:szCs w:val="20"/>
        </w:rPr>
        <w:t>method of application</w:t>
      </w:r>
      <w:r w:rsidRPr="009015A2">
        <w:rPr>
          <w:rFonts w:ascii="Arial" w:hAnsi="Arial" w:cs="Arial"/>
          <w:sz w:val="20"/>
          <w:szCs w:val="20"/>
        </w:rPr>
        <w:t xml:space="preserve">, ensuring </w:t>
      </w:r>
      <w:r w:rsidRPr="009015A2">
        <w:rPr>
          <w:rStyle w:val="Strong"/>
          <w:rFonts w:ascii="Arial" w:hAnsi="Arial" w:cs="Arial"/>
          <w:sz w:val="20"/>
          <w:szCs w:val="20"/>
        </w:rPr>
        <w:t>maximum coverage, absorption, and disease control</w:t>
      </w:r>
      <w:r w:rsidRPr="009015A2">
        <w:rPr>
          <w:rFonts w:ascii="Arial" w:hAnsi="Arial" w:cs="Arial"/>
          <w:sz w:val="20"/>
          <w:szCs w:val="20"/>
        </w:rPr>
        <w:t xml:space="preserve"> while minimizing environmental impact. Different application techniques are used based on </w:t>
      </w:r>
      <w:r w:rsidRPr="009015A2">
        <w:rPr>
          <w:rStyle w:val="Strong"/>
          <w:rFonts w:ascii="Arial" w:hAnsi="Arial" w:cs="Arial"/>
          <w:sz w:val="20"/>
          <w:szCs w:val="20"/>
        </w:rPr>
        <w:t>pathogen type, plant growth stage, and target area</w:t>
      </w:r>
      <w:r w:rsidRPr="009015A2">
        <w:rPr>
          <w:rFonts w:ascii="Arial" w:hAnsi="Arial" w:cs="Arial"/>
          <w:sz w:val="20"/>
          <w:szCs w:val="20"/>
        </w:rPr>
        <w:t xml:space="preserve">. The primary methods include </w:t>
      </w:r>
      <w:r w:rsidRPr="009015A2">
        <w:rPr>
          <w:rStyle w:val="Strong"/>
          <w:rFonts w:ascii="Arial" w:hAnsi="Arial" w:cs="Arial"/>
          <w:sz w:val="20"/>
          <w:szCs w:val="20"/>
        </w:rPr>
        <w:t>seed treatment, foliar sprays, soil treatment, and systemic application</w:t>
      </w:r>
      <w:r w:rsidRPr="009015A2">
        <w:rPr>
          <w:rFonts w:ascii="Arial" w:hAnsi="Arial" w:cs="Arial"/>
          <w:sz w:val="20"/>
          <w:szCs w:val="20"/>
        </w:rPr>
        <w:t>.</w:t>
      </w:r>
    </w:p>
    <w:p w14:paraId="37322BD7"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4.1 Seed Treatment</w:t>
      </w:r>
    </w:p>
    <w:p w14:paraId="1AC8A961"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1F16B2A6"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Seed treatment involves </w:t>
      </w:r>
      <w:r w:rsidRPr="009015A2">
        <w:rPr>
          <w:rStyle w:val="Strong"/>
          <w:rFonts w:ascii="Arial" w:hAnsi="Arial" w:cs="Arial"/>
          <w:sz w:val="20"/>
          <w:szCs w:val="20"/>
        </w:rPr>
        <w:t>coating, soaking, or dusting seeds</w:t>
      </w:r>
      <w:r w:rsidRPr="009015A2">
        <w:rPr>
          <w:rFonts w:ascii="Arial" w:hAnsi="Arial" w:cs="Arial"/>
          <w:sz w:val="20"/>
          <w:szCs w:val="20"/>
        </w:rPr>
        <w:t xml:space="preserve"> with fungicides, bactericides, or insecticides to </w:t>
      </w:r>
      <w:r w:rsidRPr="009015A2">
        <w:rPr>
          <w:rStyle w:val="Strong"/>
          <w:rFonts w:ascii="Arial" w:hAnsi="Arial" w:cs="Arial"/>
          <w:sz w:val="20"/>
          <w:szCs w:val="20"/>
        </w:rPr>
        <w:t>prevent early-stage infections</w:t>
      </w:r>
      <w:r w:rsidRPr="009015A2">
        <w:rPr>
          <w:rFonts w:ascii="Arial" w:hAnsi="Arial" w:cs="Arial"/>
          <w:sz w:val="20"/>
          <w:szCs w:val="20"/>
        </w:rPr>
        <w:t xml:space="preserve"> caused by soil-borne and seed-borne pathogens. This method </w:t>
      </w:r>
      <w:r w:rsidRPr="009015A2">
        <w:rPr>
          <w:rStyle w:val="Strong"/>
          <w:rFonts w:ascii="Arial" w:hAnsi="Arial" w:cs="Arial"/>
          <w:sz w:val="20"/>
          <w:szCs w:val="20"/>
        </w:rPr>
        <w:t>enhances seed germination, protects seedlings, and promotes healthy crop establishment</w:t>
      </w:r>
      <w:r w:rsidRPr="009015A2">
        <w:rPr>
          <w:rFonts w:ascii="Arial" w:hAnsi="Arial" w:cs="Arial"/>
          <w:sz w:val="20"/>
          <w:szCs w:val="20"/>
        </w:rPr>
        <w:t>.</w:t>
      </w:r>
    </w:p>
    <w:p w14:paraId="44D05DED"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Types of Seed Treatment</w:t>
      </w:r>
    </w:p>
    <w:p w14:paraId="08B01BDA" w14:textId="77777777" w:rsidR="00CE4393" w:rsidRPr="009015A2" w:rsidRDefault="00CE4393" w:rsidP="009015A2">
      <w:pPr>
        <w:numPr>
          <w:ilvl w:val="0"/>
          <w:numId w:val="32"/>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Protective seed treatment:</w:t>
      </w:r>
      <w:r w:rsidRPr="009015A2">
        <w:rPr>
          <w:rFonts w:ascii="Arial" w:hAnsi="Arial" w:cs="Arial"/>
          <w:sz w:val="20"/>
          <w:szCs w:val="20"/>
        </w:rPr>
        <w:t xml:space="preserve"> Prevents infection from pathogens present in soil or on seed surfaces.</w:t>
      </w:r>
    </w:p>
    <w:p w14:paraId="672929FF" w14:textId="77777777" w:rsidR="00CE4393" w:rsidRPr="009015A2" w:rsidRDefault="00CE4393" w:rsidP="009015A2">
      <w:pPr>
        <w:numPr>
          <w:ilvl w:val="0"/>
          <w:numId w:val="32"/>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Therapeutic seed treatment:</w:t>
      </w:r>
      <w:r w:rsidRPr="009015A2">
        <w:rPr>
          <w:rFonts w:ascii="Arial" w:hAnsi="Arial" w:cs="Arial"/>
          <w:sz w:val="20"/>
          <w:szCs w:val="20"/>
        </w:rPr>
        <w:t xml:space="preserve"> Eradicates existing infections in seeds.</w:t>
      </w:r>
    </w:p>
    <w:p w14:paraId="313D177F"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Examples of Seed Treatment Chemicals</w:t>
      </w:r>
    </w:p>
    <w:p w14:paraId="0FBB2048" w14:textId="77777777" w:rsidR="00CE4393" w:rsidRPr="009015A2" w:rsidRDefault="00CE4393" w:rsidP="009015A2">
      <w:pPr>
        <w:numPr>
          <w:ilvl w:val="0"/>
          <w:numId w:val="3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Thiram:</w:t>
      </w:r>
      <w:r w:rsidRPr="009015A2">
        <w:rPr>
          <w:rFonts w:ascii="Arial" w:hAnsi="Arial" w:cs="Arial"/>
          <w:sz w:val="20"/>
          <w:szCs w:val="20"/>
        </w:rPr>
        <w:t xml:space="preserve"> A broad-spectrum </w:t>
      </w:r>
      <w:r w:rsidRPr="009015A2">
        <w:rPr>
          <w:rStyle w:val="Strong"/>
          <w:rFonts w:ascii="Arial" w:hAnsi="Arial" w:cs="Arial"/>
          <w:sz w:val="20"/>
          <w:szCs w:val="20"/>
        </w:rPr>
        <w:t>fungicidal seed treatment</w:t>
      </w:r>
      <w:r w:rsidRPr="009015A2">
        <w:rPr>
          <w:rFonts w:ascii="Arial" w:hAnsi="Arial" w:cs="Arial"/>
          <w:sz w:val="20"/>
          <w:szCs w:val="20"/>
        </w:rPr>
        <w:t xml:space="preserve"> that prevents </w:t>
      </w:r>
      <w:r w:rsidRPr="009015A2">
        <w:rPr>
          <w:rStyle w:val="Strong"/>
          <w:rFonts w:ascii="Arial" w:hAnsi="Arial" w:cs="Arial"/>
          <w:sz w:val="20"/>
          <w:szCs w:val="20"/>
        </w:rPr>
        <w:t>damping-off diseases</w:t>
      </w:r>
      <w:r w:rsidRPr="009015A2">
        <w:rPr>
          <w:rFonts w:ascii="Arial" w:hAnsi="Arial" w:cs="Arial"/>
          <w:sz w:val="20"/>
          <w:szCs w:val="20"/>
        </w:rPr>
        <w:t xml:space="preserve"> caused by </w:t>
      </w:r>
      <w:proofErr w:type="spellStart"/>
      <w:r w:rsidRPr="009015A2">
        <w:rPr>
          <w:rStyle w:val="Emphasis"/>
          <w:rFonts w:ascii="Arial" w:hAnsi="Arial" w:cs="Arial"/>
          <w:sz w:val="20"/>
          <w:szCs w:val="20"/>
        </w:rPr>
        <w:t>Rhizoctonia</w:t>
      </w:r>
      <w:proofErr w:type="spellEnd"/>
      <w:r w:rsidRPr="009015A2">
        <w:rPr>
          <w:rStyle w:val="Emphasis"/>
          <w:rFonts w:ascii="Arial" w:hAnsi="Arial" w:cs="Arial"/>
          <w:sz w:val="20"/>
          <w:szCs w:val="20"/>
        </w:rPr>
        <w:t xml:space="preserve"> </w:t>
      </w:r>
      <w:proofErr w:type="spellStart"/>
      <w:r w:rsidRPr="009015A2">
        <w:rPr>
          <w:rStyle w:val="Emphasis"/>
          <w:rFonts w:ascii="Arial" w:hAnsi="Arial" w:cs="Arial"/>
          <w:sz w:val="20"/>
          <w:szCs w:val="20"/>
        </w:rPr>
        <w:t>solani</w:t>
      </w:r>
      <w:proofErr w:type="spellEnd"/>
      <w:r w:rsidRPr="009015A2">
        <w:rPr>
          <w:rFonts w:ascii="Arial" w:hAnsi="Arial" w:cs="Arial"/>
          <w:sz w:val="20"/>
          <w:szCs w:val="20"/>
        </w:rPr>
        <w:t xml:space="preserve"> and </w:t>
      </w:r>
      <w:r w:rsidRPr="009015A2">
        <w:rPr>
          <w:rStyle w:val="Emphasis"/>
          <w:rFonts w:ascii="Arial" w:hAnsi="Arial" w:cs="Arial"/>
          <w:sz w:val="20"/>
          <w:szCs w:val="20"/>
        </w:rPr>
        <w:t>Pythium spp.</w:t>
      </w:r>
    </w:p>
    <w:p w14:paraId="18D22607" w14:textId="77777777" w:rsidR="00CE4393" w:rsidRPr="009015A2" w:rsidRDefault="00CE4393" w:rsidP="009015A2">
      <w:pPr>
        <w:numPr>
          <w:ilvl w:val="0"/>
          <w:numId w:val="33"/>
        </w:numPr>
        <w:spacing w:before="100" w:beforeAutospacing="1" w:after="100" w:afterAutospacing="1" w:line="240" w:lineRule="auto"/>
        <w:rPr>
          <w:rFonts w:ascii="Arial" w:hAnsi="Arial" w:cs="Arial"/>
          <w:sz w:val="20"/>
          <w:szCs w:val="20"/>
        </w:rPr>
      </w:pPr>
      <w:proofErr w:type="spellStart"/>
      <w:r w:rsidRPr="009015A2">
        <w:rPr>
          <w:rStyle w:val="Strong"/>
          <w:rFonts w:ascii="Arial" w:hAnsi="Arial" w:cs="Arial"/>
          <w:sz w:val="20"/>
          <w:szCs w:val="20"/>
        </w:rPr>
        <w:t>Captan</w:t>
      </w:r>
      <w:proofErr w:type="spellEnd"/>
      <w:r w:rsidRPr="009015A2">
        <w:rPr>
          <w:rStyle w:val="Strong"/>
          <w:rFonts w:ascii="Arial" w:hAnsi="Arial" w:cs="Arial"/>
          <w:sz w:val="20"/>
          <w:szCs w:val="20"/>
        </w:rPr>
        <w:t>:</w:t>
      </w:r>
      <w:r w:rsidRPr="009015A2">
        <w:rPr>
          <w:rFonts w:ascii="Arial" w:hAnsi="Arial" w:cs="Arial"/>
          <w:sz w:val="20"/>
          <w:szCs w:val="20"/>
        </w:rPr>
        <w:t xml:space="preserve"> A </w:t>
      </w:r>
      <w:r w:rsidRPr="009015A2">
        <w:rPr>
          <w:rStyle w:val="Strong"/>
          <w:rFonts w:ascii="Arial" w:hAnsi="Arial" w:cs="Arial"/>
          <w:sz w:val="20"/>
          <w:szCs w:val="20"/>
        </w:rPr>
        <w:t>systemic fungicide</w:t>
      </w:r>
      <w:r w:rsidRPr="009015A2">
        <w:rPr>
          <w:rFonts w:ascii="Arial" w:hAnsi="Arial" w:cs="Arial"/>
          <w:sz w:val="20"/>
          <w:szCs w:val="20"/>
        </w:rPr>
        <w:t xml:space="preserve"> used to </w:t>
      </w:r>
      <w:r w:rsidRPr="009015A2">
        <w:rPr>
          <w:rStyle w:val="Strong"/>
          <w:rFonts w:ascii="Arial" w:hAnsi="Arial" w:cs="Arial"/>
          <w:sz w:val="20"/>
          <w:szCs w:val="20"/>
        </w:rPr>
        <w:t>prevent seed rot, seedling blight, and collar rot</w:t>
      </w:r>
      <w:r w:rsidRPr="009015A2">
        <w:rPr>
          <w:rFonts w:ascii="Arial" w:hAnsi="Arial" w:cs="Arial"/>
          <w:sz w:val="20"/>
          <w:szCs w:val="20"/>
        </w:rPr>
        <w:t xml:space="preserve"> in crops such as cereals, vegetables, and legumes.</w:t>
      </w:r>
    </w:p>
    <w:p w14:paraId="5109930A" w14:textId="77777777" w:rsidR="00CE4393" w:rsidRPr="009015A2" w:rsidRDefault="00CE4393" w:rsidP="009015A2">
      <w:pPr>
        <w:numPr>
          <w:ilvl w:val="0"/>
          <w:numId w:val="3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Carbendazim:</w:t>
      </w:r>
      <w:r w:rsidRPr="009015A2">
        <w:rPr>
          <w:rFonts w:ascii="Arial" w:hAnsi="Arial" w:cs="Arial"/>
          <w:sz w:val="20"/>
          <w:szCs w:val="20"/>
        </w:rPr>
        <w:t xml:space="preserve"> Controls </w:t>
      </w:r>
      <w:r w:rsidRPr="009015A2">
        <w:rPr>
          <w:rStyle w:val="Strong"/>
          <w:rFonts w:ascii="Arial" w:hAnsi="Arial" w:cs="Arial"/>
          <w:sz w:val="20"/>
          <w:szCs w:val="20"/>
        </w:rPr>
        <w:t>seed-borne fungal infections</w:t>
      </w:r>
      <w:r w:rsidRPr="009015A2">
        <w:rPr>
          <w:rFonts w:ascii="Arial" w:hAnsi="Arial" w:cs="Arial"/>
          <w:sz w:val="20"/>
          <w:szCs w:val="20"/>
        </w:rPr>
        <w:t xml:space="preserve"> in pulses, oilseeds, and cereals.</w:t>
      </w:r>
    </w:p>
    <w:p w14:paraId="187DA195"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4.2 Foliar Sprays</w:t>
      </w:r>
    </w:p>
    <w:p w14:paraId="26AC7E3D"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4273AAF9"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Foliar application involves </w:t>
      </w:r>
      <w:r w:rsidRPr="009015A2">
        <w:rPr>
          <w:rStyle w:val="Strong"/>
          <w:rFonts w:ascii="Arial" w:hAnsi="Arial" w:cs="Arial"/>
          <w:sz w:val="20"/>
          <w:szCs w:val="20"/>
        </w:rPr>
        <w:t>spraying chemical solutions directly on plant leaves</w:t>
      </w:r>
      <w:r w:rsidRPr="009015A2">
        <w:rPr>
          <w:rFonts w:ascii="Arial" w:hAnsi="Arial" w:cs="Arial"/>
          <w:sz w:val="20"/>
          <w:szCs w:val="20"/>
        </w:rPr>
        <w:t xml:space="preserve"> to </w:t>
      </w:r>
      <w:r w:rsidRPr="009015A2">
        <w:rPr>
          <w:rStyle w:val="Strong"/>
          <w:rFonts w:ascii="Arial" w:hAnsi="Arial" w:cs="Arial"/>
          <w:sz w:val="20"/>
          <w:szCs w:val="20"/>
        </w:rPr>
        <w:t>control air-borne pathogens, insect pests, and nutrient deficiencies</w:t>
      </w:r>
      <w:r w:rsidRPr="009015A2">
        <w:rPr>
          <w:rFonts w:ascii="Arial" w:hAnsi="Arial" w:cs="Arial"/>
          <w:sz w:val="20"/>
          <w:szCs w:val="20"/>
        </w:rPr>
        <w:t xml:space="preserve">. This method ensures </w:t>
      </w:r>
      <w:r w:rsidRPr="009015A2">
        <w:rPr>
          <w:rStyle w:val="Strong"/>
          <w:rFonts w:ascii="Arial" w:hAnsi="Arial" w:cs="Arial"/>
          <w:sz w:val="20"/>
          <w:szCs w:val="20"/>
        </w:rPr>
        <w:t>rapid disease control</w:t>
      </w:r>
      <w:r w:rsidRPr="009015A2">
        <w:rPr>
          <w:rFonts w:ascii="Arial" w:hAnsi="Arial" w:cs="Arial"/>
          <w:sz w:val="20"/>
          <w:szCs w:val="20"/>
        </w:rPr>
        <w:t xml:space="preserve"> by providing </w:t>
      </w:r>
      <w:r w:rsidRPr="009015A2">
        <w:rPr>
          <w:rStyle w:val="Strong"/>
          <w:rFonts w:ascii="Arial" w:hAnsi="Arial" w:cs="Arial"/>
          <w:sz w:val="20"/>
          <w:szCs w:val="20"/>
        </w:rPr>
        <w:t>immediate contact or systemic action</w:t>
      </w:r>
      <w:r w:rsidRPr="009015A2">
        <w:rPr>
          <w:rFonts w:ascii="Arial" w:hAnsi="Arial" w:cs="Arial"/>
          <w:sz w:val="20"/>
          <w:szCs w:val="20"/>
        </w:rPr>
        <w:t>.</w:t>
      </w:r>
    </w:p>
    <w:p w14:paraId="6A72F0DD"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Examples of Foliar Spray Chemicals</w:t>
      </w:r>
    </w:p>
    <w:p w14:paraId="568F4964" w14:textId="77777777" w:rsidR="00CE4393" w:rsidRPr="009015A2" w:rsidRDefault="00CE4393" w:rsidP="009015A2">
      <w:pPr>
        <w:numPr>
          <w:ilvl w:val="0"/>
          <w:numId w:val="3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Mancozeb:</w:t>
      </w:r>
      <w:r w:rsidRPr="009015A2">
        <w:rPr>
          <w:rFonts w:ascii="Arial" w:hAnsi="Arial" w:cs="Arial"/>
          <w:sz w:val="20"/>
          <w:szCs w:val="20"/>
        </w:rPr>
        <w:t xml:space="preserve"> A </w:t>
      </w:r>
      <w:r w:rsidRPr="009015A2">
        <w:rPr>
          <w:rStyle w:val="Strong"/>
          <w:rFonts w:ascii="Arial" w:hAnsi="Arial" w:cs="Arial"/>
          <w:sz w:val="20"/>
          <w:szCs w:val="20"/>
        </w:rPr>
        <w:t>contact fungicide</w:t>
      </w:r>
      <w:r w:rsidRPr="009015A2">
        <w:rPr>
          <w:rFonts w:ascii="Arial" w:hAnsi="Arial" w:cs="Arial"/>
          <w:sz w:val="20"/>
          <w:szCs w:val="20"/>
        </w:rPr>
        <w:t xml:space="preserve"> used to control </w:t>
      </w:r>
      <w:r w:rsidRPr="009015A2">
        <w:rPr>
          <w:rStyle w:val="Strong"/>
          <w:rFonts w:ascii="Arial" w:hAnsi="Arial" w:cs="Arial"/>
          <w:sz w:val="20"/>
          <w:szCs w:val="20"/>
        </w:rPr>
        <w:t>leaf spots, rusts, and blights</w:t>
      </w:r>
      <w:r w:rsidRPr="009015A2">
        <w:rPr>
          <w:rFonts w:ascii="Arial" w:hAnsi="Arial" w:cs="Arial"/>
          <w:sz w:val="20"/>
          <w:szCs w:val="20"/>
        </w:rPr>
        <w:t xml:space="preserve"> in crops like potatoes, tomatoes, and wheat.</w:t>
      </w:r>
    </w:p>
    <w:p w14:paraId="51FF6BE0" w14:textId="77777777" w:rsidR="00CE4393" w:rsidRPr="009015A2" w:rsidRDefault="00CE4393" w:rsidP="009015A2">
      <w:pPr>
        <w:numPr>
          <w:ilvl w:val="0"/>
          <w:numId w:val="3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Copper oxychloride:</w:t>
      </w:r>
      <w:r w:rsidRPr="009015A2">
        <w:rPr>
          <w:rFonts w:ascii="Arial" w:hAnsi="Arial" w:cs="Arial"/>
          <w:sz w:val="20"/>
          <w:szCs w:val="20"/>
        </w:rPr>
        <w:t xml:space="preserve"> Effectively manages </w:t>
      </w:r>
      <w:r w:rsidRPr="009015A2">
        <w:rPr>
          <w:rStyle w:val="Strong"/>
          <w:rFonts w:ascii="Arial" w:hAnsi="Arial" w:cs="Arial"/>
          <w:sz w:val="20"/>
          <w:szCs w:val="20"/>
        </w:rPr>
        <w:t>downy mildew, bacterial leaf blight, and citrus canker</w:t>
      </w:r>
      <w:r w:rsidRPr="009015A2">
        <w:rPr>
          <w:rFonts w:ascii="Arial" w:hAnsi="Arial" w:cs="Arial"/>
          <w:sz w:val="20"/>
          <w:szCs w:val="20"/>
        </w:rPr>
        <w:t xml:space="preserve"> by acting as a multi-site inhibitor.</w:t>
      </w:r>
    </w:p>
    <w:p w14:paraId="4EDA5574" w14:textId="77777777" w:rsidR="00CE4393" w:rsidRPr="009015A2" w:rsidRDefault="00CE4393" w:rsidP="009015A2">
      <w:pPr>
        <w:numPr>
          <w:ilvl w:val="0"/>
          <w:numId w:val="3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Streptomycin:</w:t>
      </w:r>
      <w:r w:rsidRPr="009015A2">
        <w:rPr>
          <w:rFonts w:ascii="Arial" w:hAnsi="Arial" w:cs="Arial"/>
          <w:sz w:val="20"/>
          <w:szCs w:val="20"/>
        </w:rPr>
        <w:t xml:space="preserve"> A bactericide used to </w:t>
      </w:r>
      <w:r w:rsidRPr="009015A2">
        <w:rPr>
          <w:rStyle w:val="Strong"/>
          <w:rFonts w:ascii="Arial" w:hAnsi="Arial" w:cs="Arial"/>
          <w:sz w:val="20"/>
          <w:szCs w:val="20"/>
        </w:rPr>
        <w:t>control fire blight in apple and bacterial wilt in vegetables</w:t>
      </w:r>
      <w:r w:rsidRPr="009015A2">
        <w:rPr>
          <w:rFonts w:ascii="Arial" w:hAnsi="Arial" w:cs="Arial"/>
          <w:sz w:val="20"/>
          <w:szCs w:val="20"/>
        </w:rPr>
        <w:t>.</w:t>
      </w:r>
    </w:p>
    <w:p w14:paraId="290D1E41"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Application Techniques</w:t>
      </w:r>
    </w:p>
    <w:p w14:paraId="774E78A7" w14:textId="77777777" w:rsidR="00CE4393" w:rsidRPr="009015A2" w:rsidRDefault="00CE4393" w:rsidP="009015A2">
      <w:pPr>
        <w:numPr>
          <w:ilvl w:val="0"/>
          <w:numId w:val="3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High-volume spraying:</w:t>
      </w:r>
      <w:r w:rsidRPr="009015A2">
        <w:rPr>
          <w:rFonts w:ascii="Arial" w:hAnsi="Arial" w:cs="Arial"/>
          <w:sz w:val="20"/>
          <w:szCs w:val="20"/>
        </w:rPr>
        <w:t xml:space="preserve"> Covers entire plant surfaces, commonly used in orchards.</w:t>
      </w:r>
    </w:p>
    <w:p w14:paraId="1877A518" w14:textId="77777777" w:rsidR="00CE4393" w:rsidRPr="009015A2" w:rsidRDefault="00CE4393" w:rsidP="009015A2">
      <w:pPr>
        <w:numPr>
          <w:ilvl w:val="0"/>
          <w:numId w:val="3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Low-volume and ultra-low-volume spraying:</w:t>
      </w:r>
      <w:r w:rsidRPr="009015A2">
        <w:rPr>
          <w:rFonts w:ascii="Arial" w:hAnsi="Arial" w:cs="Arial"/>
          <w:sz w:val="20"/>
          <w:szCs w:val="20"/>
        </w:rPr>
        <w:t xml:space="preserve"> Uses minimal water, suitable for large-scale field applications.</w:t>
      </w:r>
    </w:p>
    <w:p w14:paraId="4105381A" w14:textId="77777777" w:rsidR="00CE4393" w:rsidRPr="009015A2" w:rsidRDefault="00CE4393" w:rsidP="009015A2">
      <w:pPr>
        <w:numPr>
          <w:ilvl w:val="0"/>
          <w:numId w:val="3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Mist and fogging systems:</w:t>
      </w:r>
      <w:r w:rsidRPr="009015A2">
        <w:rPr>
          <w:rFonts w:ascii="Arial" w:hAnsi="Arial" w:cs="Arial"/>
          <w:sz w:val="20"/>
          <w:szCs w:val="20"/>
        </w:rPr>
        <w:t xml:space="preserve"> Used in greenhouses to deliver fine chemical droplets for even coverage.</w:t>
      </w:r>
    </w:p>
    <w:p w14:paraId="7DC13BCA"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lastRenderedPageBreak/>
        <w:t>4.3 Soil Treatment</w:t>
      </w:r>
    </w:p>
    <w:p w14:paraId="791FBDE0"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51C42034"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Soil treatment methods help manage </w:t>
      </w:r>
      <w:r w:rsidRPr="009015A2">
        <w:rPr>
          <w:rStyle w:val="Strong"/>
          <w:rFonts w:ascii="Arial" w:hAnsi="Arial" w:cs="Arial"/>
          <w:sz w:val="20"/>
          <w:szCs w:val="20"/>
        </w:rPr>
        <w:t>soil-borne pathogens, nematodes, and weeds</w:t>
      </w:r>
      <w:r w:rsidRPr="009015A2">
        <w:rPr>
          <w:rFonts w:ascii="Arial" w:hAnsi="Arial" w:cs="Arial"/>
          <w:sz w:val="20"/>
          <w:szCs w:val="20"/>
        </w:rPr>
        <w:t xml:space="preserve"> by </w:t>
      </w:r>
      <w:r w:rsidRPr="009015A2">
        <w:rPr>
          <w:rStyle w:val="Strong"/>
          <w:rFonts w:ascii="Arial" w:hAnsi="Arial" w:cs="Arial"/>
          <w:sz w:val="20"/>
          <w:szCs w:val="20"/>
        </w:rPr>
        <w:t>sterilizing, fumigating, or drenching the soil</w:t>
      </w:r>
      <w:r w:rsidRPr="009015A2">
        <w:rPr>
          <w:rFonts w:ascii="Arial" w:hAnsi="Arial" w:cs="Arial"/>
          <w:sz w:val="20"/>
          <w:szCs w:val="20"/>
        </w:rPr>
        <w:t xml:space="preserve"> with protective chemicals. This ensures </w:t>
      </w:r>
      <w:r w:rsidRPr="009015A2">
        <w:rPr>
          <w:rStyle w:val="Strong"/>
          <w:rFonts w:ascii="Arial" w:hAnsi="Arial" w:cs="Arial"/>
          <w:sz w:val="20"/>
          <w:szCs w:val="20"/>
        </w:rPr>
        <w:t>healthy root development and strong plant establishment</w:t>
      </w:r>
      <w:r w:rsidRPr="009015A2">
        <w:rPr>
          <w:rFonts w:ascii="Arial" w:hAnsi="Arial" w:cs="Arial"/>
          <w:sz w:val="20"/>
          <w:szCs w:val="20"/>
        </w:rPr>
        <w:t>.</w:t>
      </w:r>
    </w:p>
    <w:p w14:paraId="6C143F08"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Types of Soil Treatment</w:t>
      </w:r>
    </w:p>
    <w:p w14:paraId="5FC3156F"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Soil Fumigation</w:t>
      </w:r>
    </w:p>
    <w:p w14:paraId="5A1A2328"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Fumigants are </w:t>
      </w:r>
      <w:r w:rsidRPr="009015A2">
        <w:rPr>
          <w:rStyle w:val="Strong"/>
          <w:rFonts w:ascii="Arial" w:hAnsi="Arial" w:cs="Arial"/>
          <w:sz w:val="20"/>
          <w:szCs w:val="20"/>
        </w:rPr>
        <w:t>volatile chemicals</w:t>
      </w:r>
      <w:r w:rsidRPr="009015A2">
        <w:rPr>
          <w:rFonts w:ascii="Arial" w:hAnsi="Arial" w:cs="Arial"/>
          <w:sz w:val="20"/>
          <w:szCs w:val="20"/>
        </w:rPr>
        <w:t xml:space="preserve"> that </w:t>
      </w:r>
      <w:r w:rsidRPr="009015A2">
        <w:rPr>
          <w:rStyle w:val="Strong"/>
          <w:rFonts w:ascii="Arial" w:hAnsi="Arial" w:cs="Arial"/>
          <w:sz w:val="20"/>
          <w:szCs w:val="20"/>
        </w:rPr>
        <w:t>penetrate the soil and eliminate pathogens, nematodes, and insect pests</w:t>
      </w:r>
      <w:r w:rsidRPr="009015A2">
        <w:rPr>
          <w:rFonts w:ascii="Arial" w:hAnsi="Arial" w:cs="Arial"/>
          <w:sz w:val="20"/>
          <w:szCs w:val="20"/>
        </w:rPr>
        <w:t>.</w:t>
      </w:r>
    </w:p>
    <w:p w14:paraId="37C39B96" w14:textId="77777777" w:rsidR="00CE4393" w:rsidRPr="009015A2" w:rsidRDefault="00CE4393" w:rsidP="009015A2">
      <w:pPr>
        <w:numPr>
          <w:ilvl w:val="0"/>
          <w:numId w:val="3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66348C1A" w14:textId="77777777" w:rsidR="00CE4393" w:rsidRPr="009015A2" w:rsidRDefault="00CE4393" w:rsidP="009015A2">
      <w:pPr>
        <w:numPr>
          <w:ilvl w:val="1"/>
          <w:numId w:val="3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Methyl bromide:</w:t>
      </w:r>
      <w:r w:rsidRPr="009015A2">
        <w:rPr>
          <w:rFonts w:ascii="Arial" w:hAnsi="Arial" w:cs="Arial"/>
          <w:sz w:val="20"/>
          <w:szCs w:val="20"/>
        </w:rPr>
        <w:t xml:space="preserve"> A broad-spectrum fumigant used for </w:t>
      </w:r>
      <w:r w:rsidRPr="009015A2">
        <w:rPr>
          <w:rStyle w:val="Strong"/>
          <w:rFonts w:ascii="Arial" w:hAnsi="Arial" w:cs="Arial"/>
          <w:sz w:val="20"/>
          <w:szCs w:val="20"/>
        </w:rPr>
        <w:t>nematode and soil-borne fungal control</w:t>
      </w:r>
      <w:r w:rsidRPr="009015A2">
        <w:rPr>
          <w:rFonts w:ascii="Arial" w:hAnsi="Arial" w:cs="Arial"/>
          <w:sz w:val="20"/>
          <w:szCs w:val="20"/>
        </w:rPr>
        <w:t xml:space="preserve">, though its use is restricted due to </w:t>
      </w:r>
      <w:r w:rsidRPr="009015A2">
        <w:rPr>
          <w:rStyle w:val="Strong"/>
          <w:rFonts w:ascii="Arial" w:hAnsi="Arial" w:cs="Arial"/>
          <w:sz w:val="20"/>
          <w:szCs w:val="20"/>
        </w:rPr>
        <w:t>ozone depletion concerns</w:t>
      </w:r>
      <w:r w:rsidRPr="009015A2">
        <w:rPr>
          <w:rFonts w:ascii="Arial" w:hAnsi="Arial" w:cs="Arial"/>
          <w:sz w:val="20"/>
          <w:szCs w:val="20"/>
        </w:rPr>
        <w:t>.</w:t>
      </w:r>
    </w:p>
    <w:p w14:paraId="08EFADA5" w14:textId="77777777" w:rsidR="00CE4393" w:rsidRPr="009015A2" w:rsidRDefault="00CE4393" w:rsidP="009015A2">
      <w:pPr>
        <w:numPr>
          <w:ilvl w:val="1"/>
          <w:numId w:val="3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Chloropicrin:</w:t>
      </w:r>
      <w:r w:rsidRPr="009015A2">
        <w:rPr>
          <w:rFonts w:ascii="Arial" w:hAnsi="Arial" w:cs="Arial"/>
          <w:sz w:val="20"/>
          <w:szCs w:val="20"/>
        </w:rPr>
        <w:t xml:space="preserve"> Controls </w:t>
      </w:r>
      <w:r w:rsidRPr="009015A2">
        <w:rPr>
          <w:rStyle w:val="Strong"/>
          <w:rFonts w:ascii="Arial" w:hAnsi="Arial" w:cs="Arial"/>
          <w:sz w:val="20"/>
          <w:szCs w:val="20"/>
        </w:rPr>
        <w:t>Fusarium wilt and Verticillium wilt</w:t>
      </w:r>
      <w:r w:rsidRPr="009015A2">
        <w:rPr>
          <w:rFonts w:ascii="Arial" w:hAnsi="Arial" w:cs="Arial"/>
          <w:sz w:val="20"/>
          <w:szCs w:val="20"/>
        </w:rPr>
        <w:t xml:space="preserve"> in vegetables and field crops.</w:t>
      </w:r>
    </w:p>
    <w:p w14:paraId="6DE55181"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Soil Drenching</w:t>
      </w:r>
    </w:p>
    <w:p w14:paraId="1174B568"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Drenching involves </w:t>
      </w:r>
      <w:r w:rsidRPr="009015A2">
        <w:rPr>
          <w:rStyle w:val="Strong"/>
          <w:rFonts w:ascii="Arial" w:hAnsi="Arial" w:cs="Arial"/>
          <w:sz w:val="20"/>
          <w:szCs w:val="20"/>
        </w:rPr>
        <w:t>applying liquid fungicides or bactericides to soil</w:t>
      </w:r>
      <w:r w:rsidRPr="009015A2">
        <w:rPr>
          <w:rFonts w:ascii="Arial" w:hAnsi="Arial" w:cs="Arial"/>
          <w:sz w:val="20"/>
          <w:szCs w:val="20"/>
        </w:rPr>
        <w:t xml:space="preserve"> to </w:t>
      </w:r>
      <w:r w:rsidRPr="009015A2">
        <w:rPr>
          <w:rStyle w:val="Strong"/>
          <w:rFonts w:ascii="Arial" w:hAnsi="Arial" w:cs="Arial"/>
          <w:sz w:val="20"/>
          <w:szCs w:val="20"/>
        </w:rPr>
        <w:t>kill pathogens near plant roots</w:t>
      </w:r>
      <w:r w:rsidRPr="009015A2">
        <w:rPr>
          <w:rFonts w:ascii="Arial" w:hAnsi="Arial" w:cs="Arial"/>
          <w:sz w:val="20"/>
          <w:szCs w:val="20"/>
        </w:rPr>
        <w:t>.</w:t>
      </w:r>
    </w:p>
    <w:p w14:paraId="45600DDB" w14:textId="77777777" w:rsidR="00CE4393" w:rsidRPr="009015A2" w:rsidRDefault="00CE4393" w:rsidP="009015A2">
      <w:pPr>
        <w:numPr>
          <w:ilvl w:val="0"/>
          <w:numId w:val="3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11005172" w14:textId="77777777" w:rsidR="00CE4393" w:rsidRPr="009015A2" w:rsidRDefault="00CE4393" w:rsidP="009015A2">
      <w:pPr>
        <w:numPr>
          <w:ilvl w:val="1"/>
          <w:numId w:val="3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PCNB (Pentachloronitrobenzene):</w:t>
      </w:r>
      <w:r w:rsidRPr="009015A2">
        <w:rPr>
          <w:rFonts w:ascii="Arial" w:hAnsi="Arial" w:cs="Arial"/>
          <w:sz w:val="20"/>
          <w:szCs w:val="20"/>
        </w:rPr>
        <w:t xml:space="preserve"> Controls </w:t>
      </w:r>
      <w:r w:rsidRPr="009015A2">
        <w:rPr>
          <w:rStyle w:val="Strong"/>
          <w:rFonts w:ascii="Arial" w:hAnsi="Arial" w:cs="Arial"/>
          <w:sz w:val="20"/>
          <w:szCs w:val="20"/>
        </w:rPr>
        <w:t>root rot and damping-off diseases</w:t>
      </w:r>
      <w:r w:rsidRPr="009015A2">
        <w:rPr>
          <w:rFonts w:ascii="Arial" w:hAnsi="Arial" w:cs="Arial"/>
          <w:sz w:val="20"/>
          <w:szCs w:val="20"/>
        </w:rPr>
        <w:t xml:space="preserve"> in vegetables, ornamentals, and cereals.</w:t>
      </w:r>
    </w:p>
    <w:p w14:paraId="54412F72" w14:textId="77777777" w:rsidR="00CE4393" w:rsidRPr="009015A2" w:rsidRDefault="00CE4393" w:rsidP="009015A2">
      <w:pPr>
        <w:numPr>
          <w:ilvl w:val="1"/>
          <w:numId w:val="37"/>
        </w:numPr>
        <w:spacing w:before="100" w:beforeAutospacing="1" w:after="100" w:afterAutospacing="1" w:line="240" w:lineRule="auto"/>
        <w:rPr>
          <w:rFonts w:ascii="Arial" w:hAnsi="Arial" w:cs="Arial"/>
          <w:sz w:val="20"/>
          <w:szCs w:val="20"/>
        </w:rPr>
      </w:pPr>
      <w:proofErr w:type="spellStart"/>
      <w:r w:rsidRPr="009015A2">
        <w:rPr>
          <w:rStyle w:val="Strong"/>
          <w:rFonts w:ascii="Arial" w:hAnsi="Arial" w:cs="Arial"/>
          <w:sz w:val="20"/>
          <w:szCs w:val="20"/>
        </w:rPr>
        <w:t>Metalaxyl</w:t>
      </w:r>
      <w:proofErr w:type="spellEnd"/>
      <w:r w:rsidRPr="009015A2">
        <w:rPr>
          <w:rStyle w:val="Strong"/>
          <w:rFonts w:ascii="Arial" w:hAnsi="Arial" w:cs="Arial"/>
          <w:sz w:val="20"/>
          <w:szCs w:val="20"/>
        </w:rPr>
        <w:t>:</w:t>
      </w:r>
      <w:r w:rsidRPr="009015A2">
        <w:rPr>
          <w:rFonts w:ascii="Arial" w:hAnsi="Arial" w:cs="Arial"/>
          <w:sz w:val="20"/>
          <w:szCs w:val="20"/>
        </w:rPr>
        <w:t xml:space="preserve"> A systemic fungicide effective against </w:t>
      </w:r>
      <w:r w:rsidRPr="009015A2">
        <w:rPr>
          <w:rStyle w:val="Strong"/>
          <w:rFonts w:ascii="Arial" w:hAnsi="Arial" w:cs="Arial"/>
          <w:sz w:val="20"/>
          <w:szCs w:val="20"/>
        </w:rPr>
        <w:t>oomycete pathogens like Phytophthora and Pythium</w:t>
      </w:r>
      <w:r w:rsidRPr="009015A2">
        <w:rPr>
          <w:rFonts w:ascii="Arial" w:hAnsi="Arial" w:cs="Arial"/>
          <w:sz w:val="20"/>
          <w:szCs w:val="20"/>
        </w:rPr>
        <w:t>.</w:t>
      </w:r>
    </w:p>
    <w:p w14:paraId="7AB7B01A"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4.4 Systemic Application</w:t>
      </w:r>
    </w:p>
    <w:p w14:paraId="73EBCF33"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3878DE2D"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application involves using chemicals that </w:t>
      </w:r>
      <w:r w:rsidRPr="009015A2">
        <w:rPr>
          <w:rStyle w:val="Strong"/>
          <w:rFonts w:ascii="Arial" w:hAnsi="Arial" w:cs="Arial"/>
          <w:sz w:val="20"/>
          <w:szCs w:val="20"/>
        </w:rPr>
        <w:t>enter the plant system and move through xylem or phloem</w:t>
      </w:r>
      <w:r w:rsidRPr="009015A2">
        <w:rPr>
          <w:rFonts w:ascii="Arial" w:hAnsi="Arial" w:cs="Arial"/>
          <w:sz w:val="20"/>
          <w:szCs w:val="20"/>
        </w:rPr>
        <w:t xml:space="preserve">, offering </w:t>
      </w:r>
      <w:r w:rsidRPr="009015A2">
        <w:rPr>
          <w:rStyle w:val="Strong"/>
          <w:rFonts w:ascii="Arial" w:hAnsi="Arial" w:cs="Arial"/>
          <w:sz w:val="20"/>
          <w:szCs w:val="20"/>
        </w:rPr>
        <w:t>long-term protection</w:t>
      </w:r>
      <w:r w:rsidRPr="009015A2">
        <w:rPr>
          <w:rFonts w:ascii="Arial" w:hAnsi="Arial" w:cs="Arial"/>
          <w:sz w:val="20"/>
          <w:szCs w:val="20"/>
        </w:rPr>
        <w:t xml:space="preserve"> against fungal, bacterial, and viral diseases. Unlike contact chemicals, </w:t>
      </w:r>
      <w:r w:rsidRPr="009015A2">
        <w:rPr>
          <w:rStyle w:val="Strong"/>
          <w:rFonts w:ascii="Arial" w:hAnsi="Arial" w:cs="Arial"/>
          <w:sz w:val="20"/>
          <w:szCs w:val="20"/>
        </w:rPr>
        <w:t>systemic agents reach internal plant tissues</w:t>
      </w:r>
      <w:r w:rsidRPr="009015A2">
        <w:rPr>
          <w:rFonts w:ascii="Arial" w:hAnsi="Arial" w:cs="Arial"/>
          <w:sz w:val="20"/>
          <w:szCs w:val="20"/>
        </w:rPr>
        <w:t>, making them highly effective.</w:t>
      </w:r>
    </w:p>
    <w:p w14:paraId="0FF02790"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Types of Systemic Chemicals</w:t>
      </w:r>
    </w:p>
    <w:p w14:paraId="0B2A702B"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Systemic Fungicides</w:t>
      </w:r>
    </w:p>
    <w:p w14:paraId="761DE594"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fungicides are </w:t>
      </w:r>
      <w:r w:rsidRPr="009015A2">
        <w:rPr>
          <w:rStyle w:val="Strong"/>
          <w:rFonts w:ascii="Arial" w:hAnsi="Arial" w:cs="Arial"/>
          <w:sz w:val="20"/>
          <w:szCs w:val="20"/>
        </w:rPr>
        <w:t>absorbed by the plant and inhibit fungal growth from within</w:t>
      </w:r>
      <w:r w:rsidRPr="009015A2">
        <w:rPr>
          <w:rFonts w:ascii="Arial" w:hAnsi="Arial" w:cs="Arial"/>
          <w:sz w:val="20"/>
          <w:szCs w:val="20"/>
        </w:rPr>
        <w:t>.</w:t>
      </w:r>
    </w:p>
    <w:p w14:paraId="73FD554D" w14:textId="77777777" w:rsidR="00CE4393" w:rsidRPr="009015A2" w:rsidRDefault="00CE4393" w:rsidP="009015A2">
      <w:pPr>
        <w:numPr>
          <w:ilvl w:val="0"/>
          <w:numId w:val="3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Carbendazim:</w:t>
      </w:r>
      <w:r w:rsidRPr="009015A2">
        <w:rPr>
          <w:rFonts w:ascii="Arial" w:hAnsi="Arial" w:cs="Arial"/>
          <w:sz w:val="20"/>
          <w:szCs w:val="20"/>
        </w:rPr>
        <w:t xml:space="preserve"> A </w:t>
      </w:r>
      <w:r w:rsidRPr="009015A2">
        <w:rPr>
          <w:rStyle w:val="Strong"/>
          <w:rFonts w:ascii="Arial" w:hAnsi="Arial" w:cs="Arial"/>
          <w:sz w:val="20"/>
          <w:szCs w:val="20"/>
        </w:rPr>
        <w:t>broad-spectrum systemic fungicide</w:t>
      </w:r>
      <w:r w:rsidRPr="009015A2">
        <w:rPr>
          <w:rFonts w:ascii="Arial" w:hAnsi="Arial" w:cs="Arial"/>
          <w:sz w:val="20"/>
          <w:szCs w:val="20"/>
        </w:rPr>
        <w:t xml:space="preserve"> used to control </w:t>
      </w:r>
      <w:r w:rsidRPr="009015A2">
        <w:rPr>
          <w:rStyle w:val="Strong"/>
          <w:rFonts w:ascii="Arial" w:hAnsi="Arial" w:cs="Arial"/>
          <w:sz w:val="20"/>
          <w:szCs w:val="20"/>
        </w:rPr>
        <w:t>powdery mildew, rusts, and anthracnose</w:t>
      </w:r>
      <w:r w:rsidRPr="009015A2">
        <w:rPr>
          <w:rFonts w:ascii="Arial" w:hAnsi="Arial" w:cs="Arial"/>
          <w:sz w:val="20"/>
          <w:szCs w:val="20"/>
        </w:rPr>
        <w:t xml:space="preserve"> in multiple crops.</w:t>
      </w:r>
    </w:p>
    <w:p w14:paraId="58BE5299" w14:textId="77777777" w:rsidR="00CE4393" w:rsidRPr="009015A2" w:rsidRDefault="00CE4393" w:rsidP="009015A2">
      <w:pPr>
        <w:numPr>
          <w:ilvl w:val="0"/>
          <w:numId w:val="38"/>
        </w:numPr>
        <w:spacing w:before="100" w:beforeAutospacing="1" w:after="100" w:afterAutospacing="1" w:line="240" w:lineRule="auto"/>
        <w:rPr>
          <w:rFonts w:ascii="Arial" w:hAnsi="Arial" w:cs="Arial"/>
          <w:sz w:val="20"/>
          <w:szCs w:val="20"/>
        </w:rPr>
      </w:pPr>
      <w:proofErr w:type="spellStart"/>
      <w:r w:rsidRPr="009015A2">
        <w:rPr>
          <w:rStyle w:val="Strong"/>
          <w:rFonts w:ascii="Arial" w:hAnsi="Arial" w:cs="Arial"/>
          <w:sz w:val="20"/>
          <w:szCs w:val="20"/>
        </w:rPr>
        <w:t>Metalaxyl</w:t>
      </w:r>
      <w:proofErr w:type="spellEnd"/>
      <w:r w:rsidRPr="009015A2">
        <w:rPr>
          <w:rStyle w:val="Strong"/>
          <w:rFonts w:ascii="Arial" w:hAnsi="Arial" w:cs="Arial"/>
          <w:sz w:val="20"/>
          <w:szCs w:val="20"/>
        </w:rPr>
        <w:t>:</w:t>
      </w:r>
      <w:r w:rsidRPr="009015A2">
        <w:rPr>
          <w:rFonts w:ascii="Arial" w:hAnsi="Arial" w:cs="Arial"/>
          <w:sz w:val="20"/>
          <w:szCs w:val="20"/>
        </w:rPr>
        <w:t xml:space="preserve"> Used for </w:t>
      </w:r>
      <w:r w:rsidRPr="009015A2">
        <w:rPr>
          <w:rStyle w:val="Strong"/>
          <w:rFonts w:ascii="Arial" w:hAnsi="Arial" w:cs="Arial"/>
          <w:sz w:val="20"/>
          <w:szCs w:val="20"/>
        </w:rPr>
        <w:t>oomycete diseases like late blight in potatoes and damping-off in seedlings</w:t>
      </w:r>
      <w:r w:rsidRPr="009015A2">
        <w:rPr>
          <w:rFonts w:ascii="Arial" w:hAnsi="Arial" w:cs="Arial"/>
          <w:sz w:val="20"/>
          <w:szCs w:val="20"/>
        </w:rPr>
        <w:t>.</w:t>
      </w:r>
    </w:p>
    <w:p w14:paraId="18739984"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Systemic Bactericides</w:t>
      </w:r>
    </w:p>
    <w:p w14:paraId="25D51FF1"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bactericides are absorbed by plant tissues and </w:t>
      </w:r>
      <w:r w:rsidRPr="009015A2">
        <w:rPr>
          <w:rStyle w:val="Strong"/>
          <w:rFonts w:ascii="Arial" w:hAnsi="Arial" w:cs="Arial"/>
          <w:sz w:val="20"/>
          <w:szCs w:val="20"/>
        </w:rPr>
        <w:t>suppress bacterial growth internally</w:t>
      </w:r>
      <w:r w:rsidRPr="009015A2">
        <w:rPr>
          <w:rFonts w:ascii="Arial" w:hAnsi="Arial" w:cs="Arial"/>
          <w:sz w:val="20"/>
          <w:szCs w:val="20"/>
        </w:rPr>
        <w:t>.</w:t>
      </w:r>
    </w:p>
    <w:p w14:paraId="7C3722DC" w14:textId="77777777" w:rsidR="00CE4393" w:rsidRPr="009015A2" w:rsidRDefault="00CE4393" w:rsidP="009015A2">
      <w:pPr>
        <w:numPr>
          <w:ilvl w:val="0"/>
          <w:numId w:val="3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lastRenderedPageBreak/>
        <w:t>Streptomycin:</w:t>
      </w:r>
      <w:r w:rsidRPr="009015A2">
        <w:rPr>
          <w:rFonts w:ascii="Arial" w:hAnsi="Arial" w:cs="Arial"/>
          <w:sz w:val="20"/>
          <w:szCs w:val="20"/>
        </w:rPr>
        <w:t xml:space="preserve"> A widely used </w:t>
      </w:r>
      <w:r w:rsidRPr="009015A2">
        <w:rPr>
          <w:rStyle w:val="Strong"/>
          <w:rFonts w:ascii="Arial" w:hAnsi="Arial" w:cs="Arial"/>
          <w:sz w:val="20"/>
          <w:szCs w:val="20"/>
        </w:rPr>
        <w:t>antibiotic bactericide</w:t>
      </w:r>
      <w:r w:rsidRPr="009015A2">
        <w:rPr>
          <w:rFonts w:ascii="Arial" w:hAnsi="Arial" w:cs="Arial"/>
          <w:sz w:val="20"/>
          <w:szCs w:val="20"/>
        </w:rPr>
        <w:t xml:space="preserve"> effective against </w:t>
      </w:r>
      <w:r w:rsidRPr="009015A2">
        <w:rPr>
          <w:rStyle w:val="Strong"/>
          <w:rFonts w:ascii="Arial" w:hAnsi="Arial" w:cs="Arial"/>
          <w:sz w:val="20"/>
          <w:szCs w:val="20"/>
        </w:rPr>
        <w:t>fire blight, bacterial wilt, and citrus greening</w:t>
      </w:r>
      <w:r w:rsidRPr="009015A2">
        <w:rPr>
          <w:rFonts w:ascii="Arial" w:hAnsi="Arial" w:cs="Arial"/>
          <w:sz w:val="20"/>
          <w:szCs w:val="20"/>
        </w:rPr>
        <w:t>.</w:t>
      </w:r>
    </w:p>
    <w:p w14:paraId="6A41489B" w14:textId="77777777" w:rsidR="00CE4393" w:rsidRPr="009015A2" w:rsidRDefault="00CE4393" w:rsidP="009015A2">
      <w:pPr>
        <w:numPr>
          <w:ilvl w:val="0"/>
          <w:numId w:val="3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Kasugamycin:</w:t>
      </w:r>
      <w:r w:rsidRPr="009015A2">
        <w:rPr>
          <w:rFonts w:ascii="Arial" w:hAnsi="Arial" w:cs="Arial"/>
          <w:sz w:val="20"/>
          <w:szCs w:val="20"/>
        </w:rPr>
        <w:t xml:space="preserve"> An antibiotic used in </w:t>
      </w:r>
      <w:r w:rsidRPr="009015A2">
        <w:rPr>
          <w:rStyle w:val="Strong"/>
          <w:rFonts w:ascii="Arial" w:hAnsi="Arial" w:cs="Arial"/>
          <w:sz w:val="20"/>
          <w:szCs w:val="20"/>
        </w:rPr>
        <w:t>rice bacterial blight control</w:t>
      </w:r>
      <w:r w:rsidRPr="009015A2">
        <w:rPr>
          <w:rFonts w:ascii="Arial" w:hAnsi="Arial" w:cs="Arial"/>
          <w:sz w:val="20"/>
          <w:szCs w:val="20"/>
        </w:rPr>
        <w:t>.</w:t>
      </w:r>
    </w:p>
    <w:p w14:paraId="658B57B8"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C. Systemic Insecticides (for vector control)</w:t>
      </w:r>
    </w:p>
    <w:p w14:paraId="2DB11FE3"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insecticides indirectly help control </w:t>
      </w:r>
      <w:r w:rsidRPr="009015A2">
        <w:rPr>
          <w:rStyle w:val="Strong"/>
          <w:rFonts w:ascii="Arial" w:hAnsi="Arial" w:cs="Arial"/>
          <w:sz w:val="20"/>
          <w:szCs w:val="20"/>
        </w:rPr>
        <w:t>viral diseases</w:t>
      </w:r>
      <w:r w:rsidRPr="009015A2">
        <w:rPr>
          <w:rFonts w:ascii="Arial" w:hAnsi="Arial" w:cs="Arial"/>
          <w:sz w:val="20"/>
          <w:szCs w:val="20"/>
        </w:rPr>
        <w:t xml:space="preserve"> by </w:t>
      </w:r>
      <w:r w:rsidRPr="009015A2">
        <w:rPr>
          <w:rStyle w:val="Strong"/>
          <w:rFonts w:ascii="Arial" w:hAnsi="Arial" w:cs="Arial"/>
          <w:sz w:val="20"/>
          <w:szCs w:val="20"/>
        </w:rPr>
        <w:t>targeting insect vectors</w:t>
      </w:r>
      <w:r w:rsidRPr="009015A2">
        <w:rPr>
          <w:rFonts w:ascii="Arial" w:hAnsi="Arial" w:cs="Arial"/>
          <w:sz w:val="20"/>
          <w:szCs w:val="20"/>
        </w:rPr>
        <w:t xml:space="preserve"> such as aphids and whiteflies.</w:t>
      </w:r>
    </w:p>
    <w:p w14:paraId="7F210C78" w14:textId="77777777" w:rsidR="00CE4393" w:rsidRPr="009015A2" w:rsidRDefault="00CE4393" w:rsidP="009015A2">
      <w:pPr>
        <w:numPr>
          <w:ilvl w:val="0"/>
          <w:numId w:val="40"/>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Imidacloprid:</w:t>
      </w:r>
      <w:r w:rsidRPr="009015A2">
        <w:rPr>
          <w:rFonts w:ascii="Arial" w:hAnsi="Arial" w:cs="Arial"/>
          <w:sz w:val="20"/>
          <w:szCs w:val="20"/>
        </w:rPr>
        <w:t xml:space="preserve"> Controls </w:t>
      </w:r>
      <w:r w:rsidRPr="009015A2">
        <w:rPr>
          <w:rStyle w:val="Strong"/>
          <w:rFonts w:ascii="Arial" w:hAnsi="Arial" w:cs="Arial"/>
          <w:sz w:val="20"/>
          <w:szCs w:val="20"/>
        </w:rPr>
        <w:t>sap-sucking insects</w:t>
      </w:r>
      <w:r w:rsidRPr="009015A2">
        <w:rPr>
          <w:rFonts w:ascii="Arial" w:hAnsi="Arial" w:cs="Arial"/>
          <w:sz w:val="20"/>
          <w:szCs w:val="20"/>
        </w:rPr>
        <w:t>, reducing virus transmission in crops like cotton and tomatoes.</w:t>
      </w:r>
    </w:p>
    <w:p w14:paraId="31E862F6" w14:textId="77777777" w:rsidR="00CE4393" w:rsidRPr="009015A2" w:rsidRDefault="00CE4393" w:rsidP="009015A2">
      <w:pPr>
        <w:numPr>
          <w:ilvl w:val="0"/>
          <w:numId w:val="40"/>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Thiamethoxam:</w:t>
      </w:r>
      <w:r w:rsidRPr="009015A2">
        <w:rPr>
          <w:rFonts w:ascii="Arial" w:hAnsi="Arial" w:cs="Arial"/>
          <w:sz w:val="20"/>
          <w:szCs w:val="20"/>
        </w:rPr>
        <w:t xml:space="preserve"> Used for </w:t>
      </w:r>
      <w:r w:rsidRPr="009015A2">
        <w:rPr>
          <w:rStyle w:val="Strong"/>
          <w:rFonts w:ascii="Arial" w:hAnsi="Arial" w:cs="Arial"/>
          <w:sz w:val="20"/>
          <w:szCs w:val="20"/>
        </w:rPr>
        <w:t>aphid and leafhopper management</w:t>
      </w:r>
      <w:r w:rsidRPr="009015A2">
        <w:rPr>
          <w:rFonts w:ascii="Arial" w:hAnsi="Arial" w:cs="Arial"/>
          <w:sz w:val="20"/>
          <w:szCs w:val="20"/>
        </w:rPr>
        <w:t>, preventing viral infections in rice and vegetables.</w:t>
      </w:r>
    </w:p>
    <w:p w14:paraId="03DD13BE" w14:textId="3526A6C1" w:rsidR="00962DAC" w:rsidRPr="00543B61" w:rsidRDefault="00962DAC" w:rsidP="00543B61">
      <w:pPr>
        <w:spacing w:before="100" w:beforeAutospacing="1" w:after="100" w:afterAutospacing="1" w:line="240" w:lineRule="auto"/>
        <w:ind w:left="0" w:firstLine="360"/>
        <w:outlineLvl w:val="1"/>
        <w:rPr>
          <w:rFonts w:ascii="Arial" w:eastAsia="Times New Roman" w:hAnsi="Arial" w:cs="Arial"/>
          <w:b/>
          <w:bCs/>
          <w:sz w:val="24"/>
          <w:szCs w:val="20"/>
          <w:lang w:eastAsia="en-IN"/>
        </w:rPr>
      </w:pPr>
      <w:r w:rsidRPr="00543B61">
        <w:rPr>
          <w:rFonts w:ascii="Arial" w:eastAsia="Times New Roman" w:hAnsi="Arial" w:cs="Arial"/>
          <w:b/>
          <w:bCs/>
          <w:sz w:val="24"/>
          <w:szCs w:val="20"/>
          <w:lang w:eastAsia="en-IN"/>
        </w:rPr>
        <w:t>5. Advantages and Disadvantages of Chemical Protection and Chemotherapy</w:t>
      </w:r>
    </w:p>
    <w:p w14:paraId="534B0676"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5.1 Advantages</w:t>
      </w:r>
    </w:p>
    <w:p w14:paraId="0043BDAE"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Effective and Quick:</w:t>
      </w:r>
      <w:r w:rsidRPr="009015A2">
        <w:rPr>
          <w:rFonts w:ascii="Arial" w:eastAsia="Times New Roman" w:hAnsi="Arial" w:cs="Arial"/>
          <w:sz w:val="20"/>
          <w:szCs w:val="20"/>
          <w:lang w:eastAsia="en-IN"/>
        </w:rPr>
        <w:t xml:space="preserve"> Provides rapid disease control.</w:t>
      </w:r>
    </w:p>
    <w:p w14:paraId="41D06366"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Broad-Spectrum Activity:</w:t>
      </w:r>
      <w:r w:rsidRPr="009015A2">
        <w:rPr>
          <w:rFonts w:ascii="Arial" w:eastAsia="Times New Roman" w:hAnsi="Arial" w:cs="Arial"/>
          <w:sz w:val="20"/>
          <w:szCs w:val="20"/>
          <w:lang w:eastAsia="en-IN"/>
        </w:rPr>
        <w:t xml:space="preserve"> Many chemicals target multiple pathogens.</w:t>
      </w:r>
    </w:p>
    <w:p w14:paraId="728219D1"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Enhances Crop Yield:</w:t>
      </w:r>
      <w:r w:rsidRPr="009015A2">
        <w:rPr>
          <w:rFonts w:ascii="Arial" w:eastAsia="Times New Roman" w:hAnsi="Arial" w:cs="Arial"/>
          <w:sz w:val="20"/>
          <w:szCs w:val="20"/>
          <w:lang w:eastAsia="en-IN"/>
        </w:rPr>
        <w:t xml:space="preserve"> Reduces losses and improves productivity.</w:t>
      </w:r>
    </w:p>
    <w:p w14:paraId="04256662"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Easily Accessible:</w:t>
      </w:r>
      <w:r w:rsidRPr="009015A2">
        <w:rPr>
          <w:rFonts w:ascii="Arial" w:eastAsia="Times New Roman" w:hAnsi="Arial" w:cs="Arial"/>
          <w:sz w:val="20"/>
          <w:szCs w:val="20"/>
          <w:lang w:eastAsia="en-IN"/>
        </w:rPr>
        <w:t xml:space="preserve"> Available for large-scale agricultural use.</w:t>
      </w:r>
    </w:p>
    <w:p w14:paraId="29D57008"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5.2 Disadvantages</w:t>
      </w:r>
    </w:p>
    <w:p w14:paraId="7C379FBF"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Development of Resistance:</w:t>
      </w:r>
      <w:r w:rsidRPr="009015A2">
        <w:rPr>
          <w:rFonts w:ascii="Arial" w:eastAsia="Times New Roman" w:hAnsi="Arial" w:cs="Arial"/>
          <w:sz w:val="20"/>
          <w:szCs w:val="20"/>
          <w:lang w:eastAsia="en-IN"/>
        </w:rPr>
        <w:t xml:space="preserve"> Repeated use may lead to resistant pathogens.</w:t>
      </w:r>
    </w:p>
    <w:p w14:paraId="7CF84F1B"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Environmental Impact:</w:t>
      </w:r>
      <w:r w:rsidRPr="009015A2">
        <w:rPr>
          <w:rFonts w:ascii="Arial" w:eastAsia="Times New Roman" w:hAnsi="Arial" w:cs="Arial"/>
          <w:sz w:val="20"/>
          <w:szCs w:val="20"/>
          <w:lang w:eastAsia="en-IN"/>
        </w:rPr>
        <w:t xml:space="preserve"> Chemical residues may pollute soil and water.</w:t>
      </w:r>
    </w:p>
    <w:p w14:paraId="5CFFAE3A"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Health Concerns:</w:t>
      </w:r>
      <w:r w:rsidRPr="009015A2">
        <w:rPr>
          <w:rFonts w:ascii="Arial" w:eastAsia="Times New Roman" w:hAnsi="Arial" w:cs="Arial"/>
          <w:sz w:val="20"/>
          <w:szCs w:val="20"/>
          <w:lang w:eastAsia="en-IN"/>
        </w:rPr>
        <w:t xml:space="preserve"> Some chemicals are toxic to humans and animals.</w:t>
      </w:r>
    </w:p>
    <w:p w14:paraId="57CBC4CE"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High Costs:</w:t>
      </w:r>
      <w:r w:rsidRPr="009015A2">
        <w:rPr>
          <w:rFonts w:ascii="Arial" w:eastAsia="Times New Roman" w:hAnsi="Arial" w:cs="Arial"/>
          <w:sz w:val="20"/>
          <w:szCs w:val="20"/>
          <w:lang w:eastAsia="en-IN"/>
        </w:rPr>
        <w:t xml:space="preserve"> Continuous application can be expensive for farmers.</w:t>
      </w:r>
    </w:p>
    <w:p w14:paraId="3F49F597" w14:textId="502781BC" w:rsidR="00962DAC" w:rsidRPr="00543B61" w:rsidRDefault="00543B61" w:rsidP="009015A2">
      <w:pPr>
        <w:spacing w:before="100" w:beforeAutospacing="1" w:after="100" w:afterAutospacing="1" w:line="240" w:lineRule="auto"/>
        <w:ind w:left="0"/>
        <w:outlineLvl w:val="1"/>
        <w:rPr>
          <w:rFonts w:ascii="Arial" w:eastAsia="Times New Roman" w:hAnsi="Arial" w:cs="Arial"/>
          <w:b/>
          <w:bCs/>
          <w:sz w:val="24"/>
          <w:szCs w:val="20"/>
          <w:lang w:eastAsia="en-IN"/>
        </w:rPr>
      </w:pPr>
      <w:r w:rsidRPr="00543B61">
        <w:rPr>
          <w:rFonts w:ascii="Arial" w:eastAsia="Times New Roman" w:hAnsi="Arial" w:cs="Arial"/>
          <w:b/>
          <w:bCs/>
          <w:sz w:val="24"/>
          <w:szCs w:val="20"/>
          <w:lang w:eastAsia="en-IN"/>
        </w:rPr>
        <w:t>6.</w:t>
      </w:r>
      <w:r w:rsidR="00962DAC" w:rsidRPr="00543B61">
        <w:rPr>
          <w:rFonts w:ascii="Arial" w:eastAsia="Times New Roman" w:hAnsi="Arial" w:cs="Arial"/>
          <w:b/>
          <w:bCs/>
          <w:sz w:val="24"/>
          <w:szCs w:val="20"/>
          <w:lang w:eastAsia="en-IN"/>
        </w:rPr>
        <w:t xml:space="preserve"> Future Perspectives in Chemical Protection and Chemotherapy</w:t>
      </w:r>
    </w:p>
    <w:p w14:paraId="135F8B22"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6.1 Development of Eco-Friendly Fungicides</w:t>
      </w:r>
    </w:p>
    <w:p w14:paraId="536952B2"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Research is focused on developing </w:t>
      </w:r>
      <w:proofErr w:type="spellStart"/>
      <w:r w:rsidRPr="009015A2">
        <w:rPr>
          <w:rFonts w:ascii="Arial" w:eastAsia="Times New Roman" w:hAnsi="Arial" w:cs="Arial"/>
          <w:sz w:val="20"/>
          <w:szCs w:val="20"/>
          <w:lang w:eastAsia="en-IN"/>
        </w:rPr>
        <w:t>biofungicides</w:t>
      </w:r>
      <w:proofErr w:type="spellEnd"/>
      <w:r w:rsidRPr="009015A2">
        <w:rPr>
          <w:rFonts w:ascii="Arial" w:eastAsia="Times New Roman" w:hAnsi="Arial" w:cs="Arial"/>
          <w:sz w:val="20"/>
          <w:szCs w:val="20"/>
          <w:lang w:eastAsia="en-IN"/>
        </w:rPr>
        <w:t xml:space="preserve"> and organic compounds that are less harmful to the environment.</w:t>
      </w:r>
    </w:p>
    <w:p w14:paraId="0A964B1D"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6.2 Integrated Disease Management (IDM)</w:t>
      </w:r>
    </w:p>
    <w:p w14:paraId="42CC3FD9"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Combining chemical control with biological, cultural, and genetic approaches can enhance disease management and sustainability.</w:t>
      </w:r>
    </w:p>
    <w:p w14:paraId="30BA3708"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6.3 Advancements in Molecular Research</w:t>
      </w:r>
    </w:p>
    <w:p w14:paraId="72DE0785"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Genetic engineering and molecular breeding techniques are being explored to develop disease-resistant crop varieties, reducing dependence on chemicals.</w:t>
      </w:r>
    </w:p>
    <w:p w14:paraId="4AD35C72" w14:textId="5038F9EB" w:rsidR="00962DAC" w:rsidRPr="00543B61" w:rsidRDefault="00543B61" w:rsidP="009015A2">
      <w:pPr>
        <w:spacing w:before="100" w:beforeAutospacing="1" w:after="100" w:afterAutospacing="1" w:line="240" w:lineRule="auto"/>
        <w:ind w:left="0"/>
        <w:outlineLvl w:val="1"/>
        <w:rPr>
          <w:rFonts w:ascii="Arial" w:eastAsia="Times New Roman" w:hAnsi="Arial" w:cs="Arial"/>
          <w:b/>
          <w:bCs/>
          <w:sz w:val="24"/>
          <w:szCs w:val="20"/>
          <w:lang w:eastAsia="en-IN"/>
        </w:rPr>
      </w:pPr>
      <w:r w:rsidRPr="00543B61">
        <w:rPr>
          <w:rFonts w:ascii="Arial" w:eastAsia="Times New Roman" w:hAnsi="Arial" w:cs="Arial"/>
          <w:b/>
          <w:bCs/>
          <w:sz w:val="24"/>
          <w:szCs w:val="20"/>
          <w:lang w:eastAsia="en-IN"/>
        </w:rPr>
        <w:t xml:space="preserve">7. </w:t>
      </w:r>
      <w:r w:rsidR="00962DAC" w:rsidRPr="00543B61">
        <w:rPr>
          <w:rFonts w:ascii="Arial" w:eastAsia="Times New Roman" w:hAnsi="Arial" w:cs="Arial"/>
          <w:b/>
          <w:bCs/>
          <w:sz w:val="24"/>
          <w:szCs w:val="20"/>
          <w:lang w:eastAsia="en-IN"/>
        </w:rPr>
        <w:t>Conclusion</w:t>
      </w:r>
    </w:p>
    <w:p w14:paraId="7F95CAA5" w14:textId="77777777" w:rsidR="00BF0B51" w:rsidRPr="000C24BC" w:rsidRDefault="00BF0B51" w:rsidP="00BF0B51">
      <w:pPr>
        <w:pStyle w:val="NoSpacing"/>
        <w:ind w:left="0"/>
        <w:rPr>
          <w:rFonts w:ascii="Arial" w:hAnsi="Arial" w:cs="Arial"/>
          <w:sz w:val="20"/>
        </w:rPr>
      </w:pPr>
      <w:r w:rsidRPr="00BF0B51">
        <w:rPr>
          <w:rFonts w:ascii="Arial" w:hAnsi="Arial" w:cs="Arial"/>
          <w:sz w:val="20"/>
          <w:highlight w:val="yellow"/>
        </w:rPr>
        <w:t xml:space="preserve">Chemical protection remains a cornerstone of modern plant pathology, providing effective tools for preventing and managing a wide range of crop diseases caused by fungi, bacteria, and other pathogens. These chemical interventions have been instrumental in ensuring global food security by minimizing yield losses and maintaining crop quality. However, excessive or indiscriminate use of agrochemicals has led to challenges such as pathogen resistance, environmental contamination, and </w:t>
      </w:r>
      <w:r w:rsidRPr="00BF0B51">
        <w:rPr>
          <w:rFonts w:ascii="Arial" w:hAnsi="Arial" w:cs="Arial"/>
          <w:sz w:val="20"/>
          <w:highlight w:val="yellow"/>
        </w:rPr>
        <w:lastRenderedPageBreak/>
        <w:t>potential risks to human and ecosystem health. Therefore, the future of plant disease management lies not in the abandonment of chemical methods, but in their intelligent integration with sustainable agricultural practices. Advancements in precision agriculture, nanotechnology-based formulations, and targeted delivery systems offer promising pathways for reducing chemical loads while enhancing efficiency. Similarly, combining chemical protection with biological control agents, resistant crop varieties, and cultural practices can create synergistic and eco-friendly solutions. Chemical protection and related innovations thus continue to be vital components of integrated disease management strategies. A balanced approach focusing on efficacy, safety, and sustainability is essential to ensure that these technologies remain effective tools for resilient and environmentally responsible agricultural production systems.</w:t>
      </w:r>
    </w:p>
    <w:p w14:paraId="1E288F21" w14:textId="77777777" w:rsidR="00BF0B51" w:rsidRDefault="00BF0B51" w:rsidP="00FB3278">
      <w:pPr>
        <w:ind w:left="0"/>
        <w:rPr>
          <w:rFonts w:ascii="Arial" w:hAnsi="Arial" w:cs="Arial"/>
          <w:b/>
          <w:sz w:val="24"/>
          <w:highlight w:val="yellow"/>
        </w:rPr>
      </w:pPr>
    </w:p>
    <w:p w14:paraId="2D236FCB" w14:textId="0F4D28F2" w:rsidR="00164270" w:rsidRPr="00FB3278" w:rsidRDefault="00FB3278" w:rsidP="00FB3278">
      <w:pPr>
        <w:ind w:left="0"/>
        <w:rPr>
          <w:rFonts w:ascii="Arial" w:hAnsi="Arial" w:cs="Arial"/>
          <w:b/>
          <w:sz w:val="24"/>
          <w:highlight w:val="yellow"/>
        </w:rPr>
      </w:pPr>
      <w:r w:rsidRPr="00FB3278">
        <w:rPr>
          <w:rFonts w:ascii="Arial" w:hAnsi="Arial" w:cs="Arial"/>
          <w:b/>
          <w:sz w:val="24"/>
          <w:highlight w:val="yellow"/>
        </w:rPr>
        <w:t>DISCLAIMER (ARTIFICIAL INTELLIGENCE)</w:t>
      </w:r>
    </w:p>
    <w:p w14:paraId="4BF09CF0" w14:textId="77777777" w:rsidR="00164270" w:rsidRPr="00FB3278" w:rsidRDefault="00164270" w:rsidP="00FB3278">
      <w:pPr>
        <w:spacing w:line="240" w:lineRule="auto"/>
        <w:ind w:left="0"/>
        <w:rPr>
          <w:rFonts w:ascii="Arial" w:hAnsi="Arial" w:cs="Arial"/>
          <w:sz w:val="20"/>
          <w:highlight w:val="yellow"/>
        </w:rPr>
      </w:pPr>
      <w:r w:rsidRPr="00FB3278">
        <w:rPr>
          <w:rFonts w:ascii="Arial" w:hAnsi="Arial" w:cs="Arial"/>
          <w:sz w:val="20"/>
          <w:highlight w:val="yellow"/>
        </w:rPr>
        <w:t>Author(s) hereby declare that NO generative AI technologies such as Large Language Models (</w:t>
      </w:r>
      <w:proofErr w:type="spellStart"/>
      <w:r w:rsidRPr="00FB3278">
        <w:rPr>
          <w:rFonts w:ascii="Arial" w:hAnsi="Arial" w:cs="Arial"/>
          <w:sz w:val="20"/>
          <w:highlight w:val="yellow"/>
        </w:rPr>
        <w:t>ChatGPT</w:t>
      </w:r>
      <w:proofErr w:type="spellEnd"/>
      <w:r w:rsidRPr="00FB3278">
        <w:rPr>
          <w:rFonts w:ascii="Arial" w:hAnsi="Arial" w:cs="Arial"/>
          <w:sz w:val="20"/>
          <w:highlight w:val="yellow"/>
        </w:rPr>
        <w:t xml:space="preserve">, COPILOT, etc.) and text-to-image generators have been used during the writing or editing of this manuscript. </w:t>
      </w:r>
    </w:p>
    <w:p w14:paraId="77976228" w14:textId="121E5238" w:rsidR="000678FB" w:rsidRPr="002A5F5A" w:rsidRDefault="00962DAC" w:rsidP="00543B61">
      <w:pPr>
        <w:spacing w:before="100" w:beforeAutospacing="1" w:after="100" w:afterAutospacing="1" w:line="240" w:lineRule="auto"/>
        <w:ind w:left="0"/>
        <w:outlineLvl w:val="1"/>
        <w:rPr>
          <w:rFonts w:ascii="Arial" w:eastAsia="Times New Roman" w:hAnsi="Arial" w:cs="Arial"/>
          <w:b/>
          <w:bCs/>
          <w:sz w:val="24"/>
          <w:szCs w:val="20"/>
          <w:lang w:eastAsia="en-IN"/>
        </w:rPr>
      </w:pPr>
      <w:r w:rsidRPr="002A5F5A">
        <w:rPr>
          <w:rFonts w:ascii="Arial" w:eastAsia="Times New Roman" w:hAnsi="Arial" w:cs="Arial"/>
          <w:b/>
          <w:bCs/>
          <w:sz w:val="24"/>
          <w:szCs w:val="20"/>
          <w:lang w:eastAsia="en-IN"/>
        </w:rPr>
        <w:t>Reference</w:t>
      </w:r>
    </w:p>
    <w:p w14:paraId="04AEA146" w14:textId="77777777" w:rsidR="00FB3278" w:rsidRPr="00FB3278" w:rsidRDefault="00FB3278" w:rsidP="00FB3278">
      <w:pPr>
        <w:spacing w:line="240" w:lineRule="auto"/>
        <w:ind w:left="709" w:hanging="709"/>
        <w:rPr>
          <w:rFonts w:ascii="Arial" w:hAnsi="Arial" w:cs="Arial"/>
          <w:sz w:val="20"/>
          <w:szCs w:val="20"/>
          <w:highlight w:val="yellow"/>
        </w:rPr>
      </w:pPr>
      <w:proofErr w:type="spellStart"/>
      <w:r w:rsidRPr="00FB3278">
        <w:rPr>
          <w:rFonts w:ascii="Arial" w:hAnsi="Arial" w:cs="Arial"/>
          <w:sz w:val="20"/>
          <w:szCs w:val="20"/>
          <w:highlight w:val="yellow"/>
        </w:rPr>
        <w:t>Alkolaly</w:t>
      </w:r>
      <w:proofErr w:type="spellEnd"/>
      <w:r w:rsidRPr="00FB3278">
        <w:rPr>
          <w:rFonts w:ascii="Arial" w:hAnsi="Arial" w:cs="Arial"/>
          <w:sz w:val="20"/>
          <w:szCs w:val="20"/>
          <w:highlight w:val="yellow"/>
        </w:rPr>
        <w:t>, A. M., El-</w:t>
      </w:r>
      <w:proofErr w:type="spellStart"/>
      <w:r w:rsidRPr="00FB3278">
        <w:rPr>
          <w:rFonts w:ascii="Arial" w:hAnsi="Arial" w:cs="Arial"/>
          <w:sz w:val="20"/>
          <w:szCs w:val="20"/>
          <w:highlight w:val="yellow"/>
        </w:rPr>
        <w:t>nahas</w:t>
      </w:r>
      <w:proofErr w:type="spellEnd"/>
      <w:r w:rsidRPr="00FB3278">
        <w:rPr>
          <w:rFonts w:ascii="Arial" w:hAnsi="Arial" w:cs="Arial"/>
          <w:sz w:val="20"/>
          <w:szCs w:val="20"/>
          <w:highlight w:val="yellow"/>
        </w:rPr>
        <w:t xml:space="preserve">, Shereen., &amp; </w:t>
      </w:r>
      <w:proofErr w:type="spellStart"/>
      <w:r w:rsidRPr="00FB3278">
        <w:rPr>
          <w:rFonts w:ascii="Arial" w:hAnsi="Arial" w:cs="Arial"/>
          <w:sz w:val="20"/>
          <w:szCs w:val="20"/>
          <w:highlight w:val="yellow"/>
        </w:rPr>
        <w:t>abdel-rahman</w:t>
      </w:r>
      <w:proofErr w:type="spellEnd"/>
      <w:r w:rsidRPr="00FB3278">
        <w:rPr>
          <w:rFonts w:ascii="Arial" w:hAnsi="Arial" w:cs="Arial"/>
          <w:sz w:val="20"/>
          <w:szCs w:val="20"/>
          <w:highlight w:val="yellow"/>
        </w:rPr>
        <w:t xml:space="preserve">, T. A. (2017). Residual effect of certain copper fungicides used in controlling downy mildew of lettuce. </w:t>
      </w:r>
      <w:r w:rsidRPr="00FB3278">
        <w:rPr>
          <w:rFonts w:ascii="Arial" w:hAnsi="Arial" w:cs="Arial"/>
          <w:i/>
          <w:iCs/>
          <w:sz w:val="20"/>
          <w:szCs w:val="20"/>
          <w:highlight w:val="yellow"/>
        </w:rPr>
        <w:t>Egyptian Journal of Agricultural Research</w:t>
      </w:r>
      <w:r w:rsidRPr="00FB3278">
        <w:rPr>
          <w:rFonts w:ascii="Arial" w:hAnsi="Arial" w:cs="Arial"/>
          <w:sz w:val="20"/>
          <w:szCs w:val="20"/>
          <w:highlight w:val="yellow"/>
        </w:rPr>
        <w:t xml:space="preserve">, </w:t>
      </w:r>
      <w:r w:rsidRPr="00FB3278">
        <w:rPr>
          <w:rFonts w:ascii="Arial" w:hAnsi="Arial" w:cs="Arial"/>
          <w:i/>
          <w:iCs/>
          <w:sz w:val="20"/>
          <w:szCs w:val="20"/>
          <w:highlight w:val="yellow"/>
        </w:rPr>
        <w:t>95</w:t>
      </w:r>
      <w:r w:rsidRPr="00FB3278">
        <w:rPr>
          <w:rFonts w:ascii="Arial" w:hAnsi="Arial" w:cs="Arial"/>
          <w:sz w:val="20"/>
          <w:szCs w:val="20"/>
          <w:highlight w:val="yellow"/>
        </w:rPr>
        <w:t>(1), 65-71.</w:t>
      </w:r>
    </w:p>
    <w:p w14:paraId="3A6D9E9F" w14:textId="77777777" w:rsidR="00FB3278" w:rsidRPr="00FB3278" w:rsidRDefault="00FB3278" w:rsidP="00FB3278">
      <w:pPr>
        <w:spacing w:line="240" w:lineRule="auto"/>
        <w:ind w:left="709" w:hanging="709"/>
        <w:rPr>
          <w:rFonts w:ascii="Arial" w:hAnsi="Arial" w:cs="Arial"/>
          <w:sz w:val="20"/>
          <w:szCs w:val="20"/>
          <w:highlight w:val="yellow"/>
        </w:rPr>
      </w:pPr>
      <w:proofErr w:type="spellStart"/>
      <w:r w:rsidRPr="00FB3278">
        <w:rPr>
          <w:rFonts w:ascii="Arial" w:hAnsi="Arial" w:cs="Arial"/>
          <w:sz w:val="20"/>
          <w:szCs w:val="20"/>
          <w:highlight w:val="yellow"/>
        </w:rPr>
        <w:t>Banik</w:t>
      </w:r>
      <w:proofErr w:type="spellEnd"/>
      <w:r w:rsidRPr="00FB3278">
        <w:rPr>
          <w:rFonts w:ascii="Arial" w:hAnsi="Arial" w:cs="Arial"/>
          <w:sz w:val="20"/>
          <w:szCs w:val="20"/>
          <w:highlight w:val="yellow"/>
        </w:rPr>
        <w:t xml:space="preserve">, S., Pramanik, M., Roy, S., Ghosh, P. K., </w:t>
      </w:r>
      <w:proofErr w:type="spellStart"/>
      <w:r w:rsidRPr="00FB3278">
        <w:rPr>
          <w:rFonts w:ascii="Arial" w:hAnsi="Arial" w:cs="Arial"/>
          <w:sz w:val="20"/>
          <w:szCs w:val="20"/>
          <w:highlight w:val="yellow"/>
        </w:rPr>
        <w:t>Duary</w:t>
      </w:r>
      <w:proofErr w:type="spellEnd"/>
      <w:r w:rsidRPr="00FB3278">
        <w:rPr>
          <w:rFonts w:ascii="Arial" w:hAnsi="Arial" w:cs="Arial"/>
          <w:sz w:val="20"/>
          <w:szCs w:val="20"/>
          <w:highlight w:val="yellow"/>
        </w:rPr>
        <w:t>, S., Bachaspati, S., ... &amp; Mondal, B. P. (2023). Green Chemo-Prevention: An Integrated Review Between Agriculture and Medicine. Journal of Advanced Zoology, 44.</w:t>
      </w:r>
    </w:p>
    <w:p w14:paraId="1A6B0957"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proofErr w:type="spellStart"/>
      <w:r w:rsidRPr="00FB3278">
        <w:rPr>
          <w:rFonts w:ascii="Arial" w:hAnsi="Arial" w:cs="Arial"/>
          <w:color w:val="222222"/>
          <w:sz w:val="20"/>
          <w:szCs w:val="20"/>
          <w:highlight w:val="yellow"/>
          <w:shd w:val="clear" w:color="auto" w:fill="FFFFFF"/>
        </w:rPr>
        <w:t>Batuman</w:t>
      </w:r>
      <w:proofErr w:type="spellEnd"/>
      <w:r w:rsidRPr="00FB3278">
        <w:rPr>
          <w:rFonts w:ascii="Arial" w:hAnsi="Arial" w:cs="Arial"/>
          <w:color w:val="222222"/>
          <w:sz w:val="20"/>
          <w:szCs w:val="20"/>
          <w:highlight w:val="yellow"/>
          <w:shd w:val="clear" w:color="auto" w:fill="FFFFFF"/>
        </w:rPr>
        <w:t>, O., Britt-</w:t>
      </w:r>
      <w:proofErr w:type="spellStart"/>
      <w:r w:rsidRPr="00FB3278">
        <w:rPr>
          <w:rFonts w:ascii="Arial" w:hAnsi="Arial" w:cs="Arial"/>
          <w:color w:val="222222"/>
          <w:sz w:val="20"/>
          <w:szCs w:val="20"/>
          <w:highlight w:val="yellow"/>
          <w:shd w:val="clear" w:color="auto" w:fill="FFFFFF"/>
        </w:rPr>
        <w:t>Ugartemendia</w:t>
      </w:r>
      <w:proofErr w:type="spellEnd"/>
      <w:r w:rsidRPr="00FB3278">
        <w:rPr>
          <w:rFonts w:ascii="Arial" w:hAnsi="Arial" w:cs="Arial"/>
          <w:color w:val="222222"/>
          <w:sz w:val="20"/>
          <w:szCs w:val="20"/>
          <w:highlight w:val="yellow"/>
          <w:shd w:val="clear" w:color="auto" w:fill="FFFFFF"/>
        </w:rPr>
        <w:t>, K., Kunwar, S., Yilmaz, S., Fessler, L., Redondo, A., ... &amp; Wade, T. (2024). The use and impact of antibiotics in plant agriculture: A review. </w:t>
      </w:r>
      <w:r w:rsidRPr="00FB3278">
        <w:rPr>
          <w:rFonts w:ascii="Arial" w:hAnsi="Arial" w:cs="Arial"/>
          <w:i/>
          <w:iCs/>
          <w:color w:val="222222"/>
          <w:sz w:val="20"/>
          <w:szCs w:val="20"/>
          <w:highlight w:val="yellow"/>
          <w:shd w:val="clear" w:color="auto" w:fill="FFFFFF"/>
        </w:rPr>
        <w:t>Phytopathology®</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114</w:t>
      </w:r>
      <w:r w:rsidRPr="00FB3278">
        <w:rPr>
          <w:rFonts w:ascii="Arial" w:hAnsi="Arial" w:cs="Arial"/>
          <w:color w:val="222222"/>
          <w:sz w:val="20"/>
          <w:szCs w:val="20"/>
          <w:highlight w:val="yellow"/>
          <w:shd w:val="clear" w:color="auto" w:fill="FFFFFF"/>
        </w:rPr>
        <w:t>(5), 885-909.</w:t>
      </w:r>
    </w:p>
    <w:p w14:paraId="1751FE56"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proofErr w:type="spellStart"/>
      <w:r w:rsidRPr="00FB3278">
        <w:rPr>
          <w:rFonts w:ascii="Arial" w:hAnsi="Arial" w:cs="Arial"/>
          <w:color w:val="222222"/>
          <w:sz w:val="20"/>
          <w:szCs w:val="20"/>
          <w:highlight w:val="yellow"/>
          <w:shd w:val="clear" w:color="auto" w:fill="FFFFFF"/>
        </w:rPr>
        <w:t>Beyari</w:t>
      </w:r>
      <w:proofErr w:type="spellEnd"/>
      <w:r w:rsidRPr="00FB3278">
        <w:rPr>
          <w:rFonts w:ascii="Arial" w:hAnsi="Arial" w:cs="Arial"/>
          <w:color w:val="222222"/>
          <w:sz w:val="20"/>
          <w:szCs w:val="20"/>
          <w:highlight w:val="yellow"/>
          <w:shd w:val="clear" w:color="auto" w:fill="FFFFFF"/>
        </w:rPr>
        <w:t>, E. A. (2025). Alternatives to chemical pesticides: the role of microbial biocontrol agents in phytopathogen management: a comprehensive review. </w:t>
      </w:r>
      <w:r w:rsidRPr="00FB3278">
        <w:rPr>
          <w:rFonts w:ascii="Arial" w:hAnsi="Arial" w:cs="Arial"/>
          <w:i/>
          <w:iCs/>
          <w:color w:val="222222"/>
          <w:sz w:val="20"/>
          <w:szCs w:val="20"/>
          <w:highlight w:val="yellow"/>
          <w:shd w:val="clear" w:color="auto" w:fill="FFFFFF"/>
        </w:rPr>
        <w:t>Journal of Plant Pathology</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107</w:t>
      </w:r>
      <w:r w:rsidRPr="00FB3278">
        <w:rPr>
          <w:rFonts w:ascii="Arial" w:hAnsi="Arial" w:cs="Arial"/>
          <w:color w:val="222222"/>
          <w:sz w:val="20"/>
          <w:szCs w:val="20"/>
          <w:highlight w:val="yellow"/>
          <w:shd w:val="clear" w:color="auto" w:fill="FFFFFF"/>
        </w:rPr>
        <w:t>(1), 291-314.</w:t>
      </w:r>
    </w:p>
    <w:p w14:paraId="3F96F7C4" w14:textId="77777777" w:rsidR="00FB3278" w:rsidRPr="00FB3278" w:rsidRDefault="00FB3278" w:rsidP="00FB3278">
      <w:pPr>
        <w:spacing w:line="240" w:lineRule="auto"/>
        <w:ind w:left="709" w:hanging="709"/>
        <w:rPr>
          <w:rFonts w:ascii="Arial" w:hAnsi="Arial" w:cs="Arial"/>
          <w:sz w:val="20"/>
          <w:szCs w:val="20"/>
          <w:highlight w:val="yellow"/>
        </w:rPr>
      </w:pPr>
      <w:r w:rsidRPr="00FB3278">
        <w:rPr>
          <w:rFonts w:ascii="Arial" w:hAnsi="Arial" w:cs="Arial"/>
          <w:sz w:val="20"/>
          <w:szCs w:val="20"/>
          <w:highlight w:val="yellow"/>
        </w:rPr>
        <w:t xml:space="preserve">Bhagat, S., &amp; Choudhary, S. (2024). Chemical control of plant diseases. </w:t>
      </w:r>
      <w:r w:rsidRPr="00FB3278">
        <w:rPr>
          <w:rFonts w:ascii="Arial" w:hAnsi="Arial" w:cs="Arial"/>
          <w:i/>
          <w:iCs/>
          <w:sz w:val="20"/>
          <w:szCs w:val="20"/>
          <w:highlight w:val="yellow"/>
        </w:rPr>
        <w:t>Plant pathology and plant diseases</w:t>
      </w:r>
      <w:r w:rsidRPr="00FB3278">
        <w:rPr>
          <w:rFonts w:ascii="Arial" w:hAnsi="Arial" w:cs="Arial"/>
          <w:sz w:val="20"/>
          <w:szCs w:val="20"/>
          <w:highlight w:val="yellow"/>
        </w:rPr>
        <w:t xml:space="preserve">, </w:t>
      </w:r>
      <w:r w:rsidRPr="00FB3278">
        <w:rPr>
          <w:rFonts w:ascii="Arial" w:hAnsi="Arial" w:cs="Arial"/>
          <w:i/>
          <w:iCs/>
          <w:sz w:val="20"/>
          <w:szCs w:val="20"/>
          <w:highlight w:val="yellow"/>
        </w:rPr>
        <w:t>306</w:t>
      </w:r>
    </w:p>
    <w:p w14:paraId="1DAC01D5" w14:textId="77777777" w:rsidR="00FB3278" w:rsidRPr="00FB3278" w:rsidRDefault="00FB3278" w:rsidP="00FB3278">
      <w:pPr>
        <w:spacing w:line="240" w:lineRule="auto"/>
        <w:ind w:left="709" w:hanging="709"/>
        <w:rPr>
          <w:rFonts w:ascii="Arial" w:hAnsi="Arial" w:cs="Arial"/>
          <w:sz w:val="20"/>
          <w:szCs w:val="20"/>
          <w:highlight w:val="yellow"/>
        </w:rPr>
      </w:pPr>
      <w:proofErr w:type="spellStart"/>
      <w:r w:rsidRPr="00FB3278">
        <w:rPr>
          <w:rFonts w:ascii="Arial" w:hAnsi="Arial" w:cs="Arial"/>
          <w:sz w:val="20"/>
          <w:szCs w:val="20"/>
          <w:highlight w:val="yellow"/>
        </w:rPr>
        <w:t>Brandes</w:t>
      </w:r>
      <w:proofErr w:type="spellEnd"/>
      <w:r w:rsidRPr="00FB3278">
        <w:rPr>
          <w:rFonts w:ascii="Arial" w:hAnsi="Arial" w:cs="Arial"/>
          <w:sz w:val="20"/>
          <w:szCs w:val="20"/>
          <w:highlight w:val="yellow"/>
        </w:rPr>
        <w:t xml:space="preserve">, G. A. (1953). The history and development of the ethylene </w:t>
      </w:r>
      <w:proofErr w:type="spellStart"/>
      <w:r w:rsidRPr="00FB3278">
        <w:rPr>
          <w:rFonts w:ascii="Arial" w:hAnsi="Arial" w:cs="Arial"/>
          <w:sz w:val="20"/>
          <w:szCs w:val="20"/>
          <w:highlight w:val="yellow"/>
        </w:rPr>
        <w:t>bisdithiocarbamate</w:t>
      </w:r>
      <w:proofErr w:type="spellEnd"/>
      <w:r w:rsidRPr="00FB3278">
        <w:rPr>
          <w:rFonts w:ascii="Arial" w:hAnsi="Arial" w:cs="Arial"/>
          <w:sz w:val="20"/>
          <w:szCs w:val="20"/>
          <w:highlight w:val="yellow"/>
        </w:rPr>
        <w:t xml:space="preserve"> fungicides. </w:t>
      </w:r>
      <w:r w:rsidRPr="00FB3278">
        <w:rPr>
          <w:rFonts w:ascii="Arial" w:hAnsi="Arial" w:cs="Arial"/>
          <w:i/>
          <w:iCs/>
          <w:sz w:val="20"/>
          <w:szCs w:val="20"/>
          <w:highlight w:val="yellow"/>
        </w:rPr>
        <w:t>American Potato Journal,</w:t>
      </w:r>
      <w:r w:rsidRPr="00FB3278">
        <w:rPr>
          <w:rFonts w:ascii="Arial" w:hAnsi="Arial" w:cs="Arial"/>
          <w:sz w:val="20"/>
          <w:szCs w:val="20"/>
          <w:highlight w:val="yellow"/>
        </w:rPr>
        <w:t xml:space="preserve"> </w:t>
      </w:r>
      <w:r w:rsidRPr="00FB3278">
        <w:rPr>
          <w:rFonts w:ascii="Arial" w:hAnsi="Arial" w:cs="Arial"/>
          <w:i/>
          <w:iCs/>
          <w:sz w:val="20"/>
          <w:szCs w:val="20"/>
          <w:highlight w:val="yellow"/>
        </w:rPr>
        <w:t>30</w:t>
      </w:r>
      <w:r w:rsidRPr="00FB3278">
        <w:rPr>
          <w:rFonts w:ascii="Arial" w:hAnsi="Arial" w:cs="Arial"/>
          <w:sz w:val="20"/>
          <w:szCs w:val="20"/>
          <w:highlight w:val="yellow"/>
        </w:rPr>
        <w:t>(6), 137-140.</w:t>
      </w:r>
    </w:p>
    <w:p w14:paraId="6ACF03DF"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 xml:space="preserve">Chowdhury, M. A. Z., &amp; </w:t>
      </w:r>
      <w:proofErr w:type="spellStart"/>
      <w:r w:rsidRPr="00FB3278">
        <w:rPr>
          <w:rFonts w:ascii="Arial" w:hAnsi="Arial" w:cs="Arial"/>
          <w:color w:val="222222"/>
          <w:sz w:val="20"/>
          <w:szCs w:val="20"/>
          <w:highlight w:val="yellow"/>
          <w:shd w:val="clear" w:color="auto" w:fill="FFFFFF"/>
        </w:rPr>
        <w:t>Oehlschlaeger</w:t>
      </w:r>
      <w:proofErr w:type="spellEnd"/>
      <w:r w:rsidRPr="00FB3278">
        <w:rPr>
          <w:rFonts w:ascii="Arial" w:hAnsi="Arial" w:cs="Arial"/>
          <w:color w:val="222222"/>
          <w:sz w:val="20"/>
          <w:szCs w:val="20"/>
          <w:highlight w:val="yellow"/>
          <w:shd w:val="clear" w:color="auto" w:fill="FFFFFF"/>
        </w:rPr>
        <w:t>, M. A. (2025). Artificial Intelligence in Gas Sensing: A Review. </w:t>
      </w:r>
      <w:r w:rsidRPr="00FB3278">
        <w:rPr>
          <w:rFonts w:ascii="Arial" w:hAnsi="Arial" w:cs="Arial"/>
          <w:i/>
          <w:iCs/>
          <w:color w:val="222222"/>
          <w:sz w:val="20"/>
          <w:szCs w:val="20"/>
          <w:highlight w:val="yellow"/>
          <w:shd w:val="clear" w:color="auto" w:fill="FFFFFF"/>
        </w:rPr>
        <w:t>ACS sensors</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10</w:t>
      </w:r>
      <w:r w:rsidRPr="00FB3278">
        <w:rPr>
          <w:rFonts w:ascii="Arial" w:hAnsi="Arial" w:cs="Arial"/>
          <w:color w:val="222222"/>
          <w:sz w:val="20"/>
          <w:szCs w:val="20"/>
          <w:highlight w:val="yellow"/>
          <w:shd w:val="clear" w:color="auto" w:fill="FFFFFF"/>
        </w:rPr>
        <w:t>(3), 1538-1563.</w:t>
      </w:r>
    </w:p>
    <w:p w14:paraId="22D46465"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Gawande, P., Jana, S., Kumar, A., Biswas, J., Bharti, D., Jyoti, S., ... &amp; Roy, P. P. (2025). Fungicidal SDH Inhibitors in Agriculture: Regulation and Future Perspectives. In </w:t>
      </w:r>
      <w:r w:rsidRPr="00FB3278">
        <w:rPr>
          <w:rFonts w:ascii="Arial" w:hAnsi="Arial" w:cs="Arial"/>
          <w:i/>
          <w:iCs/>
          <w:color w:val="222222"/>
          <w:sz w:val="20"/>
          <w:szCs w:val="20"/>
          <w:highlight w:val="yellow"/>
          <w:shd w:val="clear" w:color="auto" w:fill="FFFFFF"/>
        </w:rPr>
        <w:t xml:space="preserve">Deciphering </w:t>
      </w:r>
      <w:proofErr w:type="gramStart"/>
      <w:r w:rsidRPr="00FB3278">
        <w:rPr>
          <w:rFonts w:ascii="Arial" w:hAnsi="Arial" w:cs="Arial"/>
          <w:i/>
          <w:iCs/>
          <w:color w:val="222222"/>
          <w:sz w:val="20"/>
          <w:szCs w:val="20"/>
          <w:highlight w:val="yellow"/>
          <w:shd w:val="clear" w:color="auto" w:fill="FFFFFF"/>
        </w:rPr>
        <w:t>The</w:t>
      </w:r>
      <w:proofErr w:type="gramEnd"/>
      <w:r w:rsidRPr="00FB3278">
        <w:rPr>
          <w:rFonts w:ascii="Arial" w:hAnsi="Arial" w:cs="Arial"/>
          <w:i/>
          <w:iCs/>
          <w:color w:val="222222"/>
          <w:sz w:val="20"/>
          <w:szCs w:val="20"/>
          <w:highlight w:val="yellow"/>
          <w:shd w:val="clear" w:color="auto" w:fill="FFFFFF"/>
        </w:rPr>
        <w:t xml:space="preserve"> Role of Succinate Dehydrogenase in Drug Discovery: SDH in Drug Discovery</w:t>
      </w:r>
      <w:r w:rsidRPr="00FB3278">
        <w:rPr>
          <w:rFonts w:ascii="Arial" w:hAnsi="Arial" w:cs="Arial"/>
          <w:color w:val="222222"/>
          <w:sz w:val="20"/>
          <w:szCs w:val="20"/>
          <w:highlight w:val="yellow"/>
          <w:shd w:val="clear" w:color="auto" w:fill="FFFFFF"/>
        </w:rPr>
        <w:t> (pp. 227-268). Singapore: Springer Nature Singapore.</w:t>
      </w:r>
    </w:p>
    <w:p w14:paraId="491C3D33" w14:textId="77777777" w:rsidR="00FB3278" w:rsidRPr="00FB3278" w:rsidRDefault="00FB3278" w:rsidP="00FB3278">
      <w:pPr>
        <w:pStyle w:val="NoSpacing"/>
        <w:ind w:left="709" w:hanging="709"/>
        <w:rPr>
          <w:rFonts w:ascii="Arial" w:hAnsi="Arial" w:cs="Arial"/>
          <w:sz w:val="20"/>
          <w:szCs w:val="20"/>
          <w:highlight w:val="yellow"/>
          <w:lang w:val="en-US"/>
        </w:rPr>
      </w:pPr>
      <w:r w:rsidRPr="00FB3278">
        <w:rPr>
          <w:rFonts w:ascii="Arial" w:hAnsi="Arial" w:cs="Arial"/>
          <w:sz w:val="20"/>
          <w:szCs w:val="20"/>
          <w:highlight w:val="yellow"/>
          <w:lang w:val="en-US"/>
        </w:rPr>
        <w:t xml:space="preserve">Harman, G., Khadka, R., Doni, F., &amp; Uphoff, N. (2021). Benefits to plant health and productivity from enhancing plant microbial symbionts. Frontiers in plant science, 11, 610065.  </w:t>
      </w:r>
    </w:p>
    <w:p w14:paraId="5B64A471"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proofErr w:type="spellStart"/>
      <w:r w:rsidRPr="00FB3278">
        <w:rPr>
          <w:rFonts w:ascii="Arial" w:hAnsi="Arial" w:cs="Arial"/>
          <w:color w:val="222222"/>
          <w:sz w:val="20"/>
          <w:szCs w:val="20"/>
          <w:highlight w:val="yellow"/>
          <w:shd w:val="clear" w:color="auto" w:fill="FFFFFF"/>
        </w:rPr>
        <w:t>Jeger</w:t>
      </w:r>
      <w:proofErr w:type="spellEnd"/>
      <w:r w:rsidRPr="00FB3278">
        <w:rPr>
          <w:rFonts w:ascii="Arial" w:hAnsi="Arial" w:cs="Arial"/>
          <w:color w:val="222222"/>
          <w:sz w:val="20"/>
          <w:szCs w:val="20"/>
          <w:highlight w:val="yellow"/>
          <w:shd w:val="clear" w:color="auto" w:fill="FFFFFF"/>
        </w:rPr>
        <w:t>, M., Beresford, R., Bock, C., Brown, N., Fox, A., Newton, A., ... &amp; Yuen, J. (2021). Global challenges facing plant pathology: multidisciplinary approaches to meet the food security and environmental challenges in the mid-twenty-first century. </w:t>
      </w:r>
      <w:r w:rsidRPr="00FB3278">
        <w:rPr>
          <w:rFonts w:ascii="Arial" w:hAnsi="Arial" w:cs="Arial"/>
          <w:i/>
          <w:iCs/>
          <w:color w:val="222222"/>
          <w:sz w:val="20"/>
          <w:szCs w:val="20"/>
          <w:highlight w:val="yellow"/>
          <w:shd w:val="clear" w:color="auto" w:fill="FFFFFF"/>
        </w:rPr>
        <w:t>CABI Agriculture and Bioscience</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2</w:t>
      </w:r>
      <w:r w:rsidRPr="00FB3278">
        <w:rPr>
          <w:rFonts w:ascii="Arial" w:hAnsi="Arial" w:cs="Arial"/>
          <w:color w:val="222222"/>
          <w:sz w:val="20"/>
          <w:szCs w:val="20"/>
          <w:highlight w:val="yellow"/>
          <w:shd w:val="clear" w:color="auto" w:fill="FFFFFF"/>
        </w:rPr>
        <w:t>(1), 1-18.</w:t>
      </w:r>
    </w:p>
    <w:p w14:paraId="3F0577DD" w14:textId="77777777" w:rsidR="00FB3278" w:rsidRPr="00FB3278" w:rsidRDefault="00FB3278" w:rsidP="00FB3278">
      <w:pPr>
        <w:spacing w:line="240" w:lineRule="auto"/>
        <w:ind w:left="709" w:hanging="709"/>
        <w:rPr>
          <w:rFonts w:ascii="Arial" w:hAnsi="Arial" w:cs="Arial"/>
          <w:sz w:val="20"/>
          <w:szCs w:val="20"/>
          <w:highlight w:val="yellow"/>
        </w:rPr>
      </w:pPr>
      <w:r w:rsidRPr="00FB3278">
        <w:rPr>
          <w:rFonts w:ascii="Arial" w:hAnsi="Arial" w:cs="Arial"/>
          <w:sz w:val="20"/>
          <w:szCs w:val="20"/>
          <w:highlight w:val="yellow"/>
        </w:rPr>
        <w:t xml:space="preserve">Maude, R. B., Vizor, A. S., &amp; </w:t>
      </w:r>
      <w:proofErr w:type="spellStart"/>
      <w:r w:rsidRPr="00FB3278">
        <w:rPr>
          <w:rFonts w:ascii="Arial" w:hAnsi="Arial" w:cs="Arial"/>
          <w:sz w:val="20"/>
          <w:szCs w:val="20"/>
          <w:highlight w:val="yellow"/>
        </w:rPr>
        <w:t>Shuring</w:t>
      </w:r>
      <w:proofErr w:type="spellEnd"/>
      <w:r w:rsidRPr="00FB3278">
        <w:rPr>
          <w:rFonts w:ascii="Arial" w:hAnsi="Arial" w:cs="Arial"/>
          <w:sz w:val="20"/>
          <w:szCs w:val="20"/>
          <w:highlight w:val="yellow"/>
        </w:rPr>
        <w:t xml:space="preserve">, C. G. (1969). The control of fungal seed–borne diseases by means of a thiram seed soak. </w:t>
      </w:r>
      <w:r w:rsidRPr="00FB3278">
        <w:rPr>
          <w:rFonts w:ascii="Arial" w:hAnsi="Arial" w:cs="Arial"/>
          <w:i/>
          <w:iCs/>
          <w:sz w:val="20"/>
          <w:szCs w:val="20"/>
          <w:highlight w:val="yellow"/>
        </w:rPr>
        <w:t>Annals of Applied Biology</w:t>
      </w:r>
      <w:r w:rsidRPr="00FB3278">
        <w:rPr>
          <w:rFonts w:ascii="Arial" w:hAnsi="Arial" w:cs="Arial"/>
          <w:sz w:val="20"/>
          <w:szCs w:val="20"/>
          <w:highlight w:val="yellow"/>
        </w:rPr>
        <w:t xml:space="preserve">, </w:t>
      </w:r>
      <w:r w:rsidRPr="00FB3278">
        <w:rPr>
          <w:rFonts w:ascii="Arial" w:hAnsi="Arial" w:cs="Arial"/>
          <w:i/>
          <w:iCs/>
          <w:sz w:val="20"/>
          <w:szCs w:val="20"/>
          <w:highlight w:val="yellow"/>
        </w:rPr>
        <w:t>64</w:t>
      </w:r>
      <w:r w:rsidRPr="00FB3278">
        <w:rPr>
          <w:rFonts w:ascii="Arial" w:hAnsi="Arial" w:cs="Arial"/>
          <w:sz w:val="20"/>
          <w:szCs w:val="20"/>
          <w:highlight w:val="yellow"/>
        </w:rPr>
        <w:t>(2), 245-257.</w:t>
      </w:r>
    </w:p>
    <w:p w14:paraId="4FD439F1" w14:textId="77777777" w:rsidR="00FB3278" w:rsidRPr="00FB3278" w:rsidRDefault="00FB3278" w:rsidP="00FB3278">
      <w:pPr>
        <w:spacing w:line="240" w:lineRule="auto"/>
        <w:ind w:left="709" w:hanging="709"/>
        <w:rPr>
          <w:rFonts w:ascii="Arial" w:eastAsia="Times New Roman" w:hAnsi="Arial" w:cs="Arial"/>
          <w:b/>
          <w:bCs/>
          <w:sz w:val="20"/>
          <w:szCs w:val="20"/>
          <w:highlight w:val="yellow"/>
          <w:lang w:eastAsia="en-IN"/>
        </w:rPr>
      </w:pPr>
      <w:r w:rsidRPr="00FB3278">
        <w:rPr>
          <w:rFonts w:ascii="Arial" w:hAnsi="Arial" w:cs="Arial"/>
          <w:sz w:val="20"/>
          <w:szCs w:val="20"/>
          <w:highlight w:val="yellow"/>
        </w:rPr>
        <w:t xml:space="preserve">McLeod, L. J., Kitson, J. C., Dorner, Z., </w:t>
      </w:r>
      <w:proofErr w:type="spellStart"/>
      <w:r w:rsidRPr="00FB3278">
        <w:rPr>
          <w:rFonts w:ascii="Arial" w:hAnsi="Arial" w:cs="Arial"/>
          <w:sz w:val="20"/>
          <w:szCs w:val="20"/>
          <w:highlight w:val="yellow"/>
        </w:rPr>
        <w:t>Tassell-Matamua</w:t>
      </w:r>
      <w:proofErr w:type="spellEnd"/>
      <w:r w:rsidRPr="00FB3278">
        <w:rPr>
          <w:rFonts w:ascii="Arial" w:hAnsi="Arial" w:cs="Arial"/>
          <w:sz w:val="20"/>
          <w:szCs w:val="20"/>
          <w:highlight w:val="yellow"/>
        </w:rPr>
        <w:t xml:space="preserve">, N. A., Stahlmann-Brown, P., </w:t>
      </w:r>
      <w:proofErr w:type="spellStart"/>
      <w:r w:rsidRPr="00FB3278">
        <w:rPr>
          <w:rFonts w:ascii="Arial" w:hAnsi="Arial" w:cs="Arial"/>
          <w:sz w:val="20"/>
          <w:szCs w:val="20"/>
          <w:highlight w:val="yellow"/>
        </w:rPr>
        <w:t>Milfont</w:t>
      </w:r>
      <w:proofErr w:type="spellEnd"/>
      <w:r w:rsidRPr="00FB3278">
        <w:rPr>
          <w:rFonts w:ascii="Arial" w:hAnsi="Arial" w:cs="Arial"/>
          <w:sz w:val="20"/>
          <w:szCs w:val="20"/>
          <w:highlight w:val="yellow"/>
        </w:rPr>
        <w:t xml:space="preserve">, T. L., &amp; Hine, D. W. (2024). Environmental stewardship: A systematic scoping review. </w:t>
      </w:r>
      <w:proofErr w:type="spellStart"/>
      <w:r w:rsidRPr="00FB3278">
        <w:rPr>
          <w:rFonts w:ascii="Arial" w:hAnsi="Arial" w:cs="Arial"/>
          <w:sz w:val="20"/>
          <w:szCs w:val="20"/>
          <w:highlight w:val="yellow"/>
        </w:rPr>
        <w:t>PLoS</w:t>
      </w:r>
      <w:proofErr w:type="spellEnd"/>
      <w:r w:rsidRPr="00FB3278">
        <w:rPr>
          <w:rFonts w:ascii="Arial" w:hAnsi="Arial" w:cs="Arial"/>
          <w:sz w:val="20"/>
          <w:szCs w:val="20"/>
          <w:highlight w:val="yellow"/>
        </w:rPr>
        <w:t xml:space="preserve"> One, 19(5), e0284255.    </w:t>
      </w:r>
    </w:p>
    <w:p w14:paraId="1BBFB888"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Mehmood, M. A., Iqbal, M. M., Ashfaq, M., Raza, N., Wang, J., Hafeez, A., ... &amp; Ali, Q. (2025). Impact of Antibacterial Agents in Horticulture: Risks to Non-Target Organisms and Sustainable Alternatives. </w:t>
      </w:r>
      <w:r w:rsidRPr="00FB3278">
        <w:rPr>
          <w:rFonts w:ascii="Arial" w:hAnsi="Arial" w:cs="Arial"/>
          <w:i/>
          <w:iCs/>
          <w:color w:val="222222"/>
          <w:sz w:val="20"/>
          <w:szCs w:val="20"/>
          <w:highlight w:val="yellow"/>
          <w:shd w:val="clear" w:color="auto" w:fill="FFFFFF"/>
        </w:rPr>
        <w:t>Horticulturae</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11</w:t>
      </w:r>
      <w:r w:rsidRPr="00FB3278">
        <w:rPr>
          <w:rFonts w:ascii="Arial" w:hAnsi="Arial" w:cs="Arial"/>
          <w:color w:val="222222"/>
          <w:sz w:val="20"/>
          <w:szCs w:val="20"/>
          <w:highlight w:val="yellow"/>
          <w:shd w:val="clear" w:color="auto" w:fill="FFFFFF"/>
        </w:rPr>
        <w:t>(7), 753.</w:t>
      </w:r>
    </w:p>
    <w:p w14:paraId="2516F50D" w14:textId="77777777" w:rsidR="00FB3278" w:rsidRPr="00FB3278" w:rsidRDefault="00FB3278" w:rsidP="00FB3278">
      <w:pPr>
        <w:spacing w:line="240" w:lineRule="auto"/>
        <w:ind w:left="709" w:hanging="709"/>
        <w:rPr>
          <w:rFonts w:ascii="Arial" w:hAnsi="Arial" w:cs="Arial"/>
          <w:sz w:val="20"/>
          <w:szCs w:val="20"/>
          <w:highlight w:val="yellow"/>
        </w:rPr>
      </w:pPr>
      <w:r w:rsidRPr="00FB3278">
        <w:rPr>
          <w:rFonts w:ascii="Arial" w:hAnsi="Arial" w:cs="Arial"/>
          <w:sz w:val="20"/>
          <w:szCs w:val="20"/>
          <w:highlight w:val="yellow"/>
        </w:rPr>
        <w:t xml:space="preserve">Mohamed, A., Hamza, A., &amp; </w:t>
      </w:r>
      <w:proofErr w:type="spellStart"/>
      <w:r w:rsidRPr="00FB3278">
        <w:rPr>
          <w:rFonts w:ascii="Arial" w:hAnsi="Arial" w:cs="Arial"/>
          <w:sz w:val="20"/>
          <w:szCs w:val="20"/>
          <w:highlight w:val="yellow"/>
        </w:rPr>
        <w:t>Derbalah</w:t>
      </w:r>
      <w:proofErr w:type="spellEnd"/>
      <w:r w:rsidRPr="00FB3278">
        <w:rPr>
          <w:rFonts w:ascii="Arial" w:hAnsi="Arial" w:cs="Arial"/>
          <w:sz w:val="20"/>
          <w:szCs w:val="20"/>
          <w:highlight w:val="yellow"/>
        </w:rPr>
        <w:t xml:space="preserve">, A. (2016). Recent approaches for controlling downy mildew of cucumber under greenhouse conditions. </w:t>
      </w:r>
      <w:r w:rsidRPr="00FB3278">
        <w:rPr>
          <w:rFonts w:ascii="Arial" w:hAnsi="Arial" w:cs="Arial"/>
          <w:i/>
          <w:iCs/>
          <w:sz w:val="20"/>
          <w:szCs w:val="20"/>
          <w:highlight w:val="yellow"/>
        </w:rPr>
        <w:t>Plant Protection Science</w:t>
      </w:r>
      <w:r w:rsidRPr="00FB3278">
        <w:rPr>
          <w:rFonts w:ascii="Arial" w:hAnsi="Arial" w:cs="Arial"/>
          <w:sz w:val="20"/>
          <w:szCs w:val="20"/>
          <w:highlight w:val="yellow"/>
        </w:rPr>
        <w:t xml:space="preserve">, </w:t>
      </w:r>
      <w:r w:rsidRPr="00FB3278">
        <w:rPr>
          <w:rFonts w:ascii="Arial" w:hAnsi="Arial" w:cs="Arial"/>
          <w:i/>
          <w:iCs/>
          <w:sz w:val="20"/>
          <w:szCs w:val="20"/>
          <w:highlight w:val="yellow"/>
        </w:rPr>
        <w:t>52</w:t>
      </w:r>
      <w:r w:rsidRPr="00FB3278">
        <w:rPr>
          <w:rFonts w:ascii="Arial" w:hAnsi="Arial" w:cs="Arial"/>
          <w:sz w:val="20"/>
          <w:szCs w:val="20"/>
          <w:highlight w:val="yellow"/>
        </w:rPr>
        <w:t>(1), 1.</w:t>
      </w:r>
    </w:p>
    <w:p w14:paraId="7CC3BDAC"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lastRenderedPageBreak/>
        <w:t>Mueller, D. S., Wise, K. A., Sisson, A. J., Allen, T. W., Bergstrom, G. C., Bissonnette, K. M., ... &amp; Wiebold, W. J. (2020). Corn yield loss estimates due to diseases in the United States and Ontario, Canada, from 2016 to 2019. </w:t>
      </w:r>
      <w:r w:rsidRPr="00FB3278">
        <w:rPr>
          <w:rFonts w:ascii="Arial" w:hAnsi="Arial" w:cs="Arial"/>
          <w:i/>
          <w:iCs/>
          <w:color w:val="222222"/>
          <w:sz w:val="20"/>
          <w:szCs w:val="20"/>
          <w:highlight w:val="yellow"/>
          <w:shd w:val="clear" w:color="auto" w:fill="FFFFFF"/>
        </w:rPr>
        <w:t>Plant Health Progress</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21</w:t>
      </w:r>
      <w:r w:rsidRPr="00FB3278">
        <w:rPr>
          <w:rFonts w:ascii="Arial" w:hAnsi="Arial" w:cs="Arial"/>
          <w:color w:val="222222"/>
          <w:sz w:val="20"/>
          <w:szCs w:val="20"/>
          <w:highlight w:val="yellow"/>
          <w:shd w:val="clear" w:color="auto" w:fill="FFFFFF"/>
        </w:rPr>
        <w:t>(4), 238-247.</w:t>
      </w:r>
    </w:p>
    <w:p w14:paraId="7C507A66" w14:textId="77777777" w:rsidR="00FB3278" w:rsidRPr="00FB3278" w:rsidRDefault="00FB3278" w:rsidP="00FB3278">
      <w:pPr>
        <w:pStyle w:val="NoSpacing"/>
        <w:ind w:left="709" w:hanging="709"/>
        <w:rPr>
          <w:rFonts w:ascii="Arial" w:hAnsi="Arial" w:cs="Arial"/>
          <w:sz w:val="20"/>
          <w:szCs w:val="20"/>
          <w:highlight w:val="yellow"/>
          <w:lang w:val="en-US"/>
        </w:rPr>
      </w:pPr>
      <w:r w:rsidRPr="00FB3278">
        <w:rPr>
          <w:rFonts w:ascii="Arial" w:hAnsi="Arial" w:cs="Arial"/>
          <w:sz w:val="20"/>
          <w:szCs w:val="20"/>
          <w:highlight w:val="yellow"/>
          <w:lang w:val="en-US"/>
        </w:rPr>
        <w:t xml:space="preserve">Nath, S. (2024). A vision of precision agriculture: Balance between agricultural sustainability and environmental stewardship. Agronomy Journal, 116(3), 1126-1143.  </w:t>
      </w:r>
    </w:p>
    <w:p w14:paraId="36749244"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 xml:space="preserve">Nguyen, L. T. T., Park, A. R., </w:t>
      </w:r>
      <w:proofErr w:type="spellStart"/>
      <w:r w:rsidRPr="00FB3278">
        <w:rPr>
          <w:rFonts w:ascii="Arial" w:hAnsi="Arial" w:cs="Arial"/>
          <w:color w:val="222222"/>
          <w:sz w:val="20"/>
          <w:szCs w:val="20"/>
          <w:highlight w:val="yellow"/>
          <w:shd w:val="clear" w:color="auto" w:fill="FFFFFF"/>
        </w:rPr>
        <w:t>Im</w:t>
      </w:r>
      <w:proofErr w:type="spellEnd"/>
      <w:r w:rsidRPr="00FB3278">
        <w:rPr>
          <w:rFonts w:ascii="Arial" w:hAnsi="Arial" w:cs="Arial"/>
          <w:color w:val="222222"/>
          <w:sz w:val="20"/>
          <w:szCs w:val="20"/>
          <w:highlight w:val="yellow"/>
          <w:shd w:val="clear" w:color="auto" w:fill="FFFFFF"/>
        </w:rPr>
        <w:t xml:space="preserve">, H. W., Le, V. V., Nguyen, H. T., Le Dang, Q., ... &amp; Kim, J. C. (2025). Biological control of tomato bacterial wilt and apple fire blight through the induced resistance of </w:t>
      </w:r>
      <w:proofErr w:type="spellStart"/>
      <w:r w:rsidRPr="00FB3278">
        <w:rPr>
          <w:rFonts w:ascii="Arial" w:hAnsi="Arial" w:cs="Arial"/>
          <w:color w:val="222222"/>
          <w:sz w:val="20"/>
          <w:szCs w:val="20"/>
          <w:highlight w:val="yellow"/>
          <w:shd w:val="clear" w:color="auto" w:fill="FFFFFF"/>
        </w:rPr>
        <w:t>azomycin</w:t>
      </w:r>
      <w:proofErr w:type="spellEnd"/>
      <w:r w:rsidRPr="00FB3278">
        <w:rPr>
          <w:rFonts w:ascii="Arial" w:hAnsi="Arial" w:cs="Arial"/>
          <w:color w:val="222222"/>
          <w:sz w:val="20"/>
          <w:szCs w:val="20"/>
          <w:highlight w:val="yellow"/>
          <w:shd w:val="clear" w:color="auto" w:fill="FFFFFF"/>
        </w:rPr>
        <w:t xml:space="preserve"> derived from Streptomyces sp. JCK. </w:t>
      </w:r>
      <w:r w:rsidRPr="00FB3278">
        <w:rPr>
          <w:rFonts w:ascii="Arial" w:hAnsi="Arial" w:cs="Arial"/>
          <w:i/>
          <w:iCs/>
          <w:color w:val="222222"/>
          <w:sz w:val="20"/>
          <w:szCs w:val="20"/>
          <w:highlight w:val="yellow"/>
          <w:shd w:val="clear" w:color="auto" w:fill="FFFFFF"/>
        </w:rPr>
        <w:t>Frontiers in Plant Science</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16</w:t>
      </w:r>
      <w:r w:rsidRPr="00FB3278">
        <w:rPr>
          <w:rFonts w:ascii="Arial" w:hAnsi="Arial" w:cs="Arial"/>
          <w:color w:val="222222"/>
          <w:sz w:val="20"/>
          <w:szCs w:val="20"/>
          <w:highlight w:val="yellow"/>
          <w:shd w:val="clear" w:color="auto" w:fill="FFFFFF"/>
        </w:rPr>
        <w:t>, 1654826.</w:t>
      </w:r>
    </w:p>
    <w:p w14:paraId="311C143E" w14:textId="77777777" w:rsidR="00FB3278" w:rsidRPr="00FB3278" w:rsidRDefault="00FB3278" w:rsidP="00FB3278">
      <w:pPr>
        <w:spacing w:line="240" w:lineRule="auto"/>
        <w:ind w:left="709" w:hanging="709"/>
        <w:rPr>
          <w:rFonts w:ascii="Arial" w:hAnsi="Arial" w:cs="Arial"/>
          <w:sz w:val="20"/>
          <w:szCs w:val="20"/>
          <w:highlight w:val="yellow"/>
        </w:rPr>
      </w:pPr>
      <w:r w:rsidRPr="00FB3278">
        <w:rPr>
          <w:rFonts w:ascii="Arial" w:hAnsi="Arial" w:cs="Arial"/>
          <w:sz w:val="20"/>
          <w:szCs w:val="20"/>
          <w:highlight w:val="yellow"/>
        </w:rPr>
        <w:t xml:space="preserve">Parihar, N. S., &amp; Sharma, B. N. (2011). Persistence of propineb (polymeric zinc 1, 2-propylene </w:t>
      </w:r>
      <w:proofErr w:type="spellStart"/>
      <w:r w:rsidRPr="00FB3278">
        <w:rPr>
          <w:rFonts w:ascii="Arial" w:hAnsi="Arial" w:cs="Arial"/>
          <w:sz w:val="20"/>
          <w:szCs w:val="20"/>
          <w:highlight w:val="yellow"/>
        </w:rPr>
        <w:t>bisdithiocarbamate</w:t>
      </w:r>
      <w:proofErr w:type="spellEnd"/>
      <w:r w:rsidRPr="00FB3278">
        <w:rPr>
          <w:rFonts w:ascii="Arial" w:hAnsi="Arial" w:cs="Arial"/>
          <w:sz w:val="20"/>
          <w:szCs w:val="20"/>
          <w:highlight w:val="yellow"/>
        </w:rPr>
        <w:t xml:space="preserve">) fungicide in onion and cropped soil. </w:t>
      </w:r>
      <w:r w:rsidRPr="00FB3278">
        <w:rPr>
          <w:rFonts w:ascii="Arial" w:hAnsi="Arial" w:cs="Arial"/>
          <w:i/>
          <w:iCs/>
          <w:sz w:val="20"/>
          <w:szCs w:val="20"/>
          <w:highlight w:val="yellow"/>
        </w:rPr>
        <w:t>Bulletin of environmental contamination and toxicology</w:t>
      </w:r>
      <w:r w:rsidRPr="00FB3278">
        <w:rPr>
          <w:rFonts w:ascii="Arial" w:hAnsi="Arial" w:cs="Arial"/>
          <w:sz w:val="20"/>
          <w:szCs w:val="20"/>
          <w:highlight w:val="yellow"/>
        </w:rPr>
        <w:t xml:space="preserve">, </w:t>
      </w:r>
      <w:r w:rsidRPr="00FB3278">
        <w:rPr>
          <w:rFonts w:ascii="Arial" w:hAnsi="Arial" w:cs="Arial"/>
          <w:i/>
          <w:iCs/>
          <w:sz w:val="20"/>
          <w:szCs w:val="20"/>
          <w:highlight w:val="yellow"/>
        </w:rPr>
        <w:t>86</w:t>
      </w:r>
      <w:r w:rsidRPr="00FB3278">
        <w:rPr>
          <w:rFonts w:ascii="Arial" w:hAnsi="Arial" w:cs="Arial"/>
          <w:sz w:val="20"/>
          <w:szCs w:val="20"/>
          <w:highlight w:val="yellow"/>
        </w:rPr>
        <w:t>(5), 545-547.</w:t>
      </w:r>
    </w:p>
    <w:p w14:paraId="1D416AB0"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Pathak, V. M., Verma, V. K., Rawat, B. S., Kaur, B., Babu, N., Sharma, A., ... &amp; Cunill, J. M. (2022). Current status of pesticide effects on environment, human health and it’s eco-friendly management as bioremediation: A comprehensive review. </w:t>
      </w:r>
      <w:r w:rsidRPr="00FB3278">
        <w:rPr>
          <w:rFonts w:ascii="Arial" w:hAnsi="Arial" w:cs="Arial"/>
          <w:i/>
          <w:iCs/>
          <w:color w:val="222222"/>
          <w:sz w:val="20"/>
          <w:szCs w:val="20"/>
          <w:highlight w:val="yellow"/>
          <w:shd w:val="clear" w:color="auto" w:fill="FFFFFF"/>
        </w:rPr>
        <w:t>Frontiers in microbiology</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13</w:t>
      </w:r>
      <w:r w:rsidRPr="00FB3278">
        <w:rPr>
          <w:rFonts w:ascii="Arial" w:hAnsi="Arial" w:cs="Arial"/>
          <w:color w:val="222222"/>
          <w:sz w:val="20"/>
          <w:szCs w:val="20"/>
          <w:highlight w:val="yellow"/>
          <w:shd w:val="clear" w:color="auto" w:fill="FFFFFF"/>
        </w:rPr>
        <w:t>, 962619.</w:t>
      </w:r>
    </w:p>
    <w:p w14:paraId="71A6A572" w14:textId="77777777" w:rsidR="00FB3278" w:rsidRPr="00FB3278" w:rsidRDefault="00FB3278" w:rsidP="00FB3278">
      <w:pPr>
        <w:spacing w:line="240" w:lineRule="auto"/>
        <w:ind w:left="709" w:hanging="709"/>
        <w:rPr>
          <w:rFonts w:ascii="Arial" w:hAnsi="Arial" w:cs="Arial"/>
          <w:sz w:val="20"/>
          <w:szCs w:val="20"/>
          <w:highlight w:val="yellow"/>
        </w:rPr>
      </w:pPr>
      <w:proofErr w:type="spellStart"/>
      <w:r w:rsidRPr="00FB3278">
        <w:rPr>
          <w:rFonts w:ascii="Arial" w:hAnsi="Arial" w:cs="Arial"/>
          <w:sz w:val="20"/>
          <w:szCs w:val="20"/>
          <w:highlight w:val="yellow"/>
        </w:rPr>
        <w:t>Pethybridge</w:t>
      </w:r>
      <w:proofErr w:type="spellEnd"/>
      <w:r w:rsidRPr="00FB3278">
        <w:rPr>
          <w:rFonts w:ascii="Arial" w:hAnsi="Arial" w:cs="Arial"/>
          <w:sz w:val="20"/>
          <w:szCs w:val="20"/>
          <w:highlight w:val="yellow"/>
        </w:rPr>
        <w:t xml:space="preserve">, S. J., Sharma, S., Hansen, Z., </w:t>
      </w:r>
      <w:proofErr w:type="spellStart"/>
      <w:r w:rsidRPr="00FB3278">
        <w:rPr>
          <w:rFonts w:ascii="Arial" w:hAnsi="Arial" w:cs="Arial"/>
          <w:sz w:val="20"/>
          <w:szCs w:val="20"/>
          <w:highlight w:val="yellow"/>
        </w:rPr>
        <w:t>Kikkert</w:t>
      </w:r>
      <w:proofErr w:type="spellEnd"/>
      <w:r w:rsidRPr="00FB3278">
        <w:rPr>
          <w:rFonts w:ascii="Arial" w:hAnsi="Arial" w:cs="Arial"/>
          <w:sz w:val="20"/>
          <w:szCs w:val="20"/>
          <w:highlight w:val="yellow"/>
        </w:rPr>
        <w:t xml:space="preserve">, J. R., Olmstead, D. L., &amp; Hanson, L. E. (2020). Optimizing </w:t>
      </w:r>
      <w:proofErr w:type="spellStart"/>
      <w:r w:rsidRPr="00FB3278">
        <w:rPr>
          <w:rFonts w:ascii="Arial" w:hAnsi="Arial" w:cs="Arial"/>
          <w:sz w:val="20"/>
          <w:szCs w:val="20"/>
          <w:highlight w:val="yellow"/>
        </w:rPr>
        <w:t>Cercospora</w:t>
      </w:r>
      <w:proofErr w:type="spellEnd"/>
      <w:r w:rsidRPr="00FB3278">
        <w:rPr>
          <w:rFonts w:ascii="Arial" w:hAnsi="Arial" w:cs="Arial"/>
          <w:sz w:val="20"/>
          <w:szCs w:val="20"/>
          <w:highlight w:val="yellow"/>
        </w:rPr>
        <w:t xml:space="preserve"> leaf spot control in table beet using action thresholds and disease forecasting. </w:t>
      </w:r>
      <w:r w:rsidRPr="00FB3278">
        <w:rPr>
          <w:rFonts w:ascii="Arial" w:hAnsi="Arial" w:cs="Arial"/>
          <w:i/>
          <w:iCs/>
          <w:sz w:val="20"/>
          <w:szCs w:val="20"/>
          <w:highlight w:val="yellow"/>
        </w:rPr>
        <w:t>Plant Disease</w:t>
      </w:r>
      <w:r w:rsidRPr="00FB3278">
        <w:rPr>
          <w:rFonts w:ascii="Arial" w:hAnsi="Arial" w:cs="Arial"/>
          <w:sz w:val="20"/>
          <w:szCs w:val="20"/>
          <w:highlight w:val="yellow"/>
        </w:rPr>
        <w:t xml:space="preserve">, </w:t>
      </w:r>
      <w:r w:rsidRPr="00FB3278">
        <w:rPr>
          <w:rFonts w:ascii="Arial" w:hAnsi="Arial" w:cs="Arial"/>
          <w:i/>
          <w:iCs/>
          <w:sz w:val="20"/>
          <w:szCs w:val="20"/>
          <w:highlight w:val="yellow"/>
        </w:rPr>
        <w:t>104</w:t>
      </w:r>
      <w:r w:rsidRPr="00FB3278">
        <w:rPr>
          <w:rFonts w:ascii="Arial" w:hAnsi="Arial" w:cs="Arial"/>
          <w:sz w:val="20"/>
          <w:szCs w:val="20"/>
          <w:highlight w:val="yellow"/>
        </w:rPr>
        <w:t>(6), 1831-1840.a</w:t>
      </w:r>
    </w:p>
    <w:p w14:paraId="2125F982" w14:textId="77777777" w:rsidR="00FB3278" w:rsidRPr="00FB3278" w:rsidRDefault="00FB3278" w:rsidP="00FB3278">
      <w:pPr>
        <w:pStyle w:val="NoSpacing"/>
        <w:ind w:left="709" w:hanging="709"/>
        <w:rPr>
          <w:rFonts w:ascii="Arial" w:hAnsi="Arial" w:cs="Arial"/>
          <w:sz w:val="20"/>
          <w:szCs w:val="20"/>
          <w:highlight w:val="yellow"/>
          <w:lang w:val="en-US"/>
        </w:rPr>
      </w:pPr>
      <w:r w:rsidRPr="00FB3278">
        <w:rPr>
          <w:rFonts w:ascii="Arial" w:hAnsi="Arial" w:cs="Arial"/>
          <w:sz w:val="20"/>
          <w:szCs w:val="20"/>
          <w:highlight w:val="yellow"/>
          <w:lang w:val="en-US"/>
        </w:rPr>
        <w:t xml:space="preserve">Rizzo, D. M., </w:t>
      </w:r>
      <w:proofErr w:type="spellStart"/>
      <w:r w:rsidRPr="00FB3278">
        <w:rPr>
          <w:rFonts w:ascii="Arial" w:hAnsi="Arial" w:cs="Arial"/>
          <w:sz w:val="20"/>
          <w:szCs w:val="20"/>
          <w:highlight w:val="yellow"/>
          <w:lang w:val="en-US"/>
        </w:rPr>
        <w:t>Lichtveld</w:t>
      </w:r>
      <w:proofErr w:type="spellEnd"/>
      <w:r w:rsidRPr="00FB3278">
        <w:rPr>
          <w:rFonts w:ascii="Arial" w:hAnsi="Arial" w:cs="Arial"/>
          <w:sz w:val="20"/>
          <w:szCs w:val="20"/>
          <w:highlight w:val="yellow"/>
          <w:lang w:val="en-US"/>
        </w:rPr>
        <w:t xml:space="preserve">, M., Mazet, J. A., Togami, E., &amp; Miller, S. A. (2021). Plant health and its effects on food safety and security in a One Health framework: four case studies. One health outlook, 3(1), 6.  </w:t>
      </w:r>
    </w:p>
    <w:p w14:paraId="48E1A3B4" w14:textId="77777777" w:rsidR="00FB3278" w:rsidRPr="00FB3278" w:rsidRDefault="00FB3278" w:rsidP="00FB3278">
      <w:pPr>
        <w:spacing w:line="240" w:lineRule="auto"/>
        <w:ind w:left="709" w:hanging="709"/>
        <w:rPr>
          <w:rFonts w:ascii="Arial" w:hAnsi="Arial" w:cs="Arial"/>
          <w:sz w:val="20"/>
          <w:szCs w:val="20"/>
          <w:highlight w:val="yellow"/>
        </w:rPr>
      </w:pPr>
      <w:r w:rsidRPr="00FB3278">
        <w:rPr>
          <w:rFonts w:ascii="Arial" w:hAnsi="Arial" w:cs="Arial"/>
          <w:sz w:val="20"/>
          <w:szCs w:val="20"/>
          <w:highlight w:val="yellow"/>
        </w:rPr>
        <w:t xml:space="preserve">Roberts, J. W. (1936). Recent developments in fungicides: Spray materials. </w:t>
      </w:r>
      <w:r w:rsidRPr="00FB3278">
        <w:rPr>
          <w:rFonts w:ascii="Arial" w:hAnsi="Arial" w:cs="Arial"/>
          <w:i/>
          <w:iCs/>
          <w:sz w:val="20"/>
          <w:szCs w:val="20"/>
          <w:highlight w:val="yellow"/>
        </w:rPr>
        <w:t>The Botanical Review</w:t>
      </w:r>
      <w:r w:rsidRPr="00FB3278">
        <w:rPr>
          <w:rFonts w:ascii="Arial" w:hAnsi="Arial" w:cs="Arial"/>
          <w:sz w:val="20"/>
          <w:szCs w:val="20"/>
          <w:highlight w:val="yellow"/>
        </w:rPr>
        <w:t xml:space="preserve">, </w:t>
      </w:r>
      <w:r w:rsidRPr="00FB3278">
        <w:rPr>
          <w:rFonts w:ascii="Arial" w:hAnsi="Arial" w:cs="Arial"/>
          <w:i/>
          <w:iCs/>
          <w:sz w:val="20"/>
          <w:szCs w:val="20"/>
          <w:highlight w:val="yellow"/>
        </w:rPr>
        <w:t>2</w:t>
      </w:r>
      <w:r w:rsidRPr="00FB3278">
        <w:rPr>
          <w:rFonts w:ascii="Arial" w:hAnsi="Arial" w:cs="Arial"/>
          <w:sz w:val="20"/>
          <w:szCs w:val="20"/>
          <w:highlight w:val="yellow"/>
        </w:rPr>
        <w:t>(12), 586-600.</w:t>
      </w:r>
    </w:p>
    <w:p w14:paraId="13520211"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proofErr w:type="spellStart"/>
      <w:r w:rsidRPr="00FB3278">
        <w:rPr>
          <w:rFonts w:ascii="Arial" w:hAnsi="Arial" w:cs="Arial"/>
          <w:color w:val="222222"/>
          <w:sz w:val="20"/>
          <w:szCs w:val="20"/>
          <w:highlight w:val="yellow"/>
          <w:shd w:val="clear" w:color="auto" w:fill="FFFFFF"/>
        </w:rPr>
        <w:t>Salakinkop</w:t>
      </w:r>
      <w:proofErr w:type="spellEnd"/>
      <w:r w:rsidRPr="00FB3278">
        <w:rPr>
          <w:rFonts w:ascii="Arial" w:hAnsi="Arial" w:cs="Arial"/>
          <w:color w:val="222222"/>
          <w:sz w:val="20"/>
          <w:szCs w:val="20"/>
          <w:highlight w:val="yellow"/>
          <w:shd w:val="clear" w:color="auto" w:fill="FFFFFF"/>
        </w:rPr>
        <w:t xml:space="preserve">, S. R., </w:t>
      </w:r>
      <w:proofErr w:type="spellStart"/>
      <w:r w:rsidRPr="00FB3278">
        <w:rPr>
          <w:rFonts w:ascii="Arial" w:hAnsi="Arial" w:cs="Arial"/>
          <w:color w:val="222222"/>
          <w:sz w:val="20"/>
          <w:szCs w:val="20"/>
          <w:highlight w:val="yellow"/>
          <w:shd w:val="clear" w:color="auto" w:fill="FFFFFF"/>
        </w:rPr>
        <w:t>Talekar</w:t>
      </w:r>
      <w:proofErr w:type="spellEnd"/>
      <w:r w:rsidRPr="00FB3278">
        <w:rPr>
          <w:rFonts w:ascii="Arial" w:hAnsi="Arial" w:cs="Arial"/>
          <w:color w:val="222222"/>
          <w:sz w:val="20"/>
          <w:szCs w:val="20"/>
          <w:highlight w:val="yellow"/>
          <w:shd w:val="clear" w:color="auto" w:fill="FFFFFF"/>
        </w:rPr>
        <w:t xml:space="preserve">, S. C., Patil, C. R., Patil, S. B., Jat, S. L., </w:t>
      </w:r>
      <w:proofErr w:type="spellStart"/>
      <w:r w:rsidRPr="00FB3278">
        <w:rPr>
          <w:rFonts w:ascii="Arial" w:hAnsi="Arial" w:cs="Arial"/>
          <w:color w:val="222222"/>
          <w:sz w:val="20"/>
          <w:szCs w:val="20"/>
          <w:highlight w:val="yellow"/>
          <w:shd w:val="clear" w:color="auto" w:fill="FFFFFF"/>
        </w:rPr>
        <w:t>Iliger</w:t>
      </w:r>
      <w:proofErr w:type="spellEnd"/>
      <w:r w:rsidRPr="00FB3278">
        <w:rPr>
          <w:rFonts w:ascii="Arial" w:hAnsi="Arial" w:cs="Arial"/>
          <w:color w:val="222222"/>
          <w:sz w:val="20"/>
          <w:szCs w:val="20"/>
          <w:highlight w:val="yellow"/>
          <w:shd w:val="clear" w:color="auto" w:fill="FFFFFF"/>
        </w:rPr>
        <w:t xml:space="preserve">, K. S., ... &amp; </w:t>
      </w:r>
      <w:proofErr w:type="spellStart"/>
      <w:r w:rsidRPr="00FB3278">
        <w:rPr>
          <w:rFonts w:ascii="Arial" w:hAnsi="Arial" w:cs="Arial"/>
          <w:color w:val="222222"/>
          <w:sz w:val="20"/>
          <w:szCs w:val="20"/>
          <w:highlight w:val="yellow"/>
          <w:shd w:val="clear" w:color="auto" w:fill="FFFFFF"/>
        </w:rPr>
        <w:t>Kachapur</w:t>
      </w:r>
      <w:proofErr w:type="spellEnd"/>
      <w:r w:rsidRPr="00FB3278">
        <w:rPr>
          <w:rFonts w:ascii="Arial" w:hAnsi="Arial" w:cs="Arial"/>
          <w:color w:val="222222"/>
          <w:sz w:val="20"/>
          <w:szCs w:val="20"/>
          <w:highlight w:val="yellow"/>
          <w:shd w:val="clear" w:color="auto" w:fill="FFFFFF"/>
        </w:rPr>
        <w:t>, R. M. (2024). Sustainable intensification of climate-resilient maize–chickpea system in semi-arid tropics through assessing factor productivity. </w:t>
      </w:r>
      <w:r w:rsidRPr="00FB3278">
        <w:rPr>
          <w:rFonts w:ascii="Arial" w:hAnsi="Arial" w:cs="Arial"/>
          <w:i/>
          <w:iCs/>
          <w:color w:val="222222"/>
          <w:sz w:val="20"/>
          <w:szCs w:val="20"/>
          <w:highlight w:val="yellow"/>
          <w:shd w:val="clear" w:color="auto" w:fill="FFFFFF"/>
        </w:rPr>
        <w:t>Scientific Reports</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14</w:t>
      </w:r>
      <w:r w:rsidRPr="00FB3278">
        <w:rPr>
          <w:rFonts w:ascii="Arial" w:hAnsi="Arial" w:cs="Arial"/>
          <w:color w:val="222222"/>
          <w:sz w:val="20"/>
          <w:szCs w:val="20"/>
          <w:highlight w:val="yellow"/>
          <w:shd w:val="clear" w:color="auto" w:fill="FFFFFF"/>
        </w:rPr>
        <w:t>(1), 3958.</w:t>
      </w:r>
    </w:p>
    <w:p w14:paraId="4C25F934"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Singh, B. K., Delgado-Baquerizo, M., Egidi, E., Guirado, E., Leach, J. E., Liu, H., &amp; Trivedi, P. (2023). Climate change impacts on plant pathogens, food security and paths forward. </w:t>
      </w:r>
      <w:r w:rsidRPr="00FB3278">
        <w:rPr>
          <w:rFonts w:ascii="Arial" w:hAnsi="Arial" w:cs="Arial"/>
          <w:i/>
          <w:iCs/>
          <w:color w:val="222222"/>
          <w:sz w:val="20"/>
          <w:szCs w:val="20"/>
          <w:highlight w:val="yellow"/>
          <w:shd w:val="clear" w:color="auto" w:fill="FFFFFF"/>
        </w:rPr>
        <w:t>Nature Reviews Microbiology</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21</w:t>
      </w:r>
      <w:r w:rsidRPr="00FB3278">
        <w:rPr>
          <w:rFonts w:ascii="Arial" w:hAnsi="Arial" w:cs="Arial"/>
          <w:color w:val="222222"/>
          <w:sz w:val="20"/>
          <w:szCs w:val="20"/>
          <w:highlight w:val="yellow"/>
          <w:shd w:val="clear" w:color="auto" w:fill="FFFFFF"/>
        </w:rPr>
        <w:t>(10), 640-656.</w:t>
      </w:r>
    </w:p>
    <w:p w14:paraId="67D60E1D"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Singh, R. P., Singh, P. K., Rutkoski, J., Hodson, D. P., He, X., Jørgensen, L. N., ... &amp; Huerta-Espino, J. (2016). Disease impact on wheat yield potential and prospects of genetic control. </w:t>
      </w:r>
      <w:r w:rsidRPr="00FB3278">
        <w:rPr>
          <w:rFonts w:ascii="Arial" w:hAnsi="Arial" w:cs="Arial"/>
          <w:i/>
          <w:iCs/>
          <w:color w:val="222222"/>
          <w:sz w:val="20"/>
          <w:szCs w:val="20"/>
          <w:highlight w:val="yellow"/>
          <w:shd w:val="clear" w:color="auto" w:fill="FFFFFF"/>
        </w:rPr>
        <w:t>Annual review of phytopathology</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54</w:t>
      </w:r>
      <w:r w:rsidRPr="00FB3278">
        <w:rPr>
          <w:rFonts w:ascii="Arial" w:hAnsi="Arial" w:cs="Arial"/>
          <w:color w:val="222222"/>
          <w:sz w:val="20"/>
          <w:szCs w:val="20"/>
          <w:highlight w:val="yellow"/>
          <w:shd w:val="clear" w:color="auto" w:fill="FFFFFF"/>
        </w:rPr>
        <w:t>(1), 303-322.</w:t>
      </w:r>
    </w:p>
    <w:p w14:paraId="19E860A7"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proofErr w:type="spellStart"/>
      <w:r w:rsidRPr="00FB3278">
        <w:rPr>
          <w:rFonts w:ascii="Arial" w:hAnsi="Arial" w:cs="Arial"/>
          <w:color w:val="222222"/>
          <w:sz w:val="20"/>
          <w:szCs w:val="20"/>
          <w:highlight w:val="yellow"/>
          <w:shd w:val="clear" w:color="auto" w:fill="FFFFFF"/>
        </w:rPr>
        <w:t>Souto</w:t>
      </w:r>
      <w:proofErr w:type="spellEnd"/>
      <w:r w:rsidRPr="00FB3278">
        <w:rPr>
          <w:rFonts w:ascii="Arial" w:hAnsi="Arial" w:cs="Arial"/>
          <w:color w:val="222222"/>
          <w:sz w:val="20"/>
          <w:szCs w:val="20"/>
          <w:highlight w:val="yellow"/>
          <w:shd w:val="clear" w:color="auto" w:fill="FFFFFF"/>
        </w:rPr>
        <w:t xml:space="preserve">, A. L., Sylvestre, M., </w:t>
      </w:r>
      <w:proofErr w:type="spellStart"/>
      <w:r w:rsidRPr="00FB3278">
        <w:rPr>
          <w:rFonts w:ascii="Arial" w:hAnsi="Arial" w:cs="Arial"/>
          <w:color w:val="222222"/>
          <w:sz w:val="20"/>
          <w:szCs w:val="20"/>
          <w:highlight w:val="yellow"/>
          <w:shd w:val="clear" w:color="auto" w:fill="FFFFFF"/>
        </w:rPr>
        <w:t>Tölke</w:t>
      </w:r>
      <w:proofErr w:type="spellEnd"/>
      <w:r w:rsidRPr="00FB3278">
        <w:rPr>
          <w:rFonts w:ascii="Arial" w:hAnsi="Arial" w:cs="Arial"/>
          <w:color w:val="222222"/>
          <w:sz w:val="20"/>
          <w:szCs w:val="20"/>
          <w:highlight w:val="yellow"/>
          <w:shd w:val="clear" w:color="auto" w:fill="FFFFFF"/>
        </w:rPr>
        <w:t>, E. D., Tavares, J. F., Barbosa-Filho, J. M., &amp; Cebrián-Torrejón, G. (2021). Plant-derived pesticides as an alternative to pest management and sustainable agricultural production: Prospects, applications and challenges. </w:t>
      </w:r>
      <w:r w:rsidRPr="00FB3278">
        <w:rPr>
          <w:rFonts w:ascii="Arial" w:hAnsi="Arial" w:cs="Arial"/>
          <w:i/>
          <w:iCs/>
          <w:color w:val="222222"/>
          <w:sz w:val="20"/>
          <w:szCs w:val="20"/>
          <w:highlight w:val="yellow"/>
          <w:shd w:val="clear" w:color="auto" w:fill="FFFFFF"/>
        </w:rPr>
        <w:t>Molecules</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26</w:t>
      </w:r>
      <w:r w:rsidRPr="00FB3278">
        <w:rPr>
          <w:rFonts w:ascii="Arial" w:hAnsi="Arial" w:cs="Arial"/>
          <w:color w:val="222222"/>
          <w:sz w:val="20"/>
          <w:szCs w:val="20"/>
          <w:highlight w:val="yellow"/>
          <w:shd w:val="clear" w:color="auto" w:fill="FFFFFF"/>
        </w:rPr>
        <w:t>(16), 4835.</w:t>
      </w:r>
    </w:p>
    <w:p w14:paraId="02D0B2A6" w14:textId="77777777" w:rsidR="00FB3278" w:rsidRPr="00FB3278" w:rsidRDefault="00FB3278" w:rsidP="00FB3278">
      <w:pPr>
        <w:spacing w:line="240" w:lineRule="auto"/>
        <w:ind w:left="709" w:hanging="709"/>
        <w:rPr>
          <w:rFonts w:ascii="Arial" w:hAnsi="Arial" w:cs="Arial"/>
          <w:color w:val="222222"/>
          <w:sz w:val="20"/>
          <w:szCs w:val="20"/>
          <w:highlight w:val="yellow"/>
          <w:shd w:val="clear" w:color="auto" w:fill="FFFFFF"/>
        </w:rPr>
      </w:pPr>
      <w:r w:rsidRPr="00FB3278">
        <w:rPr>
          <w:rFonts w:ascii="Arial" w:hAnsi="Arial" w:cs="Arial"/>
          <w:color w:val="222222"/>
          <w:sz w:val="20"/>
          <w:szCs w:val="20"/>
          <w:highlight w:val="yellow"/>
          <w:shd w:val="clear" w:color="auto" w:fill="FFFFFF"/>
        </w:rPr>
        <w:t>Stan, D., Enciu, A. M., Mateescu, A. L., Ion, A. C., Brezeanu, A. C., Stan, D., &amp; Tanase, C. (2021). Natural compounds with antimicrobial and antiviral effect and nanocarriers used for their transportation. </w:t>
      </w:r>
      <w:r w:rsidRPr="00FB3278">
        <w:rPr>
          <w:rFonts w:ascii="Arial" w:hAnsi="Arial" w:cs="Arial"/>
          <w:i/>
          <w:iCs/>
          <w:color w:val="222222"/>
          <w:sz w:val="20"/>
          <w:szCs w:val="20"/>
          <w:highlight w:val="yellow"/>
          <w:shd w:val="clear" w:color="auto" w:fill="FFFFFF"/>
        </w:rPr>
        <w:t>Frontiers in pharmacology</w:t>
      </w:r>
      <w:r w:rsidRPr="00FB3278">
        <w:rPr>
          <w:rFonts w:ascii="Arial" w:hAnsi="Arial" w:cs="Arial"/>
          <w:color w:val="222222"/>
          <w:sz w:val="20"/>
          <w:szCs w:val="20"/>
          <w:highlight w:val="yellow"/>
          <w:shd w:val="clear" w:color="auto" w:fill="FFFFFF"/>
        </w:rPr>
        <w:t>, </w:t>
      </w:r>
      <w:r w:rsidRPr="00FB3278">
        <w:rPr>
          <w:rFonts w:ascii="Arial" w:hAnsi="Arial" w:cs="Arial"/>
          <w:i/>
          <w:iCs/>
          <w:color w:val="222222"/>
          <w:sz w:val="20"/>
          <w:szCs w:val="20"/>
          <w:highlight w:val="yellow"/>
          <w:shd w:val="clear" w:color="auto" w:fill="FFFFFF"/>
        </w:rPr>
        <w:t>12</w:t>
      </w:r>
      <w:r w:rsidRPr="00FB3278">
        <w:rPr>
          <w:rFonts w:ascii="Arial" w:hAnsi="Arial" w:cs="Arial"/>
          <w:color w:val="222222"/>
          <w:sz w:val="20"/>
          <w:szCs w:val="20"/>
          <w:highlight w:val="yellow"/>
          <w:shd w:val="clear" w:color="auto" w:fill="FFFFFF"/>
        </w:rPr>
        <w:t>, 723233.</w:t>
      </w:r>
    </w:p>
    <w:p w14:paraId="1B6244D4" w14:textId="77777777" w:rsidR="00FB3278" w:rsidRPr="00FB3278" w:rsidRDefault="00FB3278" w:rsidP="00FB3278">
      <w:pPr>
        <w:spacing w:line="240" w:lineRule="auto"/>
        <w:ind w:left="709" w:hanging="709"/>
        <w:rPr>
          <w:rFonts w:ascii="Arial" w:hAnsi="Arial" w:cs="Arial"/>
          <w:sz w:val="20"/>
          <w:szCs w:val="20"/>
          <w:highlight w:val="yellow"/>
        </w:rPr>
      </w:pPr>
      <w:proofErr w:type="spellStart"/>
      <w:r w:rsidRPr="00FB3278">
        <w:rPr>
          <w:rFonts w:ascii="Arial" w:hAnsi="Arial" w:cs="Arial"/>
          <w:sz w:val="20"/>
          <w:szCs w:val="20"/>
          <w:highlight w:val="yellow"/>
        </w:rPr>
        <w:t>Thind</w:t>
      </w:r>
      <w:proofErr w:type="spellEnd"/>
      <w:r w:rsidRPr="00FB3278">
        <w:rPr>
          <w:rFonts w:ascii="Arial" w:hAnsi="Arial" w:cs="Arial"/>
          <w:sz w:val="20"/>
          <w:szCs w:val="20"/>
          <w:highlight w:val="yellow"/>
        </w:rPr>
        <w:t xml:space="preserve">, T. S., &amp; </w:t>
      </w:r>
      <w:proofErr w:type="spellStart"/>
      <w:r w:rsidRPr="00FB3278">
        <w:rPr>
          <w:rFonts w:ascii="Arial" w:hAnsi="Arial" w:cs="Arial"/>
          <w:sz w:val="20"/>
          <w:szCs w:val="20"/>
          <w:highlight w:val="yellow"/>
        </w:rPr>
        <w:t>Hollomon</w:t>
      </w:r>
      <w:proofErr w:type="spellEnd"/>
      <w:r w:rsidRPr="00FB3278">
        <w:rPr>
          <w:rFonts w:ascii="Arial" w:hAnsi="Arial" w:cs="Arial"/>
          <w:sz w:val="20"/>
          <w:szCs w:val="20"/>
          <w:highlight w:val="yellow"/>
        </w:rPr>
        <w:t xml:space="preserve">, D. W. (2018). Thiocarbamate fungicides: reliable tools in resistance management and future outlook. </w:t>
      </w:r>
      <w:r w:rsidRPr="00FB3278">
        <w:rPr>
          <w:rFonts w:ascii="Arial" w:hAnsi="Arial" w:cs="Arial"/>
          <w:i/>
          <w:iCs/>
          <w:sz w:val="20"/>
          <w:szCs w:val="20"/>
          <w:highlight w:val="yellow"/>
        </w:rPr>
        <w:t>Pest Management Science</w:t>
      </w:r>
      <w:r w:rsidRPr="00FB3278">
        <w:rPr>
          <w:rFonts w:ascii="Arial" w:hAnsi="Arial" w:cs="Arial"/>
          <w:sz w:val="20"/>
          <w:szCs w:val="20"/>
          <w:highlight w:val="yellow"/>
        </w:rPr>
        <w:t xml:space="preserve">, </w:t>
      </w:r>
      <w:r w:rsidRPr="00FB3278">
        <w:rPr>
          <w:rFonts w:ascii="Arial" w:hAnsi="Arial" w:cs="Arial"/>
          <w:i/>
          <w:iCs/>
          <w:sz w:val="20"/>
          <w:szCs w:val="20"/>
          <w:highlight w:val="yellow"/>
        </w:rPr>
        <w:t>74</w:t>
      </w:r>
      <w:r w:rsidRPr="00FB3278">
        <w:rPr>
          <w:rFonts w:ascii="Arial" w:hAnsi="Arial" w:cs="Arial"/>
          <w:sz w:val="20"/>
          <w:szCs w:val="20"/>
          <w:highlight w:val="yellow"/>
        </w:rPr>
        <w:t>(7), 1547-1551.</w:t>
      </w:r>
    </w:p>
    <w:p w14:paraId="23F7272D" w14:textId="77777777" w:rsidR="00FB3278" w:rsidRPr="00FB3278" w:rsidRDefault="00FB3278" w:rsidP="00FB3278">
      <w:pPr>
        <w:spacing w:line="240" w:lineRule="auto"/>
        <w:ind w:left="709" w:hanging="709"/>
        <w:rPr>
          <w:rFonts w:ascii="Arial" w:hAnsi="Arial" w:cs="Arial"/>
          <w:color w:val="222222"/>
          <w:sz w:val="20"/>
          <w:szCs w:val="20"/>
          <w:shd w:val="clear" w:color="auto" w:fill="FFFFFF"/>
        </w:rPr>
      </w:pPr>
      <w:r w:rsidRPr="00FB3278">
        <w:rPr>
          <w:rFonts w:ascii="Arial" w:hAnsi="Arial" w:cs="Arial"/>
          <w:color w:val="222222"/>
          <w:sz w:val="20"/>
          <w:szCs w:val="20"/>
          <w:highlight w:val="yellow"/>
          <w:shd w:val="clear" w:color="auto" w:fill="FFFFFF"/>
        </w:rPr>
        <w:t xml:space="preserve">Ul </w:t>
      </w:r>
      <w:proofErr w:type="spellStart"/>
      <w:r w:rsidRPr="00FB3278">
        <w:rPr>
          <w:rFonts w:ascii="Arial" w:hAnsi="Arial" w:cs="Arial"/>
          <w:color w:val="222222"/>
          <w:sz w:val="20"/>
          <w:szCs w:val="20"/>
          <w:highlight w:val="yellow"/>
          <w:shd w:val="clear" w:color="auto" w:fill="FFFFFF"/>
        </w:rPr>
        <w:t>Haq</w:t>
      </w:r>
      <w:proofErr w:type="spellEnd"/>
      <w:r w:rsidRPr="00FB3278">
        <w:rPr>
          <w:rFonts w:ascii="Arial" w:hAnsi="Arial" w:cs="Arial"/>
          <w:color w:val="222222"/>
          <w:sz w:val="20"/>
          <w:szCs w:val="20"/>
          <w:highlight w:val="yellow"/>
          <w:shd w:val="clear" w:color="auto" w:fill="FFFFFF"/>
        </w:rPr>
        <w:t>, I., Sarwar, M. K., Faraz, A., &amp; Latif, M. Z. (2020). Synthetic chemicals: Major component of plant disease management. In </w:t>
      </w:r>
      <w:r w:rsidRPr="00FB3278">
        <w:rPr>
          <w:rFonts w:ascii="Arial" w:hAnsi="Arial" w:cs="Arial"/>
          <w:i/>
          <w:iCs/>
          <w:color w:val="222222"/>
          <w:sz w:val="20"/>
          <w:szCs w:val="20"/>
          <w:highlight w:val="yellow"/>
          <w:shd w:val="clear" w:color="auto" w:fill="FFFFFF"/>
        </w:rPr>
        <w:t>Plant disease management strategies for sustainable agriculture through traditional and modern approaches</w:t>
      </w:r>
      <w:r w:rsidRPr="00FB3278">
        <w:rPr>
          <w:rFonts w:ascii="Arial" w:hAnsi="Arial" w:cs="Arial"/>
          <w:color w:val="222222"/>
          <w:sz w:val="20"/>
          <w:szCs w:val="20"/>
          <w:highlight w:val="yellow"/>
          <w:shd w:val="clear" w:color="auto" w:fill="FFFFFF"/>
        </w:rPr>
        <w:t> (pp. 53-81). Cham: Springer International Publishing.</w:t>
      </w:r>
    </w:p>
    <w:p w14:paraId="061FAC9C" w14:textId="77777777" w:rsidR="00FB3278" w:rsidRDefault="00FB3278" w:rsidP="00FB3278">
      <w:pPr>
        <w:rPr>
          <w:rFonts w:ascii="Times New Roman" w:hAnsi="Times New Roman" w:cs="Times New Roman"/>
          <w:sz w:val="24"/>
          <w:szCs w:val="24"/>
          <w:vertAlign w:val="subscript"/>
        </w:rPr>
      </w:pPr>
    </w:p>
    <w:p w14:paraId="082D8417" w14:textId="77777777" w:rsidR="00FB3278" w:rsidRDefault="00FB3278" w:rsidP="00FB3278">
      <w:pPr>
        <w:rPr>
          <w:rFonts w:ascii="Times New Roman" w:hAnsi="Times New Roman" w:cs="Times New Roman"/>
          <w:sz w:val="24"/>
          <w:szCs w:val="24"/>
          <w:vertAlign w:val="subscript"/>
        </w:rPr>
      </w:pPr>
    </w:p>
    <w:p w14:paraId="54124485" w14:textId="77777777" w:rsidR="00FB3278" w:rsidRPr="000678FB" w:rsidRDefault="00FB3278" w:rsidP="00413430">
      <w:pPr>
        <w:pStyle w:val="NoSpacing"/>
        <w:ind w:left="360"/>
        <w:rPr>
          <w:lang w:val="en-US"/>
        </w:rPr>
      </w:pPr>
    </w:p>
    <w:sectPr w:rsidR="00FB3278" w:rsidRPr="000678FB" w:rsidSect="000678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9B5F" w14:textId="77777777" w:rsidR="005C015C" w:rsidRDefault="005C015C" w:rsidP="00413430">
      <w:pPr>
        <w:spacing w:line="240" w:lineRule="auto"/>
      </w:pPr>
      <w:r>
        <w:separator/>
      </w:r>
    </w:p>
  </w:endnote>
  <w:endnote w:type="continuationSeparator" w:id="0">
    <w:p w14:paraId="499CA207" w14:textId="77777777" w:rsidR="005C015C" w:rsidRDefault="005C015C" w:rsidP="00413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3491" w14:textId="77777777" w:rsidR="0089464D" w:rsidRDefault="00894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7D51" w14:textId="77777777" w:rsidR="0089464D" w:rsidRDefault="00894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332D" w14:textId="77777777" w:rsidR="0089464D" w:rsidRDefault="0089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F106F" w14:textId="77777777" w:rsidR="005C015C" w:rsidRDefault="005C015C" w:rsidP="00413430">
      <w:pPr>
        <w:spacing w:line="240" w:lineRule="auto"/>
      </w:pPr>
      <w:r>
        <w:separator/>
      </w:r>
    </w:p>
  </w:footnote>
  <w:footnote w:type="continuationSeparator" w:id="0">
    <w:p w14:paraId="2ED57CD6" w14:textId="77777777" w:rsidR="005C015C" w:rsidRDefault="005C015C" w:rsidP="00413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74BA" w14:textId="0B333884" w:rsidR="0089464D" w:rsidRDefault="005C015C">
    <w:pPr>
      <w:pStyle w:val="Header"/>
    </w:pPr>
    <w:r>
      <w:rPr>
        <w:noProof/>
      </w:rPr>
      <w:pict w14:anchorId="59A43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4165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D6C2" w14:textId="60AC13E3" w:rsidR="0089464D" w:rsidRDefault="005C015C">
    <w:pPr>
      <w:pStyle w:val="Header"/>
    </w:pPr>
    <w:r>
      <w:rPr>
        <w:noProof/>
      </w:rPr>
      <w:pict w14:anchorId="28E47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4165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E62B" w14:textId="19DC2858" w:rsidR="0089464D" w:rsidRDefault="005C015C">
    <w:pPr>
      <w:pStyle w:val="Header"/>
    </w:pPr>
    <w:r>
      <w:rPr>
        <w:noProof/>
      </w:rPr>
      <w:pict w14:anchorId="34040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4165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800"/>
    <w:multiLevelType w:val="multilevel"/>
    <w:tmpl w:val="98A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60C5"/>
    <w:multiLevelType w:val="multilevel"/>
    <w:tmpl w:val="522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869CA"/>
    <w:multiLevelType w:val="multilevel"/>
    <w:tmpl w:val="732C0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C5B0E"/>
    <w:multiLevelType w:val="multilevel"/>
    <w:tmpl w:val="E5E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C2B86"/>
    <w:multiLevelType w:val="multilevel"/>
    <w:tmpl w:val="BFF8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51DB9"/>
    <w:multiLevelType w:val="hybridMultilevel"/>
    <w:tmpl w:val="C2BA0376"/>
    <w:lvl w:ilvl="0" w:tplc="0A6C1FD6">
      <w:start w:val="1"/>
      <w:numFmt w:val="decimal"/>
      <w:lvlText w:val="%1."/>
      <w:lvlJc w:val="left"/>
      <w:pPr>
        <w:ind w:left="720" w:hanging="360"/>
      </w:pPr>
      <w:rPr>
        <w:rFonts w:ascii="Arial" w:hAnsi="Arial" w:cs="Arial"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876A4"/>
    <w:multiLevelType w:val="multilevel"/>
    <w:tmpl w:val="636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44714"/>
    <w:multiLevelType w:val="hybridMultilevel"/>
    <w:tmpl w:val="11705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1531D"/>
    <w:multiLevelType w:val="multilevel"/>
    <w:tmpl w:val="A4584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D79E9"/>
    <w:multiLevelType w:val="multilevel"/>
    <w:tmpl w:val="6AF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46AE3"/>
    <w:multiLevelType w:val="multilevel"/>
    <w:tmpl w:val="91620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C228C"/>
    <w:multiLevelType w:val="multilevel"/>
    <w:tmpl w:val="11DA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F4CC9"/>
    <w:multiLevelType w:val="multilevel"/>
    <w:tmpl w:val="F39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A6D46"/>
    <w:multiLevelType w:val="multilevel"/>
    <w:tmpl w:val="A8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B3314"/>
    <w:multiLevelType w:val="multilevel"/>
    <w:tmpl w:val="772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43EB0"/>
    <w:multiLevelType w:val="multilevel"/>
    <w:tmpl w:val="726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1566E"/>
    <w:multiLevelType w:val="multilevel"/>
    <w:tmpl w:val="F6D8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D602F"/>
    <w:multiLevelType w:val="multilevel"/>
    <w:tmpl w:val="4E14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8683D"/>
    <w:multiLevelType w:val="multilevel"/>
    <w:tmpl w:val="578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E6619"/>
    <w:multiLevelType w:val="multilevel"/>
    <w:tmpl w:val="56765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D3329"/>
    <w:multiLevelType w:val="multilevel"/>
    <w:tmpl w:val="CA3C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2582A"/>
    <w:multiLevelType w:val="multilevel"/>
    <w:tmpl w:val="2FDED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325A9"/>
    <w:multiLevelType w:val="multilevel"/>
    <w:tmpl w:val="21D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330F9"/>
    <w:multiLevelType w:val="multilevel"/>
    <w:tmpl w:val="0EC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02802"/>
    <w:multiLevelType w:val="multilevel"/>
    <w:tmpl w:val="019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D2107"/>
    <w:multiLevelType w:val="multilevel"/>
    <w:tmpl w:val="8FDE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F366FD"/>
    <w:multiLevelType w:val="multilevel"/>
    <w:tmpl w:val="A322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54451"/>
    <w:multiLevelType w:val="multilevel"/>
    <w:tmpl w:val="4E16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12F7A"/>
    <w:multiLevelType w:val="multilevel"/>
    <w:tmpl w:val="438E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05A64"/>
    <w:multiLevelType w:val="multilevel"/>
    <w:tmpl w:val="D8E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042B9"/>
    <w:multiLevelType w:val="multilevel"/>
    <w:tmpl w:val="EE5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D4B5A"/>
    <w:multiLevelType w:val="multilevel"/>
    <w:tmpl w:val="FEF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114AF"/>
    <w:multiLevelType w:val="multilevel"/>
    <w:tmpl w:val="5A2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D07D0"/>
    <w:multiLevelType w:val="multilevel"/>
    <w:tmpl w:val="B2CE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76839"/>
    <w:multiLevelType w:val="multilevel"/>
    <w:tmpl w:val="2B5E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74E36"/>
    <w:multiLevelType w:val="multilevel"/>
    <w:tmpl w:val="75B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77AC7"/>
    <w:multiLevelType w:val="multilevel"/>
    <w:tmpl w:val="D1961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95AF6"/>
    <w:multiLevelType w:val="multilevel"/>
    <w:tmpl w:val="AF66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26A63"/>
    <w:multiLevelType w:val="multilevel"/>
    <w:tmpl w:val="4C5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6020B"/>
    <w:multiLevelType w:val="multilevel"/>
    <w:tmpl w:val="FD70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84380"/>
    <w:multiLevelType w:val="multilevel"/>
    <w:tmpl w:val="259C24D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D044D"/>
    <w:multiLevelType w:val="hybridMultilevel"/>
    <w:tmpl w:val="55C0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E4379"/>
    <w:multiLevelType w:val="multilevel"/>
    <w:tmpl w:val="97F05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17"/>
  </w:num>
  <w:num w:numId="4">
    <w:abstractNumId w:val="18"/>
  </w:num>
  <w:num w:numId="5">
    <w:abstractNumId w:val="1"/>
  </w:num>
  <w:num w:numId="6">
    <w:abstractNumId w:val="38"/>
  </w:num>
  <w:num w:numId="7">
    <w:abstractNumId w:val="22"/>
  </w:num>
  <w:num w:numId="8">
    <w:abstractNumId w:val="33"/>
  </w:num>
  <w:num w:numId="9">
    <w:abstractNumId w:val="31"/>
  </w:num>
  <w:num w:numId="10">
    <w:abstractNumId w:val="24"/>
  </w:num>
  <w:num w:numId="11">
    <w:abstractNumId w:val="12"/>
  </w:num>
  <w:num w:numId="12">
    <w:abstractNumId w:val="13"/>
  </w:num>
  <w:num w:numId="13">
    <w:abstractNumId w:val="25"/>
  </w:num>
  <w:num w:numId="14">
    <w:abstractNumId w:val="3"/>
  </w:num>
  <w:num w:numId="15">
    <w:abstractNumId w:val="32"/>
  </w:num>
  <w:num w:numId="16">
    <w:abstractNumId w:val="9"/>
  </w:num>
  <w:num w:numId="17">
    <w:abstractNumId w:val="16"/>
  </w:num>
  <w:num w:numId="18">
    <w:abstractNumId w:val="30"/>
  </w:num>
  <w:num w:numId="19">
    <w:abstractNumId w:val="39"/>
  </w:num>
  <w:num w:numId="20">
    <w:abstractNumId w:val="14"/>
  </w:num>
  <w:num w:numId="21">
    <w:abstractNumId w:val="28"/>
  </w:num>
  <w:num w:numId="22">
    <w:abstractNumId w:val="4"/>
  </w:num>
  <w:num w:numId="23">
    <w:abstractNumId w:val="42"/>
  </w:num>
  <w:num w:numId="24">
    <w:abstractNumId w:val="8"/>
  </w:num>
  <w:num w:numId="25">
    <w:abstractNumId w:val="21"/>
  </w:num>
  <w:num w:numId="26">
    <w:abstractNumId w:val="26"/>
  </w:num>
  <w:num w:numId="27">
    <w:abstractNumId w:val="2"/>
  </w:num>
  <w:num w:numId="28">
    <w:abstractNumId w:val="36"/>
  </w:num>
  <w:num w:numId="29">
    <w:abstractNumId w:val="10"/>
  </w:num>
  <w:num w:numId="30">
    <w:abstractNumId w:val="40"/>
  </w:num>
  <w:num w:numId="31">
    <w:abstractNumId w:val="37"/>
  </w:num>
  <w:num w:numId="32">
    <w:abstractNumId w:val="11"/>
  </w:num>
  <w:num w:numId="33">
    <w:abstractNumId w:val="35"/>
  </w:num>
  <w:num w:numId="34">
    <w:abstractNumId w:val="20"/>
  </w:num>
  <w:num w:numId="35">
    <w:abstractNumId w:val="23"/>
  </w:num>
  <w:num w:numId="36">
    <w:abstractNumId w:val="34"/>
  </w:num>
  <w:num w:numId="37">
    <w:abstractNumId w:val="19"/>
  </w:num>
  <w:num w:numId="38">
    <w:abstractNumId w:val="6"/>
  </w:num>
  <w:num w:numId="39">
    <w:abstractNumId w:val="27"/>
  </w:num>
  <w:num w:numId="40">
    <w:abstractNumId w:val="0"/>
  </w:num>
  <w:num w:numId="41">
    <w:abstractNumId w:val="5"/>
  </w:num>
  <w:num w:numId="42">
    <w:abstractNumId w:val="4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tDQwNTK1NDEzMTJR0lEKTi0uzszPAykwrAUAZKFnpSwAAAA="/>
  </w:docVars>
  <w:rsids>
    <w:rsidRoot w:val="000678FB"/>
    <w:rsid w:val="0000062F"/>
    <w:rsid w:val="00023923"/>
    <w:rsid w:val="000678FB"/>
    <w:rsid w:val="000E1E6D"/>
    <w:rsid w:val="00164270"/>
    <w:rsid w:val="00194028"/>
    <w:rsid w:val="001A62FB"/>
    <w:rsid w:val="002A5F5A"/>
    <w:rsid w:val="002C2A1E"/>
    <w:rsid w:val="00342531"/>
    <w:rsid w:val="003D121E"/>
    <w:rsid w:val="003D776D"/>
    <w:rsid w:val="003F0729"/>
    <w:rsid w:val="00413145"/>
    <w:rsid w:val="00413430"/>
    <w:rsid w:val="00415B44"/>
    <w:rsid w:val="00443B19"/>
    <w:rsid w:val="00494DA7"/>
    <w:rsid w:val="004A73F7"/>
    <w:rsid w:val="004D49D9"/>
    <w:rsid w:val="004E6445"/>
    <w:rsid w:val="00503AC1"/>
    <w:rsid w:val="00522BB8"/>
    <w:rsid w:val="00543B61"/>
    <w:rsid w:val="005C015C"/>
    <w:rsid w:val="0064154C"/>
    <w:rsid w:val="0066500E"/>
    <w:rsid w:val="00672B96"/>
    <w:rsid w:val="007B631E"/>
    <w:rsid w:val="008573BA"/>
    <w:rsid w:val="0089464D"/>
    <w:rsid w:val="008A43C7"/>
    <w:rsid w:val="009015A2"/>
    <w:rsid w:val="00924854"/>
    <w:rsid w:val="00962DAC"/>
    <w:rsid w:val="00B43974"/>
    <w:rsid w:val="00B648DA"/>
    <w:rsid w:val="00BF0B51"/>
    <w:rsid w:val="00C037B1"/>
    <w:rsid w:val="00C2364E"/>
    <w:rsid w:val="00CE4393"/>
    <w:rsid w:val="00CE7241"/>
    <w:rsid w:val="00D02D24"/>
    <w:rsid w:val="00D15EF0"/>
    <w:rsid w:val="00D36232"/>
    <w:rsid w:val="00DF55AF"/>
    <w:rsid w:val="00E41D71"/>
    <w:rsid w:val="00E5219C"/>
    <w:rsid w:val="00F305EC"/>
    <w:rsid w:val="00F9417F"/>
    <w:rsid w:val="00FB3278"/>
    <w:rsid w:val="00FC33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EC57EC"/>
  <w15:chartTrackingRefBased/>
  <w15:docId w15:val="{AF2DE403-3F6F-4906-B6E3-18C6BBB4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2DAC"/>
    <w:pPr>
      <w:spacing w:before="100" w:beforeAutospacing="1" w:after="100" w:afterAutospacing="1" w:line="240" w:lineRule="auto"/>
      <w:ind w:left="0"/>
      <w:jc w:val="left"/>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62DAC"/>
    <w:pPr>
      <w:spacing w:before="100" w:beforeAutospacing="1" w:after="100" w:afterAutospacing="1" w:line="240" w:lineRule="auto"/>
      <w:ind w:left="0"/>
      <w:jc w:val="left"/>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62DAC"/>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E43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8FB"/>
    <w:pPr>
      <w:spacing w:line="240" w:lineRule="auto"/>
    </w:pPr>
  </w:style>
  <w:style w:type="character" w:styleId="Strong">
    <w:name w:val="Strong"/>
    <w:basedOn w:val="DefaultParagraphFont"/>
    <w:uiPriority w:val="22"/>
    <w:qFormat/>
    <w:rsid w:val="000678FB"/>
    <w:rPr>
      <w:b/>
      <w:bCs/>
    </w:rPr>
  </w:style>
  <w:style w:type="character" w:customStyle="1" w:styleId="Heading1Char">
    <w:name w:val="Heading 1 Char"/>
    <w:basedOn w:val="DefaultParagraphFont"/>
    <w:link w:val="Heading1"/>
    <w:uiPriority w:val="9"/>
    <w:rsid w:val="00962DA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62DA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62DA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62DAC"/>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62DAC"/>
    <w:rPr>
      <w:i/>
      <w:iCs/>
    </w:rPr>
  </w:style>
  <w:style w:type="character" w:customStyle="1" w:styleId="Heading4Char">
    <w:name w:val="Heading 4 Char"/>
    <w:basedOn w:val="DefaultParagraphFont"/>
    <w:link w:val="Heading4"/>
    <w:uiPriority w:val="9"/>
    <w:semiHidden/>
    <w:rsid w:val="00CE439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015A2"/>
    <w:rPr>
      <w:color w:val="0563C1" w:themeColor="hyperlink"/>
      <w:u w:val="single"/>
    </w:rPr>
  </w:style>
  <w:style w:type="character" w:styleId="UnresolvedMention">
    <w:name w:val="Unresolved Mention"/>
    <w:basedOn w:val="DefaultParagraphFont"/>
    <w:uiPriority w:val="99"/>
    <w:semiHidden/>
    <w:unhideWhenUsed/>
    <w:rsid w:val="009015A2"/>
    <w:rPr>
      <w:color w:val="605E5C"/>
      <w:shd w:val="clear" w:color="auto" w:fill="E1DFDD"/>
    </w:rPr>
  </w:style>
  <w:style w:type="paragraph" w:styleId="ListParagraph">
    <w:name w:val="List Paragraph"/>
    <w:basedOn w:val="Normal"/>
    <w:uiPriority w:val="34"/>
    <w:qFormat/>
    <w:rsid w:val="00CE7241"/>
    <w:pPr>
      <w:ind w:left="720"/>
      <w:contextualSpacing/>
    </w:pPr>
  </w:style>
  <w:style w:type="paragraph" w:styleId="Header">
    <w:name w:val="header"/>
    <w:basedOn w:val="Normal"/>
    <w:link w:val="HeaderChar"/>
    <w:uiPriority w:val="99"/>
    <w:unhideWhenUsed/>
    <w:rsid w:val="00413430"/>
    <w:pPr>
      <w:tabs>
        <w:tab w:val="center" w:pos="4680"/>
        <w:tab w:val="right" w:pos="9360"/>
      </w:tabs>
      <w:spacing w:line="240" w:lineRule="auto"/>
    </w:pPr>
  </w:style>
  <w:style w:type="character" w:customStyle="1" w:styleId="HeaderChar">
    <w:name w:val="Header Char"/>
    <w:basedOn w:val="DefaultParagraphFont"/>
    <w:link w:val="Header"/>
    <w:uiPriority w:val="99"/>
    <w:rsid w:val="00413430"/>
  </w:style>
  <w:style w:type="paragraph" w:styleId="Footer">
    <w:name w:val="footer"/>
    <w:basedOn w:val="Normal"/>
    <w:link w:val="FooterChar"/>
    <w:uiPriority w:val="99"/>
    <w:unhideWhenUsed/>
    <w:rsid w:val="00413430"/>
    <w:pPr>
      <w:tabs>
        <w:tab w:val="center" w:pos="4680"/>
        <w:tab w:val="right" w:pos="9360"/>
      </w:tabs>
      <w:spacing w:line="240" w:lineRule="auto"/>
    </w:pPr>
  </w:style>
  <w:style w:type="character" w:customStyle="1" w:styleId="FooterChar">
    <w:name w:val="Footer Char"/>
    <w:basedOn w:val="DefaultParagraphFont"/>
    <w:link w:val="Footer"/>
    <w:uiPriority w:val="99"/>
    <w:rsid w:val="0041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3631">
      <w:bodyDiv w:val="1"/>
      <w:marLeft w:val="0"/>
      <w:marRight w:val="0"/>
      <w:marTop w:val="0"/>
      <w:marBottom w:val="0"/>
      <w:divBdr>
        <w:top w:val="none" w:sz="0" w:space="0" w:color="auto"/>
        <w:left w:val="none" w:sz="0" w:space="0" w:color="auto"/>
        <w:bottom w:val="none" w:sz="0" w:space="0" w:color="auto"/>
        <w:right w:val="none" w:sz="0" w:space="0" w:color="auto"/>
      </w:divBdr>
    </w:div>
    <w:div w:id="177043920">
      <w:bodyDiv w:val="1"/>
      <w:marLeft w:val="0"/>
      <w:marRight w:val="0"/>
      <w:marTop w:val="0"/>
      <w:marBottom w:val="0"/>
      <w:divBdr>
        <w:top w:val="none" w:sz="0" w:space="0" w:color="auto"/>
        <w:left w:val="none" w:sz="0" w:space="0" w:color="auto"/>
        <w:bottom w:val="none" w:sz="0" w:space="0" w:color="auto"/>
        <w:right w:val="none" w:sz="0" w:space="0" w:color="auto"/>
      </w:divBdr>
    </w:div>
    <w:div w:id="251933053">
      <w:bodyDiv w:val="1"/>
      <w:marLeft w:val="0"/>
      <w:marRight w:val="0"/>
      <w:marTop w:val="0"/>
      <w:marBottom w:val="0"/>
      <w:divBdr>
        <w:top w:val="none" w:sz="0" w:space="0" w:color="auto"/>
        <w:left w:val="none" w:sz="0" w:space="0" w:color="auto"/>
        <w:bottom w:val="none" w:sz="0" w:space="0" w:color="auto"/>
        <w:right w:val="none" w:sz="0" w:space="0" w:color="auto"/>
      </w:divBdr>
    </w:div>
    <w:div w:id="503326669">
      <w:bodyDiv w:val="1"/>
      <w:marLeft w:val="0"/>
      <w:marRight w:val="0"/>
      <w:marTop w:val="0"/>
      <w:marBottom w:val="0"/>
      <w:divBdr>
        <w:top w:val="none" w:sz="0" w:space="0" w:color="auto"/>
        <w:left w:val="none" w:sz="0" w:space="0" w:color="auto"/>
        <w:bottom w:val="none" w:sz="0" w:space="0" w:color="auto"/>
        <w:right w:val="none" w:sz="0" w:space="0" w:color="auto"/>
      </w:divBdr>
    </w:div>
    <w:div w:id="848716439">
      <w:bodyDiv w:val="1"/>
      <w:marLeft w:val="0"/>
      <w:marRight w:val="0"/>
      <w:marTop w:val="0"/>
      <w:marBottom w:val="0"/>
      <w:divBdr>
        <w:top w:val="none" w:sz="0" w:space="0" w:color="auto"/>
        <w:left w:val="none" w:sz="0" w:space="0" w:color="auto"/>
        <w:bottom w:val="none" w:sz="0" w:space="0" w:color="auto"/>
        <w:right w:val="none" w:sz="0" w:space="0" w:color="auto"/>
      </w:divBdr>
    </w:div>
    <w:div w:id="1003972433">
      <w:bodyDiv w:val="1"/>
      <w:marLeft w:val="0"/>
      <w:marRight w:val="0"/>
      <w:marTop w:val="0"/>
      <w:marBottom w:val="0"/>
      <w:divBdr>
        <w:top w:val="none" w:sz="0" w:space="0" w:color="auto"/>
        <w:left w:val="none" w:sz="0" w:space="0" w:color="auto"/>
        <w:bottom w:val="none" w:sz="0" w:space="0" w:color="auto"/>
        <w:right w:val="none" w:sz="0" w:space="0" w:color="auto"/>
      </w:divBdr>
    </w:div>
    <w:div w:id="1506239081">
      <w:bodyDiv w:val="1"/>
      <w:marLeft w:val="0"/>
      <w:marRight w:val="0"/>
      <w:marTop w:val="0"/>
      <w:marBottom w:val="0"/>
      <w:divBdr>
        <w:top w:val="none" w:sz="0" w:space="0" w:color="auto"/>
        <w:left w:val="none" w:sz="0" w:space="0" w:color="auto"/>
        <w:bottom w:val="none" w:sz="0" w:space="0" w:color="auto"/>
        <w:right w:val="none" w:sz="0" w:space="0" w:color="auto"/>
      </w:divBdr>
    </w:div>
    <w:div w:id="1548910395">
      <w:bodyDiv w:val="1"/>
      <w:marLeft w:val="0"/>
      <w:marRight w:val="0"/>
      <w:marTop w:val="0"/>
      <w:marBottom w:val="0"/>
      <w:divBdr>
        <w:top w:val="none" w:sz="0" w:space="0" w:color="auto"/>
        <w:left w:val="none" w:sz="0" w:space="0" w:color="auto"/>
        <w:bottom w:val="none" w:sz="0" w:space="0" w:color="auto"/>
        <w:right w:val="none" w:sz="0" w:space="0" w:color="auto"/>
      </w:divBdr>
    </w:div>
    <w:div w:id="1623078720">
      <w:bodyDiv w:val="1"/>
      <w:marLeft w:val="0"/>
      <w:marRight w:val="0"/>
      <w:marTop w:val="0"/>
      <w:marBottom w:val="0"/>
      <w:divBdr>
        <w:top w:val="none" w:sz="0" w:space="0" w:color="auto"/>
        <w:left w:val="none" w:sz="0" w:space="0" w:color="auto"/>
        <w:bottom w:val="none" w:sz="0" w:space="0" w:color="auto"/>
        <w:right w:val="none" w:sz="0" w:space="0" w:color="auto"/>
      </w:divBdr>
    </w:div>
    <w:div w:id="1647589566">
      <w:bodyDiv w:val="1"/>
      <w:marLeft w:val="0"/>
      <w:marRight w:val="0"/>
      <w:marTop w:val="0"/>
      <w:marBottom w:val="0"/>
      <w:divBdr>
        <w:top w:val="none" w:sz="0" w:space="0" w:color="auto"/>
        <w:left w:val="none" w:sz="0" w:space="0" w:color="auto"/>
        <w:bottom w:val="none" w:sz="0" w:space="0" w:color="auto"/>
        <w:right w:val="none" w:sz="0" w:space="0" w:color="auto"/>
      </w:divBdr>
    </w:div>
    <w:div w:id="2104034817">
      <w:bodyDiv w:val="1"/>
      <w:marLeft w:val="0"/>
      <w:marRight w:val="0"/>
      <w:marTop w:val="0"/>
      <w:marBottom w:val="0"/>
      <w:divBdr>
        <w:top w:val="none" w:sz="0" w:space="0" w:color="auto"/>
        <w:left w:val="none" w:sz="0" w:space="0" w:color="auto"/>
        <w:bottom w:val="none" w:sz="0" w:space="0" w:color="auto"/>
        <w:right w:val="none" w:sz="0" w:space="0" w:color="auto"/>
      </w:divBdr>
    </w:div>
    <w:div w:id="21066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6838</Words>
  <Characters>38980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1186</cp:lastModifiedBy>
  <cp:revision>7</cp:revision>
  <dcterms:created xsi:type="dcterms:W3CDTF">2025-10-17T10:12:00Z</dcterms:created>
  <dcterms:modified xsi:type="dcterms:W3CDTF">2025-10-17T11:32:00Z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a198e70e-addc-4428-8b76-0329e1970bb7</vt:lpwstr>
  </property>
</Properties>
</file>