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99D54" w14:textId="5DAFD4DB" w:rsidR="004C7740" w:rsidRPr="00302A27" w:rsidRDefault="004C7740" w:rsidP="00F429F7">
      <w:pPr>
        <w:pStyle w:val="Author"/>
        <w:jc w:val="left"/>
        <w:rPr>
          <w:rFonts w:ascii="Arial" w:hAnsi="Arial" w:cs="Arial"/>
          <w:bCs/>
          <w:iCs/>
          <w:kern w:val="28"/>
          <w:sz w:val="36"/>
        </w:rPr>
      </w:pPr>
    </w:p>
    <w:p w14:paraId="481122CB" w14:textId="1D138119" w:rsidR="00163BC4" w:rsidRDefault="00402686" w:rsidP="00441B6F">
      <w:pPr>
        <w:pStyle w:val="Author"/>
        <w:spacing w:line="240" w:lineRule="auto"/>
        <w:rPr>
          <w:rFonts w:ascii="Arial" w:hAnsi="Arial" w:cs="Arial"/>
          <w:bCs/>
          <w:iCs/>
          <w:kern w:val="28"/>
          <w:sz w:val="36"/>
        </w:rPr>
      </w:pPr>
      <w:r w:rsidRPr="00402686">
        <w:rPr>
          <w:rFonts w:ascii="Arial" w:hAnsi="Arial" w:cs="Arial"/>
          <w:bCs/>
          <w:iCs/>
          <w:kern w:val="28"/>
          <w:sz w:val="36"/>
          <w:lang w:val="en-GB"/>
        </w:rPr>
        <w:t>Digital Transformation in Telehealth: A Systematic Review of User Trust, Privacy, and Regulatory Governance in AI-Powered Remote Monitoring Systems</w:t>
      </w:r>
      <w:r w:rsidR="00231920" w:rsidRPr="00302A27">
        <w:rPr>
          <w:rFonts w:ascii="Arial" w:hAnsi="Arial" w:cs="Arial"/>
          <w:bCs/>
          <w:iCs/>
          <w:kern w:val="28"/>
          <w:sz w:val="36"/>
        </w:rPr>
        <w:t xml:space="preserve"> </w:t>
      </w:r>
    </w:p>
    <w:p w14:paraId="352B1F3C" w14:textId="77777777" w:rsidR="00734FA0" w:rsidRPr="00302A27" w:rsidRDefault="00734FA0" w:rsidP="00441B6F">
      <w:pPr>
        <w:pStyle w:val="Author"/>
        <w:spacing w:line="240" w:lineRule="auto"/>
        <w:rPr>
          <w:rFonts w:ascii="Arial" w:hAnsi="Arial" w:cs="Arial"/>
          <w:bCs/>
          <w:iCs/>
          <w:kern w:val="28"/>
          <w:sz w:val="36"/>
        </w:rPr>
      </w:pPr>
    </w:p>
    <w:p w14:paraId="1B398180" w14:textId="70247970" w:rsidR="00CF43F1" w:rsidRPr="00342F37" w:rsidRDefault="00CF43F1" w:rsidP="00342F37">
      <w:pPr>
        <w:pStyle w:val="Affiliation"/>
        <w:rPr>
          <w:rFonts w:ascii="Arial" w:hAnsi="Arial" w:cs="Arial"/>
          <w:i/>
          <w:vertAlign w:val="superscript"/>
        </w:rPr>
      </w:pPr>
    </w:p>
    <w:p w14:paraId="429BBA9A" w14:textId="3EDA9FBB" w:rsidR="00B01FCD" w:rsidRPr="00302A27" w:rsidRDefault="001A0012" w:rsidP="00441B6F">
      <w:pPr>
        <w:pStyle w:val="Copyright"/>
        <w:spacing w:after="0" w:line="240" w:lineRule="auto"/>
        <w:jc w:val="both"/>
        <w:rPr>
          <w:rFonts w:ascii="Arial" w:hAnsi="Arial" w:cs="Arial"/>
        </w:rPr>
        <w:sectPr w:rsidR="00B01FCD" w:rsidRPr="00302A27" w:rsidSect="00A174E8">
          <w:headerReference w:type="even" r:id="rId8"/>
          <w:headerReference w:type="default" r:id="rId9"/>
          <w:footerReference w:type="even" r:id="rId10"/>
          <w:footerReference w:type="default" r:id="rId11"/>
          <w:headerReference w:type="first" r:id="rId12"/>
          <w:footerReference w:type="first" r:id="rId13"/>
          <w:pgSz w:w="12240" w:h="15840" w:code="1"/>
          <w:pgMar w:top="1440" w:right="2019" w:bottom="2019" w:left="2019" w:header="720" w:footer="1296" w:gutter="0"/>
          <w:cols w:space="720"/>
          <w:docGrid w:linePitch="272"/>
        </w:sectPr>
      </w:pPr>
      <w:r w:rsidRPr="00302A27">
        <w:rPr>
          <w:rFonts w:ascii="Arial" w:hAnsi="Arial" w:cs="Arial"/>
          <w:noProof/>
        </w:rPr>
        <mc:AlternateContent>
          <mc:Choice Requires="wps">
            <w:drawing>
              <wp:inline distT="0" distB="0" distL="0" distR="0" wp14:anchorId="580323FE" wp14:editId="7539A0CC">
                <wp:extent cx="5303520" cy="635"/>
                <wp:effectExtent l="15240" t="16510" r="15240" b="12065"/>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72626D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302A27">
        <w:rPr>
          <w:rFonts w:ascii="Arial" w:hAnsi="Arial" w:cs="Arial"/>
        </w:rPr>
        <w:t>.</w:t>
      </w:r>
    </w:p>
    <w:p w14:paraId="6B528A0C" w14:textId="5533E173" w:rsidR="00B01FCD" w:rsidRPr="00302A27" w:rsidRDefault="00B01FCD" w:rsidP="00441B6F">
      <w:pPr>
        <w:pStyle w:val="AbstHead"/>
        <w:spacing w:after="0"/>
        <w:jc w:val="both"/>
        <w:rPr>
          <w:rFonts w:ascii="Arial" w:hAnsi="Arial" w:cs="Arial"/>
        </w:rPr>
      </w:pPr>
      <w:r w:rsidRPr="00302A27">
        <w:rPr>
          <w:rFonts w:ascii="Arial" w:hAnsi="Arial" w:cs="Arial"/>
        </w:rPr>
        <w:t>ABSTRACT</w:t>
      </w:r>
      <w:r w:rsidR="0066510A" w:rsidRPr="00302A27">
        <w:rPr>
          <w:rFonts w:ascii="Arial" w:hAnsi="Arial" w:cs="Arial"/>
        </w:rPr>
        <w:t xml:space="preserve"> </w:t>
      </w:r>
    </w:p>
    <w:p w14:paraId="5886E1F9" w14:textId="77777777" w:rsidR="00790ADA" w:rsidRPr="00302A27"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2"/>
      </w:tblGrid>
      <w:tr w:rsidR="00296529" w:rsidRPr="00302A27" w14:paraId="52486F49" w14:textId="77777777" w:rsidTr="001E44FE">
        <w:tc>
          <w:tcPr>
            <w:tcW w:w="9576" w:type="dxa"/>
            <w:shd w:val="clear" w:color="auto" w:fill="F2F2F2"/>
          </w:tcPr>
          <w:p w14:paraId="261FCF04" w14:textId="77777777" w:rsidR="00CF7F9D" w:rsidRPr="00CF7F9D" w:rsidRDefault="00CF7F9D" w:rsidP="00CF7F9D">
            <w:pPr>
              <w:jc w:val="both"/>
              <w:rPr>
                <w:rFonts w:ascii="Arial" w:hAnsi="Arial" w:cs="Arial"/>
              </w:rPr>
            </w:pPr>
            <w:r w:rsidRPr="00BE4202">
              <w:rPr>
                <w:rFonts w:ascii="Arial" w:hAnsi="Arial" w:cs="Arial"/>
                <w:b/>
                <w:bCs/>
              </w:rPr>
              <w:t>Aims</w:t>
            </w:r>
            <w:r w:rsidRPr="00CF7F9D">
              <w:rPr>
                <w:rFonts w:ascii="Arial" w:hAnsi="Arial" w:cs="Arial"/>
              </w:rPr>
              <w:t>:</w:t>
            </w:r>
          </w:p>
          <w:p w14:paraId="2D558AA5" w14:textId="2299C0FD" w:rsidR="00CF7F9D" w:rsidRPr="00CF7F9D" w:rsidRDefault="00CF7F9D" w:rsidP="00CF7F9D">
            <w:pPr>
              <w:jc w:val="both"/>
              <w:rPr>
                <w:rFonts w:ascii="Arial" w:hAnsi="Arial" w:cs="Arial"/>
              </w:rPr>
            </w:pPr>
            <w:r w:rsidRPr="00CF7F9D">
              <w:rPr>
                <w:rFonts w:ascii="Arial" w:hAnsi="Arial" w:cs="Arial"/>
              </w:rPr>
              <w:t>This review examines how artificial intelligence (AI)-powered remote monitoring systems (RMS) influence patient trust, privacy, and adoption in U.S. telehealth. It also explores how key regulatory agencies</w:t>
            </w:r>
            <w:r w:rsidR="00FF12C0">
              <w:rPr>
                <w:rFonts w:ascii="Arial" w:hAnsi="Arial" w:cs="Arial"/>
              </w:rPr>
              <w:t xml:space="preserve"> </w:t>
            </w:r>
            <w:r w:rsidRPr="00CF7F9D">
              <w:rPr>
                <w:rFonts w:ascii="Arial" w:hAnsi="Arial" w:cs="Arial"/>
              </w:rPr>
              <w:t>the Food and Drug Administration (FDA), the Department of Health and Human Services’ Office for Civil Rights (HHS/OCR), and the Centers for Medicare and Medicaid Services (CMS)</w:t>
            </w:r>
            <w:r w:rsidR="00FF12C0">
              <w:rPr>
                <w:rFonts w:ascii="Arial" w:hAnsi="Arial" w:cs="Arial"/>
              </w:rPr>
              <w:t xml:space="preserve"> </w:t>
            </w:r>
            <w:r w:rsidRPr="00CF7F9D">
              <w:rPr>
                <w:rFonts w:ascii="Arial" w:hAnsi="Arial" w:cs="Arial"/>
              </w:rPr>
              <w:t>operationalize AI and privacy governance in digital healthcare.</w:t>
            </w:r>
          </w:p>
          <w:p w14:paraId="45B4ACA4" w14:textId="77777777" w:rsidR="00CF7F9D" w:rsidRPr="00CF7F9D" w:rsidRDefault="00CF7F9D" w:rsidP="00CF7F9D">
            <w:pPr>
              <w:jc w:val="both"/>
              <w:rPr>
                <w:rFonts w:ascii="Arial" w:hAnsi="Arial" w:cs="Arial"/>
              </w:rPr>
            </w:pPr>
          </w:p>
          <w:p w14:paraId="06715ED8" w14:textId="77777777" w:rsidR="00CF7F9D" w:rsidRPr="00CF7F9D" w:rsidRDefault="00CF7F9D" w:rsidP="00CF7F9D">
            <w:pPr>
              <w:jc w:val="both"/>
              <w:rPr>
                <w:rFonts w:ascii="Arial" w:hAnsi="Arial" w:cs="Arial"/>
              </w:rPr>
            </w:pPr>
            <w:r w:rsidRPr="00CF7F9D">
              <w:rPr>
                <w:rFonts w:ascii="Arial" w:hAnsi="Arial" w:cs="Arial"/>
                <w:b/>
                <w:bCs/>
              </w:rPr>
              <w:t>Methodology</w:t>
            </w:r>
            <w:r w:rsidRPr="00CF7F9D">
              <w:rPr>
                <w:rFonts w:ascii="Arial" w:hAnsi="Arial" w:cs="Arial"/>
              </w:rPr>
              <w:t>:</w:t>
            </w:r>
          </w:p>
          <w:p w14:paraId="465048CE" w14:textId="405AA15D" w:rsidR="00CF7F9D" w:rsidRPr="00CF7F9D" w:rsidRDefault="00CF7F9D" w:rsidP="00CF7F9D">
            <w:pPr>
              <w:jc w:val="both"/>
              <w:rPr>
                <w:rFonts w:ascii="Arial" w:hAnsi="Arial" w:cs="Arial"/>
              </w:rPr>
            </w:pPr>
            <w:r w:rsidRPr="00CF7F9D">
              <w:rPr>
                <w:rFonts w:ascii="Arial" w:hAnsi="Arial" w:cs="Arial"/>
              </w:rPr>
              <w:t>A systematic literature review following the PRISMA framework</w:t>
            </w:r>
            <w:r w:rsidR="00BE4202">
              <w:rPr>
                <w:rFonts w:ascii="Arial" w:hAnsi="Arial" w:cs="Arial"/>
              </w:rPr>
              <w:t xml:space="preserve"> was adopted. </w:t>
            </w:r>
            <w:r w:rsidRPr="00CF7F9D">
              <w:rPr>
                <w:rFonts w:ascii="Arial" w:hAnsi="Arial" w:cs="Arial"/>
              </w:rPr>
              <w:t>Fifteen peer-reviewed studies were identified through searches on PubMed, Scopus, IEEE Xplore, and Web of Science. Inclusion criteria focused on AI-enabled telehealth systems addressing patient trust, data privacy, usability, and regulatory compliance. Thematic synthesis was applied to integrate technical, ethical, and policy insights.</w:t>
            </w:r>
          </w:p>
          <w:p w14:paraId="1105D37E" w14:textId="77777777" w:rsidR="00CF7F9D" w:rsidRPr="00CF7F9D" w:rsidRDefault="00CF7F9D" w:rsidP="00CF7F9D">
            <w:pPr>
              <w:jc w:val="both"/>
              <w:rPr>
                <w:rFonts w:ascii="Arial" w:hAnsi="Arial" w:cs="Arial"/>
              </w:rPr>
            </w:pPr>
          </w:p>
          <w:p w14:paraId="278F3548" w14:textId="77777777" w:rsidR="00CF7F9D" w:rsidRPr="00CF7F9D" w:rsidRDefault="00CF7F9D" w:rsidP="00CF7F9D">
            <w:pPr>
              <w:jc w:val="both"/>
              <w:rPr>
                <w:rFonts w:ascii="Arial" w:hAnsi="Arial" w:cs="Arial"/>
                <w:b/>
                <w:bCs/>
              </w:rPr>
            </w:pPr>
            <w:r w:rsidRPr="00CF7F9D">
              <w:rPr>
                <w:rFonts w:ascii="Arial" w:hAnsi="Arial" w:cs="Arial"/>
                <w:b/>
                <w:bCs/>
              </w:rPr>
              <w:t>Results:</w:t>
            </w:r>
          </w:p>
          <w:p w14:paraId="3BFBE0F3" w14:textId="77777777" w:rsidR="00CF7F9D" w:rsidRPr="00CF7F9D" w:rsidRDefault="00CF7F9D" w:rsidP="00CF7F9D">
            <w:pPr>
              <w:jc w:val="both"/>
              <w:rPr>
                <w:rFonts w:ascii="Arial" w:hAnsi="Arial" w:cs="Arial"/>
              </w:rPr>
            </w:pPr>
            <w:r w:rsidRPr="00CF7F9D">
              <w:rPr>
                <w:rFonts w:ascii="Arial" w:hAnsi="Arial" w:cs="Arial"/>
              </w:rPr>
              <w:t>Findings indicate that the FDA’s adaptive framework for Software as a Medical Device (SaMD) and Good Machine Learning Practices (GMLP) improves transparency and safety but lacks consistent post-market oversight. The HHS/OCR’s temporary relaxation of HIPAA during COVID-19 expanded access yet revealed enduring privacy and accountability gaps. CMS’s reimbursement reforms accelerated telehealth adoption, serving over 9 million Medicare beneficiaries, but sustainability concerns remain regarding fraud prevention, equity, and long-term funding.</w:t>
            </w:r>
          </w:p>
          <w:p w14:paraId="48F1A34B" w14:textId="77777777" w:rsidR="00CF7F9D" w:rsidRPr="00CF7F9D" w:rsidRDefault="00CF7F9D" w:rsidP="00CF7F9D">
            <w:pPr>
              <w:jc w:val="both"/>
              <w:rPr>
                <w:rFonts w:ascii="Arial" w:hAnsi="Arial" w:cs="Arial"/>
              </w:rPr>
            </w:pPr>
          </w:p>
          <w:p w14:paraId="791245FD" w14:textId="77777777" w:rsidR="00CF7F9D" w:rsidRPr="00CF7F9D" w:rsidRDefault="00CF7F9D" w:rsidP="00CF7F9D">
            <w:pPr>
              <w:jc w:val="both"/>
              <w:rPr>
                <w:rFonts w:ascii="Arial" w:hAnsi="Arial" w:cs="Arial"/>
                <w:b/>
                <w:bCs/>
              </w:rPr>
            </w:pPr>
            <w:r w:rsidRPr="00CF7F9D">
              <w:rPr>
                <w:rFonts w:ascii="Arial" w:hAnsi="Arial" w:cs="Arial"/>
                <w:b/>
                <w:bCs/>
              </w:rPr>
              <w:t>Conclusion:</w:t>
            </w:r>
          </w:p>
          <w:p w14:paraId="493D5DE8" w14:textId="4D1401A1" w:rsidR="00505F06" w:rsidRPr="00302A27" w:rsidRDefault="00CF7F9D" w:rsidP="00CF7F9D">
            <w:pPr>
              <w:pStyle w:val="Body"/>
              <w:spacing w:after="0"/>
              <w:rPr>
                <w:rFonts w:ascii="Arial" w:eastAsia="Calibri" w:hAnsi="Arial" w:cs="Arial"/>
                <w:szCs w:val="22"/>
              </w:rPr>
            </w:pPr>
            <w:r w:rsidRPr="00CF7F9D">
              <w:rPr>
                <w:rFonts w:ascii="Arial" w:hAnsi="Arial" w:cs="Arial"/>
              </w:rPr>
              <w:t>AI-powered RMS enhance clinical efficiency, patient monitoring, and healthcare accessibility. However, trust, privacy, and regulatory coherence remain critical for long-term adoption. Policymakers should pursue an integrated national framework aligning innovation with ethical governance, privacy protection, and equitable reimbursement to ensure that digital transformation in U.S. healthcare remains both sustainable and inclusive</w:t>
            </w:r>
            <w:r w:rsidRPr="00CF7F9D">
              <w:rPr>
                <w:rFonts w:ascii="Arial" w:hAnsi="Arial" w:cs="Arial"/>
                <w:b/>
                <w:bCs/>
              </w:rPr>
              <w:t>.</w:t>
            </w:r>
          </w:p>
        </w:tc>
      </w:tr>
    </w:tbl>
    <w:p w14:paraId="3FE233D6" w14:textId="77777777" w:rsidR="00636EB2" w:rsidRPr="00302A27" w:rsidRDefault="00636EB2" w:rsidP="00441B6F">
      <w:pPr>
        <w:pStyle w:val="Body"/>
        <w:spacing w:after="0"/>
        <w:rPr>
          <w:rFonts w:ascii="Arial" w:hAnsi="Arial" w:cs="Arial"/>
          <w:i/>
        </w:rPr>
      </w:pPr>
    </w:p>
    <w:p w14:paraId="63EB7D4B" w14:textId="668BD81B" w:rsidR="00A24E7E" w:rsidRDefault="00A24E7E" w:rsidP="00441B6F">
      <w:pPr>
        <w:pStyle w:val="Body"/>
        <w:spacing w:after="0"/>
        <w:rPr>
          <w:rFonts w:ascii="Arial" w:hAnsi="Arial" w:cs="Arial"/>
          <w:i/>
        </w:rPr>
      </w:pPr>
      <w:r w:rsidRPr="00302A27">
        <w:rPr>
          <w:rFonts w:ascii="Arial" w:hAnsi="Arial" w:cs="Arial"/>
          <w:b/>
          <w:bCs/>
          <w:i/>
        </w:rPr>
        <w:t>Keywords:</w:t>
      </w:r>
      <w:r w:rsidRPr="00302A27">
        <w:rPr>
          <w:rFonts w:ascii="Arial" w:hAnsi="Arial" w:cs="Arial"/>
          <w:i/>
        </w:rPr>
        <w:t xml:space="preserve"> </w:t>
      </w:r>
      <w:r w:rsidR="006A781D" w:rsidRPr="00302A27">
        <w:rPr>
          <w:rFonts w:ascii="Arial" w:hAnsi="Arial" w:cs="Arial"/>
          <w:i/>
        </w:rPr>
        <w:t>Artificial intelligence, telehealth, remote monitoring systems,</w:t>
      </w:r>
      <w:r w:rsidR="00AD6280" w:rsidRPr="00302A27">
        <w:rPr>
          <w:rFonts w:ascii="Arial" w:hAnsi="Arial" w:cs="Arial"/>
          <w:i/>
        </w:rPr>
        <w:t xml:space="preserve"> </w:t>
      </w:r>
      <w:r w:rsidR="006A781D" w:rsidRPr="00302A27">
        <w:rPr>
          <w:rFonts w:ascii="Arial" w:hAnsi="Arial" w:cs="Arial"/>
          <w:i/>
        </w:rPr>
        <w:t>regulatory governance, patient trust, privacy, digital health transformation</w:t>
      </w:r>
    </w:p>
    <w:p w14:paraId="7DEA20F9" w14:textId="77777777" w:rsidR="00165DF5" w:rsidRPr="00302A27" w:rsidRDefault="00165DF5" w:rsidP="00441B6F">
      <w:pPr>
        <w:pStyle w:val="Body"/>
        <w:spacing w:after="0"/>
        <w:rPr>
          <w:rFonts w:ascii="Arial" w:hAnsi="Arial" w:cs="Arial"/>
          <w:i/>
        </w:rPr>
      </w:pPr>
    </w:p>
    <w:p w14:paraId="711B495D" w14:textId="0F8EA09A" w:rsidR="00790ADA" w:rsidRPr="00302A27" w:rsidRDefault="00B01FCD" w:rsidP="003728F1">
      <w:pPr>
        <w:pStyle w:val="AbstHead"/>
        <w:numPr>
          <w:ilvl w:val="0"/>
          <w:numId w:val="34"/>
        </w:numPr>
        <w:jc w:val="both"/>
        <w:rPr>
          <w:rFonts w:ascii="Arial" w:hAnsi="Arial" w:cs="Arial"/>
        </w:rPr>
      </w:pPr>
      <w:r w:rsidRPr="00302A27">
        <w:rPr>
          <w:rFonts w:ascii="Arial" w:hAnsi="Arial" w:cs="Arial"/>
        </w:rPr>
        <w:t>INTRODUCTION</w:t>
      </w:r>
      <w:r w:rsidR="007F7B32" w:rsidRPr="00302A27">
        <w:rPr>
          <w:rFonts w:ascii="Arial" w:hAnsi="Arial" w:cs="Arial"/>
        </w:rPr>
        <w:t xml:space="preserve"> </w:t>
      </w:r>
    </w:p>
    <w:p w14:paraId="5890EB16" w14:textId="5C0EC448" w:rsidR="00B426C9" w:rsidRPr="00302A27" w:rsidRDefault="00B426C9" w:rsidP="003728F1">
      <w:pPr>
        <w:pStyle w:val="Body"/>
        <w:rPr>
          <w:rFonts w:ascii="Arial" w:hAnsi="Arial" w:cs="Arial"/>
          <w:lang w:val="en-GB"/>
        </w:rPr>
      </w:pPr>
      <w:r w:rsidRPr="00302A27">
        <w:rPr>
          <w:rFonts w:ascii="Arial" w:hAnsi="Arial" w:cs="Arial"/>
          <w:lang w:val="en-GB"/>
        </w:rPr>
        <w:t xml:space="preserve">Telehealth (TH), also referred to as telemedicine, has undergone remarkable development in recent years, </w:t>
      </w:r>
      <w:r w:rsidRPr="00302A27">
        <w:rPr>
          <w:rFonts w:ascii="Arial" w:hAnsi="Arial" w:cs="Arial"/>
        </w:rPr>
        <w:t>fueled</w:t>
      </w:r>
      <w:r w:rsidRPr="00302A27">
        <w:rPr>
          <w:rFonts w:ascii="Arial" w:hAnsi="Arial" w:cs="Arial"/>
          <w:lang w:val="en-GB"/>
        </w:rPr>
        <w:t xml:space="preserve"> by advances in sensorization, monitoring, control, and communication </w:t>
      </w:r>
      <w:r w:rsidRPr="00302A27">
        <w:rPr>
          <w:rFonts w:ascii="Arial" w:hAnsi="Arial" w:cs="Arial"/>
          <w:lang w:val="en-GB"/>
        </w:rPr>
        <w:lastRenderedPageBreak/>
        <w:t>technologies (Giansanti, 2023). As a technology-based virtual platform, telehealth delivers a wide range of services, including health information, prevention, monitoring, and medical care. Its fastest-growing segment is telemedicine, which has become the largest component of this sector (Mechanic, Persaud, &amp; Kimball, 2017). By bridging the distance between healthcare providers and patients, telehealth offers a new approach to remote care delivery through real-time audio and visual communication, enabling access to hard-to-reach populations and addressing systemic barriers within healthcare. Information is exchanged over communication networks to monitor patient health status and provide clinical recommendations, consultations, treatments, education, and administrative services (Beheshti et al., 2022). The COVID-19 pandemic further accelerated telehealth adoption, as global healthcare systems faced unprecedented strain and rising costs. Relaxed regulatory guidelines, government promotion, and heightened patient acceptance have positioned telehealth as a cornerstone of digital healthcare transformation in the post-pandemic era (Mishra &amp; Sharma, 2022).</w:t>
      </w:r>
    </w:p>
    <w:p w14:paraId="4A9792EB" w14:textId="2ABA8868" w:rsidR="00B426C9" w:rsidRPr="00302A27" w:rsidRDefault="006B521C" w:rsidP="003728F1">
      <w:pPr>
        <w:pStyle w:val="Body"/>
        <w:rPr>
          <w:rFonts w:ascii="Arial" w:hAnsi="Arial" w:cs="Arial"/>
          <w:lang w:val="en-GB"/>
        </w:rPr>
      </w:pPr>
      <w:r w:rsidRPr="00302A27">
        <w:rPr>
          <w:rFonts w:ascii="Arial" w:hAnsi="Arial" w:cs="Arial"/>
          <w:lang w:val="en-GB"/>
        </w:rPr>
        <w:t xml:space="preserve">Artificial intelligence is playing an increasingly important role in the transformation of healthcare delivery, with </w:t>
      </w:r>
      <w:r w:rsidR="00BD4FB5" w:rsidRPr="00302A27">
        <w:rPr>
          <w:rFonts w:ascii="Arial" w:hAnsi="Arial" w:cs="Arial"/>
        </w:rPr>
        <w:t>remote monitoring systems</w:t>
      </w:r>
      <w:r w:rsidR="00BD4FB5" w:rsidRPr="00302A27">
        <w:rPr>
          <w:rFonts w:ascii="Arial" w:hAnsi="Arial" w:cs="Arial"/>
          <w:lang w:val="en-GB"/>
        </w:rPr>
        <w:t xml:space="preserve"> (</w:t>
      </w:r>
      <w:r w:rsidRPr="00302A27">
        <w:rPr>
          <w:rFonts w:ascii="Arial" w:hAnsi="Arial" w:cs="Arial"/>
          <w:lang w:val="en-GB"/>
        </w:rPr>
        <w:t>RMS</w:t>
      </w:r>
      <w:r w:rsidR="00BD4FB5" w:rsidRPr="00302A27">
        <w:rPr>
          <w:rFonts w:ascii="Arial" w:hAnsi="Arial" w:cs="Arial"/>
          <w:lang w:val="en-GB"/>
        </w:rPr>
        <w:t>)</w:t>
      </w:r>
      <w:r w:rsidRPr="00302A27">
        <w:rPr>
          <w:rFonts w:ascii="Arial" w:hAnsi="Arial" w:cs="Arial"/>
          <w:lang w:val="en-GB"/>
        </w:rPr>
        <w:t xml:space="preserve"> and telemedicine emerging as key drivers. According to Abbasi (2024), the incorporation of machine learning, natural language processing, and predictive analytics into remote patient monitoring (RPM) platforms has transformed the way patient data is collected, aggregated, and analyzed in real time.  These systems use wearable sensors, mobile health apps, and other digital technologies to monitor vital signs, track disease progression, and predict potential complications like cardiac events or diabetic crises before they appear clinically. </w:t>
      </w:r>
      <w:r w:rsidR="002439DC" w:rsidRPr="00302A27">
        <w:rPr>
          <w:rFonts w:ascii="Arial" w:hAnsi="Arial" w:cs="Arial"/>
        </w:rPr>
        <w:t>This predictive capacity promotes preventative care, lowers hospital admissions</w:t>
      </w:r>
      <w:r w:rsidR="009B6B34" w:rsidRPr="00302A27">
        <w:rPr>
          <w:rFonts w:ascii="Arial" w:hAnsi="Arial" w:cs="Arial"/>
        </w:rPr>
        <w:t xml:space="preserve">. It also </w:t>
      </w:r>
      <w:r w:rsidR="002439DC" w:rsidRPr="00302A27">
        <w:rPr>
          <w:rFonts w:ascii="Arial" w:hAnsi="Arial" w:cs="Arial"/>
        </w:rPr>
        <w:t>improves clinical efficiency by providing healthcare practitioners with timely, data-driven insights for decision-making. RMS enables physicians to care for patients with chronic or complicated disorders</w:t>
      </w:r>
      <w:r w:rsidR="00334975" w:rsidRPr="00302A27">
        <w:rPr>
          <w:rFonts w:ascii="Arial" w:hAnsi="Arial" w:cs="Arial"/>
        </w:rPr>
        <w:t>, and it also helps</w:t>
      </w:r>
      <w:r w:rsidR="002439DC" w:rsidRPr="00302A27">
        <w:rPr>
          <w:rFonts w:ascii="Arial" w:hAnsi="Arial" w:cs="Arial"/>
        </w:rPr>
        <w:t xml:space="preserve"> expand services to groups with limited access to traditional healthcare, including the elderly and those living in distant locations (Abbasi, 2024; Savoldelli et al., 2024).</w:t>
      </w:r>
    </w:p>
    <w:p w14:paraId="1FA65D2D" w14:textId="494D17AC" w:rsidR="00B01FCD" w:rsidRPr="00302A27" w:rsidRDefault="00B426C9" w:rsidP="003728F1">
      <w:pPr>
        <w:pStyle w:val="Body"/>
        <w:rPr>
          <w:rFonts w:ascii="Arial" w:hAnsi="Arial" w:cs="Arial"/>
          <w:lang w:val="en-GB"/>
        </w:rPr>
      </w:pPr>
      <w:r w:rsidRPr="00302A27">
        <w:rPr>
          <w:rFonts w:ascii="Arial" w:hAnsi="Arial" w:cs="Arial"/>
          <w:lang w:val="en-GB"/>
        </w:rPr>
        <w:t>The deployment of AI in RMS is equally significant in clinical decision support, as real-time data consolidation allows practitioners to receive continuous feedback and alerts when abnormal health trends arise. For instance, continuous electrocardiogram monitoring combined with AI-based pattern recognition can detect irregular rhythms and notify cardiologists for rapid intervention (Abbasi, 2024). Such systems enhance diagnostic accuracy, reduce human error, and promote personalized medicine, since AI-driven models can generate health profiles tailored to patients’ biological, behavioral, and lifestyle characteristics. This level of precision medicine increases treatment efficacy, reduces side effects, and ensures patient-centered care while optimizing healthcare costs and resource allocation across systems.</w:t>
      </w:r>
    </w:p>
    <w:p w14:paraId="75CA3C2C" w14:textId="75C46996" w:rsidR="0030741A" w:rsidRPr="00302A27" w:rsidRDefault="0030741A" w:rsidP="003728F1">
      <w:pPr>
        <w:pStyle w:val="Body"/>
        <w:numPr>
          <w:ilvl w:val="1"/>
          <w:numId w:val="34"/>
        </w:numPr>
        <w:rPr>
          <w:rFonts w:ascii="Arial" w:hAnsi="Arial" w:cs="Arial"/>
          <w:b/>
          <w:sz w:val="22"/>
          <w:lang w:val="en-GB"/>
        </w:rPr>
      </w:pPr>
      <w:r w:rsidRPr="00302A27">
        <w:rPr>
          <w:rFonts w:ascii="Arial" w:hAnsi="Arial" w:cs="Arial"/>
          <w:b/>
          <w:sz w:val="22"/>
          <w:lang w:val="en-GB"/>
        </w:rPr>
        <w:t>Importance</w:t>
      </w:r>
      <w:r w:rsidRPr="00302A27">
        <w:rPr>
          <w:rFonts w:ascii="Arial" w:hAnsi="Arial" w:cs="Arial"/>
          <w:b/>
          <w:sz w:val="22"/>
        </w:rPr>
        <w:t xml:space="preserve"> of user trust and data privacy </w:t>
      </w:r>
    </w:p>
    <w:p w14:paraId="064211D3" w14:textId="77EDE665" w:rsidR="0030741A" w:rsidRPr="00302A27" w:rsidRDefault="00AD7A5C" w:rsidP="003728F1">
      <w:pPr>
        <w:pStyle w:val="Body"/>
        <w:rPr>
          <w:rFonts w:ascii="Arial" w:hAnsi="Arial" w:cs="Arial"/>
          <w:lang w:val="en-GB"/>
        </w:rPr>
      </w:pPr>
      <w:r w:rsidRPr="00302A27">
        <w:rPr>
          <w:rFonts w:ascii="Arial" w:hAnsi="Arial" w:cs="Arial"/>
          <w:lang w:val="en-GB"/>
        </w:rPr>
        <w:t>T</w:t>
      </w:r>
      <w:r w:rsidR="0030741A" w:rsidRPr="00302A27">
        <w:rPr>
          <w:rFonts w:ascii="Arial" w:hAnsi="Arial" w:cs="Arial"/>
          <w:lang w:val="en-GB"/>
        </w:rPr>
        <w:t xml:space="preserve">he long-term success of AI-powered RMS depends heavily on user trust and data privacy. </w:t>
      </w:r>
      <w:r w:rsidR="00A968E9" w:rsidRPr="00302A27">
        <w:rPr>
          <w:rFonts w:ascii="Arial" w:hAnsi="Arial" w:cs="Arial"/>
          <w:lang w:val="en-GB"/>
        </w:rPr>
        <w:t>P</w:t>
      </w:r>
      <w:r w:rsidR="0030741A" w:rsidRPr="00302A27">
        <w:rPr>
          <w:rFonts w:ascii="Arial" w:hAnsi="Arial" w:cs="Arial"/>
          <w:lang w:val="en-GB"/>
        </w:rPr>
        <w:t>atients and clinicians often question the reliability and transparency of algorithmic decision-making</w:t>
      </w:r>
      <w:r w:rsidR="00A968E9" w:rsidRPr="00302A27">
        <w:rPr>
          <w:rFonts w:ascii="Arial" w:hAnsi="Arial" w:cs="Arial"/>
          <w:lang w:val="en-GB"/>
        </w:rPr>
        <w:t xml:space="preserve"> making trust a major concern</w:t>
      </w:r>
      <w:r w:rsidR="0030741A" w:rsidRPr="00302A27">
        <w:rPr>
          <w:rFonts w:ascii="Arial" w:hAnsi="Arial" w:cs="Arial"/>
          <w:lang w:val="en-GB"/>
        </w:rPr>
        <w:t>. Abbasi (2024) stresses that skepticism can undermine adoption if users do not clearly understand how AI models reach conclusions or if systems appear to reduce physician oversight. Equally important are privacy concerns, as RMS generate vast amounts of sensitive health information through continuous monitoring. Recent studies emphasize that health data breaches, unauthorized secondary use, or inadequate encryption could erode confidence in telehealth platforms, making patients hesitant to share information or engage fully with remote monitoring services (Kalasin &amp; Surareungchai, 2023). Compliance with regulations such as HIPAA in the U.S. is essential, but regulatory frameworks must also evolve to address the complexity of AI-driven systems, which continuously update and adapt to new data.</w:t>
      </w:r>
    </w:p>
    <w:p w14:paraId="1982ED09" w14:textId="38AD63BF" w:rsidR="00C37077" w:rsidRPr="00302A27" w:rsidRDefault="0030741A" w:rsidP="003728F1">
      <w:pPr>
        <w:pStyle w:val="Body"/>
        <w:rPr>
          <w:rFonts w:ascii="Arial" w:hAnsi="Arial" w:cs="Arial"/>
          <w:lang w:val="en-GB"/>
        </w:rPr>
      </w:pPr>
      <w:r w:rsidRPr="00302A27">
        <w:rPr>
          <w:rFonts w:ascii="Arial" w:hAnsi="Arial" w:cs="Arial"/>
          <w:lang w:val="en-GB"/>
        </w:rPr>
        <w:lastRenderedPageBreak/>
        <w:t xml:space="preserve">Safeguarding user trust therefore requires transparent system design, clear communication of AI’s role in care, and strong physician involvement to reassure patients of human oversight. Equally, ensuring robust data protection demands multi-factor authentication, advanced encryption, frequent security audits, and patient education on how their data will be used. As Savoldelli et al. (2024) demonstrate, predictive models for cardiovascular risk are only sustainable if patients believe the technology is accurate, secure, and aligned with their interests. Without these safeguards, the promise of AI in enhancing healthcare efficiency and outcomes will be undermined by user resistance. </w:t>
      </w:r>
      <w:r w:rsidR="00C37077" w:rsidRPr="00C37077">
        <w:rPr>
          <w:rFonts w:ascii="Arial" w:hAnsi="Arial" w:cs="Arial"/>
        </w:rPr>
        <w:t>Therefore, the ability to earn and retain patient trust, ethical responsibility, and regulatory compliance are just as important as technological performance in the adoption of AI-powered RMS</w:t>
      </w:r>
      <w:r w:rsidR="00C37077" w:rsidRPr="00302A27">
        <w:rPr>
          <w:rFonts w:ascii="Arial" w:hAnsi="Arial" w:cs="Arial"/>
        </w:rPr>
        <w:t>.</w:t>
      </w:r>
    </w:p>
    <w:p w14:paraId="09E551C9" w14:textId="77777777" w:rsidR="00B75D8A" w:rsidRPr="00302A27" w:rsidRDefault="0030741A" w:rsidP="005B4A80">
      <w:pPr>
        <w:pStyle w:val="Body"/>
        <w:numPr>
          <w:ilvl w:val="1"/>
          <w:numId w:val="34"/>
        </w:numPr>
        <w:rPr>
          <w:rFonts w:ascii="Arial" w:hAnsi="Arial" w:cs="Arial"/>
          <w:lang w:val="en-GB"/>
        </w:rPr>
      </w:pPr>
      <w:r w:rsidRPr="00302A27">
        <w:rPr>
          <w:rFonts w:ascii="Arial" w:hAnsi="Arial" w:cs="Arial"/>
          <w:b/>
          <w:sz w:val="22"/>
        </w:rPr>
        <w:t xml:space="preserve">Research problem </w:t>
      </w:r>
    </w:p>
    <w:p w14:paraId="5FC790B3" w14:textId="5527FB4C" w:rsidR="0030741A" w:rsidRPr="00302A27" w:rsidRDefault="0030741A" w:rsidP="003728F1">
      <w:pPr>
        <w:pStyle w:val="Body"/>
        <w:rPr>
          <w:rFonts w:ascii="Arial" w:hAnsi="Arial" w:cs="Arial"/>
          <w:lang w:val="en-GB"/>
        </w:rPr>
      </w:pPr>
      <w:r w:rsidRPr="00302A27">
        <w:rPr>
          <w:rFonts w:ascii="Arial" w:hAnsi="Arial" w:cs="Arial"/>
          <w:lang w:val="en-GB"/>
        </w:rPr>
        <w:t>The rapid expansion of artificial intelligence (AI)-powered telehealth and RMS in the United States has transformed healthcare delivery by enhancing clinical decision-making, enabling continuous monitoring, and reducing costs of care (Abbasi, 2024; Savoldelli et al., 2024). However, their success relies not only on technological efficiency but also on patient trust, data privacy, and system usability. Current research reveals that while AI-driven platforms improve patient outcomes through predictive analytics and personalized care, skepticism persists regarding algorithm transparency, physician oversight, and the security of sensitive health information (Kalasin &amp; Surareungchai, 2023).By synthesizing studies across clinical, technical, and ethical domains, this review provide a structured understanding of how AI-powered RMS are perceived, how privacy safeguards are operationalized, and how these factors influence long-term adoption in U.S. healthcare.</w:t>
      </w:r>
    </w:p>
    <w:p w14:paraId="06070D21" w14:textId="7B3659D3" w:rsidR="0030741A" w:rsidRPr="00302A27" w:rsidRDefault="0030741A" w:rsidP="00E02E5D">
      <w:pPr>
        <w:pStyle w:val="Body"/>
        <w:rPr>
          <w:rFonts w:ascii="Arial" w:hAnsi="Arial" w:cs="Arial"/>
          <w:b/>
          <w:sz w:val="22"/>
          <w:szCs w:val="22"/>
        </w:rPr>
      </w:pPr>
      <w:bookmarkStart w:id="0" w:name="_GoBack"/>
      <w:bookmarkEnd w:id="0"/>
      <w:r w:rsidRPr="00302A27">
        <w:rPr>
          <w:rFonts w:ascii="Arial" w:hAnsi="Arial" w:cs="Arial"/>
          <w:b/>
          <w:sz w:val="22"/>
          <w:szCs w:val="22"/>
        </w:rPr>
        <w:t xml:space="preserve"> Research Objectives</w:t>
      </w:r>
    </w:p>
    <w:p w14:paraId="7E726243" w14:textId="061BD26B" w:rsidR="0030741A" w:rsidRPr="00302A27" w:rsidRDefault="0030741A" w:rsidP="003728F1">
      <w:pPr>
        <w:pStyle w:val="Body"/>
        <w:rPr>
          <w:rFonts w:ascii="Arial" w:hAnsi="Arial" w:cs="Arial"/>
          <w:lang w:val="en-GB"/>
        </w:rPr>
      </w:pPr>
      <w:r w:rsidRPr="00302A27">
        <w:rPr>
          <w:rFonts w:ascii="Arial" w:hAnsi="Arial" w:cs="Arial"/>
          <w:lang w:val="en-GB"/>
        </w:rPr>
        <w:t xml:space="preserve">This systematic review seeks to synthesize evidence on patient trust and acceptance of AI-powered telehealth systems in the U.S., examine the privacy and security frameworks that underpin telehealth platforms, and evaluate the effectiveness of AI-powered </w:t>
      </w:r>
      <w:r w:rsidR="009C6297" w:rsidRPr="00302A27">
        <w:rPr>
          <w:rFonts w:ascii="Arial" w:hAnsi="Arial" w:cs="Arial"/>
          <w:lang w:val="en-GB"/>
        </w:rPr>
        <w:t>RMS</w:t>
      </w:r>
      <w:r w:rsidRPr="00302A27">
        <w:rPr>
          <w:rFonts w:ascii="Arial" w:hAnsi="Arial" w:cs="Arial"/>
          <w:lang w:val="en-GB"/>
        </w:rPr>
        <w:t xml:space="preserve"> in terms of usability, accuracy, and regulatory compliance. It also aims to identify barriers and enablers to trust, adoption, and equitable access in AI-powered telehealth, and to provide policy and practice recommendations that support sustainable digital transformation in healthcare.</w:t>
      </w:r>
    </w:p>
    <w:p w14:paraId="3E68FA7F" w14:textId="4E85C7C0" w:rsidR="0030741A" w:rsidRPr="00302A27" w:rsidRDefault="0030741A" w:rsidP="003728F1">
      <w:pPr>
        <w:pStyle w:val="AbstHead"/>
        <w:numPr>
          <w:ilvl w:val="0"/>
          <w:numId w:val="34"/>
        </w:numPr>
        <w:jc w:val="both"/>
        <w:rPr>
          <w:rFonts w:ascii="Arial" w:hAnsi="Arial" w:cs="Arial"/>
        </w:rPr>
      </w:pPr>
      <w:r w:rsidRPr="00302A27">
        <w:rPr>
          <w:rFonts w:ascii="Arial" w:hAnsi="Arial" w:cs="Arial"/>
          <w:bCs/>
        </w:rPr>
        <w:t>Theoretical Foundations</w:t>
      </w:r>
    </w:p>
    <w:p w14:paraId="3EEB7030" w14:textId="417C000C" w:rsidR="0030741A" w:rsidRPr="00302A27" w:rsidRDefault="0030741A" w:rsidP="003728F1">
      <w:pPr>
        <w:pStyle w:val="Body"/>
        <w:rPr>
          <w:rFonts w:ascii="Arial" w:hAnsi="Arial" w:cs="Arial"/>
          <w:lang w:val="en-GB"/>
        </w:rPr>
      </w:pPr>
      <w:r w:rsidRPr="00302A27">
        <w:rPr>
          <w:rFonts w:ascii="Arial" w:hAnsi="Arial" w:cs="Arial"/>
          <w:lang w:val="en-GB"/>
        </w:rPr>
        <w:t xml:space="preserve">Several theoretical perspectives frame the adoption and trust of AI-powered </w:t>
      </w:r>
      <w:r w:rsidR="009C6297" w:rsidRPr="00302A27">
        <w:rPr>
          <w:rFonts w:ascii="Arial" w:hAnsi="Arial" w:cs="Arial"/>
          <w:lang w:val="en-GB"/>
        </w:rPr>
        <w:t>RMS</w:t>
      </w:r>
      <w:r w:rsidRPr="00302A27">
        <w:rPr>
          <w:rFonts w:ascii="Arial" w:hAnsi="Arial" w:cs="Arial"/>
          <w:lang w:val="en-GB"/>
        </w:rPr>
        <w:t xml:space="preserve"> in healthcare. The Technology Acceptance Model (TAM) highlights the importance of perceived usefulness and ease of use in shaping both patient and clinician adoption of telehealth technologies. This model is particularly relevant to AI-enabled platforms, where system reliability and user-friendliness drive engagement and trust (Nguyen, Fujioka, Wentlandt, Onabajo, Wong, Bhatia, &amp; Stamenova, 2020).</w:t>
      </w:r>
    </w:p>
    <w:p w14:paraId="32DFEC3A" w14:textId="20BF2596" w:rsidR="0030741A" w:rsidRPr="00302A27" w:rsidRDefault="0030741A" w:rsidP="003728F1">
      <w:pPr>
        <w:pStyle w:val="Body"/>
        <w:rPr>
          <w:rFonts w:ascii="Arial" w:hAnsi="Arial" w:cs="Arial"/>
          <w:lang w:val="en-GB"/>
        </w:rPr>
      </w:pPr>
      <w:r w:rsidRPr="00302A27">
        <w:rPr>
          <w:rFonts w:ascii="Arial" w:hAnsi="Arial" w:cs="Arial"/>
          <w:lang w:val="en-GB"/>
        </w:rPr>
        <w:t>Socio-technical systems theory emphasizes the interplay between human, organizational, and technical components (</w:t>
      </w:r>
      <w:r w:rsidRPr="00302A27">
        <w:rPr>
          <w:rFonts w:ascii="Arial" w:hAnsi="Arial" w:cs="Arial"/>
        </w:rPr>
        <w:t>Partanen, Seppänen-Järvelä, Hiekkala, &amp; Lindh, 2023)</w:t>
      </w:r>
      <w:r w:rsidRPr="00302A27">
        <w:rPr>
          <w:rFonts w:ascii="Arial" w:hAnsi="Arial" w:cs="Arial"/>
          <w:lang w:val="en-GB"/>
        </w:rPr>
        <w:t>. Applied to telehealth</w:t>
      </w:r>
      <w:r w:rsidR="003935BD">
        <w:rPr>
          <w:rFonts w:ascii="Arial" w:hAnsi="Arial" w:cs="Arial"/>
          <w:lang w:val="en-GB"/>
        </w:rPr>
        <w:t xml:space="preserve">, </w:t>
      </w:r>
      <w:r w:rsidR="003935BD" w:rsidRPr="00302A27">
        <w:rPr>
          <w:rFonts w:ascii="Arial" w:hAnsi="Arial" w:cs="Arial"/>
          <w:lang w:val="en-GB"/>
        </w:rPr>
        <w:t>Socio-technical systems theory</w:t>
      </w:r>
      <w:r w:rsidRPr="00302A27">
        <w:rPr>
          <w:rFonts w:ascii="Arial" w:hAnsi="Arial" w:cs="Arial"/>
          <w:lang w:val="en-GB"/>
        </w:rPr>
        <w:t xml:space="preserve"> </w:t>
      </w:r>
      <w:r w:rsidR="003935BD">
        <w:rPr>
          <w:rFonts w:ascii="Arial" w:hAnsi="Arial" w:cs="Arial"/>
          <w:lang w:val="en-GB"/>
        </w:rPr>
        <w:t xml:space="preserve">suggests </w:t>
      </w:r>
      <w:r w:rsidRPr="00302A27">
        <w:rPr>
          <w:rFonts w:ascii="Arial" w:hAnsi="Arial" w:cs="Arial"/>
          <w:lang w:val="en-GB"/>
        </w:rPr>
        <w:t>that AI systems should enhance rather than replace clinician–patient interactions, reinforcing the need for alignment between technological innovations and healthcare workflows.</w:t>
      </w:r>
      <w:r w:rsidR="001F467D" w:rsidRPr="00302A27">
        <w:rPr>
          <w:rFonts w:ascii="Arial" w:hAnsi="Arial" w:cs="Arial"/>
          <w:lang w:val="en-GB"/>
        </w:rPr>
        <w:t xml:space="preserve"> </w:t>
      </w:r>
      <w:r w:rsidRPr="00302A27">
        <w:rPr>
          <w:rFonts w:ascii="Arial" w:hAnsi="Arial" w:cs="Arial"/>
          <w:lang w:val="en-GB"/>
        </w:rPr>
        <w:t>In addition, the concept of trust calibration in human–AI interaction provides insights into how transparency and explainability affect user confidence (Tomsett, Preece, Braines, Cerutti, Chakraborty, Srivastava, &amp; Kaplan, 2020). Studies on explainable AI (XAI) demonstrate that providing appropriate levels of information fosters balanced reliance, preventing both over-trust and under-trust of algorithmic recommendations (Zeng et al., 2025; Costantino et al., 2022).</w:t>
      </w:r>
    </w:p>
    <w:p w14:paraId="4C5143D0" w14:textId="00CFC77C" w:rsidR="00790ADA" w:rsidRPr="00302A27" w:rsidRDefault="0030741A" w:rsidP="003728F1">
      <w:pPr>
        <w:pStyle w:val="Body"/>
        <w:rPr>
          <w:rFonts w:ascii="Arial" w:hAnsi="Arial" w:cs="Arial"/>
        </w:rPr>
      </w:pPr>
      <w:r w:rsidRPr="00302A27">
        <w:rPr>
          <w:rFonts w:ascii="Arial" w:hAnsi="Arial" w:cs="Arial"/>
          <w:lang w:val="en-GB"/>
        </w:rPr>
        <w:lastRenderedPageBreak/>
        <w:t>Finally, theories of digital governance and data stewardship inform the ongoing debates on privacy, consent, and security (Rosenbaum, 2010; Viljoen, 2021). These frameworks argue that trust in digital health depends on embedding ethical and regulatory safeguards into the design of AI-enabled systems, ensuring patient data integrity and accountability</w:t>
      </w:r>
      <w:r w:rsidRPr="00302A27">
        <w:rPr>
          <w:rFonts w:ascii="Arial" w:hAnsi="Arial" w:cs="Arial"/>
        </w:rPr>
        <w:t>.</w:t>
      </w:r>
    </w:p>
    <w:p w14:paraId="6D78266B" w14:textId="1172A800" w:rsidR="00790ADA" w:rsidRPr="00302A27" w:rsidRDefault="00902823" w:rsidP="003728F1">
      <w:pPr>
        <w:pStyle w:val="AbstHead"/>
        <w:numPr>
          <w:ilvl w:val="0"/>
          <w:numId w:val="34"/>
        </w:numPr>
        <w:jc w:val="both"/>
        <w:rPr>
          <w:rFonts w:ascii="Arial" w:hAnsi="Arial" w:cs="Arial"/>
        </w:rPr>
      </w:pPr>
      <w:r w:rsidRPr="00302A27">
        <w:rPr>
          <w:rFonts w:ascii="Arial" w:hAnsi="Arial" w:cs="Arial"/>
        </w:rPr>
        <w:t xml:space="preserve"> </w:t>
      </w:r>
      <w:r w:rsidR="006B57D0" w:rsidRPr="00302A27">
        <w:rPr>
          <w:rFonts w:ascii="Arial" w:hAnsi="Arial" w:cs="Arial"/>
        </w:rPr>
        <w:t>methodology</w:t>
      </w:r>
      <w:r w:rsidR="007F7B32" w:rsidRPr="00302A27">
        <w:rPr>
          <w:rFonts w:ascii="Arial" w:hAnsi="Arial" w:cs="Arial"/>
        </w:rPr>
        <w:t xml:space="preserve"> </w:t>
      </w:r>
    </w:p>
    <w:p w14:paraId="7E726116" w14:textId="0BFFF0A8" w:rsidR="005B0E7C" w:rsidRPr="005B0E7C" w:rsidRDefault="005B0E7C" w:rsidP="005B0E7C">
      <w:pPr>
        <w:pStyle w:val="Body"/>
        <w:spacing w:after="0"/>
        <w:rPr>
          <w:rFonts w:ascii="Arial" w:hAnsi="Arial" w:cs="Arial"/>
          <w:bCs/>
        </w:rPr>
      </w:pPr>
      <w:r w:rsidRPr="005B0E7C">
        <w:rPr>
          <w:rFonts w:ascii="Arial" w:hAnsi="Arial" w:cs="Arial"/>
          <w:bCs/>
        </w:rPr>
        <w:t>This study adopted a systematic review approach to synthesize evidence from scholarly journals, conference proceedings, and institutional reports addressing artificial intelligence (AI) applications in remote monitoring systems (RMS) and telehealth. The review followed the Preferred Reporting Items for Systematic Reviews and Meta-Analyses (PRISMA) guidelines to ensure transparency, replicability, and methodological rigor.</w:t>
      </w:r>
      <w:r>
        <w:rPr>
          <w:rFonts w:ascii="Arial" w:hAnsi="Arial" w:cs="Arial"/>
          <w:bCs/>
        </w:rPr>
        <w:t xml:space="preserve"> </w:t>
      </w:r>
      <w:r w:rsidRPr="005B0E7C">
        <w:rPr>
          <w:rFonts w:ascii="Arial" w:hAnsi="Arial" w:cs="Arial"/>
          <w:bCs/>
        </w:rPr>
        <w:t>The PRISMA process comprised four main stages: identification, screening, eligibility, and inclusion.</w:t>
      </w:r>
    </w:p>
    <w:p w14:paraId="050391BE" w14:textId="77777777" w:rsidR="005B0E7C" w:rsidRPr="005B0E7C" w:rsidRDefault="005B0E7C" w:rsidP="005B0E7C">
      <w:pPr>
        <w:pStyle w:val="Body"/>
        <w:spacing w:after="0"/>
        <w:rPr>
          <w:rFonts w:ascii="Arial" w:hAnsi="Arial" w:cs="Arial"/>
          <w:bCs/>
        </w:rPr>
      </w:pPr>
    </w:p>
    <w:p w14:paraId="53913689" w14:textId="6E2D4629" w:rsidR="005B0E7C" w:rsidRPr="005B0E7C" w:rsidRDefault="005B0E7C" w:rsidP="005B0E7C">
      <w:pPr>
        <w:pStyle w:val="Body"/>
        <w:spacing w:after="0"/>
        <w:rPr>
          <w:rFonts w:ascii="Arial" w:hAnsi="Arial" w:cs="Arial"/>
          <w:bCs/>
        </w:rPr>
      </w:pPr>
      <w:r w:rsidRPr="005B0E7C">
        <w:rPr>
          <w:rFonts w:ascii="Arial" w:hAnsi="Arial" w:cs="Arial"/>
          <w:bCs/>
        </w:rPr>
        <w:t>Comprehensive searches were conducted across five electronic databases</w:t>
      </w:r>
      <w:r w:rsidR="00FF12C0">
        <w:rPr>
          <w:rFonts w:ascii="Arial" w:hAnsi="Arial" w:cs="Arial"/>
          <w:bCs/>
        </w:rPr>
        <w:t xml:space="preserve"> </w:t>
      </w:r>
      <w:r w:rsidRPr="005B0E7C">
        <w:rPr>
          <w:rFonts w:ascii="Arial" w:hAnsi="Arial" w:cs="Arial"/>
          <w:bCs/>
        </w:rPr>
        <w:t>PubMed, Scopus, IEEE Xplore, Web of Science, and Google Scholar</w:t>
      </w:r>
      <w:r w:rsidR="00FF12C0">
        <w:rPr>
          <w:rFonts w:ascii="Arial" w:hAnsi="Arial" w:cs="Arial"/>
          <w:bCs/>
        </w:rPr>
        <w:t xml:space="preserve"> </w:t>
      </w:r>
      <w:r w:rsidRPr="005B0E7C">
        <w:rPr>
          <w:rFonts w:ascii="Arial" w:hAnsi="Arial" w:cs="Arial"/>
          <w:bCs/>
        </w:rPr>
        <w:t>to capture interdisciplinary studies published between 2020 and 2025, with foundational works included where conceptually relevant. The search strategy combined keywords and Boolean operators such as “digital transformation,” “telehealth,” “artificial intelligence,” “machine learning,” “remote patient monitoring,” “RMS,” “trust,” “privacy,” and “explainability.”</w:t>
      </w:r>
    </w:p>
    <w:p w14:paraId="04E61A96" w14:textId="77777777" w:rsidR="005B0E7C" w:rsidRPr="005B0E7C" w:rsidRDefault="005B0E7C" w:rsidP="005B0E7C">
      <w:pPr>
        <w:pStyle w:val="Body"/>
        <w:spacing w:after="0"/>
        <w:rPr>
          <w:rFonts w:ascii="Arial" w:hAnsi="Arial" w:cs="Arial"/>
          <w:bCs/>
        </w:rPr>
      </w:pPr>
    </w:p>
    <w:p w14:paraId="508952FF" w14:textId="77777777" w:rsidR="005B0E7C" w:rsidRPr="005B0E7C" w:rsidRDefault="005B0E7C" w:rsidP="005B0E7C">
      <w:pPr>
        <w:pStyle w:val="Body"/>
        <w:spacing w:after="0"/>
        <w:rPr>
          <w:rFonts w:ascii="Arial" w:hAnsi="Arial" w:cs="Arial"/>
          <w:bCs/>
        </w:rPr>
      </w:pPr>
      <w:r w:rsidRPr="005B0E7C">
        <w:rPr>
          <w:rFonts w:ascii="Arial" w:hAnsi="Arial" w:cs="Arial"/>
          <w:bCs/>
        </w:rPr>
        <w:t>All retrieved records were imported into a reference management tool to remove duplicates. Titles and abstracts were screened to exclude non-relevant, non-healthcare-related, or non-peer-reviewed publications. Only empirical studies, systematic reviews, and policy papers directly related to AI-enabled telehealth, data privacy, usability, or trust were retained for further assessment.</w:t>
      </w:r>
    </w:p>
    <w:p w14:paraId="5DA09DE5" w14:textId="74C01094" w:rsidR="005B0E7C" w:rsidRPr="005B0E7C" w:rsidRDefault="005B0E7C" w:rsidP="005B0E7C">
      <w:pPr>
        <w:pStyle w:val="Body"/>
        <w:spacing w:after="0"/>
        <w:rPr>
          <w:rFonts w:ascii="Arial" w:hAnsi="Arial" w:cs="Arial"/>
          <w:bCs/>
        </w:rPr>
      </w:pPr>
    </w:p>
    <w:p w14:paraId="75D63EBE" w14:textId="77777777" w:rsidR="005B0E7C" w:rsidRPr="005B0E7C" w:rsidRDefault="005B0E7C" w:rsidP="005B0E7C">
      <w:pPr>
        <w:pStyle w:val="Body"/>
        <w:spacing w:after="0"/>
        <w:rPr>
          <w:rFonts w:ascii="Arial" w:hAnsi="Arial" w:cs="Arial"/>
          <w:bCs/>
        </w:rPr>
      </w:pPr>
      <w:r w:rsidRPr="005B0E7C">
        <w:rPr>
          <w:rFonts w:ascii="Arial" w:hAnsi="Arial" w:cs="Arial"/>
          <w:bCs/>
        </w:rPr>
        <w:t>Full-text screening was then undertaken to evaluate methodological quality, thematic relevance, and publication credibility. Studies lacking methodological transparency or those outside the U.S. context were excluded.</w:t>
      </w:r>
    </w:p>
    <w:p w14:paraId="12BA7599" w14:textId="0748FCC6" w:rsidR="005B0E7C" w:rsidRPr="005B0E7C" w:rsidRDefault="005B0E7C" w:rsidP="005B0E7C">
      <w:pPr>
        <w:pStyle w:val="Body"/>
        <w:spacing w:after="0"/>
        <w:rPr>
          <w:rFonts w:ascii="Arial" w:hAnsi="Arial" w:cs="Arial"/>
          <w:bCs/>
        </w:rPr>
      </w:pPr>
    </w:p>
    <w:p w14:paraId="163E2CA0" w14:textId="77777777" w:rsidR="005B0E7C" w:rsidRPr="005B0E7C" w:rsidRDefault="005B0E7C" w:rsidP="005B0E7C">
      <w:pPr>
        <w:pStyle w:val="Body"/>
        <w:spacing w:after="0"/>
        <w:rPr>
          <w:rFonts w:ascii="Arial" w:hAnsi="Arial" w:cs="Arial"/>
          <w:bCs/>
        </w:rPr>
      </w:pPr>
      <w:r w:rsidRPr="005B0E7C">
        <w:rPr>
          <w:rFonts w:ascii="Arial" w:hAnsi="Arial" w:cs="Arial"/>
          <w:bCs/>
        </w:rPr>
        <w:t>A total of 15 high-quality peer-reviewed studies met the final inclusion criteria. These studies were selected based on their contribution to understanding AI integration, patient trust, data governance, and regulatory frameworks in telehealth.</w:t>
      </w:r>
    </w:p>
    <w:p w14:paraId="6A42B8E2" w14:textId="77777777" w:rsidR="005B0E7C" w:rsidRPr="005B0E7C" w:rsidRDefault="005B0E7C" w:rsidP="005B0E7C">
      <w:pPr>
        <w:pStyle w:val="Body"/>
        <w:spacing w:after="0"/>
        <w:rPr>
          <w:rFonts w:ascii="Arial" w:hAnsi="Arial" w:cs="Arial"/>
          <w:bCs/>
        </w:rPr>
      </w:pPr>
    </w:p>
    <w:p w14:paraId="20B8C4F9" w14:textId="77777777" w:rsidR="005B0E7C" w:rsidRDefault="005B0E7C" w:rsidP="005B0E7C">
      <w:pPr>
        <w:pStyle w:val="Body"/>
        <w:spacing w:after="0"/>
        <w:rPr>
          <w:rFonts w:ascii="Arial" w:hAnsi="Arial" w:cs="Arial"/>
          <w:bCs/>
        </w:rPr>
      </w:pPr>
      <w:r w:rsidRPr="005B0E7C">
        <w:rPr>
          <w:rFonts w:ascii="Arial" w:hAnsi="Arial" w:cs="Arial"/>
          <w:bCs/>
        </w:rPr>
        <w:t>The included studies were analyzed using thematic synthesis, which enabled identification of recurring patterns and emerging insights across technical, ethical, and policy domains. Quality assessment emphasized clarity, ethical soundness, and the contribution of each study to the broader understanding of digital health transformation. This process ensured that the final synthesis was both comprehensive and evidence-based.</w:t>
      </w:r>
    </w:p>
    <w:p w14:paraId="31351201" w14:textId="61484E36" w:rsidR="000B09C2" w:rsidRDefault="000B09C2" w:rsidP="005B0E7C">
      <w:pPr>
        <w:pStyle w:val="Body"/>
        <w:rPr>
          <w:rFonts w:ascii="Arial" w:hAnsi="Arial" w:cs="Arial"/>
        </w:rPr>
      </w:pPr>
      <w:r>
        <w:rPr>
          <w:rFonts w:ascii="Arial" w:hAnsi="Arial" w:cs="Arial"/>
        </w:rPr>
        <w:t>Table 1</w:t>
      </w:r>
      <w:r w:rsidR="005B0E7C">
        <w:rPr>
          <w:rFonts w:ascii="Arial" w:hAnsi="Arial" w:cs="Arial"/>
        </w:rPr>
        <w:t>:</w:t>
      </w:r>
      <w:r>
        <w:rPr>
          <w:rFonts w:ascii="Arial" w:hAnsi="Arial" w:cs="Arial"/>
        </w:rPr>
        <w:t xml:space="preserve"> Summary of included papers.</w:t>
      </w:r>
    </w:p>
    <w:tbl>
      <w:tblPr>
        <w:tblStyle w:val="TableTheme"/>
        <w:tblW w:w="0" w:type="auto"/>
        <w:tblLook w:val="04A0" w:firstRow="1" w:lastRow="0" w:firstColumn="1" w:lastColumn="0" w:noHBand="0" w:noVBand="1"/>
      </w:tblPr>
      <w:tblGrid>
        <w:gridCol w:w="1650"/>
        <w:gridCol w:w="1614"/>
        <w:gridCol w:w="1474"/>
        <w:gridCol w:w="1864"/>
        <w:gridCol w:w="1590"/>
      </w:tblGrid>
      <w:tr w:rsidR="00240E7D" w:rsidRPr="00240E7D" w14:paraId="56B1FCD3" w14:textId="77777777" w:rsidTr="00240E7D">
        <w:tc>
          <w:tcPr>
            <w:tcW w:w="0" w:type="auto"/>
            <w:hideMark/>
          </w:tcPr>
          <w:p w14:paraId="308BADB4" w14:textId="77777777" w:rsidR="00240E7D" w:rsidRPr="00240E7D" w:rsidRDefault="00240E7D" w:rsidP="00240E7D">
            <w:pPr>
              <w:jc w:val="center"/>
              <w:rPr>
                <w:rFonts w:ascii="Arial" w:hAnsi="Arial" w:cs="Arial"/>
                <w:b/>
                <w:bCs/>
              </w:rPr>
            </w:pPr>
            <w:r w:rsidRPr="00240E7D">
              <w:rPr>
                <w:rFonts w:ascii="Arial" w:hAnsi="Arial" w:cs="Arial"/>
                <w:b/>
                <w:bCs/>
              </w:rPr>
              <w:t>Author(s) &amp; Year</w:t>
            </w:r>
          </w:p>
        </w:tc>
        <w:tc>
          <w:tcPr>
            <w:tcW w:w="0" w:type="auto"/>
            <w:hideMark/>
          </w:tcPr>
          <w:p w14:paraId="7993A076" w14:textId="77777777" w:rsidR="00240E7D" w:rsidRPr="00240E7D" w:rsidRDefault="00240E7D" w:rsidP="00240E7D">
            <w:pPr>
              <w:jc w:val="center"/>
              <w:rPr>
                <w:rFonts w:ascii="Arial" w:hAnsi="Arial" w:cs="Arial"/>
                <w:b/>
                <w:bCs/>
              </w:rPr>
            </w:pPr>
            <w:r w:rsidRPr="00240E7D">
              <w:rPr>
                <w:rFonts w:ascii="Arial" w:hAnsi="Arial" w:cs="Arial"/>
                <w:b/>
                <w:bCs/>
              </w:rPr>
              <w:t>Study Focus / Objective</w:t>
            </w:r>
          </w:p>
        </w:tc>
        <w:tc>
          <w:tcPr>
            <w:tcW w:w="0" w:type="auto"/>
            <w:hideMark/>
          </w:tcPr>
          <w:p w14:paraId="2F7FD969" w14:textId="77777777" w:rsidR="00240E7D" w:rsidRPr="00240E7D" w:rsidRDefault="00240E7D" w:rsidP="00240E7D">
            <w:pPr>
              <w:jc w:val="center"/>
              <w:rPr>
                <w:rFonts w:ascii="Arial" w:hAnsi="Arial" w:cs="Arial"/>
                <w:b/>
                <w:bCs/>
              </w:rPr>
            </w:pPr>
            <w:r w:rsidRPr="00240E7D">
              <w:rPr>
                <w:rFonts w:ascii="Arial" w:hAnsi="Arial" w:cs="Arial"/>
                <w:b/>
                <w:bCs/>
              </w:rPr>
              <w:t>Methodology / Design</w:t>
            </w:r>
          </w:p>
        </w:tc>
        <w:tc>
          <w:tcPr>
            <w:tcW w:w="0" w:type="auto"/>
            <w:hideMark/>
          </w:tcPr>
          <w:p w14:paraId="56C46570" w14:textId="77777777" w:rsidR="00240E7D" w:rsidRPr="00240E7D" w:rsidRDefault="00240E7D" w:rsidP="00240E7D">
            <w:pPr>
              <w:jc w:val="center"/>
              <w:rPr>
                <w:rFonts w:ascii="Arial" w:hAnsi="Arial" w:cs="Arial"/>
                <w:b/>
                <w:bCs/>
              </w:rPr>
            </w:pPr>
            <w:r w:rsidRPr="00240E7D">
              <w:rPr>
                <w:rFonts w:ascii="Arial" w:hAnsi="Arial" w:cs="Arial"/>
                <w:b/>
                <w:bCs/>
              </w:rPr>
              <w:t>Key Findings / Contributions</w:t>
            </w:r>
          </w:p>
        </w:tc>
        <w:tc>
          <w:tcPr>
            <w:tcW w:w="0" w:type="auto"/>
            <w:hideMark/>
          </w:tcPr>
          <w:p w14:paraId="477460CA" w14:textId="77777777" w:rsidR="00240E7D" w:rsidRPr="00240E7D" w:rsidRDefault="00240E7D" w:rsidP="00240E7D">
            <w:pPr>
              <w:jc w:val="center"/>
              <w:rPr>
                <w:rFonts w:ascii="Arial" w:hAnsi="Arial" w:cs="Arial"/>
                <w:b/>
                <w:bCs/>
              </w:rPr>
            </w:pPr>
            <w:r w:rsidRPr="00240E7D">
              <w:rPr>
                <w:rFonts w:ascii="Arial" w:hAnsi="Arial" w:cs="Arial"/>
                <w:b/>
                <w:bCs/>
              </w:rPr>
              <w:t>Relevance to Review Themes</w:t>
            </w:r>
          </w:p>
        </w:tc>
      </w:tr>
      <w:tr w:rsidR="00240E7D" w:rsidRPr="00240E7D" w14:paraId="64983FDE" w14:textId="77777777" w:rsidTr="00240E7D">
        <w:tc>
          <w:tcPr>
            <w:tcW w:w="0" w:type="auto"/>
            <w:hideMark/>
          </w:tcPr>
          <w:p w14:paraId="053D0385" w14:textId="77777777" w:rsidR="00240E7D" w:rsidRPr="00240E7D" w:rsidRDefault="00240E7D" w:rsidP="00240E7D">
            <w:pPr>
              <w:rPr>
                <w:rFonts w:ascii="Arial" w:hAnsi="Arial" w:cs="Arial"/>
              </w:rPr>
            </w:pPr>
            <w:r w:rsidRPr="00240E7D">
              <w:rPr>
                <w:rFonts w:ascii="Arial" w:hAnsi="Arial" w:cs="Arial"/>
                <w:b/>
                <w:bCs/>
              </w:rPr>
              <w:t>Abbasi (2024)</w:t>
            </w:r>
          </w:p>
        </w:tc>
        <w:tc>
          <w:tcPr>
            <w:tcW w:w="0" w:type="auto"/>
            <w:hideMark/>
          </w:tcPr>
          <w:p w14:paraId="10BCC921" w14:textId="77777777" w:rsidR="00240E7D" w:rsidRPr="00240E7D" w:rsidRDefault="00240E7D" w:rsidP="00240E7D">
            <w:pPr>
              <w:rPr>
                <w:rFonts w:ascii="Arial" w:hAnsi="Arial" w:cs="Arial"/>
              </w:rPr>
            </w:pPr>
            <w:r w:rsidRPr="00240E7D">
              <w:rPr>
                <w:rFonts w:ascii="Arial" w:hAnsi="Arial" w:cs="Arial"/>
              </w:rPr>
              <w:t>Integration of AI, machine learning, and predictive analytics into remote patient monitoring (RPM) systems</w:t>
            </w:r>
          </w:p>
        </w:tc>
        <w:tc>
          <w:tcPr>
            <w:tcW w:w="0" w:type="auto"/>
            <w:hideMark/>
          </w:tcPr>
          <w:p w14:paraId="357CB93A" w14:textId="77777777" w:rsidR="00240E7D" w:rsidRPr="00240E7D" w:rsidRDefault="00240E7D" w:rsidP="00240E7D">
            <w:pPr>
              <w:rPr>
                <w:rFonts w:ascii="Arial" w:hAnsi="Arial" w:cs="Arial"/>
              </w:rPr>
            </w:pPr>
            <w:r w:rsidRPr="00240E7D">
              <w:rPr>
                <w:rFonts w:ascii="Arial" w:hAnsi="Arial" w:cs="Arial"/>
              </w:rPr>
              <w:t>Conceptual review and case analysis</w:t>
            </w:r>
          </w:p>
        </w:tc>
        <w:tc>
          <w:tcPr>
            <w:tcW w:w="0" w:type="auto"/>
            <w:hideMark/>
          </w:tcPr>
          <w:p w14:paraId="0CDAAF6E" w14:textId="77777777" w:rsidR="00240E7D" w:rsidRPr="00240E7D" w:rsidRDefault="00240E7D" w:rsidP="00240E7D">
            <w:pPr>
              <w:rPr>
                <w:rFonts w:ascii="Arial" w:hAnsi="Arial" w:cs="Arial"/>
              </w:rPr>
            </w:pPr>
            <w:r w:rsidRPr="00240E7D">
              <w:rPr>
                <w:rFonts w:ascii="Arial" w:hAnsi="Arial" w:cs="Arial"/>
              </w:rPr>
              <w:t>Demonstrated how AI supports predictive healthcare, early diagnosis, and patient-centered care through real-time data</w:t>
            </w:r>
          </w:p>
        </w:tc>
        <w:tc>
          <w:tcPr>
            <w:tcW w:w="0" w:type="auto"/>
            <w:hideMark/>
          </w:tcPr>
          <w:p w14:paraId="3C88BBC5" w14:textId="77777777" w:rsidR="00240E7D" w:rsidRPr="00240E7D" w:rsidRDefault="00240E7D" w:rsidP="00240E7D">
            <w:pPr>
              <w:rPr>
                <w:rFonts w:ascii="Arial" w:hAnsi="Arial" w:cs="Arial"/>
              </w:rPr>
            </w:pPr>
            <w:r w:rsidRPr="00240E7D">
              <w:rPr>
                <w:rFonts w:ascii="Arial" w:hAnsi="Arial" w:cs="Arial"/>
              </w:rPr>
              <w:t>Highlights AI’s clinical efficiency and usability in telehealth</w:t>
            </w:r>
          </w:p>
        </w:tc>
      </w:tr>
      <w:tr w:rsidR="00240E7D" w:rsidRPr="00240E7D" w14:paraId="14B59271" w14:textId="77777777" w:rsidTr="00240E7D">
        <w:tc>
          <w:tcPr>
            <w:tcW w:w="0" w:type="auto"/>
            <w:hideMark/>
          </w:tcPr>
          <w:p w14:paraId="3FD7168B" w14:textId="77777777" w:rsidR="00240E7D" w:rsidRPr="00240E7D" w:rsidRDefault="00240E7D" w:rsidP="00240E7D">
            <w:pPr>
              <w:rPr>
                <w:rFonts w:ascii="Arial" w:hAnsi="Arial" w:cs="Arial"/>
              </w:rPr>
            </w:pPr>
            <w:r w:rsidRPr="00240E7D">
              <w:rPr>
                <w:rFonts w:ascii="Arial" w:hAnsi="Arial" w:cs="Arial"/>
                <w:b/>
                <w:bCs/>
              </w:rPr>
              <w:lastRenderedPageBreak/>
              <w:t>Savoldelli et al. (2024)</w:t>
            </w:r>
          </w:p>
        </w:tc>
        <w:tc>
          <w:tcPr>
            <w:tcW w:w="0" w:type="auto"/>
            <w:hideMark/>
          </w:tcPr>
          <w:p w14:paraId="3988A5BE" w14:textId="77777777" w:rsidR="00240E7D" w:rsidRPr="00240E7D" w:rsidRDefault="00240E7D" w:rsidP="00240E7D">
            <w:pPr>
              <w:rPr>
                <w:rFonts w:ascii="Arial" w:hAnsi="Arial" w:cs="Arial"/>
              </w:rPr>
            </w:pPr>
            <w:r w:rsidRPr="00240E7D">
              <w:rPr>
                <w:rFonts w:ascii="Arial" w:hAnsi="Arial" w:cs="Arial"/>
              </w:rPr>
              <w:t>Sustainability and patient perception of AI-enabled RMS in cardiovascular monitoring</w:t>
            </w:r>
          </w:p>
        </w:tc>
        <w:tc>
          <w:tcPr>
            <w:tcW w:w="0" w:type="auto"/>
            <w:hideMark/>
          </w:tcPr>
          <w:p w14:paraId="4A4B3C4B" w14:textId="77777777" w:rsidR="00240E7D" w:rsidRPr="00240E7D" w:rsidRDefault="00240E7D" w:rsidP="00240E7D">
            <w:pPr>
              <w:rPr>
                <w:rFonts w:ascii="Arial" w:hAnsi="Arial" w:cs="Arial"/>
              </w:rPr>
            </w:pPr>
            <w:r w:rsidRPr="00240E7D">
              <w:rPr>
                <w:rFonts w:ascii="Arial" w:hAnsi="Arial" w:cs="Arial"/>
              </w:rPr>
              <w:t>Empirical study (quantitative survey)</w:t>
            </w:r>
          </w:p>
        </w:tc>
        <w:tc>
          <w:tcPr>
            <w:tcW w:w="0" w:type="auto"/>
            <w:hideMark/>
          </w:tcPr>
          <w:p w14:paraId="4354F405" w14:textId="77777777" w:rsidR="00240E7D" w:rsidRPr="00240E7D" w:rsidRDefault="00240E7D" w:rsidP="00240E7D">
            <w:pPr>
              <w:rPr>
                <w:rFonts w:ascii="Arial" w:hAnsi="Arial" w:cs="Arial"/>
              </w:rPr>
            </w:pPr>
            <w:r w:rsidRPr="00240E7D">
              <w:rPr>
                <w:rFonts w:ascii="Arial" w:hAnsi="Arial" w:cs="Arial"/>
              </w:rPr>
              <w:t>Found that trust and perceived system accuracy significantly influence long-term adoption</w:t>
            </w:r>
          </w:p>
        </w:tc>
        <w:tc>
          <w:tcPr>
            <w:tcW w:w="0" w:type="auto"/>
            <w:hideMark/>
          </w:tcPr>
          <w:p w14:paraId="2D223770" w14:textId="77777777" w:rsidR="00240E7D" w:rsidRPr="00240E7D" w:rsidRDefault="00240E7D" w:rsidP="00240E7D">
            <w:pPr>
              <w:rPr>
                <w:rFonts w:ascii="Arial" w:hAnsi="Arial" w:cs="Arial"/>
              </w:rPr>
            </w:pPr>
            <w:r w:rsidRPr="00240E7D">
              <w:rPr>
                <w:rFonts w:ascii="Arial" w:hAnsi="Arial" w:cs="Arial"/>
              </w:rPr>
              <w:t>Links patient trust and technological reliability</w:t>
            </w:r>
          </w:p>
        </w:tc>
      </w:tr>
      <w:tr w:rsidR="00240E7D" w:rsidRPr="00240E7D" w14:paraId="04B10393" w14:textId="77777777" w:rsidTr="00240E7D">
        <w:tc>
          <w:tcPr>
            <w:tcW w:w="0" w:type="auto"/>
            <w:hideMark/>
          </w:tcPr>
          <w:p w14:paraId="14BFA8DC" w14:textId="77777777" w:rsidR="00240E7D" w:rsidRPr="00240E7D" w:rsidRDefault="00240E7D" w:rsidP="00240E7D">
            <w:pPr>
              <w:rPr>
                <w:rFonts w:ascii="Arial" w:hAnsi="Arial" w:cs="Arial"/>
              </w:rPr>
            </w:pPr>
            <w:r w:rsidRPr="00240E7D">
              <w:rPr>
                <w:rFonts w:ascii="Arial" w:hAnsi="Arial" w:cs="Arial"/>
                <w:b/>
                <w:bCs/>
              </w:rPr>
              <w:t>Kalasin &amp; Surareungchai (2023)</w:t>
            </w:r>
          </w:p>
        </w:tc>
        <w:tc>
          <w:tcPr>
            <w:tcW w:w="0" w:type="auto"/>
            <w:hideMark/>
          </w:tcPr>
          <w:p w14:paraId="17BDAF0E" w14:textId="77777777" w:rsidR="00240E7D" w:rsidRPr="00240E7D" w:rsidRDefault="00240E7D" w:rsidP="00240E7D">
            <w:pPr>
              <w:rPr>
                <w:rFonts w:ascii="Arial" w:hAnsi="Arial" w:cs="Arial"/>
              </w:rPr>
            </w:pPr>
            <w:r w:rsidRPr="00240E7D">
              <w:rPr>
                <w:rFonts w:ascii="Arial" w:hAnsi="Arial" w:cs="Arial"/>
              </w:rPr>
              <w:t>Privacy and security challenges in AI-driven telehealth</w:t>
            </w:r>
          </w:p>
        </w:tc>
        <w:tc>
          <w:tcPr>
            <w:tcW w:w="0" w:type="auto"/>
            <w:hideMark/>
          </w:tcPr>
          <w:p w14:paraId="62F1693A" w14:textId="77777777" w:rsidR="00240E7D" w:rsidRPr="00240E7D" w:rsidRDefault="00240E7D" w:rsidP="00240E7D">
            <w:pPr>
              <w:rPr>
                <w:rFonts w:ascii="Arial" w:hAnsi="Arial" w:cs="Arial"/>
              </w:rPr>
            </w:pPr>
            <w:r w:rsidRPr="00240E7D">
              <w:rPr>
                <w:rFonts w:ascii="Arial" w:hAnsi="Arial" w:cs="Arial"/>
              </w:rPr>
              <w:t>Policy analysis</w:t>
            </w:r>
          </w:p>
        </w:tc>
        <w:tc>
          <w:tcPr>
            <w:tcW w:w="0" w:type="auto"/>
            <w:hideMark/>
          </w:tcPr>
          <w:p w14:paraId="625EB84D" w14:textId="77777777" w:rsidR="00240E7D" w:rsidRPr="00240E7D" w:rsidRDefault="00240E7D" w:rsidP="00240E7D">
            <w:pPr>
              <w:rPr>
                <w:rFonts w:ascii="Arial" w:hAnsi="Arial" w:cs="Arial"/>
              </w:rPr>
            </w:pPr>
            <w:r w:rsidRPr="00240E7D">
              <w:rPr>
                <w:rFonts w:ascii="Arial" w:hAnsi="Arial" w:cs="Arial"/>
              </w:rPr>
              <w:t>Identified key vulnerabilities in data transmission and encryption within RMS</w:t>
            </w:r>
          </w:p>
        </w:tc>
        <w:tc>
          <w:tcPr>
            <w:tcW w:w="0" w:type="auto"/>
            <w:hideMark/>
          </w:tcPr>
          <w:p w14:paraId="66D140D4" w14:textId="77777777" w:rsidR="00240E7D" w:rsidRPr="00240E7D" w:rsidRDefault="00240E7D" w:rsidP="00240E7D">
            <w:pPr>
              <w:rPr>
                <w:rFonts w:ascii="Arial" w:hAnsi="Arial" w:cs="Arial"/>
              </w:rPr>
            </w:pPr>
            <w:r w:rsidRPr="00240E7D">
              <w:rPr>
                <w:rFonts w:ascii="Arial" w:hAnsi="Arial" w:cs="Arial"/>
              </w:rPr>
              <w:t>Informs privacy and data protection frameworks</w:t>
            </w:r>
          </w:p>
        </w:tc>
      </w:tr>
      <w:tr w:rsidR="00240E7D" w:rsidRPr="00240E7D" w14:paraId="37A98751" w14:textId="77777777" w:rsidTr="00240E7D">
        <w:tc>
          <w:tcPr>
            <w:tcW w:w="0" w:type="auto"/>
            <w:hideMark/>
          </w:tcPr>
          <w:p w14:paraId="15E2C9DD" w14:textId="77777777" w:rsidR="00240E7D" w:rsidRPr="00240E7D" w:rsidRDefault="00240E7D" w:rsidP="00240E7D">
            <w:pPr>
              <w:rPr>
                <w:rFonts w:ascii="Arial" w:hAnsi="Arial" w:cs="Arial"/>
              </w:rPr>
            </w:pPr>
            <w:r w:rsidRPr="00240E7D">
              <w:rPr>
                <w:rFonts w:ascii="Arial" w:hAnsi="Arial" w:cs="Arial"/>
                <w:b/>
                <w:bCs/>
              </w:rPr>
              <w:t>Shaik et al. (2023)</w:t>
            </w:r>
          </w:p>
        </w:tc>
        <w:tc>
          <w:tcPr>
            <w:tcW w:w="0" w:type="auto"/>
            <w:hideMark/>
          </w:tcPr>
          <w:p w14:paraId="3866E440" w14:textId="77777777" w:rsidR="00240E7D" w:rsidRPr="00240E7D" w:rsidRDefault="00240E7D" w:rsidP="00240E7D">
            <w:pPr>
              <w:rPr>
                <w:rFonts w:ascii="Arial" w:hAnsi="Arial" w:cs="Arial"/>
              </w:rPr>
            </w:pPr>
            <w:r w:rsidRPr="00240E7D">
              <w:rPr>
                <w:rFonts w:ascii="Arial" w:hAnsi="Arial" w:cs="Arial"/>
              </w:rPr>
              <w:t>Application of AI in chronic disease management using remote monitoring</w:t>
            </w:r>
          </w:p>
        </w:tc>
        <w:tc>
          <w:tcPr>
            <w:tcW w:w="0" w:type="auto"/>
            <w:hideMark/>
          </w:tcPr>
          <w:p w14:paraId="5E4F313B" w14:textId="77777777" w:rsidR="00240E7D" w:rsidRPr="00240E7D" w:rsidRDefault="00240E7D" w:rsidP="00240E7D">
            <w:pPr>
              <w:rPr>
                <w:rFonts w:ascii="Arial" w:hAnsi="Arial" w:cs="Arial"/>
              </w:rPr>
            </w:pPr>
            <w:r w:rsidRPr="00240E7D">
              <w:rPr>
                <w:rFonts w:ascii="Arial" w:hAnsi="Arial" w:cs="Arial"/>
              </w:rPr>
              <w:t>Systematic review</w:t>
            </w:r>
          </w:p>
        </w:tc>
        <w:tc>
          <w:tcPr>
            <w:tcW w:w="0" w:type="auto"/>
            <w:hideMark/>
          </w:tcPr>
          <w:p w14:paraId="1F20974D" w14:textId="77777777" w:rsidR="00240E7D" w:rsidRPr="00240E7D" w:rsidRDefault="00240E7D" w:rsidP="00240E7D">
            <w:pPr>
              <w:rPr>
                <w:rFonts w:ascii="Arial" w:hAnsi="Arial" w:cs="Arial"/>
              </w:rPr>
            </w:pPr>
            <w:r w:rsidRPr="00240E7D">
              <w:rPr>
                <w:rFonts w:ascii="Arial" w:hAnsi="Arial" w:cs="Arial"/>
              </w:rPr>
              <w:t>Reported that AI-enhanced RMS improve prediction accuracy but face interpretability and ethical challenges</w:t>
            </w:r>
          </w:p>
        </w:tc>
        <w:tc>
          <w:tcPr>
            <w:tcW w:w="0" w:type="auto"/>
            <w:hideMark/>
          </w:tcPr>
          <w:p w14:paraId="405929E8" w14:textId="77777777" w:rsidR="00240E7D" w:rsidRPr="00240E7D" w:rsidRDefault="00240E7D" w:rsidP="00240E7D">
            <w:pPr>
              <w:rPr>
                <w:rFonts w:ascii="Arial" w:hAnsi="Arial" w:cs="Arial"/>
              </w:rPr>
            </w:pPr>
            <w:r w:rsidRPr="00240E7D">
              <w:rPr>
                <w:rFonts w:ascii="Arial" w:hAnsi="Arial" w:cs="Arial"/>
              </w:rPr>
              <w:t>Connects explainability with ethical AI adoption</w:t>
            </w:r>
          </w:p>
        </w:tc>
      </w:tr>
      <w:tr w:rsidR="00240E7D" w:rsidRPr="00240E7D" w14:paraId="18DB5F21" w14:textId="77777777" w:rsidTr="00240E7D">
        <w:tc>
          <w:tcPr>
            <w:tcW w:w="0" w:type="auto"/>
            <w:hideMark/>
          </w:tcPr>
          <w:p w14:paraId="7DB906B0" w14:textId="77777777" w:rsidR="00240E7D" w:rsidRPr="00240E7D" w:rsidRDefault="00240E7D" w:rsidP="00240E7D">
            <w:pPr>
              <w:rPr>
                <w:rFonts w:ascii="Arial" w:hAnsi="Arial" w:cs="Arial"/>
              </w:rPr>
            </w:pPr>
            <w:r w:rsidRPr="00240E7D">
              <w:rPr>
                <w:rFonts w:ascii="Arial" w:hAnsi="Arial" w:cs="Arial"/>
                <w:b/>
                <w:bCs/>
              </w:rPr>
              <w:t>Ferdausi et al. (2025)</w:t>
            </w:r>
          </w:p>
        </w:tc>
        <w:tc>
          <w:tcPr>
            <w:tcW w:w="0" w:type="auto"/>
            <w:hideMark/>
          </w:tcPr>
          <w:p w14:paraId="3E428D17" w14:textId="77777777" w:rsidR="00240E7D" w:rsidRPr="00240E7D" w:rsidRDefault="00240E7D" w:rsidP="00240E7D">
            <w:pPr>
              <w:rPr>
                <w:rFonts w:ascii="Arial" w:hAnsi="Arial" w:cs="Arial"/>
              </w:rPr>
            </w:pPr>
            <w:r w:rsidRPr="00240E7D">
              <w:rPr>
                <w:rFonts w:ascii="Arial" w:hAnsi="Arial" w:cs="Arial"/>
              </w:rPr>
              <w:t>Role of AI in improving healthcare efficiency through RMS</w:t>
            </w:r>
          </w:p>
        </w:tc>
        <w:tc>
          <w:tcPr>
            <w:tcW w:w="0" w:type="auto"/>
            <w:hideMark/>
          </w:tcPr>
          <w:p w14:paraId="1A2B8EA3" w14:textId="77777777" w:rsidR="00240E7D" w:rsidRPr="00240E7D" w:rsidRDefault="00240E7D" w:rsidP="00240E7D">
            <w:pPr>
              <w:rPr>
                <w:rFonts w:ascii="Arial" w:hAnsi="Arial" w:cs="Arial"/>
              </w:rPr>
            </w:pPr>
            <w:r w:rsidRPr="00240E7D">
              <w:rPr>
                <w:rFonts w:ascii="Arial" w:hAnsi="Arial" w:cs="Arial"/>
              </w:rPr>
              <w:t>Experimental modeling</w:t>
            </w:r>
          </w:p>
        </w:tc>
        <w:tc>
          <w:tcPr>
            <w:tcW w:w="0" w:type="auto"/>
            <w:hideMark/>
          </w:tcPr>
          <w:p w14:paraId="140BD08B" w14:textId="77777777" w:rsidR="00240E7D" w:rsidRPr="00240E7D" w:rsidRDefault="00240E7D" w:rsidP="00240E7D">
            <w:pPr>
              <w:rPr>
                <w:rFonts w:ascii="Arial" w:hAnsi="Arial" w:cs="Arial"/>
              </w:rPr>
            </w:pPr>
            <w:r w:rsidRPr="00240E7D">
              <w:rPr>
                <w:rFonts w:ascii="Arial" w:hAnsi="Arial" w:cs="Arial"/>
              </w:rPr>
              <w:t>Showed AI reduces hospital readmissions via early detection of health deterioration</w:t>
            </w:r>
          </w:p>
        </w:tc>
        <w:tc>
          <w:tcPr>
            <w:tcW w:w="0" w:type="auto"/>
            <w:hideMark/>
          </w:tcPr>
          <w:p w14:paraId="244C295B" w14:textId="77777777" w:rsidR="00240E7D" w:rsidRPr="00240E7D" w:rsidRDefault="00240E7D" w:rsidP="00240E7D">
            <w:pPr>
              <w:rPr>
                <w:rFonts w:ascii="Arial" w:hAnsi="Arial" w:cs="Arial"/>
              </w:rPr>
            </w:pPr>
            <w:r w:rsidRPr="00240E7D">
              <w:rPr>
                <w:rFonts w:ascii="Arial" w:hAnsi="Arial" w:cs="Arial"/>
              </w:rPr>
              <w:t>Supports efficiency and preventive healthcare goals</w:t>
            </w:r>
          </w:p>
        </w:tc>
      </w:tr>
      <w:tr w:rsidR="00240E7D" w:rsidRPr="00240E7D" w14:paraId="3348B211" w14:textId="77777777" w:rsidTr="00240E7D">
        <w:tc>
          <w:tcPr>
            <w:tcW w:w="0" w:type="auto"/>
            <w:hideMark/>
          </w:tcPr>
          <w:p w14:paraId="32DD2B03" w14:textId="77777777" w:rsidR="00240E7D" w:rsidRPr="00240E7D" w:rsidRDefault="00240E7D" w:rsidP="00240E7D">
            <w:pPr>
              <w:rPr>
                <w:rFonts w:ascii="Arial" w:hAnsi="Arial" w:cs="Arial"/>
              </w:rPr>
            </w:pPr>
            <w:r w:rsidRPr="00240E7D">
              <w:rPr>
                <w:rFonts w:ascii="Arial" w:hAnsi="Arial" w:cs="Arial"/>
                <w:b/>
                <w:bCs/>
              </w:rPr>
              <w:t>Jean (2024)</w:t>
            </w:r>
          </w:p>
        </w:tc>
        <w:tc>
          <w:tcPr>
            <w:tcW w:w="0" w:type="auto"/>
            <w:hideMark/>
          </w:tcPr>
          <w:p w14:paraId="69C7EA81" w14:textId="77777777" w:rsidR="00240E7D" w:rsidRPr="00240E7D" w:rsidRDefault="00240E7D" w:rsidP="00240E7D">
            <w:pPr>
              <w:rPr>
                <w:rFonts w:ascii="Arial" w:hAnsi="Arial" w:cs="Arial"/>
              </w:rPr>
            </w:pPr>
            <w:r w:rsidRPr="00240E7D">
              <w:rPr>
                <w:rFonts w:ascii="Arial" w:hAnsi="Arial" w:cs="Arial"/>
              </w:rPr>
              <w:t>Doctor–patient communication and trust in AI-assisted telemedicine</w:t>
            </w:r>
          </w:p>
        </w:tc>
        <w:tc>
          <w:tcPr>
            <w:tcW w:w="0" w:type="auto"/>
            <w:hideMark/>
          </w:tcPr>
          <w:p w14:paraId="357C3D97" w14:textId="77777777" w:rsidR="00240E7D" w:rsidRPr="00240E7D" w:rsidRDefault="00240E7D" w:rsidP="00240E7D">
            <w:pPr>
              <w:rPr>
                <w:rFonts w:ascii="Arial" w:hAnsi="Arial" w:cs="Arial"/>
              </w:rPr>
            </w:pPr>
            <w:r w:rsidRPr="00240E7D">
              <w:rPr>
                <w:rFonts w:ascii="Arial" w:hAnsi="Arial" w:cs="Arial"/>
              </w:rPr>
              <w:t>Mixed-method study</w:t>
            </w:r>
          </w:p>
        </w:tc>
        <w:tc>
          <w:tcPr>
            <w:tcW w:w="0" w:type="auto"/>
            <w:hideMark/>
          </w:tcPr>
          <w:p w14:paraId="7A53A4D1" w14:textId="77777777" w:rsidR="00240E7D" w:rsidRPr="00240E7D" w:rsidRDefault="00240E7D" w:rsidP="00240E7D">
            <w:pPr>
              <w:rPr>
                <w:rFonts w:ascii="Arial" w:hAnsi="Arial" w:cs="Arial"/>
              </w:rPr>
            </w:pPr>
            <w:r w:rsidRPr="00240E7D">
              <w:rPr>
                <w:rFonts w:ascii="Arial" w:hAnsi="Arial" w:cs="Arial"/>
              </w:rPr>
              <w:t>Found that effective physician mediation improves patient trust in AI recommendations</w:t>
            </w:r>
          </w:p>
        </w:tc>
        <w:tc>
          <w:tcPr>
            <w:tcW w:w="0" w:type="auto"/>
            <w:hideMark/>
          </w:tcPr>
          <w:p w14:paraId="75E6D365" w14:textId="77777777" w:rsidR="00240E7D" w:rsidRPr="00240E7D" w:rsidRDefault="00240E7D" w:rsidP="00240E7D">
            <w:pPr>
              <w:rPr>
                <w:rFonts w:ascii="Arial" w:hAnsi="Arial" w:cs="Arial"/>
              </w:rPr>
            </w:pPr>
            <w:r w:rsidRPr="00240E7D">
              <w:rPr>
                <w:rFonts w:ascii="Arial" w:hAnsi="Arial" w:cs="Arial"/>
              </w:rPr>
              <w:t>Emphasizes physician–patient communication as trust mediator</w:t>
            </w:r>
          </w:p>
        </w:tc>
      </w:tr>
      <w:tr w:rsidR="00240E7D" w:rsidRPr="00240E7D" w14:paraId="04D7CB4B" w14:textId="77777777" w:rsidTr="00240E7D">
        <w:tc>
          <w:tcPr>
            <w:tcW w:w="0" w:type="auto"/>
            <w:hideMark/>
          </w:tcPr>
          <w:p w14:paraId="06E41111" w14:textId="77777777" w:rsidR="00240E7D" w:rsidRPr="00240E7D" w:rsidRDefault="00240E7D" w:rsidP="00240E7D">
            <w:pPr>
              <w:rPr>
                <w:rFonts w:ascii="Arial" w:hAnsi="Arial" w:cs="Arial"/>
              </w:rPr>
            </w:pPr>
            <w:r w:rsidRPr="00240E7D">
              <w:rPr>
                <w:rFonts w:ascii="Arial" w:hAnsi="Arial" w:cs="Arial"/>
                <w:b/>
                <w:bCs/>
              </w:rPr>
              <w:t>Zeng et al. (2025)</w:t>
            </w:r>
          </w:p>
        </w:tc>
        <w:tc>
          <w:tcPr>
            <w:tcW w:w="0" w:type="auto"/>
            <w:hideMark/>
          </w:tcPr>
          <w:p w14:paraId="766F7950" w14:textId="77777777" w:rsidR="00240E7D" w:rsidRPr="00240E7D" w:rsidRDefault="00240E7D" w:rsidP="00240E7D">
            <w:pPr>
              <w:rPr>
                <w:rFonts w:ascii="Arial" w:hAnsi="Arial" w:cs="Arial"/>
              </w:rPr>
            </w:pPr>
            <w:r w:rsidRPr="00240E7D">
              <w:rPr>
                <w:rFonts w:ascii="Arial" w:hAnsi="Arial" w:cs="Arial"/>
              </w:rPr>
              <w:t>Trust calibration in human–AI healthcare interaction</w:t>
            </w:r>
          </w:p>
        </w:tc>
        <w:tc>
          <w:tcPr>
            <w:tcW w:w="0" w:type="auto"/>
            <w:hideMark/>
          </w:tcPr>
          <w:p w14:paraId="2D8DDE7C" w14:textId="77777777" w:rsidR="00240E7D" w:rsidRPr="00240E7D" w:rsidRDefault="00240E7D" w:rsidP="00240E7D">
            <w:pPr>
              <w:rPr>
                <w:rFonts w:ascii="Arial" w:hAnsi="Arial" w:cs="Arial"/>
              </w:rPr>
            </w:pPr>
            <w:r w:rsidRPr="00240E7D">
              <w:rPr>
                <w:rFonts w:ascii="Arial" w:hAnsi="Arial" w:cs="Arial"/>
              </w:rPr>
              <w:t>Experimental study</w:t>
            </w:r>
          </w:p>
        </w:tc>
        <w:tc>
          <w:tcPr>
            <w:tcW w:w="0" w:type="auto"/>
            <w:hideMark/>
          </w:tcPr>
          <w:p w14:paraId="369D0E98" w14:textId="77777777" w:rsidR="00240E7D" w:rsidRPr="00240E7D" w:rsidRDefault="00240E7D" w:rsidP="00240E7D">
            <w:pPr>
              <w:rPr>
                <w:rFonts w:ascii="Arial" w:hAnsi="Arial" w:cs="Arial"/>
              </w:rPr>
            </w:pPr>
            <w:r w:rsidRPr="00240E7D">
              <w:rPr>
                <w:rFonts w:ascii="Arial" w:hAnsi="Arial" w:cs="Arial"/>
              </w:rPr>
              <w:t>Demonstrated that transparency and appropriate explanation levels enhance balanced reliance on AI</w:t>
            </w:r>
          </w:p>
        </w:tc>
        <w:tc>
          <w:tcPr>
            <w:tcW w:w="0" w:type="auto"/>
            <w:hideMark/>
          </w:tcPr>
          <w:p w14:paraId="4245A500" w14:textId="77777777" w:rsidR="00240E7D" w:rsidRPr="00240E7D" w:rsidRDefault="00240E7D" w:rsidP="00240E7D">
            <w:pPr>
              <w:rPr>
                <w:rFonts w:ascii="Arial" w:hAnsi="Arial" w:cs="Arial"/>
              </w:rPr>
            </w:pPr>
            <w:r w:rsidRPr="00240E7D">
              <w:rPr>
                <w:rFonts w:ascii="Arial" w:hAnsi="Arial" w:cs="Arial"/>
              </w:rPr>
              <w:t>Validates explainable AI (XAI) as a trust enabler</w:t>
            </w:r>
          </w:p>
        </w:tc>
      </w:tr>
      <w:tr w:rsidR="00240E7D" w:rsidRPr="00240E7D" w14:paraId="11E4082C" w14:textId="77777777" w:rsidTr="00240E7D">
        <w:tc>
          <w:tcPr>
            <w:tcW w:w="0" w:type="auto"/>
            <w:hideMark/>
          </w:tcPr>
          <w:p w14:paraId="659EAB00" w14:textId="77777777" w:rsidR="00240E7D" w:rsidRPr="00240E7D" w:rsidRDefault="00240E7D" w:rsidP="00240E7D">
            <w:pPr>
              <w:rPr>
                <w:rFonts w:ascii="Arial" w:hAnsi="Arial" w:cs="Arial"/>
              </w:rPr>
            </w:pPr>
            <w:r w:rsidRPr="00240E7D">
              <w:rPr>
                <w:rFonts w:ascii="Arial" w:hAnsi="Arial" w:cs="Arial"/>
                <w:b/>
                <w:bCs/>
              </w:rPr>
              <w:t>Luckritz (2025)</w:t>
            </w:r>
          </w:p>
        </w:tc>
        <w:tc>
          <w:tcPr>
            <w:tcW w:w="0" w:type="auto"/>
            <w:hideMark/>
          </w:tcPr>
          <w:p w14:paraId="13130608" w14:textId="77777777" w:rsidR="00240E7D" w:rsidRPr="00240E7D" w:rsidRDefault="00240E7D" w:rsidP="00240E7D">
            <w:pPr>
              <w:rPr>
                <w:rFonts w:ascii="Arial" w:hAnsi="Arial" w:cs="Arial"/>
              </w:rPr>
            </w:pPr>
            <w:r w:rsidRPr="00240E7D">
              <w:rPr>
                <w:rFonts w:ascii="Arial" w:hAnsi="Arial" w:cs="Arial"/>
              </w:rPr>
              <w:t>Patient engagement and trust in electronic health portals</w:t>
            </w:r>
          </w:p>
        </w:tc>
        <w:tc>
          <w:tcPr>
            <w:tcW w:w="0" w:type="auto"/>
            <w:hideMark/>
          </w:tcPr>
          <w:p w14:paraId="5BDB0B04" w14:textId="77777777" w:rsidR="00240E7D" w:rsidRPr="00240E7D" w:rsidRDefault="00240E7D" w:rsidP="00240E7D">
            <w:pPr>
              <w:rPr>
                <w:rFonts w:ascii="Arial" w:hAnsi="Arial" w:cs="Arial"/>
              </w:rPr>
            </w:pPr>
            <w:r w:rsidRPr="00240E7D">
              <w:rPr>
                <w:rFonts w:ascii="Arial" w:hAnsi="Arial" w:cs="Arial"/>
              </w:rPr>
              <w:t>Survey study</w:t>
            </w:r>
          </w:p>
        </w:tc>
        <w:tc>
          <w:tcPr>
            <w:tcW w:w="0" w:type="auto"/>
            <w:hideMark/>
          </w:tcPr>
          <w:p w14:paraId="7D427570" w14:textId="77777777" w:rsidR="00240E7D" w:rsidRPr="00240E7D" w:rsidRDefault="00240E7D" w:rsidP="00240E7D">
            <w:pPr>
              <w:rPr>
                <w:rFonts w:ascii="Arial" w:hAnsi="Arial" w:cs="Arial"/>
              </w:rPr>
            </w:pPr>
            <w:r w:rsidRPr="00240E7D">
              <w:rPr>
                <w:rFonts w:ascii="Arial" w:hAnsi="Arial" w:cs="Arial"/>
              </w:rPr>
              <w:t>Found that perceived privacy assurance strongly predicts patient willingness to use telehealth platforms</w:t>
            </w:r>
          </w:p>
        </w:tc>
        <w:tc>
          <w:tcPr>
            <w:tcW w:w="0" w:type="auto"/>
            <w:hideMark/>
          </w:tcPr>
          <w:p w14:paraId="79A0337C" w14:textId="77777777" w:rsidR="00240E7D" w:rsidRPr="00240E7D" w:rsidRDefault="00240E7D" w:rsidP="00240E7D">
            <w:pPr>
              <w:rPr>
                <w:rFonts w:ascii="Arial" w:hAnsi="Arial" w:cs="Arial"/>
              </w:rPr>
            </w:pPr>
            <w:r w:rsidRPr="00240E7D">
              <w:rPr>
                <w:rFonts w:ascii="Arial" w:hAnsi="Arial" w:cs="Arial"/>
              </w:rPr>
              <w:t>Links privacy perception to trust and adoption</w:t>
            </w:r>
          </w:p>
        </w:tc>
      </w:tr>
      <w:tr w:rsidR="00240E7D" w:rsidRPr="00240E7D" w14:paraId="64938469" w14:textId="77777777" w:rsidTr="00240E7D">
        <w:tc>
          <w:tcPr>
            <w:tcW w:w="0" w:type="auto"/>
            <w:hideMark/>
          </w:tcPr>
          <w:p w14:paraId="741A37A7" w14:textId="77777777" w:rsidR="00240E7D" w:rsidRPr="00240E7D" w:rsidRDefault="00240E7D" w:rsidP="00240E7D">
            <w:pPr>
              <w:rPr>
                <w:rFonts w:ascii="Arial" w:hAnsi="Arial" w:cs="Arial"/>
              </w:rPr>
            </w:pPr>
            <w:r w:rsidRPr="00240E7D">
              <w:rPr>
                <w:rFonts w:ascii="Arial" w:hAnsi="Arial" w:cs="Arial"/>
                <w:b/>
                <w:bCs/>
              </w:rPr>
              <w:t>Bassan (2020)</w:t>
            </w:r>
          </w:p>
        </w:tc>
        <w:tc>
          <w:tcPr>
            <w:tcW w:w="0" w:type="auto"/>
            <w:hideMark/>
          </w:tcPr>
          <w:p w14:paraId="2CD6004C" w14:textId="77777777" w:rsidR="00240E7D" w:rsidRPr="00240E7D" w:rsidRDefault="00240E7D" w:rsidP="00240E7D">
            <w:pPr>
              <w:rPr>
                <w:rFonts w:ascii="Arial" w:hAnsi="Arial" w:cs="Arial"/>
              </w:rPr>
            </w:pPr>
            <w:r w:rsidRPr="00240E7D">
              <w:rPr>
                <w:rFonts w:ascii="Arial" w:hAnsi="Arial" w:cs="Arial"/>
              </w:rPr>
              <w:t>HIPAA enforcement relaxation during COVID-19 telehealth expansion</w:t>
            </w:r>
          </w:p>
        </w:tc>
        <w:tc>
          <w:tcPr>
            <w:tcW w:w="0" w:type="auto"/>
            <w:hideMark/>
          </w:tcPr>
          <w:p w14:paraId="28D63C8D" w14:textId="77777777" w:rsidR="00240E7D" w:rsidRPr="00240E7D" w:rsidRDefault="00240E7D" w:rsidP="00240E7D">
            <w:pPr>
              <w:rPr>
                <w:rFonts w:ascii="Arial" w:hAnsi="Arial" w:cs="Arial"/>
              </w:rPr>
            </w:pPr>
            <w:r w:rsidRPr="00240E7D">
              <w:rPr>
                <w:rFonts w:ascii="Arial" w:hAnsi="Arial" w:cs="Arial"/>
              </w:rPr>
              <w:t>Policy review</w:t>
            </w:r>
          </w:p>
        </w:tc>
        <w:tc>
          <w:tcPr>
            <w:tcW w:w="0" w:type="auto"/>
            <w:hideMark/>
          </w:tcPr>
          <w:p w14:paraId="3DDDB800" w14:textId="77777777" w:rsidR="00240E7D" w:rsidRPr="00240E7D" w:rsidRDefault="00240E7D" w:rsidP="00240E7D">
            <w:pPr>
              <w:rPr>
                <w:rFonts w:ascii="Arial" w:hAnsi="Arial" w:cs="Arial"/>
              </w:rPr>
            </w:pPr>
            <w:r w:rsidRPr="00240E7D">
              <w:rPr>
                <w:rFonts w:ascii="Arial" w:hAnsi="Arial" w:cs="Arial"/>
              </w:rPr>
              <w:t>Highlighted ethical and governance gaps from OCR’s temporary enforcement discretion</w:t>
            </w:r>
          </w:p>
        </w:tc>
        <w:tc>
          <w:tcPr>
            <w:tcW w:w="0" w:type="auto"/>
            <w:hideMark/>
          </w:tcPr>
          <w:p w14:paraId="7DE8BC7A" w14:textId="77777777" w:rsidR="00240E7D" w:rsidRPr="00240E7D" w:rsidRDefault="00240E7D" w:rsidP="00240E7D">
            <w:pPr>
              <w:rPr>
                <w:rFonts w:ascii="Arial" w:hAnsi="Arial" w:cs="Arial"/>
              </w:rPr>
            </w:pPr>
            <w:r w:rsidRPr="00240E7D">
              <w:rPr>
                <w:rFonts w:ascii="Arial" w:hAnsi="Arial" w:cs="Arial"/>
              </w:rPr>
              <w:t>Shows regulatory flexibility–privacy tension in U.S. context</w:t>
            </w:r>
          </w:p>
        </w:tc>
      </w:tr>
      <w:tr w:rsidR="00240E7D" w:rsidRPr="00240E7D" w14:paraId="7A1A0832" w14:textId="77777777" w:rsidTr="00240E7D">
        <w:tc>
          <w:tcPr>
            <w:tcW w:w="0" w:type="auto"/>
            <w:hideMark/>
          </w:tcPr>
          <w:p w14:paraId="0A4BA629" w14:textId="77777777" w:rsidR="00240E7D" w:rsidRPr="00240E7D" w:rsidRDefault="00240E7D" w:rsidP="00240E7D">
            <w:pPr>
              <w:rPr>
                <w:rFonts w:ascii="Arial" w:hAnsi="Arial" w:cs="Arial"/>
              </w:rPr>
            </w:pPr>
            <w:r w:rsidRPr="00240E7D">
              <w:rPr>
                <w:rFonts w:ascii="Arial" w:hAnsi="Arial" w:cs="Arial"/>
                <w:b/>
                <w:bCs/>
              </w:rPr>
              <w:t>Andrikopoulou (2023)</w:t>
            </w:r>
          </w:p>
        </w:tc>
        <w:tc>
          <w:tcPr>
            <w:tcW w:w="0" w:type="auto"/>
            <w:hideMark/>
          </w:tcPr>
          <w:p w14:paraId="13322998" w14:textId="77777777" w:rsidR="00240E7D" w:rsidRPr="00240E7D" w:rsidRDefault="00240E7D" w:rsidP="00240E7D">
            <w:pPr>
              <w:rPr>
                <w:rFonts w:ascii="Arial" w:hAnsi="Arial" w:cs="Arial"/>
              </w:rPr>
            </w:pPr>
            <w:r w:rsidRPr="00240E7D">
              <w:rPr>
                <w:rFonts w:ascii="Arial" w:hAnsi="Arial" w:cs="Arial"/>
              </w:rPr>
              <w:t>Equity and digital access in AI-enabled telehealth</w:t>
            </w:r>
          </w:p>
        </w:tc>
        <w:tc>
          <w:tcPr>
            <w:tcW w:w="0" w:type="auto"/>
            <w:hideMark/>
          </w:tcPr>
          <w:p w14:paraId="067276A0" w14:textId="77777777" w:rsidR="00240E7D" w:rsidRPr="00240E7D" w:rsidRDefault="00240E7D" w:rsidP="00240E7D">
            <w:pPr>
              <w:rPr>
                <w:rFonts w:ascii="Arial" w:hAnsi="Arial" w:cs="Arial"/>
              </w:rPr>
            </w:pPr>
            <w:r w:rsidRPr="00240E7D">
              <w:rPr>
                <w:rFonts w:ascii="Arial" w:hAnsi="Arial" w:cs="Arial"/>
              </w:rPr>
              <w:t>Cross-sectional study</w:t>
            </w:r>
          </w:p>
        </w:tc>
        <w:tc>
          <w:tcPr>
            <w:tcW w:w="0" w:type="auto"/>
            <w:hideMark/>
          </w:tcPr>
          <w:p w14:paraId="703D99C2" w14:textId="77777777" w:rsidR="00240E7D" w:rsidRPr="00240E7D" w:rsidRDefault="00240E7D" w:rsidP="00240E7D">
            <w:pPr>
              <w:rPr>
                <w:rFonts w:ascii="Arial" w:hAnsi="Arial" w:cs="Arial"/>
              </w:rPr>
            </w:pPr>
            <w:r w:rsidRPr="00240E7D">
              <w:rPr>
                <w:rFonts w:ascii="Arial" w:hAnsi="Arial" w:cs="Arial"/>
              </w:rPr>
              <w:t xml:space="preserve">Identified “digital determinants of health” (broadband </w:t>
            </w:r>
            <w:r w:rsidRPr="00240E7D">
              <w:rPr>
                <w:rFonts w:ascii="Arial" w:hAnsi="Arial" w:cs="Arial"/>
              </w:rPr>
              <w:lastRenderedPageBreak/>
              <w:t>access, literacy) as barriers to equitable telehealth</w:t>
            </w:r>
          </w:p>
        </w:tc>
        <w:tc>
          <w:tcPr>
            <w:tcW w:w="0" w:type="auto"/>
            <w:hideMark/>
          </w:tcPr>
          <w:p w14:paraId="0640AC2E" w14:textId="77777777" w:rsidR="00240E7D" w:rsidRPr="00240E7D" w:rsidRDefault="00240E7D" w:rsidP="00240E7D">
            <w:pPr>
              <w:rPr>
                <w:rFonts w:ascii="Arial" w:hAnsi="Arial" w:cs="Arial"/>
              </w:rPr>
            </w:pPr>
            <w:r w:rsidRPr="00240E7D">
              <w:rPr>
                <w:rFonts w:ascii="Arial" w:hAnsi="Arial" w:cs="Arial"/>
              </w:rPr>
              <w:lastRenderedPageBreak/>
              <w:t>Frames digital inclusion as policy priority</w:t>
            </w:r>
          </w:p>
        </w:tc>
      </w:tr>
      <w:tr w:rsidR="00240E7D" w:rsidRPr="00240E7D" w14:paraId="260276D5" w14:textId="77777777" w:rsidTr="00240E7D">
        <w:tc>
          <w:tcPr>
            <w:tcW w:w="0" w:type="auto"/>
            <w:hideMark/>
          </w:tcPr>
          <w:p w14:paraId="53B95BCD" w14:textId="77777777" w:rsidR="00240E7D" w:rsidRPr="00240E7D" w:rsidRDefault="00240E7D" w:rsidP="00240E7D">
            <w:pPr>
              <w:rPr>
                <w:rFonts w:ascii="Arial" w:hAnsi="Arial" w:cs="Arial"/>
              </w:rPr>
            </w:pPr>
            <w:r w:rsidRPr="00240E7D">
              <w:rPr>
                <w:rFonts w:ascii="Arial" w:hAnsi="Arial" w:cs="Arial"/>
                <w:b/>
                <w:bCs/>
              </w:rPr>
              <w:t>Munawar, Singh, &amp; Mohana (2025)</w:t>
            </w:r>
          </w:p>
        </w:tc>
        <w:tc>
          <w:tcPr>
            <w:tcW w:w="0" w:type="auto"/>
            <w:hideMark/>
          </w:tcPr>
          <w:p w14:paraId="0903A835" w14:textId="77777777" w:rsidR="00240E7D" w:rsidRPr="00240E7D" w:rsidRDefault="00240E7D" w:rsidP="00240E7D">
            <w:pPr>
              <w:rPr>
                <w:rFonts w:ascii="Arial" w:hAnsi="Arial" w:cs="Arial"/>
              </w:rPr>
            </w:pPr>
            <w:r w:rsidRPr="00240E7D">
              <w:rPr>
                <w:rFonts w:ascii="Arial" w:hAnsi="Arial" w:cs="Arial"/>
              </w:rPr>
              <w:t>AI and IoT integration for chronic disease monitoring</w:t>
            </w:r>
          </w:p>
        </w:tc>
        <w:tc>
          <w:tcPr>
            <w:tcW w:w="0" w:type="auto"/>
            <w:hideMark/>
          </w:tcPr>
          <w:p w14:paraId="6C58BFD5" w14:textId="77777777" w:rsidR="00240E7D" w:rsidRPr="00240E7D" w:rsidRDefault="00240E7D" w:rsidP="00240E7D">
            <w:pPr>
              <w:rPr>
                <w:rFonts w:ascii="Arial" w:hAnsi="Arial" w:cs="Arial"/>
              </w:rPr>
            </w:pPr>
            <w:r w:rsidRPr="00240E7D">
              <w:rPr>
                <w:rFonts w:ascii="Arial" w:hAnsi="Arial" w:cs="Arial"/>
              </w:rPr>
              <w:t>Experimental study</w:t>
            </w:r>
          </w:p>
        </w:tc>
        <w:tc>
          <w:tcPr>
            <w:tcW w:w="0" w:type="auto"/>
            <w:hideMark/>
          </w:tcPr>
          <w:p w14:paraId="23C452A1" w14:textId="77777777" w:rsidR="00240E7D" w:rsidRPr="00240E7D" w:rsidRDefault="00240E7D" w:rsidP="00240E7D">
            <w:pPr>
              <w:rPr>
                <w:rFonts w:ascii="Arial" w:hAnsi="Arial" w:cs="Arial"/>
              </w:rPr>
            </w:pPr>
            <w:r w:rsidRPr="00240E7D">
              <w:rPr>
                <w:rFonts w:ascii="Arial" w:hAnsi="Arial" w:cs="Arial"/>
              </w:rPr>
              <w:t>Reported enhanced disease prediction accuracy and privacy-preserving federated learning approaches</w:t>
            </w:r>
          </w:p>
        </w:tc>
        <w:tc>
          <w:tcPr>
            <w:tcW w:w="0" w:type="auto"/>
            <w:hideMark/>
          </w:tcPr>
          <w:p w14:paraId="3DA2B4E4" w14:textId="77777777" w:rsidR="00240E7D" w:rsidRPr="00240E7D" w:rsidRDefault="00240E7D" w:rsidP="00240E7D">
            <w:pPr>
              <w:rPr>
                <w:rFonts w:ascii="Arial" w:hAnsi="Arial" w:cs="Arial"/>
              </w:rPr>
            </w:pPr>
            <w:r w:rsidRPr="00240E7D">
              <w:rPr>
                <w:rFonts w:ascii="Arial" w:hAnsi="Arial" w:cs="Arial"/>
              </w:rPr>
              <w:t>Demonstrates technical–ethical balance in AI RMS</w:t>
            </w:r>
          </w:p>
        </w:tc>
      </w:tr>
      <w:tr w:rsidR="00240E7D" w:rsidRPr="00240E7D" w14:paraId="5A430E36" w14:textId="77777777" w:rsidTr="00240E7D">
        <w:tc>
          <w:tcPr>
            <w:tcW w:w="0" w:type="auto"/>
            <w:hideMark/>
          </w:tcPr>
          <w:p w14:paraId="4795815A" w14:textId="77777777" w:rsidR="00240E7D" w:rsidRPr="00240E7D" w:rsidRDefault="00240E7D" w:rsidP="00240E7D">
            <w:pPr>
              <w:rPr>
                <w:rFonts w:ascii="Arial" w:hAnsi="Arial" w:cs="Arial"/>
              </w:rPr>
            </w:pPr>
            <w:r w:rsidRPr="00240E7D">
              <w:rPr>
                <w:rFonts w:ascii="Arial" w:hAnsi="Arial" w:cs="Arial"/>
                <w:b/>
                <w:bCs/>
              </w:rPr>
              <w:t>Rehman Aslam (2025)</w:t>
            </w:r>
          </w:p>
        </w:tc>
        <w:tc>
          <w:tcPr>
            <w:tcW w:w="0" w:type="auto"/>
            <w:hideMark/>
          </w:tcPr>
          <w:p w14:paraId="4D902778" w14:textId="77777777" w:rsidR="00240E7D" w:rsidRPr="00240E7D" w:rsidRDefault="00240E7D" w:rsidP="00240E7D">
            <w:pPr>
              <w:rPr>
                <w:rFonts w:ascii="Arial" w:hAnsi="Arial" w:cs="Arial"/>
              </w:rPr>
            </w:pPr>
            <w:r w:rsidRPr="00240E7D">
              <w:rPr>
                <w:rFonts w:ascii="Arial" w:hAnsi="Arial" w:cs="Arial"/>
              </w:rPr>
              <w:t>AI-enabled remote monitoring for chronic disease and rehabilitation</w:t>
            </w:r>
          </w:p>
        </w:tc>
        <w:tc>
          <w:tcPr>
            <w:tcW w:w="0" w:type="auto"/>
            <w:hideMark/>
          </w:tcPr>
          <w:p w14:paraId="2E471544" w14:textId="77777777" w:rsidR="00240E7D" w:rsidRPr="00240E7D" w:rsidRDefault="00240E7D" w:rsidP="00240E7D">
            <w:pPr>
              <w:rPr>
                <w:rFonts w:ascii="Arial" w:hAnsi="Arial" w:cs="Arial"/>
              </w:rPr>
            </w:pPr>
            <w:r w:rsidRPr="00240E7D">
              <w:rPr>
                <w:rFonts w:ascii="Arial" w:hAnsi="Arial" w:cs="Arial"/>
              </w:rPr>
              <w:t>Review and case synthesis</w:t>
            </w:r>
          </w:p>
        </w:tc>
        <w:tc>
          <w:tcPr>
            <w:tcW w:w="0" w:type="auto"/>
            <w:hideMark/>
          </w:tcPr>
          <w:p w14:paraId="7807900A" w14:textId="77777777" w:rsidR="00240E7D" w:rsidRPr="00240E7D" w:rsidRDefault="00240E7D" w:rsidP="00240E7D">
            <w:pPr>
              <w:rPr>
                <w:rFonts w:ascii="Arial" w:hAnsi="Arial" w:cs="Arial"/>
              </w:rPr>
            </w:pPr>
            <w:r w:rsidRPr="00240E7D">
              <w:rPr>
                <w:rFonts w:ascii="Arial" w:hAnsi="Arial" w:cs="Arial"/>
              </w:rPr>
              <w:t>Found continuous monitoring via wearables supports better recovery and adherence</w:t>
            </w:r>
          </w:p>
        </w:tc>
        <w:tc>
          <w:tcPr>
            <w:tcW w:w="0" w:type="auto"/>
            <w:hideMark/>
          </w:tcPr>
          <w:p w14:paraId="552DD4A1" w14:textId="77777777" w:rsidR="00240E7D" w:rsidRPr="00240E7D" w:rsidRDefault="00240E7D" w:rsidP="00240E7D">
            <w:pPr>
              <w:rPr>
                <w:rFonts w:ascii="Arial" w:hAnsi="Arial" w:cs="Arial"/>
              </w:rPr>
            </w:pPr>
            <w:r w:rsidRPr="00240E7D">
              <w:rPr>
                <w:rFonts w:ascii="Arial" w:hAnsi="Arial" w:cs="Arial"/>
              </w:rPr>
              <w:t>Reinforces AI’s clinical and behavioral benefits</w:t>
            </w:r>
          </w:p>
        </w:tc>
      </w:tr>
      <w:tr w:rsidR="00240E7D" w:rsidRPr="00240E7D" w14:paraId="69D53F31" w14:textId="77777777" w:rsidTr="00240E7D">
        <w:tc>
          <w:tcPr>
            <w:tcW w:w="0" w:type="auto"/>
            <w:hideMark/>
          </w:tcPr>
          <w:p w14:paraId="598512C5" w14:textId="77777777" w:rsidR="00240E7D" w:rsidRPr="00240E7D" w:rsidRDefault="00240E7D" w:rsidP="00240E7D">
            <w:pPr>
              <w:rPr>
                <w:rFonts w:ascii="Arial" w:hAnsi="Arial" w:cs="Arial"/>
              </w:rPr>
            </w:pPr>
            <w:r w:rsidRPr="00240E7D">
              <w:rPr>
                <w:rFonts w:ascii="Arial" w:hAnsi="Arial" w:cs="Arial"/>
                <w:b/>
                <w:bCs/>
              </w:rPr>
              <w:t>Burrell (2023)</w:t>
            </w:r>
          </w:p>
        </w:tc>
        <w:tc>
          <w:tcPr>
            <w:tcW w:w="0" w:type="auto"/>
            <w:hideMark/>
          </w:tcPr>
          <w:p w14:paraId="612DF1A5" w14:textId="77777777" w:rsidR="00240E7D" w:rsidRPr="00240E7D" w:rsidRDefault="00240E7D" w:rsidP="00240E7D">
            <w:pPr>
              <w:rPr>
                <w:rFonts w:ascii="Arial" w:hAnsi="Arial" w:cs="Arial"/>
              </w:rPr>
            </w:pPr>
            <w:r w:rsidRPr="00240E7D">
              <w:rPr>
                <w:rFonts w:ascii="Arial" w:hAnsi="Arial" w:cs="Arial"/>
              </w:rPr>
              <w:t>Ethical and evaluation frameworks for AI in telehealth</w:t>
            </w:r>
          </w:p>
        </w:tc>
        <w:tc>
          <w:tcPr>
            <w:tcW w:w="0" w:type="auto"/>
            <w:hideMark/>
          </w:tcPr>
          <w:p w14:paraId="3A9C3E3A" w14:textId="77777777" w:rsidR="00240E7D" w:rsidRPr="00240E7D" w:rsidRDefault="00240E7D" w:rsidP="00240E7D">
            <w:pPr>
              <w:rPr>
                <w:rFonts w:ascii="Arial" w:hAnsi="Arial" w:cs="Arial"/>
              </w:rPr>
            </w:pPr>
            <w:r w:rsidRPr="00240E7D">
              <w:rPr>
                <w:rFonts w:ascii="Arial" w:hAnsi="Arial" w:cs="Arial"/>
              </w:rPr>
              <w:t>Theoretical framework analysis</w:t>
            </w:r>
          </w:p>
        </w:tc>
        <w:tc>
          <w:tcPr>
            <w:tcW w:w="0" w:type="auto"/>
            <w:hideMark/>
          </w:tcPr>
          <w:p w14:paraId="170C1781" w14:textId="77777777" w:rsidR="00240E7D" w:rsidRPr="00240E7D" w:rsidRDefault="00240E7D" w:rsidP="00240E7D">
            <w:pPr>
              <w:rPr>
                <w:rFonts w:ascii="Arial" w:hAnsi="Arial" w:cs="Arial"/>
              </w:rPr>
            </w:pPr>
            <w:r w:rsidRPr="00240E7D">
              <w:rPr>
                <w:rFonts w:ascii="Arial" w:hAnsi="Arial" w:cs="Arial"/>
              </w:rPr>
              <w:t>Proposed multidimensional evaluation for AI safety, efficacy, and equity</w:t>
            </w:r>
          </w:p>
        </w:tc>
        <w:tc>
          <w:tcPr>
            <w:tcW w:w="0" w:type="auto"/>
            <w:hideMark/>
          </w:tcPr>
          <w:p w14:paraId="45EE80F0" w14:textId="77777777" w:rsidR="00240E7D" w:rsidRPr="00240E7D" w:rsidRDefault="00240E7D" w:rsidP="00240E7D">
            <w:pPr>
              <w:rPr>
                <w:rFonts w:ascii="Arial" w:hAnsi="Arial" w:cs="Arial"/>
              </w:rPr>
            </w:pPr>
            <w:r w:rsidRPr="00240E7D">
              <w:rPr>
                <w:rFonts w:ascii="Arial" w:hAnsi="Arial" w:cs="Arial"/>
              </w:rPr>
              <w:t>Advocates for standardized oversight frameworks</w:t>
            </w:r>
          </w:p>
        </w:tc>
      </w:tr>
      <w:tr w:rsidR="00240E7D" w:rsidRPr="00240E7D" w14:paraId="6F62D119" w14:textId="77777777" w:rsidTr="00240E7D">
        <w:tc>
          <w:tcPr>
            <w:tcW w:w="0" w:type="auto"/>
            <w:hideMark/>
          </w:tcPr>
          <w:p w14:paraId="34E629FF" w14:textId="77777777" w:rsidR="00240E7D" w:rsidRPr="00240E7D" w:rsidRDefault="00240E7D" w:rsidP="00240E7D">
            <w:pPr>
              <w:rPr>
                <w:rFonts w:ascii="Arial" w:hAnsi="Arial" w:cs="Arial"/>
              </w:rPr>
            </w:pPr>
            <w:r w:rsidRPr="00240E7D">
              <w:rPr>
                <w:rFonts w:ascii="Arial" w:hAnsi="Arial" w:cs="Arial"/>
                <w:b/>
                <w:bCs/>
              </w:rPr>
              <w:t>Ostovari (2021)</w:t>
            </w:r>
          </w:p>
        </w:tc>
        <w:tc>
          <w:tcPr>
            <w:tcW w:w="0" w:type="auto"/>
            <w:hideMark/>
          </w:tcPr>
          <w:p w14:paraId="7CE5E464" w14:textId="77777777" w:rsidR="00240E7D" w:rsidRPr="00240E7D" w:rsidRDefault="00240E7D" w:rsidP="00240E7D">
            <w:pPr>
              <w:rPr>
                <w:rFonts w:ascii="Arial" w:hAnsi="Arial" w:cs="Arial"/>
              </w:rPr>
            </w:pPr>
            <w:r w:rsidRPr="00240E7D">
              <w:rPr>
                <w:rFonts w:ascii="Arial" w:hAnsi="Arial" w:cs="Arial"/>
              </w:rPr>
              <w:t>COVID-19-driven expansion of telehealth adoption</w:t>
            </w:r>
          </w:p>
        </w:tc>
        <w:tc>
          <w:tcPr>
            <w:tcW w:w="0" w:type="auto"/>
            <w:hideMark/>
          </w:tcPr>
          <w:p w14:paraId="1A77B87B" w14:textId="77777777" w:rsidR="00240E7D" w:rsidRPr="00240E7D" w:rsidRDefault="00240E7D" w:rsidP="00240E7D">
            <w:pPr>
              <w:rPr>
                <w:rFonts w:ascii="Arial" w:hAnsi="Arial" w:cs="Arial"/>
              </w:rPr>
            </w:pPr>
            <w:r w:rsidRPr="00240E7D">
              <w:rPr>
                <w:rFonts w:ascii="Arial" w:hAnsi="Arial" w:cs="Arial"/>
              </w:rPr>
              <w:t>Empirical analysis</w:t>
            </w:r>
          </w:p>
        </w:tc>
        <w:tc>
          <w:tcPr>
            <w:tcW w:w="0" w:type="auto"/>
            <w:hideMark/>
          </w:tcPr>
          <w:p w14:paraId="7DED0CBD" w14:textId="77777777" w:rsidR="00240E7D" w:rsidRPr="00240E7D" w:rsidRDefault="00240E7D" w:rsidP="00240E7D">
            <w:pPr>
              <w:rPr>
                <w:rFonts w:ascii="Arial" w:hAnsi="Arial" w:cs="Arial"/>
              </w:rPr>
            </w:pPr>
            <w:r w:rsidRPr="00240E7D">
              <w:rPr>
                <w:rFonts w:ascii="Arial" w:hAnsi="Arial" w:cs="Arial"/>
              </w:rPr>
              <w:t>Documented telehealth’s scalability and necessity during pandemic response</w:t>
            </w:r>
          </w:p>
        </w:tc>
        <w:tc>
          <w:tcPr>
            <w:tcW w:w="0" w:type="auto"/>
            <w:hideMark/>
          </w:tcPr>
          <w:p w14:paraId="0A0EA87F" w14:textId="77777777" w:rsidR="00240E7D" w:rsidRPr="00240E7D" w:rsidRDefault="00240E7D" w:rsidP="00240E7D">
            <w:pPr>
              <w:rPr>
                <w:rFonts w:ascii="Arial" w:hAnsi="Arial" w:cs="Arial"/>
              </w:rPr>
            </w:pPr>
            <w:r w:rsidRPr="00240E7D">
              <w:rPr>
                <w:rFonts w:ascii="Arial" w:hAnsi="Arial" w:cs="Arial"/>
              </w:rPr>
              <w:t>Demonstrates large-scale adoption context for AI RMS</w:t>
            </w:r>
          </w:p>
        </w:tc>
      </w:tr>
      <w:tr w:rsidR="00240E7D" w:rsidRPr="00240E7D" w14:paraId="1FD17D1F" w14:textId="77777777" w:rsidTr="00240E7D">
        <w:tc>
          <w:tcPr>
            <w:tcW w:w="0" w:type="auto"/>
            <w:hideMark/>
          </w:tcPr>
          <w:p w14:paraId="3CFC986E" w14:textId="77777777" w:rsidR="00240E7D" w:rsidRPr="00240E7D" w:rsidRDefault="00240E7D" w:rsidP="00240E7D">
            <w:pPr>
              <w:rPr>
                <w:rFonts w:ascii="Arial" w:hAnsi="Arial" w:cs="Arial"/>
              </w:rPr>
            </w:pPr>
            <w:r w:rsidRPr="00240E7D">
              <w:rPr>
                <w:rFonts w:ascii="Arial" w:hAnsi="Arial" w:cs="Arial"/>
                <w:b/>
                <w:bCs/>
              </w:rPr>
              <w:t>Singh &amp; Li (2022)</w:t>
            </w:r>
          </w:p>
        </w:tc>
        <w:tc>
          <w:tcPr>
            <w:tcW w:w="0" w:type="auto"/>
            <w:hideMark/>
          </w:tcPr>
          <w:p w14:paraId="4170809D" w14:textId="77777777" w:rsidR="00240E7D" w:rsidRPr="00240E7D" w:rsidRDefault="00240E7D" w:rsidP="00240E7D">
            <w:pPr>
              <w:rPr>
                <w:rFonts w:ascii="Arial" w:hAnsi="Arial" w:cs="Arial"/>
              </w:rPr>
            </w:pPr>
            <w:r w:rsidRPr="00240E7D">
              <w:rPr>
                <w:rFonts w:ascii="Arial" w:hAnsi="Arial" w:cs="Arial"/>
              </w:rPr>
              <w:t>Post-surgical AI-enabled remote monitoring</w:t>
            </w:r>
          </w:p>
        </w:tc>
        <w:tc>
          <w:tcPr>
            <w:tcW w:w="0" w:type="auto"/>
            <w:hideMark/>
          </w:tcPr>
          <w:p w14:paraId="1402D9E9" w14:textId="77777777" w:rsidR="00240E7D" w:rsidRPr="00240E7D" w:rsidRDefault="00240E7D" w:rsidP="00240E7D">
            <w:pPr>
              <w:rPr>
                <w:rFonts w:ascii="Arial" w:hAnsi="Arial" w:cs="Arial"/>
              </w:rPr>
            </w:pPr>
            <w:r w:rsidRPr="00240E7D">
              <w:rPr>
                <w:rFonts w:ascii="Arial" w:hAnsi="Arial" w:cs="Arial"/>
              </w:rPr>
              <w:t>Clinical case series</w:t>
            </w:r>
          </w:p>
        </w:tc>
        <w:tc>
          <w:tcPr>
            <w:tcW w:w="0" w:type="auto"/>
            <w:hideMark/>
          </w:tcPr>
          <w:p w14:paraId="4C6E6F13" w14:textId="77777777" w:rsidR="00240E7D" w:rsidRPr="00240E7D" w:rsidRDefault="00240E7D" w:rsidP="00240E7D">
            <w:pPr>
              <w:rPr>
                <w:rFonts w:ascii="Arial" w:hAnsi="Arial" w:cs="Arial"/>
              </w:rPr>
            </w:pPr>
            <w:r w:rsidRPr="00240E7D">
              <w:rPr>
                <w:rFonts w:ascii="Arial" w:hAnsi="Arial" w:cs="Arial"/>
              </w:rPr>
              <w:t>Showed wearables and AI-based monitoring reduce infection and readmission rates</w:t>
            </w:r>
          </w:p>
        </w:tc>
        <w:tc>
          <w:tcPr>
            <w:tcW w:w="0" w:type="auto"/>
            <w:hideMark/>
          </w:tcPr>
          <w:p w14:paraId="43A804EB" w14:textId="77777777" w:rsidR="00240E7D" w:rsidRPr="00240E7D" w:rsidRDefault="00240E7D" w:rsidP="00240E7D">
            <w:pPr>
              <w:rPr>
                <w:rFonts w:ascii="Arial" w:hAnsi="Arial" w:cs="Arial"/>
              </w:rPr>
            </w:pPr>
            <w:r w:rsidRPr="00240E7D">
              <w:rPr>
                <w:rFonts w:ascii="Arial" w:hAnsi="Arial" w:cs="Arial"/>
              </w:rPr>
              <w:t>Provides case-based validation of AI RMS benefits</w:t>
            </w:r>
          </w:p>
        </w:tc>
      </w:tr>
    </w:tbl>
    <w:p w14:paraId="15A50709" w14:textId="77777777" w:rsidR="00240E7D" w:rsidRPr="00302A27" w:rsidRDefault="00240E7D" w:rsidP="003728F1">
      <w:pPr>
        <w:pStyle w:val="Body"/>
        <w:rPr>
          <w:rFonts w:ascii="Arial" w:hAnsi="Arial" w:cs="Arial"/>
        </w:rPr>
      </w:pPr>
    </w:p>
    <w:p w14:paraId="2F6FDC3E" w14:textId="7E36BE98" w:rsidR="00902823" w:rsidRPr="00302A27" w:rsidRDefault="00902823" w:rsidP="003728F1">
      <w:pPr>
        <w:pStyle w:val="Head1"/>
        <w:numPr>
          <w:ilvl w:val="0"/>
          <w:numId w:val="34"/>
        </w:numPr>
        <w:jc w:val="both"/>
        <w:rPr>
          <w:rFonts w:ascii="Arial" w:hAnsi="Arial" w:cs="Arial"/>
        </w:rPr>
      </w:pPr>
      <w:r w:rsidRPr="00302A27">
        <w:rPr>
          <w:rFonts w:ascii="Arial" w:hAnsi="Arial" w:cs="Arial"/>
        </w:rPr>
        <w:t xml:space="preserve"> </w:t>
      </w:r>
      <w:r w:rsidR="003E7C87" w:rsidRPr="00302A27">
        <w:rPr>
          <w:rFonts w:ascii="Arial" w:hAnsi="Arial" w:cs="Arial"/>
          <w:bCs/>
          <w:lang w:val="en-GB"/>
        </w:rPr>
        <w:t>Literature Review</w:t>
      </w:r>
    </w:p>
    <w:p w14:paraId="5E0CEFC7" w14:textId="4593F7C2" w:rsidR="003E7C87" w:rsidRPr="00302A27" w:rsidRDefault="003E7C87" w:rsidP="003728F1">
      <w:pPr>
        <w:pStyle w:val="Body"/>
        <w:numPr>
          <w:ilvl w:val="1"/>
          <w:numId w:val="34"/>
        </w:numPr>
        <w:rPr>
          <w:rFonts w:ascii="Arial" w:hAnsi="Arial" w:cs="Arial"/>
          <w:b/>
          <w:sz w:val="22"/>
          <w:szCs w:val="22"/>
        </w:rPr>
      </w:pPr>
      <w:bookmarkStart w:id="1" w:name="_Hlk210125173"/>
      <w:r w:rsidRPr="00302A27">
        <w:rPr>
          <w:rFonts w:ascii="Arial" w:hAnsi="Arial" w:cs="Arial"/>
          <w:b/>
          <w:sz w:val="22"/>
          <w:szCs w:val="22"/>
        </w:rPr>
        <w:t>Telehealth &amp; Digital Transformation</w:t>
      </w:r>
    </w:p>
    <w:bookmarkEnd w:id="1"/>
    <w:p w14:paraId="31578816" w14:textId="23B6EFAE" w:rsidR="003E7C87" w:rsidRPr="00302A27" w:rsidRDefault="003E7C87" w:rsidP="003728F1">
      <w:pPr>
        <w:pStyle w:val="Body"/>
        <w:rPr>
          <w:rFonts w:ascii="Arial" w:hAnsi="Arial" w:cs="Arial"/>
          <w:lang w:val="en-GB"/>
        </w:rPr>
      </w:pPr>
      <w:r w:rsidRPr="00302A27">
        <w:rPr>
          <w:rFonts w:ascii="Arial" w:hAnsi="Arial" w:cs="Arial"/>
          <w:lang w:val="en-GB"/>
        </w:rPr>
        <w:t>Telehealth has undergone significant transformation, evolving from a supplementary mode of care into a central pillar of digital health systems. Early adoption was often slow, hindered by reimbursement, infrastructure, and regulatory barriers. However, the COVID-19 pandemic marked a turning point, accelerating integration into mainstream healthcare. Health systems worldwide</w:t>
      </w:r>
      <w:r w:rsidR="00893962" w:rsidRPr="00302A27">
        <w:rPr>
          <w:rFonts w:ascii="Arial" w:hAnsi="Arial" w:cs="Arial"/>
          <w:lang w:val="en-GB"/>
        </w:rPr>
        <w:t xml:space="preserve"> </w:t>
      </w:r>
      <w:r w:rsidRPr="00302A27">
        <w:rPr>
          <w:rFonts w:ascii="Arial" w:hAnsi="Arial" w:cs="Arial"/>
          <w:lang w:val="en-GB"/>
        </w:rPr>
        <w:t>including the United States</w:t>
      </w:r>
      <w:r w:rsidR="00893962" w:rsidRPr="00302A27">
        <w:rPr>
          <w:rFonts w:ascii="Arial" w:hAnsi="Arial" w:cs="Arial"/>
          <w:lang w:val="en-GB"/>
        </w:rPr>
        <w:t xml:space="preserve"> </w:t>
      </w:r>
      <w:r w:rsidRPr="00302A27">
        <w:rPr>
          <w:rFonts w:ascii="Arial" w:hAnsi="Arial" w:cs="Arial"/>
          <w:lang w:val="en-GB"/>
        </w:rPr>
        <w:t xml:space="preserve">rapidly expanded virtual services to safeguard patients and providers while maintaining continuity of care (Ostovari, 2021). This crisis </w:t>
      </w:r>
      <w:r w:rsidR="00476E32" w:rsidRPr="00302A27">
        <w:rPr>
          <w:rFonts w:ascii="Arial" w:hAnsi="Arial" w:cs="Arial"/>
          <w:lang w:val="en-GB"/>
        </w:rPr>
        <w:t>emphasised</w:t>
      </w:r>
      <w:r w:rsidRPr="00302A27">
        <w:rPr>
          <w:rFonts w:ascii="Arial" w:hAnsi="Arial" w:cs="Arial"/>
          <w:lang w:val="en-GB"/>
        </w:rPr>
        <w:t xml:space="preserve"> the resilience of digital health technologies and positioned telehealth as a critical driver of healthcare transformation.</w:t>
      </w:r>
    </w:p>
    <w:p w14:paraId="060C8D9C" w14:textId="02902F55" w:rsidR="003E7C87" w:rsidRPr="00302A27" w:rsidRDefault="003E7C87" w:rsidP="003728F1">
      <w:pPr>
        <w:pStyle w:val="Body"/>
        <w:rPr>
          <w:rFonts w:ascii="Arial" w:hAnsi="Arial" w:cs="Arial"/>
          <w:lang w:val="en-GB"/>
        </w:rPr>
      </w:pPr>
      <w:r w:rsidRPr="00302A27">
        <w:rPr>
          <w:rFonts w:ascii="Arial" w:hAnsi="Arial" w:cs="Arial"/>
          <w:lang w:val="en-GB"/>
        </w:rPr>
        <w:t xml:space="preserve">Today, telehealth extends beyond real-time consultations to include preventive care, health education, administrative coordination, and professional collaboration. Its modalities are typically categorized as synchronous communication (e.g., real-time video or audio visits), asynchronous “store-and-forward” systems (e.g., secure portals), and </w:t>
      </w:r>
      <w:r w:rsidR="00457AC3" w:rsidRPr="00302A27">
        <w:rPr>
          <w:rFonts w:ascii="Arial" w:hAnsi="Arial" w:cs="Arial"/>
          <w:lang w:val="en-GB"/>
        </w:rPr>
        <w:t>RPM</w:t>
      </w:r>
      <w:r w:rsidRPr="00302A27">
        <w:rPr>
          <w:rFonts w:ascii="Arial" w:hAnsi="Arial" w:cs="Arial"/>
          <w:lang w:val="en-GB"/>
        </w:rPr>
        <w:t xml:space="preserve">. Among these, </w:t>
      </w:r>
      <w:r w:rsidRPr="00302A27">
        <w:rPr>
          <w:rFonts w:ascii="Arial" w:hAnsi="Arial" w:cs="Arial"/>
          <w:lang w:val="en-GB"/>
        </w:rPr>
        <w:lastRenderedPageBreak/>
        <w:t>remote monitoring has proven especially impactful, enabling continuous oversight of patient health without in-person visits. RMS has been central to chronic disease management, post-discharge follow-ups, and COVID-19 symptom tracking, where timely data collection and intervention help prevent complications and reduce hospital admissions (Ostovari, 2021).</w:t>
      </w:r>
    </w:p>
    <w:p w14:paraId="2AA15671" w14:textId="77777777" w:rsidR="003E7C87" w:rsidRPr="00302A27" w:rsidRDefault="003E7C87" w:rsidP="003728F1">
      <w:pPr>
        <w:pStyle w:val="Body"/>
        <w:rPr>
          <w:rFonts w:ascii="Arial" w:hAnsi="Arial" w:cs="Arial"/>
          <w:lang w:val="en-GB"/>
        </w:rPr>
      </w:pPr>
      <w:r w:rsidRPr="00302A27">
        <w:rPr>
          <w:rFonts w:ascii="Arial" w:hAnsi="Arial" w:cs="Arial"/>
          <w:lang w:val="en-GB"/>
        </w:rPr>
        <w:t>The integration of artificial intelligence (AI) into RMS further enhances the potential of telehealth. AI systems transform raw data from wearable sensors, mobile health applications, and patient-reported outcomes into actionable insights. Through predictive analytics and anomaly detection, AI enables early identification of clinical deterioration, supports timely interventions, and improves diagnostic accuracy (Ostovari, 2021; Ferdausi et al., 2025). These tools also optimize healthcare resources by reducing unnecessary hospitalizations and easing the burden on emergency departments.</w:t>
      </w:r>
    </w:p>
    <w:p w14:paraId="0A7DEC72" w14:textId="77777777" w:rsidR="003E7C87" w:rsidRPr="00302A27" w:rsidRDefault="003E7C87" w:rsidP="003728F1">
      <w:pPr>
        <w:pStyle w:val="Body"/>
        <w:rPr>
          <w:rFonts w:ascii="Arial" w:hAnsi="Arial" w:cs="Arial"/>
          <w:lang w:val="en-GB"/>
        </w:rPr>
      </w:pPr>
      <w:r w:rsidRPr="00302A27">
        <w:rPr>
          <w:rFonts w:ascii="Arial" w:hAnsi="Arial" w:cs="Arial"/>
          <w:lang w:val="en-GB"/>
        </w:rPr>
        <w:t>Ferdausi et al. (2025) emphasize that the rapid growth of telehealth has opened opportunities to embed advanced AI applications into patient monitoring platforms. Machine learning, deep learning, and natural language processing now allow extraction of insights from electronic health records, wearable devices, and real-time physiological signals. These capabilities enable forecasting of disease progression and development of personalized treatment plans. Beyond diagnostics, AI-powered chatbots, voice recognition systems, and virtual assistants automate routine tasks, improve communication, and expand access to care, particularly in underserved areas.</w:t>
      </w:r>
    </w:p>
    <w:p w14:paraId="1BE47828" w14:textId="77777777" w:rsidR="003E7C87" w:rsidRPr="00302A27" w:rsidRDefault="003E7C87" w:rsidP="003728F1">
      <w:pPr>
        <w:pStyle w:val="Body"/>
        <w:rPr>
          <w:rFonts w:ascii="Arial" w:hAnsi="Arial" w:cs="Arial"/>
          <w:lang w:val="en-GB"/>
        </w:rPr>
      </w:pPr>
      <w:r w:rsidRPr="00302A27">
        <w:rPr>
          <w:rFonts w:ascii="Arial" w:hAnsi="Arial" w:cs="Arial"/>
          <w:lang w:val="en-GB"/>
        </w:rPr>
        <w:t>Similarly, Rehman Aslam (2025) highlights AI’s pivotal role in chronic disease management and real-time tracking. Integrated with wearable devices, AI-enabled RPM tools continuously monitor vital signs such as blood pressure, glucose, and heart rate. Predictive models identify at-risk patients and facilitate early interventions, thereby reducing hospital readmissions. These platforms also improve patient engagement through reminders, coaching, and virtual consultations, reinforcing adherence to treatment and satisfaction with care.</w:t>
      </w:r>
    </w:p>
    <w:p w14:paraId="51B6E67A" w14:textId="747C31D3" w:rsidR="003E7C87" w:rsidRPr="00302A27" w:rsidRDefault="003E7C87" w:rsidP="003728F1">
      <w:pPr>
        <w:pStyle w:val="Body"/>
        <w:rPr>
          <w:rFonts w:ascii="Arial" w:hAnsi="Arial" w:cs="Arial"/>
          <w:lang w:val="en-GB"/>
        </w:rPr>
      </w:pPr>
      <w:r w:rsidRPr="00302A27">
        <w:rPr>
          <w:rFonts w:ascii="Arial" w:hAnsi="Arial" w:cs="Arial"/>
          <w:lang w:val="en-GB"/>
        </w:rPr>
        <w:t>The diagnostic dimension of AI in telehealth has also gained attention. Rehman Aslam (2025) describes how deep learning and NLP support medical imaging, symptom assessment, and documentation, easing clinician workload and reducing errors. Ferdausi et al. (2025) point to convolutional neural networks (CNNs), BERT classifiers, and anomaly detection tools that enhance accuracy and even strengthen cybersecurity via intelligent intrusion detection. This dual function demonstrates AI’s role in advancing both clinical support and operational safety in telehealth systems.</w:t>
      </w:r>
      <w:r w:rsidR="006776C3" w:rsidRPr="00302A27">
        <w:rPr>
          <w:rFonts w:ascii="Arial" w:hAnsi="Arial" w:cs="Arial"/>
          <w:lang w:val="en-GB"/>
        </w:rPr>
        <w:t xml:space="preserve"> </w:t>
      </w:r>
      <w:r w:rsidRPr="00302A27">
        <w:rPr>
          <w:rFonts w:ascii="Arial" w:hAnsi="Arial" w:cs="Arial"/>
          <w:lang w:val="en-GB"/>
        </w:rPr>
        <w:t>The collaborative scope of telehealth has likewise expanded through AI integration. Virtual platforms enhanced with intelligent systems now enable knowledge sharing across regions, facilitate multidisciplinary consultations, and support ongoing medical education, even during mobility restrictions (Ostovari, 2021). AI thereby reshapes not only patient monitoring but also the broader healthcare ecosystem by embedding intelligence into communication and collaboration.</w:t>
      </w:r>
    </w:p>
    <w:p w14:paraId="70B4B195" w14:textId="77777777" w:rsidR="003E7C87" w:rsidRPr="00302A27" w:rsidRDefault="003E7C87" w:rsidP="003728F1">
      <w:pPr>
        <w:pStyle w:val="Body"/>
        <w:rPr>
          <w:rFonts w:ascii="Arial" w:hAnsi="Arial" w:cs="Arial"/>
          <w:lang w:val="en-GB"/>
        </w:rPr>
      </w:pPr>
      <w:r w:rsidRPr="00302A27">
        <w:rPr>
          <w:rFonts w:ascii="Arial" w:hAnsi="Arial" w:cs="Arial"/>
          <w:lang w:val="en-GB"/>
        </w:rPr>
        <w:t xml:space="preserve">Despite clear benefits, several challenges remain. Burrell (2023) stresses that while the pandemic </w:t>
      </w:r>
      <w:r w:rsidRPr="00302A27">
        <w:rPr>
          <w:rFonts w:ascii="Arial" w:hAnsi="Arial" w:cs="Arial"/>
        </w:rPr>
        <w:t>catalyzed</w:t>
      </w:r>
      <w:r w:rsidRPr="00302A27">
        <w:rPr>
          <w:rFonts w:ascii="Arial" w:hAnsi="Arial" w:cs="Arial"/>
          <w:lang w:val="en-GB"/>
        </w:rPr>
        <w:t xml:space="preserve"> rapid deployment of AI-driven telehealth, it exposed the lack of standardized evaluation frameworks to assess safety, efficacy, and ethical impact. Without such frameworks, concerns persist about patient safety, algorithm reliability, and data security. Burrell argues for multidimensional evaluation mechanisms aligned with clinical goals and regulatory standards to ensure sustainable adoption.</w:t>
      </w:r>
    </w:p>
    <w:p w14:paraId="65D96D43" w14:textId="4F04584C" w:rsidR="003E7C87" w:rsidRPr="00302A27" w:rsidRDefault="003E7C87" w:rsidP="003728F1">
      <w:pPr>
        <w:pStyle w:val="Body"/>
        <w:rPr>
          <w:rFonts w:ascii="Arial" w:hAnsi="Arial" w:cs="Arial"/>
          <w:lang w:val="en-GB"/>
        </w:rPr>
      </w:pPr>
      <w:r w:rsidRPr="00302A27">
        <w:rPr>
          <w:rFonts w:ascii="Arial" w:hAnsi="Arial" w:cs="Arial"/>
        </w:rPr>
        <w:t>Andrikopoulou</w:t>
      </w:r>
      <w:r w:rsidRPr="00302A27">
        <w:rPr>
          <w:rFonts w:ascii="Arial" w:hAnsi="Arial" w:cs="Arial"/>
          <w:lang w:val="en-GB"/>
        </w:rPr>
        <w:t xml:space="preserve"> (2023) echoes these concerns, noting that while AI accelerates telehealth expansion across synchronous, asynchronous, and monitoring modalities, barriers remain in reimbursement, regulatory compliance, and ethical governance. Key issues include data privacy, the opacity of “black box” algorithms, risks of bias, and disparities in digital access. </w:t>
      </w:r>
      <w:r w:rsidRPr="00302A27">
        <w:rPr>
          <w:rFonts w:ascii="Arial" w:hAnsi="Arial" w:cs="Arial"/>
          <w:lang w:val="en-GB"/>
        </w:rPr>
        <w:lastRenderedPageBreak/>
        <w:t>The pandemic highlighted inequities faced by rural populations, minorities, and elderly patients, leading to recognition of digital determinants of health</w:t>
      </w:r>
      <w:r w:rsidR="00893962" w:rsidRPr="00302A27">
        <w:rPr>
          <w:rFonts w:ascii="Arial" w:hAnsi="Arial" w:cs="Arial"/>
          <w:lang w:val="en-GB"/>
        </w:rPr>
        <w:t xml:space="preserve"> </w:t>
      </w:r>
      <w:r w:rsidRPr="00302A27">
        <w:rPr>
          <w:rFonts w:ascii="Arial" w:hAnsi="Arial" w:cs="Arial"/>
          <w:lang w:val="en-GB"/>
        </w:rPr>
        <w:t>factors such as digital literacy, broadband access, and community infrastructure that determine equitable participation in telehealth.</w:t>
      </w:r>
    </w:p>
    <w:p w14:paraId="2491FE11" w14:textId="010DB472" w:rsidR="003E7C87" w:rsidRPr="00302A27" w:rsidRDefault="003E7C87" w:rsidP="003728F1">
      <w:pPr>
        <w:pStyle w:val="Body"/>
        <w:numPr>
          <w:ilvl w:val="1"/>
          <w:numId w:val="34"/>
        </w:numPr>
        <w:rPr>
          <w:rFonts w:ascii="Arial" w:hAnsi="Arial" w:cs="Arial"/>
          <w:b/>
          <w:sz w:val="22"/>
          <w:szCs w:val="22"/>
        </w:rPr>
      </w:pPr>
      <w:bookmarkStart w:id="2" w:name="_Hlk210289995"/>
      <w:r w:rsidRPr="00302A27">
        <w:rPr>
          <w:rFonts w:ascii="Arial" w:hAnsi="Arial" w:cs="Arial"/>
          <w:b/>
          <w:sz w:val="22"/>
          <w:szCs w:val="22"/>
        </w:rPr>
        <w:t>User Trust in Telehealth</w:t>
      </w:r>
    </w:p>
    <w:bookmarkEnd w:id="2"/>
    <w:p w14:paraId="0FCC8821" w14:textId="77777777" w:rsidR="003E7C87" w:rsidRPr="00302A27" w:rsidRDefault="003E7C87" w:rsidP="003728F1">
      <w:pPr>
        <w:pStyle w:val="Body"/>
        <w:rPr>
          <w:rFonts w:ascii="Arial" w:hAnsi="Arial" w:cs="Arial"/>
          <w:lang w:val="en-GB"/>
        </w:rPr>
      </w:pPr>
      <w:r w:rsidRPr="00302A27">
        <w:rPr>
          <w:rFonts w:ascii="Arial" w:hAnsi="Arial" w:cs="Arial"/>
          <w:lang w:val="en-GB"/>
        </w:rPr>
        <w:t>Trust is central to the adoption of telehealth, especially as artificial intelligence (AI) and explainable AI (XAI) become integral to digital healthcare delivery. Research indicates that trust in telehealth is multidimensional, extending beyond confidence in providers to include system transparency, algorithm interpretability, reliability of outputs, physician–patient communication, and assurances of data privacy. Studies consistently emphasize that patients are more likely to accept and use AI-powered systems when these dimensions are addressed (Zeng et al., 2025; Costantino et al., 2022).</w:t>
      </w:r>
    </w:p>
    <w:p w14:paraId="348F0513" w14:textId="77777777" w:rsidR="003E7C87" w:rsidRPr="00302A27" w:rsidRDefault="003E7C87" w:rsidP="003728F1">
      <w:pPr>
        <w:pStyle w:val="Body"/>
        <w:rPr>
          <w:rFonts w:ascii="Arial" w:hAnsi="Arial" w:cs="Arial"/>
          <w:lang w:val="en-GB"/>
        </w:rPr>
      </w:pPr>
      <w:r w:rsidRPr="00302A27">
        <w:rPr>
          <w:rFonts w:ascii="Arial" w:hAnsi="Arial" w:cs="Arial"/>
          <w:lang w:val="en-GB"/>
        </w:rPr>
        <w:t>Transparency and interpretability of algorithms are particularly significant. Patients and clinicians alike demand clear and actionable explanations of AI recommendations. Explanatory methods such as feature contribution (LIME, SHAP), example-based reasoning, and visualization tools (e.g., Grad-CAM) have been tested to build trust, with varying success depending on user needs and expertise (Ehsan et al., 2021; Du et al., 2022; Huang et al., 2024). However, studies also caution that too much technical detail can erode trust, while insufficient information creates uncertainty (Schrills &amp; Franke, 2023). Reliability and competence of telehealth platforms further shape user confidence. Jean (2024) shows that patient trust in AI-driven telemedicine systems depends heavily on diagnostic accuracy, while Costantino et al. (2022) highlight ease of use and organizational support as essential for sustained confidence.</w:t>
      </w:r>
    </w:p>
    <w:p w14:paraId="37CB945E" w14:textId="486DA493" w:rsidR="003E7C87" w:rsidRPr="00302A27" w:rsidRDefault="003E7C87" w:rsidP="003728F1">
      <w:pPr>
        <w:pStyle w:val="Body"/>
        <w:rPr>
          <w:rFonts w:ascii="Arial" w:hAnsi="Arial" w:cs="Arial"/>
          <w:lang w:val="en-GB"/>
        </w:rPr>
      </w:pPr>
      <w:r w:rsidRPr="00302A27">
        <w:rPr>
          <w:rFonts w:ascii="Arial" w:hAnsi="Arial" w:cs="Arial"/>
          <w:lang w:val="en-GB"/>
        </w:rPr>
        <w:t>The doctor–patient relationship continues to mediate technological trust. Providers’ ability to explain AI outputs, communicate uncertainty, and maintain empathy directly influences patient acceptance (Jean, 2024; Zeng et al., 2025). Moreover, privacy and data integrity assurances remain critical enablers of digital trust. Studies show that patients are more willing to use telehealth platforms when they believe their health information is secure and handled transparently (Luckritz, 2025). Finally, personalization and user-</w:t>
      </w:r>
      <w:r w:rsidRPr="00302A27">
        <w:rPr>
          <w:rFonts w:ascii="Arial" w:hAnsi="Arial" w:cs="Arial"/>
        </w:rPr>
        <w:t>centered</w:t>
      </w:r>
      <w:r w:rsidRPr="00302A27">
        <w:rPr>
          <w:rFonts w:ascii="Arial" w:hAnsi="Arial" w:cs="Arial"/>
          <w:lang w:val="en-GB"/>
        </w:rPr>
        <w:t xml:space="preserve"> design strengthen trust, especially among vulnerable groups such as older adults, by ensuring that telehealth platforms are accessible, inclusive, and aligned with user needs (Huang et al., 2024; Burgess et al., 2023).</w:t>
      </w:r>
    </w:p>
    <w:p w14:paraId="5711A68D" w14:textId="38329342" w:rsidR="003E7C87" w:rsidRPr="00302A27" w:rsidRDefault="003E7C87" w:rsidP="003728F1">
      <w:pPr>
        <w:pStyle w:val="Body"/>
        <w:numPr>
          <w:ilvl w:val="1"/>
          <w:numId w:val="34"/>
        </w:numPr>
        <w:rPr>
          <w:rFonts w:ascii="Arial" w:hAnsi="Arial" w:cs="Arial"/>
          <w:b/>
          <w:sz w:val="22"/>
          <w:szCs w:val="22"/>
        </w:rPr>
      </w:pPr>
      <w:r w:rsidRPr="00302A27">
        <w:rPr>
          <w:rFonts w:ascii="Arial" w:hAnsi="Arial" w:cs="Arial"/>
          <w:b/>
          <w:sz w:val="22"/>
          <w:szCs w:val="22"/>
        </w:rPr>
        <w:t xml:space="preserve"> Data Privacy Concerns in Telehealth</w:t>
      </w:r>
    </w:p>
    <w:p w14:paraId="5B2F604A" w14:textId="77777777" w:rsidR="003E7C87" w:rsidRPr="00302A27" w:rsidRDefault="003E7C87" w:rsidP="003728F1">
      <w:pPr>
        <w:pStyle w:val="Body"/>
        <w:rPr>
          <w:rFonts w:ascii="Arial" w:hAnsi="Arial" w:cs="Arial"/>
          <w:lang w:val="en-GB"/>
        </w:rPr>
      </w:pPr>
      <w:r w:rsidRPr="00302A27">
        <w:rPr>
          <w:rFonts w:ascii="Arial" w:hAnsi="Arial" w:cs="Arial"/>
          <w:lang w:val="en-GB"/>
        </w:rPr>
        <w:t>The rapid expansion of telehealth services, particularly during and after the COVID-19 pandemic, has amplified concerns regarding data privacy, regulatory compliance, and the ethical implications of patient data management. At the center of these concerns is the question of how patient information is collected, stored, shared, and protected under frameworks such as the Health Insurance Portability and Accountability Act (HIPAA) and other emerging data governance regimes.</w:t>
      </w:r>
    </w:p>
    <w:p w14:paraId="438DD465" w14:textId="00309F36" w:rsidR="003E7C87" w:rsidRPr="00302A27" w:rsidRDefault="003E7C87" w:rsidP="003728F1">
      <w:pPr>
        <w:pStyle w:val="Body"/>
        <w:rPr>
          <w:rFonts w:ascii="Arial" w:hAnsi="Arial" w:cs="Arial"/>
          <w:lang w:val="en-GB"/>
        </w:rPr>
      </w:pPr>
      <w:r w:rsidRPr="00302A27">
        <w:rPr>
          <w:rFonts w:ascii="Arial" w:hAnsi="Arial" w:cs="Arial"/>
          <w:lang w:val="en-GB"/>
        </w:rPr>
        <w:t xml:space="preserve">Bassan (2020) highlights how the U.S. Department of Health and Human Services (HHS), through the Office for Civil Rights (OCR), issued a Notification of Enforcement Discretion during the pandemic, temporarily relaxing the enforcement of HIPAA’s </w:t>
      </w:r>
      <w:r w:rsidR="003772DE" w:rsidRPr="00302A27">
        <w:rPr>
          <w:rFonts w:ascii="Arial" w:hAnsi="Arial" w:cs="Arial"/>
          <w:lang w:val="en-GB"/>
        </w:rPr>
        <w:t>p</w:t>
      </w:r>
      <w:r w:rsidRPr="00302A27">
        <w:rPr>
          <w:rFonts w:ascii="Arial" w:hAnsi="Arial" w:cs="Arial"/>
          <w:lang w:val="en-GB"/>
        </w:rPr>
        <w:t xml:space="preserve">rivacy, </w:t>
      </w:r>
      <w:r w:rsidR="003772DE" w:rsidRPr="00302A27">
        <w:rPr>
          <w:rFonts w:ascii="Arial" w:hAnsi="Arial" w:cs="Arial"/>
          <w:lang w:val="en-GB"/>
        </w:rPr>
        <w:t>s</w:t>
      </w:r>
      <w:r w:rsidRPr="00302A27">
        <w:rPr>
          <w:rFonts w:ascii="Arial" w:hAnsi="Arial" w:cs="Arial"/>
          <w:lang w:val="en-GB"/>
        </w:rPr>
        <w:t xml:space="preserve">ecurity, and </w:t>
      </w:r>
      <w:r w:rsidR="003772DE" w:rsidRPr="00302A27">
        <w:rPr>
          <w:rFonts w:ascii="Arial" w:hAnsi="Arial" w:cs="Arial"/>
          <w:lang w:val="en-GB"/>
        </w:rPr>
        <w:t>b</w:t>
      </w:r>
      <w:r w:rsidRPr="00302A27">
        <w:rPr>
          <w:rFonts w:ascii="Arial" w:hAnsi="Arial" w:cs="Arial"/>
          <w:lang w:val="en-GB"/>
        </w:rPr>
        <w:t xml:space="preserve">reach </w:t>
      </w:r>
      <w:r w:rsidR="003772DE" w:rsidRPr="00302A27">
        <w:rPr>
          <w:rFonts w:ascii="Arial" w:hAnsi="Arial" w:cs="Arial"/>
          <w:lang w:val="en-GB"/>
        </w:rPr>
        <w:t>n</w:t>
      </w:r>
      <w:r w:rsidRPr="00302A27">
        <w:rPr>
          <w:rFonts w:ascii="Arial" w:hAnsi="Arial" w:cs="Arial"/>
          <w:lang w:val="en-GB"/>
        </w:rPr>
        <w:t xml:space="preserve">otification </w:t>
      </w:r>
      <w:r w:rsidR="003772DE" w:rsidRPr="00302A27">
        <w:rPr>
          <w:rFonts w:ascii="Arial" w:hAnsi="Arial" w:cs="Arial"/>
          <w:lang w:val="en-GB"/>
        </w:rPr>
        <w:t>r</w:t>
      </w:r>
      <w:r w:rsidRPr="00302A27">
        <w:rPr>
          <w:rFonts w:ascii="Arial" w:hAnsi="Arial" w:cs="Arial"/>
          <w:lang w:val="en-GB"/>
        </w:rPr>
        <w:t xml:space="preserve">ules. While this regulatory flexibility allowed healthcare providers to rapidly adopt telehealth technologies, it simultaneously shifted the burden of privacy protection onto patients themselves. In practice, this meant that a substantial volume of health information transmitted through telecommunication platforms was no longer fully safeguarded under </w:t>
      </w:r>
      <w:r w:rsidRPr="00302A27">
        <w:rPr>
          <w:rFonts w:ascii="Arial" w:hAnsi="Arial" w:cs="Arial"/>
          <w:lang w:val="en-GB"/>
        </w:rPr>
        <w:lastRenderedPageBreak/>
        <w:t>HIPAA, but instead became subject to the privacy policies of private technology providers (Bassan, 2020).</w:t>
      </w:r>
    </w:p>
    <w:p w14:paraId="3319F48B" w14:textId="560056CD" w:rsidR="003E7C87" w:rsidRPr="00302A27" w:rsidRDefault="003E7C87" w:rsidP="003728F1">
      <w:pPr>
        <w:pStyle w:val="Body"/>
        <w:rPr>
          <w:rFonts w:ascii="Arial" w:hAnsi="Arial" w:cs="Arial"/>
          <w:lang w:val="en-GB"/>
        </w:rPr>
      </w:pPr>
      <w:r w:rsidRPr="00302A27">
        <w:rPr>
          <w:rFonts w:ascii="Arial" w:hAnsi="Arial" w:cs="Arial"/>
          <w:lang w:val="en-GB"/>
        </w:rPr>
        <w:t xml:space="preserve">Such developments </w:t>
      </w:r>
      <w:r w:rsidR="00476E32" w:rsidRPr="00302A27">
        <w:rPr>
          <w:rFonts w:ascii="Arial" w:hAnsi="Arial" w:cs="Arial"/>
          <w:lang w:val="en-GB"/>
        </w:rPr>
        <w:t>highlight</w:t>
      </w:r>
      <w:r w:rsidRPr="00302A27">
        <w:rPr>
          <w:rFonts w:ascii="Arial" w:hAnsi="Arial" w:cs="Arial"/>
          <w:lang w:val="en-GB"/>
        </w:rPr>
        <w:t xml:space="preserve"> both cybersecurity and ethical challenges. Platforms such as Zoom and Facebook Messenger, while accessible and widely used, introduced risks of unauthorized access, commercial exploitation of health data, and long-term data retention without sufficient oversight (Bassan, 2020). Furthermore, the notion of patients being solely responsible for understanding and consenting to complex privacy policies is both impractical and ethically problematic, especially during times of heightened vulnerability such as a pandemic.</w:t>
      </w:r>
    </w:p>
    <w:p w14:paraId="05C747C6" w14:textId="7BC34F56" w:rsidR="003E7C87" w:rsidRPr="00302A27" w:rsidRDefault="003E7C87" w:rsidP="003728F1">
      <w:pPr>
        <w:pStyle w:val="Body"/>
        <w:rPr>
          <w:rFonts w:ascii="Arial" w:hAnsi="Arial" w:cs="Arial"/>
          <w:lang w:val="en-GB"/>
        </w:rPr>
      </w:pPr>
      <w:r w:rsidRPr="00302A27">
        <w:rPr>
          <w:rFonts w:ascii="Arial" w:hAnsi="Arial" w:cs="Arial"/>
          <w:lang w:val="en-GB"/>
        </w:rPr>
        <w:t>Beyond immediate security risks, broader legal and ethical questions arise. Karamifar, Tabibian, and Rezaei (2023) emphasize that digital public health systems</w:t>
      </w:r>
      <w:r w:rsidR="00893962" w:rsidRPr="00302A27">
        <w:rPr>
          <w:rFonts w:ascii="Arial" w:hAnsi="Arial" w:cs="Arial"/>
          <w:lang w:val="en-GB"/>
        </w:rPr>
        <w:t xml:space="preserve"> </w:t>
      </w:r>
      <w:r w:rsidRPr="00302A27">
        <w:rPr>
          <w:rFonts w:ascii="Arial" w:hAnsi="Arial" w:cs="Arial"/>
          <w:lang w:val="en-GB"/>
        </w:rPr>
        <w:t>of which telehealth is a core component</w:t>
      </w:r>
      <w:r w:rsidR="00893962" w:rsidRPr="00302A27">
        <w:rPr>
          <w:rFonts w:ascii="Arial" w:hAnsi="Arial" w:cs="Arial"/>
          <w:lang w:val="en-GB"/>
        </w:rPr>
        <w:t xml:space="preserve"> </w:t>
      </w:r>
      <w:r w:rsidRPr="00302A27">
        <w:rPr>
          <w:rFonts w:ascii="Arial" w:hAnsi="Arial" w:cs="Arial"/>
          <w:lang w:val="en-GB"/>
        </w:rPr>
        <w:t>must contend with a range of privacy and consent challenges.</w:t>
      </w:r>
      <w:r w:rsidR="007E3131" w:rsidRPr="00302A27">
        <w:rPr>
          <w:rFonts w:ascii="Arial" w:hAnsi="Arial" w:cs="Arial"/>
        </w:rPr>
        <w:t xml:space="preserve"> </w:t>
      </w:r>
      <w:r w:rsidR="006E76FF" w:rsidRPr="00302A27">
        <w:rPr>
          <w:rFonts w:ascii="Arial" w:hAnsi="Arial" w:cs="Arial"/>
        </w:rPr>
        <w:t>C</w:t>
      </w:r>
      <w:r w:rsidR="007E3131" w:rsidRPr="00302A27">
        <w:rPr>
          <w:rFonts w:ascii="Arial" w:hAnsi="Arial" w:cs="Arial"/>
        </w:rPr>
        <w:t>ross-border data transfers, third-party data processors, and cyberattack vulnerabilities pose major dangers to patient confidentiality and integrity. Importantly, emphasize the ethical implications of informed consent, especially for vulnerable populations who may lack the knowledge or capacity to fully assess the risks associated with digital health technologies. Emerging techniques, such as dynamic or granular consent, aim to solve these issues, although they are inconsistently applied (Karamifar et al., 2023).</w:t>
      </w:r>
    </w:p>
    <w:p w14:paraId="0E4F76A5" w14:textId="0A16674E" w:rsidR="00302A27" w:rsidRDefault="003E7C87" w:rsidP="00302A27">
      <w:pPr>
        <w:pStyle w:val="Body"/>
        <w:rPr>
          <w:rFonts w:ascii="Arial" w:hAnsi="Arial" w:cs="Arial"/>
        </w:rPr>
      </w:pPr>
      <w:r w:rsidRPr="00302A27">
        <w:rPr>
          <w:rFonts w:ascii="Arial" w:hAnsi="Arial" w:cs="Arial"/>
          <w:lang w:val="en-GB"/>
        </w:rPr>
        <w:t xml:space="preserve">HIPAA itself provides some safeguards through the </w:t>
      </w:r>
      <w:r w:rsidR="006E76FF" w:rsidRPr="00302A27">
        <w:rPr>
          <w:rFonts w:ascii="Arial" w:hAnsi="Arial" w:cs="Arial"/>
          <w:lang w:val="en-GB"/>
        </w:rPr>
        <w:t>p</w:t>
      </w:r>
      <w:r w:rsidRPr="00302A27">
        <w:rPr>
          <w:rFonts w:ascii="Arial" w:hAnsi="Arial" w:cs="Arial"/>
          <w:lang w:val="en-GB"/>
        </w:rPr>
        <w:t xml:space="preserve">rivacy and </w:t>
      </w:r>
      <w:r w:rsidR="006E76FF" w:rsidRPr="00302A27">
        <w:rPr>
          <w:rFonts w:ascii="Arial" w:hAnsi="Arial" w:cs="Arial"/>
          <w:lang w:val="en-GB"/>
        </w:rPr>
        <w:t>s</w:t>
      </w:r>
      <w:r w:rsidRPr="00302A27">
        <w:rPr>
          <w:rFonts w:ascii="Arial" w:hAnsi="Arial" w:cs="Arial"/>
          <w:lang w:val="en-GB"/>
        </w:rPr>
        <w:t xml:space="preserve">ecurity </w:t>
      </w:r>
      <w:r w:rsidR="006E76FF" w:rsidRPr="00302A27">
        <w:rPr>
          <w:rFonts w:ascii="Arial" w:hAnsi="Arial" w:cs="Arial"/>
          <w:lang w:val="en-GB"/>
        </w:rPr>
        <w:t>r</w:t>
      </w:r>
      <w:r w:rsidRPr="00302A27">
        <w:rPr>
          <w:rFonts w:ascii="Arial" w:hAnsi="Arial" w:cs="Arial"/>
          <w:lang w:val="en-GB"/>
        </w:rPr>
        <w:t>ules, which require entities to implement administrative, technical, and physical measures to secure protected health information (PHI). However, as Bassan (2020) points out, telehealth apps that operate outside the formal definition of “covered entities” under HIPAA fall into a regulatory gray area, allowing sensitive health data to be governed primarily by corporate privacy policies rather than enforceable health law standards. This creates a fundamental gap in data ownership and accountability: while patients generate the data, its storage and use are often determined by private corporations that may leverage this information for commercial gain.</w:t>
      </w:r>
      <w:r w:rsidR="00AF66A7" w:rsidRPr="00302A27">
        <w:rPr>
          <w:rFonts w:ascii="Arial" w:hAnsi="Arial" w:cs="Arial"/>
          <w:lang w:val="en-GB"/>
        </w:rPr>
        <w:t xml:space="preserve"> </w:t>
      </w:r>
      <w:r w:rsidR="002D4E74" w:rsidRPr="00302A27">
        <w:rPr>
          <w:rFonts w:ascii="Arial" w:hAnsi="Arial" w:cs="Arial"/>
          <w:lang w:val="en-GB"/>
        </w:rPr>
        <w:t>L</w:t>
      </w:r>
      <w:r w:rsidRPr="00302A27">
        <w:rPr>
          <w:rFonts w:ascii="Arial" w:hAnsi="Arial" w:cs="Arial"/>
        </w:rPr>
        <w:t>iterature therefore identifies three interconnected challenges</w:t>
      </w:r>
      <w:r w:rsidR="00475605">
        <w:rPr>
          <w:rFonts w:ascii="Arial" w:hAnsi="Arial" w:cs="Arial"/>
        </w:rPr>
        <w:t>.</w:t>
      </w:r>
    </w:p>
    <w:p w14:paraId="1BBD96A9" w14:textId="33CC775A" w:rsidR="00475605" w:rsidRPr="00302A27" w:rsidRDefault="00475605" w:rsidP="00302A27">
      <w:pPr>
        <w:pStyle w:val="Body"/>
        <w:rPr>
          <w:rFonts w:ascii="Arial" w:hAnsi="Arial" w:cs="Arial"/>
          <w:lang w:val="en-GB"/>
        </w:rPr>
      </w:pPr>
      <w:r>
        <w:rPr>
          <w:rFonts w:ascii="Arial" w:hAnsi="Arial" w:cs="Arial"/>
          <w:lang w:val="en-GB"/>
        </w:rPr>
        <w:t xml:space="preserve">Table </w:t>
      </w:r>
      <w:r w:rsidR="00AC369A">
        <w:rPr>
          <w:rFonts w:ascii="Arial" w:hAnsi="Arial" w:cs="Arial"/>
          <w:lang w:val="en-GB"/>
        </w:rPr>
        <w:t>2</w:t>
      </w:r>
      <w:r>
        <w:rPr>
          <w:rFonts w:ascii="Arial" w:hAnsi="Arial" w:cs="Arial"/>
          <w:lang w:val="en-GB"/>
        </w:rPr>
        <w:t xml:space="preserve">: </w:t>
      </w:r>
      <w:r>
        <w:t>Key Challenges Identified in d</w:t>
      </w:r>
      <w:r w:rsidRPr="00475605">
        <w:t xml:space="preserve">ata </w:t>
      </w:r>
      <w:r>
        <w:t>p</w:t>
      </w:r>
      <w:r w:rsidRPr="00475605">
        <w:t xml:space="preserve">rivacy </w:t>
      </w:r>
      <w:r>
        <w:t>c</w:t>
      </w:r>
      <w:r w:rsidRPr="00475605">
        <w:t>oncerns in Telehealth</w:t>
      </w:r>
    </w:p>
    <w:tbl>
      <w:tblPr>
        <w:tblStyle w:val="TableGrid"/>
        <w:tblW w:w="8339" w:type="dxa"/>
        <w:tblLook w:val="04A0" w:firstRow="1" w:lastRow="0" w:firstColumn="1" w:lastColumn="0" w:noHBand="0" w:noVBand="1"/>
      </w:tblPr>
      <w:tblGrid>
        <w:gridCol w:w="2135"/>
        <w:gridCol w:w="4500"/>
        <w:gridCol w:w="1704"/>
      </w:tblGrid>
      <w:tr w:rsidR="00302A27" w:rsidRPr="00AC369A" w14:paraId="51BC76DE" w14:textId="77777777" w:rsidTr="006F5E65">
        <w:trPr>
          <w:trHeight w:val="211"/>
        </w:trPr>
        <w:tc>
          <w:tcPr>
            <w:tcW w:w="0" w:type="auto"/>
            <w:hideMark/>
          </w:tcPr>
          <w:p w14:paraId="19874354" w14:textId="77777777" w:rsidR="00302A27" w:rsidRPr="00AC369A" w:rsidRDefault="00302A27" w:rsidP="00302A27">
            <w:pPr>
              <w:jc w:val="center"/>
              <w:rPr>
                <w:rFonts w:ascii="Arial" w:hAnsi="Arial" w:cs="Arial"/>
                <w:b/>
                <w:bCs/>
                <w:sz w:val="20"/>
                <w:szCs w:val="20"/>
              </w:rPr>
            </w:pPr>
            <w:r w:rsidRPr="00AC369A">
              <w:rPr>
                <w:rFonts w:ascii="Arial" w:hAnsi="Arial" w:cs="Arial"/>
                <w:b/>
                <w:bCs/>
                <w:sz w:val="20"/>
                <w:szCs w:val="20"/>
              </w:rPr>
              <w:t>Challenge</w:t>
            </w:r>
          </w:p>
        </w:tc>
        <w:tc>
          <w:tcPr>
            <w:tcW w:w="0" w:type="auto"/>
            <w:hideMark/>
          </w:tcPr>
          <w:p w14:paraId="752EA782" w14:textId="77777777" w:rsidR="00302A27" w:rsidRPr="00AC369A" w:rsidRDefault="00302A27" w:rsidP="00302A27">
            <w:pPr>
              <w:jc w:val="center"/>
              <w:rPr>
                <w:rFonts w:ascii="Arial" w:hAnsi="Arial" w:cs="Arial"/>
                <w:b/>
                <w:bCs/>
                <w:sz w:val="20"/>
                <w:szCs w:val="20"/>
              </w:rPr>
            </w:pPr>
            <w:r w:rsidRPr="00AC369A">
              <w:rPr>
                <w:rFonts w:ascii="Arial" w:hAnsi="Arial" w:cs="Arial"/>
                <w:b/>
                <w:bCs/>
                <w:sz w:val="20"/>
                <w:szCs w:val="20"/>
              </w:rPr>
              <w:t>Description</w:t>
            </w:r>
          </w:p>
        </w:tc>
        <w:tc>
          <w:tcPr>
            <w:tcW w:w="0" w:type="auto"/>
            <w:hideMark/>
          </w:tcPr>
          <w:p w14:paraId="19DD16B2" w14:textId="77777777" w:rsidR="00302A27" w:rsidRPr="00AC369A" w:rsidRDefault="00302A27" w:rsidP="00302A27">
            <w:pPr>
              <w:jc w:val="center"/>
              <w:rPr>
                <w:rFonts w:ascii="Arial" w:hAnsi="Arial" w:cs="Arial"/>
                <w:b/>
                <w:bCs/>
                <w:sz w:val="20"/>
                <w:szCs w:val="20"/>
              </w:rPr>
            </w:pPr>
            <w:r w:rsidRPr="00AC369A">
              <w:rPr>
                <w:rFonts w:ascii="Arial" w:hAnsi="Arial" w:cs="Arial"/>
                <w:b/>
                <w:bCs/>
                <w:sz w:val="20"/>
                <w:szCs w:val="20"/>
              </w:rPr>
              <w:t>Source(s)</w:t>
            </w:r>
          </w:p>
        </w:tc>
      </w:tr>
      <w:tr w:rsidR="00302A27" w:rsidRPr="00AC369A" w14:paraId="66D345DB" w14:textId="77777777" w:rsidTr="006F5E65">
        <w:trPr>
          <w:trHeight w:val="666"/>
        </w:trPr>
        <w:tc>
          <w:tcPr>
            <w:tcW w:w="0" w:type="auto"/>
            <w:hideMark/>
          </w:tcPr>
          <w:p w14:paraId="4628F213" w14:textId="77777777" w:rsidR="00302A27" w:rsidRPr="00AC369A" w:rsidRDefault="00302A27" w:rsidP="00302A27">
            <w:pPr>
              <w:rPr>
                <w:rFonts w:ascii="Arial" w:hAnsi="Arial" w:cs="Arial"/>
                <w:sz w:val="20"/>
                <w:szCs w:val="20"/>
              </w:rPr>
            </w:pPr>
            <w:r w:rsidRPr="00AC369A">
              <w:rPr>
                <w:rFonts w:ascii="Arial" w:hAnsi="Arial" w:cs="Arial"/>
                <w:b/>
                <w:bCs/>
                <w:sz w:val="20"/>
                <w:szCs w:val="20"/>
              </w:rPr>
              <w:t>1. HIPAA compliance limitations</w:t>
            </w:r>
          </w:p>
        </w:tc>
        <w:tc>
          <w:tcPr>
            <w:tcW w:w="0" w:type="auto"/>
            <w:hideMark/>
          </w:tcPr>
          <w:p w14:paraId="2BDB8B0F" w14:textId="77777777" w:rsidR="00302A27" w:rsidRPr="00AC369A" w:rsidRDefault="00302A27" w:rsidP="006F5E65">
            <w:pPr>
              <w:jc w:val="both"/>
              <w:rPr>
                <w:rFonts w:ascii="Arial" w:hAnsi="Arial" w:cs="Arial"/>
                <w:sz w:val="20"/>
                <w:szCs w:val="20"/>
              </w:rPr>
            </w:pPr>
            <w:r w:rsidRPr="00AC369A">
              <w:rPr>
                <w:rFonts w:ascii="Arial" w:hAnsi="Arial" w:cs="Arial"/>
                <w:sz w:val="20"/>
                <w:szCs w:val="20"/>
              </w:rPr>
              <w:t>The temporary relaxation of HIPAA enforcement has created uncertainty over the long-term protection of telehealth data.</w:t>
            </w:r>
          </w:p>
        </w:tc>
        <w:tc>
          <w:tcPr>
            <w:tcW w:w="0" w:type="auto"/>
            <w:hideMark/>
          </w:tcPr>
          <w:p w14:paraId="20729538" w14:textId="77777777" w:rsidR="00302A27" w:rsidRPr="00AC369A" w:rsidRDefault="00302A27" w:rsidP="00302A27">
            <w:pPr>
              <w:rPr>
                <w:rFonts w:ascii="Arial" w:hAnsi="Arial" w:cs="Arial"/>
                <w:sz w:val="20"/>
                <w:szCs w:val="20"/>
              </w:rPr>
            </w:pPr>
            <w:r w:rsidRPr="00AC369A">
              <w:rPr>
                <w:rFonts w:ascii="Arial" w:hAnsi="Arial" w:cs="Arial"/>
                <w:sz w:val="20"/>
                <w:szCs w:val="20"/>
              </w:rPr>
              <w:t>Bassan (2020)</w:t>
            </w:r>
          </w:p>
        </w:tc>
      </w:tr>
      <w:tr w:rsidR="00302A27" w:rsidRPr="00AC369A" w14:paraId="43349280" w14:textId="77777777" w:rsidTr="006F5E65">
        <w:trPr>
          <w:trHeight w:val="893"/>
        </w:trPr>
        <w:tc>
          <w:tcPr>
            <w:tcW w:w="0" w:type="auto"/>
            <w:hideMark/>
          </w:tcPr>
          <w:p w14:paraId="522BCB75" w14:textId="77777777" w:rsidR="00302A27" w:rsidRPr="00AC369A" w:rsidRDefault="00302A27" w:rsidP="00302A27">
            <w:pPr>
              <w:rPr>
                <w:rFonts w:ascii="Arial" w:hAnsi="Arial" w:cs="Arial"/>
                <w:sz w:val="20"/>
                <w:szCs w:val="20"/>
              </w:rPr>
            </w:pPr>
            <w:r w:rsidRPr="00AC369A">
              <w:rPr>
                <w:rFonts w:ascii="Arial" w:hAnsi="Arial" w:cs="Arial"/>
                <w:b/>
                <w:bCs/>
                <w:sz w:val="20"/>
                <w:szCs w:val="20"/>
              </w:rPr>
              <w:t>2. Cybersecurity risks</w:t>
            </w:r>
          </w:p>
        </w:tc>
        <w:tc>
          <w:tcPr>
            <w:tcW w:w="0" w:type="auto"/>
            <w:hideMark/>
          </w:tcPr>
          <w:p w14:paraId="75292CBB" w14:textId="77777777" w:rsidR="00302A27" w:rsidRPr="00AC369A" w:rsidRDefault="00302A27" w:rsidP="006F5E65">
            <w:pPr>
              <w:jc w:val="both"/>
              <w:rPr>
                <w:rFonts w:ascii="Arial" w:hAnsi="Arial" w:cs="Arial"/>
                <w:sz w:val="20"/>
                <w:szCs w:val="20"/>
              </w:rPr>
            </w:pPr>
            <w:r w:rsidRPr="00AC369A">
              <w:rPr>
                <w:rFonts w:ascii="Arial" w:hAnsi="Arial" w:cs="Arial"/>
                <w:sz w:val="20"/>
                <w:szCs w:val="20"/>
              </w:rPr>
              <w:t>Telehealth systems face threats from unauthorized access, weak encryption, and the use of commercial platforms not originally designed for healthcare security.</w:t>
            </w:r>
          </w:p>
        </w:tc>
        <w:tc>
          <w:tcPr>
            <w:tcW w:w="0" w:type="auto"/>
            <w:hideMark/>
          </w:tcPr>
          <w:p w14:paraId="47A5EAFC" w14:textId="77777777" w:rsidR="00302A27" w:rsidRPr="00AC369A" w:rsidRDefault="00302A27" w:rsidP="00302A27">
            <w:pPr>
              <w:rPr>
                <w:rFonts w:ascii="Arial" w:hAnsi="Arial" w:cs="Arial"/>
                <w:sz w:val="20"/>
                <w:szCs w:val="20"/>
              </w:rPr>
            </w:pPr>
            <w:r w:rsidRPr="00AC369A">
              <w:rPr>
                <w:rFonts w:ascii="Arial" w:hAnsi="Arial" w:cs="Arial"/>
                <w:sz w:val="20"/>
                <w:szCs w:val="20"/>
              </w:rPr>
              <w:t>Karamifar et al. (2023)</w:t>
            </w:r>
          </w:p>
        </w:tc>
      </w:tr>
      <w:tr w:rsidR="00302A27" w:rsidRPr="00AC369A" w14:paraId="1C3A900F" w14:textId="77777777" w:rsidTr="006F5E65">
        <w:trPr>
          <w:trHeight w:val="876"/>
        </w:trPr>
        <w:tc>
          <w:tcPr>
            <w:tcW w:w="0" w:type="auto"/>
            <w:hideMark/>
          </w:tcPr>
          <w:p w14:paraId="52E500E1" w14:textId="77777777" w:rsidR="00302A27" w:rsidRPr="00AC369A" w:rsidRDefault="00302A27" w:rsidP="00302A27">
            <w:pPr>
              <w:rPr>
                <w:rFonts w:ascii="Arial" w:hAnsi="Arial" w:cs="Arial"/>
                <w:sz w:val="20"/>
                <w:szCs w:val="20"/>
              </w:rPr>
            </w:pPr>
            <w:r w:rsidRPr="00AC369A">
              <w:rPr>
                <w:rFonts w:ascii="Arial" w:hAnsi="Arial" w:cs="Arial"/>
                <w:b/>
                <w:bCs/>
                <w:sz w:val="20"/>
                <w:szCs w:val="20"/>
              </w:rPr>
              <w:t>3. Ethical challenges and data ownership</w:t>
            </w:r>
          </w:p>
        </w:tc>
        <w:tc>
          <w:tcPr>
            <w:tcW w:w="0" w:type="auto"/>
            <w:hideMark/>
          </w:tcPr>
          <w:p w14:paraId="365FA369" w14:textId="77777777" w:rsidR="00302A27" w:rsidRPr="00AC369A" w:rsidRDefault="00302A27" w:rsidP="006F5E65">
            <w:pPr>
              <w:jc w:val="both"/>
              <w:rPr>
                <w:rFonts w:ascii="Arial" w:hAnsi="Arial" w:cs="Arial"/>
                <w:sz w:val="20"/>
                <w:szCs w:val="20"/>
              </w:rPr>
            </w:pPr>
            <w:r w:rsidRPr="00AC369A">
              <w:rPr>
                <w:rFonts w:ascii="Arial" w:hAnsi="Arial" w:cs="Arial"/>
                <w:sz w:val="20"/>
                <w:szCs w:val="20"/>
              </w:rPr>
              <w:t>Patients often lack meaningful control over how their data is collected and used, leading to concerns about autonomy, fairness, and potential long-term data exploitation.</w:t>
            </w:r>
          </w:p>
        </w:tc>
        <w:tc>
          <w:tcPr>
            <w:tcW w:w="0" w:type="auto"/>
            <w:hideMark/>
          </w:tcPr>
          <w:p w14:paraId="0E0CCDA9" w14:textId="77777777" w:rsidR="00302A27" w:rsidRPr="00AC369A" w:rsidRDefault="00302A27" w:rsidP="00302A27">
            <w:pPr>
              <w:rPr>
                <w:rFonts w:ascii="Arial" w:hAnsi="Arial" w:cs="Arial"/>
                <w:sz w:val="20"/>
                <w:szCs w:val="20"/>
              </w:rPr>
            </w:pPr>
            <w:r w:rsidRPr="00AC369A">
              <w:rPr>
                <w:rFonts w:ascii="Arial" w:hAnsi="Arial" w:cs="Arial"/>
                <w:sz w:val="20"/>
                <w:szCs w:val="20"/>
              </w:rPr>
              <w:t>Bassan (2020); Karamifar et al. (2023)</w:t>
            </w:r>
          </w:p>
        </w:tc>
      </w:tr>
    </w:tbl>
    <w:p w14:paraId="63B46F8C" w14:textId="3EA83E77" w:rsidR="00AF66A7" w:rsidRPr="00302A27" w:rsidRDefault="00863BD3" w:rsidP="003728F1">
      <w:pPr>
        <w:pStyle w:val="Body"/>
        <w:rPr>
          <w:rFonts w:ascii="Arial" w:hAnsi="Arial" w:cs="Arial"/>
        </w:rPr>
      </w:pPr>
      <w:r w:rsidRPr="00302A27">
        <w:rPr>
          <w:rFonts w:ascii="Arial" w:hAnsi="Arial" w:cs="Arial"/>
        </w:rPr>
        <w:t xml:space="preserve"> </w:t>
      </w:r>
    </w:p>
    <w:p w14:paraId="6767BD88" w14:textId="653CFBC8" w:rsidR="00AF66A7" w:rsidRPr="00302A27" w:rsidRDefault="00AF66A7" w:rsidP="003728F1">
      <w:pPr>
        <w:pStyle w:val="Body"/>
        <w:numPr>
          <w:ilvl w:val="1"/>
          <w:numId w:val="34"/>
        </w:numPr>
        <w:rPr>
          <w:rFonts w:ascii="Arial" w:hAnsi="Arial" w:cs="Arial"/>
          <w:b/>
          <w:sz w:val="22"/>
          <w:szCs w:val="22"/>
        </w:rPr>
      </w:pPr>
      <w:r w:rsidRPr="00302A27">
        <w:rPr>
          <w:rFonts w:ascii="Arial" w:hAnsi="Arial" w:cs="Arial"/>
          <w:b/>
          <w:sz w:val="22"/>
          <w:szCs w:val="22"/>
        </w:rPr>
        <w:t xml:space="preserve"> AI in Remote Monitoring Systems</w:t>
      </w:r>
      <w:r w:rsidR="009C6297" w:rsidRPr="00302A27">
        <w:rPr>
          <w:rFonts w:ascii="Arial" w:hAnsi="Arial" w:cs="Arial"/>
          <w:b/>
          <w:sz w:val="22"/>
          <w:szCs w:val="22"/>
        </w:rPr>
        <w:t xml:space="preserve"> (RMS)</w:t>
      </w:r>
    </w:p>
    <w:p w14:paraId="6784BC02" w14:textId="52074255" w:rsidR="00E967B3" w:rsidRPr="00302A27" w:rsidRDefault="00AF66A7" w:rsidP="003728F1">
      <w:pPr>
        <w:pStyle w:val="Body"/>
        <w:rPr>
          <w:rFonts w:ascii="Arial" w:hAnsi="Arial" w:cs="Arial"/>
          <w:lang w:val="en-GB"/>
        </w:rPr>
      </w:pPr>
      <w:r w:rsidRPr="00302A27">
        <w:rPr>
          <w:rFonts w:ascii="Arial" w:hAnsi="Arial" w:cs="Arial"/>
          <w:lang w:val="en-GB"/>
        </w:rPr>
        <w:t xml:space="preserve">The adoption of artificial intelligence (AI) in RMS has accelerated in recent years, offering scalable and proactive solutions for chronic disease management, elderly care, and postoperative recovery. These applications are complemented by advances in wearable technologies, Internet of Things (IoT) integration, and predictive analytics, which collectively </w:t>
      </w:r>
      <w:r w:rsidRPr="00302A27">
        <w:rPr>
          <w:rFonts w:ascii="Arial" w:hAnsi="Arial" w:cs="Arial"/>
          <w:lang w:val="en-GB"/>
        </w:rPr>
        <w:lastRenderedPageBreak/>
        <w:t>transform healthcare from reactive to preventive and patient-centered care (Shaik et al., 2023).</w:t>
      </w:r>
    </w:p>
    <w:p w14:paraId="3042E6E9" w14:textId="1B12A360" w:rsidR="00AF66A7" w:rsidRPr="00302A27" w:rsidRDefault="00E967B3" w:rsidP="003728F1">
      <w:pPr>
        <w:pStyle w:val="Body"/>
        <w:rPr>
          <w:rFonts w:ascii="Arial" w:hAnsi="Arial" w:cs="Arial"/>
          <w:b/>
        </w:rPr>
      </w:pPr>
      <w:r w:rsidRPr="00302A27">
        <w:rPr>
          <w:rFonts w:ascii="Arial" w:hAnsi="Arial" w:cs="Arial"/>
          <w:b/>
        </w:rPr>
        <w:t xml:space="preserve">4.4.1. </w:t>
      </w:r>
      <w:r w:rsidR="00AF66A7" w:rsidRPr="00302A27">
        <w:rPr>
          <w:rFonts w:ascii="Arial" w:hAnsi="Arial" w:cs="Arial"/>
          <w:b/>
        </w:rPr>
        <w:t>Applications of AI in Remote Monitoring Systems</w:t>
      </w:r>
      <w:r w:rsidR="009C6297" w:rsidRPr="00302A27">
        <w:rPr>
          <w:rFonts w:ascii="Arial" w:hAnsi="Arial" w:cs="Arial"/>
          <w:b/>
        </w:rPr>
        <w:t xml:space="preserve"> (RMS)</w:t>
      </w:r>
    </w:p>
    <w:p w14:paraId="11A1521D" w14:textId="77777777" w:rsidR="00AF66A7" w:rsidRPr="00302A27" w:rsidRDefault="00AF66A7" w:rsidP="003728F1">
      <w:pPr>
        <w:pStyle w:val="Body"/>
        <w:rPr>
          <w:rFonts w:ascii="Arial" w:hAnsi="Arial" w:cs="Arial"/>
          <w:lang w:val="en-GB"/>
        </w:rPr>
      </w:pPr>
      <w:r w:rsidRPr="00302A27">
        <w:rPr>
          <w:rFonts w:ascii="Arial" w:hAnsi="Arial" w:cs="Arial"/>
          <w:lang w:val="en-GB"/>
        </w:rPr>
        <w:t xml:space="preserve">1. </w:t>
      </w:r>
      <w:r w:rsidRPr="00302A27">
        <w:rPr>
          <w:rFonts w:ascii="Arial" w:hAnsi="Arial" w:cs="Arial"/>
          <w:b/>
          <w:bCs/>
          <w:lang w:val="en-GB"/>
        </w:rPr>
        <w:t>Chronic Disease Management</w:t>
      </w:r>
    </w:p>
    <w:p w14:paraId="74D7D15D" w14:textId="77777777" w:rsidR="00AF66A7" w:rsidRPr="00302A27" w:rsidRDefault="00AF66A7" w:rsidP="003728F1">
      <w:pPr>
        <w:pStyle w:val="Body"/>
        <w:rPr>
          <w:rFonts w:ascii="Arial" w:hAnsi="Arial" w:cs="Arial"/>
          <w:lang w:val="en-GB"/>
        </w:rPr>
      </w:pPr>
      <w:r w:rsidRPr="00302A27">
        <w:rPr>
          <w:rFonts w:ascii="Arial" w:hAnsi="Arial" w:cs="Arial"/>
          <w:lang w:val="en-GB"/>
        </w:rPr>
        <w:t>Chronic disease management has been a major driver of AI-enabled RMS adoption. Remote monitoring platforms equipped with AI algorithms facilitate real-time collection and analysis of physiological data such as heart rate, blood pressure, and glucose levels. These capabilities allow clinicians to identify early signs of disease progression, deliver timely interventions, and prevent hospital readmissions (Rehman Aslam, 2025). Munawar, Singh, and Mohana (2025) emphasize the role of IoT-driven monitoring tools in chronic disease care, where federated learning and reinforcement learning models optimize treatment decisions while maintaining data privacy. Moreover, AI-powered predictive insights can forecast adverse events such as hypoglycemia or hypertensive crises, reducing complications and supporting proactive healthcare delivery.</w:t>
      </w:r>
    </w:p>
    <w:p w14:paraId="1687CAC8" w14:textId="06F5302D" w:rsidR="00AF66A7" w:rsidRPr="00302A27" w:rsidRDefault="00AF66A7" w:rsidP="003728F1">
      <w:pPr>
        <w:pStyle w:val="Body"/>
        <w:rPr>
          <w:rFonts w:ascii="Arial" w:hAnsi="Arial" w:cs="Arial"/>
          <w:lang w:val="en-GB"/>
        </w:rPr>
      </w:pPr>
      <w:r w:rsidRPr="00302A27">
        <w:rPr>
          <w:rFonts w:ascii="Arial" w:hAnsi="Arial" w:cs="Arial"/>
          <w:lang w:val="en-GB"/>
        </w:rPr>
        <w:t xml:space="preserve">From a technical perspective, AI methods such as support vector machines (SVM), decision trees, and ensemble approaches have been applied to predict risks of type II diabetes, hypertension, and other chronic conditions. For instance, Xue et al. (2020) demonstrated that an XGBoost model achieved high predictive accuracy (AUC = 96.8%) in identifying diabetes risk factors. Similarly, Efat et al. (2020) employed neural networks to classify diabetic patient health risks across multiple severity categories. </w:t>
      </w:r>
      <w:r w:rsidR="00076C64">
        <w:rPr>
          <w:rFonts w:ascii="Arial" w:hAnsi="Arial" w:cs="Arial"/>
          <w:lang w:val="en-GB"/>
        </w:rPr>
        <w:t>T</w:t>
      </w:r>
      <w:r w:rsidRPr="00302A27">
        <w:rPr>
          <w:rFonts w:ascii="Arial" w:hAnsi="Arial" w:cs="Arial"/>
          <w:lang w:val="en-GB"/>
        </w:rPr>
        <w:t xml:space="preserve">hese studies </w:t>
      </w:r>
      <w:r w:rsidR="003935BD" w:rsidRPr="00302A27">
        <w:rPr>
          <w:rFonts w:ascii="Arial" w:hAnsi="Arial" w:cs="Arial"/>
          <w:lang w:val="en-GB"/>
        </w:rPr>
        <w:t>highlight</w:t>
      </w:r>
      <w:r w:rsidRPr="00302A27">
        <w:rPr>
          <w:rFonts w:ascii="Arial" w:hAnsi="Arial" w:cs="Arial"/>
          <w:lang w:val="en-GB"/>
        </w:rPr>
        <w:t xml:space="preserve"> AI’s contribution to improved disease trajectory monitoring and individualized intervention strategies.</w:t>
      </w:r>
    </w:p>
    <w:p w14:paraId="727B2701" w14:textId="77777777" w:rsidR="00AF66A7" w:rsidRPr="00302A27" w:rsidRDefault="00AF66A7" w:rsidP="003728F1">
      <w:pPr>
        <w:pStyle w:val="Body"/>
        <w:rPr>
          <w:rFonts w:ascii="Arial" w:hAnsi="Arial" w:cs="Arial"/>
          <w:b/>
          <w:bCs/>
          <w:lang w:val="en-GB"/>
        </w:rPr>
      </w:pPr>
      <w:r w:rsidRPr="00302A27">
        <w:rPr>
          <w:rFonts w:ascii="Arial" w:hAnsi="Arial" w:cs="Arial"/>
          <w:b/>
          <w:bCs/>
          <w:lang w:val="en-GB"/>
        </w:rPr>
        <w:t>2. Elderly Care</w:t>
      </w:r>
    </w:p>
    <w:p w14:paraId="79945516" w14:textId="77777777" w:rsidR="00AF66A7" w:rsidRPr="00302A27" w:rsidRDefault="00AF66A7" w:rsidP="003728F1">
      <w:pPr>
        <w:pStyle w:val="Body"/>
        <w:rPr>
          <w:rFonts w:ascii="Arial" w:hAnsi="Arial" w:cs="Arial"/>
          <w:lang w:val="en-GB"/>
        </w:rPr>
      </w:pPr>
      <w:r w:rsidRPr="00302A27">
        <w:rPr>
          <w:rFonts w:ascii="Arial" w:hAnsi="Arial" w:cs="Arial"/>
          <w:lang w:val="en-GB"/>
        </w:rPr>
        <w:t>In elderly care, RMS integrated with AI and wearable devices serve as a vital safety net for aging populations. Continuous monitoring of vital signs and daily activities allows for timely detection of anomalies, reducing emergency incidents and supporting older adults in maintaining independence within their homes (Munawar et al., 2025). These systems mitigate caregiver burden while empowering elderly patients by fostering health awareness and encouraging self-management behaviors.</w:t>
      </w:r>
    </w:p>
    <w:p w14:paraId="4A91136B" w14:textId="77777777" w:rsidR="00AF66A7" w:rsidRPr="00302A27" w:rsidRDefault="00AF66A7" w:rsidP="003728F1">
      <w:pPr>
        <w:pStyle w:val="Body"/>
        <w:rPr>
          <w:rFonts w:ascii="Arial" w:hAnsi="Arial" w:cs="Arial"/>
          <w:lang w:val="en-GB"/>
        </w:rPr>
      </w:pPr>
      <w:r w:rsidRPr="00302A27">
        <w:rPr>
          <w:rFonts w:ascii="Arial" w:hAnsi="Arial" w:cs="Arial"/>
          <w:lang w:val="en-GB"/>
        </w:rPr>
        <w:t>AI-enabled fall detection and activity recognition are particularly critical for this group. Pan et al. (2020) applied multisensor fusion with SVM and RF classifiers to distinguish falls from daily activities, while Hsieh et al. (2021) developed multiphase fall identification algorithms capable of identifying different fall phases with 90% accuracy. More recently, Salah et al. (2022) embedded LSTM-based detection into edge–fog–cloud architectures, achieving 96.78% accuracy while addressing latency and connectivity issues in resource-limited environments. Together, these findings confirm that AI-based RMS enhance safety, extend independent living, and form a cornerstone of digital health strategies for aging societies.</w:t>
      </w:r>
    </w:p>
    <w:p w14:paraId="3AA2D566" w14:textId="77777777" w:rsidR="00AF66A7" w:rsidRPr="00302A27" w:rsidRDefault="00AF66A7" w:rsidP="003728F1">
      <w:pPr>
        <w:pStyle w:val="Body"/>
        <w:rPr>
          <w:rFonts w:ascii="Arial" w:hAnsi="Arial" w:cs="Arial"/>
          <w:b/>
          <w:bCs/>
          <w:lang w:val="en-GB"/>
        </w:rPr>
      </w:pPr>
      <w:r w:rsidRPr="00302A27">
        <w:rPr>
          <w:rFonts w:ascii="Arial" w:hAnsi="Arial" w:cs="Arial"/>
          <w:b/>
          <w:bCs/>
          <w:lang w:val="en-GB"/>
        </w:rPr>
        <w:t>3. Post-Surgery Follow-Up</w:t>
      </w:r>
    </w:p>
    <w:p w14:paraId="13E1889E" w14:textId="77777777" w:rsidR="00AF66A7" w:rsidRPr="00302A27" w:rsidRDefault="00AF66A7" w:rsidP="003728F1">
      <w:pPr>
        <w:pStyle w:val="Body"/>
        <w:rPr>
          <w:rFonts w:ascii="Arial" w:hAnsi="Arial" w:cs="Arial"/>
          <w:lang w:val="en-GB"/>
        </w:rPr>
      </w:pPr>
      <w:r w:rsidRPr="00302A27">
        <w:rPr>
          <w:rFonts w:ascii="Arial" w:hAnsi="Arial" w:cs="Arial"/>
          <w:lang w:val="en-GB"/>
        </w:rPr>
        <w:t>Post-surgery follow-up is another significant domain where AI-enabled RMS have demonstrated impact. The COVID-19 pandemic accelerated the integration of remote monitoring into perioperative care, where wearables, mobile applications, and virtual consultations supported prehabilitation, rehabilitation, and postoperative surveillance (Singh &amp; Li, 2022). These systems extend continuity of care beyond hospital walls, enabling clinicians to remotely monitor vital signs, detect complications early, and reduce exposure to hospital-acquired infections.</w:t>
      </w:r>
    </w:p>
    <w:p w14:paraId="4E42D1B7" w14:textId="4941EAD3" w:rsidR="00AF66A7" w:rsidRPr="00302A27" w:rsidRDefault="00AF66A7" w:rsidP="003728F1">
      <w:pPr>
        <w:pStyle w:val="Body"/>
        <w:rPr>
          <w:rFonts w:ascii="Arial" w:hAnsi="Arial" w:cs="Arial"/>
          <w:lang w:val="en-GB"/>
        </w:rPr>
      </w:pPr>
      <w:r w:rsidRPr="00302A27">
        <w:rPr>
          <w:rFonts w:ascii="Arial" w:hAnsi="Arial" w:cs="Arial"/>
          <w:lang w:val="en-GB"/>
        </w:rPr>
        <w:lastRenderedPageBreak/>
        <w:t xml:space="preserve">AI-powered monitoring platforms also strengthen the role of virtual wards, providing clinicians with predictive alerts about potential deterioration in recovering patients. Kurapathi (2025) highlights that innovations in postoperative monitoring using AI can reduce complication rates and improve recovery timelines by ensuring earlier intervention. The integration of real-time data analytics, wearable biosensors, and mobile health applications </w:t>
      </w:r>
      <w:r w:rsidR="00476E32" w:rsidRPr="00302A27">
        <w:rPr>
          <w:rFonts w:ascii="Arial" w:hAnsi="Arial" w:cs="Arial"/>
          <w:lang w:val="en-GB"/>
        </w:rPr>
        <w:t>highlights</w:t>
      </w:r>
      <w:r w:rsidRPr="00302A27">
        <w:rPr>
          <w:rFonts w:ascii="Arial" w:hAnsi="Arial" w:cs="Arial"/>
          <w:lang w:val="en-GB"/>
        </w:rPr>
        <w:t xml:space="preserve"> how RMS provide cost-effective and scalable solutions for surgical recovery and rehabilitation.</w:t>
      </w:r>
    </w:p>
    <w:p w14:paraId="74743BC9" w14:textId="77777777" w:rsidR="00AF66A7" w:rsidRPr="00302A27" w:rsidRDefault="00AF66A7" w:rsidP="003728F1">
      <w:pPr>
        <w:pStyle w:val="Body"/>
        <w:rPr>
          <w:rFonts w:ascii="Arial" w:hAnsi="Arial" w:cs="Arial"/>
          <w:b/>
          <w:bCs/>
          <w:lang w:val="en-GB"/>
        </w:rPr>
      </w:pPr>
      <w:r w:rsidRPr="00302A27">
        <w:rPr>
          <w:rFonts w:ascii="Arial" w:hAnsi="Arial" w:cs="Arial"/>
          <w:b/>
          <w:bCs/>
          <w:lang w:val="en-GB"/>
        </w:rPr>
        <w:t>4. Broader Applications and Emerging Directions</w:t>
      </w:r>
    </w:p>
    <w:p w14:paraId="538098AD" w14:textId="67684A7A" w:rsidR="00AF66A7" w:rsidRPr="00302A27" w:rsidRDefault="00AF66A7" w:rsidP="003728F1">
      <w:pPr>
        <w:pStyle w:val="Body"/>
        <w:rPr>
          <w:rFonts w:ascii="Arial" w:hAnsi="Arial" w:cs="Arial"/>
          <w:lang w:val="en-GB"/>
        </w:rPr>
      </w:pPr>
      <w:r w:rsidRPr="00302A27">
        <w:rPr>
          <w:rFonts w:ascii="Arial" w:hAnsi="Arial" w:cs="Arial"/>
          <w:lang w:val="en-GB"/>
        </w:rPr>
        <w:t>Beyond these primary areas, AI has been embedded into RMS for additional applications such as vital signs monitoring, emergency/ICU care, and even facial or emotion recognition. Smartwatch-based systems and ECG telemetry with ML classifiers have achieved near-perfect accuracy in atrial fibrillation detection (Shao et al., 2020). In emergency care, Blasiak et al. (2020) showed that ML-based early warning scores outperform traditional systems in predicting cardiac arrest. Emotion-aware monitoring, demonstrated by Mahesh et al. (2021), extends the scope of RMS into behavioral health by integrating affective computing with physiological monitoring.</w:t>
      </w:r>
    </w:p>
    <w:p w14:paraId="4C5472E1" w14:textId="3031FDE2" w:rsidR="00AF66A7" w:rsidRPr="00302A27" w:rsidRDefault="00AF66A7" w:rsidP="003728F1">
      <w:pPr>
        <w:pStyle w:val="Body"/>
        <w:numPr>
          <w:ilvl w:val="1"/>
          <w:numId w:val="34"/>
        </w:numPr>
        <w:rPr>
          <w:rFonts w:ascii="Arial" w:hAnsi="Arial" w:cs="Arial"/>
          <w:b/>
          <w:sz w:val="22"/>
          <w:szCs w:val="22"/>
        </w:rPr>
      </w:pPr>
      <w:r w:rsidRPr="00302A27">
        <w:rPr>
          <w:rFonts w:ascii="Arial" w:hAnsi="Arial" w:cs="Arial"/>
          <w:b/>
          <w:sz w:val="22"/>
          <w:szCs w:val="22"/>
        </w:rPr>
        <w:t>Benefits of AI-Enabled Remote Monitoring</w:t>
      </w:r>
    </w:p>
    <w:p w14:paraId="5EC800F8" w14:textId="7F990506" w:rsidR="00AF66A7" w:rsidRPr="00302A27" w:rsidRDefault="00AF66A7" w:rsidP="003728F1">
      <w:pPr>
        <w:pStyle w:val="Body"/>
        <w:rPr>
          <w:rFonts w:ascii="Arial" w:hAnsi="Arial" w:cs="Arial"/>
          <w:lang w:val="en-GB"/>
        </w:rPr>
      </w:pPr>
      <w:r w:rsidRPr="00302A27">
        <w:rPr>
          <w:rFonts w:ascii="Arial" w:hAnsi="Arial" w:cs="Arial"/>
          <w:lang w:val="en-GB"/>
        </w:rPr>
        <w:t>The benefits of integrating artificial intelligence (AI) into RMS are extensive and multifaceted. A primary advantage lies in AI’s capacity to enhance diagnostic accuracy through predictive analytics and anomaly detection. By identifying early warning signs of deterioration, AI enables timely interventions that not only save lives but also reduce long-term healthcare costs (Ferdausi et al., 2025). In addition, AI supports personalized care by tailoring treatment plans and recommendations to individual patient data, which improves adherence to therapy and enhances patient satisfaction (Rehman Aslam, 2025).</w:t>
      </w:r>
    </w:p>
    <w:p w14:paraId="39DA2520" w14:textId="77777777" w:rsidR="00AF66A7" w:rsidRPr="00302A27" w:rsidRDefault="00AF66A7" w:rsidP="003728F1">
      <w:pPr>
        <w:pStyle w:val="Body"/>
        <w:rPr>
          <w:rFonts w:ascii="Arial" w:hAnsi="Arial" w:cs="Arial"/>
          <w:lang w:val="en-GB"/>
        </w:rPr>
      </w:pPr>
      <w:r w:rsidRPr="00302A27">
        <w:rPr>
          <w:rFonts w:ascii="Arial" w:hAnsi="Arial" w:cs="Arial"/>
          <w:lang w:val="en-GB"/>
        </w:rPr>
        <w:t>AI-enabled RMS also contribute to improved healthcare efficiency by reducing hospital readmissions and emergency visits. Through continuous monitoring and timely follow-up, these systems allow clinicians to remotely manage chronic conditions, thereby preventing complications and easing pressure on health facilities (Munawar et al., 2025). Beyond direct clinical benefits, AI further optimizes system-level operations by automating routine monitoring tasks, reducing clinician workload, and enabling smarter allocation of scarce healthcare resources (Charanya et al., 2025).</w:t>
      </w:r>
    </w:p>
    <w:p w14:paraId="00CF2035" w14:textId="77777777" w:rsidR="00AF66A7" w:rsidRPr="00302A27" w:rsidRDefault="00AF66A7" w:rsidP="003728F1">
      <w:pPr>
        <w:pStyle w:val="Body"/>
        <w:rPr>
          <w:rFonts w:ascii="Arial" w:hAnsi="Arial" w:cs="Arial"/>
          <w:lang w:val="en-GB"/>
        </w:rPr>
      </w:pPr>
      <w:r w:rsidRPr="00302A27">
        <w:rPr>
          <w:rFonts w:ascii="Arial" w:hAnsi="Arial" w:cs="Arial"/>
          <w:lang w:val="en-GB"/>
        </w:rPr>
        <w:t>Equally important is the role of AI in strengthening patient engagement. Features such as automated reminders, intelligent coaching platforms, and virtual consultations encourage adherence to long-term treatment regimens, while fostering more active participation in self-care (Rehman Aslam, 2025). Remote monitoring tools also empower patients to take ownership of their health, creating a collaborative, patient-centered model of care that extends beyond hospital settings (Munawar et al., 2025).</w:t>
      </w:r>
    </w:p>
    <w:p w14:paraId="56269264" w14:textId="0861E045" w:rsidR="00AF66A7" w:rsidRPr="00302A27" w:rsidRDefault="00AF66A7" w:rsidP="003728F1">
      <w:pPr>
        <w:pStyle w:val="Body"/>
        <w:rPr>
          <w:rFonts w:ascii="Arial" w:hAnsi="Arial" w:cs="Arial"/>
          <w:lang w:val="en-GB"/>
        </w:rPr>
      </w:pPr>
      <w:r w:rsidRPr="00302A27">
        <w:rPr>
          <w:rFonts w:ascii="Arial" w:hAnsi="Arial" w:cs="Arial"/>
          <w:lang w:val="en-GB"/>
        </w:rPr>
        <w:t>Overall, the reviewed evidence affirms that AI-enabled RMS significantly improve healthcare outcomes by combining continuous surveillance, early detection, and personalized care delivery. They offer tangible benefits in reducing readmissions, empowering patients, and improving resource efficiency (Rehman Aslam, 2025; Munawar et al., 2025). Nonetheless, challenges persist</w:t>
      </w:r>
      <w:r w:rsidR="00893962" w:rsidRPr="00302A27">
        <w:rPr>
          <w:rFonts w:ascii="Arial" w:hAnsi="Arial" w:cs="Arial"/>
          <w:lang w:val="en-GB"/>
        </w:rPr>
        <w:t xml:space="preserve"> </w:t>
      </w:r>
      <w:r w:rsidRPr="00302A27">
        <w:rPr>
          <w:rFonts w:ascii="Arial" w:hAnsi="Arial" w:cs="Arial"/>
          <w:lang w:val="en-GB"/>
        </w:rPr>
        <w:t>particularly in relation to data privacy, regulatory compliance, and the interpretability of AI algorithms (Shaik et al., 2023). Addressing these concerns will require robust governance frameworks capable of balancing innovation with ethical safeguards, ensuring that AI integration in RMS achieves its full potential in a safe and equitable manner.</w:t>
      </w:r>
    </w:p>
    <w:p w14:paraId="1BEC7FBF" w14:textId="551A9751" w:rsidR="00FB41F9" w:rsidRPr="00302A27" w:rsidRDefault="001011FA" w:rsidP="003728F1">
      <w:pPr>
        <w:pStyle w:val="Body"/>
        <w:numPr>
          <w:ilvl w:val="0"/>
          <w:numId w:val="34"/>
        </w:numPr>
        <w:rPr>
          <w:rFonts w:ascii="Arial" w:hAnsi="Arial" w:cs="Arial"/>
          <w:b/>
          <w:bCs/>
          <w:sz w:val="22"/>
          <w:szCs w:val="22"/>
        </w:rPr>
      </w:pPr>
      <w:r w:rsidRPr="00302A27">
        <w:rPr>
          <w:rFonts w:ascii="Arial" w:hAnsi="Arial" w:cs="Arial"/>
          <w:b/>
          <w:bCs/>
          <w:sz w:val="22"/>
          <w:szCs w:val="22"/>
        </w:rPr>
        <w:t xml:space="preserve">DISCUSSION: </w:t>
      </w:r>
    </w:p>
    <w:p w14:paraId="5AED946F" w14:textId="1A049065" w:rsidR="00FB41F9" w:rsidRPr="00302A27" w:rsidRDefault="00FB41F9" w:rsidP="003728F1">
      <w:pPr>
        <w:pStyle w:val="Body"/>
        <w:numPr>
          <w:ilvl w:val="1"/>
          <w:numId w:val="34"/>
        </w:numPr>
        <w:rPr>
          <w:rFonts w:ascii="Arial" w:hAnsi="Arial" w:cs="Arial"/>
          <w:b/>
          <w:bCs/>
          <w:sz w:val="22"/>
          <w:szCs w:val="22"/>
          <w:lang w:val="en-GB"/>
        </w:rPr>
      </w:pPr>
      <w:r w:rsidRPr="00302A27">
        <w:rPr>
          <w:rFonts w:ascii="Arial" w:hAnsi="Arial" w:cs="Arial"/>
          <w:b/>
          <w:bCs/>
          <w:sz w:val="22"/>
          <w:szCs w:val="22"/>
          <w:lang w:val="en-GB"/>
        </w:rPr>
        <w:lastRenderedPageBreak/>
        <w:t>Interpretation of findings considering existing theories.</w:t>
      </w:r>
    </w:p>
    <w:p w14:paraId="67643C31" w14:textId="77777777" w:rsidR="00FB41F9" w:rsidRPr="00302A27" w:rsidRDefault="00FB41F9" w:rsidP="003728F1">
      <w:pPr>
        <w:pStyle w:val="Body"/>
        <w:rPr>
          <w:rFonts w:ascii="Arial" w:hAnsi="Arial" w:cs="Arial"/>
          <w:lang w:val="en-GB"/>
        </w:rPr>
      </w:pPr>
      <w:r w:rsidRPr="00302A27">
        <w:rPr>
          <w:rFonts w:ascii="Arial" w:hAnsi="Arial" w:cs="Arial"/>
          <w:lang w:val="en-GB"/>
        </w:rPr>
        <w:t>The findings of this review align with and extend existing theoretical perspectives on digital health adoption, trust, and socio-technical integration. The Technology Acceptance Model (TAM) and its later extensions provide a useful lens for understanding patient and clinician trust in AI-powered telehealth systems. Factors such as perceived usefulness, system reliability, and ease of use remain central to adoption, consistent with empirical evidence that reliable, user-friendly platforms enhance patient confidence and engagement (Costantino et al., 2022; Jean, 2024).</w:t>
      </w:r>
    </w:p>
    <w:p w14:paraId="0B6603CA" w14:textId="77777777" w:rsidR="00FB41F9" w:rsidRPr="00302A27" w:rsidRDefault="00FB41F9" w:rsidP="003728F1">
      <w:pPr>
        <w:pStyle w:val="Body"/>
        <w:rPr>
          <w:rFonts w:ascii="Arial" w:hAnsi="Arial" w:cs="Arial"/>
          <w:lang w:val="en-GB"/>
        </w:rPr>
      </w:pPr>
      <w:r w:rsidRPr="00302A27">
        <w:rPr>
          <w:rFonts w:ascii="Arial" w:hAnsi="Arial" w:cs="Arial"/>
          <w:lang w:val="en-GB"/>
        </w:rPr>
        <w:t>Equally relevant is socio-technical systems theory, which emphasizes that successful technology adoption requires integration of human, organizational, and technical elements. The findings suggest that physician–patient interaction remains a key mediator of trust even when AI is embedded, highlighting the importance of aligning algorithmic decision-making with human communication practices (Zeng et al., 2025). This reinforces the theory’s claim that technology should augment rather than replace human roles in healthcare.</w:t>
      </w:r>
    </w:p>
    <w:p w14:paraId="63AC03A5" w14:textId="77777777" w:rsidR="00FB41F9" w:rsidRPr="00302A27" w:rsidRDefault="00FB41F9" w:rsidP="003728F1">
      <w:pPr>
        <w:pStyle w:val="Body"/>
        <w:rPr>
          <w:rFonts w:ascii="Arial" w:hAnsi="Arial" w:cs="Arial"/>
          <w:lang w:val="en-GB"/>
        </w:rPr>
      </w:pPr>
      <w:r w:rsidRPr="00302A27">
        <w:rPr>
          <w:rFonts w:ascii="Arial" w:hAnsi="Arial" w:cs="Arial"/>
          <w:lang w:val="en-GB"/>
        </w:rPr>
        <w:t>The growing literature on trust calibration in human–AI interaction also informs these findings. Research on explainable AI (XAI) demonstrates that transparency and interpretability directly affect both patient and clinician acceptance (Du et al., 2022; Ehsan et al., 2021). These insights align with the trust calibration framework, which posits that users must be given neither too little nor too much information to maintain balanced reliance. The reviewed studies show that poorly explained AI recommendations can lead to under-reliance, while excessive technical detail risks overwhelming users, confirming the importance of calibrated explanation strategies.</w:t>
      </w:r>
    </w:p>
    <w:p w14:paraId="5914B1AC" w14:textId="77777777" w:rsidR="00FB41F9" w:rsidRPr="00302A27" w:rsidRDefault="00FB41F9" w:rsidP="003728F1">
      <w:pPr>
        <w:pStyle w:val="Body"/>
        <w:rPr>
          <w:rFonts w:ascii="Arial" w:hAnsi="Arial" w:cs="Arial"/>
          <w:lang w:val="en-GB"/>
        </w:rPr>
      </w:pPr>
      <w:r w:rsidRPr="00302A27">
        <w:rPr>
          <w:rFonts w:ascii="Arial" w:hAnsi="Arial" w:cs="Arial"/>
          <w:lang w:val="en-GB"/>
        </w:rPr>
        <w:t>Finally, the challenges around privacy and ethical safeguards resonate with broader theories of digital governance and data stewardship. The emphasis patients place on data integrity and consent (Luckritz, 2025; Bassan, 2020) is consistent with theories that argue trust in digital health depends on embedding ethical, legal, and regulatory frameworks into system design rather than treating them as add-ons.</w:t>
      </w:r>
    </w:p>
    <w:p w14:paraId="09F1006F" w14:textId="77777777" w:rsidR="00FB41F9" w:rsidRPr="00302A27" w:rsidRDefault="00FB41F9" w:rsidP="003728F1">
      <w:pPr>
        <w:pStyle w:val="Body"/>
        <w:rPr>
          <w:rFonts w:ascii="Arial" w:hAnsi="Arial" w:cs="Arial"/>
          <w:lang w:val="en-GB"/>
        </w:rPr>
      </w:pPr>
      <w:r w:rsidRPr="00302A27">
        <w:rPr>
          <w:rFonts w:ascii="Arial" w:hAnsi="Arial" w:cs="Arial"/>
          <w:lang w:val="en-GB"/>
        </w:rPr>
        <w:t>Taken together, the findings suggest that existing theories of technology adoption, socio-technical alignment, and trust calibration remain valid but require adaptation to account for the complexity of AI in telehealth. These theories collectively underscore that the success of AI-enabled remote monitoring hinges not only on technical performance but also on how systems are designed, explained, and embedded within ethical and relational healthcare contexts.</w:t>
      </w:r>
    </w:p>
    <w:p w14:paraId="7DAA59D8" w14:textId="51B40735" w:rsidR="00FB41F9" w:rsidRPr="00302A27" w:rsidRDefault="00FB41F9" w:rsidP="003728F1">
      <w:pPr>
        <w:pStyle w:val="Body"/>
        <w:numPr>
          <w:ilvl w:val="1"/>
          <w:numId w:val="34"/>
        </w:numPr>
        <w:rPr>
          <w:rFonts w:ascii="Arial" w:hAnsi="Arial" w:cs="Arial"/>
          <w:b/>
        </w:rPr>
      </w:pPr>
      <w:r w:rsidRPr="00302A27">
        <w:rPr>
          <w:rFonts w:ascii="Arial" w:hAnsi="Arial" w:cs="Arial"/>
          <w:b/>
        </w:rPr>
        <w:t>Implications for healthcare providers, policymakers, and technology developers.</w:t>
      </w:r>
    </w:p>
    <w:p w14:paraId="0B45A42A" w14:textId="720847C5" w:rsidR="00FB41F9" w:rsidRPr="00302A27" w:rsidRDefault="00FB41F9" w:rsidP="003728F1">
      <w:pPr>
        <w:pStyle w:val="Body"/>
        <w:rPr>
          <w:rFonts w:ascii="Arial" w:hAnsi="Arial" w:cs="Arial"/>
          <w:lang w:val="en-GB"/>
        </w:rPr>
      </w:pPr>
      <w:r w:rsidRPr="00302A27">
        <w:rPr>
          <w:rFonts w:ascii="Arial" w:hAnsi="Arial" w:cs="Arial"/>
          <w:lang w:val="en-GB"/>
        </w:rPr>
        <w:t>For healthcare providers, the integration of AI-enabled RMS carries both opportunities and responsibilities. Clinicians benefit from improved diagnostic accuracy and timely detection of patient deterioration, which support early interventions and reduce readmissions (Ferdausi et al., 2025; Rehman Aslam, 2025). These systems also reduce workload by automating routine monitoring tasks and supporting virtual consultations (Charanya et al., 2025). However, trust remains a critical determinant of adoption. Providers must act as mediators between patients and AI systems, ensuring that algorithmic outputs are communicated transparently and empathetically. Effective provider–patient interaction, combined with clear explanations of AI recommendations, is essential to sustaining patient confidence in telehealth services (Zeng et al., 2025; Costantino et al., 2022). Providers must also ensure that privacy and ethical considerations are embedded in daily practice, particularly when handling sensitive patient data.</w:t>
      </w:r>
    </w:p>
    <w:p w14:paraId="09B799EE" w14:textId="77777777" w:rsidR="00FB41F9" w:rsidRPr="00302A27" w:rsidRDefault="00FB41F9" w:rsidP="003728F1">
      <w:pPr>
        <w:pStyle w:val="Body"/>
        <w:rPr>
          <w:rFonts w:ascii="Arial" w:hAnsi="Arial" w:cs="Arial"/>
          <w:lang w:val="en-GB"/>
        </w:rPr>
      </w:pPr>
      <w:r w:rsidRPr="00302A27">
        <w:rPr>
          <w:rFonts w:ascii="Arial" w:hAnsi="Arial" w:cs="Arial"/>
          <w:lang w:val="en-GB"/>
        </w:rPr>
        <w:lastRenderedPageBreak/>
        <w:t>Policymakers play a pivotal role in shaping the safe and equitable deployment of AI in telehealth. The rapid expansion of telehealth during the COVID-19 pandemic highlighted both the potential of digital health solutions and the gaps in regulatory oversight (Ostovari, 2021; Burrell, 2023). Issues such as data security, consent management, algorithmic transparency, and equitable access require regulatory frameworks that balance innovation with patient safety (Shaik et al., 2023). Sustained reimbursement policies, as introduced temporarily during the pandemic, will be critical for long-term adoption of AI-powered monitoring platforms (Ostovari, 2021). Policymakers must also address digital determinants of health, including disparities in broadband access and digital literacy, to ensure that AI-enhanced monitoring does not deepen existing inequities in care delivery (Andrikopoulou, 2023).</w:t>
      </w:r>
    </w:p>
    <w:p w14:paraId="6398FB8D" w14:textId="77777777" w:rsidR="00FB41F9" w:rsidRPr="00302A27" w:rsidRDefault="00FB41F9" w:rsidP="003728F1">
      <w:pPr>
        <w:pStyle w:val="Body"/>
        <w:rPr>
          <w:rFonts w:ascii="Arial" w:hAnsi="Arial" w:cs="Arial"/>
          <w:lang w:val="en-GB"/>
        </w:rPr>
      </w:pPr>
      <w:r w:rsidRPr="00302A27">
        <w:rPr>
          <w:rFonts w:ascii="Arial" w:hAnsi="Arial" w:cs="Arial"/>
          <w:lang w:val="en-GB"/>
        </w:rPr>
        <w:t>For technology developers, the challenge is to design AI-driven monitoring systems that are both technically robust and socially acceptable. Transparency, algorithm interpretability, and user-centered design must be embedded into system development to build patient trust (Zeng et al., 2025; Ehsan et al., 2021). Developers should prioritize personalization features that adapt interfaces and explanations to diverse user groups, including older adults and those with limited digital literacy (Huang et al., 2024). In addition, security mechanisms such as blockchain integration and federated learning models are necessary to safeguard patient data while supporting predictive monitoring (Munawar et al., 2025). Collaboration with healthcare providers and policymakers will be essential to ensure alignment between clinical needs, regulatory standards, and technological innovation.</w:t>
      </w:r>
    </w:p>
    <w:p w14:paraId="7EF743FC" w14:textId="6E5EDC9E" w:rsidR="00FB41F9" w:rsidRPr="00302A27" w:rsidRDefault="00FB41F9" w:rsidP="003728F1">
      <w:pPr>
        <w:pStyle w:val="Body"/>
        <w:numPr>
          <w:ilvl w:val="1"/>
          <w:numId w:val="34"/>
        </w:numPr>
        <w:rPr>
          <w:rFonts w:ascii="Arial" w:hAnsi="Arial" w:cs="Arial"/>
          <w:b/>
        </w:rPr>
      </w:pPr>
      <w:r w:rsidRPr="00302A27">
        <w:rPr>
          <w:rFonts w:ascii="Arial" w:hAnsi="Arial" w:cs="Arial"/>
          <w:b/>
        </w:rPr>
        <w:t>Balancing innovation with trust and privacy safeguards.</w:t>
      </w:r>
    </w:p>
    <w:p w14:paraId="6EF80CBC" w14:textId="2BA2856D" w:rsidR="00FB41F9" w:rsidRPr="00302A27" w:rsidRDefault="00FB41F9" w:rsidP="003728F1">
      <w:pPr>
        <w:pStyle w:val="Body"/>
        <w:rPr>
          <w:rFonts w:ascii="Arial" w:hAnsi="Arial" w:cs="Arial"/>
          <w:lang w:val="en-GB"/>
        </w:rPr>
      </w:pPr>
      <w:r w:rsidRPr="00302A27">
        <w:rPr>
          <w:rFonts w:ascii="Arial" w:hAnsi="Arial" w:cs="Arial"/>
          <w:lang w:val="en-GB"/>
        </w:rPr>
        <w:t>The integration of AI into RMS presents a powerful opportunity to transform healthcare delivery, but its success depends on balancing technological innovation with trust and privacy safeguards. While AI-driven analytics enhance diagnostic accuracy, personalize care, and reduce hospital readmissions (Ferdausi et al., 2025; Rehman Aslam, 2025; Munawar et al., 2025)</w:t>
      </w:r>
      <w:r w:rsidR="00B24838">
        <w:rPr>
          <w:rFonts w:ascii="Arial" w:hAnsi="Arial" w:cs="Arial"/>
          <w:lang w:val="en-GB"/>
        </w:rPr>
        <w:t>. T</w:t>
      </w:r>
      <w:r w:rsidRPr="00302A27">
        <w:rPr>
          <w:rFonts w:ascii="Arial" w:hAnsi="Arial" w:cs="Arial"/>
          <w:lang w:val="en-GB"/>
        </w:rPr>
        <w:t>hese benefits can only be realized if patients and clinicians trust the systems that underpin them. Trust, therefore, is not a secondary concern but a prerequisite for adoption and sustainability.</w:t>
      </w:r>
    </w:p>
    <w:p w14:paraId="3D0D819B" w14:textId="77777777" w:rsidR="00FB41F9" w:rsidRPr="00302A27" w:rsidRDefault="00FB41F9" w:rsidP="003728F1">
      <w:pPr>
        <w:pStyle w:val="Body"/>
        <w:rPr>
          <w:rFonts w:ascii="Arial" w:hAnsi="Arial" w:cs="Arial"/>
          <w:lang w:val="en-GB"/>
        </w:rPr>
      </w:pPr>
      <w:r w:rsidRPr="00302A27">
        <w:rPr>
          <w:rFonts w:ascii="Arial" w:hAnsi="Arial" w:cs="Arial"/>
          <w:lang w:val="en-GB"/>
        </w:rPr>
        <w:t>Several factors influence trust in AI-enabled telehealth platforms. Transparency and interpretability of algorithms remain central, as patients and clinicians are more likely to accept AI-generated insights when explanations are clear, actionable, and aligned with clinical reasoning (Zeng et al., 2025; Du et al., 2022). Similarly, the reliability of monitoring devices and the preservation of physician–patient interaction are critical. Even in digitally mediated care, trust is often mediated through clinicians’ ability to communicate uncertainty and contextualize AI outputs (Jean, 2024; Costantino et al., 2022).</w:t>
      </w:r>
    </w:p>
    <w:p w14:paraId="4A31F425" w14:textId="77777777" w:rsidR="00FB41F9" w:rsidRPr="00302A27" w:rsidRDefault="00FB41F9" w:rsidP="003728F1">
      <w:pPr>
        <w:pStyle w:val="Body"/>
        <w:rPr>
          <w:rFonts w:ascii="Arial" w:hAnsi="Arial" w:cs="Arial"/>
          <w:lang w:val="en-GB"/>
        </w:rPr>
      </w:pPr>
      <w:r w:rsidRPr="00302A27">
        <w:rPr>
          <w:rFonts w:ascii="Arial" w:hAnsi="Arial" w:cs="Arial"/>
          <w:lang w:val="en-GB"/>
        </w:rPr>
        <w:t>Equally important are data privacy and security protections. The secondary use of health data, risks of breaches, and uncertainty around regulatory oversight present significant barriers to adoption (Shaik et al., 2023; Karamifar et al., 2023). Patients are more likely to engage with telehealth platforms when they believe their information is securely managed and when safeguards against misuse are transparent (Luckritz, 2025). This underscores the dual responsibility of policymakers and technology developers: to establish robust frameworks that ensure data protection, consent management, and compliance with ethical standards.</w:t>
      </w:r>
    </w:p>
    <w:p w14:paraId="79700B4D" w14:textId="77777777" w:rsidR="00FB41F9" w:rsidRPr="00302A27" w:rsidRDefault="00FB41F9" w:rsidP="003728F1">
      <w:pPr>
        <w:pStyle w:val="Body"/>
        <w:rPr>
          <w:rFonts w:ascii="Arial" w:hAnsi="Arial" w:cs="Arial"/>
          <w:lang w:val="en-GB"/>
        </w:rPr>
      </w:pPr>
      <w:r w:rsidRPr="00302A27">
        <w:rPr>
          <w:rFonts w:ascii="Arial" w:hAnsi="Arial" w:cs="Arial"/>
          <w:lang w:val="en-GB"/>
        </w:rPr>
        <w:t xml:space="preserve">Balancing innovation with privacy safeguards also requires addressing systemic inequities. As Andrikopoulou (2023) notes, disparities in digital access and literacy shape the extent to which patients benefit from telehealth innovations. Without attention to these digital determinants of health, AI integration risks reinforcing rather than reducing inequities in care. Thus, ethical </w:t>
      </w:r>
      <w:r w:rsidRPr="00302A27">
        <w:rPr>
          <w:rFonts w:ascii="Arial" w:hAnsi="Arial" w:cs="Arial"/>
          <w:lang w:val="en-GB"/>
        </w:rPr>
        <w:lastRenderedPageBreak/>
        <w:t>innovation in RMS must integrate considerations of access, inclusivity, and fairness alongside performance and efficiency.</w:t>
      </w:r>
    </w:p>
    <w:p w14:paraId="5A6E7D56" w14:textId="195CFD5E" w:rsidR="00FB41F9" w:rsidRPr="00302A27" w:rsidRDefault="00FB41F9" w:rsidP="003728F1">
      <w:pPr>
        <w:pStyle w:val="Body"/>
        <w:rPr>
          <w:rFonts w:ascii="Arial" w:hAnsi="Arial" w:cs="Arial"/>
          <w:lang w:val="en-GB"/>
        </w:rPr>
      </w:pPr>
      <w:r w:rsidRPr="00302A27">
        <w:rPr>
          <w:rFonts w:ascii="Arial" w:hAnsi="Arial" w:cs="Arial"/>
          <w:lang w:val="en-GB"/>
        </w:rPr>
        <w:t>In sum, innovation in AI-powered RMS cannot be pursued in isolation from trust and privacy. Achieving sustainable adoption requires systems that are not only technologically advanced but also transparent, secure, and patient-centered. The challenge is to design frameworks where innovation and safeguards are mutually reinforcing, ensuring that digital transformation enhances</w:t>
      </w:r>
      <w:r w:rsidR="00893962" w:rsidRPr="00302A27">
        <w:rPr>
          <w:rFonts w:ascii="Arial" w:hAnsi="Arial" w:cs="Arial"/>
          <w:lang w:val="en-GB"/>
        </w:rPr>
        <w:t xml:space="preserve"> </w:t>
      </w:r>
      <w:r w:rsidRPr="00302A27">
        <w:rPr>
          <w:rFonts w:ascii="Arial" w:hAnsi="Arial" w:cs="Arial"/>
          <w:lang w:val="en-GB"/>
        </w:rPr>
        <w:t>not undermines</w:t>
      </w:r>
      <w:r w:rsidR="00893962" w:rsidRPr="00302A27">
        <w:rPr>
          <w:rFonts w:ascii="Arial" w:hAnsi="Arial" w:cs="Arial"/>
          <w:lang w:val="en-GB"/>
        </w:rPr>
        <w:t xml:space="preserve"> </w:t>
      </w:r>
      <w:r w:rsidRPr="00302A27">
        <w:rPr>
          <w:rFonts w:ascii="Arial" w:hAnsi="Arial" w:cs="Arial"/>
          <w:lang w:val="en-GB"/>
        </w:rPr>
        <w:t>confidence in healthcare.</w:t>
      </w:r>
    </w:p>
    <w:p w14:paraId="5BCB2987" w14:textId="3DA6F5CB" w:rsidR="00FB41F9" w:rsidRPr="00302A27" w:rsidRDefault="00FB41F9" w:rsidP="003728F1">
      <w:pPr>
        <w:pStyle w:val="Body"/>
        <w:numPr>
          <w:ilvl w:val="1"/>
          <w:numId w:val="34"/>
        </w:numPr>
        <w:rPr>
          <w:rFonts w:ascii="Arial" w:hAnsi="Arial" w:cs="Arial"/>
          <w:b/>
        </w:rPr>
      </w:pPr>
      <w:r w:rsidRPr="00302A27">
        <w:rPr>
          <w:rFonts w:ascii="Arial" w:hAnsi="Arial" w:cs="Arial"/>
          <w:b/>
        </w:rPr>
        <w:t xml:space="preserve">Challenges </w:t>
      </w:r>
    </w:p>
    <w:p w14:paraId="1C04FF5B" w14:textId="47435162" w:rsidR="00FB41F9" w:rsidRPr="00302A27" w:rsidRDefault="00FB41F9" w:rsidP="003728F1">
      <w:pPr>
        <w:pStyle w:val="Body"/>
        <w:rPr>
          <w:rFonts w:ascii="Arial" w:hAnsi="Arial" w:cs="Arial"/>
          <w:lang w:val="en-GB"/>
        </w:rPr>
      </w:pPr>
      <w:r w:rsidRPr="00302A27">
        <w:rPr>
          <w:rFonts w:ascii="Arial" w:hAnsi="Arial" w:cs="Arial"/>
          <w:lang w:val="en-GB"/>
        </w:rPr>
        <w:t>The integration of AI-powered RMS</w:t>
      </w:r>
      <w:r w:rsidR="009C6297" w:rsidRPr="00302A27">
        <w:rPr>
          <w:rFonts w:ascii="Arial" w:hAnsi="Arial" w:cs="Arial"/>
          <w:lang w:val="en-GB"/>
        </w:rPr>
        <w:t xml:space="preserve"> </w:t>
      </w:r>
      <w:r w:rsidRPr="00302A27">
        <w:rPr>
          <w:rFonts w:ascii="Arial" w:hAnsi="Arial" w:cs="Arial"/>
          <w:lang w:val="en-GB"/>
        </w:rPr>
        <w:t>in telehealth presents substantial challenges that complicate their widespread adoption.</w:t>
      </w:r>
    </w:p>
    <w:p w14:paraId="06C4FB56" w14:textId="77777777" w:rsidR="00FB41F9" w:rsidRPr="00302A27" w:rsidRDefault="00FB41F9" w:rsidP="003728F1">
      <w:pPr>
        <w:pStyle w:val="Body"/>
        <w:rPr>
          <w:rFonts w:ascii="Arial" w:hAnsi="Arial" w:cs="Arial"/>
          <w:lang w:val="en-GB"/>
        </w:rPr>
      </w:pPr>
      <w:r w:rsidRPr="00302A27">
        <w:rPr>
          <w:rFonts w:ascii="Arial" w:hAnsi="Arial" w:cs="Arial"/>
          <w:lang w:val="en-GB"/>
        </w:rPr>
        <w:t>Ethical challenges arise primarily from issues of trust, transparency, and fairness. Studies emphasize that patients and clinicians often struggle with algorithm interpretability and the “black box” nature of AI systems (Zeng et al., 2025; Du et al., 2022). Without clear and understandable explanations, there is a risk of undermining user confidence and exacerbating health disparities. Equity is another concern: underserved populations, including rural and elderly patients, may lack access to digital tools or sufficient digital literacy (Andrikopoulou, 2023). These “digital determinants of health” highlight that AI integration must not reinforce systemic inequities in care delivery.</w:t>
      </w:r>
    </w:p>
    <w:p w14:paraId="4DEACB56" w14:textId="77777777" w:rsidR="00FB41F9" w:rsidRPr="00302A27" w:rsidRDefault="00FB41F9" w:rsidP="003728F1">
      <w:pPr>
        <w:pStyle w:val="Body"/>
        <w:rPr>
          <w:rFonts w:ascii="Arial" w:hAnsi="Arial" w:cs="Arial"/>
          <w:lang w:val="en-GB"/>
        </w:rPr>
      </w:pPr>
      <w:r w:rsidRPr="00302A27">
        <w:rPr>
          <w:rFonts w:ascii="Arial" w:hAnsi="Arial" w:cs="Arial"/>
          <w:lang w:val="en-GB"/>
        </w:rPr>
        <w:t>Legal challenges center on data privacy, consent, and regulatory compliance. Scholars note that telehealth data handling raises unresolved questions about secondary use of data, ownership, and cross-platform sharing (Bassan, 2020; Karamifar et al., 2023). While U.S. regulations such as HIPAA provide a baseline framework, they are insufficiently tailored to address risks introduced by continuous AI-enabled monitoring. Rapid deployment during the COVID-19 pandemic further highlighted gaps in long-term policy planning, particularly around reimbursement models and liability when AI-driven recommendations contribute to clinical decisions (Ostovari, 2021).</w:t>
      </w:r>
    </w:p>
    <w:p w14:paraId="6A8C74DC" w14:textId="29AF22DE" w:rsidR="00E967B3" w:rsidRPr="00302A27" w:rsidRDefault="00FB41F9" w:rsidP="003728F1">
      <w:pPr>
        <w:pStyle w:val="Body"/>
        <w:rPr>
          <w:rFonts w:ascii="Arial" w:hAnsi="Arial" w:cs="Arial"/>
          <w:lang w:val="en-GB"/>
        </w:rPr>
      </w:pPr>
      <w:r w:rsidRPr="00302A27">
        <w:rPr>
          <w:rFonts w:ascii="Arial" w:hAnsi="Arial" w:cs="Arial"/>
          <w:lang w:val="en-GB"/>
        </w:rPr>
        <w:t>Technical challenges include reliability of algorithms, cybersecurity, and system integration. Evidence shows that inaccuracies in predictive models, or failure of devices to function consistently, can directly erode patient trust (Jean, 2024; Costantino et al., 2022). Additionally, AI models remain vulnerable to bias, adversarial attacks, and data breaches (Shaik et al., 2023). Burrell (2023) emphasizes that the lack of standardized evaluation frameworks makes it difficult to verify safety, performance, and long-term reliability of AI-driven RMS. Integration with existing clinical workflows and electronic health record (EHR) systems also poses challenges, requiring interoperability and technical harmonization that many health systems are still unprepared to deliver.</w:t>
      </w:r>
    </w:p>
    <w:p w14:paraId="6158CB56" w14:textId="795B3F29" w:rsidR="00E967B3" w:rsidRPr="00302A27" w:rsidRDefault="00E967B3" w:rsidP="003728F1">
      <w:pPr>
        <w:pStyle w:val="Body"/>
        <w:numPr>
          <w:ilvl w:val="1"/>
          <w:numId w:val="34"/>
        </w:numPr>
        <w:rPr>
          <w:rFonts w:ascii="Arial" w:hAnsi="Arial" w:cs="Arial"/>
          <w:b/>
        </w:rPr>
      </w:pPr>
      <w:r w:rsidRPr="00302A27">
        <w:rPr>
          <w:rFonts w:ascii="Arial" w:hAnsi="Arial" w:cs="Arial"/>
          <w:b/>
        </w:rPr>
        <w:t>Trust factors</w:t>
      </w:r>
    </w:p>
    <w:p w14:paraId="267D7DA8" w14:textId="5248162C" w:rsidR="00E967B3" w:rsidRPr="00302A27" w:rsidRDefault="00E967B3" w:rsidP="003728F1">
      <w:pPr>
        <w:pStyle w:val="Body"/>
        <w:numPr>
          <w:ilvl w:val="2"/>
          <w:numId w:val="34"/>
        </w:numPr>
        <w:rPr>
          <w:rFonts w:ascii="Arial" w:hAnsi="Arial" w:cs="Arial"/>
          <w:b/>
        </w:rPr>
      </w:pPr>
      <w:r w:rsidRPr="00302A27">
        <w:rPr>
          <w:rFonts w:ascii="Arial" w:hAnsi="Arial" w:cs="Arial"/>
          <w:b/>
        </w:rPr>
        <w:t>Algorithm Transparency and Interpretability</w:t>
      </w:r>
    </w:p>
    <w:p w14:paraId="374A6096" w14:textId="44E58EBE" w:rsidR="00E967B3" w:rsidRPr="00302A27" w:rsidRDefault="00E967B3" w:rsidP="003728F1">
      <w:pPr>
        <w:pStyle w:val="Body"/>
        <w:rPr>
          <w:rFonts w:ascii="Arial" w:hAnsi="Arial" w:cs="Arial"/>
          <w:lang w:val="en-GB"/>
        </w:rPr>
      </w:pPr>
      <w:r w:rsidRPr="00302A27">
        <w:rPr>
          <w:rFonts w:ascii="Arial" w:hAnsi="Arial" w:cs="Arial"/>
          <w:lang w:val="en-GB"/>
        </w:rPr>
        <w:t>Trust in AI-assisted telehealth relies heavily on system transparency. Clear explanations of how AI systems generate outputs improve both patient and clinician acceptance (Zeng et al., 2025). Different explanatory approaches</w:t>
      </w:r>
      <w:r w:rsidR="00893962" w:rsidRPr="00302A27">
        <w:rPr>
          <w:rFonts w:ascii="Arial" w:hAnsi="Arial" w:cs="Arial"/>
          <w:lang w:val="en-GB"/>
        </w:rPr>
        <w:t xml:space="preserve"> </w:t>
      </w:r>
      <w:r w:rsidRPr="00302A27">
        <w:rPr>
          <w:rFonts w:ascii="Arial" w:hAnsi="Arial" w:cs="Arial"/>
          <w:lang w:val="en-GB"/>
        </w:rPr>
        <w:t>feature contribution, example-based, and visual methods affect trust differently, depending on user expertise (Du et al., 2022; Huang et al., 2024). Overly technical details may overwhelm users, while vague explanations leave uncertainty, suggesting the need for balanced and context-sensitive XAI (Ehsan et al., 2021; Schrills &amp; Franke, 2023).</w:t>
      </w:r>
    </w:p>
    <w:p w14:paraId="3B682A11" w14:textId="48753883" w:rsidR="00E967B3" w:rsidRPr="00302A27" w:rsidRDefault="00E967B3" w:rsidP="003728F1">
      <w:pPr>
        <w:pStyle w:val="Body"/>
        <w:numPr>
          <w:ilvl w:val="2"/>
          <w:numId w:val="34"/>
        </w:numPr>
        <w:rPr>
          <w:rFonts w:ascii="Arial" w:hAnsi="Arial" w:cs="Arial"/>
          <w:b/>
          <w:bCs/>
          <w:lang w:val="en-GB"/>
        </w:rPr>
      </w:pPr>
      <w:r w:rsidRPr="00302A27">
        <w:rPr>
          <w:rFonts w:ascii="Arial" w:hAnsi="Arial" w:cs="Arial"/>
          <w:b/>
          <w:bCs/>
          <w:lang w:val="en-GB"/>
        </w:rPr>
        <w:lastRenderedPageBreak/>
        <w:t>Physician Mediation and Communication</w:t>
      </w:r>
    </w:p>
    <w:p w14:paraId="2622A445" w14:textId="77777777" w:rsidR="00E967B3" w:rsidRPr="00302A27" w:rsidRDefault="00E967B3" w:rsidP="003728F1">
      <w:pPr>
        <w:pStyle w:val="Body"/>
        <w:rPr>
          <w:rFonts w:ascii="Arial" w:hAnsi="Arial" w:cs="Arial"/>
          <w:lang w:val="en-GB"/>
        </w:rPr>
      </w:pPr>
      <w:r w:rsidRPr="00302A27">
        <w:rPr>
          <w:rFonts w:ascii="Arial" w:hAnsi="Arial" w:cs="Arial"/>
          <w:lang w:val="en-GB"/>
        </w:rPr>
        <w:t>Despite AI integration, physician–patient interaction remains essential. Trust is mediated through providers’ ability to contextualize AI recommendations, explain limitations, and maintain empathetic communication. Jean (2024) emphasizes that communication of uncertainty in AI outputs directly affects patient confidence. Costantino et al. (2022) similarly show that organizational trust and physician engagement remain central anchors of telehealth trust.</w:t>
      </w:r>
    </w:p>
    <w:p w14:paraId="1A04B998" w14:textId="083F8493" w:rsidR="00E967B3" w:rsidRPr="00302A27" w:rsidRDefault="00E967B3" w:rsidP="003728F1">
      <w:pPr>
        <w:pStyle w:val="Body"/>
        <w:numPr>
          <w:ilvl w:val="2"/>
          <w:numId w:val="34"/>
        </w:numPr>
        <w:rPr>
          <w:rFonts w:ascii="Arial" w:hAnsi="Arial" w:cs="Arial"/>
          <w:b/>
          <w:bCs/>
          <w:lang w:val="en-GB"/>
        </w:rPr>
      </w:pPr>
      <w:r w:rsidRPr="00302A27">
        <w:rPr>
          <w:rFonts w:ascii="Arial" w:hAnsi="Arial" w:cs="Arial"/>
          <w:b/>
          <w:bCs/>
          <w:lang w:val="en-GB"/>
        </w:rPr>
        <w:t>Reliability and Competence of Systems</w:t>
      </w:r>
    </w:p>
    <w:p w14:paraId="4250BD7B" w14:textId="30C47DBD" w:rsidR="00E967B3" w:rsidRPr="00302A27" w:rsidRDefault="00E967B3" w:rsidP="003728F1">
      <w:pPr>
        <w:pStyle w:val="Body"/>
        <w:rPr>
          <w:rFonts w:ascii="Arial" w:hAnsi="Arial" w:cs="Arial"/>
          <w:lang w:val="en-GB"/>
        </w:rPr>
      </w:pPr>
      <w:r w:rsidRPr="00302A27">
        <w:rPr>
          <w:rFonts w:ascii="Arial" w:hAnsi="Arial" w:cs="Arial"/>
          <w:lang w:val="en-GB"/>
        </w:rPr>
        <w:t>System reliability and accuracy are key determinants of sustained trust. Patients’ willingness to adopt AI-assisted telemedicine depends on consistent, validated, and error-free outputs (Jean, 2024). Usability and seamless integration with healthcare workflows further enhance confidence (Costantino et al., 2022).</w:t>
      </w:r>
    </w:p>
    <w:p w14:paraId="2E81F98B" w14:textId="1B23CCE4" w:rsidR="00E967B3" w:rsidRPr="00302A27" w:rsidRDefault="00E967B3" w:rsidP="003728F1">
      <w:pPr>
        <w:pStyle w:val="Body"/>
        <w:numPr>
          <w:ilvl w:val="2"/>
          <w:numId w:val="34"/>
        </w:numPr>
        <w:rPr>
          <w:rFonts w:ascii="Arial" w:hAnsi="Arial" w:cs="Arial"/>
          <w:b/>
          <w:bCs/>
          <w:lang w:val="en-GB"/>
        </w:rPr>
      </w:pPr>
      <w:r w:rsidRPr="00302A27">
        <w:rPr>
          <w:rFonts w:ascii="Arial" w:hAnsi="Arial" w:cs="Arial"/>
          <w:b/>
          <w:bCs/>
          <w:lang w:val="en-GB"/>
        </w:rPr>
        <w:t>Privacy and Data Integrity</w:t>
      </w:r>
    </w:p>
    <w:p w14:paraId="4B4F0583" w14:textId="77777777" w:rsidR="00E967B3" w:rsidRPr="00302A27" w:rsidRDefault="00E967B3" w:rsidP="003728F1">
      <w:pPr>
        <w:pStyle w:val="Body"/>
        <w:rPr>
          <w:rFonts w:ascii="Arial" w:hAnsi="Arial" w:cs="Arial"/>
          <w:lang w:val="en-GB"/>
        </w:rPr>
      </w:pPr>
      <w:r w:rsidRPr="00302A27">
        <w:rPr>
          <w:rFonts w:ascii="Arial" w:hAnsi="Arial" w:cs="Arial"/>
          <w:lang w:val="en-GB"/>
        </w:rPr>
        <w:t>Data privacy remains a fundamental enabler of trust in telehealth. Patients demonstrate stronger engagement with telehealth portals and televisits when they are confident that their data is secure and transparently managed (Luckritz, 2025). Assurance of compliance with data protection frameworks reinforces both patient confidence and organizational legitimacy.</w:t>
      </w:r>
    </w:p>
    <w:p w14:paraId="31935F63" w14:textId="5DD84D88" w:rsidR="00E967B3" w:rsidRPr="00302A27" w:rsidRDefault="00E967B3" w:rsidP="003728F1">
      <w:pPr>
        <w:pStyle w:val="Body"/>
        <w:numPr>
          <w:ilvl w:val="2"/>
          <w:numId w:val="34"/>
        </w:numPr>
        <w:rPr>
          <w:rFonts w:ascii="Arial" w:hAnsi="Arial" w:cs="Arial"/>
          <w:b/>
          <w:bCs/>
          <w:lang w:val="en-GB"/>
        </w:rPr>
      </w:pPr>
      <w:r w:rsidRPr="00302A27">
        <w:rPr>
          <w:rFonts w:ascii="Arial" w:hAnsi="Arial" w:cs="Arial"/>
          <w:b/>
          <w:bCs/>
          <w:lang w:val="en-GB"/>
        </w:rPr>
        <w:t>Personalization and User-Centric Design</w:t>
      </w:r>
    </w:p>
    <w:p w14:paraId="423DF24B" w14:textId="2A5C419D" w:rsidR="00385865" w:rsidRDefault="00385865" w:rsidP="003728F1">
      <w:pPr>
        <w:pStyle w:val="Body"/>
        <w:rPr>
          <w:rFonts w:ascii="Arial" w:hAnsi="Arial" w:cs="Arial"/>
          <w:lang w:val="en-GB"/>
        </w:rPr>
      </w:pPr>
      <w:r w:rsidRPr="00302A27">
        <w:rPr>
          <w:rFonts w:ascii="Arial" w:hAnsi="Arial" w:cs="Arial"/>
          <w:noProof/>
          <w:lang w:val="en-GB"/>
        </w:rPr>
        <w:drawing>
          <wp:anchor distT="0" distB="0" distL="114300" distR="114300" simplePos="0" relativeHeight="251659264" behindDoc="0" locked="0" layoutInCell="1" allowOverlap="1" wp14:anchorId="7E3E6E12" wp14:editId="7E6FFFAD">
            <wp:simplePos x="0" y="0"/>
            <wp:positionH relativeFrom="column">
              <wp:posOffset>535940</wp:posOffset>
            </wp:positionH>
            <wp:positionV relativeFrom="paragraph">
              <wp:posOffset>822960</wp:posOffset>
            </wp:positionV>
            <wp:extent cx="4114800" cy="3027045"/>
            <wp:effectExtent l="0" t="0" r="0" b="1905"/>
            <wp:wrapTopAndBottom/>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margin">
              <wp14:pctWidth>0</wp14:pctWidth>
            </wp14:sizeRelH>
            <wp14:sizeRelV relativeFrom="margin">
              <wp14:pctHeight>0</wp14:pctHeight>
            </wp14:sizeRelV>
          </wp:anchor>
        </w:drawing>
      </w:r>
      <w:r w:rsidR="00E967B3" w:rsidRPr="00302A27">
        <w:rPr>
          <w:rFonts w:ascii="Arial" w:hAnsi="Arial" w:cs="Arial"/>
          <w:lang w:val="en-GB"/>
        </w:rPr>
        <w:t>Finally, personalization increases inclusivity and strengthens trust. Interfaces adapted to patient characteristics</w:t>
      </w:r>
      <w:r w:rsidR="00893962" w:rsidRPr="00302A27">
        <w:rPr>
          <w:rFonts w:ascii="Arial" w:hAnsi="Arial" w:cs="Arial"/>
          <w:lang w:val="en-GB"/>
        </w:rPr>
        <w:t xml:space="preserve"> </w:t>
      </w:r>
      <w:r w:rsidR="00E967B3" w:rsidRPr="00302A27">
        <w:rPr>
          <w:rFonts w:ascii="Arial" w:hAnsi="Arial" w:cs="Arial"/>
          <w:lang w:val="en-GB"/>
        </w:rPr>
        <w:t>such as simplified explanations for older adults or integration into clinical workflows for physicians</w:t>
      </w:r>
      <w:r w:rsidR="00893962" w:rsidRPr="00302A27">
        <w:rPr>
          <w:rFonts w:ascii="Arial" w:hAnsi="Arial" w:cs="Arial"/>
          <w:lang w:val="en-GB"/>
        </w:rPr>
        <w:t xml:space="preserve"> </w:t>
      </w:r>
      <w:r w:rsidR="00E967B3" w:rsidRPr="00302A27">
        <w:rPr>
          <w:rFonts w:ascii="Arial" w:hAnsi="Arial" w:cs="Arial"/>
          <w:lang w:val="en-GB"/>
        </w:rPr>
        <w:t>promote accessibility and usability (Huang et al., 2024;</w:t>
      </w:r>
      <w:r>
        <w:rPr>
          <w:rFonts w:ascii="Arial" w:hAnsi="Arial" w:cs="Arial"/>
          <w:lang w:val="en-GB"/>
        </w:rPr>
        <w:t xml:space="preserve"> </w:t>
      </w:r>
      <w:r w:rsidR="00E967B3" w:rsidRPr="00302A27">
        <w:rPr>
          <w:rFonts w:ascii="Arial" w:hAnsi="Arial" w:cs="Arial"/>
          <w:lang w:val="en-GB"/>
        </w:rPr>
        <w:t>Burgess et al., 2023). Customization, user-friendly design, and alignment with clinical reasoning enhance adoption across diverse populations.</w:t>
      </w:r>
    </w:p>
    <w:p w14:paraId="4AD8ED33" w14:textId="3A654319" w:rsidR="00E967B3" w:rsidRPr="00302A27" w:rsidRDefault="00385865" w:rsidP="00385865">
      <w:pPr>
        <w:pStyle w:val="Body"/>
        <w:jc w:val="center"/>
        <w:rPr>
          <w:rFonts w:ascii="Arial" w:hAnsi="Arial" w:cs="Arial"/>
          <w:lang w:val="en-GB"/>
        </w:rPr>
      </w:pPr>
      <w:r>
        <w:rPr>
          <w:rFonts w:ascii="Arial" w:hAnsi="Arial" w:cs="Arial"/>
          <w:lang w:val="en-GB"/>
        </w:rPr>
        <w:t xml:space="preserve">Fig 1: </w:t>
      </w:r>
      <w:r w:rsidRPr="00302A27">
        <w:rPr>
          <w:rFonts w:ascii="Arial" w:hAnsi="Arial" w:cs="Arial"/>
          <w:b/>
          <w:bCs/>
          <w:lang w:val="en-GB"/>
        </w:rPr>
        <w:t>Conceptual Model of Trust Factors in Telehealth</w:t>
      </w:r>
    </w:p>
    <w:p w14:paraId="7F108E99" w14:textId="7813AD40" w:rsidR="00E967B3" w:rsidRPr="00302A27" w:rsidRDefault="00E967B3" w:rsidP="003728F1">
      <w:pPr>
        <w:pStyle w:val="Body"/>
        <w:numPr>
          <w:ilvl w:val="1"/>
          <w:numId w:val="34"/>
        </w:numPr>
        <w:rPr>
          <w:rFonts w:ascii="Arial" w:hAnsi="Arial" w:cs="Arial"/>
          <w:b/>
          <w:bCs/>
          <w:lang w:val="en-GB"/>
        </w:rPr>
      </w:pPr>
      <w:r w:rsidRPr="00302A27">
        <w:rPr>
          <w:rFonts w:ascii="Arial" w:hAnsi="Arial" w:cs="Arial"/>
          <w:b/>
          <w:bCs/>
          <w:lang w:val="en-GB"/>
        </w:rPr>
        <w:lastRenderedPageBreak/>
        <w:t>Risks and Privacy Issues</w:t>
      </w:r>
    </w:p>
    <w:p w14:paraId="393B71F4" w14:textId="4D9F5474" w:rsidR="00E967B3" w:rsidRPr="00302A27" w:rsidRDefault="00E967B3" w:rsidP="003728F1">
      <w:pPr>
        <w:pStyle w:val="Body"/>
        <w:rPr>
          <w:rFonts w:ascii="Arial" w:hAnsi="Arial" w:cs="Arial"/>
          <w:lang w:val="en-GB"/>
        </w:rPr>
      </w:pPr>
      <w:r w:rsidRPr="00302A27">
        <w:rPr>
          <w:rFonts w:ascii="Arial" w:hAnsi="Arial" w:cs="Arial"/>
          <w:lang w:val="en-GB"/>
        </w:rPr>
        <w:t xml:space="preserve">Despite its advantages, the integration of AI in RMS introduces substantial risks, particularly in relation to privacy, security, and trust. </w:t>
      </w:r>
      <w:r w:rsidR="009C6297" w:rsidRPr="00302A27">
        <w:rPr>
          <w:rFonts w:ascii="Arial" w:hAnsi="Arial" w:cs="Arial"/>
          <w:lang w:val="en-GB"/>
        </w:rPr>
        <w:t>RMS</w:t>
      </w:r>
      <w:r w:rsidRPr="00302A27">
        <w:rPr>
          <w:rFonts w:ascii="Arial" w:hAnsi="Arial" w:cs="Arial"/>
          <w:lang w:val="en-GB"/>
        </w:rPr>
        <w:t xml:space="preserve"> rely on the continuous collection and transmission of sensitive health data, raising concerns about confidentiality and consent (Munawar et al., 2025). Risks of unauthorized access, data breaches, and misuse of health information highlight the urgent need for robust security mechanisms. Blockchain technologies and federated learning have been proposed as strategies to preserve data integrity and enable privacy-preserving AI model training, though their effectiveness remains under evaluation (Munawar et al., 2025).</w:t>
      </w:r>
    </w:p>
    <w:p w14:paraId="388F668C" w14:textId="77777777" w:rsidR="00E967B3" w:rsidRPr="00302A27" w:rsidRDefault="00E967B3" w:rsidP="003728F1">
      <w:pPr>
        <w:pStyle w:val="Body"/>
        <w:rPr>
          <w:rFonts w:ascii="Arial" w:hAnsi="Arial" w:cs="Arial"/>
          <w:lang w:val="en-GB"/>
        </w:rPr>
      </w:pPr>
      <w:r w:rsidRPr="00302A27">
        <w:rPr>
          <w:rFonts w:ascii="Arial" w:hAnsi="Arial" w:cs="Arial"/>
          <w:lang w:val="en-GB"/>
        </w:rPr>
        <w:t>A further issue concerns the secondary use of data. AI systems often depend on large-scale datasets for training, raising ethical questions about whether patients have given informed consent for their data to be repurposed beyond immediate clinical care (Burrell, 2023). Andrikopoulou (2023) emphasizes that the “black box” nature of many AI algorithms undermines transparency and interpretability, fueling mistrust among patients and providers. The potential for algorithmic bias further exacerbates equity concerns, as populations with limited digital access or representation in training datasets may experience poorer outcomes.</w:t>
      </w:r>
    </w:p>
    <w:p w14:paraId="705DD895" w14:textId="77777777" w:rsidR="00E967B3" w:rsidRPr="00302A27" w:rsidRDefault="00E967B3" w:rsidP="003728F1">
      <w:pPr>
        <w:pStyle w:val="Body"/>
        <w:rPr>
          <w:rFonts w:ascii="Arial" w:hAnsi="Arial" w:cs="Arial"/>
          <w:lang w:val="en-GB"/>
        </w:rPr>
      </w:pPr>
      <w:r w:rsidRPr="00302A27">
        <w:rPr>
          <w:rFonts w:ascii="Arial" w:hAnsi="Arial" w:cs="Arial"/>
          <w:lang w:val="en-GB"/>
        </w:rPr>
        <w:t>Additionally, regulatory uncertainty threatens the sustainable integration of AI into RMS. While supportive policies during the COVID-19 pandemic promoted rapid adoption, questions remain about whether reimbursement models and governance structures will persist in the post-pandemic era (Ostovari, 2021). Burrell (2023) argues that without standardized evaluation frameworks, the long-term safety, ethical implications, and clinical reliability of AI-driven monitoring tools cannot be assured.</w:t>
      </w:r>
    </w:p>
    <w:p w14:paraId="5B4AB028" w14:textId="44514541" w:rsidR="00E967B3" w:rsidRPr="00302A27" w:rsidRDefault="00E967B3" w:rsidP="003728F1">
      <w:pPr>
        <w:pStyle w:val="Body"/>
        <w:numPr>
          <w:ilvl w:val="1"/>
          <w:numId w:val="34"/>
        </w:numPr>
        <w:rPr>
          <w:rFonts w:ascii="Arial" w:hAnsi="Arial" w:cs="Arial"/>
          <w:b/>
          <w:bCs/>
          <w:lang w:val="en-GB"/>
        </w:rPr>
      </w:pPr>
      <w:r w:rsidRPr="00302A27">
        <w:rPr>
          <w:rFonts w:ascii="Arial" w:hAnsi="Arial" w:cs="Arial"/>
          <w:b/>
          <w:bCs/>
          <w:lang w:val="en-GB"/>
        </w:rPr>
        <w:t>U.S. context (regulatory frameworks, case studies, implementation challenges).</w:t>
      </w:r>
    </w:p>
    <w:p w14:paraId="230EB131" w14:textId="1E3809D0" w:rsidR="00454ADC" w:rsidRPr="00302A27" w:rsidRDefault="00454ADC" w:rsidP="00454ADC">
      <w:pPr>
        <w:pStyle w:val="Body"/>
        <w:rPr>
          <w:rFonts w:ascii="Arial" w:hAnsi="Arial" w:cs="Arial"/>
          <w:lang w:val="en-GB"/>
        </w:rPr>
      </w:pPr>
      <w:r w:rsidRPr="00302A27">
        <w:rPr>
          <w:rFonts w:ascii="Arial" w:hAnsi="Arial" w:cs="Arial"/>
          <w:lang w:val="en-GB"/>
        </w:rPr>
        <w:t>The integration of AI-powered RMS and telehealth within the United States is guided by a multi-layered regulatory ecosystem involving the Food and Drug Administration (FDA), the Department of Health and Human Services’ Office for Civil Rights (HHS/OCR), and the Centers for Medicare and Medicaid Services (CMS). Together, these institutions define how technological innovation, privacy, and access are balanced in the nation’s digital health transformation. While each framework addresses distinct dimensions</w:t>
      </w:r>
      <w:r w:rsidR="00893962" w:rsidRPr="00302A27">
        <w:rPr>
          <w:rFonts w:ascii="Arial" w:hAnsi="Arial" w:cs="Arial"/>
          <w:lang w:val="en-GB"/>
        </w:rPr>
        <w:t xml:space="preserve"> </w:t>
      </w:r>
      <w:r w:rsidRPr="00302A27">
        <w:rPr>
          <w:rFonts w:ascii="Arial" w:hAnsi="Arial" w:cs="Arial"/>
          <w:lang w:val="en-GB"/>
        </w:rPr>
        <w:t>safety, data governance, and reimbursement</w:t>
      </w:r>
      <w:r w:rsidR="00893962" w:rsidRPr="00302A27">
        <w:rPr>
          <w:rFonts w:ascii="Arial" w:hAnsi="Arial" w:cs="Arial"/>
          <w:lang w:val="en-GB"/>
        </w:rPr>
        <w:t xml:space="preserve"> </w:t>
      </w:r>
      <w:r w:rsidRPr="00302A27">
        <w:rPr>
          <w:rFonts w:ascii="Arial" w:hAnsi="Arial" w:cs="Arial"/>
          <w:lang w:val="en-GB"/>
        </w:rPr>
        <w:t>their overlap reveals both institutional strength and significant coordination challenges.</w:t>
      </w:r>
    </w:p>
    <w:p w14:paraId="594B8C8F" w14:textId="5D7E0948" w:rsidR="00454ADC" w:rsidRPr="00302A27" w:rsidRDefault="00454ADC" w:rsidP="00454ADC">
      <w:pPr>
        <w:pStyle w:val="Body"/>
        <w:rPr>
          <w:rFonts w:ascii="Arial" w:hAnsi="Arial" w:cs="Arial"/>
          <w:lang w:val="en-GB"/>
        </w:rPr>
      </w:pPr>
      <w:r w:rsidRPr="00302A27">
        <w:rPr>
          <w:rFonts w:ascii="Arial" w:hAnsi="Arial" w:cs="Arial"/>
          <w:lang w:val="en-GB"/>
        </w:rPr>
        <w:t>The FDA remains the central authority governing AI and machine learning (ML) applications in healthcare through its oversight of Software as a Medical Device (SaMD) and Clinical Decision Support (CDS) systems. The agency’s evolving framework reflects a shift from static, one-time approvals to adaptive, lifecycle-based regulation</w:t>
      </w:r>
      <w:r w:rsidR="00893962" w:rsidRPr="00302A27">
        <w:rPr>
          <w:rFonts w:ascii="Arial" w:hAnsi="Arial" w:cs="Arial"/>
          <w:lang w:val="en-GB"/>
        </w:rPr>
        <w:t xml:space="preserve"> </w:t>
      </w:r>
      <w:r w:rsidRPr="00302A27">
        <w:rPr>
          <w:rFonts w:ascii="Arial" w:hAnsi="Arial" w:cs="Arial"/>
          <w:lang w:val="en-GB"/>
        </w:rPr>
        <w:t>acknowledging the continuous learning capacity of AI systems (Singh et al., 2025). The introduction of the AI/ML SaMD Action Plan and Good Machine Learning Practices (GMLP) established new standards for algorithmic transparency, bias mitigation, and post-market surveillance. These initiatives aim to safeguard patient safety while promoting innovation. However, persistent challenges remain, including limited post-market data sharing, unclear liability for adaptive algorithms, and new oversight concerns related to generative AI and data provenance. These gaps underscore the difficulty of maintaining regulatory accountability amid rapidly evolving technologies.</w:t>
      </w:r>
    </w:p>
    <w:p w14:paraId="65319E67" w14:textId="25217BEF" w:rsidR="00454ADC" w:rsidRPr="00302A27" w:rsidRDefault="00454ADC" w:rsidP="00454ADC">
      <w:pPr>
        <w:pStyle w:val="Body"/>
        <w:rPr>
          <w:rFonts w:ascii="Arial" w:hAnsi="Arial" w:cs="Arial"/>
          <w:lang w:val="en-GB"/>
        </w:rPr>
      </w:pPr>
      <w:r w:rsidRPr="00302A27">
        <w:rPr>
          <w:rFonts w:ascii="Arial" w:hAnsi="Arial" w:cs="Arial"/>
          <w:lang w:val="en-GB"/>
        </w:rPr>
        <w:t>From a privacy and ethical perspective, the HHS Office for Civil Rights (OCR) enforces the Health Insurance Portability and Accountability Act (HIPAA)</w:t>
      </w:r>
      <w:r w:rsidR="00893962" w:rsidRPr="00302A27">
        <w:rPr>
          <w:rFonts w:ascii="Arial" w:hAnsi="Arial" w:cs="Arial"/>
          <w:lang w:val="en-GB"/>
        </w:rPr>
        <w:t xml:space="preserve"> </w:t>
      </w:r>
      <w:r w:rsidRPr="00302A27">
        <w:rPr>
          <w:rFonts w:ascii="Arial" w:hAnsi="Arial" w:cs="Arial"/>
          <w:lang w:val="en-GB"/>
        </w:rPr>
        <w:t xml:space="preserve">the foundational legal framework protecting patient data in digital health contexts. During the COVID-19 emergency, the OCR </w:t>
      </w:r>
      <w:r w:rsidRPr="00302A27">
        <w:rPr>
          <w:rFonts w:ascii="Arial" w:hAnsi="Arial" w:cs="Arial"/>
          <w:lang w:val="en-GB"/>
        </w:rPr>
        <w:lastRenderedPageBreak/>
        <w:t>adopted enforcement discretion that allowed healthcare providers to use accessible communication tools such as Zoom and FaceTime without incurring penalties for potential HIPAA noncompliance (</w:t>
      </w:r>
      <w:r w:rsidR="00D74AAE" w:rsidRPr="00302A27">
        <w:rPr>
          <w:rFonts w:ascii="Arial" w:hAnsi="Arial" w:cs="Arial"/>
          <w:lang w:val="en-GB"/>
        </w:rPr>
        <w:t>Bassan, 2020</w:t>
      </w:r>
      <w:r w:rsidRPr="00302A27">
        <w:rPr>
          <w:rFonts w:ascii="Arial" w:hAnsi="Arial" w:cs="Arial"/>
          <w:lang w:val="en-GB"/>
        </w:rPr>
        <w:t xml:space="preserve">). This flexibility was instrumental in expanding telehealth access but exposed structural gaps, as many commercial technology vendors operated beyond HIPAA’s jurisdiction and were instead governed by internal corporate privacy policies. Scholars have argued that this regulatory fragmentation places excessive responsibility on patients to manage their own data protection (Cate, 2006; </w:t>
      </w:r>
      <w:r w:rsidR="00587A52" w:rsidRPr="00302A27">
        <w:rPr>
          <w:rFonts w:ascii="Arial" w:hAnsi="Arial" w:cs="Arial"/>
          <w:lang w:val="en-GB"/>
        </w:rPr>
        <w:t>Bassan</w:t>
      </w:r>
      <w:r w:rsidRPr="00302A27">
        <w:rPr>
          <w:rFonts w:ascii="Arial" w:hAnsi="Arial" w:cs="Arial"/>
          <w:lang w:val="en-GB"/>
        </w:rPr>
        <w:t>, 2020). Moreover, temporary policy leniencies introduced risks related to data commercialization and ethical ambiguities in secondary data use. These developments highlight the need for an integrated privacy framework that extends beyond covered entities to include all technology intermediaries managing sensitive health data.</w:t>
      </w:r>
    </w:p>
    <w:p w14:paraId="247FA715" w14:textId="4466C630" w:rsidR="00454ADC" w:rsidRPr="00302A27" w:rsidRDefault="00454ADC" w:rsidP="00454ADC">
      <w:pPr>
        <w:pStyle w:val="Body"/>
        <w:rPr>
          <w:rFonts w:ascii="Arial" w:hAnsi="Arial" w:cs="Arial"/>
          <w:lang w:val="en-GB"/>
        </w:rPr>
      </w:pPr>
      <w:r w:rsidRPr="00302A27">
        <w:rPr>
          <w:rFonts w:ascii="Arial" w:hAnsi="Arial" w:cs="Arial"/>
          <w:lang w:val="en-GB"/>
        </w:rPr>
        <w:t>Complementing these oversight structures, the Centers for Medicare and Medicaid Services (CMS) played a pivotal role in operationalizing large-scale telehealth access and reimbursement reforms. Leveraging emergency powers under the Stafford Act and National Emergencies Act, CMS temporarily expanded Medicare telehealth eligibility in March 2020, authorizing services from any location</w:t>
      </w:r>
      <w:r w:rsidR="00893962" w:rsidRPr="00302A27">
        <w:rPr>
          <w:rFonts w:ascii="Arial" w:hAnsi="Arial" w:cs="Arial"/>
          <w:lang w:val="en-GB"/>
        </w:rPr>
        <w:t xml:space="preserve"> </w:t>
      </w:r>
      <w:r w:rsidRPr="00302A27">
        <w:rPr>
          <w:rFonts w:ascii="Arial" w:hAnsi="Arial" w:cs="Arial"/>
          <w:lang w:val="en-GB"/>
        </w:rPr>
        <w:t>including patients’ homes</w:t>
      </w:r>
      <w:r w:rsidR="00893962" w:rsidRPr="00302A27">
        <w:rPr>
          <w:rFonts w:ascii="Arial" w:hAnsi="Arial" w:cs="Arial"/>
          <w:lang w:val="en-GB"/>
        </w:rPr>
        <w:t xml:space="preserve"> </w:t>
      </w:r>
      <w:r w:rsidRPr="00302A27">
        <w:rPr>
          <w:rFonts w:ascii="Arial" w:hAnsi="Arial" w:cs="Arial"/>
          <w:lang w:val="en-GB"/>
        </w:rPr>
        <w:t>and granting payment parity between virtual and in-person visits (Health Affairs Blog, 2020). This initiative led to a dramatic increase in utilization: weekly telehealth users rose from approximately 13,000 to 1.7 million, with over 9 million total beneficiaries using telehealth services within three months. CMS also broadened provider eligibility, permitted audio-only consultations, and suspended copayments to improve access among vulnerable populations. Despite these successes, ongoing challenges persist, including concerns about fraud prevention, reimbursement sustainability, and equitable access in post-pandemic hybrid care models.</w:t>
      </w:r>
    </w:p>
    <w:p w14:paraId="4C930EB1" w14:textId="5234FDBA" w:rsidR="00454ADC" w:rsidRPr="00302A27" w:rsidRDefault="00454ADC" w:rsidP="00454ADC">
      <w:pPr>
        <w:pStyle w:val="Body"/>
        <w:rPr>
          <w:rFonts w:ascii="Arial" w:hAnsi="Arial" w:cs="Arial"/>
          <w:lang w:val="en-GB"/>
        </w:rPr>
      </w:pPr>
      <w:r w:rsidRPr="00302A27">
        <w:rPr>
          <w:rFonts w:ascii="Arial" w:hAnsi="Arial" w:cs="Arial"/>
          <w:lang w:val="en-GB"/>
        </w:rPr>
        <w:t>Case studies across the U.S. further demonstrate both the promise and complexity of AI-enabled RMS adoption. For instance, the rapid expansion of telehealth during COVID-19 facilitated the use of AI-driven wearables and monitoring systems in post-surgical follow-up and chronic disease management, reducing hospital-acquired infections and improving care continuity (Singh &amp; Li, 2022). Similarly, studies on electronic patient portals have shown that patient trust depends as much on perceived data transparency and privacy assurances as on technical performance (Luckritz, 2025). However, several implementation challenges continue to shape the U.S. experience. Regulatory fragmentation between federal and state jurisdictions complicates telehealth licensing and reimbursement policies. Privacy and data security remain central concerns, particularly regarding secondary use of patient data and the explainability of AI models (Shaik et al., 2023). Moreover, health equity remains a critical issue, as disparities in broadband access, digital literacy, and socioeconomic status risk excluding marginalized populations from the benefits of AI-driven healthcare. Finally, trust calibration</w:t>
      </w:r>
      <w:r w:rsidR="00893962" w:rsidRPr="00302A27">
        <w:rPr>
          <w:rFonts w:ascii="Arial" w:hAnsi="Arial" w:cs="Arial"/>
          <w:lang w:val="en-GB"/>
        </w:rPr>
        <w:t xml:space="preserve"> </w:t>
      </w:r>
      <w:r w:rsidRPr="00302A27">
        <w:rPr>
          <w:rFonts w:ascii="Arial" w:hAnsi="Arial" w:cs="Arial"/>
          <w:lang w:val="en-GB"/>
        </w:rPr>
        <w:t>the alignment between user confidence, algorithmic transparency, and clinical usability</w:t>
      </w:r>
      <w:r w:rsidR="00893962" w:rsidRPr="00302A27">
        <w:rPr>
          <w:rFonts w:ascii="Arial" w:hAnsi="Arial" w:cs="Arial"/>
          <w:lang w:val="en-GB"/>
        </w:rPr>
        <w:t xml:space="preserve"> </w:t>
      </w:r>
      <w:r w:rsidRPr="00302A27">
        <w:rPr>
          <w:rFonts w:ascii="Arial" w:hAnsi="Arial" w:cs="Arial"/>
          <w:lang w:val="en-GB"/>
        </w:rPr>
        <w:t>remains unresolved, especially in liability-sensitive environments where clinicians must balance automation with professional judgment (Zeng et al., 2025; Jean, 2024).</w:t>
      </w:r>
    </w:p>
    <w:p w14:paraId="0A853EEA" w14:textId="40A779A9" w:rsidR="00E967B3" w:rsidRPr="00302A27" w:rsidRDefault="00454ADC" w:rsidP="00454ADC">
      <w:pPr>
        <w:pStyle w:val="Body"/>
        <w:rPr>
          <w:rFonts w:ascii="Arial" w:hAnsi="Arial" w:cs="Arial"/>
          <w:lang w:val="en-GB"/>
        </w:rPr>
      </w:pPr>
      <w:r w:rsidRPr="00302A27">
        <w:rPr>
          <w:rFonts w:ascii="Arial" w:hAnsi="Arial" w:cs="Arial"/>
          <w:lang w:val="en-GB"/>
        </w:rPr>
        <w:t>Overall, the U.S. context reveals a delicate interplay between innovation, regulation, and ethics. The FDA advances technological safety and accountability, the OCR upholds privacy protection, and CMS ensures financial accessibility. Yet, fragmented oversight and uneven policy coordination continue to hinder a cohesive national strategy for AI-enabled telehealth. A unified, interoperable framework that integrates algorithmic governance, privacy assurance, and reimbursement reform will be essential to sustain public trust and ensure that the digital transformation of healthcare remains both inclusive and ethically grounded</w:t>
      </w:r>
      <w:r w:rsidR="00E967B3" w:rsidRPr="00302A27">
        <w:rPr>
          <w:rFonts w:ascii="Arial" w:hAnsi="Arial" w:cs="Arial"/>
          <w:lang w:val="en-GB"/>
        </w:rPr>
        <w:t>.</w:t>
      </w:r>
    </w:p>
    <w:p w14:paraId="64B8734D" w14:textId="0D570BA3" w:rsidR="00D170D4" w:rsidRPr="00302A27" w:rsidRDefault="00C31B56" w:rsidP="00C31B56">
      <w:pPr>
        <w:pStyle w:val="Body"/>
        <w:numPr>
          <w:ilvl w:val="1"/>
          <w:numId w:val="34"/>
        </w:numPr>
        <w:rPr>
          <w:rStyle w:val="Strong"/>
          <w:rFonts w:ascii="Arial" w:hAnsi="Arial" w:cs="Arial"/>
          <w:b w:val="0"/>
          <w:bCs w:val="0"/>
          <w:lang w:val="en-GB"/>
        </w:rPr>
      </w:pPr>
      <w:r w:rsidRPr="00302A27">
        <w:rPr>
          <w:rStyle w:val="Strong"/>
          <w:rFonts w:ascii="Arial" w:hAnsi="Arial" w:cs="Arial"/>
        </w:rPr>
        <w:t>How U.S. regulatory bodies operationalize AI and privacy governance</w:t>
      </w:r>
    </w:p>
    <w:p w14:paraId="46E4D953" w14:textId="3145AA20" w:rsidR="003009DE" w:rsidRPr="00302A27" w:rsidRDefault="003009DE" w:rsidP="003009DE">
      <w:pPr>
        <w:pStyle w:val="Body"/>
        <w:rPr>
          <w:rFonts w:ascii="Arial" w:hAnsi="Arial" w:cs="Arial"/>
        </w:rPr>
      </w:pPr>
      <w:r w:rsidRPr="00302A27">
        <w:rPr>
          <w:rFonts w:ascii="Arial" w:hAnsi="Arial" w:cs="Arial"/>
        </w:rPr>
        <w:lastRenderedPageBreak/>
        <w:t>The operationalization of artificial intelligence (AI) and privacy governance within U.S. healthcare reveals a dynamic and evolving regulatory landscape that bridges innovation, safety, and ethical accountability. Three major federal entities</w:t>
      </w:r>
      <w:r w:rsidR="00893962" w:rsidRPr="00302A27">
        <w:rPr>
          <w:rFonts w:ascii="Arial" w:hAnsi="Arial" w:cs="Arial"/>
        </w:rPr>
        <w:t xml:space="preserve"> </w:t>
      </w:r>
      <w:r w:rsidRPr="00302A27">
        <w:rPr>
          <w:rFonts w:ascii="Arial" w:hAnsi="Arial" w:cs="Arial"/>
        </w:rPr>
        <w:t>the Food and Drug Administration (FDA), the Department of Health and Human Services’ Office for Civil Rights (HHS/OCR), and the Centers for Medicare and Medicaid Services (CMS)</w:t>
      </w:r>
      <w:r w:rsidR="00893962" w:rsidRPr="00302A27">
        <w:rPr>
          <w:rFonts w:ascii="Arial" w:hAnsi="Arial" w:cs="Arial"/>
        </w:rPr>
        <w:t xml:space="preserve"> </w:t>
      </w:r>
      <w:r w:rsidRPr="00302A27">
        <w:rPr>
          <w:rFonts w:ascii="Arial" w:hAnsi="Arial" w:cs="Arial"/>
        </w:rPr>
        <w:t>function as the core pillars of this governance framework. Collectively, they oversee the lifecycle of digital health technologies, from software approval and data protection to reimbursement and patient access. However, their distinct mandates also expose persistent challenges in achieving regulatory coherence and interoperability across the healthcare ecosystem.</w:t>
      </w:r>
    </w:p>
    <w:p w14:paraId="37052000" w14:textId="010D4865" w:rsidR="003009DE" w:rsidRPr="00302A27" w:rsidRDefault="003009DE" w:rsidP="003009DE">
      <w:pPr>
        <w:pStyle w:val="Body"/>
        <w:rPr>
          <w:rFonts w:ascii="Arial" w:hAnsi="Arial" w:cs="Arial"/>
        </w:rPr>
      </w:pPr>
      <w:r w:rsidRPr="00302A27">
        <w:rPr>
          <w:rFonts w:ascii="Arial" w:hAnsi="Arial" w:cs="Arial"/>
        </w:rPr>
        <w:t>The FDA has operationalized AI governance primarily through its evolving framework for Software as a Medical Device (SaMD) and AI/ML-based medical technologies. This model represents a shift from static approval mechanisms to an adaptive, life-cycle regulatory paradigm. As Singh et al. (2025) highlight, the agency distinguishes between Software in a Medical Device (SiMD), SaMD, and Clinical Decision Support (CDS) systems, with oversight intensity based on clinical risk and functionality. The FDA’s AI/ML SaMD Action Plan and its Good Machine Learning Practices (GMLP) guidelines mark a pivotal step in embedding algorithmic transparency, bias mitigation, and cybersecurity standards into the regulatory process. The introduction of Predetermined Change Control Plans (PCCPs) further allows manufacturers to modify algorithms within approved parameters without full reauthorization, enabling safer iterative updates. Yet, transparency deficits persist: fewer than half of approved AI/ML systems publicly disclose performance data, and limited post-market surveillance constrains accountability. As generative AI tools enter healthcare</w:t>
      </w:r>
      <w:r w:rsidR="00893962" w:rsidRPr="00302A27">
        <w:rPr>
          <w:rFonts w:ascii="Arial" w:hAnsi="Arial" w:cs="Arial"/>
        </w:rPr>
        <w:t xml:space="preserve"> </w:t>
      </w:r>
      <w:r w:rsidRPr="00302A27">
        <w:rPr>
          <w:rFonts w:ascii="Arial" w:hAnsi="Arial" w:cs="Arial"/>
        </w:rPr>
        <w:t>integrating with platforms such as Cerner and Epic</w:t>
      </w:r>
      <w:r w:rsidR="00893962" w:rsidRPr="00302A27">
        <w:rPr>
          <w:rFonts w:ascii="Arial" w:hAnsi="Arial" w:cs="Arial"/>
        </w:rPr>
        <w:t xml:space="preserve"> </w:t>
      </w:r>
      <w:r w:rsidRPr="00302A27">
        <w:rPr>
          <w:rFonts w:ascii="Arial" w:hAnsi="Arial" w:cs="Arial"/>
        </w:rPr>
        <w:t>the FDA faces new oversight demands related to hallucination, bias propagation, and data provenance, underscoring the need for stronger cross-agency collaboration and ethical safeguards (Singh et al., 2025).</w:t>
      </w:r>
    </w:p>
    <w:p w14:paraId="328600D9" w14:textId="1FD3C4FC" w:rsidR="003009DE" w:rsidRPr="00302A27" w:rsidRDefault="003009DE" w:rsidP="003009DE">
      <w:pPr>
        <w:pStyle w:val="Body"/>
        <w:rPr>
          <w:rFonts w:ascii="Arial" w:hAnsi="Arial" w:cs="Arial"/>
        </w:rPr>
      </w:pPr>
      <w:r w:rsidRPr="00302A27">
        <w:rPr>
          <w:rFonts w:ascii="Arial" w:hAnsi="Arial" w:cs="Arial"/>
        </w:rPr>
        <w:t>Meanwhile, the HHS Office for Civil Rights (OCR) operationalizes privacy governance through enforcement of the Health Insurance Portability and Accountability Act (HIPAA), which mandates both the Privacy and Security Rules for patient information protection. During the COVID-19 pandemic, OCR demonstrated flexibility by issuing temporary enforcement discretion for telehealth providers, permitting non-public-facing tools like Zoom and FaceTime to deliver virtual care without penalties for potential HIPAA violations (</w:t>
      </w:r>
      <w:r w:rsidR="00D74AAE" w:rsidRPr="00302A27">
        <w:rPr>
          <w:rFonts w:ascii="Arial" w:hAnsi="Arial" w:cs="Arial"/>
          <w:lang w:val="en-GB"/>
        </w:rPr>
        <w:t>Bassan, 2020</w:t>
      </w:r>
      <w:r w:rsidRPr="00302A27">
        <w:rPr>
          <w:rFonts w:ascii="Arial" w:hAnsi="Arial" w:cs="Arial"/>
        </w:rPr>
        <w:t>). This approach enabled continuity of care but exposed key limitations, as many technology vendors operating outside HIPAA’s jurisdiction relied solely on corporate privacy policies. The enforcement gap highlighted the uneven protection of sensitive patient data, especially in cases where consumers lacked agency or awareness to manage their privacy effectively (</w:t>
      </w:r>
      <w:r w:rsidR="00587A52" w:rsidRPr="00302A27">
        <w:rPr>
          <w:rFonts w:ascii="Arial" w:hAnsi="Arial" w:cs="Arial"/>
          <w:lang w:val="en-GB"/>
        </w:rPr>
        <w:t>Bassan</w:t>
      </w:r>
      <w:r w:rsidRPr="00302A27">
        <w:rPr>
          <w:rFonts w:ascii="Arial" w:hAnsi="Arial" w:cs="Arial"/>
        </w:rPr>
        <w:t>, 2020; Cate, 2006). Long-term reform will require extending HIPAA-equivalent safeguards to all telehealth platforms and restoring OCR’s compliance reviews once emergency discretion lapses. The pandemic ultimately revealed that while flexible regulation can enable innovation, sustained privacy governance must evolve to address hybrid care environments and the growing involvement of commercial technology providers.</w:t>
      </w:r>
    </w:p>
    <w:p w14:paraId="4FA33CA4" w14:textId="712776AB" w:rsidR="00C31B56" w:rsidRDefault="003009DE" w:rsidP="003009DE">
      <w:pPr>
        <w:pStyle w:val="Body"/>
        <w:rPr>
          <w:rFonts w:ascii="Arial" w:hAnsi="Arial" w:cs="Arial"/>
        </w:rPr>
      </w:pPr>
      <w:r w:rsidRPr="00302A27">
        <w:rPr>
          <w:rFonts w:ascii="Arial" w:hAnsi="Arial" w:cs="Arial"/>
        </w:rPr>
        <w:t>The Centers for Medicare and Medicaid Services (CMS) has operationalized AI and digital health integration through reimbursement and access reform. Leveraging emergency powers under the Stafford Act and National Emergencies Act, CMS rapidly expanded telehealth eligibility in 2020, authorizing care delivery from any location and temporarily establishing payment parity with in-person services (Health Affairs Blog, 2020). This marked a major departure from pre-pandemic restrictions that confined telehealth reimbursement to rural settings. Within three months, telehealth usage among Medicare beneficiaries soared from 13,000 to 1.7 million weekly users, with over 9 million total participants. CMS also broadened provider eligibility, sanctioned audio-only consultations, and suspended copayment collection</w:t>
      </w:r>
      <w:r w:rsidR="00893962" w:rsidRPr="00302A27">
        <w:rPr>
          <w:rFonts w:ascii="Arial" w:hAnsi="Arial" w:cs="Arial"/>
        </w:rPr>
        <w:t xml:space="preserve"> </w:t>
      </w:r>
      <w:r w:rsidRPr="00302A27">
        <w:rPr>
          <w:rFonts w:ascii="Arial" w:hAnsi="Arial" w:cs="Arial"/>
        </w:rPr>
        <w:t xml:space="preserve">significantly lowering barriers for vulnerable populations. However, this rapid expansion also </w:t>
      </w:r>
      <w:r w:rsidRPr="00302A27">
        <w:rPr>
          <w:rFonts w:ascii="Arial" w:hAnsi="Arial" w:cs="Arial"/>
        </w:rPr>
        <w:lastRenderedPageBreak/>
        <w:t>brought forward new operational challenges such as fraud risk, uneven clinical appropriateness, and questions about long-term financial sustainability. The agency’s ongoing reviews now focus on whether temporary flexibilities should become permanent and how telehealth reimbursement can balance patient safety, cost-efficiency, and equity in a post-pandemic system</w:t>
      </w:r>
      <w:r w:rsidR="00E30680" w:rsidRPr="00302A27">
        <w:rPr>
          <w:rFonts w:ascii="Arial" w:hAnsi="Arial" w:cs="Arial"/>
        </w:rPr>
        <w:t>.</w:t>
      </w:r>
    </w:p>
    <w:p w14:paraId="5F8A5E69" w14:textId="4387D1DF" w:rsidR="00067CF9" w:rsidRDefault="00067CF9" w:rsidP="00067CF9">
      <w:pPr>
        <w:pStyle w:val="ListParagraph"/>
        <w:numPr>
          <w:ilvl w:val="1"/>
          <w:numId w:val="34"/>
        </w:numPr>
        <w:jc w:val="both"/>
        <w:rPr>
          <w:rFonts w:ascii="Arial" w:hAnsi="Arial" w:cs="Arial"/>
          <w:b/>
          <w:bCs/>
          <w:sz w:val="22"/>
          <w:szCs w:val="22"/>
        </w:rPr>
      </w:pPr>
      <w:r w:rsidRPr="00067CF9">
        <w:rPr>
          <w:rFonts w:ascii="Arial" w:hAnsi="Arial" w:cs="Arial"/>
          <w:b/>
          <w:bCs/>
          <w:sz w:val="22"/>
          <w:szCs w:val="22"/>
        </w:rPr>
        <w:t>Comparative International Perspectives: Global Approaches to AI-Powered Telehealth Governance</w:t>
      </w:r>
    </w:p>
    <w:p w14:paraId="0B157402" w14:textId="77777777" w:rsidR="00067CF9" w:rsidRPr="00067CF9" w:rsidRDefault="00067CF9" w:rsidP="00067CF9">
      <w:pPr>
        <w:jc w:val="both"/>
        <w:rPr>
          <w:rFonts w:ascii="Arial" w:hAnsi="Arial" w:cs="Arial"/>
          <w:b/>
          <w:bCs/>
          <w:sz w:val="22"/>
          <w:szCs w:val="22"/>
        </w:rPr>
      </w:pPr>
    </w:p>
    <w:p w14:paraId="6D879A15" w14:textId="28C831C3" w:rsidR="00067CF9" w:rsidRDefault="00067CF9" w:rsidP="00067CF9">
      <w:pPr>
        <w:jc w:val="both"/>
        <w:rPr>
          <w:rFonts w:ascii="Arial" w:hAnsi="Arial" w:cs="Arial"/>
        </w:rPr>
      </w:pPr>
      <w:r>
        <w:rPr>
          <w:rFonts w:ascii="Arial" w:hAnsi="Arial" w:cs="Arial"/>
        </w:rPr>
        <w:t>T</w:t>
      </w:r>
      <w:r w:rsidRPr="00B20717">
        <w:rPr>
          <w:rFonts w:ascii="Arial" w:hAnsi="Arial" w:cs="Arial"/>
        </w:rPr>
        <w:t>he United States has pioneered large-scale telehealth expansion and AI-enabled remote monitoring through agencies such as the FDA, HHS/OCR, and CMS</w:t>
      </w:r>
      <w:r>
        <w:rPr>
          <w:rFonts w:ascii="Arial" w:hAnsi="Arial" w:cs="Arial"/>
        </w:rPr>
        <w:t xml:space="preserve">. </w:t>
      </w:r>
      <w:r w:rsidRPr="00B20717">
        <w:rPr>
          <w:rFonts w:ascii="Arial" w:hAnsi="Arial" w:cs="Arial"/>
        </w:rPr>
        <w:t>H</w:t>
      </w:r>
      <w:r>
        <w:rPr>
          <w:rFonts w:ascii="Arial" w:hAnsi="Arial" w:cs="Arial"/>
        </w:rPr>
        <w:t xml:space="preserve">owever, </w:t>
      </w:r>
      <w:r w:rsidRPr="00B20717">
        <w:rPr>
          <w:rFonts w:ascii="Arial" w:hAnsi="Arial" w:cs="Arial"/>
        </w:rPr>
        <w:t>international experiences reveal alternative governance models. Comparative insights from Europe, the United Kingdom, and Asia demonstrate distinct strategies for balancing innovation, privacy, and patient trust within digital health ecosystems</w:t>
      </w:r>
      <w:r>
        <w:rPr>
          <w:rFonts w:ascii="Arial" w:hAnsi="Arial" w:cs="Arial"/>
        </w:rPr>
        <w:t xml:space="preserve"> (</w:t>
      </w:r>
      <w:r w:rsidRPr="00B20717">
        <w:rPr>
          <w:rFonts w:ascii="Arial" w:hAnsi="Arial" w:cs="Arial"/>
        </w:rPr>
        <w:t>Bassan, 2020</w:t>
      </w:r>
      <w:r>
        <w:rPr>
          <w:rFonts w:ascii="Arial" w:hAnsi="Arial" w:cs="Arial"/>
        </w:rPr>
        <w:t xml:space="preserve">, </w:t>
      </w:r>
      <w:r w:rsidRPr="00B20717">
        <w:rPr>
          <w:rFonts w:ascii="Arial" w:hAnsi="Arial" w:cs="Arial"/>
        </w:rPr>
        <w:t>Ostovari, 2021</w:t>
      </w:r>
      <w:r>
        <w:rPr>
          <w:rFonts w:ascii="Arial" w:hAnsi="Arial" w:cs="Arial"/>
        </w:rPr>
        <w:t xml:space="preserve">, </w:t>
      </w:r>
      <w:r w:rsidRPr="00B20717">
        <w:rPr>
          <w:rFonts w:ascii="Arial" w:hAnsi="Arial" w:cs="Arial"/>
        </w:rPr>
        <w:t>Singh &amp; Li, 2022</w:t>
      </w:r>
      <w:r>
        <w:rPr>
          <w:rFonts w:ascii="Arial" w:hAnsi="Arial" w:cs="Arial"/>
        </w:rPr>
        <w:t xml:space="preserve">, </w:t>
      </w:r>
      <w:r w:rsidRPr="00B20717">
        <w:rPr>
          <w:rFonts w:ascii="Arial" w:hAnsi="Arial" w:cs="Arial"/>
        </w:rPr>
        <w:t>Charanya et al. 2025</w:t>
      </w:r>
      <w:r>
        <w:rPr>
          <w:rFonts w:ascii="Arial" w:hAnsi="Arial" w:cs="Arial"/>
        </w:rPr>
        <w:t>,</w:t>
      </w:r>
      <w:r w:rsidRPr="007F2CC3">
        <w:rPr>
          <w:rFonts w:ascii="Arial" w:hAnsi="Arial" w:cs="Arial"/>
        </w:rPr>
        <w:t xml:space="preserve"> </w:t>
      </w:r>
      <w:r w:rsidRPr="00B20717">
        <w:rPr>
          <w:rFonts w:ascii="Arial" w:hAnsi="Arial" w:cs="Arial"/>
        </w:rPr>
        <w:t>Munawar, Singh, and Mohana 2025)</w:t>
      </w:r>
      <w:r w:rsidR="000E5F22">
        <w:rPr>
          <w:rFonts w:ascii="Arial" w:hAnsi="Arial" w:cs="Arial"/>
        </w:rPr>
        <w:t>.</w:t>
      </w:r>
    </w:p>
    <w:p w14:paraId="16FE58D4" w14:textId="77777777" w:rsidR="000E5F22" w:rsidRPr="00B20717" w:rsidRDefault="000E5F22" w:rsidP="00067CF9">
      <w:pPr>
        <w:jc w:val="both"/>
        <w:rPr>
          <w:rFonts w:ascii="Arial" w:hAnsi="Arial" w:cs="Arial"/>
        </w:rPr>
      </w:pPr>
    </w:p>
    <w:p w14:paraId="062F0B06" w14:textId="36A272D1" w:rsidR="00067CF9" w:rsidRDefault="00067CF9" w:rsidP="00067CF9">
      <w:pPr>
        <w:jc w:val="both"/>
        <w:rPr>
          <w:rFonts w:ascii="Arial" w:hAnsi="Arial" w:cs="Arial"/>
        </w:rPr>
      </w:pPr>
      <w:r w:rsidRPr="00B20717">
        <w:rPr>
          <w:rFonts w:ascii="Arial" w:hAnsi="Arial" w:cs="Arial"/>
        </w:rPr>
        <w:t>In the European Union (EU), data governance frameworks are grounded in the General Data Protection Regulation (GDPR), which provides robust, harmonized protections for personal and health data across member states. Unlike the fragmented regulatory model in the United States</w:t>
      </w:r>
      <w:r>
        <w:rPr>
          <w:rFonts w:ascii="Arial" w:hAnsi="Arial" w:cs="Arial"/>
        </w:rPr>
        <w:t xml:space="preserve"> </w:t>
      </w:r>
      <w:r w:rsidRPr="00B20717">
        <w:rPr>
          <w:rFonts w:ascii="Arial" w:hAnsi="Arial" w:cs="Arial"/>
        </w:rPr>
        <w:t>where HIPAA applies only to covered entities</w:t>
      </w:r>
      <w:r>
        <w:rPr>
          <w:rFonts w:ascii="Arial" w:hAnsi="Arial" w:cs="Arial"/>
        </w:rPr>
        <w:t xml:space="preserve">, </w:t>
      </w:r>
      <w:r w:rsidRPr="00B20717">
        <w:rPr>
          <w:rFonts w:ascii="Arial" w:hAnsi="Arial" w:cs="Arial"/>
        </w:rPr>
        <w:t>GDPR ensures that all organizations handling personal health information are bound by uniform standards of transparency, consent, and accountability (Bassan, 2020). This comprehensive framework enhances patient trust by clearly defining data ownership, the right to erasure, and restrictions on secondary data use. Furthermore, Europe’s coordinated digital health initiatives, such as the eHealth Digital Service Infrastructure (eHDSI), facilitate cross-border interoperability and patient mobility, illustrating how centralized governance can streamline AI adoption while safeguarding ethical and privacy principles (Ostovari, 2021). These policies also encourage explainable and trustworthy AI systems through the EU AI Act, which classifies medical AI applications by risk level and mandates transparency and human oversight.</w:t>
      </w:r>
      <w:r w:rsidR="000E5F22">
        <w:rPr>
          <w:rFonts w:ascii="Arial" w:hAnsi="Arial" w:cs="Arial"/>
        </w:rPr>
        <w:t>.</w:t>
      </w:r>
    </w:p>
    <w:p w14:paraId="66F4B869" w14:textId="77777777" w:rsidR="000E5F22" w:rsidRPr="00B20717" w:rsidRDefault="000E5F22" w:rsidP="00067CF9">
      <w:pPr>
        <w:jc w:val="both"/>
        <w:rPr>
          <w:rFonts w:ascii="Arial" w:hAnsi="Arial" w:cs="Arial"/>
        </w:rPr>
      </w:pPr>
    </w:p>
    <w:p w14:paraId="55C68E2A" w14:textId="7EFA7384" w:rsidR="00067CF9" w:rsidRDefault="00067CF9" w:rsidP="00067CF9">
      <w:pPr>
        <w:jc w:val="both"/>
        <w:rPr>
          <w:rFonts w:ascii="Arial" w:hAnsi="Arial" w:cs="Arial"/>
        </w:rPr>
      </w:pPr>
      <w:r w:rsidRPr="00B20717">
        <w:rPr>
          <w:rFonts w:ascii="Arial" w:hAnsi="Arial" w:cs="Arial"/>
        </w:rPr>
        <w:t>The United Kingdom’s National Health Service (NHS) similarly demonstrates a more integrated approach to digital transformation. Under NHS Digital and the Centre for Perioperative Care (CPOC), telehealth and remote monitoring technologies are deployed through standardized electronic health record (EHR) systems and national interoperability frameworks (Singh &amp; Li, 2022). This centralized strategy enables seamless data exchange and fosters consistent clinical governance across regions. Moreover, NHS digital health initiatives explicitly link technological innovation with patient empowerment and safety, mitigating the fragmentation seen in U.S. systems. The U.K. experience underscores the benefits of combining centralized public healthcare infrastructure with strong privacy oversight</w:t>
      </w:r>
      <w:r w:rsidR="007D4366">
        <w:rPr>
          <w:rFonts w:ascii="Arial" w:hAnsi="Arial" w:cs="Arial"/>
        </w:rPr>
        <w:t xml:space="preserve"> </w:t>
      </w:r>
      <w:r w:rsidRPr="00B20717">
        <w:rPr>
          <w:rFonts w:ascii="Arial" w:hAnsi="Arial" w:cs="Arial"/>
        </w:rPr>
        <w:t>facilitating both large-scale AI implementation and public trust.</w:t>
      </w:r>
    </w:p>
    <w:p w14:paraId="026EEC02" w14:textId="77777777" w:rsidR="000E5F22" w:rsidRPr="00B20717" w:rsidRDefault="000E5F22" w:rsidP="00067CF9">
      <w:pPr>
        <w:jc w:val="both"/>
        <w:rPr>
          <w:rFonts w:ascii="Arial" w:hAnsi="Arial" w:cs="Arial"/>
        </w:rPr>
      </w:pPr>
    </w:p>
    <w:p w14:paraId="3D48C8CF" w14:textId="77777777" w:rsidR="00067CF9" w:rsidRDefault="00067CF9" w:rsidP="00067CF9">
      <w:pPr>
        <w:jc w:val="both"/>
        <w:rPr>
          <w:rFonts w:ascii="Arial" w:hAnsi="Arial" w:cs="Arial"/>
        </w:rPr>
      </w:pPr>
      <w:r w:rsidRPr="00B20717">
        <w:rPr>
          <w:rFonts w:ascii="Arial" w:hAnsi="Arial" w:cs="Arial"/>
        </w:rPr>
        <w:t>In Asian contexts, particularly India and Singapore, regulatory approaches emphasize rapid innovation and scalability over stringent oversight. Studies such as Charanya et al. (2025) and Munawar, Singh, and Mohana (2025) highlight the rapid deployment of AI-driven monitoring tools in chronic disease management, elderly care, and rural telehealth. These nations leverage the Internet of Things (IoT), wearable devices, and cloud-based analytics to bridge healthcare access gaps. However, while these models enable widespread innovation, they often lack comprehensive data protection and algorithmic transparency comparable to GDPR-level frameworks. This creates vulnerabilities in patient privacy and limits user confidence in AI-driven platforms. Nonetheless, such contexts demonstrate how flexible regulatory environments can accelerate adoption, especially when accompanied by government-backed digital health strategies and public-private partnerships.</w:t>
      </w:r>
    </w:p>
    <w:p w14:paraId="574846F0" w14:textId="77777777" w:rsidR="00053C66" w:rsidRPr="00B20717" w:rsidRDefault="00053C66" w:rsidP="00067CF9">
      <w:pPr>
        <w:jc w:val="both"/>
        <w:rPr>
          <w:rFonts w:ascii="Arial" w:hAnsi="Arial" w:cs="Arial"/>
        </w:rPr>
      </w:pPr>
    </w:p>
    <w:p w14:paraId="47A7056A" w14:textId="36C44AE8" w:rsidR="00067CF9" w:rsidRDefault="00067CF9" w:rsidP="00A55D6C">
      <w:pPr>
        <w:jc w:val="both"/>
        <w:rPr>
          <w:rFonts w:ascii="Arial" w:hAnsi="Arial" w:cs="Arial"/>
        </w:rPr>
      </w:pPr>
      <w:r w:rsidRPr="00B74271">
        <w:rPr>
          <w:rFonts w:ascii="Arial" w:hAnsi="Arial" w:cs="Arial"/>
        </w:rPr>
        <w:lastRenderedPageBreak/>
        <w:t>Overall, these international experiences highlight the delicate balance between strict regulation and rapid innovation. The EU and U.K. have built patient-centered systems grounded in transparency and centralized oversight, ensuring that digital health tools are both safe and trustworthy. In contrast, Asian countries demonstrate the power of flexibility and scalability, showing how less restrictive frameworks can drive faster adoption of AI-powered telehealth. For the United States, these global lessons point to the need for stronger collaboration among key agencies</w:t>
      </w:r>
      <w:r w:rsidR="007D4366">
        <w:rPr>
          <w:rFonts w:ascii="Arial" w:hAnsi="Arial" w:cs="Arial"/>
        </w:rPr>
        <w:t xml:space="preserve"> </w:t>
      </w:r>
      <w:r w:rsidRPr="00B74271">
        <w:rPr>
          <w:rFonts w:ascii="Arial" w:hAnsi="Arial" w:cs="Arial"/>
        </w:rPr>
        <w:t>such as the FDA, OCR, and CMS</w:t>
      </w:r>
      <w:r w:rsidR="007D4366">
        <w:rPr>
          <w:rFonts w:ascii="Arial" w:hAnsi="Arial" w:cs="Arial"/>
        </w:rPr>
        <w:t xml:space="preserve"> </w:t>
      </w:r>
      <w:r w:rsidRPr="00B74271">
        <w:rPr>
          <w:rFonts w:ascii="Arial" w:hAnsi="Arial" w:cs="Arial"/>
        </w:rPr>
        <w:t>to better align innovation with privacy and patient trust. By adopting proven global practices like GDPR-style data protection, standardized data sharing, and transparent AI governance, the U.S. can create a more ethical, cohesive, and internationally aligned model for digital healthcare.</w:t>
      </w:r>
    </w:p>
    <w:p w14:paraId="477CBC8F" w14:textId="77777777" w:rsidR="00A55D6C" w:rsidRPr="00302A27" w:rsidRDefault="00A55D6C" w:rsidP="00A55D6C">
      <w:pPr>
        <w:jc w:val="both"/>
        <w:rPr>
          <w:rFonts w:ascii="Arial" w:hAnsi="Arial" w:cs="Arial"/>
        </w:rPr>
      </w:pPr>
    </w:p>
    <w:p w14:paraId="423B1561" w14:textId="00359679" w:rsidR="00E967B3" w:rsidRPr="00302A27" w:rsidRDefault="00FC098E" w:rsidP="003728F1">
      <w:pPr>
        <w:pStyle w:val="Body"/>
        <w:numPr>
          <w:ilvl w:val="0"/>
          <w:numId w:val="34"/>
        </w:numPr>
        <w:rPr>
          <w:rFonts w:ascii="Arial" w:hAnsi="Arial" w:cs="Arial"/>
          <w:b/>
          <w:bCs/>
          <w:sz w:val="22"/>
          <w:szCs w:val="22"/>
          <w:lang w:val="en-GB"/>
        </w:rPr>
      </w:pPr>
      <w:r w:rsidRPr="00302A27">
        <w:rPr>
          <w:rFonts w:ascii="Arial" w:hAnsi="Arial" w:cs="Arial"/>
          <w:b/>
          <w:bCs/>
          <w:sz w:val="22"/>
          <w:szCs w:val="22"/>
          <w:lang w:val="en-GB"/>
        </w:rPr>
        <w:t>CONCLUSION</w:t>
      </w:r>
    </w:p>
    <w:p w14:paraId="5F66C848" w14:textId="7864AC71" w:rsidR="00CB4F97" w:rsidRPr="00302A27" w:rsidRDefault="00CB4F97" w:rsidP="00CB4F97">
      <w:pPr>
        <w:pStyle w:val="Body"/>
        <w:rPr>
          <w:rFonts w:ascii="Arial" w:hAnsi="Arial" w:cs="Arial"/>
          <w:lang w:val="en-GB"/>
        </w:rPr>
      </w:pPr>
      <w:r w:rsidRPr="00302A27">
        <w:rPr>
          <w:rFonts w:ascii="Arial" w:hAnsi="Arial" w:cs="Arial"/>
          <w:lang w:val="en-GB"/>
        </w:rPr>
        <w:t>This review demonstrates that artificial intelligence (AI)-powered RMS hold transformative potential for enhancing healthcare delivery, enabling real-time surveillance, and supporting preventive, patient-centered care. Evidence shows that AI-driven tools improve diagnostic accuracy, reduce hospital readmissions, and empower patients through personalized and data-informed interventions.</w:t>
      </w:r>
    </w:p>
    <w:p w14:paraId="4B41FC3B" w14:textId="33D0AB59" w:rsidR="00CB4F97" w:rsidRDefault="00CB4F97" w:rsidP="00CB4F97">
      <w:pPr>
        <w:pStyle w:val="Body"/>
        <w:rPr>
          <w:rFonts w:ascii="Arial" w:hAnsi="Arial" w:cs="Arial"/>
          <w:lang w:val="en-GB"/>
        </w:rPr>
      </w:pPr>
      <w:r w:rsidRPr="00302A27">
        <w:rPr>
          <w:rFonts w:ascii="Arial" w:hAnsi="Arial" w:cs="Arial"/>
          <w:lang w:val="en-GB"/>
        </w:rPr>
        <w:t>However, the sustainability of AI integration depends on three interlinked pillars: trust, privacy, and governance. Patient and clinician trust remains fragile when algorithmic decisions lack transparency or human oversight. Data privacy concerns persist as regulatory frameworks such as HIPAA struggle to keep pace with AI’s continuous learning capabilities and cross-platform data flows. At the policy level, fragmented oversight among the FDA, HHS/OCR, and CMS highlights the need for a unified regulatory architecture that harmonizes safety, privacy, and reimbursement mechanisms.</w:t>
      </w:r>
    </w:p>
    <w:p w14:paraId="2604D94E" w14:textId="10FCD53E" w:rsidR="000E5F22" w:rsidRDefault="000E5F22" w:rsidP="000E5F22">
      <w:pPr>
        <w:jc w:val="both"/>
        <w:rPr>
          <w:rFonts w:ascii="Arial" w:hAnsi="Arial" w:cs="Arial"/>
        </w:rPr>
      </w:pPr>
      <w:r w:rsidRPr="00ED359C">
        <w:rPr>
          <w:rFonts w:ascii="Arial" w:hAnsi="Arial" w:cs="Arial"/>
        </w:rPr>
        <w:t>Globally, lessons from the EU, U.K., and Asia show that achieving balance between innovation and regulation is possible through strong data protection, interoperability, and transparent AI governance. For the U.S., adopting similar collaborative and ethical approaches could strengthen accountability and reinforce public trust.</w:t>
      </w:r>
    </w:p>
    <w:p w14:paraId="24032C53" w14:textId="77777777" w:rsidR="000E5F22" w:rsidRPr="000E5F22" w:rsidRDefault="000E5F22" w:rsidP="000E5F22">
      <w:pPr>
        <w:jc w:val="both"/>
        <w:rPr>
          <w:rFonts w:ascii="Arial" w:hAnsi="Arial" w:cs="Arial"/>
        </w:rPr>
      </w:pPr>
    </w:p>
    <w:p w14:paraId="7D88A4A0" w14:textId="0AD64134" w:rsidR="00CF6799" w:rsidRDefault="00CB4F97" w:rsidP="00CB4F97">
      <w:pPr>
        <w:pStyle w:val="Body"/>
        <w:rPr>
          <w:rFonts w:ascii="Arial" w:hAnsi="Arial" w:cs="Arial"/>
          <w:lang w:val="en-GB"/>
        </w:rPr>
      </w:pPr>
      <w:r w:rsidRPr="00302A27">
        <w:rPr>
          <w:rFonts w:ascii="Arial" w:hAnsi="Arial" w:cs="Arial"/>
          <w:lang w:val="en-GB"/>
        </w:rPr>
        <w:t>Ultimately, the findings underscore that the success of AI in telehealth extends beyond technological innovation. Sustainable adoption requires systems that are transparent, ethically governed, and equitably accessible</w:t>
      </w:r>
      <w:r w:rsidR="00893962" w:rsidRPr="00302A27">
        <w:rPr>
          <w:rFonts w:ascii="Arial" w:hAnsi="Arial" w:cs="Arial"/>
          <w:lang w:val="en-GB"/>
        </w:rPr>
        <w:t xml:space="preserve"> </w:t>
      </w:r>
      <w:r w:rsidRPr="00302A27">
        <w:rPr>
          <w:rFonts w:ascii="Arial" w:hAnsi="Arial" w:cs="Arial"/>
          <w:lang w:val="en-GB"/>
        </w:rPr>
        <w:t>anchored in human-centered design and robust regulatory alignment. Balancing innovation with accountability will be key to realizing the full potential of digital transformation in healthcare</w:t>
      </w:r>
      <w:r w:rsidR="00E967B3" w:rsidRPr="00302A27">
        <w:rPr>
          <w:rFonts w:ascii="Arial" w:hAnsi="Arial" w:cs="Arial"/>
          <w:lang w:val="en-GB"/>
        </w:rPr>
        <w:t>.</w:t>
      </w:r>
    </w:p>
    <w:p w14:paraId="2299421D" w14:textId="77777777" w:rsidR="00F63A18" w:rsidRPr="00302A27" w:rsidRDefault="00F63A18" w:rsidP="00F63A18">
      <w:pPr>
        <w:pStyle w:val="Body"/>
        <w:numPr>
          <w:ilvl w:val="0"/>
          <w:numId w:val="34"/>
        </w:numPr>
        <w:rPr>
          <w:rFonts w:ascii="Arial" w:hAnsi="Arial" w:cs="Arial"/>
          <w:b/>
        </w:rPr>
      </w:pPr>
      <w:r w:rsidRPr="00302A27">
        <w:rPr>
          <w:rFonts w:ascii="Arial" w:hAnsi="Arial" w:cs="Arial"/>
          <w:b/>
        </w:rPr>
        <w:t xml:space="preserve">FUTURE RESEARCH DIRECTIONS </w:t>
      </w:r>
    </w:p>
    <w:p w14:paraId="6C8A1C7D" w14:textId="7C1CCDA6" w:rsidR="00F63A18" w:rsidRPr="00302A27" w:rsidRDefault="00F63A18" w:rsidP="00F63A18">
      <w:pPr>
        <w:pStyle w:val="Body"/>
        <w:rPr>
          <w:rFonts w:ascii="Arial" w:hAnsi="Arial" w:cs="Arial"/>
          <w:lang w:val="en-GB"/>
        </w:rPr>
      </w:pPr>
      <w:r w:rsidRPr="00302A27">
        <w:rPr>
          <w:rFonts w:ascii="Arial" w:hAnsi="Arial" w:cs="Arial"/>
          <w:lang w:val="en-GB"/>
        </w:rPr>
        <w:t xml:space="preserve">Future research should focus on developing standardized frameworks that evaluate both the clinical performance and ethical dimensions of AI-powered RMS. Longitudinal studies are needed to examine how trust evolves over time as patients and clinicians interact with adaptive AI systems. </w:t>
      </w:r>
    </w:p>
    <w:p w14:paraId="0973CBF8" w14:textId="4290900B" w:rsidR="00F63A18" w:rsidRPr="00302A27" w:rsidRDefault="00093E60" w:rsidP="00F63A18">
      <w:pPr>
        <w:pStyle w:val="Body"/>
        <w:rPr>
          <w:rFonts w:ascii="Arial" w:hAnsi="Arial" w:cs="Arial"/>
          <w:lang w:val="en-GB"/>
        </w:rPr>
      </w:pPr>
      <w:r>
        <w:rPr>
          <w:rFonts w:ascii="Arial" w:hAnsi="Arial" w:cs="Arial"/>
          <w:lang w:val="en-GB"/>
        </w:rPr>
        <w:t>Additionally,</w:t>
      </w:r>
      <w:r w:rsidR="00F63A18" w:rsidRPr="00302A27">
        <w:rPr>
          <w:rFonts w:ascii="Arial" w:hAnsi="Arial" w:cs="Arial"/>
          <w:lang w:val="en-GB"/>
        </w:rPr>
        <w:t xml:space="preserve"> comparative policy analyses between the United States and other regions could provide insight into how different governance models address privacy, liability, and equitable access. Interdisciplinary studies that integrate perspectives from computer science, health informatics, ethics, and public policy are essential to guide the responsible deployment of AI in telehealth. Finally, further empirical work is required to evaluate the long-term effects of reimbursement reforms and regulatory adaptations on healthcare accessibility, sustainability, and digital inclusion..</w:t>
      </w:r>
    </w:p>
    <w:p w14:paraId="76F5B5D9" w14:textId="77777777" w:rsidR="005226C5" w:rsidRDefault="005226C5" w:rsidP="005226C5">
      <w:pPr>
        <w:rPr>
          <w:highlight w:val="yellow"/>
        </w:rPr>
      </w:pPr>
      <w:r w:rsidRPr="00740879">
        <w:rPr>
          <w:highlight w:val="yellow"/>
        </w:rPr>
        <w:lastRenderedPageBreak/>
        <w:t>Disclaimer (Artificial intelligence)</w:t>
      </w:r>
    </w:p>
    <w:p w14:paraId="3482CB62" w14:textId="77777777" w:rsidR="00687F5C" w:rsidRPr="00740879" w:rsidRDefault="00687F5C" w:rsidP="005226C5">
      <w:pPr>
        <w:rPr>
          <w:highlight w:val="yellow"/>
        </w:rPr>
      </w:pPr>
    </w:p>
    <w:p w14:paraId="123577CD" w14:textId="77777777" w:rsidR="005226C5" w:rsidRPr="00740879" w:rsidRDefault="005226C5" w:rsidP="005226C5">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587DBA82" w14:textId="77777777" w:rsidR="00F63A18" w:rsidRPr="00302A27" w:rsidRDefault="00F63A18" w:rsidP="00CB4F97">
      <w:pPr>
        <w:pStyle w:val="Body"/>
        <w:rPr>
          <w:rFonts w:ascii="Arial" w:hAnsi="Arial" w:cs="Arial"/>
          <w:lang w:val="en-GB"/>
        </w:rPr>
      </w:pPr>
    </w:p>
    <w:p w14:paraId="7DB882F0" w14:textId="77777777" w:rsidR="00B01FCD" w:rsidRPr="00302A27" w:rsidRDefault="00B01FCD" w:rsidP="003728F1">
      <w:pPr>
        <w:pStyle w:val="ReferHead"/>
        <w:jc w:val="both"/>
        <w:rPr>
          <w:rFonts w:ascii="Arial" w:hAnsi="Arial" w:cs="Arial"/>
        </w:rPr>
      </w:pPr>
      <w:r w:rsidRPr="00302A27">
        <w:rPr>
          <w:rFonts w:ascii="Arial" w:hAnsi="Arial" w:cs="Arial"/>
        </w:rPr>
        <w:t>References</w:t>
      </w:r>
    </w:p>
    <w:p w14:paraId="43C0FE23"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en-GB"/>
        </w:rPr>
        <w:t>Abbasi, N. (2024). Artificial intelligence in remote monitoring and telemedicine. Journal of Artificial Intelligence General Science (JAIGS) ISSN: 3006-4023, 1(1), 258-272.</w:t>
      </w:r>
    </w:p>
    <w:p w14:paraId="5DE25A95"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en-GB"/>
        </w:rPr>
        <w:t>Andrikopoulou, E. (2023). The rise of AI in telehealth. In Emerging practices in telehealth (pp. 183-207). Academic Press.</w:t>
      </w:r>
    </w:p>
    <w:p w14:paraId="4FB9E61D"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en-GB"/>
        </w:rPr>
        <w:t xml:space="preserve">Bassan, S. (2020). Data privacy considerations for telehealth consumers amid COVID-19. Journal of Law and the Biosciences, 7(1), lsaa075. </w:t>
      </w:r>
      <w:hyperlink r:id="rId19" w:history="1">
        <w:r w:rsidRPr="00302A27">
          <w:rPr>
            <w:rStyle w:val="Hyperlink"/>
            <w:rFonts w:ascii="Arial" w:hAnsi="Arial" w:cs="Arial"/>
            <w:lang w:val="en-GB"/>
          </w:rPr>
          <w:t>https://doi.org/10.1093/jlb/lsaa075</w:t>
        </w:r>
      </w:hyperlink>
    </w:p>
    <w:p w14:paraId="29BDB42A"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en-GB"/>
        </w:rPr>
        <w:t>Beheshti, L., Kalankesh, L. R., Doshmangir, L., &amp; Farahbakhsh, M. (2022). Telehealth in primary health care: a scoping review of the literature. Perspectives in health information management, 19(1), 1n.</w:t>
      </w:r>
    </w:p>
    <w:p w14:paraId="6DB569A0" w14:textId="77777777" w:rsidR="003F5E83" w:rsidRPr="00240E7D" w:rsidRDefault="003F5E83" w:rsidP="003728F1">
      <w:pPr>
        <w:pStyle w:val="Body"/>
        <w:ind w:left="720" w:hanging="720"/>
        <w:rPr>
          <w:rFonts w:ascii="Arial" w:hAnsi="Arial" w:cs="Arial"/>
        </w:rPr>
      </w:pPr>
      <w:r w:rsidRPr="00302A27">
        <w:rPr>
          <w:rFonts w:ascii="Arial" w:hAnsi="Arial" w:cs="Arial"/>
          <w:lang w:val="en-GB"/>
        </w:rPr>
        <w:t>Blasiak, A., Khong, J., &amp; Kee, T. (2020). CURATE.AI: Optimizing personalized medicine with artificial intelligence. </w:t>
      </w:r>
      <w:r w:rsidRPr="00240E7D">
        <w:rPr>
          <w:rFonts w:ascii="Arial" w:hAnsi="Arial" w:cs="Arial"/>
        </w:rPr>
        <w:t>SLAS Technology, 25(2), 95–105. </w:t>
      </w:r>
      <w:hyperlink r:id="rId20" w:history="1">
        <w:r w:rsidRPr="00240E7D">
          <w:rPr>
            <w:rStyle w:val="Hyperlink"/>
            <w:rFonts w:ascii="Arial" w:hAnsi="Arial" w:cs="Arial"/>
          </w:rPr>
          <w:t>https://doi.org/10.1177/2472630319890316</w:t>
        </w:r>
      </w:hyperlink>
    </w:p>
    <w:p w14:paraId="63A20C12"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en-GB"/>
        </w:rPr>
        <w:t xml:space="preserve">Burgess, E. R., Jankovic, I., Austin, M., Cai, N., Kapuścińska, A., Currie, S., Overhage, J. M., Poole, E. S., &amp; Kaye,  J.  (2023).  Healthcare  AI  treatment  decision support:  Design  principles  to  enhance  clinician adoption and trust. Proceedings of the 2023 CHI Conference on Human Factors in Computing Systems, 1–19. </w:t>
      </w:r>
      <w:hyperlink r:id="rId21" w:history="1">
        <w:r w:rsidRPr="00302A27">
          <w:rPr>
            <w:rStyle w:val="Hyperlink"/>
            <w:rFonts w:ascii="Arial" w:hAnsi="Arial" w:cs="Arial"/>
            <w:lang w:val="en-GB"/>
          </w:rPr>
          <w:t>https://doi.org/10.1145/3544548.3581251</w:t>
        </w:r>
      </w:hyperlink>
    </w:p>
    <w:p w14:paraId="5AB5EC93"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en-GB"/>
        </w:rPr>
        <w:t>Burrell, D. N. (2023). Dynamic evaluation approaches to telehealth technologies and artificial intelligence (AI) telemedicine applications in healthcare and biotechnology organizations. Merits, 3(4), 700-721.</w:t>
      </w:r>
    </w:p>
    <w:p w14:paraId="10419BAC"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en-GB"/>
        </w:rPr>
        <w:t>Catapan S de C, Haydon HM, Hickman IJ, et al. Trust and confidence in using telehealth in people with chronic kidney disease: A cross-sectional study. Journal of Telemedicine and Telecare. 2023;29(10_suppl):16S-23S. doi:</w:t>
      </w:r>
      <w:hyperlink r:id="rId22" w:history="1">
        <w:r w:rsidRPr="00302A27">
          <w:rPr>
            <w:rStyle w:val="Hyperlink"/>
            <w:rFonts w:ascii="Arial" w:hAnsi="Arial" w:cs="Arial"/>
            <w:lang w:val="en-GB"/>
          </w:rPr>
          <w:t>10.1177/1357633X231202275</w:t>
        </w:r>
      </w:hyperlink>
    </w:p>
    <w:p w14:paraId="3FFDC7E9" w14:textId="77777777" w:rsidR="003F5E83" w:rsidRPr="00302A27" w:rsidRDefault="003F5E83" w:rsidP="00DD54C4">
      <w:pPr>
        <w:pStyle w:val="Body"/>
        <w:ind w:left="720" w:hanging="720"/>
        <w:rPr>
          <w:rFonts w:ascii="Arial" w:hAnsi="Arial" w:cs="Arial"/>
          <w:lang w:val="en-GB"/>
        </w:rPr>
        <w:sectPr w:rsidR="003F5E83" w:rsidRPr="00302A27" w:rsidSect="00A174E8">
          <w:headerReference w:type="even" r:id="rId23"/>
          <w:headerReference w:type="default" r:id="rId24"/>
          <w:footerReference w:type="default" r:id="rId25"/>
          <w:headerReference w:type="first" r:id="rId26"/>
          <w:type w:val="continuous"/>
          <w:pgSz w:w="12240" w:h="15840"/>
          <w:pgMar w:top="1440" w:right="2019" w:bottom="2019" w:left="2019" w:header="720" w:footer="1123" w:gutter="0"/>
          <w:cols w:space="720"/>
          <w:docGrid w:linePitch="272"/>
        </w:sectPr>
      </w:pPr>
      <w:r w:rsidRPr="00302A27">
        <w:rPr>
          <w:rFonts w:ascii="Arial" w:hAnsi="Arial" w:cs="Arial"/>
          <w:color w:val="222222"/>
          <w:shd w:val="clear" w:color="auto" w:fill="FFFFFF"/>
        </w:rPr>
        <w:t>Cate, Fred H., The Failure of Fair Information Practice Principles (2006). Consumer Protection in the Age of the Information Economy, 2006, Available at SSRN: </w:t>
      </w:r>
      <w:hyperlink r:id="rId27" w:tgtFrame="_blank" w:history="1">
        <w:r w:rsidRPr="00302A27">
          <w:rPr>
            <w:rStyle w:val="Hyperlink"/>
            <w:rFonts w:ascii="Arial" w:hAnsi="Arial" w:cs="Arial"/>
            <w:shd w:val="clear" w:color="auto" w:fill="FFFFFF"/>
          </w:rPr>
          <w:t>https://ssrn.com/abstract=1156972</w:t>
        </w:r>
      </w:hyperlink>
    </w:p>
    <w:p w14:paraId="05EB18DA"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pl-PL"/>
        </w:rPr>
        <w:t xml:space="preserve">Charanya, J., Aruna, G., Akshitha, K., &amp; Aswathy, S. (2025). </w:t>
      </w:r>
      <w:r w:rsidRPr="00302A27">
        <w:rPr>
          <w:rFonts w:ascii="Arial" w:hAnsi="Arial" w:cs="Arial"/>
          <w:lang w:val="en-GB"/>
        </w:rPr>
        <w:t>Novel ML Algorithms for Healthcare: Enhancing Healthcare in the Field of Personalized Treatments, Patient Monitoring, and Robotic Surger. In Synergizing Data Envelopment Analysis and Machine Learning for Performance Optimization in Healthcare (pp. 135-172). IGI Global Scientific Publishing.</w:t>
      </w:r>
    </w:p>
    <w:p w14:paraId="2725298E"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en-GB"/>
        </w:rPr>
        <w:t>Costantino, A., Caprioli, F., Elli, L., Roncoroni, L., Stocco, D., Doneda, L., ... &amp; Vecchi, M. (2022). Determinants of patient trust in gastroenterology televisits: Results of machine learning analysis. Informatics in Medicine Unlocked, 29, 100867.</w:t>
      </w:r>
    </w:p>
    <w:p w14:paraId="57B7F591"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en-GB"/>
        </w:rPr>
        <w:lastRenderedPageBreak/>
        <w:t xml:space="preserve">Du, Y., Antoniadi, A. M., McNestry, C., McAuliffe, F. M., &amp; Mooney, C. (2022). The role of XAI in advice-taking  from  a  clinical  decision  support  system:  A  comparative  user  study  of  feature  contribution-based and example-based explanations. Applied Sciences, 12(20), 10323. </w:t>
      </w:r>
      <w:hyperlink r:id="rId28" w:history="1">
        <w:r w:rsidRPr="00302A27">
          <w:rPr>
            <w:rStyle w:val="Hyperlink"/>
            <w:rFonts w:ascii="Arial" w:hAnsi="Arial" w:cs="Arial"/>
            <w:lang w:val="en-GB"/>
          </w:rPr>
          <w:t>https://doi.org/10.3390/app122010323</w:t>
        </w:r>
      </w:hyperlink>
    </w:p>
    <w:p w14:paraId="4754925E" w14:textId="77777777" w:rsidR="003F5E83" w:rsidRPr="00302A27" w:rsidRDefault="003F5E83" w:rsidP="003728F1">
      <w:pPr>
        <w:pStyle w:val="Body"/>
        <w:ind w:left="720" w:hanging="720"/>
        <w:rPr>
          <w:rFonts w:ascii="Arial" w:hAnsi="Arial" w:cs="Arial"/>
          <w:lang w:val="de-DE"/>
        </w:rPr>
      </w:pPr>
      <w:r w:rsidRPr="00240E7D">
        <w:rPr>
          <w:rFonts w:ascii="Arial" w:hAnsi="Arial" w:cs="Arial"/>
        </w:rPr>
        <w:t xml:space="preserve">Efat, M. I. A., Rahman, S., &amp; Rahman, T. (2020). </w:t>
      </w:r>
      <w:r w:rsidRPr="00302A27">
        <w:rPr>
          <w:rFonts w:ascii="Arial" w:hAnsi="Arial" w:cs="Arial"/>
          <w:lang w:val="en-GB"/>
        </w:rPr>
        <w:t xml:space="preserve">IoT based smart health monitoring system for diabetes patients using neural network. In Cyber security and computer science (pp. 593–606). Springer International Publishing. </w:t>
      </w:r>
      <w:hyperlink r:id="rId29" w:history="1">
        <w:r w:rsidRPr="00302A27">
          <w:rPr>
            <w:rStyle w:val="Hyperlink"/>
            <w:rFonts w:ascii="Arial" w:hAnsi="Arial" w:cs="Arial"/>
            <w:lang w:val="de-DE"/>
          </w:rPr>
          <w:t>https://doi.org/10.1007/978-3-030-52856-047</w:t>
        </w:r>
      </w:hyperlink>
    </w:p>
    <w:p w14:paraId="1280000F" w14:textId="77777777" w:rsidR="003F5E83" w:rsidRPr="00302A27" w:rsidRDefault="003F5E83" w:rsidP="003728F1">
      <w:pPr>
        <w:pStyle w:val="Body"/>
        <w:ind w:left="720" w:hanging="720"/>
        <w:rPr>
          <w:rFonts w:ascii="Arial" w:hAnsi="Arial" w:cs="Arial"/>
        </w:rPr>
      </w:pPr>
      <w:r w:rsidRPr="00302A27">
        <w:rPr>
          <w:rFonts w:ascii="Arial" w:hAnsi="Arial" w:cs="Arial"/>
          <w:lang w:val="de-DE"/>
        </w:rPr>
        <w:t xml:space="preserve">Ehsan, U., Wintersberger, P., Liao, Q. V., Mara, M., Streit, M., Wachter, S., Riener, A., &amp; Riedl, M. O. (2021). </w:t>
      </w:r>
      <w:r w:rsidRPr="00302A27">
        <w:rPr>
          <w:rFonts w:ascii="Arial" w:hAnsi="Arial" w:cs="Arial"/>
          <w:lang w:val="en-GB"/>
        </w:rPr>
        <w:t xml:space="preserve">Operationalizing human-centered perspectives in explainable AI. Extended Abstracts of the 2021 CHI Conference on Human Factors in Computing Systems, 1–6. </w:t>
      </w:r>
      <w:hyperlink r:id="rId30" w:history="1">
        <w:r w:rsidRPr="00302A27">
          <w:rPr>
            <w:rStyle w:val="Hyperlink"/>
            <w:rFonts w:ascii="Arial" w:hAnsi="Arial" w:cs="Arial"/>
          </w:rPr>
          <w:t>https://doi.org/10.1145/3411763.3441342</w:t>
        </w:r>
      </w:hyperlink>
    </w:p>
    <w:p w14:paraId="538F061B"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en-GB"/>
        </w:rPr>
        <w:t>Ferdausi, N. S., Fatema, N. K., Mahmud, N. M. R., Hoque, N. R., &amp; Ali, N. M. (2025). Transforming telehealth with Artificial Intelligence: Predictive and diagnostic advances in remote patient care. World Journal of Advanced Engineering Technology and Sciences, 16(1), 355-365.</w:t>
      </w:r>
    </w:p>
    <w:p w14:paraId="30EA1EAA"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en-GB"/>
        </w:rPr>
        <w:t>Giansanti, D. (2023, March). Ten years of telehealth and digital healthcare: Where are we?. In Healthcare (Vol. 11, No. 6, p. 875). MDPI.</w:t>
      </w:r>
    </w:p>
    <w:p w14:paraId="20A725F8" w14:textId="77777777" w:rsidR="003F5E83" w:rsidRPr="00302A27" w:rsidRDefault="003F5E83" w:rsidP="00A46EA0">
      <w:pPr>
        <w:pStyle w:val="Body"/>
        <w:ind w:left="720" w:hanging="720"/>
        <w:rPr>
          <w:rFonts w:ascii="Arial" w:hAnsi="Arial" w:cs="Arial"/>
        </w:rPr>
      </w:pPr>
      <w:r w:rsidRPr="00302A27">
        <w:rPr>
          <w:rFonts w:ascii="Arial" w:hAnsi="Arial" w:cs="Arial"/>
        </w:rPr>
        <w:t>Health Affairs Blog, July 15, 2020. Early Impact Of CMS Expansion Of Medicare Telehealth During COVID-19",.</w:t>
      </w:r>
      <w:r w:rsidRPr="00302A27">
        <w:rPr>
          <w:rFonts w:ascii="Arial" w:hAnsi="Arial" w:cs="Arial"/>
          <w:lang w:val="en-GB"/>
        </w:rPr>
        <w:t xml:space="preserve"> </w:t>
      </w:r>
      <w:r w:rsidRPr="00302A27">
        <w:rPr>
          <w:rFonts w:ascii="Arial" w:hAnsi="Arial" w:cs="Arial"/>
        </w:rPr>
        <w:t>DOI: 10.1377/hblog20200715.454789</w:t>
      </w:r>
    </w:p>
    <w:p w14:paraId="47685623"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en-GB"/>
        </w:rPr>
        <w:t>Hsieh, C.-Y., Huang, H.-Y., Liu, K.-C., Liu, C.-P., Chan, C.-T., &amp; Hsu, S. J.-P. (2021). Multiphase identification algorithm for fall recording systems using a single wearable inertial sensor. Sensors, 21(9), 3302. https://doi.org/10.3390/s21093302</w:t>
      </w:r>
    </w:p>
    <w:p w14:paraId="08BD5BA7" w14:textId="77777777" w:rsidR="003F5E83" w:rsidRPr="00302A27" w:rsidRDefault="003F5E83" w:rsidP="003728F1">
      <w:pPr>
        <w:pStyle w:val="Body"/>
        <w:ind w:left="720" w:hanging="720"/>
        <w:rPr>
          <w:rFonts w:ascii="Arial" w:hAnsi="Arial" w:cs="Arial"/>
          <w:lang w:val="en-GB"/>
        </w:rPr>
      </w:pPr>
      <w:r w:rsidRPr="005B0E7C">
        <w:rPr>
          <w:rFonts w:ascii="Arial" w:hAnsi="Arial" w:cs="Arial"/>
        </w:rPr>
        <w:t xml:space="preserve">Huang,  X., Zhang,  Z.,  Guo,  F.,  Wang,  X.,  Chi,  K., &amp;  Wu,  K.  </w:t>
      </w:r>
      <w:r w:rsidRPr="00302A27">
        <w:rPr>
          <w:rFonts w:ascii="Arial" w:hAnsi="Arial" w:cs="Arial"/>
          <w:lang w:val="en-GB"/>
        </w:rPr>
        <w:t xml:space="preserve">(2024). Research on older adults’ interaction with e-health interface based on explainable artificial intelligence. arXiv. </w:t>
      </w:r>
      <w:hyperlink r:id="rId31" w:history="1">
        <w:r w:rsidRPr="00302A27">
          <w:rPr>
            <w:rStyle w:val="Hyperlink"/>
            <w:rFonts w:ascii="Arial" w:hAnsi="Arial" w:cs="Arial"/>
            <w:lang w:val="en-GB"/>
          </w:rPr>
          <w:t>https://doi.org/10.48550/ARXIV.2402.07915</w:t>
        </w:r>
      </w:hyperlink>
    </w:p>
    <w:p w14:paraId="6371CE76"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en-GB"/>
        </w:rPr>
        <w:t>Jean, G. (2024). Exploring Patient Trust in Telemedicine Systems Integrating Advanced Temperature Reconstruction Models.</w:t>
      </w:r>
    </w:p>
    <w:p w14:paraId="200A78EF"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en-GB"/>
        </w:rPr>
        <w:t xml:space="preserve">Kalasin, S., &amp;Surareungchai, W. (2023). Challenges of Emerging Wearable Sensors for Remote Monitoring toward Telemedicine Healthcare. Analytical Chemistry, 95(3), 1773–1784. </w:t>
      </w:r>
      <w:hyperlink r:id="rId32" w:history="1">
        <w:r w:rsidRPr="00302A27">
          <w:rPr>
            <w:rStyle w:val="Hyperlink"/>
            <w:rFonts w:ascii="Arial" w:hAnsi="Arial" w:cs="Arial"/>
            <w:lang w:val="en-GB"/>
          </w:rPr>
          <w:t>https://doi.org/10.1021/acs.analchem.2c02642</w:t>
        </w:r>
      </w:hyperlink>
    </w:p>
    <w:p w14:paraId="4CCE2A29" w14:textId="77777777" w:rsidR="003F5E83" w:rsidRPr="00302A27" w:rsidRDefault="003F5E83" w:rsidP="003728F1">
      <w:pPr>
        <w:pStyle w:val="Body"/>
        <w:ind w:left="720" w:hanging="720"/>
        <w:rPr>
          <w:rFonts w:ascii="Arial" w:hAnsi="Arial" w:cs="Arial"/>
          <w:lang w:val="en-GB"/>
        </w:rPr>
      </w:pPr>
      <w:r w:rsidRPr="00302A27">
        <w:rPr>
          <w:rFonts w:ascii="Arial" w:hAnsi="Arial" w:cs="Arial"/>
        </w:rPr>
        <w:t xml:space="preserve">Karamifar, F., Tabibian, S., &amp; Rezaei, S. A. (2023). </w:t>
      </w:r>
      <w:r w:rsidRPr="00302A27">
        <w:rPr>
          <w:rFonts w:ascii="Arial" w:hAnsi="Arial" w:cs="Arial"/>
          <w:lang w:val="en-GB"/>
        </w:rPr>
        <w:t>Legal and ethical challenges in digital public health systems: Data privacy, consent, and security. Legal Studies in Digital Age, 2(4), 13-25.</w:t>
      </w:r>
    </w:p>
    <w:p w14:paraId="1C344FB9"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en-GB"/>
        </w:rPr>
        <w:t>Kurapathi, D. M. (2025). Innovations in Early Postoperative Monitoring: Reducing Complication Rates and Improving Recovery. Journal Of Medicine And Surgery, 4(1), 11-21.</w:t>
      </w:r>
    </w:p>
    <w:p w14:paraId="1DE3241B"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en-GB"/>
        </w:rPr>
        <w:t>Luckritz, K. (2025). The Influence of Trust on Patient Activity in the Electronic Patient Portal (Doctoral dissertation).</w:t>
      </w:r>
    </w:p>
    <w:p w14:paraId="2DECE69E"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de-DE"/>
        </w:rPr>
        <w:lastRenderedPageBreak/>
        <w:t>Mahesh, V. G. V., Chen, C., Rajangam, V., Raj, A. N. J., &amp; Krishnan, P. T. (2021). </w:t>
      </w:r>
      <w:r w:rsidRPr="00302A27">
        <w:rPr>
          <w:rFonts w:ascii="Arial" w:hAnsi="Arial" w:cs="Arial"/>
          <w:lang w:val="en-GB"/>
        </w:rPr>
        <w:t>Shape and texture aware facial expression recognition using spatial pyramid zernike moments and law's textures feature set. IEEE Access, 9, 52509–52522. </w:t>
      </w:r>
      <w:hyperlink r:id="rId33" w:history="1">
        <w:r w:rsidRPr="00302A27">
          <w:rPr>
            <w:rStyle w:val="Hyperlink"/>
            <w:rFonts w:ascii="Arial" w:hAnsi="Arial" w:cs="Arial"/>
            <w:lang w:val="en-GB"/>
          </w:rPr>
          <w:t>https://doi.org/10.1109/access.2021.3069881</w:t>
        </w:r>
      </w:hyperlink>
    </w:p>
    <w:p w14:paraId="745807D3"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en-GB"/>
        </w:rPr>
        <w:t>Mechanic, O. J., Persaud, Y., &amp; Kimball, A. B. (2017). Telehealth systems.</w:t>
      </w:r>
    </w:p>
    <w:p w14:paraId="70310DFB"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en-GB"/>
        </w:rPr>
        <w:t>Mishra, V., &amp; Sharma, M. G. (2022). Digital transformation evaluation of telehealth using convergence, maturity, and adoption. Health Policy and Technology, 11(4), 100684.</w:t>
      </w:r>
    </w:p>
    <w:p w14:paraId="24F2386B"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en-GB"/>
        </w:rPr>
        <w:t>Munawar, M., Singh, T. M., &amp; Mohana, R. M. (2025). Advancements in Remote Health Monitoring Systems Technologies: Applications and Future Trends. In Next-Generation Therapeutics Using Internet of Things and Machine Learning (pp. 259-284). IGI Global Scientific Publishing.</w:t>
      </w:r>
    </w:p>
    <w:p w14:paraId="7B6B1970" w14:textId="77777777" w:rsidR="003F5E83" w:rsidRPr="00302A27" w:rsidRDefault="003F5E83" w:rsidP="003728F1">
      <w:pPr>
        <w:pStyle w:val="Body"/>
        <w:ind w:left="720" w:hanging="720"/>
        <w:rPr>
          <w:rFonts w:ascii="Arial" w:hAnsi="Arial" w:cs="Arial"/>
        </w:rPr>
      </w:pPr>
      <w:r w:rsidRPr="00302A27">
        <w:rPr>
          <w:rFonts w:ascii="Arial" w:hAnsi="Arial" w:cs="Arial"/>
          <w:lang w:val="en-GB"/>
        </w:rPr>
        <w:t>Nguyen, M., Fujioka, J., Wentlandt, K., Onabajo, N., Wong, I., Bhatia, R. S., ... &amp; Stamenova, V. (2020). Using the technology acceptance model to explore health provider and administrator perceptions of the usefulness and ease of using technology in palliative care. </w:t>
      </w:r>
      <w:r w:rsidRPr="00302A27">
        <w:rPr>
          <w:rFonts w:ascii="Arial" w:hAnsi="Arial" w:cs="Arial"/>
        </w:rPr>
        <w:t>BMC palliative care, 19(1), 138.</w:t>
      </w:r>
    </w:p>
    <w:p w14:paraId="56BBE335"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en-GB"/>
        </w:rPr>
        <w:t xml:space="preserve">Ostovari, M. (2021). Digital Transformation of Health Systems During the COVID-19 Pandemic: Challenges and Opportunities for Telehealth. In: Saeed, S., Rodríguez Bolívar, M.P., Thurasamy, R. (eds) Pandemic, Lockdown, and Digital Transformation. Public Administration and Information Technology, vol 7. Springer, Cham. </w:t>
      </w:r>
      <w:hyperlink r:id="rId34" w:history="1">
        <w:r w:rsidRPr="00302A27">
          <w:rPr>
            <w:rStyle w:val="Hyperlink"/>
            <w:rFonts w:ascii="Arial" w:hAnsi="Arial" w:cs="Arial"/>
            <w:lang w:val="en-GB"/>
          </w:rPr>
          <w:t>https://doi.org/10.1007/978-3-030-86274-9_5</w:t>
        </w:r>
      </w:hyperlink>
    </w:p>
    <w:p w14:paraId="01085C79" w14:textId="77777777" w:rsidR="003F5E83" w:rsidRPr="00240E7D" w:rsidRDefault="003F5E83" w:rsidP="003728F1">
      <w:pPr>
        <w:pStyle w:val="Body"/>
        <w:ind w:left="720" w:hanging="720"/>
        <w:rPr>
          <w:rFonts w:ascii="Arial" w:hAnsi="Arial" w:cs="Arial"/>
          <w:lang w:val="de-DE"/>
        </w:rPr>
      </w:pPr>
      <w:r w:rsidRPr="00302A27">
        <w:rPr>
          <w:rFonts w:ascii="Arial" w:hAnsi="Arial" w:cs="Arial"/>
        </w:rPr>
        <w:t xml:space="preserve">Pan, D., Liu, H., Qu, D., &amp; Zhang, Z. (2020). </w:t>
      </w:r>
      <w:r w:rsidRPr="00302A27">
        <w:rPr>
          <w:rFonts w:ascii="Arial" w:hAnsi="Arial" w:cs="Arial"/>
          <w:lang w:val="en-GB"/>
        </w:rPr>
        <w:t xml:space="preserve">Human falling detection algorithm based on multisensor data fusion with SVM. </w:t>
      </w:r>
      <w:r w:rsidRPr="00240E7D">
        <w:rPr>
          <w:rFonts w:ascii="Arial" w:hAnsi="Arial" w:cs="Arial"/>
          <w:lang w:val="de-DE"/>
        </w:rPr>
        <w:t xml:space="preserve">Mobile Information Systems, 2020, 1–9. </w:t>
      </w:r>
      <w:hyperlink r:id="rId35" w:history="1">
        <w:r w:rsidRPr="00240E7D">
          <w:rPr>
            <w:rStyle w:val="Hyperlink"/>
            <w:rFonts w:ascii="Arial" w:hAnsi="Arial" w:cs="Arial"/>
            <w:lang w:val="de-DE"/>
          </w:rPr>
          <w:t>https://doi.org/10.1155/2020/8826088</w:t>
        </w:r>
      </w:hyperlink>
    </w:p>
    <w:p w14:paraId="38D036DE"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de-DE"/>
        </w:rPr>
        <w:t xml:space="preserve">Partanen, T., Seppänen-Järvelä, R., Hiekkala, S., &amp; Lindh, J. (2023). </w:t>
      </w:r>
      <w:r w:rsidRPr="00302A27">
        <w:rPr>
          <w:rFonts w:ascii="Arial" w:hAnsi="Arial" w:cs="Arial"/>
          <w:lang w:val="en-GB"/>
        </w:rPr>
        <w:t>Telerehabilitation in the Finnish outpatient rehabilitation setting from the perspective of the socio-technical systems theory. International journal of environmental research and public health, 20(15), 6519.</w:t>
      </w:r>
    </w:p>
    <w:p w14:paraId="26D5C33C"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en-GB"/>
        </w:rPr>
        <w:t>Rehman Aslam, A. A. (2025). Transforming Patient Care: AI-Driven Innovations in Remote Monitoring and Telehealth.</w:t>
      </w:r>
    </w:p>
    <w:p w14:paraId="71AF98E7"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en-GB"/>
        </w:rPr>
        <w:t>Rosenbaum, S. (2010). Data governance and stewardship: designing data stewardship entities and advancing data access. Health services research, 45(5p2), 1442-1455.</w:t>
      </w:r>
    </w:p>
    <w:p w14:paraId="7889DA63"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en-GB"/>
        </w:rPr>
        <w:t>Salah, O. Z., Selvaperumal, S. K., &amp; Abdulla, R. (2022). Accelerometer-based elderly fall detection system using edge artificial intelligence architecture. International Journal of Electrical and Computer Engineering (IJECE), 12(4), 4430. </w:t>
      </w:r>
      <w:hyperlink r:id="rId36" w:history="1">
        <w:r w:rsidRPr="00302A27">
          <w:rPr>
            <w:rStyle w:val="Hyperlink"/>
            <w:rFonts w:ascii="Arial" w:hAnsi="Arial" w:cs="Arial"/>
            <w:lang w:val="en-GB"/>
          </w:rPr>
          <w:t>https://doi.org/10.11591/ijece.v12i4.pp4430-4438</w:t>
        </w:r>
      </w:hyperlink>
    </w:p>
    <w:p w14:paraId="5B8C0D90"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en-GB"/>
        </w:rPr>
        <w:t>Savoldelli, A., Regazzoni, V., Rizzola, G., Giudici, V., Vitali, A., Regazzoni, D., ... &amp; Viscardi, L. (2024). Telemedicine and Remote Management of Patients with Heart Failure: From Theory to Daily Practice. Telemedicine and e-Health, 30(10), 2620-2629.</w:t>
      </w:r>
    </w:p>
    <w:p w14:paraId="26F1220F"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en-GB"/>
        </w:rPr>
        <w:t xml:space="preserve">Schrills,  T.,  &amp;  Franke,  T.  (2023).  Howdo  users  experience  traceability  of  AI  systems?  Examining subjective  information  processing  awareness  in  automated  insulin  </w:t>
      </w:r>
      <w:r w:rsidRPr="00302A27">
        <w:rPr>
          <w:rFonts w:ascii="Arial" w:hAnsi="Arial" w:cs="Arial"/>
          <w:lang w:val="en-GB"/>
        </w:rPr>
        <w:lastRenderedPageBreak/>
        <w:t xml:space="preserve">delivery  (AID)  systems. ACM Transactions on Interactive Intelligent Systems, 13(4), 1–34. </w:t>
      </w:r>
      <w:hyperlink r:id="rId37" w:history="1">
        <w:r w:rsidRPr="00302A27">
          <w:rPr>
            <w:rStyle w:val="Hyperlink"/>
            <w:rFonts w:ascii="Arial" w:hAnsi="Arial" w:cs="Arial"/>
            <w:lang w:val="en-GB"/>
          </w:rPr>
          <w:t>https://doi.org/10.1145/3588594</w:t>
        </w:r>
      </w:hyperlink>
    </w:p>
    <w:p w14:paraId="0BB45DA3"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en-GB"/>
        </w:rPr>
        <w:t>Shaik, T., Tao, X., Higgins, N., Li, L., Gururajan, R., Zhou, X., &amp; Acharya, U. R. (2023). Remote patient monitoring using artificial intelligence: Current state, applications, and challenges. Wiley Interdisciplinary Reviews: Data Mining and Knowledge Discovery, 13(2), e1485.</w:t>
      </w:r>
    </w:p>
    <w:p w14:paraId="2178F4EF" w14:textId="77777777" w:rsidR="003F5E83" w:rsidRPr="00302A27" w:rsidRDefault="003F5E83" w:rsidP="003728F1">
      <w:pPr>
        <w:pStyle w:val="Body"/>
        <w:ind w:left="720" w:hanging="720"/>
        <w:rPr>
          <w:rFonts w:ascii="Arial" w:hAnsi="Arial" w:cs="Arial"/>
          <w:lang w:val="en-GB"/>
        </w:rPr>
      </w:pPr>
      <w:r w:rsidRPr="00302A27">
        <w:rPr>
          <w:rFonts w:ascii="Arial" w:hAnsi="Arial" w:cs="Arial"/>
        </w:rPr>
        <w:t>Shao, M., Zhou, Z., Bin, G., Bai, Y., &amp; Wu, S. (2020). </w:t>
      </w:r>
      <w:r w:rsidRPr="00302A27">
        <w:rPr>
          <w:rFonts w:ascii="Arial" w:hAnsi="Arial" w:cs="Arial"/>
          <w:lang w:val="en-GB"/>
        </w:rPr>
        <w:t>A wearable electrocardiogram telemonitoring system for atrial fibrillation detection. Sensors, 20(3), 606. </w:t>
      </w:r>
      <w:hyperlink r:id="rId38" w:history="1">
        <w:r w:rsidRPr="00302A27">
          <w:rPr>
            <w:rStyle w:val="Hyperlink"/>
            <w:rFonts w:ascii="Arial" w:hAnsi="Arial" w:cs="Arial"/>
            <w:lang w:val="en-GB"/>
          </w:rPr>
          <w:t>https://doi.org/10.3390/s20030606</w:t>
        </w:r>
      </w:hyperlink>
    </w:p>
    <w:p w14:paraId="38592993"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en-GB"/>
        </w:rPr>
        <w:t>Singh, M., &amp; Li, Y. W. (2022). Digital technology in Perioperative Care. Ambul Surg, 28, 4-7.</w:t>
      </w:r>
    </w:p>
    <w:p w14:paraId="4F9CC172" w14:textId="77777777" w:rsidR="003F5E83" w:rsidRPr="00302A27" w:rsidRDefault="003F5E83" w:rsidP="00DD54C4">
      <w:pPr>
        <w:pStyle w:val="Body"/>
        <w:ind w:left="720" w:hanging="720"/>
        <w:rPr>
          <w:rFonts w:ascii="Arial" w:hAnsi="Arial" w:cs="Arial"/>
          <w:lang w:val="en-GB"/>
        </w:rPr>
      </w:pPr>
      <w:r w:rsidRPr="00302A27">
        <w:rPr>
          <w:rFonts w:ascii="Arial" w:hAnsi="Arial" w:cs="Arial"/>
        </w:rPr>
        <w:t xml:space="preserve">Singh, V., Cheng, S., Kwan, A. C., &amp; Ebinger, J. (2025). </w:t>
      </w:r>
      <w:r w:rsidRPr="00302A27">
        <w:rPr>
          <w:rFonts w:ascii="Arial" w:hAnsi="Arial" w:cs="Arial"/>
          <w:lang w:val="en-GB"/>
        </w:rPr>
        <w:t>United States Food and Drug Administration regulation of clinical software in the era of artificial intelligence and machine learning. </w:t>
      </w:r>
      <w:r w:rsidRPr="00302A27">
        <w:rPr>
          <w:rFonts w:ascii="Arial" w:hAnsi="Arial" w:cs="Arial"/>
          <w:i/>
          <w:iCs/>
          <w:lang w:val="en-GB"/>
        </w:rPr>
        <w:t>Mayo Clinic Proceedings: Digital Health</w:t>
      </w:r>
      <w:r w:rsidRPr="00302A27">
        <w:rPr>
          <w:rFonts w:ascii="Arial" w:hAnsi="Arial" w:cs="Arial"/>
          <w:lang w:val="en-GB"/>
        </w:rPr>
        <w:t>, </w:t>
      </w:r>
      <w:r w:rsidRPr="00302A27">
        <w:rPr>
          <w:rFonts w:ascii="Arial" w:hAnsi="Arial" w:cs="Arial"/>
          <w:i/>
          <w:iCs/>
          <w:lang w:val="en-GB"/>
        </w:rPr>
        <w:t>3</w:t>
      </w:r>
      <w:r w:rsidRPr="00302A27">
        <w:rPr>
          <w:rFonts w:ascii="Arial" w:hAnsi="Arial" w:cs="Arial"/>
          <w:lang w:val="en-GB"/>
        </w:rPr>
        <w:t>(3), 100231.</w:t>
      </w:r>
    </w:p>
    <w:p w14:paraId="4BB61279"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en-GB"/>
        </w:rPr>
        <w:t>Tomsett, R., Preece, A., Braines, D., Cerutti, F., Chakraborty, S., Srivastava, M., ... &amp; Kaplan, L. (2020). Rapid trust calibration through interpretable and uncertainty-aware AI. Patterns, 1(4).</w:t>
      </w:r>
    </w:p>
    <w:p w14:paraId="22EF808E"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en-GB"/>
        </w:rPr>
        <w:t>Viljoen, S. (2021). A relational theory of data governance. The Yale Law Journal, 573-654.</w:t>
      </w:r>
    </w:p>
    <w:p w14:paraId="59237DD5"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de-DE"/>
        </w:rPr>
        <w:t xml:space="preserve">Xue, M., Su, Y., Li, C., Wang, S., &amp; Yao, H. (2020). </w:t>
      </w:r>
      <w:r w:rsidRPr="00302A27">
        <w:rPr>
          <w:rFonts w:ascii="Arial" w:hAnsi="Arial" w:cs="Arial"/>
          <w:lang w:val="en-GB"/>
        </w:rPr>
        <w:t xml:space="preserve">Identification of potential type II diabetes in a large-scale chinese population using a systematic machine learning framework. Journal of Diabetes Research, 2020, 1–12. </w:t>
      </w:r>
      <w:hyperlink r:id="rId39" w:history="1">
        <w:r w:rsidRPr="00302A27">
          <w:rPr>
            <w:rStyle w:val="Hyperlink"/>
            <w:rFonts w:ascii="Arial" w:hAnsi="Arial" w:cs="Arial"/>
            <w:lang w:val="en-GB"/>
          </w:rPr>
          <w:t>https://doi.org/10.1155/2020/6873891</w:t>
        </w:r>
      </w:hyperlink>
    </w:p>
    <w:p w14:paraId="419F41B3" w14:textId="77777777" w:rsidR="003F5E83" w:rsidRPr="00302A27" w:rsidRDefault="003F5E83" w:rsidP="00A46EA0">
      <w:pPr>
        <w:pStyle w:val="Body"/>
        <w:ind w:left="720" w:hanging="720"/>
        <w:rPr>
          <w:rFonts w:ascii="Arial" w:hAnsi="Arial" w:cs="Arial"/>
          <w:lang w:val="en-GB"/>
        </w:rPr>
      </w:pPr>
      <w:r w:rsidRPr="00240E7D">
        <w:rPr>
          <w:rFonts w:ascii="Arial" w:hAnsi="Arial" w:cs="Arial"/>
        </w:rPr>
        <w:t xml:space="preserve">Zeng, E., Liu, H., Wang, L., Zhao, W., &amp; Feng, Y. (2025). </w:t>
      </w:r>
      <w:r w:rsidRPr="00302A27">
        <w:rPr>
          <w:rFonts w:ascii="Arial" w:hAnsi="Arial" w:cs="Arial"/>
          <w:lang w:val="en-GB"/>
        </w:rPr>
        <w:t>Literature Review: A Study of XAI User Experience in Healthcare: Transparency and Doctor-Patient Trust Construction Based on AI-assisted Diagnosis. Frontiers in Interdisciplinary Applied Science, 2(1), 21-33.</w:t>
      </w:r>
    </w:p>
    <w:p w14:paraId="12BF82A1" w14:textId="77777777" w:rsidR="00B01FCD" w:rsidRPr="00302A27" w:rsidRDefault="00B01FCD" w:rsidP="008555D4">
      <w:pPr>
        <w:pStyle w:val="Appendix"/>
        <w:spacing w:after="0"/>
        <w:jc w:val="both"/>
        <w:rPr>
          <w:rFonts w:ascii="Arial" w:hAnsi="Arial" w:cs="Arial"/>
          <w:b w:val="0"/>
        </w:rPr>
      </w:pPr>
    </w:p>
    <w:sectPr w:rsidR="00B01FCD" w:rsidRPr="00302A27" w:rsidSect="00A174E8">
      <w:headerReference w:type="even" r:id="rId40"/>
      <w:headerReference w:type="default" r:id="rId41"/>
      <w:footerReference w:type="default" r:id="rId42"/>
      <w:headerReference w:type="first" r:id="rId43"/>
      <w:type w:val="continuous"/>
      <w:pgSz w:w="12240" w:h="15840"/>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7112B" w14:textId="77777777" w:rsidR="003314A4" w:rsidRDefault="003314A4" w:rsidP="00C37E61">
      <w:r>
        <w:separator/>
      </w:r>
    </w:p>
  </w:endnote>
  <w:endnote w:type="continuationSeparator" w:id="0">
    <w:p w14:paraId="35760C2E" w14:textId="77777777" w:rsidR="003314A4" w:rsidRDefault="003314A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59B4F" w14:textId="77777777" w:rsidR="00A174E8" w:rsidRDefault="00A174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E0D43" w14:textId="77777777" w:rsidR="00A174E8" w:rsidRDefault="00A174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EACD3" w14:textId="77777777" w:rsidR="009E048A" w:rsidRDefault="009E048A">
    <w:pPr>
      <w:pStyle w:val="Footer"/>
      <w:rPr>
        <w:rFonts w:ascii="Arial" w:hAnsi="Arial" w:cs="Arial"/>
        <w:sz w:val="16"/>
      </w:rPr>
    </w:pPr>
  </w:p>
  <w:p w14:paraId="5BF8D32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3C930FE" w14:textId="77777777" w:rsidR="009E048A" w:rsidRDefault="009E048A">
    <w:pPr>
      <w:pStyle w:val="Footer"/>
      <w:rPr>
        <w:rFonts w:ascii="Arial" w:hAnsi="Arial" w:cs="Arial"/>
        <w:sz w:val="16"/>
      </w:rPr>
    </w:pPr>
  </w:p>
  <w:p w14:paraId="0869787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236736"/>
      <w:docPartObj>
        <w:docPartGallery w:val="Page Numbers (Bottom of Page)"/>
        <w:docPartUnique/>
      </w:docPartObj>
    </w:sdtPr>
    <w:sdtEndPr>
      <w:rPr>
        <w:noProof/>
      </w:rPr>
    </w:sdtEndPr>
    <w:sdtContent>
      <w:p w14:paraId="15A84A65" w14:textId="77777777" w:rsidR="003F5E83" w:rsidRDefault="003F5E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3ABA6A" w14:textId="77777777" w:rsidR="003F5E83" w:rsidRPr="00C37E61" w:rsidRDefault="003F5E83" w:rsidP="00C37E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6704425"/>
      <w:docPartObj>
        <w:docPartGallery w:val="Page Numbers (Bottom of Page)"/>
        <w:docPartUnique/>
      </w:docPartObj>
    </w:sdtPr>
    <w:sdtEndPr>
      <w:rPr>
        <w:noProof/>
      </w:rPr>
    </w:sdtEndPr>
    <w:sdtContent>
      <w:p w14:paraId="3729E410" w14:textId="41923CA1" w:rsidR="00E967B3" w:rsidRDefault="00E967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1C3C5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965AEF" w14:textId="77777777" w:rsidR="003314A4" w:rsidRDefault="003314A4" w:rsidP="00C37E61">
      <w:r>
        <w:separator/>
      </w:r>
    </w:p>
  </w:footnote>
  <w:footnote w:type="continuationSeparator" w:id="0">
    <w:p w14:paraId="7F08F996" w14:textId="77777777" w:rsidR="003314A4" w:rsidRDefault="003314A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00340" w14:textId="523C52F3" w:rsidR="00A174E8" w:rsidRDefault="00E02E5D">
    <w:pPr>
      <w:pStyle w:val="Header"/>
    </w:pPr>
    <w:r>
      <w:rPr>
        <w:noProof/>
      </w:rPr>
      <w:pict w14:anchorId="7FE012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871688" o:spid="_x0000_s1026" type="#_x0000_t136" style="position:absolute;margin-left:0;margin-top:0;width:520.25pt;height:57.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783AF" w14:textId="79E9716A" w:rsidR="00A174E8" w:rsidRDefault="00E02E5D">
    <w:pPr>
      <w:pStyle w:val="Header"/>
    </w:pPr>
    <w:r>
      <w:rPr>
        <w:noProof/>
      </w:rPr>
      <w:pict w14:anchorId="065B5C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871689" o:spid="_x0000_s1027" type="#_x0000_t136" style="position:absolute;margin-left:0;margin-top:0;width:520.25pt;height:57.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40323" w14:textId="206C9373" w:rsidR="00296529" w:rsidRPr="00296529" w:rsidRDefault="00E02E5D" w:rsidP="00296529">
    <w:pPr>
      <w:ind w:left="2160"/>
      <w:jc w:val="center"/>
      <w:rPr>
        <w:rFonts w:ascii="Times New Roman" w:eastAsia="Calibri" w:hAnsi="Times New Roman"/>
        <w:i/>
        <w:sz w:val="18"/>
        <w:szCs w:val="22"/>
      </w:rPr>
    </w:pPr>
    <w:r>
      <w:rPr>
        <w:noProof/>
      </w:rPr>
      <w:pict w14:anchorId="189ED5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871687" o:spid="_x0000_s1025" type="#_x0000_t136" style="position:absolute;left:0;text-align:left;margin-left:0;margin-top:0;width:520.25pt;height:57.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85927F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F5FD95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B20F26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A0074E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E914B5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704DDE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1591C" w14:textId="1EADF1DB" w:rsidR="00A174E8" w:rsidRDefault="00E02E5D">
    <w:pPr>
      <w:pStyle w:val="Header"/>
    </w:pPr>
    <w:r>
      <w:rPr>
        <w:noProof/>
      </w:rPr>
      <w:pict w14:anchorId="45DBDC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871691" o:spid="_x0000_s1029" type="#_x0000_t136" style="position:absolute;margin-left:0;margin-top:0;width:520.25pt;height:57.8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07AE5" w14:textId="5114BD47" w:rsidR="00A174E8" w:rsidRDefault="00E02E5D">
    <w:pPr>
      <w:pStyle w:val="Header"/>
    </w:pPr>
    <w:r>
      <w:rPr>
        <w:noProof/>
      </w:rPr>
      <w:pict w14:anchorId="416169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871692" o:spid="_x0000_s1030" type="#_x0000_t136" style="position:absolute;margin-left:0;margin-top:0;width:520.25pt;height:57.8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56767" w14:textId="75E1D9BC" w:rsidR="00A174E8" w:rsidRDefault="00E02E5D">
    <w:pPr>
      <w:pStyle w:val="Header"/>
    </w:pPr>
    <w:r>
      <w:rPr>
        <w:noProof/>
      </w:rPr>
      <w:pict w14:anchorId="280228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871690" o:spid="_x0000_s1028" type="#_x0000_t136" style="position:absolute;margin-left:0;margin-top:0;width:520.25pt;height:57.8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40681" w14:textId="69AE48EC" w:rsidR="00A174E8" w:rsidRDefault="00E02E5D">
    <w:pPr>
      <w:pStyle w:val="Header"/>
    </w:pPr>
    <w:r>
      <w:rPr>
        <w:noProof/>
      </w:rPr>
      <w:pict w14:anchorId="0A7FF3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871694" o:spid="_x0000_s1032" type="#_x0000_t136" style="position:absolute;margin-left:0;margin-top:0;width:520.25pt;height:57.8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7E4FC" w14:textId="14CF89FB" w:rsidR="00A174E8" w:rsidRDefault="00E02E5D">
    <w:pPr>
      <w:pStyle w:val="Header"/>
    </w:pPr>
    <w:r>
      <w:rPr>
        <w:noProof/>
      </w:rPr>
      <w:pict w14:anchorId="0CCC4D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871695" o:spid="_x0000_s1033" type="#_x0000_t136" style="position:absolute;margin-left:0;margin-top:0;width:520.25pt;height:57.8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CC303" w14:textId="08D337A0" w:rsidR="00A174E8" w:rsidRDefault="00E02E5D">
    <w:pPr>
      <w:pStyle w:val="Header"/>
    </w:pPr>
    <w:r>
      <w:rPr>
        <w:noProof/>
      </w:rPr>
      <w:pict w14:anchorId="1973C1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871693" o:spid="_x0000_s1031" type="#_x0000_t136" style="position:absolute;margin-left:0;margin-top:0;width:520.25pt;height:57.8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6D2CF8"/>
    <w:multiLevelType w:val="multilevel"/>
    <w:tmpl w:val="44944EC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lang w:val="en-G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CBA7779"/>
    <w:multiLevelType w:val="multilevel"/>
    <w:tmpl w:val="5F98AE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0FB71B18"/>
    <w:multiLevelType w:val="multilevel"/>
    <w:tmpl w:val="44944EC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lang w:val="en-G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172ADE"/>
    <w:multiLevelType w:val="hybridMultilevel"/>
    <w:tmpl w:val="432C7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AB79FC"/>
    <w:multiLevelType w:val="hybridMultilevel"/>
    <w:tmpl w:val="EB50E3B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8AA1C32"/>
    <w:multiLevelType w:val="multilevel"/>
    <w:tmpl w:val="0DDAD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8"/>
  </w:num>
  <w:num w:numId="7">
    <w:abstractNumId w:val="2"/>
  </w:num>
  <w:num w:numId="8">
    <w:abstractNumId w:val="16"/>
  </w:num>
  <w:num w:numId="9">
    <w:abstractNumId w:val="31"/>
  </w:num>
  <w:num w:numId="10">
    <w:abstractNumId w:val="3"/>
  </w:num>
  <w:num w:numId="11">
    <w:abstractNumId w:val="24"/>
  </w:num>
  <w:num w:numId="12">
    <w:abstractNumId w:val="4"/>
  </w:num>
  <w:num w:numId="13">
    <w:abstractNumId w:val="22"/>
  </w:num>
  <w:num w:numId="14">
    <w:abstractNumId w:val="11"/>
  </w:num>
  <w:num w:numId="15">
    <w:abstractNumId w:val="27"/>
  </w:num>
  <w:num w:numId="16">
    <w:abstractNumId w:val="6"/>
  </w:num>
  <w:num w:numId="17">
    <w:abstractNumId w:val="28"/>
  </w:num>
  <w:num w:numId="18">
    <w:abstractNumId w:val="18"/>
  </w:num>
  <w:num w:numId="19">
    <w:abstractNumId w:val="34"/>
  </w:num>
  <w:num w:numId="20">
    <w:abstractNumId w:val="15"/>
  </w:num>
  <w:num w:numId="21">
    <w:abstractNumId w:val="12"/>
  </w:num>
  <w:num w:numId="22">
    <w:abstractNumId w:val="17"/>
  </w:num>
  <w:num w:numId="23">
    <w:abstractNumId w:val="25"/>
  </w:num>
  <w:num w:numId="24">
    <w:abstractNumId w:val="32"/>
  </w:num>
  <w:num w:numId="25">
    <w:abstractNumId w:val="5"/>
  </w:num>
  <w:num w:numId="26">
    <w:abstractNumId w:val="20"/>
  </w:num>
  <w:num w:numId="27">
    <w:abstractNumId w:val="26"/>
  </w:num>
  <w:num w:numId="28">
    <w:abstractNumId w:val="33"/>
  </w:num>
  <w:num w:numId="29">
    <w:abstractNumId w:val="30"/>
  </w:num>
  <w:num w:numId="30">
    <w:abstractNumId w:val="13"/>
  </w:num>
  <w:num w:numId="31">
    <w:abstractNumId w:val="7"/>
  </w:num>
  <w:num w:numId="32">
    <w:abstractNumId w:val="14"/>
  </w:num>
  <w:num w:numId="33">
    <w:abstractNumId w:val="21"/>
  </w:num>
  <w:num w:numId="34">
    <w:abstractNumId w:val="1"/>
  </w:num>
  <w:num w:numId="35">
    <w:abstractNumId w:val="23"/>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5396C"/>
    <w:rsid w:val="00053C66"/>
    <w:rsid w:val="000607B0"/>
    <w:rsid w:val="000665F6"/>
    <w:rsid w:val="00067CF9"/>
    <w:rsid w:val="00076C64"/>
    <w:rsid w:val="00093E60"/>
    <w:rsid w:val="000A3E55"/>
    <w:rsid w:val="000A47FA"/>
    <w:rsid w:val="000A65D3"/>
    <w:rsid w:val="000B09C2"/>
    <w:rsid w:val="000B1E33"/>
    <w:rsid w:val="000B5878"/>
    <w:rsid w:val="000D689F"/>
    <w:rsid w:val="000D6C5C"/>
    <w:rsid w:val="000E5F22"/>
    <w:rsid w:val="000E7B7B"/>
    <w:rsid w:val="000E7D62"/>
    <w:rsid w:val="000F7238"/>
    <w:rsid w:val="001011FA"/>
    <w:rsid w:val="00103357"/>
    <w:rsid w:val="00123C9F"/>
    <w:rsid w:val="00126190"/>
    <w:rsid w:val="00130F17"/>
    <w:rsid w:val="001320BF"/>
    <w:rsid w:val="001517C4"/>
    <w:rsid w:val="0015378C"/>
    <w:rsid w:val="00163BC4"/>
    <w:rsid w:val="00165DF5"/>
    <w:rsid w:val="00191062"/>
    <w:rsid w:val="00192B72"/>
    <w:rsid w:val="001A0012"/>
    <w:rsid w:val="001A29D8"/>
    <w:rsid w:val="001A5CAA"/>
    <w:rsid w:val="001B0427"/>
    <w:rsid w:val="001D3A51"/>
    <w:rsid w:val="001E10D2"/>
    <w:rsid w:val="001E25B4"/>
    <w:rsid w:val="001E44FE"/>
    <w:rsid w:val="001F467D"/>
    <w:rsid w:val="00200595"/>
    <w:rsid w:val="00204835"/>
    <w:rsid w:val="00231920"/>
    <w:rsid w:val="0023195C"/>
    <w:rsid w:val="00240E7D"/>
    <w:rsid w:val="0024282C"/>
    <w:rsid w:val="002439DC"/>
    <w:rsid w:val="00243AC7"/>
    <w:rsid w:val="002460DC"/>
    <w:rsid w:val="00250985"/>
    <w:rsid w:val="002556F6"/>
    <w:rsid w:val="0026250C"/>
    <w:rsid w:val="00283105"/>
    <w:rsid w:val="00284C4C"/>
    <w:rsid w:val="00287E68"/>
    <w:rsid w:val="00294C53"/>
    <w:rsid w:val="00296529"/>
    <w:rsid w:val="002B27FB"/>
    <w:rsid w:val="002B57E8"/>
    <w:rsid w:val="002B685A"/>
    <w:rsid w:val="002C14DF"/>
    <w:rsid w:val="002C57D2"/>
    <w:rsid w:val="002D4E74"/>
    <w:rsid w:val="002E0D56"/>
    <w:rsid w:val="003009DE"/>
    <w:rsid w:val="0030239F"/>
    <w:rsid w:val="00302A27"/>
    <w:rsid w:val="0030741A"/>
    <w:rsid w:val="00315186"/>
    <w:rsid w:val="003314A4"/>
    <w:rsid w:val="0033343E"/>
    <w:rsid w:val="00334975"/>
    <w:rsid w:val="00342F37"/>
    <w:rsid w:val="00343896"/>
    <w:rsid w:val="003512C2"/>
    <w:rsid w:val="00351CD6"/>
    <w:rsid w:val="00371FB6"/>
    <w:rsid w:val="003728F1"/>
    <w:rsid w:val="003763C1"/>
    <w:rsid w:val="00376BBE"/>
    <w:rsid w:val="003772DE"/>
    <w:rsid w:val="00385865"/>
    <w:rsid w:val="0039224F"/>
    <w:rsid w:val="003935BD"/>
    <w:rsid w:val="003A43A4"/>
    <w:rsid w:val="003A7E18"/>
    <w:rsid w:val="003B5E65"/>
    <w:rsid w:val="003C4C86"/>
    <w:rsid w:val="003C6258"/>
    <w:rsid w:val="003D191F"/>
    <w:rsid w:val="003E2904"/>
    <w:rsid w:val="003E7C87"/>
    <w:rsid w:val="003F5E83"/>
    <w:rsid w:val="00401927"/>
    <w:rsid w:val="00402686"/>
    <w:rsid w:val="0041027F"/>
    <w:rsid w:val="00412475"/>
    <w:rsid w:val="00423789"/>
    <w:rsid w:val="0043019A"/>
    <w:rsid w:val="00440F43"/>
    <w:rsid w:val="00441B6F"/>
    <w:rsid w:val="00446221"/>
    <w:rsid w:val="004463E1"/>
    <w:rsid w:val="00450E62"/>
    <w:rsid w:val="004539DB"/>
    <w:rsid w:val="00454ADC"/>
    <w:rsid w:val="00456A1F"/>
    <w:rsid w:val="00457AC3"/>
    <w:rsid w:val="00471A80"/>
    <w:rsid w:val="00475605"/>
    <w:rsid w:val="00476E32"/>
    <w:rsid w:val="004B332E"/>
    <w:rsid w:val="004C6D6E"/>
    <w:rsid w:val="004C7740"/>
    <w:rsid w:val="004D2E19"/>
    <w:rsid w:val="004D305E"/>
    <w:rsid w:val="004D4277"/>
    <w:rsid w:val="004E0DAF"/>
    <w:rsid w:val="00502516"/>
    <w:rsid w:val="00505F06"/>
    <w:rsid w:val="00506828"/>
    <w:rsid w:val="00513891"/>
    <w:rsid w:val="00515AB1"/>
    <w:rsid w:val="005226C5"/>
    <w:rsid w:val="0053056E"/>
    <w:rsid w:val="00554FDA"/>
    <w:rsid w:val="00585240"/>
    <w:rsid w:val="00587A52"/>
    <w:rsid w:val="005B0E7C"/>
    <w:rsid w:val="005C784C"/>
    <w:rsid w:val="005D17F6"/>
    <w:rsid w:val="005E5539"/>
    <w:rsid w:val="00602BF5"/>
    <w:rsid w:val="00617FDD"/>
    <w:rsid w:val="00633614"/>
    <w:rsid w:val="00633F68"/>
    <w:rsid w:val="00636EB2"/>
    <w:rsid w:val="006375B8"/>
    <w:rsid w:val="00652CA5"/>
    <w:rsid w:val="0066510A"/>
    <w:rsid w:val="00673F9F"/>
    <w:rsid w:val="00674097"/>
    <w:rsid w:val="006776C3"/>
    <w:rsid w:val="00686953"/>
    <w:rsid w:val="00687DEA"/>
    <w:rsid w:val="00687E67"/>
    <w:rsid w:val="00687F5C"/>
    <w:rsid w:val="006967F7"/>
    <w:rsid w:val="006A250C"/>
    <w:rsid w:val="006A781D"/>
    <w:rsid w:val="006B21D3"/>
    <w:rsid w:val="006B521C"/>
    <w:rsid w:val="006B57D0"/>
    <w:rsid w:val="006C1308"/>
    <w:rsid w:val="006D30FF"/>
    <w:rsid w:val="006D6940"/>
    <w:rsid w:val="006E76FF"/>
    <w:rsid w:val="006F11EC"/>
    <w:rsid w:val="006F5E65"/>
    <w:rsid w:val="006F69C7"/>
    <w:rsid w:val="0070082C"/>
    <w:rsid w:val="007066BA"/>
    <w:rsid w:val="00712865"/>
    <w:rsid w:val="00734FA0"/>
    <w:rsid w:val="007369E6"/>
    <w:rsid w:val="00737BB9"/>
    <w:rsid w:val="00746E59"/>
    <w:rsid w:val="00754C9A"/>
    <w:rsid w:val="0075599A"/>
    <w:rsid w:val="00761D52"/>
    <w:rsid w:val="0077749E"/>
    <w:rsid w:val="007818AC"/>
    <w:rsid w:val="00790ADA"/>
    <w:rsid w:val="007A1329"/>
    <w:rsid w:val="007C0978"/>
    <w:rsid w:val="007D2288"/>
    <w:rsid w:val="007D4366"/>
    <w:rsid w:val="007E088F"/>
    <w:rsid w:val="007E3131"/>
    <w:rsid w:val="007F7B32"/>
    <w:rsid w:val="00804BC2"/>
    <w:rsid w:val="0081431A"/>
    <w:rsid w:val="00817D7E"/>
    <w:rsid w:val="0083216F"/>
    <w:rsid w:val="00841321"/>
    <w:rsid w:val="008555D4"/>
    <w:rsid w:val="00860000"/>
    <w:rsid w:val="00863BD3"/>
    <w:rsid w:val="008641ED"/>
    <w:rsid w:val="00866D66"/>
    <w:rsid w:val="008671C6"/>
    <w:rsid w:val="00875803"/>
    <w:rsid w:val="00882B76"/>
    <w:rsid w:val="00893962"/>
    <w:rsid w:val="008B459E"/>
    <w:rsid w:val="008C5954"/>
    <w:rsid w:val="008E13AE"/>
    <w:rsid w:val="008E1506"/>
    <w:rsid w:val="008E710C"/>
    <w:rsid w:val="008F69D6"/>
    <w:rsid w:val="00902823"/>
    <w:rsid w:val="00915CA6"/>
    <w:rsid w:val="00923467"/>
    <w:rsid w:val="00924A09"/>
    <w:rsid w:val="00927834"/>
    <w:rsid w:val="009500A6"/>
    <w:rsid w:val="0095568F"/>
    <w:rsid w:val="00957C18"/>
    <w:rsid w:val="009659BA"/>
    <w:rsid w:val="00983040"/>
    <w:rsid w:val="009B23C1"/>
    <w:rsid w:val="009B3FB9"/>
    <w:rsid w:val="009B6B34"/>
    <w:rsid w:val="009C2465"/>
    <w:rsid w:val="009C6297"/>
    <w:rsid w:val="009D35A0"/>
    <w:rsid w:val="009D3F3B"/>
    <w:rsid w:val="009D7EB7"/>
    <w:rsid w:val="009E048A"/>
    <w:rsid w:val="009E08E9"/>
    <w:rsid w:val="009E3DB9"/>
    <w:rsid w:val="009E6E35"/>
    <w:rsid w:val="009F0EDA"/>
    <w:rsid w:val="00A03B96"/>
    <w:rsid w:val="00A05B19"/>
    <w:rsid w:val="00A0691E"/>
    <w:rsid w:val="00A1134E"/>
    <w:rsid w:val="00A174E8"/>
    <w:rsid w:val="00A23810"/>
    <w:rsid w:val="00A24E7E"/>
    <w:rsid w:val="00A258C3"/>
    <w:rsid w:val="00A26EEC"/>
    <w:rsid w:val="00A347C0"/>
    <w:rsid w:val="00A46EA0"/>
    <w:rsid w:val="00A51431"/>
    <w:rsid w:val="00A539AD"/>
    <w:rsid w:val="00A55D6C"/>
    <w:rsid w:val="00A72CC8"/>
    <w:rsid w:val="00A8761C"/>
    <w:rsid w:val="00A8784D"/>
    <w:rsid w:val="00A94063"/>
    <w:rsid w:val="00A968E9"/>
    <w:rsid w:val="00AA2ACE"/>
    <w:rsid w:val="00AA6219"/>
    <w:rsid w:val="00AA74E0"/>
    <w:rsid w:val="00AB703F"/>
    <w:rsid w:val="00AC369A"/>
    <w:rsid w:val="00AC6BB8"/>
    <w:rsid w:val="00AD6280"/>
    <w:rsid w:val="00AD7A5C"/>
    <w:rsid w:val="00AE008F"/>
    <w:rsid w:val="00AE4554"/>
    <w:rsid w:val="00AF66A7"/>
    <w:rsid w:val="00B01FCD"/>
    <w:rsid w:val="00B1776C"/>
    <w:rsid w:val="00B24838"/>
    <w:rsid w:val="00B26CE0"/>
    <w:rsid w:val="00B426C9"/>
    <w:rsid w:val="00B52583"/>
    <w:rsid w:val="00B52896"/>
    <w:rsid w:val="00B75D8A"/>
    <w:rsid w:val="00B90B8F"/>
    <w:rsid w:val="00B95236"/>
    <w:rsid w:val="00B96BD9"/>
    <w:rsid w:val="00BA1B01"/>
    <w:rsid w:val="00BA2641"/>
    <w:rsid w:val="00BB37AA"/>
    <w:rsid w:val="00BC53A0"/>
    <w:rsid w:val="00BD4FB5"/>
    <w:rsid w:val="00BE4202"/>
    <w:rsid w:val="00BE62AD"/>
    <w:rsid w:val="00BF121F"/>
    <w:rsid w:val="00BF1F80"/>
    <w:rsid w:val="00C166EF"/>
    <w:rsid w:val="00C17EB0"/>
    <w:rsid w:val="00C27F5F"/>
    <w:rsid w:val="00C30A0F"/>
    <w:rsid w:val="00C31B56"/>
    <w:rsid w:val="00C36B54"/>
    <w:rsid w:val="00C37077"/>
    <w:rsid w:val="00C37E61"/>
    <w:rsid w:val="00C70F1B"/>
    <w:rsid w:val="00C71A47"/>
    <w:rsid w:val="00C7464C"/>
    <w:rsid w:val="00C85588"/>
    <w:rsid w:val="00CB39E2"/>
    <w:rsid w:val="00CB4F97"/>
    <w:rsid w:val="00CD6755"/>
    <w:rsid w:val="00CD6856"/>
    <w:rsid w:val="00CE0089"/>
    <w:rsid w:val="00CE793C"/>
    <w:rsid w:val="00CF193C"/>
    <w:rsid w:val="00CF43F1"/>
    <w:rsid w:val="00CF6799"/>
    <w:rsid w:val="00CF7F9D"/>
    <w:rsid w:val="00D019E4"/>
    <w:rsid w:val="00D15F97"/>
    <w:rsid w:val="00D170D4"/>
    <w:rsid w:val="00D173F1"/>
    <w:rsid w:val="00D25185"/>
    <w:rsid w:val="00D74AAE"/>
    <w:rsid w:val="00D74CB0"/>
    <w:rsid w:val="00D8295D"/>
    <w:rsid w:val="00D85C4D"/>
    <w:rsid w:val="00D91E2C"/>
    <w:rsid w:val="00DB018C"/>
    <w:rsid w:val="00DC2A65"/>
    <w:rsid w:val="00DC73D4"/>
    <w:rsid w:val="00DD54C4"/>
    <w:rsid w:val="00DE15F0"/>
    <w:rsid w:val="00DE5663"/>
    <w:rsid w:val="00DE78AA"/>
    <w:rsid w:val="00E02E5D"/>
    <w:rsid w:val="00E053D0"/>
    <w:rsid w:val="00E10758"/>
    <w:rsid w:val="00E12DE9"/>
    <w:rsid w:val="00E15994"/>
    <w:rsid w:val="00E30680"/>
    <w:rsid w:val="00E3114E"/>
    <w:rsid w:val="00E31A70"/>
    <w:rsid w:val="00E35B02"/>
    <w:rsid w:val="00E410D2"/>
    <w:rsid w:val="00E44050"/>
    <w:rsid w:val="00E55268"/>
    <w:rsid w:val="00E66496"/>
    <w:rsid w:val="00E66B35"/>
    <w:rsid w:val="00E66E10"/>
    <w:rsid w:val="00E769F6"/>
    <w:rsid w:val="00E8407C"/>
    <w:rsid w:val="00E84F3C"/>
    <w:rsid w:val="00E967B3"/>
    <w:rsid w:val="00EA012C"/>
    <w:rsid w:val="00EC6A55"/>
    <w:rsid w:val="00ED0288"/>
    <w:rsid w:val="00EE35FE"/>
    <w:rsid w:val="00EE52CB"/>
    <w:rsid w:val="00EF4A2D"/>
    <w:rsid w:val="00EF581D"/>
    <w:rsid w:val="00EF7FD8"/>
    <w:rsid w:val="00F06F59"/>
    <w:rsid w:val="00F17988"/>
    <w:rsid w:val="00F429F7"/>
    <w:rsid w:val="00F469F0"/>
    <w:rsid w:val="00F53273"/>
    <w:rsid w:val="00F63A18"/>
    <w:rsid w:val="00F755E4"/>
    <w:rsid w:val="00F77D02"/>
    <w:rsid w:val="00FB3A86"/>
    <w:rsid w:val="00FB41F9"/>
    <w:rsid w:val="00FC098E"/>
    <w:rsid w:val="00FD36C8"/>
    <w:rsid w:val="00FF1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7FCD8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30741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B426C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92346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rsid w:val="00B426C9"/>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semiHidden/>
    <w:rsid w:val="0030741A"/>
    <w:rPr>
      <w:rFonts w:asciiTheme="majorHAnsi" w:eastAsiaTheme="majorEastAsia" w:hAnsiTheme="majorHAnsi" w:cstheme="majorBidi"/>
      <w:color w:val="365F91" w:themeColor="accent1" w:themeShade="BF"/>
      <w:sz w:val="26"/>
      <w:szCs w:val="26"/>
    </w:rPr>
  </w:style>
  <w:style w:type="character" w:customStyle="1" w:styleId="FooterChar">
    <w:name w:val="Footer Char"/>
    <w:basedOn w:val="DefaultParagraphFont"/>
    <w:link w:val="Footer"/>
    <w:uiPriority w:val="99"/>
    <w:rsid w:val="00E967B3"/>
    <w:rPr>
      <w:rFonts w:ascii="Helvetica" w:hAnsi="Helvetica"/>
    </w:rPr>
  </w:style>
  <w:style w:type="character" w:styleId="Strong">
    <w:name w:val="Strong"/>
    <w:basedOn w:val="DefaultParagraphFont"/>
    <w:uiPriority w:val="22"/>
    <w:qFormat/>
    <w:rsid w:val="00C31B56"/>
    <w:rPr>
      <w:b/>
      <w:bCs/>
    </w:rPr>
  </w:style>
  <w:style w:type="paragraph" w:styleId="NormalWeb">
    <w:name w:val="Normal (Web)"/>
    <w:basedOn w:val="Normal"/>
    <w:uiPriority w:val="99"/>
    <w:semiHidden/>
    <w:unhideWhenUsed/>
    <w:rsid w:val="00302A27"/>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302A27"/>
    <w:pPr>
      <w:ind w:left="720"/>
      <w:contextualSpacing/>
    </w:pPr>
  </w:style>
  <w:style w:type="character" w:customStyle="1" w:styleId="Heading4Char">
    <w:name w:val="Heading 4 Char"/>
    <w:basedOn w:val="DefaultParagraphFont"/>
    <w:link w:val="Heading4"/>
    <w:semiHidden/>
    <w:rsid w:val="00923467"/>
    <w:rPr>
      <w:rFonts w:asciiTheme="majorHAnsi" w:eastAsiaTheme="majorEastAsia" w:hAnsiTheme="majorHAnsi" w:cstheme="majorBidi"/>
      <w:i/>
      <w:iCs/>
      <w:color w:val="365F91" w:themeColor="accent1" w:themeShade="BF"/>
    </w:rPr>
  </w:style>
  <w:style w:type="table" w:styleId="TableTheme">
    <w:name w:val="Table Theme"/>
    <w:basedOn w:val="TableNormal"/>
    <w:rsid w:val="00240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312463">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4632568">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49644459">
      <w:bodyDiv w:val="1"/>
      <w:marLeft w:val="0"/>
      <w:marRight w:val="0"/>
      <w:marTop w:val="0"/>
      <w:marBottom w:val="0"/>
      <w:divBdr>
        <w:top w:val="none" w:sz="0" w:space="0" w:color="auto"/>
        <w:left w:val="none" w:sz="0" w:space="0" w:color="auto"/>
        <w:bottom w:val="none" w:sz="0" w:space="0" w:color="auto"/>
        <w:right w:val="none" w:sz="0" w:space="0" w:color="auto"/>
      </w:divBdr>
    </w:div>
    <w:div w:id="511724062">
      <w:bodyDiv w:val="1"/>
      <w:marLeft w:val="0"/>
      <w:marRight w:val="0"/>
      <w:marTop w:val="0"/>
      <w:marBottom w:val="0"/>
      <w:divBdr>
        <w:top w:val="none" w:sz="0" w:space="0" w:color="auto"/>
        <w:left w:val="none" w:sz="0" w:space="0" w:color="auto"/>
        <w:bottom w:val="none" w:sz="0" w:space="0" w:color="auto"/>
        <w:right w:val="none" w:sz="0" w:space="0" w:color="auto"/>
      </w:divBdr>
    </w:div>
    <w:div w:id="59691430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2607798">
      <w:bodyDiv w:val="1"/>
      <w:marLeft w:val="0"/>
      <w:marRight w:val="0"/>
      <w:marTop w:val="0"/>
      <w:marBottom w:val="0"/>
      <w:divBdr>
        <w:top w:val="none" w:sz="0" w:space="0" w:color="auto"/>
        <w:left w:val="none" w:sz="0" w:space="0" w:color="auto"/>
        <w:bottom w:val="none" w:sz="0" w:space="0" w:color="auto"/>
        <w:right w:val="none" w:sz="0" w:space="0" w:color="auto"/>
      </w:divBdr>
    </w:div>
    <w:div w:id="857080753">
      <w:bodyDiv w:val="1"/>
      <w:marLeft w:val="0"/>
      <w:marRight w:val="0"/>
      <w:marTop w:val="0"/>
      <w:marBottom w:val="0"/>
      <w:divBdr>
        <w:top w:val="none" w:sz="0" w:space="0" w:color="auto"/>
        <w:left w:val="none" w:sz="0" w:space="0" w:color="auto"/>
        <w:bottom w:val="none" w:sz="0" w:space="0" w:color="auto"/>
        <w:right w:val="none" w:sz="0" w:space="0" w:color="auto"/>
      </w:divBdr>
    </w:div>
    <w:div w:id="93470545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6700854">
      <w:bodyDiv w:val="1"/>
      <w:marLeft w:val="0"/>
      <w:marRight w:val="0"/>
      <w:marTop w:val="0"/>
      <w:marBottom w:val="0"/>
      <w:divBdr>
        <w:top w:val="none" w:sz="0" w:space="0" w:color="auto"/>
        <w:left w:val="none" w:sz="0" w:space="0" w:color="auto"/>
        <w:bottom w:val="none" w:sz="0" w:space="0" w:color="auto"/>
        <w:right w:val="none" w:sz="0" w:space="0" w:color="auto"/>
      </w:divBdr>
    </w:div>
    <w:div w:id="1190145998">
      <w:bodyDiv w:val="1"/>
      <w:marLeft w:val="0"/>
      <w:marRight w:val="0"/>
      <w:marTop w:val="0"/>
      <w:marBottom w:val="0"/>
      <w:divBdr>
        <w:top w:val="none" w:sz="0" w:space="0" w:color="auto"/>
        <w:left w:val="none" w:sz="0" w:space="0" w:color="auto"/>
        <w:bottom w:val="none" w:sz="0" w:space="0" w:color="auto"/>
        <w:right w:val="none" w:sz="0" w:space="0" w:color="auto"/>
      </w:divBdr>
    </w:div>
    <w:div w:id="1229730382">
      <w:bodyDiv w:val="1"/>
      <w:marLeft w:val="0"/>
      <w:marRight w:val="0"/>
      <w:marTop w:val="0"/>
      <w:marBottom w:val="0"/>
      <w:divBdr>
        <w:top w:val="none" w:sz="0" w:space="0" w:color="auto"/>
        <w:left w:val="none" w:sz="0" w:space="0" w:color="auto"/>
        <w:bottom w:val="none" w:sz="0" w:space="0" w:color="auto"/>
        <w:right w:val="none" w:sz="0" w:space="0" w:color="auto"/>
      </w:divBdr>
    </w:div>
    <w:div w:id="1373573772">
      <w:bodyDiv w:val="1"/>
      <w:marLeft w:val="0"/>
      <w:marRight w:val="0"/>
      <w:marTop w:val="0"/>
      <w:marBottom w:val="0"/>
      <w:divBdr>
        <w:top w:val="none" w:sz="0" w:space="0" w:color="auto"/>
        <w:left w:val="none" w:sz="0" w:space="0" w:color="auto"/>
        <w:bottom w:val="none" w:sz="0" w:space="0" w:color="auto"/>
        <w:right w:val="none" w:sz="0" w:space="0" w:color="auto"/>
      </w:divBdr>
    </w:div>
    <w:div w:id="1469591180">
      <w:bodyDiv w:val="1"/>
      <w:marLeft w:val="0"/>
      <w:marRight w:val="0"/>
      <w:marTop w:val="0"/>
      <w:marBottom w:val="0"/>
      <w:divBdr>
        <w:top w:val="none" w:sz="0" w:space="0" w:color="auto"/>
        <w:left w:val="none" w:sz="0" w:space="0" w:color="auto"/>
        <w:bottom w:val="none" w:sz="0" w:space="0" w:color="auto"/>
        <w:right w:val="none" w:sz="0" w:space="0" w:color="auto"/>
      </w:divBdr>
    </w:div>
    <w:div w:id="1533107565">
      <w:bodyDiv w:val="1"/>
      <w:marLeft w:val="0"/>
      <w:marRight w:val="0"/>
      <w:marTop w:val="0"/>
      <w:marBottom w:val="0"/>
      <w:divBdr>
        <w:top w:val="none" w:sz="0" w:space="0" w:color="auto"/>
        <w:left w:val="none" w:sz="0" w:space="0" w:color="auto"/>
        <w:bottom w:val="none" w:sz="0" w:space="0" w:color="auto"/>
        <w:right w:val="none" w:sz="0" w:space="0" w:color="auto"/>
      </w:divBdr>
    </w:div>
    <w:div w:id="1590312193">
      <w:bodyDiv w:val="1"/>
      <w:marLeft w:val="0"/>
      <w:marRight w:val="0"/>
      <w:marTop w:val="0"/>
      <w:marBottom w:val="0"/>
      <w:divBdr>
        <w:top w:val="none" w:sz="0" w:space="0" w:color="auto"/>
        <w:left w:val="none" w:sz="0" w:space="0" w:color="auto"/>
        <w:bottom w:val="none" w:sz="0" w:space="0" w:color="auto"/>
        <w:right w:val="none" w:sz="0" w:space="0" w:color="auto"/>
      </w:divBdr>
    </w:div>
    <w:div w:id="1594892474">
      <w:bodyDiv w:val="1"/>
      <w:marLeft w:val="0"/>
      <w:marRight w:val="0"/>
      <w:marTop w:val="0"/>
      <w:marBottom w:val="0"/>
      <w:divBdr>
        <w:top w:val="none" w:sz="0" w:space="0" w:color="auto"/>
        <w:left w:val="none" w:sz="0" w:space="0" w:color="auto"/>
        <w:bottom w:val="none" w:sz="0" w:space="0" w:color="auto"/>
        <w:right w:val="none" w:sz="0" w:space="0" w:color="auto"/>
      </w:divBdr>
    </w:div>
    <w:div w:id="1685743787">
      <w:bodyDiv w:val="1"/>
      <w:marLeft w:val="0"/>
      <w:marRight w:val="0"/>
      <w:marTop w:val="0"/>
      <w:marBottom w:val="0"/>
      <w:divBdr>
        <w:top w:val="none" w:sz="0" w:space="0" w:color="auto"/>
        <w:left w:val="none" w:sz="0" w:space="0" w:color="auto"/>
        <w:bottom w:val="none" w:sz="0" w:space="0" w:color="auto"/>
        <w:right w:val="none" w:sz="0" w:space="0" w:color="auto"/>
      </w:divBdr>
    </w:div>
    <w:div w:id="1698266742">
      <w:bodyDiv w:val="1"/>
      <w:marLeft w:val="0"/>
      <w:marRight w:val="0"/>
      <w:marTop w:val="0"/>
      <w:marBottom w:val="0"/>
      <w:divBdr>
        <w:top w:val="none" w:sz="0" w:space="0" w:color="auto"/>
        <w:left w:val="none" w:sz="0" w:space="0" w:color="auto"/>
        <w:bottom w:val="none" w:sz="0" w:space="0" w:color="auto"/>
        <w:right w:val="none" w:sz="0" w:space="0" w:color="auto"/>
      </w:divBdr>
    </w:div>
    <w:div w:id="172433061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17725819">
      <w:bodyDiv w:val="1"/>
      <w:marLeft w:val="0"/>
      <w:marRight w:val="0"/>
      <w:marTop w:val="0"/>
      <w:marBottom w:val="0"/>
      <w:divBdr>
        <w:top w:val="none" w:sz="0" w:space="0" w:color="auto"/>
        <w:left w:val="none" w:sz="0" w:space="0" w:color="auto"/>
        <w:bottom w:val="none" w:sz="0" w:space="0" w:color="auto"/>
        <w:right w:val="none" w:sz="0" w:space="0" w:color="auto"/>
      </w:divBdr>
    </w:div>
    <w:div w:id="203765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microsoft.com/office/2007/relationships/diagramDrawing" Target="diagrams/drawing1.xml"/><Relationship Id="rId26" Type="http://schemas.openxmlformats.org/officeDocument/2006/relationships/header" Target="header6.xml"/><Relationship Id="rId39" Type="http://schemas.openxmlformats.org/officeDocument/2006/relationships/hyperlink" Target="https://doi.org/10.1155/2020/6873891" TargetMode="External"/><Relationship Id="rId21" Type="http://schemas.openxmlformats.org/officeDocument/2006/relationships/hyperlink" Target="https://doi.org/10.1145/3544548.3581251" TargetMode="External"/><Relationship Id="rId34" Type="http://schemas.openxmlformats.org/officeDocument/2006/relationships/hyperlink" Target="https://doi.org/10.1007/978-3-030-86274-9_5" TargetMode="External"/><Relationship Id="rId42"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QuickStyle" Target="diagrams/quickStyle1.xml"/><Relationship Id="rId29" Type="http://schemas.openxmlformats.org/officeDocument/2006/relationships/hyperlink" Target="https://doi.org/10.1007/978-3-030-52856-04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hyperlink" Target="https://doi.org/10.1021/acs.analchem.2c02642" TargetMode="External"/><Relationship Id="rId37" Type="http://schemas.openxmlformats.org/officeDocument/2006/relationships/hyperlink" Target="https://doi.org/10.1145/3588594" TargetMode="External"/><Relationship Id="rId40" Type="http://schemas.openxmlformats.org/officeDocument/2006/relationships/header" Target="header7.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header" Target="header4.xml"/><Relationship Id="rId28" Type="http://schemas.openxmlformats.org/officeDocument/2006/relationships/hyperlink" Target="https://doi.org/10.3390/app122010323" TargetMode="External"/><Relationship Id="rId36" Type="http://schemas.openxmlformats.org/officeDocument/2006/relationships/hyperlink" Target="https://doi.org/10.11591/ijece.v12i4.pp4430-4438" TargetMode="External"/><Relationship Id="rId10" Type="http://schemas.openxmlformats.org/officeDocument/2006/relationships/footer" Target="footer1.xml"/><Relationship Id="rId19" Type="http://schemas.openxmlformats.org/officeDocument/2006/relationships/hyperlink" Target="https://doi.org/10.1093/jlb/lsaa075" TargetMode="External"/><Relationship Id="rId31" Type="http://schemas.openxmlformats.org/officeDocument/2006/relationships/hyperlink" Target="https://doi.org/10.48550/ARXIV.2402.07915"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Data" Target="diagrams/data1.xml"/><Relationship Id="rId22" Type="http://schemas.openxmlformats.org/officeDocument/2006/relationships/hyperlink" Target="https://doi.org/10.1177/1357633X231202275" TargetMode="External"/><Relationship Id="rId27" Type="http://schemas.openxmlformats.org/officeDocument/2006/relationships/hyperlink" Target="https://ssrn.com/abstract=1156972" TargetMode="External"/><Relationship Id="rId30" Type="http://schemas.openxmlformats.org/officeDocument/2006/relationships/hyperlink" Target="https://doi.org/10.1145/3411763.3441342" TargetMode="External"/><Relationship Id="rId35" Type="http://schemas.openxmlformats.org/officeDocument/2006/relationships/hyperlink" Target="https://doi.org/10.1155/2020/8826088" TargetMode="External"/><Relationship Id="rId43" Type="http://schemas.openxmlformats.org/officeDocument/2006/relationships/header" Target="header9.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diagramColors" Target="diagrams/colors1.xml"/><Relationship Id="rId25" Type="http://schemas.openxmlformats.org/officeDocument/2006/relationships/footer" Target="footer4.xml"/><Relationship Id="rId33" Type="http://schemas.openxmlformats.org/officeDocument/2006/relationships/hyperlink" Target="https://doi.org/10.1109/access.2021.3069881" TargetMode="External"/><Relationship Id="rId38" Type="http://schemas.openxmlformats.org/officeDocument/2006/relationships/hyperlink" Target="https://doi.org/10.3390/s20030606" TargetMode="External"/><Relationship Id="rId20" Type="http://schemas.openxmlformats.org/officeDocument/2006/relationships/hyperlink" Target="https://doi.org/10.1177/2472630319890316" TargetMode="External"/><Relationship Id="rId41"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B297B17-A49A-47C1-87D5-6AEA72E359C8}" type="doc">
      <dgm:prSet loTypeId="urn:microsoft.com/office/officeart/2008/layout/VerticalCurvedList" loCatId="list" qsTypeId="urn:microsoft.com/office/officeart/2005/8/quickstyle/simple1" qsCatId="simple" csTypeId="urn:microsoft.com/office/officeart/2005/8/colors/accent1_2" csCatId="accent1" phldr="1"/>
      <dgm:spPr/>
      <dgm:t>
        <a:bodyPr/>
        <a:lstStyle/>
        <a:p>
          <a:endParaRPr lang="en-US"/>
        </a:p>
      </dgm:t>
    </dgm:pt>
    <dgm:pt modelId="{6C511114-2760-41F4-AA80-343929761534}">
      <dgm:prSet phldrT="[Text]"/>
      <dgm:spPr/>
      <dgm:t>
        <a:bodyPr/>
        <a:lstStyle/>
        <a:p>
          <a:pPr>
            <a:buFont typeface="Arial" panose="020B0604020202020204" pitchFamily="34" charset="0"/>
            <a:buChar char="•"/>
          </a:pPr>
          <a:r>
            <a:rPr lang="en-US" b="1"/>
            <a:t>Algorithm Transparency &amp; Interpretability</a:t>
          </a:r>
          <a:endParaRPr lang="en-US"/>
        </a:p>
        <a:p>
          <a:pPr>
            <a:buFont typeface="Arial" panose="020B0604020202020204" pitchFamily="34" charset="0"/>
            <a:buChar char="•"/>
          </a:pPr>
          <a:r>
            <a:rPr lang="en-US"/>
            <a:t>Clear, understandable AI explanations to build trust.</a:t>
          </a:r>
        </a:p>
      </dgm:t>
    </dgm:pt>
    <dgm:pt modelId="{E8487019-602E-4690-B1E0-C10DE920D517}" type="parTrans" cxnId="{17896F52-5A01-4043-91AE-EDDBAE840506}">
      <dgm:prSet/>
      <dgm:spPr/>
      <dgm:t>
        <a:bodyPr/>
        <a:lstStyle/>
        <a:p>
          <a:endParaRPr lang="en-US"/>
        </a:p>
      </dgm:t>
    </dgm:pt>
    <dgm:pt modelId="{211AF1B2-6BE5-4CC8-865B-B2E4E068C745}" type="sibTrans" cxnId="{17896F52-5A01-4043-91AE-EDDBAE840506}">
      <dgm:prSet/>
      <dgm:spPr/>
      <dgm:t>
        <a:bodyPr/>
        <a:lstStyle/>
        <a:p>
          <a:endParaRPr lang="en-US"/>
        </a:p>
      </dgm:t>
    </dgm:pt>
    <dgm:pt modelId="{2B5AFB65-5CC8-46E3-84C0-82094B27D5A8}">
      <dgm:prSet phldrT="[Text]"/>
      <dgm:spPr/>
      <dgm:t>
        <a:bodyPr/>
        <a:lstStyle/>
        <a:p>
          <a:pPr>
            <a:buFont typeface="Arial" panose="020B0604020202020204" pitchFamily="34" charset="0"/>
            <a:buChar char="•"/>
          </a:pPr>
          <a:r>
            <a:rPr lang="en-US" b="1"/>
            <a:t>Physician Mediation &amp; Communication</a:t>
          </a:r>
          <a:endParaRPr lang="en-US"/>
        </a:p>
        <a:p>
          <a:pPr>
            <a:buFont typeface="Arial" panose="020B0604020202020204" pitchFamily="34" charset="0"/>
            <a:buChar char="•"/>
          </a:pPr>
          <a:r>
            <a:rPr lang="en-US"/>
            <a:t>Providers mediate AI outputs through empathy &amp; clarity.</a:t>
          </a:r>
        </a:p>
      </dgm:t>
    </dgm:pt>
    <dgm:pt modelId="{1809F9CB-AECD-4CF2-B6A2-AF5AFAC661DF}" type="parTrans" cxnId="{42232931-FA33-4618-AB94-978CEDB0A06B}">
      <dgm:prSet/>
      <dgm:spPr/>
      <dgm:t>
        <a:bodyPr/>
        <a:lstStyle/>
        <a:p>
          <a:endParaRPr lang="en-US"/>
        </a:p>
      </dgm:t>
    </dgm:pt>
    <dgm:pt modelId="{57283A34-F958-49FA-A381-EFB79B531B55}" type="sibTrans" cxnId="{42232931-FA33-4618-AB94-978CEDB0A06B}">
      <dgm:prSet/>
      <dgm:spPr/>
      <dgm:t>
        <a:bodyPr/>
        <a:lstStyle/>
        <a:p>
          <a:endParaRPr lang="en-US"/>
        </a:p>
      </dgm:t>
    </dgm:pt>
    <dgm:pt modelId="{D1371CE5-1FB7-4D09-BE09-DD12E646C0B1}">
      <dgm:prSet phldrT="[Text]"/>
      <dgm:spPr/>
      <dgm:t>
        <a:bodyPr/>
        <a:lstStyle/>
        <a:p>
          <a:pPr>
            <a:buFont typeface="Arial" panose="020B0604020202020204" pitchFamily="34" charset="0"/>
            <a:buChar char="•"/>
          </a:pPr>
          <a:r>
            <a:rPr lang="en-US" b="1"/>
            <a:t>Reliability &amp; Competence of Systems</a:t>
          </a:r>
          <a:endParaRPr lang="en-US"/>
        </a:p>
        <a:p>
          <a:pPr>
            <a:buFont typeface="Arial" panose="020B0604020202020204" pitchFamily="34" charset="0"/>
            <a:buChar char="•"/>
          </a:pPr>
          <a:r>
            <a:rPr lang="en-US"/>
            <a:t>Consistent accuracy, usability, and validated results.</a:t>
          </a:r>
        </a:p>
      </dgm:t>
    </dgm:pt>
    <dgm:pt modelId="{FB32DBA7-AC58-4D8D-A8A1-AEB4A2CC8B44}" type="parTrans" cxnId="{A0613458-83AD-41EE-AF41-C2A8D9C06CCB}">
      <dgm:prSet/>
      <dgm:spPr/>
      <dgm:t>
        <a:bodyPr/>
        <a:lstStyle/>
        <a:p>
          <a:endParaRPr lang="en-US"/>
        </a:p>
      </dgm:t>
    </dgm:pt>
    <dgm:pt modelId="{9143D782-CE1A-4660-8B78-8E783FD7F199}" type="sibTrans" cxnId="{A0613458-83AD-41EE-AF41-C2A8D9C06CCB}">
      <dgm:prSet/>
      <dgm:spPr/>
      <dgm:t>
        <a:bodyPr/>
        <a:lstStyle/>
        <a:p>
          <a:endParaRPr lang="en-US"/>
        </a:p>
      </dgm:t>
    </dgm:pt>
    <dgm:pt modelId="{C316326B-AA29-4E08-88A5-0775DC152576}">
      <dgm:prSet/>
      <dgm:spPr/>
      <dgm:t>
        <a:bodyPr/>
        <a:lstStyle/>
        <a:p>
          <a:r>
            <a:rPr lang="en-US" b="1"/>
            <a:t>Privacy &amp; Data Integrity</a:t>
          </a:r>
          <a:endParaRPr lang="en-US"/>
        </a:p>
        <a:p>
          <a:pPr>
            <a:buFont typeface="Arial" panose="020B0604020202020204" pitchFamily="34" charset="0"/>
            <a:buChar char="•"/>
          </a:pPr>
          <a:r>
            <a:rPr lang="en-US"/>
            <a:t>Data security, consent, and transparency in handling.</a:t>
          </a:r>
        </a:p>
      </dgm:t>
    </dgm:pt>
    <dgm:pt modelId="{56C17E09-485E-4341-9583-3CB8799B276A}" type="parTrans" cxnId="{F4D4BDE7-9383-4EBF-B255-603FCDC9461D}">
      <dgm:prSet/>
      <dgm:spPr/>
      <dgm:t>
        <a:bodyPr/>
        <a:lstStyle/>
        <a:p>
          <a:endParaRPr lang="en-US"/>
        </a:p>
      </dgm:t>
    </dgm:pt>
    <dgm:pt modelId="{86BD79F1-DABF-42C3-88D1-D3EF16B83DAB}" type="sibTrans" cxnId="{F4D4BDE7-9383-4EBF-B255-603FCDC9461D}">
      <dgm:prSet/>
      <dgm:spPr/>
      <dgm:t>
        <a:bodyPr/>
        <a:lstStyle/>
        <a:p>
          <a:endParaRPr lang="en-US"/>
        </a:p>
      </dgm:t>
    </dgm:pt>
    <dgm:pt modelId="{46CF5869-0EFD-4431-8B1B-17E2C48DF829}">
      <dgm:prSet/>
      <dgm:spPr/>
      <dgm:t>
        <a:bodyPr/>
        <a:lstStyle/>
        <a:p>
          <a:pPr>
            <a:buFont typeface="Arial" panose="020B0604020202020204" pitchFamily="34" charset="0"/>
            <a:buChar char="•"/>
          </a:pPr>
          <a:r>
            <a:rPr lang="en-US" b="1"/>
            <a:t>Personalization &amp; User-Centric Design</a:t>
          </a:r>
          <a:endParaRPr lang="en-US"/>
        </a:p>
        <a:p>
          <a:pPr>
            <a:buFont typeface="Arial" panose="020B0604020202020204" pitchFamily="34" charset="0"/>
            <a:buChar char="•"/>
          </a:pPr>
          <a:r>
            <a:rPr lang="en-US"/>
            <a:t>Customization and accessibility tailored to diverse users.</a:t>
          </a:r>
        </a:p>
      </dgm:t>
    </dgm:pt>
    <dgm:pt modelId="{FFC9B1BE-177C-4952-BD17-C8EC0B95628A}" type="parTrans" cxnId="{012C0E5E-E198-4FF7-865D-8B5556242525}">
      <dgm:prSet/>
      <dgm:spPr/>
      <dgm:t>
        <a:bodyPr/>
        <a:lstStyle/>
        <a:p>
          <a:endParaRPr lang="en-US"/>
        </a:p>
      </dgm:t>
    </dgm:pt>
    <dgm:pt modelId="{65B80DC7-AA05-4DEF-8A74-6007400B7B44}" type="sibTrans" cxnId="{012C0E5E-E198-4FF7-865D-8B5556242525}">
      <dgm:prSet/>
      <dgm:spPr/>
      <dgm:t>
        <a:bodyPr/>
        <a:lstStyle/>
        <a:p>
          <a:endParaRPr lang="en-US"/>
        </a:p>
      </dgm:t>
    </dgm:pt>
    <dgm:pt modelId="{4357A640-303E-4C06-B15A-402287BB844E}" type="pres">
      <dgm:prSet presAssocID="{2B297B17-A49A-47C1-87D5-6AEA72E359C8}" presName="Name0" presStyleCnt="0">
        <dgm:presLayoutVars>
          <dgm:chMax val="7"/>
          <dgm:chPref val="7"/>
          <dgm:dir/>
        </dgm:presLayoutVars>
      </dgm:prSet>
      <dgm:spPr/>
    </dgm:pt>
    <dgm:pt modelId="{76FED89C-C0E1-4D93-B03E-8FBA86B73A24}" type="pres">
      <dgm:prSet presAssocID="{2B297B17-A49A-47C1-87D5-6AEA72E359C8}" presName="Name1" presStyleCnt="0"/>
      <dgm:spPr/>
    </dgm:pt>
    <dgm:pt modelId="{25AAFA4B-4EB0-4185-B528-8BAB766764D4}" type="pres">
      <dgm:prSet presAssocID="{2B297B17-A49A-47C1-87D5-6AEA72E359C8}" presName="cycle" presStyleCnt="0"/>
      <dgm:spPr/>
    </dgm:pt>
    <dgm:pt modelId="{A38A754E-5CD0-46C3-A6C1-668F6B7D666D}" type="pres">
      <dgm:prSet presAssocID="{2B297B17-A49A-47C1-87D5-6AEA72E359C8}" presName="srcNode" presStyleLbl="node1" presStyleIdx="0" presStyleCnt="5"/>
      <dgm:spPr/>
    </dgm:pt>
    <dgm:pt modelId="{E2DC5182-D162-43B1-A76E-21649481737E}" type="pres">
      <dgm:prSet presAssocID="{2B297B17-A49A-47C1-87D5-6AEA72E359C8}" presName="conn" presStyleLbl="parChTrans1D2" presStyleIdx="0" presStyleCnt="1"/>
      <dgm:spPr/>
    </dgm:pt>
    <dgm:pt modelId="{D92FF6BC-D7DB-4697-B3AC-26BFF00C032F}" type="pres">
      <dgm:prSet presAssocID="{2B297B17-A49A-47C1-87D5-6AEA72E359C8}" presName="extraNode" presStyleLbl="node1" presStyleIdx="0" presStyleCnt="5"/>
      <dgm:spPr/>
    </dgm:pt>
    <dgm:pt modelId="{42622107-0B24-483E-990F-C62C06688B92}" type="pres">
      <dgm:prSet presAssocID="{2B297B17-A49A-47C1-87D5-6AEA72E359C8}" presName="dstNode" presStyleLbl="node1" presStyleIdx="0" presStyleCnt="5"/>
      <dgm:spPr/>
    </dgm:pt>
    <dgm:pt modelId="{07FD8044-D7C2-431F-9806-89D8078C3B66}" type="pres">
      <dgm:prSet presAssocID="{6C511114-2760-41F4-AA80-343929761534}" presName="text_1" presStyleLbl="node1" presStyleIdx="0" presStyleCnt="5">
        <dgm:presLayoutVars>
          <dgm:bulletEnabled val="1"/>
        </dgm:presLayoutVars>
      </dgm:prSet>
      <dgm:spPr/>
    </dgm:pt>
    <dgm:pt modelId="{E6E31878-C3CE-45E8-8A36-1C7A06984435}" type="pres">
      <dgm:prSet presAssocID="{6C511114-2760-41F4-AA80-343929761534}" presName="accent_1" presStyleCnt="0"/>
      <dgm:spPr/>
    </dgm:pt>
    <dgm:pt modelId="{FC62E05D-EA37-4885-8C56-9C4E4CC4FB46}" type="pres">
      <dgm:prSet presAssocID="{6C511114-2760-41F4-AA80-343929761534}" presName="accentRepeatNode" presStyleLbl="solidFgAcc1" presStyleIdx="0" presStyleCnt="5"/>
      <dgm:spPr/>
    </dgm:pt>
    <dgm:pt modelId="{93FD34D9-48CF-452C-B52F-15C9AC61009A}" type="pres">
      <dgm:prSet presAssocID="{2B5AFB65-5CC8-46E3-84C0-82094B27D5A8}" presName="text_2" presStyleLbl="node1" presStyleIdx="1" presStyleCnt="5">
        <dgm:presLayoutVars>
          <dgm:bulletEnabled val="1"/>
        </dgm:presLayoutVars>
      </dgm:prSet>
      <dgm:spPr/>
    </dgm:pt>
    <dgm:pt modelId="{EF98025C-FB8D-4C95-8114-DB119A9ADAD5}" type="pres">
      <dgm:prSet presAssocID="{2B5AFB65-5CC8-46E3-84C0-82094B27D5A8}" presName="accent_2" presStyleCnt="0"/>
      <dgm:spPr/>
    </dgm:pt>
    <dgm:pt modelId="{5D68BAA0-E1FA-4A3E-8757-77CC5E5B15CA}" type="pres">
      <dgm:prSet presAssocID="{2B5AFB65-5CC8-46E3-84C0-82094B27D5A8}" presName="accentRepeatNode" presStyleLbl="solidFgAcc1" presStyleIdx="1" presStyleCnt="5"/>
      <dgm:spPr/>
    </dgm:pt>
    <dgm:pt modelId="{32637FFC-D560-4A1A-A940-D38F6D5739CF}" type="pres">
      <dgm:prSet presAssocID="{D1371CE5-1FB7-4D09-BE09-DD12E646C0B1}" presName="text_3" presStyleLbl="node1" presStyleIdx="2" presStyleCnt="5">
        <dgm:presLayoutVars>
          <dgm:bulletEnabled val="1"/>
        </dgm:presLayoutVars>
      </dgm:prSet>
      <dgm:spPr/>
    </dgm:pt>
    <dgm:pt modelId="{5CFCA115-AFF7-4BC4-9986-E709586BF6E3}" type="pres">
      <dgm:prSet presAssocID="{D1371CE5-1FB7-4D09-BE09-DD12E646C0B1}" presName="accent_3" presStyleCnt="0"/>
      <dgm:spPr/>
    </dgm:pt>
    <dgm:pt modelId="{5F60C32D-2D90-43F2-B9D8-937CD27404F4}" type="pres">
      <dgm:prSet presAssocID="{D1371CE5-1FB7-4D09-BE09-DD12E646C0B1}" presName="accentRepeatNode" presStyleLbl="solidFgAcc1" presStyleIdx="2" presStyleCnt="5"/>
      <dgm:spPr/>
    </dgm:pt>
    <dgm:pt modelId="{6D2A1D86-C016-47AF-B8F4-BE0EA169CFEA}" type="pres">
      <dgm:prSet presAssocID="{C316326B-AA29-4E08-88A5-0775DC152576}" presName="text_4" presStyleLbl="node1" presStyleIdx="3" presStyleCnt="5">
        <dgm:presLayoutVars>
          <dgm:bulletEnabled val="1"/>
        </dgm:presLayoutVars>
      </dgm:prSet>
      <dgm:spPr/>
    </dgm:pt>
    <dgm:pt modelId="{CF29F490-6FC8-4C7C-BE61-4866564C22EE}" type="pres">
      <dgm:prSet presAssocID="{C316326B-AA29-4E08-88A5-0775DC152576}" presName="accent_4" presStyleCnt="0"/>
      <dgm:spPr/>
    </dgm:pt>
    <dgm:pt modelId="{0DE52728-BADE-4543-A39F-9FEF4F9580E2}" type="pres">
      <dgm:prSet presAssocID="{C316326B-AA29-4E08-88A5-0775DC152576}" presName="accentRepeatNode" presStyleLbl="solidFgAcc1" presStyleIdx="3" presStyleCnt="5"/>
      <dgm:spPr/>
    </dgm:pt>
    <dgm:pt modelId="{D8AB6696-8566-4DEF-846C-6E6FC114D491}" type="pres">
      <dgm:prSet presAssocID="{46CF5869-0EFD-4431-8B1B-17E2C48DF829}" presName="text_5" presStyleLbl="node1" presStyleIdx="4" presStyleCnt="5">
        <dgm:presLayoutVars>
          <dgm:bulletEnabled val="1"/>
        </dgm:presLayoutVars>
      </dgm:prSet>
      <dgm:spPr/>
    </dgm:pt>
    <dgm:pt modelId="{D19F3DCB-EAD3-45E7-84BD-82AF408A8B48}" type="pres">
      <dgm:prSet presAssocID="{46CF5869-0EFD-4431-8B1B-17E2C48DF829}" presName="accent_5" presStyleCnt="0"/>
      <dgm:spPr/>
    </dgm:pt>
    <dgm:pt modelId="{EA248309-B12C-4BE1-8618-10C74BBFABC7}" type="pres">
      <dgm:prSet presAssocID="{46CF5869-0EFD-4431-8B1B-17E2C48DF829}" presName="accentRepeatNode" presStyleLbl="solidFgAcc1" presStyleIdx="4" presStyleCnt="5"/>
      <dgm:spPr/>
    </dgm:pt>
  </dgm:ptLst>
  <dgm:cxnLst>
    <dgm:cxn modelId="{9CFDDE15-42AD-4F1E-B291-E4007A51B513}" type="presOf" srcId="{211AF1B2-6BE5-4CC8-865B-B2E4E068C745}" destId="{E2DC5182-D162-43B1-A76E-21649481737E}" srcOrd="0" destOrd="0" presId="urn:microsoft.com/office/officeart/2008/layout/VerticalCurvedList"/>
    <dgm:cxn modelId="{B4AF8D2B-D218-4D17-9339-AC07E2025059}" type="presOf" srcId="{2B5AFB65-5CC8-46E3-84C0-82094B27D5A8}" destId="{93FD34D9-48CF-452C-B52F-15C9AC61009A}" srcOrd="0" destOrd="0" presId="urn:microsoft.com/office/officeart/2008/layout/VerticalCurvedList"/>
    <dgm:cxn modelId="{BE13152F-090E-4637-A062-620C2162315F}" type="presOf" srcId="{2B297B17-A49A-47C1-87D5-6AEA72E359C8}" destId="{4357A640-303E-4C06-B15A-402287BB844E}" srcOrd="0" destOrd="0" presId="urn:microsoft.com/office/officeart/2008/layout/VerticalCurvedList"/>
    <dgm:cxn modelId="{42232931-FA33-4618-AB94-978CEDB0A06B}" srcId="{2B297B17-A49A-47C1-87D5-6AEA72E359C8}" destId="{2B5AFB65-5CC8-46E3-84C0-82094B27D5A8}" srcOrd="1" destOrd="0" parTransId="{1809F9CB-AECD-4CF2-B6A2-AF5AFAC661DF}" sibTransId="{57283A34-F958-49FA-A381-EFB79B531B55}"/>
    <dgm:cxn modelId="{012C0E5E-E198-4FF7-865D-8B5556242525}" srcId="{2B297B17-A49A-47C1-87D5-6AEA72E359C8}" destId="{46CF5869-0EFD-4431-8B1B-17E2C48DF829}" srcOrd="4" destOrd="0" parTransId="{FFC9B1BE-177C-4952-BD17-C8EC0B95628A}" sibTransId="{65B80DC7-AA05-4DEF-8A74-6007400B7B44}"/>
    <dgm:cxn modelId="{17896F52-5A01-4043-91AE-EDDBAE840506}" srcId="{2B297B17-A49A-47C1-87D5-6AEA72E359C8}" destId="{6C511114-2760-41F4-AA80-343929761534}" srcOrd="0" destOrd="0" parTransId="{E8487019-602E-4690-B1E0-C10DE920D517}" sibTransId="{211AF1B2-6BE5-4CC8-865B-B2E4E068C745}"/>
    <dgm:cxn modelId="{A0613458-83AD-41EE-AF41-C2A8D9C06CCB}" srcId="{2B297B17-A49A-47C1-87D5-6AEA72E359C8}" destId="{D1371CE5-1FB7-4D09-BE09-DD12E646C0B1}" srcOrd="2" destOrd="0" parTransId="{FB32DBA7-AC58-4D8D-A8A1-AEB4A2CC8B44}" sibTransId="{9143D782-CE1A-4660-8B78-8E783FD7F199}"/>
    <dgm:cxn modelId="{11E08998-986C-4F95-AB0A-B208B3FFE118}" type="presOf" srcId="{6C511114-2760-41F4-AA80-343929761534}" destId="{07FD8044-D7C2-431F-9806-89D8078C3B66}" srcOrd="0" destOrd="0" presId="urn:microsoft.com/office/officeart/2008/layout/VerticalCurvedList"/>
    <dgm:cxn modelId="{E6B3E89A-2A1E-4AFA-93FC-0C9FE2EE9091}" type="presOf" srcId="{46CF5869-0EFD-4431-8B1B-17E2C48DF829}" destId="{D8AB6696-8566-4DEF-846C-6E6FC114D491}" srcOrd="0" destOrd="0" presId="urn:microsoft.com/office/officeart/2008/layout/VerticalCurvedList"/>
    <dgm:cxn modelId="{3168CBD2-6659-40AF-B78A-F4EB6D491B82}" type="presOf" srcId="{C316326B-AA29-4E08-88A5-0775DC152576}" destId="{6D2A1D86-C016-47AF-B8F4-BE0EA169CFEA}" srcOrd="0" destOrd="0" presId="urn:microsoft.com/office/officeart/2008/layout/VerticalCurvedList"/>
    <dgm:cxn modelId="{F4D4BDE7-9383-4EBF-B255-603FCDC9461D}" srcId="{2B297B17-A49A-47C1-87D5-6AEA72E359C8}" destId="{C316326B-AA29-4E08-88A5-0775DC152576}" srcOrd="3" destOrd="0" parTransId="{56C17E09-485E-4341-9583-3CB8799B276A}" sibTransId="{86BD79F1-DABF-42C3-88D1-D3EF16B83DAB}"/>
    <dgm:cxn modelId="{644BC5F9-46A7-4240-920B-F1649FB7AB5D}" type="presOf" srcId="{D1371CE5-1FB7-4D09-BE09-DD12E646C0B1}" destId="{32637FFC-D560-4A1A-A940-D38F6D5739CF}" srcOrd="0" destOrd="0" presId="urn:microsoft.com/office/officeart/2008/layout/VerticalCurvedList"/>
    <dgm:cxn modelId="{D23C6877-F097-4A54-9CE4-A3B22F00E425}" type="presParOf" srcId="{4357A640-303E-4C06-B15A-402287BB844E}" destId="{76FED89C-C0E1-4D93-B03E-8FBA86B73A24}" srcOrd="0" destOrd="0" presId="urn:microsoft.com/office/officeart/2008/layout/VerticalCurvedList"/>
    <dgm:cxn modelId="{80992B6B-95F0-4E12-ADEE-BEAC12692EC1}" type="presParOf" srcId="{76FED89C-C0E1-4D93-B03E-8FBA86B73A24}" destId="{25AAFA4B-4EB0-4185-B528-8BAB766764D4}" srcOrd="0" destOrd="0" presId="urn:microsoft.com/office/officeart/2008/layout/VerticalCurvedList"/>
    <dgm:cxn modelId="{CB7A269E-D2F4-4CA8-909A-A90A4FDB3445}" type="presParOf" srcId="{25AAFA4B-4EB0-4185-B528-8BAB766764D4}" destId="{A38A754E-5CD0-46C3-A6C1-668F6B7D666D}" srcOrd="0" destOrd="0" presId="urn:microsoft.com/office/officeart/2008/layout/VerticalCurvedList"/>
    <dgm:cxn modelId="{AE829D0B-682E-43C6-8BD2-8CF9A5EBDEF5}" type="presParOf" srcId="{25AAFA4B-4EB0-4185-B528-8BAB766764D4}" destId="{E2DC5182-D162-43B1-A76E-21649481737E}" srcOrd="1" destOrd="0" presId="urn:microsoft.com/office/officeart/2008/layout/VerticalCurvedList"/>
    <dgm:cxn modelId="{15BDC712-9214-4DD2-A706-A2F6B42378D7}" type="presParOf" srcId="{25AAFA4B-4EB0-4185-B528-8BAB766764D4}" destId="{D92FF6BC-D7DB-4697-B3AC-26BFF00C032F}" srcOrd="2" destOrd="0" presId="urn:microsoft.com/office/officeart/2008/layout/VerticalCurvedList"/>
    <dgm:cxn modelId="{31F3E363-0508-49BB-A4D6-DB9E0BFBA08E}" type="presParOf" srcId="{25AAFA4B-4EB0-4185-B528-8BAB766764D4}" destId="{42622107-0B24-483E-990F-C62C06688B92}" srcOrd="3" destOrd="0" presId="urn:microsoft.com/office/officeart/2008/layout/VerticalCurvedList"/>
    <dgm:cxn modelId="{3B6B2055-B338-4FA1-82C4-766F6EC2DFEA}" type="presParOf" srcId="{76FED89C-C0E1-4D93-B03E-8FBA86B73A24}" destId="{07FD8044-D7C2-431F-9806-89D8078C3B66}" srcOrd="1" destOrd="0" presId="urn:microsoft.com/office/officeart/2008/layout/VerticalCurvedList"/>
    <dgm:cxn modelId="{119D93F8-95A0-43E8-9966-494937FE6311}" type="presParOf" srcId="{76FED89C-C0E1-4D93-B03E-8FBA86B73A24}" destId="{E6E31878-C3CE-45E8-8A36-1C7A06984435}" srcOrd="2" destOrd="0" presId="urn:microsoft.com/office/officeart/2008/layout/VerticalCurvedList"/>
    <dgm:cxn modelId="{FB97BCB6-B947-41FB-A83D-65B2593AB816}" type="presParOf" srcId="{E6E31878-C3CE-45E8-8A36-1C7A06984435}" destId="{FC62E05D-EA37-4885-8C56-9C4E4CC4FB46}" srcOrd="0" destOrd="0" presId="urn:microsoft.com/office/officeart/2008/layout/VerticalCurvedList"/>
    <dgm:cxn modelId="{E25827E8-AA68-43C7-B00E-5B14E3C55919}" type="presParOf" srcId="{76FED89C-C0E1-4D93-B03E-8FBA86B73A24}" destId="{93FD34D9-48CF-452C-B52F-15C9AC61009A}" srcOrd="3" destOrd="0" presId="urn:microsoft.com/office/officeart/2008/layout/VerticalCurvedList"/>
    <dgm:cxn modelId="{1FE4F871-77DA-4EFE-B402-3D88A89E9F0F}" type="presParOf" srcId="{76FED89C-C0E1-4D93-B03E-8FBA86B73A24}" destId="{EF98025C-FB8D-4C95-8114-DB119A9ADAD5}" srcOrd="4" destOrd="0" presId="urn:microsoft.com/office/officeart/2008/layout/VerticalCurvedList"/>
    <dgm:cxn modelId="{080708A6-E651-4277-93AB-1E4BC24FBC7E}" type="presParOf" srcId="{EF98025C-FB8D-4C95-8114-DB119A9ADAD5}" destId="{5D68BAA0-E1FA-4A3E-8757-77CC5E5B15CA}" srcOrd="0" destOrd="0" presId="urn:microsoft.com/office/officeart/2008/layout/VerticalCurvedList"/>
    <dgm:cxn modelId="{E3A6D7CC-93F7-4015-95A0-5A93DC3C1FDB}" type="presParOf" srcId="{76FED89C-C0E1-4D93-B03E-8FBA86B73A24}" destId="{32637FFC-D560-4A1A-A940-D38F6D5739CF}" srcOrd="5" destOrd="0" presId="urn:microsoft.com/office/officeart/2008/layout/VerticalCurvedList"/>
    <dgm:cxn modelId="{45A7E8D5-235D-4F84-B03D-F734FB8D8CB5}" type="presParOf" srcId="{76FED89C-C0E1-4D93-B03E-8FBA86B73A24}" destId="{5CFCA115-AFF7-4BC4-9986-E709586BF6E3}" srcOrd="6" destOrd="0" presId="urn:microsoft.com/office/officeart/2008/layout/VerticalCurvedList"/>
    <dgm:cxn modelId="{2E1C815D-4F71-402B-B226-B937401A9C54}" type="presParOf" srcId="{5CFCA115-AFF7-4BC4-9986-E709586BF6E3}" destId="{5F60C32D-2D90-43F2-B9D8-937CD27404F4}" srcOrd="0" destOrd="0" presId="urn:microsoft.com/office/officeart/2008/layout/VerticalCurvedList"/>
    <dgm:cxn modelId="{D4431751-590D-498F-93ED-63D4E22E4342}" type="presParOf" srcId="{76FED89C-C0E1-4D93-B03E-8FBA86B73A24}" destId="{6D2A1D86-C016-47AF-B8F4-BE0EA169CFEA}" srcOrd="7" destOrd="0" presId="urn:microsoft.com/office/officeart/2008/layout/VerticalCurvedList"/>
    <dgm:cxn modelId="{6EB92EAF-EB5E-4B06-9CA9-4D49B0D2F595}" type="presParOf" srcId="{76FED89C-C0E1-4D93-B03E-8FBA86B73A24}" destId="{CF29F490-6FC8-4C7C-BE61-4866564C22EE}" srcOrd="8" destOrd="0" presId="urn:microsoft.com/office/officeart/2008/layout/VerticalCurvedList"/>
    <dgm:cxn modelId="{1C79CBD8-B5AF-4C6E-95D0-8D6E1681FA99}" type="presParOf" srcId="{CF29F490-6FC8-4C7C-BE61-4866564C22EE}" destId="{0DE52728-BADE-4543-A39F-9FEF4F9580E2}" srcOrd="0" destOrd="0" presId="urn:microsoft.com/office/officeart/2008/layout/VerticalCurvedList"/>
    <dgm:cxn modelId="{AC161448-3D3A-4E0F-A945-EB240282BC20}" type="presParOf" srcId="{76FED89C-C0E1-4D93-B03E-8FBA86B73A24}" destId="{D8AB6696-8566-4DEF-846C-6E6FC114D491}" srcOrd="9" destOrd="0" presId="urn:microsoft.com/office/officeart/2008/layout/VerticalCurvedList"/>
    <dgm:cxn modelId="{2C5DA364-889A-405B-A237-94E71493F32F}" type="presParOf" srcId="{76FED89C-C0E1-4D93-B03E-8FBA86B73A24}" destId="{D19F3DCB-EAD3-45E7-84BD-82AF408A8B48}" srcOrd="10" destOrd="0" presId="urn:microsoft.com/office/officeart/2008/layout/VerticalCurvedList"/>
    <dgm:cxn modelId="{D30F892D-CC8A-409B-8E5F-4621F48BE063}" type="presParOf" srcId="{D19F3DCB-EAD3-45E7-84BD-82AF408A8B48}" destId="{EA248309-B12C-4BE1-8618-10C74BBFABC7}" srcOrd="0" destOrd="0" presId="urn:microsoft.com/office/officeart/2008/layout/VerticalCurvedList"/>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DC5182-D162-43B1-A76E-21649481737E}">
      <dsp:nvSpPr>
        <dsp:cNvPr id="0" name=""/>
        <dsp:cNvSpPr/>
      </dsp:nvSpPr>
      <dsp:spPr>
        <a:xfrm>
          <a:off x="-3421143" y="-526051"/>
          <a:ext cx="4079148" cy="4079148"/>
        </a:xfrm>
        <a:prstGeom prst="blockArc">
          <a:avLst>
            <a:gd name="adj1" fmla="val 18900000"/>
            <a:gd name="adj2" fmla="val 2700000"/>
            <a:gd name="adj3" fmla="val 53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7FD8044-D7C2-431F-9806-89D8078C3B66}">
      <dsp:nvSpPr>
        <dsp:cNvPr id="0" name=""/>
        <dsp:cNvSpPr/>
      </dsp:nvSpPr>
      <dsp:spPr>
        <a:xfrm>
          <a:off x="288717" y="189129"/>
          <a:ext cx="3787273" cy="3785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0436" tIns="22860" rIns="22860" bIns="22860" numCol="1" spcCol="1270" anchor="ctr" anchorCtr="0">
          <a:noAutofit/>
        </a:bodyPr>
        <a:lstStyle/>
        <a:p>
          <a:pPr marL="0" lvl="0" indent="0" algn="l" defTabSz="400050">
            <a:lnSpc>
              <a:spcPct val="90000"/>
            </a:lnSpc>
            <a:spcBef>
              <a:spcPct val="0"/>
            </a:spcBef>
            <a:spcAft>
              <a:spcPct val="35000"/>
            </a:spcAft>
            <a:buFont typeface="Arial" panose="020B0604020202020204" pitchFamily="34" charset="0"/>
            <a:buNone/>
          </a:pPr>
          <a:r>
            <a:rPr lang="en-US" sz="900" b="1" kern="1200"/>
            <a:t>Algorithm Transparency &amp; Interpretability</a:t>
          </a:r>
          <a:endParaRPr lang="en-US" sz="900" kern="1200"/>
        </a:p>
        <a:p>
          <a:pPr marL="0" lvl="0" indent="0" algn="l" defTabSz="400050">
            <a:lnSpc>
              <a:spcPct val="90000"/>
            </a:lnSpc>
            <a:spcBef>
              <a:spcPct val="0"/>
            </a:spcBef>
            <a:spcAft>
              <a:spcPct val="35000"/>
            </a:spcAft>
            <a:buFont typeface="Arial" panose="020B0604020202020204" pitchFamily="34" charset="0"/>
            <a:buNone/>
          </a:pPr>
          <a:r>
            <a:rPr lang="en-US" sz="900" kern="1200"/>
            <a:t>Clear, understandable AI explanations to build trust.</a:t>
          </a:r>
        </a:p>
      </dsp:txBody>
      <dsp:txXfrm>
        <a:off x="288717" y="189129"/>
        <a:ext cx="3787273" cy="378501"/>
      </dsp:txXfrm>
    </dsp:sp>
    <dsp:sp modelId="{FC62E05D-EA37-4885-8C56-9C4E4CC4FB46}">
      <dsp:nvSpPr>
        <dsp:cNvPr id="0" name=""/>
        <dsp:cNvSpPr/>
      </dsp:nvSpPr>
      <dsp:spPr>
        <a:xfrm>
          <a:off x="52153" y="141817"/>
          <a:ext cx="473127" cy="473127"/>
        </a:xfrm>
        <a:prstGeom prst="ellipse">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93FD34D9-48CF-452C-B52F-15C9AC61009A}">
      <dsp:nvSpPr>
        <dsp:cNvPr id="0" name=""/>
        <dsp:cNvSpPr/>
      </dsp:nvSpPr>
      <dsp:spPr>
        <a:xfrm>
          <a:off x="559940" y="756700"/>
          <a:ext cx="3516050" cy="3785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0436" tIns="22860" rIns="22860" bIns="22860" numCol="1" spcCol="1270" anchor="ctr" anchorCtr="0">
          <a:noAutofit/>
        </a:bodyPr>
        <a:lstStyle/>
        <a:p>
          <a:pPr marL="0" lvl="0" indent="0" algn="l" defTabSz="400050">
            <a:lnSpc>
              <a:spcPct val="90000"/>
            </a:lnSpc>
            <a:spcBef>
              <a:spcPct val="0"/>
            </a:spcBef>
            <a:spcAft>
              <a:spcPct val="35000"/>
            </a:spcAft>
            <a:buFont typeface="Arial" panose="020B0604020202020204" pitchFamily="34" charset="0"/>
            <a:buNone/>
          </a:pPr>
          <a:r>
            <a:rPr lang="en-US" sz="900" b="1" kern="1200"/>
            <a:t>Physician Mediation &amp; Communication</a:t>
          </a:r>
          <a:endParaRPr lang="en-US" sz="900" kern="1200"/>
        </a:p>
        <a:p>
          <a:pPr marL="0" lvl="0" indent="0" algn="l" defTabSz="400050">
            <a:lnSpc>
              <a:spcPct val="90000"/>
            </a:lnSpc>
            <a:spcBef>
              <a:spcPct val="0"/>
            </a:spcBef>
            <a:spcAft>
              <a:spcPct val="35000"/>
            </a:spcAft>
            <a:buFont typeface="Arial" panose="020B0604020202020204" pitchFamily="34" charset="0"/>
            <a:buNone/>
          </a:pPr>
          <a:r>
            <a:rPr lang="en-US" sz="900" kern="1200"/>
            <a:t>Providers mediate AI outputs through empathy &amp; clarity.</a:t>
          </a:r>
        </a:p>
      </dsp:txBody>
      <dsp:txXfrm>
        <a:off x="559940" y="756700"/>
        <a:ext cx="3516050" cy="378501"/>
      </dsp:txXfrm>
    </dsp:sp>
    <dsp:sp modelId="{5D68BAA0-E1FA-4A3E-8757-77CC5E5B15CA}">
      <dsp:nvSpPr>
        <dsp:cNvPr id="0" name=""/>
        <dsp:cNvSpPr/>
      </dsp:nvSpPr>
      <dsp:spPr>
        <a:xfrm>
          <a:off x="323376" y="709387"/>
          <a:ext cx="473127" cy="473127"/>
        </a:xfrm>
        <a:prstGeom prst="ellipse">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32637FFC-D560-4A1A-A940-D38F6D5739CF}">
      <dsp:nvSpPr>
        <dsp:cNvPr id="0" name=""/>
        <dsp:cNvSpPr/>
      </dsp:nvSpPr>
      <dsp:spPr>
        <a:xfrm>
          <a:off x="643184" y="1324271"/>
          <a:ext cx="3432806" cy="3785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0436" tIns="22860" rIns="22860" bIns="22860" numCol="1" spcCol="1270" anchor="ctr" anchorCtr="0">
          <a:noAutofit/>
        </a:bodyPr>
        <a:lstStyle/>
        <a:p>
          <a:pPr marL="0" lvl="0" indent="0" algn="l" defTabSz="400050">
            <a:lnSpc>
              <a:spcPct val="90000"/>
            </a:lnSpc>
            <a:spcBef>
              <a:spcPct val="0"/>
            </a:spcBef>
            <a:spcAft>
              <a:spcPct val="35000"/>
            </a:spcAft>
            <a:buFont typeface="Arial" panose="020B0604020202020204" pitchFamily="34" charset="0"/>
            <a:buNone/>
          </a:pPr>
          <a:r>
            <a:rPr lang="en-US" sz="900" b="1" kern="1200"/>
            <a:t>Reliability &amp; Competence of Systems</a:t>
          </a:r>
          <a:endParaRPr lang="en-US" sz="900" kern="1200"/>
        </a:p>
        <a:p>
          <a:pPr marL="0" lvl="0" indent="0" algn="l" defTabSz="400050">
            <a:lnSpc>
              <a:spcPct val="90000"/>
            </a:lnSpc>
            <a:spcBef>
              <a:spcPct val="0"/>
            </a:spcBef>
            <a:spcAft>
              <a:spcPct val="35000"/>
            </a:spcAft>
            <a:buFont typeface="Arial" panose="020B0604020202020204" pitchFamily="34" charset="0"/>
            <a:buNone/>
          </a:pPr>
          <a:r>
            <a:rPr lang="en-US" sz="900" kern="1200"/>
            <a:t>Consistent accuracy, usability, and validated results.</a:t>
          </a:r>
        </a:p>
      </dsp:txBody>
      <dsp:txXfrm>
        <a:off x="643184" y="1324271"/>
        <a:ext cx="3432806" cy="378501"/>
      </dsp:txXfrm>
    </dsp:sp>
    <dsp:sp modelId="{5F60C32D-2D90-43F2-B9D8-937CD27404F4}">
      <dsp:nvSpPr>
        <dsp:cNvPr id="0" name=""/>
        <dsp:cNvSpPr/>
      </dsp:nvSpPr>
      <dsp:spPr>
        <a:xfrm>
          <a:off x="406620" y="1276958"/>
          <a:ext cx="473127" cy="473127"/>
        </a:xfrm>
        <a:prstGeom prst="ellipse">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6D2A1D86-C016-47AF-B8F4-BE0EA169CFEA}">
      <dsp:nvSpPr>
        <dsp:cNvPr id="0" name=""/>
        <dsp:cNvSpPr/>
      </dsp:nvSpPr>
      <dsp:spPr>
        <a:xfrm>
          <a:off x="559940" y="1891842"/>
          <a:ext cx="3516050" cy="3785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0436" tIns="22860" rIns="22860" bIns="22860" numCol="1" spcCol="1270" anchor="ctr" anchorCtr="0">
          <a:noAutofit/>
        </a:bodyPr>
        <a:lstStyle/>
        <a:p>
          <a:pPr marL="0" lvl="0" indent="0" algn="l" defTabSz="400050">
            <a:lnSpc>
              <a:spcPct val="90000"/>
            </a:lnSpc>
            <a:spcBef>
              <a:spcPct val="0"/>
            </a:spcBef>
            <a:spcAft>
              <a:spcPct val="35000"/>
            </a:spcAft>
            <a:buNone/>
          </a:pPr>
          <a:r>
            <a:rPr lang="en-US" sz="900" b="1" kern="1200"/>
            <a:t>Privacy &amp; Data Integrity</a:t>
          </a:r>
          <a:endParaRPr lang="en-US" sz="900" kern="1200"/>
        </a:p>
        <a:p>
          <a:pPr marL="0" lvl="0" indent="0" algn="l" defTabSz="400050">
            <a:lnSpc>
              <a:spcPct val="90000"/>
            </a:lnSpc>
            <a:spcBef>
              <a:spcPct val="0"/>
            </a:spcBef>
            <a:spcAft>
              <a:spcPct val="35000"/>
            </a:spcAft>
            <a:buFont typeface="Arial" panose="020B0604020202020204" pitchFamily="34" charset="0"/>
            <a:buNone/>
          </a:pPr>
          <a:r>
            <a:rPr lang="en-US" sz="900" kern="1200"/>
            <a:t>Data security, consent, and transparency in handling.</a:t>
          </a:r>
        </a:p>
      </dsp:txBody>
      <dsp:txXfrm>
        <a:off x="559940" y="1891842"/>
        <a:ext cx="3516050" cy="378501"/>
      </dsp:txXfrm>
    </dsp:sp>
    <dsp:sp modelId="{0DE52728-BADE-4543-A39F-9FEF4F9580E2}">
      <dsp:nvSpPr>
        <dsp:cNvPr id="0" name=""/>
        <dsp:cNvSpPr/>
      </dsp:nvSpPr>
      <dsp:spPr>
        <a:xfrm>
          <a:off x="323376" y="1844529"/>
          <a:ext cx="473127" cy="473127"/>
        </a:xfrm>
        <a:prstGeom prst="ellipse">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D8AB6696-8566-4DEF-846C-6E6FC114D491}">
      <dsp:nvSpPr>
        <dsp:cNvPr id="0" name=""/>
        <dsp:cNvSpPr/>
      </dsp:nvSpPr>
      <dsp:spPr>
        <a:xfrm>
          <a:off x="288717" y="2459413"/>
          <a:ext cx="3787273" cy="3785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0436" tIns="22860" rIns="22860" bIns="22860" numCol="1" spcCol="1270" anchor="ctr" anchorCtr="0">
          <a:noAutofit/>
        </a:bodyPr>
        <a:lstStyle/>
        <a:p>
          <a:pPr marL="0" lvl="0" indent="0" algn="l" defTabSz="400050">
            <a:lnSpc>
              <a:spcPct val="90000"/>
            </a:lnSpc>
            <a:spcBef>
              <a:spcPct val="0"/>
            </a:spcBef>
            <a:spcAft>
              <a:spcPct val="35000"/>
            </a:spcAft>
            <a:buFont typeface="Arial" panose="020B0604020202020204" pitchFamily="34" charset="0"/>
            <a:buNone/>
          </a:pPr>
          <a:r>
            <a:rPr lang="en-US" sz="900" b="1" kern="1200"/>
            <a:t>Personalization &amp; User-Centric Design</a:t>
          </a:r>
          <a:endParaRPr lang="en-US" sz="900" kern="1200"/>
        </a:p>
        <a:p>
          <a:pPr marL="0" lvl="0" indent="0" algn="l" defTabSz="400050">
            <a:lnSpc>
              <a:spcPct val="90000"/>
            </a:lnSpc>
            <a:spcBef>
              <a:spcPct val="0"/>
            </a:spcBef>
            <a:spcAft>
              <a:spcPct val="35000"/>
            </a:spcAft>
            <a:buFont typeface="Arial" panose="020B0604020202020204" pitchFamily="34" charset="0"/>
            <a:buNone/>
          </a:pPr>
          <a:r>
            <a:rPr lang="en-US" sz="900" kern="1200"/>
            <a:t>Customization and accessibility tailored to diverse users.</a:t>
          </a:r>
        </a:p>
      </dsp:txBody>
      <dsp:txXfrm>
        <a:off x="288717" y="2459413"/>
        <a:ext cx="3787273" cy="378501"/>
      </dsp:txXfrm>
    </dsp:sp>
    <dsp:sp modelId="{EA248309-B12C-4BE1-8618-10C74BBFABC7}">
      <dsp:nvSpPr>
        <dsp:cNvPr id="0" name=""/>
        <dsp:cNvSpPr/>
      </dsp:nvSpPr>
      <dsp:spPr>
        <a:xfrm>
          <a:off x="52153" y="2412100"/>
          <a:ext cx="473127" cy="473127"/>
        </a:xfrm>
        <a:prstGeom prst="ellipse">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15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9275265-91D0-4FF6-8E00-39DDE2DA4854}">
  <we:reference id="wa200000368" version="1.0.0.0" store="en-US" storeType="OMEX"/>
  <we:alternateReferences>
    <we:reference id="wa200000368" version="1.0.0.0" store="WA200000368" storeType="OMEX"/>
  </we:alternateReferences>
  <we:properties>
    <we:property name="documentId" value="&quot;204b207065f4b500&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5E8CB-9E17-4B10-89EF-3B10D973F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TotalTime>
  <Pages>24</Pages>
  <Words>10398</Words>
  <Characters>70058</Characters>
  <Application>Microsoft Office Word</Application>
  <DocSecurity>0</DocSecurity>
  <Lines>583</Lines>
  <Paragraphs>160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80296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3</cp:revision>
  <cp:lastPrinted>1999-07-06T11:00:00Z</cp:lastPrinted>
  <dcterms:created xsi:type="dcterms:W3CDTF">2025-10-18T18:16:00Z</dcterms:created>
  <dcterms:modified xsi:type="dcterms:W3CDTF">2025-10-27T11:14:00Z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d59faeab-e878-4bca-b01a-a36237856ce3</vt:lpwstr>
  </property>
</Properties>
</file>