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97C6" w14:textId="77777777" w:rsidR="00F41D57" w:rsidRPr="00F41D57" w:rsidRDefault="00F41D57" w:rsidP="00F41D57">
      <w:pPr>
        <w:pStyle w:val="Author"/>
        <w:rPr>
          <w:rFonts w:ascii="Arial" w:hAnsi="Arial" w:cs="Arial"/>
          <w:bCs/>
          <w:i/>
          <w:iCs/>
          <w:kern w:val="28"/>
          <w:sz w:val="32"/>
          <w:szCs w:val="18"/>
          <w:u w:val="single"/>
        </w:rPr>
      </w:pPr>
      <w:r w:rsidRPr="00F41D57">
        <w:rPr>
          <w:rFonts w:ascii="Arial" w:hAnsi="Arial" w:cs="Arial"/>
          <w:bCs/>
          <w:i/>
          <w:iCs/>
          <w:kern w:val="28"/>
          <w:sz w:val="32"/>
          <w:szCs w:val="18"/>
          <w:u w:val="single"/>
        </w:rPr>
        <w:t>Short Research Article</w:t>
      </w:r>
    </w:p>
    <w:p w14:paraId="718F4DF9" w14:textId="77777777" w:rsidR="00F41D57" w:rsidRDefault="00F41D57" w:rsidP="00AF35CF">
      <w:pPr>
        <w:pStyle w:val="Author"/>
        <w:spacing w:line="240" w:lineRule="auto"/>
        <w:rPr>
          <w:rFonts w:ascii="Arial" w:hAnsi="Arial" w:cs="Arial"/>
          <w:bCs/>
          <w:iCs/>
          <w:kern w:val="28"/>
          <w:sz w:val="36"/>
        </w:rPr>
      </w:pPr>
    </w:p>
    <w:p w14:paraId="46131B16" w14:textId="12B2D483" w:rsidR="00A258C3" w:rsidRDefault="00B95B95" w:rsidP="00AF35CF">
      <w:pPr>
        <w:pStyle w:val="Author"/>
        <w:spacing w:line="240" w:lineRule="auto"/>
        <w:rPr>
          <w:rFonts w:ascii="Arial" w:hAnsi="Arial" w:cs="Arial"/>
          <w:bCs/>
          <w:iCs/>
          <w:kern w:val="28"/>
          <w:sz w:val="36"/>
        </w:rPr>
      </w:pPr>
      <w:r w:rsidRPr="00B95B95">
        <w:rPr>
          <w:rFonts w:ascii="Arial" w:hAnsi="Arial" w:cs="Arial"/>
          <w:bCs/>
          <w:iCs/>
          <w:kern w:val="28"/>
          <w:sz w:val="36"/>
        </w:rPr>
        <w:t>Trade Competitiveness and Market Dynamics of India’s Fresh Fruit Exports: An Analysis of Grapes, Bananas, and Oranges</w:t>
      </w:r>
    </w:p>
    <w:p w14:paraId="18A7F89F" w14:textId="77777777" w:rsidR="00F41D57" w:rsidRPr="00790ADA" w:rsidRDefault="00F41D57" w:rsidP="00AF35CF">
      <w:pPr>
        <w:pStyle w:val="Author"/>
        <w:spacing w:line="240" w:lineRule="auto"/>
        <w:rPr>
          <w:rFonts w:ascii="Arial" w:hAnsi="Arial" w:cs="Arial"/>
          <w:sz w:val="36"/>
        </w:rPr>
      </w:pPr>
    </w:p>
    <w:p w14:paraId="2CD06735" w14:textId="77777777" w:rsidR="00F41D57" w:rsidRPr="00F41D57" w:rsidRDefault="00F41D57" w:rsidP="00F41D57"/>
    <w:p w14:paraId="4CC91230" w14:textId="7647F79A" w:rsidR="00B01FCD" w:rsidRPr="00FB3A86" w:rsidRDefault="002E2C02" w:rsidP="00441B6F">
      <w:pPr>
        <w:pStyle w:val="Copyright"/>
        <w:spacing w:after="0" w:line="240" w:lineRule="auto"/>
        <w:jc w:val="both"/>
        <w:rPr>
          <w:rFonts w:ascii="Arial" w:hAnsi="Arial" w:cs="Arial"/>
        </w:rPr>
        <w:sectPr w:rsidR="00B01FCD" w:rsidRPr="00FB3A86" w:rsidSect="00A146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17B5279" wp14:editId="39045545">
                <wp:extent cx="5303520" cy="635"/>
                <wp:effectExtent l="15240" t="14605" r="15240" b="13970"/>
                <wp:docPr id="1064918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9B41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CBA190" w14:textId="2FA9F5E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0201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918AFC" w14:textId="77777777" w:rsidTr="00A063EB">
        <w:tc>
          <w:tcPr>
            <w:tcW w:w="9576" w:type="dxa"/>
            <w:shd w:val="clear" w:color="auto" w:fill="F2F2F2"/>
          </w:tcPr>
          <w:p w14:paraId="06C4F256" w14:textId="04AE9BCE" w:rsidR="00505F06" w:rsidRPr="00A063EB" w:rsidRDefault="004F439E" w:rsidP="00A063EB">
            <w:pPr>
              <w:pStyle w:val="Body"/>
              <w:spacing w:after="0"/>
              <w:rPr>
                <w:rFonts w:ascii="Arial" w:eastAsia="Calibri" w:hAnsi="Arial" w:cs="Arial"/>
                <w:szCs w:val="22"/>
                <w:lang w:val="en-IN"/>
              </w:rPr>
            </w:pPr>
            <w:r w:rsidRPr="00C53682">
              <w:rPr>
                <w:rFonts w:ascii="Arial" w:eastAsia="Calibri" w:hAnsi="Arial" w:cs="Arial"/>
                <w:szCs w:val="22"/>
                <w:lang w:val="en-IN"/>
              </w:rPr>
              <w:t xml:space="preserve">The study analyses the trade competitiveness and market dynamics of India’s fresh fruit exports - grapes (HS 080610), bananas (HS 080390), and oranges (HS 080510) - during the period 2013–2024. Using quantitative time-series data from the International Trade Centre (ITC) Trade Map, the study employs the Herfindahl–Hirschman Index (HHI), Markov Chain Analysis, and the Cuddy–Della Valle Instability Index (CDVI) to assess market concentration, destination loyalty, and export stability. </w:t>
            </w:r>
            <w:r w:rsidR="004B09D0" w:rsidRPr="0005305C">
              <w:rPr>
                <w:rFonts w:ascii="Arial" w:eastAsia="Calibri" w:hAnsi="Arial" w:cs="Arial"/>
                <w:szCs w:val="22"/>
                <w:highlight w:val="yellow"/>
                <w:lang w:val="en-IN"/>
              </w:rPr>
              <w:t xml:space="preserve">Exports were </w:t>
            </w:r>
            <w:proofErr w:type="spellStart"/>
            <w:r w:rsidR="004B09D0" w:rsidRPr="0005305C">
              <w:rPr>
                <w:rFonts w:ascii="Arial" w:eastAsia="Calibri" w:hAnsi="Arial" w:cs="Arial"/>
                <w:szCs w:val="22"/>
                <w:highlight w:val="yellow"/>
                <w:lang w:val="en-IN"/>
              </w:rPr>
              <w:t>analyzed</w:t>
            </w:r>
            <w:proofErr w:type="spellEnd"/>
            <w:r w:rsidR="004B09D0" w:rsidRPr="0005305C">
              <w:rPr>
                <w:rFonts w:ascii="Arial" w:eastAsia="Calibri" w:hAnsi="Arial" w:cs="Arial"/>
                <w:szCs w:val="22"/>
                <w:highlight w:val="yellow"/>
                <w:lang w:val="en-IN"/>
              </w:rPr>
              <w:t xml:space="preserve"> across major importing regions, including Europe, South Asia, and the Gulf countries</w:t>
            </w:r>
            <w:r w:rsidR="004B09D0" w:rsidRPr="0005305C">
              <w:rPr>
                <w:rFonts w:ascii="Arial" w:eastAsia="Calibri" w:hAnsi="Arial" w:cs="Arial"/>
                <w:szCs w:val="22"/>
                <w:highlight w:val="yellow"/>
                <w:lang w:val="en-IN"/>
              </w:rPr>
              <w:t xml:space="preserve"> </w:t>
            </w:r>
            <w:r w:rsidRPr="0005305C">
              <w:rPr>
                <w:rFonts w:ascii="Arial" w:eastAsia="Calibri" w:hAnsi="Arial" w:cs="Arial"/>
                <w:szCs w:val="22"/>
                <w:highlight w:val="yellow"/>
                <w:lang w:val="en-IN"/>
              </w:rPr>
              <w:t>to evaluate competitiveness and diversification trends.</w:t>
            </w:r>
            <w:r w:rsidRPr="00C53682">
              <w:rPr>
                <w:rFonts w:ascii="Arial" w:eastAsia="Calibri" w:hAnsi="Arial" w:cs="Arial"/>
                <w:szCs w:val="22"/>
                <w:lang w:val="en-IN"/>
              </w:rPr>
              <w:t xml:space="preserve"> Results indicated that grapes and bananas exhibited low and stable HHI values (0.14–0.21), signifying well-diversified markets, whereas oranges showed high concentration (0.56–0.89), reflecting limited market reach. The Markov Chain Analysis revealed strong market loyalty for grapes within the European Union and moderate transitions for bananas across Gulf countries. CDVI results indicated that grape exports were the most stable (14.53%), followed by bananas (39.30%) and oranges (57.19%). Overall, India’s grape exports emerged as the most competitive and stable, bananas showed moderate volatility with growing opportunities, while oranges remained geographically confined and unstable. </w:t>
            </w:r>
            <w:r w:rsidR="004B09D0" w:rsidRPr="0005305C">
              <w:rPr>
                <w:rFonts w:ascii="Arial" w:eastAsia="Calibri" w:hAnsi="Arial" w:cs="Arial"/>
                <w:szCs w:val="22"/>
                <w:highlight w:val="yellow"/>
                <w:lang w:val="en-IN"/>
              </w:rPr>
              <w:t>The study underscores the need for strategic policy measures focused on market diversification, infrastructure development, and value addition to strengthen India’s position in the global fruit export market</w:t>
            </w:r>
            <w:r w:rsidRPr="0005305C">
              <w:rPr>
                <w:rFonts w:ascii="Arial" w:eastAsia="Calibri" w:hAnsi="Arial" w:cs="Arial"/>
                <w:szCs w:val="22"/>
                <w:highlight w:val="yellow"/>
                <w:lang w:val="en-IN"/>
              </w:rPr>
              <w:t>.</w:t>
            </w:r>
          </w:p>
        </w:tc>
      </w:tr>
    </w:tbl>
    <w:p w14:paraId="068DB2CD" w14:textId="77777777" w:rsidR="00636EB2" w:rsidRDefault="00636EB2" w:rsidP="00441B6F">
      <w:pPr>
        <w:pStyle w:val="Body"/>
        <w:spacing w:after="0"/>
        <w:rPr>
          <w:rFonts w:ascii="Arial" w:hAnsi="Arial" w:cs="Arial"/>
          <w:i/>
        </w:rPr>
      </w:pPr>
    </w:p>
    <w:p w14:paraId="7D136AF8" w14:textId="207BB75E" w:rsidR="00790ADA" w:rsidRDefault="00A24E7E" w:rsidP="00441B6F">
      <w:pPr>
        <w:pStyle w:val="Body"/>
        <w:spacing w:after="0"/>
        <w:rPr>
          <w:rFonts w:ascii="Arial" w:hAnsi="Arial" w:cs="Arial"/>
          <w:i/>
        </w:rPr>
      </w:pPr>
      <w:r>
        <w:rPr>
          <w:rFonts w:ascii="Arial" w:hAnsi="Arial" w:cs="Arial"/>
          <w:i/>
        </w:rPr>
        <w:t xml:space="preserve">Keywords: </w:t>
      </w:r>
      <w:r w:rsidR="0051294F" w:rsidRPr="0051294F">
        <w:rPr>
          <w:rFonts w:ascii="Arial" w:hAnsi="Arial" w:cs="Arial"/>
          <w:i/>
        </w:rPr>
        <w:t>India’s Fruit Exports; Trade Competitiveness; Market Diversification; Markov Chain Analysis; Export Stability.</w:t>
      </w:r>
    </w:p>
    <w:p w14:paraId="5A1D5C56" w14:textId="77777777" w:rsidR="00505F06" w:rsidRDefault="00505F06" w:rsidP="00441B6F">
      <w:pPr>
        <w:pStyle w:val="Body"/>
        <w:spacing w:after="0"/>
        <w:rPr>
          <w:rFonts w:ascii="Arial" w:hAnsi="Arial" w:cs="Arial"/>
          <w:i/>
        </w:rPr>
      </w:pPr>
    </w:p>
    <w:p w14:paraId="682D7B71" w14:textId="77777777" w:rsidR="00F41D57" w:rsidRDefault="00F41D57" w:rsidP="00441B6F">
      <w:pPr>
        <w:pStyle w:val="Body"/>
        <w:spacing w:after="0"/>
        <w:rPr>
          <w:rFonts w:ascii="Arial" w:hAnsi="Arial" w:cs="Arial"/>
          <w:i/>
        </w:rPr>
      </w:pPr>
    </w:p>
    <w:p w14:paraId="2CAF1D2D" w14:textId="77777777" w:rsidR="00F41D57" w:rsidRPr="00A24E7E" w:rsidRDefault="00F41D57" w:rsidP="00441B6F">
      <w:pPr>
        <w:pStyle w:val="Body"/>
        <w:spacing w:after="0"/>
        <w:rPr>
          <w:rFonts w:ascii="Arial" w:hAnsi="Arial" w:cs="Arial"/>
          <w:i/>
        </w:rPr>
      </w:pPr>
    </w:p>
    <w:p w14:paraId="336C2BDB" w14:textId="20BEA4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DB3784" w14:textId="77777777" w:rsidR="00790ADA" w:rsidRPr="00FB3A86" w:rsidRDefault="00790ADA" w:rsidP="00441B6F">
      <w:pPr>
        <w:pStyle w:val="AbstHead"/>
        <w:spacing w:after="0"/>
        <w:jc w:val="both"/>
        <w:rPr>
          <w:rFonts w:ascii="Arial" w:hAnsi="Arial" w:cs="Arial"/>
        </w:rPr>
      </w:pPr>
    </w:p>
    <w:p w14:paraId="2CB04C40" w14:textId="77777777" w:rsidR="00C53682" w:rsidRDefault="0051294F" w:rsidP="004F439E">
      <w:pPr>
        <w:pStyle w:val="Body"/>
        <w:rPr>
          <w:rFonts w:ascii="Arial" w:hAnsi="Arial" w:cs="Arial"/>
        </w:rPr>
      </w:pPr>
      <w:r w:rsidRPr="0051294F">
        <w:rPr>
          <w:rFonts w:ascii="Arial" w:hAnsi="Arial" w:cs="Arial"/>
        </w:rPr>
        <w:t xml:space="preserve">India’s horticulture sector has emerged as a key pillar of agricultural growth, making the country the second-largest producer of fruits and vegetables in the world after China. In 2023–24, India’s horticultural output was estimated at 353.19 million </w:t>
      </w:r>
      <w:proofErr w:type="spellStart"/>
      <w:r w:rsidRPr="0051294F">
        <w:rPr>
          <w:rFonts w:ascii="Arial" w:hAnsi="Arial" w:cs="Arial"/>
        </w:rPr>
        <w:t>tonnes</w:t>
      </w:r>
      <w:proofErr w:type="spellEnd"/>
      <w:r w:rsidRPr="0051294F">
        <w:rPr>
          <w:rFonts w:ascii="Arial" w:hAnsi="Arial" w:cs="Arial"/>
        </w:rPr>
        <w:t xml:space="preserve">, covering about 28.98 million hectares, of which 112.63 million </w:t>
      </w:r>
      <w:proofErr w:type="spellStart"/>
      <w:r w:rsidRPr="0051294F">
        <w:rPr>
          <w:rFonts w:ascii="Arial" w:hAnsi="Arial" w:cs="Arial"/>
        </w:rPr>
        <w:t>tonnes</w:t>
      </w:r>
      <w:proofErr w:type="spellEnd"/>
      <w:r w:rsidRPr="0051294F">
        <w:rPr>
          <w:rFonts w:ascii="Arial" w:hAnsi="Arial" w:cs="Arial"/>
        </w:rPr>
        <w:t xml:space="preserve"> were fruits (</w:t>
      </w:r>
      <w:proofErr w:type="spellStart"/>
      <w:r w:rsidRPr="0051294F">
        <w:rPr>
          <w:rFonts w:ascii="Arial" w:hAnsi="Arial" w:cs="Arial"/>
        </w:rPr>
        <w:t>GoI</w:t>
      </w:r>
      <w:proofErr w:type="spellEnd"/>
      <w:r w:rsidRPr="0051294F">
        <w:rPr>
          <w:rFonts w:ascii="Arial" w:hAnsi="Arial" w:cs="Arial"/>
        </w:rPr>
        <w:t>, 2024). Despite this strong production base, India’s share in the global fruit export market remains around 2%, indicating substantial untapped potential.</w:t>
      </w:r>
      <w:r w:rsidR="004F439E">
        <w:rPr>
          <w:rFonts w:ascii="Arial" w:hAnsi="Arial" w:cs="Arial"/>
        </w:rPr>
        <w:t xml:space="preserve"> </w:t>
      </w:r>
    </w:p>
    <w:p w14:paraId="33410549" w14:textId="3B92627A" w:rsidR="00790ADA" w:rsidRPr="00FB3A86" w:rsidRDefault="0051294F" w:rsidP="004F439E">
      <w:pPr>
        <w:pStyle w:val="Body"/>
        <w:rPr>
          <w:rFonts w:ascii="Arial" w:hAnsi="Arial" w:cs="Arial"/>
        </w:rPr>
      </w:pPr>
      <w:r w:rsidRPr="0051294F">
        <w:rPr>
          <w:rFonts w:ascii="Arial" w:hAnsi="Arial" w:cs="Arial"/>
        </w:rPr>
        <w:t>Among India’s fruit exports, Grapes, Bananas, and Oranges hold a dominant position. India ranks first globally in Banana production and among the top ten producers of Grapes and Oranges, exporting mainly to the European Union, Middle East, and Asian markets. While Grapes have established strong trade linkages, Bananas and Oranges show emerging potential in new markets due to better post-harvest management and quality compliance.</w:t>
      </w:r>
      <w:r w:rsidR="00363353">
        <w:rPr>
          <w:rFonts w:ascii="Arial" w:hAnsi="Arial" w:cs="Arial"/>
        </w:rPr>
        <w:t xml:space="preserve"> </w:t>
      </w:r>
      <w:r w:rsidRPr="0051294F">
        <w:rPr>
          <w:rFonts w:ascii="Arial" w:hAnsi="Arial" w:cs="Arial"/>
        </w:rPr>
        <w:lastRenderedPageBreak/>
        <w:t xml:space="preserve">However, global fruit trade is becoming increasingly competitive, shaped by evolving consumer preferences, quality standards, and supply-chain dynamics. Sustaining India’s export growth requires greater insight into the market concentration, stability, and competitiveness of its fruit exports. Previous studies have analyzed India’s </w:t>
      </w:r>
      <w:proofErr w:type="spellStart"/>
      <w:r w:rsidRPr="0051294F">
        <w:rPr>
          <w:rFonts w:ascii="Arial" w:hAnsi="Arial" w:cs="Arial"/>
        </w:rPr>
        <w:t>agri</w:t>
      </w:r>
      <w:proofErr w:type="spellEnd"/>
      <w:r w:rsidRPr="0051294F">
        <w:rPr>
          <w:rFonts w:ascii="Arial" w:hAnsi="Arial" w:cs="Arial"/>
        </w:rPr>
        <w:t>-exports using tools such as the Revealed Comparative Advantage (RCA), Herfindahl–Hirschman Index (HHI), Markov Chain, and Cuddy–Della Valle Instability Index (CDVI) (Kumar et al., 2019; Singh &amp; Badal, 2020; Sharma et al., 2021). Yet, comparative dynamic studies across multiple fruit commodities remain limited.</w:t>
      </w:r>
      <w:r w:rsidR="004F439E">
        <w:rPr>
          <w:rFonts w:ascii="Arial" w:hAnsi="Arial" w:cs="Arial"/>
        </w:rPr>
        <w:t xml:space="preserve"> </w:t>
      </w:r>
    </w:p>
    <w:p w14:paraId="1D4D5B3F" w14:textId="7D41008F" w:rsidR="0051294F" w:rsidRPr="00C53682" w:rsidRDefault="004F439E" w:rsidP="0051294F">
      <w:pPr>
        <w:pStyle w:val="Body"/>
        <w:spacing w:after="0"/>
        <w:rPr>
          <w:rFonts w:ascii="Arial" w:hAnsi="Arial" w:cs="Arial"/>
        </w:rPr>
      </w:pPr>
      <w:r w:rsidRPr="00C53682">
        <w:rPr>
          <w:rFonts w:ascii="Arial" w:hAnsi="Arial" w:cs="Arial"/>
        </w:rPr>
        <w:t>The present study aims to analyze the trade competitiveness and market dynamics of India’s fresh fruit exports-specifically fresh grapes, fresh bananas, and fresh oranges-over the period 2013 to 2024. The study focuses on three key objectives: first, to assess the level of market concentration and export diversification of India’s fresh fruit exports using the Herfindahl-Hirschman Index (HHI); second, to examine market loyalty and transition probabilities of major fruit export destinations through Markov Chain Analysis; and third, to measure the degree of export instability and consistency in India’s fruit exports over time using the Cuddy-Della Valle Instability Index (CDVI).</w:t>
      </w:r>
    </w:p>
    <w:p w14:paraId="482BCFA3" w14:textId="77777777" w:rsidR="004F439E" w:rsidRDefault="004F439E" w:rsidP="0051294F">
      <w:pPr>
        <w:pStyle w:val="Body"/>
        <w:spacing w:after="0"/>
        <w:rPr>
          <w:rFonts w:ascii="Arial" w:hAnsi="Arial" w:cs="Arial"/>
        </w:rPr>
      </w:pPr>
    </w:p>
    <w:p w14:paraId="775B2DF8" w14:textId="320B7B95" w:rsidR="0051294F" w:rsidRDefault="004F439E" w:rsidP="0051294F">
      <w:pPr>
        <w:pStyle w:val="AbstHead"/>
        <w:spacing w:after="0"/>
        <w:jc w:val="both"/>
        <w:rPr>
          <w:rFonts w:ascii="Arial" w:hAnsi="Arial" w:cs="Arial"/>
        </w:rPr>
      </w:pPr>
      <w:r>
        <w:rPr>
          <w:rFonts w:ascii="Arial" w:hAnsi="Arial" w:cs="Arial"/>
        </w:rPr>
        <w:t>2</w:t>
      </w:r>
      <w:r w:rsidR="0051294F">
        <w:rPr>
          <w:rFonts w:ascii="Arial" w:hAnsi="Arial" w:cs="Arial"/>
        </w:rPr>
        <w:t>. MATERIALS AND METHODS</w:t>
      </w:r>
    </w:p>
    <w:p w14:paraId="7FFF6F83" w14:textId="77777777" w:rsidR="0051294F" w:rsidRDefault="0051294F" w:rsidP="0051294F">
      <w:pPr>
        <w:pStyle w:val="AbstHead"/>
        <w:spacing w:after="0"/>
        <w:jc w:val="both"/>
        <w:rPr>
          <w:rFonts w:ascii="Arial" w:hAnsi="Arial" w:cs="Arial"/>
        </w:rPr>
      </w:pPr>
    </w:p>
    <w:p w14:paraId="1CA95691" w14:textId="1D053059" w:rsidR="0051294F" w:rsidRPr="00875848" w:rsidRDefault="004F439E" w:rsidP="0051294F">
      <w:pPr>
        <w:pStyle w:val="AbstHead"/>
        <w:spacing w:after="0"/>
        <w:jc w:val="both"/>
        <w:rPr>
          <w:rFonts w:ascii="Arial" w:hAnsi="Arial" w:cs="Arial"/>
          <w:caps w:val="0"/>
        </w:rPr>
      </w:pPr>
      <w:r>
        <w:rPr>
          <w:rFonts w:ascii="Arial" w:hAnsi="Arial" w:cs="Arial"/>
          <w:caps w:val="0"/>
        </w:rPr>
        <w:t>2</w:t>
      </w:r>
      <w:r w:rsidR="0051294F" w:rsidRPr="00875848">
        <w:rPr>
          <w:rFonts w:ascii="Arial" w:hAnsi="Arial" w:cs="Arial"/>
          <w:caps w:val="0"/>
        </w:rPr>
        <w:t>.1 Data sourcing</w:t>
      </w:r>
    </w:p>
    <w:p w14:paraId="5D760C58" w14:textId="4E3948EA" w:rsidR="0051294F" w:rsidRPr="00875848" w:rsidRDefault="0051294F" w:rsidP="0051294F">
      <w:pPr>
        <w:adjustRightInd w:val="0"/>
        <w:spacing w:after="80"/>
        <w:jc w:val="both"/>
        <w:rPr>
          <w:rFonts w:ascii="Arial" w:hAnsi="Arial" w:cs="Arial"/>
        </w:rPr>
      </w:pPr>
      <w:r w:rsidRPr="00875848">
        <w:rPr>
          <w:rFonts w:ascii="Arial" w:hAnsi="Arial" w:cs="Arial"/>
        </w:rPr>
        <w:t>The study is based on secondary time-series data on India’s exports of fresh fruits for the period 2013–2024. The data were obtained from the International Trade Centre (ITC) Trade Map.</w:t>
      </w:r>
      <w:r w:rsidR="003E1A35">
        <w:rPr>
          <w:rFonts w:ascii="Arial" w:hAnsi="Arial" w:cs="Arial"/>
        </w:rPr>
        <w:t xml:space="preserve"> </w:t>
      </w:r>
      <w:r w:rsidRPr="00875848">
        <w:rPr>
          <w:rFonts w:ascii="Arial" w:hAnsi="Arial" w:cs="Arial"/>
        </w:rPr>
        <w:t>The analysis focused on three major fruit commodities identified by their Harmonized System Nomenclature (HSN) / HS codes, as per international trade classification under Chapter 08 (Edible fruits and nuts; peel of citrus fruits or melons):</w:t>
      </w:r>
    </w:p>
    <w:p w14:paraId="4602F386" w14:textId="567D3F9A" w:rsidR="0051294F" w:rsidRPr="00875848" w:rsidRDefault="0051294F" w:rsidP="0040248F">
      <w:pPr>
        <w:pStyle w:val="Body"/>
        <w:spacing w:before="240" w:after="0"/>
        <w:rPr>
          <w:rFonts w:ascii="Arial" w:hAnsi="Arial" w:cs="Arial"/>
          <w:b/>
          <w:bCs/>
        </w:rPr>
      </w:pPr>
      <w:r w:rsidRPr="00875848">
        <w:rPr>
          <w:rFonts w:ascii="Arial" w:hAnsi="Arial" w:cs="Arial"/>
          <w:b/>
          <w:bCs/>
        </w:rPr>
        <w:t>Table 1. Commodity and HSN Code details</w:t>
      </w:r>
    </w:p>
    <w:p w14:paraId="2C3CA477" w14:textId="77777777" w:rsidR="0051294F" w:rsidRPr="00875848" w:rsidRDefault="0051294F" w:rsidP="0051294F">
      <w:pPr>
        <w:pStyle w:val="Body"/>
        <w:spacing w:after="0"/>
        <w:rPr>
          <w:rFonts w:ascii="Arial" w:hAnsi="Arial" w:cs="Arial"/>
        </w:rPr>
      </w:pPr>
    </w:p>
    <w:tbl>
      <w:tblPr>
        <w:tblW w:w="8335" w:type="dxa"/>
        <w:jc w:val="center"/>
        <w:tblLook w:val="04A0" w:firstRow="1" w:lastRow="0" w:firstColumn="1" w:lastColumn="0" w:noHBand="0" w:noVBand="1"/>
      </w:tblPr>
      <w:tblGrid>
        <w:gridCol w:w="1985"/>
        <w:gridCol w:w="4507"/>
        <w:gridCol w:w="1843"/>
      </w:tblGrid>
      <w:tr w:rsidR="0051294F" w:rsidRPr="00875848" w14:paraId="5481BD03" w14:textId="77777777" w:rsidTr="00445A40">
        <w:trPr>
          <w:trHeight w:val="333"/>
          <w:jc w:val="center"/>
        </w:trPr>
        <w:tc>
          <w:tcPr>
            <w:tcW w:w="1985" w:type="dxa"/>
            <w:tcBorders>
              <w:top w:val="single" w:sz="4" w:space="0" w:color="auto"/>
              <w:bottom w:val="single" w:sz="4" w:space="0" w:color="auto"/>
            </w:tcBorders>
            <w:vAlign w:val="center"/>
            <w:hideMark/>
          </w:tcPr>
          <w:p w14:paraId="088D5202" w14:textId="77777777" w:rsidR="0051294F" w:rsidRPr="00875848" w:rsidRDefault="0051294F" w:rsidP="0051294F">
            <w:pPr>
              <w:rPr>
                <w:rFonts w:ascii="Arial" w:hAnsi="Arial" w:cs="Arial"/>
                <w:b/>
                <w:bCs/>
                <w:color w:val="000000"/>
                <w:lang w:eastAsia="en-IN"/>
              </w:rPr>
            </w:pPr>
            <w:r w:rsidRPr="00875848">
              <w:rPr>
                <w:rFonts w:ascii="Arial" w:hAnsi="Arial" w:cs="Arial"/>
                <w:b/>
                <w:bCs/>
                <w:color w:val="000000"/>
                <w:lang w:eastAsia="en-IN"/>
              </w:rPr>
              <w:t>Commodity</w:t>
            </w:r>
          </w:p>
        </w:tc>
        <w:tc>
          <w:tcPr>
            <w:tcW w:w="4507" w:type="dxa"/>
            <w:tcBorders>
              <w:top w:val="single" w:sz="4" w:space="0" w:color="auto"/>
              <w:bottom w:val="single" w:sz="4" w:space="0" w:color="auto"/>
            </w:tcBorders>
            <w:vAlign w:val="center"/>
            <w:hideMark/>
          </w:tcPr>
          <w:p w14:paraId="308FC94E" w14:textId="77777777" w:rsidR="0051294F" w:rsidRPr="00875848" w:rsidRDefault="0051294F" w:rsidP="0051294F">
            <w:pPr>
              <w:rPr>
                <w:rFonts w:ascii="Arial" w:hAnsi="Arial" w:cs="Arial"/>
                <w:b/>
                <w:bCs/>
                <w:color w:val="000000"/>
                <w:lang w:eastAsia="en-IN"/>
              </w:rPr>
            </w:pPr>
            <w:r w:rsidRPr="00875848">
              <w:rPr>
                <w:rFonts w:ascii="Arial" w:hAnsi="Arial" w:cs="Arial"/>
                <w:b/>
                <w:bCs/>
                <w:color w:val="000000"/>
                <w:lang w:eastAsia="en-IN"/>
              </w:rPr>
              <w:t>Description (as per HS Classification)</w:t>
            </w:r>
          </w:p>
        </w:tc>
        <w:tc>
          <w:tcPr>
            <w:tcW w:w="1843" w:type="dxa"/>
            <w:tcBorders>
              <w:top w:val="single" w:sz="4" w:space="0" w:color="auto"/>
              <w:bottom w:val="single" w:sz="4" w:space="0" w:color="auto"/>
            </w:tcBorders>
            <w:vAlign w:val="center"/>
            <w:hideMark/>
          </w:tcPr>
          <w:p w14:paraId="172A801E" w14:textId="77777777" w:rsidR="0051294F" w:rsidRPr="00875848" w:rsidRDefault="0051294F" w:rsidP="0051294F">
            <w:pPr>
              <w:rPr>
                <w:rFonts w:ascii="Arial" w:hAnsi="Arial" w:cs="Arial"/>
                <w:b/>
                <w:bCs/>
                <w:color w:val="000000"/>
                <w:lang w:eastAsia="en-IN"/>
              </w:rPr>
            </w:pPr>
            <w:r w:rsidRPr="00875848">
              <w:rPr>
                <w:rFonts w:ascii="Arial" w:hAnsi="Arial" w:cs="Arial"/>
                <w:b/>
                <w:bCs/>
                <w:color w:val="000000"/>
                <w:lang w:eastAsia="en-IN"/>
              </w:rPr>
              <w:t>HSN / HS Code</w:t>
            </w:r>
          </w:p>
        </w:tc>
      </w:tr>
      <w:tr w:rsidR="0051294F" w:rsidRPr="00875848" w14:paraId="76330578" w14:textId="77777777" w:rsidTr="00445A40">
        <w:trPr>
          <w:trHeight w:val="333"/>
          <w:jc w:val="center"/>
        </w:trPr>
        <w:tc>
          <w:tcPr>
            <w:tcW w:w="1985" w:type="dxa"/>
            <w:tcBorders>
              <w:top w:val="single" w:sz="4" w:space="0" w:color="auto"/>
            </w:tcBorders>
            <w:vAlign w:val="center"/>
            <w:hideMark/>
          </w:tcPr>
          <w:p w14:paraId="103D0C30"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Fresh Grapes</w:t>
            </w:r>
          </w:p>
        </w:tc>
        <w:tc>
          <w:tcPr>
            <w:tcW w:w="4507" w:type="dxa"/>
            <w:tcBorders>
              <w:top w:val="single" w:sz="4" w:space="0" w:color="auto"/>
            </w:tcBorders>
            <w:vAlign w:val="center"/>
            <w:hideMark/>
          </w:tcPr>
          <w:p w14:paraId="110936BA"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Grapes, fresh</w:t>
            </w:r>
          </w:p>
        </w:tc>
        <w:tc>
          <w:tcPr>
            <w:tcW w:w="1843" w:type="dxa"/>
            <w:tcBorders>
              <w:top w:val="single" w:sz="4" w:space="0" w:color="auto"/>
            </w:tcBorders>
            <w:vAlign w:val="center"/>
            <w:hideMark/>
          </w:tcPr>
          <w:p w14:paraId="29853445"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80610</w:t>
            </w:r>
          </w:p>
        </w:tc>
      </w:tr>
      <w:tr w:rsidR="0051294F" w:rsidRPr="00875848" w14:paraId="29046A18" w14:textId="77777777" w:rsidTr="00445A40">
        <w:trPr>
          <w:trHeight w:val="333"/>
          <w:jc w:val="center"/>
        </w:trPr>
        <w:tc>
          <w:tcPr>
            <w:tcW w:w="1985" w:type="dxa"/>
            <w:vAlign w:val="center"/>
            <w:hideMark/>
          </w:tcPr>
          <w:p w14:paraId="1E65B499"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Fresh Bananas</w:t>
            </w:r>
          </w:p>
        </w:tc>
        <w:tc>
          <w:tcPr>
            <w:tcW w:w="4507" w:type="dxa"/>
            <w:vAlign w:val="center"/>
            <w:hideMark/>
          </w:tcPr>
          <w:p w14:paraId="3ECE098E"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Bananas, including plantains, fresh or dried</w:t>
            </w:r>
          </w:p>
        </w:tc>
        <w:tc>
          <w:tcPr>
            <w:tcW w:w="1843" w:type="dxa"/>
            <w:vAlign w:val="center"/>
            <w:hideMark/>
          </w:tcPr>
          <w:p w14:paraId="01515A5E"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80390</w:t>
            </w:r>
          </w:p>
        </w:tc>
      </w:tr>
      <w:tr w:rsidR="0051294F" w:rsidRPr="00875848" w14:paraId="3EEE3E28" w14:textId="77777777" w:rsidTr="00445A40">
        <w:trPr>
          <w:trHeight w:val="333"/>
          <w:jc w:val="center"/>
        </w:trPr>
        <w:tc>
          <w:tcPr>
            <w:tcW w:w="1985" w:type="dxa"/>
            <w:tcBorders>
              <w:bottom w:val="single" w:sz="4" w:space="0" w:color="auto"/>
            </w:tcBorders>
            <w:vAlign w:val="center"/>
            <w:hideMark/>
          </w:tcPr>
          <w:p w14:paraId="2966D910"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Fresh Oranges</w:t>
            </w:r>
          </w:p>
        </w:tc>
        <w:tc>
          <w:tcPr>
            <w:tcW w:w="4507" w:type="dxa"/>
            <w:tcBorders>
              <w:bottom w:val="single" w:sz="4" w:space="0" w:color="auto"/>
            </w:tcBorders>
            <w:vAlign w:val="center"/>
            <w:hideMark/>
          </w:tcPr>
          <w:p w14:paraId="69A1FE95"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Oranges, fresh or dried</w:t>
            </w:r>
          </w:p>
        </w:tc>
        <w:tc>
          <w:tcPr>
            <w:tcW w:w="1843" w:type="dxa"/>
            <w:tcBorders>
              <w:bottom w:val="single" w:sz="4" w:space="0" w:color="auto"/>
            </w:tcBorders>
            <w:vAlign w:val="center"/>
            <w:hideMark/>
          </w:tcPr>
          <w:p w14:paraId="06B0926E" w14:textId="77777777" w:rsidR="0051294F" w:rsidRPr="00875848" w:rsidRDefault="0051294F" w:rsidP="0051294F">
            <w:pPr>
              <w:rPr>
                <w:rFonts w:ascii="Arial" w:hAnsi="Arial" w:cs="Arial"/>
                <w:color w:val="000000"/>
                <w:lang w:eastAsia="en-IN"/>
              </w:rPr>
            </w:pPr>
            <w:r w:rsidRPr="00875848">
              <w:rPr>
                <w:rFonts w:ascii="Arial" w:hAnsi="Arial" w:cs="Arial"/>
                <w:color w:val="000000"/>
                <w:lang w:eastAsia="en-IN"/>
              </w:rPr>
              <w:t>80510</w:t>
            </w:r>
          </w:p>
        </w:tc>
      </w:tr>
    </w:tbl>
    <w:p w14:paraId="3F4EF65C" w14:textId="77777777" w:rsidR="0051294F" w:rsidRDefault="0051294F" w:rsidP="0051294F">
      <w:pPr>
        <w:pStyle w:val="Body"/>
        <w:spacing w:after="0"/>
        <w:rPr>
          <w:rFonts w:ascii="Arial" w:hAnsi="Arial" w:cs="Arial"/>
        </w:rPr>
      </w:pPr>
    </w:p>
    <w:p w14:paraId="0FE05D65" w14:textId="2EAC4F26" w:rsidR="00875848" w:rsidRPr="00875848" w:rsidRDefault="00875848" w:rsidP="004F439E">
      <w:pPr>
        <w:pStyle w:val="AbstHead"/>
        <w:numPr>
          <w:ilvl w:val="1"/>
          <w:numId w:val="38"/>
        </w:numPr>
        <w:spacing w:after="0"/>
        <w:jc w:val="both"/>
        <w:rPr>
          <w:rFonts w:ascii="Arial" w:hAnsi="Arial" w:cs="Arial"/>
          <w:caps w:val="0"/>
        </w:rPr>
      </w:pPr>
      <w:r w:rsidRPr="00875848">
        <w:rPr>
          <w:rFonts w:ascii="Arial" w:hAnsi="Arial" w:cs="Arial"/>
          <w:caps w:val="0"/>
        </w:rPr>
        <w:t>Analytical Framework</w:t>
      </w:r>
    </w:p>
    <w:p w14:paraId="4DD349F7" w14:textId="77777777" w:rsidR="00875848" w:rsidRPr="00875848" w:rsidRDefault="00875848" w:rsidP="00875848">
      <w:pPr>
        <w:pStyle w:val="NormalWeb"/>
        <w:spacing w:before="0" w:before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eastAsia="en-US"/>
        </w:rPr>
        <w:t>To achieve the study objectives, three analytical techniques were employed</w:t>
      </w:r>
      <w:r w:rsidRPr="00875848">
        <w:rPr>
          <w:rFonts w:ascii="Arial" w:eastAsia="Calibri" w:hAnsi="Arial" w:cs="Arial"/>
          <w:sz w:val="20"/>
          <w:szCs w:val="20"/>
          <w:lang w:val="en-US" w:eastAsia="en-US"/>
        </w:rPr>
        <w:t>.</w:t>
      </w:r>
    </w:p>
    <w:p w14:paraId="02B141C8" w14:textId="2E5D8D45" w:rsidR="00875848" w:rsidRPr="00875848" w:rsidRDefault="00875848" w:rsidP="004F439E">
      <w:pPr>
        <w:pStyle w:val="Heading3"/>
        <w:numPr>
          <w:ilvl w:val="2"/>
          <w:numId w:val="38"/>
        </w:numPr>
        <w:spacing w:before="0"/>
        <w:jc w:val="both"/>
        <w:rPr>
          <w:rFonts w:ascii="Arial" w:hAnsi="Arial" w:cs="Arial"/>
          <w:b/>
          <w:bCs/>
          <w:color w:val="auto"/>
          <w:sz w:val="20"/>
          <w:szCs w:val="20"/>
          <w:u w:val="single"/>
        </w:rPr>
      </w:pPr>
      <w:r w:rsidRPr="00875848">
        <w:rPr>
          <w:rFonts w:ascii="Arial" w:hAnsi="Arial" w:cs="Arial"/>
          <w:b/>
          <w:bCs/>
          <w:color w:val="auto"/>
          <w:sz w:val="20"/>
          <w:szCs w:val="20"/>
          <w:u w:val="single"/>
        </w:rPr>
        <w:t>Herfindahl–Hirschman Index</w:t>
      </w:r>
    </w:p>
    <w:p w14:paraId="253993E9" w14:textId="1E3C8505" w:rsidR="00C53682" w:rsidRPr="00875848" w:rsidRDefault="00875848" w:rsidP="00875848">
      <w:pPr>
        <w:pStyle w:val="NormalWeb"/>
        <w:spacing w:before="0" w:beforeAutospacing="0" w:after="0" w:after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The Herfindahl–Hirschman Index was used to measure the degree of export market concentration and diversification of India’s exports</w:t>
      </w:r>
      <w:r w:rsidR="00445A40">
        <w:rPr>
          <w:rFonts w:ascii="Arial" w:eastAsia="Calibri" w:hAnsi="Arial" w:cs="Arial"/>
          <w:sz w:val="20"/>
          <w:szCs w:val="20"/>
          <w:lang w:val="en-US" w:eastAsia="en-US"/>
        </w:rPr>
        <w:t>.</w:t>
      </w:r>
    </w:p>
    <w:p w14:paraId="46DEFF10" w14:textId="77777777" w:rsidR="00875848" w:rsidRPr="00875848" w:rsidRDefault="00875848" w:rsidP="00875848">
      <w:pPr>
        <w:pStyle w:val="NormalWeb"/>
        <w:spacing w:before="0" w:beforeAutospacing="0" w:after="0" w:after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It is computed as:</w:t>
      </w:r>
    </w:p>
    <w:p w14:paraId="73EBDF21" w14:textId="77777777" w:rsidR="00875848" w:rsidRPr="00875848" w:rsidRDefault="00875848" w:rsidP="00875848">
      <w:pPr>
        <w:pStyle w:val="NormalWeb"/>
        <w:spacing w:before="0" w:beforeAutospacing="0" w:after="240" w:afterAutospacing="0" w:line="276" w:lineRule="auto"/>
        <w:jc w:val="both"/>
        <w:rPr>
          <w:rFonts w:ascii="Arial" w:eastAsia="Calibri" w:hAnsi="Arial" w:cs="Arial"/>
          <w:sz w:val="20"/>
          <w:szCs w:val="20"/>
        </w:rPr>
      </w:pPr>
      <m:oMathPara>
        <m:oMathParaPr>
          <m:jc m:val="center"/>
        </m:oMathParaPr>
        <m:oMath>
          <m:r>
            <w:rPr>
              <w:rFonts w:ascii="Cambria Math" w:hAnsi="Cambria Math" w:cs="Arial"/>
              <w:sz w:val="20"/>
              <w:szCs w:val="20"/>
            </w:rPr>
            <m:t>HHI=</m:t>
          </m:r>
          <m:nary>
            <m:naryPr>
              <m:chr m:val="∑"/>
              <m:limLoc m:val="undOvr"/>
              <m:grow m:val="1"/>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Sup>
                <m:sSubSupPr>
                  <m:ctrlPr>
                    <w:rPr>
                      <w:rFonts w:ascii="Cambria Math" w:hAnsi="Cambria Math" w:cs="Arial"/>
                      <w:i/>
                      <w:sz w:val="20"/>
                      <w:szCs w:val="20"/>
                    </w:rPr>
                  </m:ctrlPr>
                </m:sSubSupPr>
                <m:e>
                  <m:r>
                    <w:rPr>
                      <w:rFonts w:ascii="Cambria Math" w:hAnsi="Cambria Math" w:cs="Arial"/>
                      <w:sz w:val="20"/>
                      <w:szCs w:val="20"/>
                    </w:rPr>
                    <m:t>S</m:t>
                  </m:r>
                </m:e>
                <m:sub>
                  <m:r>
                    <w:rPr>
                      <w:rFonts w:ascii="Cambria Math" w:hAnsi="Cambria Math" w:cs="Arial"/>
                      <w:sz w:val="20"/>
                      <w:szCs w:val="20"/>
                    </w:rPr>
                    <m:t>i</m:t>
                  </m:r>
                </m:sub>
                <m:sup>
                  <m:r>
                    <w:rPr>
                      <w:rFonts w:ascii="Cambria Math" w:hAnsi="Cambria Math" w:cs="Arial"/>
                      <w:sz w:val="20"/>
                      <w:szCs w:val="20"/>
                    </w:rPr>
                    <m:t>2</m:t>
                  </m:r>
                </m:sup>
              </m:sSubSup>
            </m:e>
          </m:nary>
          <m:r>
            <w:rPr>
              <w:rFonts w:ascii="Cambria Math" w:hAnsi="Cambria Math" w:cs="Arial"/>
              <w:sz w:val="20"/>
              <w:szCs w:val="20"/>
            </w:rPr>
            <m:t>​</m:t>
          </m:r>
        </m:oMath>
      </m:oMathPara>
    </w:p>
    <w:p w14:paraId="6B804733" w14:textId="5B7D5DA3" w:rsidR="00875848" w:rsidRPr="00875848" w:rsidRDefault="00875848" w:rsidP="00875848">
      <w:pPr>
        <w:pStyle w:val="NormalWeb"/>
        <w:spacing w:before="0" w:beforeAutospacing="0" w:after="0" w:afterAutospacing="0" w:line="276" w:lineRule="auto"/>
        <w:jc w:val="both"/>
        <w:rPr>
          <w:rFonts w:ascii="Arial" w:eastAsia="Calibri" w:hAnsi="Arial" w:cs="Arial"/>
          <w:sz w:val="20"/>
          <w:szCs w:val="20"/>
        </w:rPr>
      </w:pPr>
      <w:r w:rsidRPr="00875848">
        <w:rPr>
          <w:rFonts w:ascii="Arial" w:eastAsia="Calibri" w:hAnsi="Arial" w:cs="Arial"/>
          <w:sz w:val="20"/>
          <w:szCs w:val="20"/>
        </w:rPr>
        <w:t>where,</w:t>
      </w:r>
      <w:r w:rsidRPr="00875848">
        <w:rPr>
          <w:rFonts w:ascii="Arial" w:eastAsia="Calibri" w:hAnsi="Arial" w:cs="Arial"/>
          <w:sz w:val="20"/>
          <w:szCs w:val="20"/>
        </w:rPr>
        <w:br/>
      </w:r>
      <m:oMathPara>
        <m:oMathParaPr>
          <m:jc m:val="left"/>
        </m:oMathParaPr>
        <m:oMath>
          <m:sSub>
            <m:sSubPr>
              <m:ctrlPr>
                <w:rPr>
                  <w:rFonts w:ascii="Cambria Math" w:eastAsia="Calibri" w:hAnsi="Cambria Math" w:cs="Arial"/>
                  <w:sz w:val="20"/>
                  <w:szCs w:val="20"/>
                </w:rPr>
              </m:ctrlPr>
            </m:sSubPr>
            <m:e>
              <m:r>
                <w:rPr>
                  <w:rFonts w:ascii="Cambria Math" w:eastAsia="Calibri" w:hAnsi="Cambria Math" w:cs="Arial"/>
                  <w:sz w:val="20"/>
                  <w:szCs w:val="20"/>
                </w:rPr>
                <m:t>s</m:t>
              </m:r>
            </m:e>
            <m:sub>
              <m:r>
                <w:rPr>
                  <w:rFonts w:ascii="Cambria Math" w:eastAsia="Calibri" w:hAnsi="Cambria Math" w:cs="Arial"/>
                  <w:sz w:val="20"/>
                  <w:szCs w:val="20"/>
                </w:rPr>
                <m:t>i</m:t>
              </m:r>
            </m:sub>
          </m:sSub>
          <m:r>
            <w:rPr>
              <w:rFonts w:ascii="Cambria Math" w:eastAsia="Calibri" w:hAnsi="Cambria Math" w:cs="Arial"/>
              <w:sz w:val="20"/>
              <w:szCs w:val="20"/>
            </w:rPr>
            <m:t>=</m:t>
          </m:r>
          <m:f>
            <m:fPr>
              <m:ctrlPr>
                <w:rPr>
                  <w:rFonts w:ascii="Cambria Math" w:eastAsia="Calibri" w:hAnsi="Cambria Math" w:cs="Arial"/>
                  <w:sz w:val="20"/>
                  <w:szCs w:val="20"/>
                </w:rPr>
              </m:ctrlPr>
            </m:fPr>
            <m:num>
              <m:sSub>
                <m:sSubPr>
                  <m:ctrlPr>
                    <w:rPr>
                      <w:rFonts w:ascii="Cambria Math" w:eastAsia="Calibri" w:hAnsi="Cambria Math" w:cs="Arial"/>
                      <w:sz w:val="20"/>
                      <w:szCs w:val="20"/>
                    </w:rPr>
                  </m:ctrlPr>
                </m:sSubPr>
                <m:e>
                  <m:r>
                    <w:rPr>
                      <w:rFonts w:ascii="Cambria Math" w:eastAsia="Calibri" w:hAnsi="Cambria Math" w:cs="Arial"/>
                      <w:sz w:val="20"/>
                      <w:szCs w:val="20"/>
                    </w:rPr>
                    <m:t>X</m:t>
                  </m:r>
                </m:e>
                <m:sub>
                  <m:r>
                    <w:rPr>
                      <w:rFonts w:ascii="Cambria Math" w:eastAsia="Calibri" w:hAnsi="Cambria Math" w:cs="Arial"/>
                      <w:sz w:val="20"/>
                      <w:szCs w:val="20"/>
                    </w:rPr>
                    <m:t>i</m:t>
                  </m:r>
                </m:sub>
              </m:sSub>
            </m:num>
            <m:den>
              <m:r>
                <w:rPr>
                  <w:rFonts w:ascii="Cambria Math" w:eastAsia="Calibri" w:hAnsi="Cambria Math" w:cs="Arial"/>
                  <w:sz w:val="20"/>
                  <w:szCs w:val="20"/>
                </w:rPr>
                <m:t>∑</m:t>
              </m:r>
              <m:sSub>
                <m:sSubPr>
                  <m:ctrlPr>
                    <w:rPr>
                      <w:rFonts w:ascii="Cambria Math" w:eastAsia="Calibri" w:hAnsi="Cambria Math" w:cs="Arial"/>
                      <w:sz w:val="20"/>
                      <w:szCs w:val="20"/>
                    </w:rPr>
                  </m:ctrlPr>
                </m:sSubPr>
                <m:e>
                  <m:r>
                    <w:rPr>
                      <w:rFonts w:ascii="Cambria Math" w:eastAsia="Calibri" w:hAnsi="Cambria Math" w:cs="Arial"/>
                      <w:sz w:val="20"/>
                      <w:szCs w:val="20"/>
                    </w:rPr>
                    <m:t>X</m:t>
                  </m:r>
                </m:e>
                <m:sub>
                  <m:r>
                    <w:rPr>
                      <w:rFonts w:ascii="Cambria Math" w:eastAsia="Calibri" w:hAnsi="Cambria Math" w:cs="Arial"/>
                      <w:sz w:val="20"/>
                      <w:szCs w:val="20"/>
                    </w:rPr>
                    <m:t>i</m:t>
                  </m:r>
                </m:sub>
              </m:sSub>
            </m:den>
          </m:f>
          <m:r>
            <m:rPr>
              <m:sty m:val="p"/>
            </m:rPr>
            <w:rPr>
              <w:rFonts w:ascii="Cambria Math" w:eastAsia="Calibri" w:hAnsi="Cambria Math" w:cs="Arial"/>
              <w:sz w:val="20"/>
              <w:szCs w:val="20"/>
            </w:rPr>
            <w:br/>
          </m:r>
        </m:oMath>
      </m:oMathPara>
      <w:r w:rsidRPr="00875848">
        <w:rPr>
          <w:rFonts w:ascii="Arial" w:eastAsia="Calibri" w:hAnsi="Arial" w:cs="Arial"/>
          <w:sz w:val="20"/>
          <w:szCs w:val="20"/>
        </w:rPr>
        <w:t xml:space="preserve">and </w:t>
      </w:r>
      <m:oMath>
        <m:sSub>
          <m:sSubPr>
            <m:ctrlPr>
              <w:rPr>
                <w:rFonts w:ascii="Cambria Math" w:eastAsia="Calibri" w:hAnsi="Cambria Math" w:cs="Arial"/>
                <w:sz w:val="20"/>
                <w:szCs w:val="20"/>
              </w:rPr>
            </m:ctrlPr>
          </m:sSubPr>
          <m:e>
            <m:r>
              <w:rPr>
                <w:rFonts w:ascii="Cambria Math" w:eastAsia="Calibri" w:hAnsi="Cambria Math" w:cs="Arial"/>
                <w:sz w:val="20"/>
                <w:szCs w:val="20"/>
              </w:rPr>
              <m:t>X</m:t>
            </m:r>
          </m:e>
          <m:sub>
            <m:r>
              <w:rPr>
                <w:rFonts w:ascii="Cambria Math" w:eastAsia="Calibri" w:hAnsi="Cambria Math" w:cs="Arial"/>
                <w:sz w:val="20"/>
                <w:szCs w:val="20"/>
              </w:rPr>
              <m:t>i</m:t>
            </m:r>
          </m:sub>
        </m:sSub>
      </m:oMath>
      <w:r w:rsidRPr="00875848">
        <w:rPr>
          <w:rFonts w:ascii="Arial" w:eastAsia="Calibri" w:hAnsi="Arial" w:cs="Arial"/>
          <w:sz w:val="20"/>
          <w:szCs w:val="20"/>
        </w:rPr>
        <w:t xml:space="preserve">represents the value of exports from India to the </w:t>
      </w:r>
      <w:proofErr w:type="spellStart"/>
      <w:r w:rsidRPr="00875848">
        <w:rPr>
          <w:rFonts w:ascii="Arial" w:eastAsia="Calibri" w:hAnsi="Arial" w:cs="Arial"/>
          <w:i/>
          <w:iCs/>
          <w:sz w:val="20"/>
          <w:szCs w:val="20"/>
        </w:rPr>
        <w:t>i</w:t>
      </w:r>
      <w:r w:rsidRPr="00875848">
        <w:rPr>
          <w:rFonts w:ascii="Arial" w:eastAsia="Calibri" w:hAnsi="Arial" w:cs="Arial"/>
          <w:sz w:val="20"/>
          <w:szCs w:val="20"/>
        </w:rPr>
        <w:t>th</w:t>
      </w:r>
      <w:proofErr w:type="spellEnd"/>
      <w:r w:rsidRPr="00875848">
        <w:rPr>
          <w:rFonts w:ascii="Arial" w:eastAsia="Calibri" w:hAnsi="Arial" w:cs="Arial"/>
          <w:sz w:val="20"/>
          <w:szCs w:val="20"/>
        </w:rPr>
        <w:t xml:space="preserve"> importing country, and </w:t>
      </w:r>
      <w:r w:rsidRPr="00875848">
        <w:rPr>
          <w:rFonts w:ascii="Arial" w:eastAsia="Calibri" w:hAnsi="Arial" w:cs="Arial"/>
          <w:i/>
          <w:iCs/>
          <w:sz w:val="20"/>
          <w:szCs w:val="20"/>
        </w:rPr>
        <w:t>n</w:t>
      </w:r>
      <w:r w:rsidRPr="00875848">
        <w:rPr>
          <w:rFonts w:ascii="Arial" w:eastAsia="Calibri" w:hAnsi="Arial" w:cs="Arial"/>
          <w:sz w:val="20"/>
          <w:szCs w:val="20"/>
        </w:rPr>
        <w:t xml:space="preserve"> denotes the number of importing countries.</w:t>
      </w:r>
    </w:p>
    <w:p w14:paraId="33386996" w14:textId="77777777" w:rsidR="00875848" w:rsidRPr="00875848" w:rsidRDefault="00875848" w:rsidP="00875848">
      <w:pPr>
        <w:pStyle w:val="NormalWeb"/>
        <w:spacing w:before="0" w:beforeAutospacing="0" w:after="240" w:afterAutospacing="0" w:line="276" w:lineRule="auto"/>
        <w:jc w:val="both"/>
        <w:rPr>
          <w:rFonts w:ascii="Arial" w:eastAsia="Calibri" w:hAnsi="Arial" w:cs="Arial"/>
          <w:sz w:val="20"/>
          <w:szCs w:val="20"/>
        </w:rPr>
      </w:pPr>
      <w:r w:rsidRPr="00875848">
        <w:rPr>
          <w:rFonts w:ascii="Arial" w:eastAsia="Calibri" w:hAnsi="Arial" w:cs="Arial"/>
          <w:b/>
          <w:bCs/>
          <w:sz w:val="20"/>
          <w:szCs w:val="20"/>
        </w:rPr>
        <w:t>Interpretation:</w:t>
      </w:r>
    </w:p>
    <w:p w14:paraId="1637754A" w14:textId="77777777" w:rsidR="00875848" w:rsidRPr="00875848" w:rsidRDefault="00875848" w:rsidP="00875848">
      <w:pPr>
        <w:pStyle w:val="NormalWeb"/>
        <w:numPr>
          <w:ilvl w:val="0"/>
          <w:numId w:val="34"/>
        </w:numPr>
        <w:spacing w:before="0" w:beforeAutospacing="0" w:after="240" w:afterAutospacing="0"/>
        <w:jc w:val="both"/>
        <w:rPr>
          <w:rFonts w:ascii="Arial" w:eastAsia="Calibri" w:hAnsi="Arial" w:cs="Arial"/>
          <w:sz w:val="20"/>
          <w:szCs w:val="20"/>
        </w:rPr>
      </w:pPr>
      <m:oMath>
        <m:r>
          <w:rPr>
            <w:rFonts w:ascii="Cambria Math" w:eastAsia="Calibri" w:hAnsi="Cambria Math" w:cs="Arial"/>
            <w:sz w:val="20"/>
            <w:szCs w:val="20"/>
          </w:rPr>
          <m:t>HHI&lt;0.10</m:t>
        </m:r>
      </m:oMath>
      <w:r w:rsidRPr="00875848">
        <w:rPr>
          <w:rFonts w:ascii="Arial" w:eastAsia="Calibri" w:hAnsi="Arial" w:cs="Arial"/>
          <w:sz w:val="20"/>
          <w:szCs w:val="20"/>
        </w:rPr>
        <w:t>: Highly diversified</w:t>
      </w:r>
    </w:p>
    <w:p w14:paraId="689B4A88" w14:textId="77777777" w:rsidR="00875848" w:rsidRPr="00875848" w:rsidRDefault="00875848" w:rsidP="00875848">
      <w:pPr>
        <w:pStyle w:val="NormalWeb"/>
        <w:numPr>
          <w:ilvl w:val="0"/>
          <w:numId w:val="34"/>
        </w:numPr>
        <w:spacing w:before="0" w:beforeAutospacing="0" w:after="240" w:afterAutospacing="0"/>
        <w:jc w:val="both"/>
        <w:rPr>
          <w:rFonts w:ascii="Arial" w:eastAsia="Calibri" w:hAnsi="Arial" w:cs="Arial"/>
          <w:sz w:val="20"/>
          <w:szCs w:val="20"/>
        </w:rPr>
      </w:pPr>
      <m:oMath>
        <m:r>
          <w:rPr>
            <w:rFonts w:ascii="Cambria Math" w:eastAsia="Calibri" w:hAnsi="Cambria Math" w:cs="Arial"/>
            <w:sz w:val="20"/>
            <w:szCs w:val="20"/>
          </w:rPr>
          <m:t>0.10≤HHI≤0.25</m:t>
        </m:r>
      </m:oMath>
      <w:r w:rsidRPr="00875848">
        <w:rPr>
          <w:rFonts w:ascii="Arial" w:eastAsia="Calibri" w:hAnsi="Arial" w:cs="Arial"/>
          <w:sz w:val="20"/>
          <w:szCs w:val="20"/>
        </w:rPr>
        <w:t>: Moderately concentrated</w:t>
      </w:r>
    </w:p>
    <w:p w14:paraId="28873B85" w14:textId="77777777" w:rsidR="00875848" w:rsidRPr="00875848" w:rsidRDefault="00875848" w:rsidP="00875848">
      <w:pPr>
        <w:pStyle w:val="NormalWeb"/>
        <w:numPr>
          <w:ilvl w:val="0"/>
          <w:numId w:val="34"/>
        </w:numPr>
        <w:spacing w:before="0" w:beforeAutospacing="0" w:after="240" w:afterAutospacing="0"/>
        <w:jc w:val="both"/>
        <w:rPr>
          <w:rFonts w:ascii="Arial" w:eastAsia="Calibri" w:hAnsi="Arial" w:cs="Arial"/>
          <w:sz w:val="20"/>
          <w:szCs w:val="20"/>
        </w:rPr>
      </w:pPr>
      <m:oMath>
        <m:r>
          <w:rPr>
            <w:rFonts w:ascii="Cambria Math" w:eastAsia="Calibri" w:hAnsi="Cambria Math" w:cs="Arial"/>
            <w:sz w:val="20"/>
            <w:szCs w:val="20"/>
          </w:rPr>
          <m:t>HHI&gt;0.25</m:t>
        </m:r>
      </m:oMath>
      <w:r w:rsidRPr="00875848">
        <w:rPr>
          <w:rFonts w:ascii="Arial" w:eastAsia="Calibri" w:hAnsi="Arial" w:cs="Arial"/>
          <w:sz w:val="20"/>
          <w:szCs w:val="20"/>
        </w:rPr>
        <w:t>: Highly concentrated</w:t>
      </w:r>
    </w:p>
    <w:p w14:paraId="6703174F" w14:textId="77777777" w:rsidR="00875848" w:rsidRPr="00875848" w:rsidRDefault="00875848" w:rsidP="00875848">
      <w:pPr>
        <w:pStyle w:val="NormalWeb"/>
        <w:spacing w:before="0" w:beforeAutospacing="0" w:after="240" w:afterAutospacing="0" w:line="276" w:lineRule="auto"/>
        <w:jc w:val="both"/>
        <w:rPr>
          <w:rFonts w:ascii="Arial" w:eastAsia="Calibri" w:hAnsi="Arial" w:cs="Arial"/>
          <w:sz w:val="20"/>
          <w:szCs w:val="20"/>
        </w:rPr>
      </w:pPr>
      <w:r w:rsidRPr="00875848">
        <w:rPr>
          <w:rFonts w:ascii="Arial" w:eastAsia="Calibri" w:hAnsi="Arial" w:cs="Arial"/>
          <w:sz w:val="20"/>
          <w:szCs w:val="20"/>
        </w:rPr>
        <w:t>A declining HHI over time indicates diversification of export markets, while an increasing HHI suggests growing dependence on a few destinations.</w:t>
      </w:r>
    </w:p>
    <w:p w14:paraId="7CA2222A" w14:textId="77777777" w:rsidR="00875848" w:rsidRPr="00875848" w:rsidRDefault="00875848" w:rsidP="004F439E">
      <w:pPr>
        <w:pStyle w:val="Heading3"/>
        <w:numPr>
          <w:ilvl w:val="2"/>
          <w:numId w:val="38"/>
        </w:numPr>
        <w:spacing w:before="0"/>
        <w:jc w:val="both"/>
        <w:rPr>
          <w:rFonts w:ascii="Arial" w:hAnsi="Arial" w:cs="Arial"/>
          <w:b/>
          <w:bCs/>
          <w:color w:val="auto"/>
          <w:sz w:val="20"/>
          <w:szCs w:val="20"/>
          <w:u w:val="single"/>
        </w:rPr>
      </w:pPr>
      <w:r w:rsidRPr="00875848">
        <w:rPr>
          <w:rFonts w:ascii="Arial" w:hAnsi="Arial" w:cs="Arial"/>
          <w:b/>
          <w:bCs/>
          <w:color w:val="auto"/>
          <w:sz w:val="20"/>
          <w:szCs w:val="20"/>
          <w:u w:val="single"/>
        </w:rPr>
        <w:t>Markov Chain Analysis</w:t>
      </w:r>
    </w:p>
    <w:p w14:paraId="730597BF" w14:textId="77777777" w:rsidR="00875848" w:rsidRPr="00875848" w:rsidRDefault="00875848" w:rsidP="00875848">
      <w:pPr>
        <w:pStyle w:val="NormalWeb"/>
        <w:spacing w:before="0" w:beforeAutospacing="0" w:after="0" w:after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The Markov Chain Model was applied to study market loyalty and transition probabilities among major importing countries for each fruit.</w:t>
      </w:r>
      <w:r w:rsidRPr="00875848">
        <w:rPr>
          <w:rFonts w:ascii="Arial" w:eastAsia="Calibri" w:hAnsi="Arial" w:cs="Arial"/>
          <w:sz w:val="20"/>
          <w:szCs w:val="20"/>
          <w:lang w:val="en-US" w:eastAsia="en-US"/>
        </w:rPr>
        <w:br/>
        <w:t>The transition probability matrix was constructed as:</w:t>
      </w:r>
    </w:p>
    <w:p w14:paraId="389B6935" w14:textId="77777777" w:rsidR="00875848" w:rsidRPr="00875848" w:rsidRDefault="00875848" w:rsidP="00875848">
      <w:pPr>
        <w:pStyle w:val="ListParagraph"/>
        <w:spacing w:after="0" w:line="240" w:lineRule="auto"/>
        <w:ind w:left="27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br/>
      </w:r>
      <m:oMathPara>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ij</m:t>
              </m:r>
            </m:sub>
          </m:sSub>
          <m:r>
            <w:rPr>
              <w:rFonts w:ascii="Cambria Math" w:eastAsia="Times New Roman" w:hAnsi="Cambria Math" w:cs="Arial"/>
              <w:kern w:val="0"/>
              <w:sz w:val="20"/>
              <w:szCs w:val="20"/>
              <w:lang w:eastAsia="en-IN"/>
            </w:rPr>
            <m:t>=</m:t>
          </m:r>
          <m:f>
            <m:fPr>
              <m:ctrlPr>
                <w:rPr>
                  <w:rFonts w:ascii="Cambria Math" w:eastAsia="Times New Roman" w:hAnsi="Cambria Math" w:cs="Arial"/>
                  <w:kern w:val="0"/>
                  <w:sz w:val="20"/>
                  <w:szCs w:val="20"/>
                  <w:lang w:eastAsia="en-IN"/>
                </w:rPr>
              </m:ctrlPr>
            </m:fPr>
            <m:num>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X</m:t>
                  </m:r>
                </m:e>
                <m:sub>
                  <m:r>
                    <w:rPr>
                      <w:rFonts w:ascii="Cambria Math" w:eastAsia="Times New Roman" w:hAnsi="Cambria Math" w:cs="Arial"/>
                      <w:kern w:val="0"/>
                      <w:sz w:val="20"/>
                      <w:szCs w:val="20"/>
                      <w:lang w:eastAsia="en-IN"/>
                    </w:rPr>
                    <m:t>ij</m:t>
                  </m:r>
                </m:sub>
              </m:sSub>
            </m:num>
            <m:den>
              <m:nary>
                <m:naryPr>
                  <m:chr m:val="∑"/>
                  <m:limLoc m:val="undOvr"/>
                  <m:grow m:val="1"/>
                  <m:ctrlPr>
                    <w:rPr>
                      <w:rFonts w:ascii="Cambria Math" w:eastAsia="Times New Roman" w:hAnsi="Cambria Math" w:cs="Arial"/>
                      <w:kern w:val="0"/>
                      <w:sz w:val="20"/>
                      <w:szCs w:val="20"/>
                      <w:lang w:eastAsia="en-IN"/>
                    </w:rPr>
                  </m:ctrlPr>
                </m:naryPr>
                <m:sub>
                  <m:r>
                    <w:rPr>
                      <w:rFonts w:ascii="Cambria Math" w:eastAsia="Times New Roman" w:hAnsi="Cambria Math" w:cs="Arial"/>
                      <w:kern w:val="0"/>
                      <w:sz w:val="20"/>
                      <w:szCs w:val="20"/>
                      <w:lang w:eastAsia="en-IN"/>
                    </w:rPr>
                    <m:t>j=1</m:t>
                  </m:r>
                </m:sub>
                <m:sup>
                  <m:r>
                    <w:rPr>
                      <w:rFonts w:ascii="Cambria Math" w:eastAsia="Times New Roman" w:hAnsi="Cambria Math" w:cs="Arial"/>
                      <w:kern w:val="0"/>
                      <w:sz w:val="20"/>
                      <w:szCs w:val="20"/>
                      <w:lang w:eastAsia="en-IN"/>
                    </w:rPr>
                    <m:t>n</m:t>
                  </m:r>
                </m:sup>
                <m:e>
                  <m:r>
                    <w:rPr>
                      <w:rFonts w:ascii="Cambria Math" w:eastAsia="Times New Roman" w:hAnsi="Cambria Math" w:cs="Arial"/>
                      <w:kern w:val="0"/>
                      <w:sz w:val="20"/>
                      <w:szCs w:val="20"/>
                      <w:lang w:eastAsia="en-IN"/>
                    </w:rPr>
                    <m:t xml:space="preserve"> </m:t>
                  </m:r>
                </m:e>
              </m:nary>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X</m:t>
                  </m:r>
                </m:e>
                <m:sub>
                  <m:r>
                    <w:rPr>
                      <w:rFonts w:ascii="Cambria Math" w:eastAsia="Times New Roman" w:hAnsi="Cambria Math" w:cs="Arial"/>
                      <w:kern w:val="0"/>
                      <w:sz w:val="20"/>
                      <w:szCs w:val="20"/>
                      <w:lang w:eastAsia="en-IN"/>
                    </w:rPr>
                    <m:t>ij</m:t>
                  </m:r>
                </m:sub>
              </m:sSub>
            </m:den>
          </m:f>
        </m:oMath>
      </m:oMathPara>
    </w:p>
    <w:p w14:paraId="3D1FE29B" w14:textId="6BCBB36B"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i/>
          <w:iCs/>
          <w:kern w:val="0"/>
          <w:sz w:val="20"/>
          <w:szCs w:val="20"/>
          <w:lang w:eastAsia="en-IN"/>
        </w:rPr>
      </w:pPr>
      <w:r w:rsidRPr="00875848">
        <w:rPr>
          <w:rFonts w:ascii="Arial" w:eastAsia="Times New Roman" w:hAnsi="Arial" w:cs="Arial"/>
          <w:kern w:val="0"/>
          <w:sz w:val="20"/>
          <w:szCs w:val="20"/>
          <w:lang w:eastAsia="en-IN"/>
        </w:rPr>
        <w:t>where,</w:t>
      </w:r>
      <w:r w:rsidRPr="00875848">
        <w:rPr>
          <w:rFonts w:ascii="Arial" w:eastAsia="Times New Roman" w:hAnsi="Arial" w:cs="Arial"/>
          <w:kern w:val="0"/>
          <w:sz w:val="20"/>
          <w:szCs w:val="20"/>
          <w:lang w:eastAsia="en-IN"/>
        </w:rPr>
        <w:br/>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ij</m:t>
            </m:r>
          </m:sub>
        </m:sSub>
      </m:oMath>
      <w:r w:rsidRPr="00875848">
        <w:rPr>
          <w:rFonts w:ascii="Arial" w:eastAsia="Times New Roman" w:hAnsi="Arial" w:cs="Arial"/>
          <w:kern w:val="0"/>
          <w:sz w:val="20"/>
          <w:szCs w:val="20"/>
          <w:lang w:eastAsia="en-IN"/>
        </w:rPr>
        <w:t xml:space="preserve"> </w:t>
      </w:r>
      <w:r>
        <w:rPr>
          <w:rFonts w:ascii="Arial" w:eastAsia="Times New Roman" w:hAnsi="Arial" w:cs="Arial"/>
          <w:kern w:val="0"/>
          <w:sz w:val="20"/>
          <w:szCs w:val="20"/>
          <w:lang w:eastAsia="en-IN"/>
        </w:rPr>
        <w:t>=</w:t>
      </w:r>
      <w:r w:rsidRPr="00875848">
        <w:rPr>
          <w:rFonts w:ascii="Arial" w:eastAsia="Times New Roman" w:hAnsi="Arial" w:cs="Arial"/>
          <w:kern w:val="0"/>
          <w:sz w:val="20"/>
          <w:szCs w:val="20"/>
          <w:lang w:eastAsia="en-IN"/>
        </w:rPr>
        <w:t xml:space="preserve"> </w:t>
      </w:r>
      <w:r>
        <w:rPr>
          <w:rFonts w:ascii="Arial" w:eastAsia="Times New Roman" w:hAnsi="Arial" w:cs="Arial"/>
          <w:kern w:val="0"/>
          <w:sz w:val="20"/>
          <w:szCs w:val="20"/>
          <w:lang w:eastAsia="en-IN"/>
        </w:rPr>
        <w:t>T</w:t>
      </w:r>
      <w:r w:rsidRPr="00875848">
        <w:rPr>
          <w:rFonts w:ascii="Arial" w:eastAsia="Times New Roman" w:hAnsi="Arial" w:cs="Arial"/>
          <w:kern w:val="0"/>
          <w:sz w:val="20"/>
          <w:szCs w:val="20"/>
          <w:lang w:eastAsia="en-IN"/>
        </w:rPr>
        <w:t xml:space="preserve">he probability that exports from India to market </w:t>
      </w:r>
      <w:proofErr w:type="spellStart"/>
      <w:r w:rsidRPr="00875848">
        <w:rPr>
          <w:rFonts w:ascii="Arial" w:eastAsia="Times New Roman" w:hAnsi="Arial" w:cs="Arial"/>
          <w:i/>
          <w:iCs/>
          <w:kern w:val="0"/>
          <w:sz w:val="20"/>
          <w:szCs w:val="20"/>
          <w:lang w:eastAsia="en-IN"/>
        </w:rPr>
        <w:t>i</w:t>
      </w:r>
      <w:proofErr w:type="spellEnd"/>
      <w:r w:rsidRPr="00875848">
        <w:rPr>
          <w:rFonts w:ascii="Arial" w:eastAsia="Times New Roman" w:hAnsi="Arial" w:cs="Arial"/>
          <w:kern w:val="0"/>
          <w:sz w:val="20"/>
          <w:szCs w:val="20"/>
          <w:lang w:eastAsia="en-IN"/>
        </w:rPr>
        <w:t xml:space="preserve"> in year </w:t>
      </w:r>
      <w:r w:rsidRPr="00875848">
        <w:rPr>
          <w:rFonts w:ascii="Arial" w:eastAsia="Times New Roman" w:hAnsi="Arial" w:cs="Arial"/>
          <w:i/>
          <w:iCs/>
          <w:kern w:val="0"/>
          <w:sz w:val="20"/>
          <w:szCs w:val="20"/>
          <w:lang w:eastAsia="en-IN"/>
        </w:rPr>
        <w:t>t</w:t>
      </w:r>
      <w:r w:rsidRPr="00875848">
        <w:rPr>
          <w:rFonts w:ascii="Arial" w:eastAsia="Times New Roman" w:hAnsi="Arial" w:cs="Arial"/>
          <w:kern w:val="0"/>
          <w:sz w:val="20"/>
          <w:szCs w:val="20"/>
          <w:lang w:eastAsia="en-IN"/>
        </w:rPr>
        <w:t xml:space="preserve"> will shift to market </w:t>
      </w:r>
      <w:r w:rsidRPr="00875848">
        <w:rPr>
          <w:rFonts w:ascii="Arial" w:eastAsia="Times New Roman" w:hAnsi="Arial" w:cs="Arial"/>
          <w:i/>
          <w:iCs/>
          <w:kern w:val="0"/>
          <w:sz w:val="20"/>
          <w:szCs w:val="20"/>
          <w:lang w:eastAsia="en-IN"/>
        </w:rPr>
        <w:t>j</w:t>
      </w:r>
      <w:r w:rsidRPr="00875848">
        <w:rPr>
          <w:rFonts w:ascii="Arial" w:eastAsia="Times New Roman" w:hAnsi="Arial" w:cs="Arial"/>
          <w:kern w:val="0"/>
          <w:sz w:val="20"/>
          <w:szCs w:val="20"/>
          <w:lang w:eastAsia="en-IN"/>
        </w:rPr>
        <w:t xml:space="preserve"> in year </w:t>
      </w:r>
      <w:r w:rsidRPr="00875848">
        <w:rPr>
          <w:rFonts w:ascii="Arial" w:eastAsia="Times New Roman" w:hAnsi="Arial" w:cs="Arial"/>
          <w:i/>
          <w:iCs/>
          <w:kern w:val="0"/>
          <w:sz w:val="20"/>
          <w:szCs w:val="20"/>
          <w:lang w:eastAsia="en-IN"/>
        </w:rPr>
        <w:t>t+1.</w:t>
      </w:r>
    </w:p>
    <w:p w14:paraId="0B4531AC"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p>
    <w:p w14:paraId="788F5365"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The diagonal elements of the transition matrix (</w:t>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ii</m:t>
            </m:r>
          </m:sub>
        </m:sSub>
      </m:oMath>
      <w:r w:rsidRPr="00875848">
        <w:rPr>
          <w:rFonts w:ascii="Arial" w:eastAsia="Times New Roman" w:hAnsi="Arial" w:cs="Arial"/>
          <w:kern w:val="0"/>
          <w:sz w:val="20"/>
          <w:szCs w:val="20"/>
          <w:lang w:eastAsia="en-IN"/>
        </w:rPr>
        <w:t>) indicate market retention or loyalty, while off-diagonal elements (</w:t>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P</m:t>
            </m:r>
          </m:e>
          <m:sub>
            <m:r>
              <w:rPr>
                <w:rFonts w:ascii="Cambria Math" w:eastAsia="Times New Roman" w:hAnsi="Cambria Math" w:cs="Arial"/>
                <w:kern w:val="0"/>
                <w:sz w:val="20"/>
                <w:szCs w:val="20"/>
                <w:lang w:eastAsia="en-IN"/>
              </w:rPr>
              <m:t>ij</m:t>
            </m:r>
          </m:sub>
        </m:sSub>
      </m:oMath>
      <w:r w:rsidRPr="00875848">
        <w:rPr>
          <w:rFonts w:ascii="Arial" w:eastAsia="Times New Roman" w:hAnsi="Arial" w:cs="Arial"/>
          <w:kern w:val="0"/>
          <w:sz w:val="20"/>
          <w:szCs w:val="20"/>
          <w:lang w:eastAsia="en-IN"/>
        </w:rPr>
        <w:t>) show market shifts or diversification. The matrix provides insights into the dynamic behaviour of India’s export destinations over time.</w:t>
      </w:r>
    </w:p>
    <w:p w14:paraId="2D7F4793" w14:textId="77777777" w:rsidR="00875848" w:rsidRPr="004F439E" w:rsidRDefault="00875848" w:rsidP="004F439E">
      <w:pPr>
        <w:pStyle w:val="Heading3"/>
        <w:numPr>
          <w:ilvl w:val="2"/>
          <w:numId w:val="38"/>
        </w:numPr>
        <w:spacing w:before="0"/>
        <w:jc w:val="both"/>
        <w:rPr>
          <w:rFonts w:ascii="Arial" w:hAnsi="Arial" w:cs="Arial"/>
          <w:b/>
          <w:bCs/>
          <w:color w:val="auto"/>
          <w:sz w:val="20"/>
          <w:szCs w:val="20"/>
          <w:u w:val="single"/>
          <w:lang w:val="it-CH"/>
        </w:rPr>
      </w:pPr>
      <w:r w:rsidRPr="004F439E">
        <w:rPr>
          <w:rFonts w:ascii="Arial" w:hAnsi="Arial" w:cs="Arial"/>
          <w:b/>
          <w:bCs/>
          <w:color w:val="auto"/>
          <w:sz w:val="20"/>
          <w:szCs w:val="20"/>
          <w:u w:val="single"/>
          <w:lang w:val="it-CH"/>
        </w:rPr>
        <w:t>Cuddy–Della Valle Instability Index (CDVI)</w:t>
      </w:r>
    </w:p>
    <w:p w14:paraId="06E98BE0"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To evaluate export stability, the Cuddy–Della Valle Instability Index was computed. It modifies the coefficient of variation (CV) by adjusting for trends in time-series data.</w:t>
      </w:r>
    </w:p>
    <w:p w14:paraId="48A7D010" w14:textId="77777777" w:rsidR="00875848" w:rsidRPr="00875848" w:rsidRDefault="00875848" w:rsidP="00875848">
      <w:pPr>
        <w:pStyle w:val="ListParagraph"/>
        <w:spacing w:after="0" w:line="240" w:lineRule="auto"/>
        <w:ind w:left="0"/>
        <w:jc w:val="both"/>
        <w:rPr>
          <w:rFonts w:ascii="Arial" w:eastAsia="Times New Roman" w:hAnsi="Arial" w:cs="Arial"/>
          <w:kern w:val="0"/>
          <w:sz w:val="20"/>
          <w:szCs w:val="20"/>
          <w:lang w:eastAsia="en-IN"/>
        </w:rPr>
      </w:pPr>
      <m:oMathPara>
        <m:oMath>
          <m:r>
            <w:rPr>
              <w:rFonts w:ascii="Cambria Math" w:eastAsia="Times New Roman" w:hAnsi="Cambria Math" w:cs="Arial"/>
              <w:kern w:val="0"/>
              <w:sz w:val="20"/>
              <w:szCs w:val="20"/>
              <w:lang w:eastAsia="en-IN"/>
            </w:rPr>
            <m:t>CDVI=CV×</m:t>
          </m:r>
          <m:rad>
            <m:radPr>
              <m:degHide m:val="1"/>
              <m:ctrlPr>
                <w:rPr>
                  <w:rFonts w:ascii="Cambria Math" w:eastAsia="Times New Roman" w:hAnsi="Cambria Math" w:cs="Arial"/>
                  <w:kern w:val="0"/>
                  <w:sz w:val="20"/>
                  <w:szCs w:val="20"/>
                  <w:lang w:eastAsia="en-IN"/>
                </w:rPr>
              </m:ctrlPr>
            </m:radPr>
            <m:deg/>
            <m:e>
              <m:r>
                <w:rPr>
                  <w:rFonts w:ascii="Cambria Math" w:eastAsia="Times New Roman" w:hAnsi="Cambria Math" w:cs="Arial"/>
                  <w:kern w:val="0"/>
                  <w:sz w:val="20"/>
                  <w:szCs w:val="20"/>
                  <w:lang w:eastAsia="en-IN"/>
                </w:rPr>
                <m:t>1-</m:t>
              </m:r>
              <m:sSup>
                <m:sSupPr>
                  <m:ctrlPr>
                    <w:rPr>
                      <w:rFonts w:ascii="Cambria Math" w:eastAsia="Times New Roman" w:hAnsi="Cambria Math" w:cs="Arial"/>
                      <w:kern w:val="0"/>
                      <w:sz w:val="20"/>
                      <w:szCs w:val="20"/>
                      <w:lang w:eastAsia="en-IN"/>
                    </w:rPr>
                  </m:ctrlPr>
                </m:sSupPr>
                <m:e>
                  <m:r>
                    <w:rPr>
                      <w:rFonts w:ascii="Cambria Math" w:eastAsia="Times New Roman" w:hAnsi="Cambria Math" w:cs="Arial"/>
                      <w:kern w:val="0"/>
                      <w:sz w:val="20"/>
                      <w:szCs w:val="20"/>
                      <w:lang w:eastAsia="en-IN"/>
                    </w:rPr>
                    <m:t>R</m:t>
                  </m:r>
                </m:e>
                <m:sup>
                  <m:r>
                    <w:rPr>
                      <w:rFonts w:ascii="Cambria Math" w:eastAsia="Times New Roman" w:hAnsi="Cambria Math" w:cs="Arial"/>
                      <w:kern w:val="0"/>
                      <w:sz w:val="20"/>
                      <w:szCs w:val="20"/>
                      <w:lang w:eastAsia="en-IN"/>
                    </w:rPr>
                    <m:t>2</m:t>
                  </m:r>
                </m:sup>
              </m:sSup>
            </m:e>
          </m:rad>
          <m:r>
            <m:rPr>
              <m:sty m:val="p"/>
            </m:rPr>
            <w:rPr>
              <w:rFonts w:ascii="Cambria Math" w:eastAsia="Times New Roman" w:hAnsi="Cambria Math" w:cs="Arial"/>
              <w:kern w:val="0"/>
              <w:sz w:val="20"/>
              <w:szCs w:val="20"/>
              <w:lang w:eastAsia="en-IN"/>
            </w:rPr>
            <w:br/>
          </m:r>
        </m:oMath>
      </m:oMathPara>
    </w:p>
    <w:p w14:paraId="68E5DEC9"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where,</w:t>
      </w:r>
    </w:p>
    <w:p w14:paraId="55A0B137"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br/>
      </w:r>
      <m:oMath>
        <m:r>
          <w:rPr>
            <w:rFonts w:ascii="Cambria Math" w:eastAsia="Times New Roman" w:hAnsi="Cambria Math" w:cs="Arial"/>
            <w:kern w:val="0"/>
            <w:sz w:val="20"/>
            <w:szCs w:val="20"/>
            <w:lang w:eastAsia="en-IN"/>
          </w:rPr>
          <m:t>CV=</m:t>
        </m:r>
        <m:f>
          <m:fPr>
            <m:ctrlPr>
              <w:rPr>
                <w:rFonts w:ascii="Cambria Math" w:eastAsia="Times New Roman" w:hAnsi="Cambria Math" w:cs="Arial"/>
                <w:kern w:val="0"/>
                <w:sz w:val="20"/>
                <w:szCs w:val="20"/>
                <w:lang w:eastAsia="en-IN"/>
              </w:rPr>
            </m:ctrlPr>
          </m:fPr>
          <m:num>
            <m:r>
              <m:rPr>
                <m:nor/>
              </m:rPr>
              <w:rPr>
                <w:rFonts w:ascii="Arial" w:eastAsia="Times New Roman" w:hAnsi="Arial" w:cs="Arial"/>
                <w:kern w:val="0"/>
                <w:sz w:val="20"/>
                <w:szCs w:val="20"/>
                <w:lang w:eastAsia="en-IN"/>
              </w:rPr>
              <m:t>Standard Deviation</m:t>
            </m:r>
          </m:num>
          <m:den>
            <m:r>
              <m:rPr>
                <m:nor/>
              </m:rPr>
              <w:rPr>
                <w:rFonts w:ascii="Arial" w:eastAsia="Times New Roman" w:hAnsi="Arial" w:cs="Arial"/>
                <w:kern w:val="0"/>
                <w:sz w:val="20"/>
                <w:szCs w:val="20"/>
                <w:lang w:eastAsia="en-IN"/>
              </w:rPr>
              <m:t>Mean</m:t>
            </m:r>
          </m:den>
        </m:f>
        <m:r>
          <w:rPr>
            <w:rFonts w:ascii="Cambria Math" w:eastAsia="Times New Roman" w:hAnsi="Cambria Math" w:cs="Arial"/>
            <w:kern w:val="0"/>
            <w:sz w:val="20"/>
            <w:szCs w:val="20"/>
            <w:lang w:eastAsia="en-IN"/>
          </w:rPr>
          <m:t>×100</m:t>
        </m:r>
      </m:oMath>
      <w:r w:rsidRPr="00875848">
        <w:rPr>
          <w:rFonts w:ascii="Arial" w:eastAsia="Times New Roman" w:hAnsi="Arial" w:cs="Arial"/>
          <w:kern w:val="0"/>
          <w:sz w:val="20"/>
          <w:szCs w:val="20"/>
          <w:lang w:eastAsia="en-IN"/>
        </w:rPr>
        <w:t>, and</w:t>
      </w:r>
    </w:p>
    <w:p w14:paraId="10BB6FE9" w14:textId="21002108"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br/>
      </w:r>
      <m:oMath>
        <m:sSup>
          <m:sSupPr>
            <m:ctrlPr>
              <w:rPr>
                <w:rFonts w:ascii="Cambria Math" w:eastAsia="Times New Roman" w:hAnsi="Cambria Math" w:cs="Arial"/>
                <w:kern w:val="0"/>
                <w:sz w:val="20"/>
                <w:szCs w:val="20"/>
                <w:lang w:eastAsia="en-IN"/>
              </w:rPr>
            </m:ctrlPr>
          </m:sSupPr>
          <m:e>
            <m:r>
              <w:rPr>
                <w:rFonts w:ascii="Cambria Math" w:eastAsia="Times New Roman" w:hAnsi="Cambria Math" w:cs="Arial"/>
                <w:kern w:val="0"/>
                <w:sz w:val="20"/>
                <w:szCs w:val="20"/>
                <w:lang w:eastAsia="en-IN"/>
              </w:rPr>
              <m:t>R</m:t>
            </m:r>
          </m:e>
          <m:sup>
            <m:r>
              <w:rPr>
                <w:rFonts w:ascii="Cambria Math" w:eastAsia="Times New Roman" w:hAnsi="Cambria Math" w:cs="Arial"/>
                <w:kern w:val="0"/>
                <w:sz w:val="20"/>
                <w:szCs w:val="20"/>
                <w:lang w:eastAsia="en-IN"/>
              </w:rPr>
              <m:t>2</m:t>
            </m:r>
          </m:sup>
        </m:sSup>
      </m:oMath>
      <w:r>
        <w:rPr>
          <w:rFonts w:ascii="Arial" w:eastAsia="Times New Roman" w:hAnsi="Arial" w:cs="Arial"/>
          <w:kern w:val="0"/>
          <w:sz w:val="20"/>
          <w:szCs w:val="20"/>
          <w:lang w:eastAsia="en-IN"/>
        </w:rPr>
        <w:t xml:space="preserve"> =</w:t>
      </w:r>
      <w:r w:rsidRPr="00875848">
        <w:rPr>
          <w:rFonts w:ascii="Arial" w:eastAsia="Times New Roman" w:hAnsi="Arial" w:cs="Arial"/>
          <w:kern w:val="0"/>
          <w:sz w:val="20"/>
          <w:szCs w:val="20"/>
          <w:lang w:eastAsia="en-IN"/>
        </w:rPr>
        <w:t xml:space="preserve"> the coefficient of determination obtained from the time trend regression model </w:t>
      </w:r>
      <m:oMath>
        <m:sSub>
          <m:sSubPr>
            <m:ctrlPr>
              <w:rPr>
                <w:rFonts w:ascii="Cambria Math" w:eastAsia="Times New Roman" w:hAnsi="Cambria Math" w:cs="Arial"/>
                <w:kern w:val="0"/>
                <w:sz w:val="20"/>
                <w:szCs w:val="20"/>
                <w:lang w:eastAsia="en-IN"/>
              </w:rPr>
            </m:ctrlPr>
          </m:sSubPr>
          <m:e>
            <m:r>
              <w:rPr>
                <w:rFonts w:ascii="Cambria Math" w:eastAsia="Times New Roman" w:hAnsi="Cambria Math" w:cs="Arial"/>
                <w:kern w:val="0"/>
                <w:sz w:val="20"/>
                <w:szCs w:val="20"/>
                <w:lang w:eastAsia="en-IN"/>
              </w:rPr>
              <m:t>Y</m:t>
            </m:r>
          </m:e>
          <m:sub>
            <m:r>
              <w:rPr>
                <w:rFonts w:ascii="Cambria Math" w:eastAsia="Times New Roman" w:hAnsi="Cambria Math" w:cs="Arial"/>
                <w:kern w:val="0"/>
                <w:sz w:val="20"/>
                <w:szCs w:val="20"/>
                <w:lang w:eastAsia="en-IN"/>
              </w:rPr>
              <m:t>t</m:t>
            </m:r>
          </m:sub>
        </m:sSub>
        <m:r>
          <w:rPr>
            <w:rFonts w:ascii="Cambria Math" w:eastAsia="Times New Roman" w:hAnsi="Cambria Math" w:cs="Arial"/>
            <w:kern w:val="0"/>
            <w:sz w:val="20"/>
            <w:szCs w:val="20"/>
            <w:lang w:eastAsia="en-IN"/>
          </w:rPr>
          <m:t>=a+bt</m:t>
        </m:r>
      </m:oMath>
      <w:r w:rsidRPr="00875848">
        <w:rPr>
          <w:rFonts w:ascii="Arial" w:eastAsia="Times New Roman" w:hAnsi="Arial" w:cs="Arial"/>
          <w:kern w:val="0"/>
          <w:sz w:val="20"/>
          <w:szCs w:val="20"/>
          <w:lang w:eastAsia="en-IN"/>
        </w:rPr>
        <w:t>.</w:t>
      </w:r>
    </w:p>
    <w:p w14:paraId="01C10AD3"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p>
    <w:p w14:paraId="65C8F793" w14:textId="77777777" w:rsidR="00875848" w:rsidRPr="00875848" w:rsidRDefault="00875848" w:rsidP="00875848">
      <w:pPr>
        <w:pStyle w:val="ListParagraph"/>
        <w:spacing w:before="100" w:beforeAutospacing="1" w:after="100" w:afterAutospacing="1" w:line="240" w:lineRule="auto"/>
        <w:ind w:left="0"/>
        <w:jc w:val="both"/>
        <w:rPr>
          <w:rFonts w:ascii="Arial" w:eastAsia="Times New Roman" w:hAnsi="Arial" w:cs="Arial"/>
          <w:kern w:val="0"/>
          <w:sz w:val="20"/>
          <w:szCs w:val="20"/>
          <w:lang w:eastAsia="en-IN"/>
        </w:rPr>
      </w:pPr>
      <w:r w:rsidRPr="00875848">
        <w:rPr>
          <w:rFonts w:ascii="Arial" w:eastAsia="Times New Roman" w:hAnsi="Arial" w:cs="Arial"/>
          <w:b/>
          <w:bCs/>
          <w:kern w:val="0"/>
          <w:sz w:val="20"/>
          <w:szCs w:val="20"/>
          <w:lang w:eastAsia="en-IN"/>
        </w:rPr>
        <w:t>Interpretation:</w:t>
      </w:r>
      <w:r w:rsidRPr="00875848">
        <w:rPr>
          <w:rFonts w:ascii="Arial" w:eastAsia="Times New Roman" w:hAnsi="Arial" w:cs="Arial"/>
          <w:kern w:val="0"/>
          <w:sz w:val="20"/>
          <w:szCs w:val="20"/>
          <w:lang w:eastAsia="en-IN"/>
        </w:rPr>
        <w:br/>
        <w:t>Lower CDVI values indicate greater export stability, while higher values denote instability or volatility in export performance.</w:t>
      </w:r>
    </w:p>
    <w:p w14:paraId="69CEA1B6" w14:textId="77777777" w:rsidR="00875848" w:rsidRPr="00875848" w:rsidRDefault="00875848" w:rsidP="004F439E">
      <w:pPr>
        <w:pStyle w:val="AbstHead"/>
        <w:numPr>
          <w:ilvl w:val="1"/>
          <w:numId w:val="38"/>
        </w:numPr>
        <w:spacing w:after="0"/>
        <w:jc w:val="both"/>
        <w:rPr>
          <w:rFonts w:ascii="Arial" w:hAnsi="Arial" w:cs="Arial"/>
          <w:caps w:val="0"/>
        </w:rPr>
      </w:pPr>
      <w:r w:rsidRPr="00875848">
        <w:rPr>
          <w:rFonts w:ascii="Arial" w:hAnsi="Arial" w:cs="Arial"/>
          <w:caps w:val="0"/>
        </w:rPr>
        <w:t>Data Analysis Tools</w:t>
      </w:r>
    </w:p>
    <w:p w14:paraId="371EB5C2" w14:textId="77777777" w:rsidR="00875848" w:rsidRPr="00875848" w:rsidRDefault="00875848" w:rsidP="00875848">
      <w:pPr>
        <w:pStyle w:val="ListParagraph"/>
        <w:ind w:left="0"/>
        <w:jc w:val="both"/>
        <w:rPr>
          <w:rFonts w:ascii="Arial" w:eastAsia="Times New Roman" w:hAnsi="Arial" w:cs="Arial"/>
          <w:kern w:val="0"/>
          <w:sz w:val="20"/>
          <w:szCs w:val="20"/>
          <w:lang w:eastAsia="en-IN"/>
        </w:rPr>
      </w:pPr>
      <w:r w:rsidRPr="00875848">
        <w:rPr>
          <w:rFonts w:ascii="Arial" w:eastAsia="Times New Roman" w:hAnsi="Arial" w:cs="Arial"/>
          <w:kern w:val="0"/>
          <w:sz w:val="20"/>
          <w:szCs w:val="20"/>
          <w:lang w:eastAsia="en-IN"/>
        </w:rPr>
        <w:t xml:space="preserve">All computations were carried out using Microsoft Excel for descriptive statistics and R statistical software for Markov chain modelling. Results were tabulated and visualized to </w:t>
      </w:r>
      <w:r w:rsidRPr="00875848">
        <w:rPr>
          <w:rFonts w:ascii="Arial" w:eastAsia="Times New Roman" w:hAnsi="Arial" w:cs="Arial"/>
          <w:kern w:val="0"/>
          <w:sz w:val="20"/>
          <w:szCs w:val="20"/>
          <w:lang w:eastAsia="en-IN"/>
        </w:rPr>
        <w:lastRenderedPageBreak/>
        <w:t>interpret trends in export concentration, transition dynamics, and instability for each selected fruit.</w:t>
      </w:r>
    </w:p>
    <w:p w14:paraId="302FA9DF" w14:textId="77777777" w:rsidR="00875848" w:rsidRPr="00875848" w:rsidRDefault="00875848" w:rsidP="004F439E">
      <w:pPr>
        <w:pStyle w:val="AbstHead"/>
        <w:numPr>
          <w:ilvl w:val="1"/>
          <w:numId w:val="38"/>
        </w:numPr>
        <w:spacing w:after="0"/>
        <w:jc w:val="both"/>
        <w:rPr>
          <w:rFonts w:ascii="Arial" w:hAnsi="Arial" w:cs="Arial"/>
          <w:caps w:val="0"/>
        </w:rPr>
      </w:pPr>
      <w:r w:rsidRPr="00875848">
        <w:rPr>
          <w:rFonts w:ascii="Arial" w:hAnsi="Arial" w:cs="Arial"/>
          <w:caps w:val="0"/>
        </w:rPr>
        <w:t>Data Analysis</w:t>
      </w:r>
    </w:p>
    <w:p w14:paraId="2F94940C" w14:textId="77777777" w:rsidR="00875848" w:rsidRPr="00875848" w:rsidRDefault="00875848" w:rsidP="00875848">
      <w:pPr>
        <w:pStyle w:val="NormalWeb"/>
        <w:spacing w:before="0" w:beforeAutospacing="0" w:line="276" w:lineRule="auto"/>
        <w:jc w:val="both"/>
        <w:rPr>
          <w:rFonts w:ascii="Arial" w:eastAsia="Calibri" w:hAnsi="Arial" w:cs="Arial"/>
          <w:sz w:val="20"/>
          <w:szCs w:val="20"/>
          <w:lang w:val="en-US" w:eastAsia="en-US"/>
        </w:rPr>
      </w:pPr>
      <w:r w:rsidRPr="00875848">
        <w:rPr>
          <w:rFonts w:ascii="Arial" w:eastAsia="Calibri" w:hAnsi="Arial" w:cs="Arial"/>
          <w:sz w:val="20"/>
          <w:szCs w:val="20"/>
          <w:lang w:val="en-US" w:eastAsia="en-US"/>
        </w:rPr>
        <w:t>The collected data were compiled, processed, and analyzed using descriptive statistical tools. Cumulative frequencies, percentages, arithmetic mean, and other descriptive measures were employed to interpret consumer responses. The analysis focused on identifying awareness levels, knowledge gaps, attitudinal trends, and behavioral drivers influencing the consumption of millet-based processed products in urban markets.</w:t>
      </w:r>
    </w:p>
    <w:p w14:paraId="7A684704" w14:textId="6E37BC83" w:rsidR="00875848" w:rsidRPr="00875848" w:rsidRDefault="00875848" w:rsidP="004F439E">
      <w:pPr>
        <w:pStyle w:val="AbstHead"/>
        <w:numPr>
          <w:ilvl w:val="0"/>
          <w:numId w:val="38"/>
        </w:numPr>
        <w:spacing w:after="0"/>
        <w:jc w:val="both"/>
        <w:rPr>
          <w:rFonts w:ascii="Arial" w:hAnsi="Arial" w:cs="Arial"/>
          <w:caps w:val="0"/>
        </w:rPr>
      </w:pPr>
      <w:r>
        <w:rPr>
          <w:rFonts w:ascii="Arial" w:hAnsi="Arial" w:cs="Arial"/>
        </w:rPr>
        <w:t>RESULTS AND DISCUSSION</w:t>
      </w:r>
    </w:p>
    <w:p w14:paraId="4672DAAA" w14:textId="77777777" w:rsidR="0051294F" w:rsidRDefault="0051294F" w:rsidP="0051294F">
      <w:pPr>
        <w:pStyle w:val="Body"/>
        <w:spacing w:after="0"/>
        <w:ind w:left="360"/>
        <w:rPr>
          <w:rFonts w:ascii="Arial" w:hAnsi="Arial" w:cs="Arial"/>
        </w:rPr>
      </w:pPr>
    </w:p>
    <w:p w14:paraId="3E46C06A" w14:textId="30CB2CE9" w:rsidR="00875848" w:rsidRPr="00875848" w:rsidRDefault="00875848" w:rsidP="00875848">
      <w:pPr>
        <w:adjustRightInd w:val="0"/>
        <w:spacing w:after="80"/>
        <w:jc w:val="both"/>
        <w:rPr>
          <w:rFonts w:ascii="Arial" w:hAnsi="Arial" w:cs="Arial"/>
        </w:rPr>
      </w:pPr>
      <w:r w:rsidRPr="00875848">
        <w:rPr>
          <w:rFonts w:ascii="Arial" w:hAnsi="Arial" w:cs="Arial"/>
        </w:rPr>
        <w:t>The results of the study are presented and discussed in three parts corresponding to the analytical tools employed</w:t>
      </w:r>
      <w:r w:rsidR="004F439E">
        <w:rPr>
          <w:rFonts w:ascii="Arial" w:hAnsi="Arial" w:cs="Arial"/>
        </w:rPr>
        <w:t>-</w:t>
      </w:r>
      <w:r w:rsidRPr="00875848">
        <w:rPr>
          <w:rFonts w:ascii="Arial" w:hAnsi="Arial" w:cs="Arial"/>
        </w:rPr>
        <w:t>Herfindahl–Hirschman Index (HHI) for market concentration, Markov Chain Analysis for market loyalty and transition, and Cuddy–Della Valle Instability Index (CDVI) for export stability. The findings provide insights into the competitiveness, consistency, and diversification patterns of India’s exports of fresh Grapes, Bananas, and Oranges during the period 2013–2024.</w:t>
      </w:r>
    </w:p>
    <w:p w14:paraId="3B5079BA" w14:textId="77777777" w:rsidR="00875848" w:rsidRPr="00875848" w:rsidRDefault="00875848" w:rsidP="00875848">
      <w:pPr>
        <w:adjustRightInd w:val="0"/>
        <w:spacing w:after="80"/>
        <w:jc w:val="both"/>
        <w:rPr>
          <w:rFonts w:ascii="Arial" w:hAnsi="Arial" w:cs="Arial"/>
        </w:rPr>
      </w:pPr>
    </w:p>
    <w:p w14:paraId="195A9888" w14:textId="644E2E59" w:rsidR="00875848" w:rsidRDefault="00875848" w:rsidP="004F439E">
      <w:pPr>
        <w:pStyle w:val="AbstHead"/>
        <w:numPr>
          <w:ilvl w:val="1"/>
          <w:numId w:val="39"/>
        </w:numPr>
        <w:spacing w:after="0"/>
        <w:jc w:val="both"/>
        <w:rPr>
          <w:rFonts w:ascii="Arial" w:hAnsi="Arial" w:cs="Arial"/>
          <w:caps w:val="0"/>
        </w:rPr>
      </w:pPr>
      <w:r w:rsidRPr="00875848">
        <w:rPr>
          <w:rFonts w:ascii="Arial" w:hAnsi="Arial" w:cs="Arial"/>
          <w:caps w:val="0"/>
        </w:rPr>
        <w:t>Market Concentration of India’s Fruit Exports (HHI Analysis)</w:t>
      </w:r>
    </w:p>
    <w:p w14:paraId="1D4153C3" w14:textId="77777777" w:rsidR="00E514FD" w:rsidRPr="00875848" w:rsidRDefault="00E514FD" w:rsidP="00E514FD">
      <w:pPr>
        <w:pStyle w:val="AbstHead"/>
        <w:spacing w:after="0"/>
        <w:ind w:left="360"/>
        <w:jc w:val="both"/>
        <w:rPr>
          <w:rFonts w:ascii="Arial" w:hAnsi="Arial" w:cs="Arial"/>
          <w:caps w:val="0"/>
        </w:rPr>
      </w:pPr>
    </w:p>
    <w:p w14:paraId="16B43072" w14:textId="7093523E" w:rsidR="00875848" w:rsidRDefault="00875848" w:rsidP="00E514FD">
      <w:pPr>
        <w:pStyle w:val="Body"/>
        <w:rPr>
          <w:rFonts w:ascii="Arial" w:hAnsi="Arial" w:cs="Arial"/>
        </w:rPr>
      </w:pPr>
      <w:r w:rsidRPr="00875848">
        <w:rPr>
          <w:rFonts w:ascii="Arial" w:hAnsi="Arial" w:cs="Arial"/>
        </w:rPr>
        <w:t>The Herfindahl–Hirschman Index (HHI) was used to assess the degree of market concentration and export diversification of India’s fruit exports.</w:t>
      </w:r>
      <w:r w:rsidR="00E514FD">
        <w:rPr>
          <w:rFonts w:ascii="Arial" w:hAnsi="Arial" w:cs="Arial"/>
        </w:rPr>
        <w:t xml:space="preserve"> </w:t>
      </w:r>
      <w:r w:rsidRPr="00875848">
        <w:rPr>
          <w:rFonts w:ascii="Arial" w:hAnsi="Arial" w:cs="Arial"/>
        </w:rPr>
        <w:t>The Herfindahl–Hirschman Index (HHI) was computed to assess the level of market concentration and export diversification in India’s fresh fruit exports from 2013 to 2024.</w:t>
      </w:r>
      <w:r w:rsidR="006C7B21">
        <w:rPr>
          <w:rFonts w:ascii="Arial" w:hAnsi="Arial" w:cs="Arial"/>
        </w:rPr>
        <w:t xml:space="preserve"> </w:t>
      </w:r>
      <w:r w:rsidR="006C7B21" w:rsidRPr="006C7B21">
        <w:rPr>
          <w:rFonts w:ascii="Arial" w:hAnsi="Arial" w:cs="Arial"/>
        </w:rPr>
        <w:t>The computed HHI values for all three commodities</w:t>
      </w:r>
      <w:r w:rsidR="004F439E">
        <w:rPr>
          <w:rFonts w:ascii="Arial" w:hAnsi="Arial" w:cs="Arial"/>
        </w:rPr>
        <w:t>-</w:t>
      </w:r>
      <w:r w:rsidR="006C7B21" w:rsidRPr="006C7B21">
        <w:rPr>
          <w:rFonts w:ascii="Arial" w:hAnsi="Arial" w:cs="Arial"/>
        </w:rPr>
        <w:t>fresh grapes, bananas, and oranges</w:t>
      </w:r>
      <w:r w:rsidR="004F439E">
        <w:rPr>
          <w:rFonts w:ascii="Arial" w:hAnsi="Arial" w:cs="Arial"/>
        </w:rPr>
        <w:t>-</w:t>
      </w:r>
      <w:r w:rsidR="006C7B21" w:rsidRPr="006C7B21">
        <w:rPr>
          <w:rFonts w:ascii="Arial" w:hAnsi="Arial" w:cs="Arial"/>
        </w:rPr>
        <w:t>are presented in Table 2.</w:t>
      </w:r>
      <w:r w:rsidR="006C7B21">
        <w:rPr>
          <w:rFonts w:ascii="Arial" w:hAnsi="Arial" w:cs="Arial"/>
        </w:rPr>
        <w:t xml:space="preserve"> </w:t>
      </w:r>
      <w:r w:rsidRPr="00875848">
        <w:rPr>
          <w:rFonts w:ascii="Arial" w:hAnsi="Arial" w:cs="Arial"/>
        </w:rPr>
        <w:t>The results show that fresh Grapes recorded HHI values ranging from 0.151 to 0.191, indicating a moderately concentrated but gradually diversifying market structure. The consistent reduction in HHI in recent years suggests that India’s grape exports have expanded beyond traditional European destinations toward emerging Asian markets.</w:t>
      </w:r>
      <w:r w:rsidR="003E1A35">
        <w:rPr>
          <w:rFonts w:ascii="Arial" w:hAnsi="Arial" w:cs="Arial"/>
        </w:rPr>
        <w:t xml:space="preserve"> </w:t>
      </w:r>
      <w:r w:rsidRPr="00875848">
        <w:rPr>
          <w:rFonts w:ascii="Arial" w:hAnsi="Arial" w:cs="Arial"/>
        </w:rPr>
        <w:t>For fresh Bananas, HHI values varied between 0.155 and 0.216, reflecting a moderately concentrated market with expanding diversification over time. The presence of multiple importing countries in West Asia and the Gulf has helped reduce dependency on a few dominant buyers.</w:t>
      </w:r>
    </w:p>
    <w:p w14:paraId="4BFF8EE6" w14:textId="2C57AEE5" w:rsidR="00BF3469" w:rsidRPr="00BF3469" w:rsidRDefault="00BF3469" w:rsidP="00E514FD">
      <w:pPr>
        <w:pStyle w:val="Body"/>
        <w:rPr>
          <w:rFonts w:ascii="Arial" w:hAnsi="Arial" w:cs="Arial"/>
        </w:rPr>
      </w:pPr>
      <w:r w:rsidRPr="00BF3469">
        <w:rPr>
          <w:rFonts w:ascii="Arial" w:hAnsi="Arial" w:cs="Arial"/>
          <w:highlight w:val="yellow"/>
        </w:rPr>
        <w:t>This indicates that India’s grape and banana exports are gradually diversifying, potentially driven by rising demand in Gulf and Asian markets and by improved post-harvest handling and certification systems. Similar diversification patterns were observed by Singh and Badal (2020) and Hayat et al. (2024), who reported decreasing concentration trends for horticultural exports in emerging Asian economies.</w:t>
      </w:r>
    </w:p>
    <w:p w14:paraId="3C938941" w14:textId="172FFD65" w:rsidR="0003763C" w:rsidRDefault="00875848" w:rsidP="00445A40">
      <w:pPr>
        <w:pStyle w:val="Body"/>
        <w:rPr>
          <w:rFonts w:ascii="Arial" w:hAnsi="Arial" w:cs="Arial"/>
        </w:rPr>
      </w:pPr>
      <w:r w:rsidRPr="00875848">
        <w:rPr>
          <w:rFonts w:ascii="Arial" w:hAnsi="Arial" w:cs="Arial"/>
        </w:rPr>
        <w:t>In contrast, fresh Oranges displayed substantially higher HHI values (ranging from 0.560 to 0.892), signifying a highly concentrated export base. This indicates heavy reliance on a limited number of regional markets</w:t>
      </w:r>
      <w:r w:rsidR="004F439E">
        <w:rPr>
          <w:rFonts w:ascii="Arial" w:hAnsi="Arial" w:cs="Arial"/>
        </w:rPr>
        <w:t>-</w:t>
      </w:r>
      <w:r w:rsidRPr="00875848">
        <w:rPr>
          <w:rFonts w:ascii="Arial" w:hAnsi="Arial" w:cs="Arial"/>
        </w:rPr>
        <w:t>primarily Bangladesh and Nepal</w:t>
      </w:r>
      <w:r w:rsidR="004F439E">
        <w:rPr>
          <w:rFonts w:ascii="Arial" w:hAnsi="Arial" w:cs="Arial"/>
        </w:rPr>
        <w:t>-</w:t>
      </w:r>
      <w:r w:rsidRPr="00875848">
        <w:rPr>
          <w:rFonts w:ascii="Arial" w:hAnsi="Arial" w:cs="Arial"/>
        </w:rPr>
        <w:t>making Orange exports more vulnerable to regional demand fluctuations.</w:t>
      </w:r>
      <w:r w:rsidR="003E1A35">
        <w:rPr>
          <w:rFonts w:ascii="Arial" w:hAnsi="Arial" w:cs="Arial"/>
        </w:rPr>
        <w:t xml:space="preserve"> </w:t>
      </w:r>
      <w:r w:rsidRPr="00875848">
        <w:rPr>
          <w:rFonts w:ascii="Arial" w:hAnsi="Arial" w:cs="Arial"/>
        </w:rPr>
        <w:t>Overall, the analysis reveals that while Grapes and Bananas exhibit increasing market diversification, Oranges remain heavily concentrated, highlighting the need for export promotion and market expansion strategies in the orange subsector.</w:t>
      </w:r>
    </w:p>
    <w:p w14:paraId="4B1EBB3C" w14:textId="77777777" w:rsidR="00E86823" w:rsidRDefault="00E86823" w:rsidP="00445A40">
      <w:pPr>
        <w:pStyle w:val="Body"/>
        <w:rPr>
          <w:rFonts w:ascii="Arial" w:hAnsi="Arial" w:cs="Arial"/>
        </w:rPr>
      </w:pPr>
    </w:p>
    <w:p w14:paraId="5F3F979F" w14:textId="77777777" w:rsidR="00E86823" w:rsidRPr="00875848" w:rsidRDefault="00E86823" w:rsidP="00445A40">
      <w:pPr>
        <w:pStyle w:val="Body"/>
        <w:rPr>
          <w:rFonts w:ascii="Arial" w:hAnsi="Arial" w:cs="Arial"/>
        </w:rPr>
      </w:pPr>
    </w:p>
    <w:p w14:paraId="51D1A579" w14:textId="6CB93D61" w:rsidR="00875848" w:rsidRPr="00E514FD" w:rsidRDefault="00875848" w:rsidP="00875848">
      <w:pPr>
        <w:adjustRightInd w:val="0"/>
        <w:spacing w:after="80" w:line="276" w:lineRule="auto"/>
        <w:rPr>
          <w:rFonts w:ascii="Arial" w:eastAsia="Calibri" w:hAnsi="Arial" w:cs="Arial"/>
          <w:b/>
          <w:bCs/>
        </w:rPr>
      </w:pPr>
      <w:r w:rsidRPr="00E514FD">
        <w:rPr>
          <w:rFonts w:ascii="Arial" w:eastAsia="Calibri" w:hAnsi="Arial" w:cs="Arial"/>
          <w:b/>
          <w:bCs/>
        </w:rPr>
        <w:lastRenderedPageBreak/>
        <w:t>Table</w:t>
      </w:r>
      <w:r w:rsidR="00142CA8">
        <w:rPr>
          <w:rFonts w:ascii="Arial" w:eastAsia="Calibri" w:hAnsi="Arial" w:cs="Arial"/>
          <w:b/>
          <w:bCs/>
        </w:rPr>
        <w:t xml:space="preserve"> </w:t>
      </w:r>
      <w:r w:rsidRPr="00E514FD">
        <w:rPr>
          <w:rFonts w:ascii="Arial" w:eastAsia="Calibri" w:hAnsi="Arial" w:cs="Arial"/>
          <w:b/>
          <w:bCs/>
        </w:rPr>
        <w:t>2. Herfindahl–Hirschman Index (HHI) of India’s Fresh Fruit Exports (2013–2024)</w:t>
      </w:r>
    </w:p>
    <w:tbl>
      <w:tblPr>
        <w:tblStyle w:val="TableGridLight"/>
        <w:tblW w:w="8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2526"/>
        <w:gridCol w:w="2466"/>
        <w:gridCol w:w="2400"/>
      </w:tblGrid>
      <w:tr w:rsidR="00875848" w:rsidRPr="00875848" w14:paraId="60DBD24F" w14:textId="77777777" w:rsidTr="0040248F">
        <w:trPr>
          <w:trHeight w:val="227"/>
          <w:jc w:val="center"/>
        </w:trPr>
        <w:tc>
          <w:tcPr>
            <w:tcW w:w="876" w:type="dxa"/>
            <w:tcBorders>
              <w:top w:val="single" w:sz="4" w:space="0" w:color="auto"/>
              <w:bottom w:val="single" w:sz="4" w:space="0" w:color="auto"/>
            </w:tcBorders>
            <w:hideMark/>
          </w:tcPr>
          <w:p w14:paraId="72C5EF7E"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Year</w:t>
            </w:r>
          </w:p>
        </w:tc>
        <w:tc>
          <w:tcPr>
            <w:tcW w:w="2526" w:type="dxa"/>
            <w:tcBorders>
              <w:top w:val="single" w:sz="4" w:space="0" w:color="auto"/>
              <w:bottom w:val="single" w:sz="4" w:space="0" w:color="auto"/>
            </w:tcBorders>
            <w:hideMark/>
          </w:tcPr>
          <w:p w14:paraId="2E819B20"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Fresh Grapes</w:t>
            </w:r>
          </w:p>
        </w:tc>
        <w:tc>
          <w:tcPr>
            <w:tcW w:w="2466" w:type="dxa"/>
            <w:tcBorders>
              <w:top w:val="single" w:sz="4" w:space="0" w:color="auto"/>
              <w:bottom w:val="single" w:sz="4" w:space="0" w:color="auto"/>
            </w:tcBorders>
            <w:hideMark/>
          </w:tcPr>
          <w:p w14:paraId="3D28F943"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Fresh Bananas</w:t>
            </w:r>
          </w:p>
        </w:tc>
        <w:tc>
          <w:tcPr>
            <w:tcW w:w="2400" w:type="dxa"/>
            <w:tcBorders>
              <w:top w:val="single" w:sz="4" w:space="0" w:color="auto"/>
              <w:bottom w:val="single" w:sz="4" w:space="0" w:color="auto"/>
            </w:tcBorders>
            <w:hideMark/>
          </w:tcPr>
          <w:p w14:paraId="67EF42A0"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Fresh Oranges</w:t>
            </w:r>
          </w:p>
        </w:tc>
      </w:tr>
      <w:tr w:rsidR="00875848" w:rsidRPr="00875848" w14:paraId="7E6E9922" w14:textId="77777777" w:rsidTr="0040248F">
        <w:trPr>
          <w:trHeight w:val="227"/>
          <w:jc w:val="center"/>
        </w:trPr>
        <w:tc>
          <w:tcPr>
            <w:tcW w:w="876" w:type="dxa"/>
            <w:tcBorders>
              <w:top w:val="single" w:sz="4" w:space="0" w:color="auto"/>
            </w:tcBorders>
            <w:hideMark/>
          </w:tcPr>
          <w:p w14:paraId="6C2006E6"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2013</w:t>
            </w:r>
          </w:p>
        </w:tc>
        <w:tc>
          <w:tcPr>
            <w:tcW w:w="2526" w:type="dxa"/>
            <w:tcBorders>
              <w:top w:val="single" w:sz="4" w:space="0" w:color="auto"/>
            </w:tcBorders>
            <w:hideMark/>
          </w:tcPr>
          <w:p w14:paraId="23B59C78"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0.151</w:t>
            </w:r>
          </w:p>
        </w:tc>
        <w:tc>
          <w:tcPr>
            <w:tcW w:w="2466" w:type="dxa"/>
            <w:tcBorders>
              <w:top w:val="single" w:sz="4" w:space="0" w:color="auto"/>
            </w:tcBorders>
            <w:hideMark/>
          </w:tcPr>
          <w:p w14:paraId="0940654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0.216</w:t>
            </w:r>
          </w:p>
        </w:tc>
        <w:tc>
          <w:tcPr>
            <w:tcW w:w="2400" w:type="dxa"/>
            <w:tcBorders>
              <w:top w:val="single" w:sz="4" w:space="0" w:color="auto"/>
            </w:tcBorders>
            <w:hideMark/>
          </w:tcPr>
          <w:p w14:paraId="067981A0"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0.892</w:t>
            </w:r>
          </w:p>
        </w:tc>
      </w:tr>
      <w:tr w:rsidR="00875848" w:rsidRPr="00875848" w14:paraId="31EC7B51" w14:textId="77777777" w:rsidTr="0040248F">
        <w:trPr>
          <w:trHeight w:val="227"/>
          <w:jc w:val="center"/>
        </w:trPr>
        <w:tc>
          <w:tcPr>
            <w:tcW w:w="876" w:type="dxa"/>
            <w:hideMark/>
          </w:tcPr>
          <w:p w14:paraId="73F5AE86"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2014</w:t>
            </w:r>
          </w:p>
        </w:tc>
        <w:tc>
          <w:tcPr>
            <w:tcW w:w="2526" w:type="dxa"/>
            <w:hideMark/>
          </w:tcPr>
          <w:p w14:paraId="33355094"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0.162</w:t>
            </w:r>
          </w:p>
        </w:tc>
        <w:tc>
          <w:tcPr>
            <w:tcW w:w="2466" w:type="dxa"/>
            <w:hideMark/>
          </w:tcPr>
          <w:p w14:paraId="1F610806"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0.167</w:t>
            </w:r>
          </w:p>
        </w:tc>
        <w:tc>
          <w:tcPr>
            <w:tcW w:w="2400" w:type="dxa"/>
            <w:hideMark/>
          </w:tcPr>
          <w:p w14:paraId="687D81E1"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0.783</w:t>
            </w:r>
          </w:p>
        </w:tc>
      </w:tr>
      <w:tr w:rsidR="00875848" w:rsidRPr="00875848" w14:paraId="06F3721E" w14:textId="77777777" w:rsidTr="0040248F">
        <w:trPr>
          <w:trHeight w:val="227"/>
          <w:jc w:val="center"/>
        </w:trPr>
        <w:tc>
          <w:tcPr>
            <w:tcW w:w="876" w:type="dxa"/>
            <w:hideMark/>
          </w:tcPr>
          <w:p w14:paraId="58439F73"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2015</w:t>
            </w:r>
          </w:p>
        </w:tc>
        <w:tc>
          <w:tcPr>
            <w:tcW w:w="2526" w:type="dxa"/>
            <w:hideMark/>
          </w:tcPr>
          <w:p w14:paraId="3548F47E"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0.171</w:t>
            </w:r>
          </w:p>
        </w:tc>
        <w:tc>
          <w:tcPr>
            <w:tcW w:w="2466" w:type="dxa"/>
            <w:hideMark/>
          </w:tcPr>
          <w:p w14:paraId="4AD846F6"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0.202</w:t>
            </w:r>
          </w:p>
        </w:tc>
        <w:tc>
          <w:tcPr>
            <w:tcW w:w="2400" w:type="dxa"/>
            <w:hideMark/>
          </w:tcPr>
          <w:p w14:paraId="66272641"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0.832</w:t>
            </w:r>
          </w:p>
        </w:tc>
      </w:tr>
      <w:tr w:rsidR="00875848" w:rsidRPr="00875848" w14:paraId="3F8C3C96" w14:textId="77777777" w:rsidTr="0040248F">
        <w:trPr>
          <w:trHeight w:val="227"/>
          <w:jc w:val="center"/>
        </w:trPr>
        <w:tc>
          <w:tcPr>
            <w:tcW w:w="876" w:type="dxa"/>
            <w:hideMark/>
          </w:tcPr>
          <w:p w14:paraId="446DAEF5"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2016</w:t>
            </w:r>
          </w:p>
        </w:tc>
        <w:tc>
          <w:tcPr>
            <w:tcW w:w="2526" w:type="dxa"/>
            <w:hideMark/>
          </w:tcPr>
          <w:p w14:paraId="3EDDC079"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0.191</w:t>
            </w:r>
          </w:p>
        </w:tc>
        <w:tc>
          <w:tcPr>
            <w:tcW w:w="2466" w:type="dxa"/>
            <w:hideMark/>
          </w:tcPr>
          <w:p w14:paraId="5C2DC922"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0.158</w:t>
            </w:r>
          </w:p>
        </w:tc>
        <w:tc>
          <w:tcPr>
            <w:tcW w:w="2400" w:type="dxa"/>
            <w:hideMark/>
          </w:tcPr>
          <w:p w14:paraId="6389FBC2"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0.663</w:t>
            </w:r>
          </w:p>
        </w:tc>
      </w:tr>
      <w:tr w:rsidR="00875848" w:rsidRPr="00875848" w14:paraId="4CFD3DC0" w14:textId="77777777" w:rsidTr="0040248F">
        <w:trPr>
          <w:trHeight w:val="227"/>
          <w:jc w:val="center"/>
        </w:trPr>
        <w:tc>
          <w:tcPr>
            <w:tcW w:w="876" w:type="dxa"/>
            <w:hideMark/>
          </w:tcPr>
          <w:p w14:paraId="01FD0AAE"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2017</w:t>
            </w:r>
          </w:p>
        </w:tc>
        <w:tc>
          <w:tcPr>
            <w:tcW w:w="2526" w:type="dxa"/>
            <w:hideMark/>
          </w:tcPr>
          <w:p w14:paraId="638F73ED"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0.142</w:t>
            </w:r>
          </w:p>
        </w:tc>
        <w:tc>
          <w:tcPr>
            <w:tcW w:w="2466" w:type="dxa"/>
            <w:hideMark/>
          </w:tcPr>
          <w:p w14:paraId="115F2637"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0.155</w:t>
            </w:r>
          </w:p>
        </w:tc>
        <w:tc>
          <w:tcPr>
            <w:tcW w:w="2400" w:type="dxa"/>
            <w:hideMark/>
          </w:tcPr>
          <w:p w14:paraId="0A49D1AB"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0.56</w:t>
            </w:r>
          </w:p>
        </w:tc>
      </w:tr>
      <w:tr w:rsidR="00875848" w:rsidRPr="00875848" w14:paraId="21113035" w14:textId="77777777" w:rsidTr="0040248F">
        <w:trPr>
          <w:trHeight w:val="227"/>
          <w:jc w:val="center"/>
        </w:trPr>
        <w:tc>
          <w:tcPr>
            <w:tcW w:w="876" w:type="dxa"/>
            <w:hideMark/>
          </w:tcPr>
          <w:p w14:paraId="2A36C42B"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2018</w:t>
            </w:r>
          </w:p>
        </w:tc>
        <w:tc>
          <w:tcPr>
            <w:tcW w:w="2526" w:type="dxa"/>
            <w:hideMark/>
          </w:tcPr>
          <w:p w14:paraId="12108229"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0.157</w:t>
            </w:r>
          </w:p>
        </w:tc>
        <w:tc>
          <w:tcPr>
            <w:tcW w:w="2466" w:type="dxa"/>
            <w:hideMark/>
          </w:tcPr>
          <w:p w14:paraId="1E5E1EE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0.155</w:t>
            </w:r>
          </w:p>
        </w:tc>
        <w:tc>
          <w:tcPr>
            <w:tcW w:w="2400" w:type="dxa"/>
            <w:hideMark/>
          </w:tcPr>
          <w:p w14:paraId="1BD3A297"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0.414</w:t>
            </w:r>
          </w:p>
        </w:tc>
      </w:tr>
      <w:tr w:rsidR="00875848" w:rsidRPr="00875848" w14:paraId="3D0FAE3A" w14:textId="77777777" w:rsidTr="0040248F">
        <w:trPr>
          <w:trHeight w:val="227"/>
          <w:jc w:val="center"/>
        </w:trPr>
        <w:tc>
          <w:tcPr>
            <w:tcW w:w="876" w:type="dxa"/>
            <w:hideMark/>
          </w:tcPr>
          <w:p w14:paraId="2B732152"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2019</w:t>
            </w:r>
          </w:p>
        </w:tc>
        <w:tc>
          <w:tcPr>
            <w:tcW w:w="2526" w:type="dxa"/>
            <w:hideMark/>
          </w:tcPr>
          <w:p w14:paraId="7AD205E0"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0.165</w:t>
            </w:r>
          </w:p>
        </w:tc>
        <w:tc>
          <w:tcPr>
            <w:tcW w:w="2466" w:type="dxa"/>
            <w:hideMark/>
          </w:tcPr>
          <w:p w14:paraId="66386054"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0.18</w:t>
            </w:r>
          </w:p>
        </w:tc>
        <w:tc>
          <w:tcPr>
            <w:tcW w:w="2400" w:type="dxa"/>
            <w:hideMark/>
          </w:tcPr>
          <w:p w14:paraId="1BD45D65"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0.61</w:t>
            </w:r>
          </w:p>
        </w:tc>
      </w:tr>
      <w:tr w:rsidR="00875848" w:rsidRPr="00875848" w14:paraId="503D4BE1" w14:textId="77777777" w:rsidTr="0040248F">
        <w:trPr>
          <w:trHeight w:val="227"/>
          <w:jc w:val="center"/>
        </w:trPr>
        <w:tc>
          <w:tcPr>
            <w:tcW w:w="876" w:type="dxa"/>
            <w:hideMark/>
          </w:tcPr>
          <w:p w14:paraId="1D9BCC4D"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2020</w:t>
            </w:r>
          </w:p>
        </w:tc>
        <w:tc>
          <w:tcPr>
            <w:tcW w:w="2526" w:type="dxa"/>
            <w:hideMark/>
          </w:tcPr>
          <w:p w14:paraId="7CF968A8"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0.145</w:t>
            </w:r>
          </w:p>
        </w:tc>
        <w:tc>
          <w:tcPr>
            <w:tcW w:w="2466" w:type="dxa"/>
            <w:hideMark/>
          </w:tcPr>
          <w:p w14:paraId="0730E83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0.192</w:t>
            </w:r>
          </w:p>
        </w:tc>
        <w:tc>
          <w:tcPr>
            <w:tcW w:w="2400" w:type="dxa"/>
            <w:hideMark/>
          </w:tcPr>
          <w:p w14:paraId="7A48A70B"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0.745</w:t>
            </w:r>
          </w:p>
        </w:tc>
      </w:tr>
      <w:tr w:rsidR="00875848" w:rsidRPr="00875848" w14:paraId="3D0F06DD" w14:textId="77777777" w:rsidTr="0040248F">
        <w:trPr>
          <w:trHeight w:val="227"/>
          <w:jc w:val="center"/>
        </w:trPr>
        <w:tc>
          <w:tcPr>
            <w:tcW w:w="876" w:type="dxa"/>
            <w:hideMark/>
          </w:tcPr>
          <w:p w14:paraId="5A94CC61"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2021</w:t>
            </w:r>
          </w:p>
        </w:tc>
        <w:tc>
          <w:tcPr>
            <w:tcW w:w="2526" w:type="dxa"/>
            <w:hideMark/>
          </w:tcPr>
          <w:p w14:paraId="197196AF"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0.168</w:t>
            </w:r>
          </w:p>
        </w:tc>
        <w:tc>
          <w:tcPr>
            <w:tcW w:w="2466" w:type="dxa"/>
            <w:hideMark/>
          </w:tcPr>
          <w:p w14:paraId="35AE6B33"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0.163</w:t>
            </w:r>
          </w:p>
        </w:tc>
        <w:tc>
          <w:tcPr>
            <w:tcW w:w="2400" w:type="dxa"/>
            <w:hideMark/>
          </w:tcPr>
          <w:p w14:paraId="7F536322"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0.776</w:t>
            </w:r>
          </w:p>
        </w:tc>
      </w:tr>
      <w:tr w:rsidR="00875848" w:rsidRPr="00875848" w14:paraId="4C8829B0" w14:textId="77777777" w:rsidTr="0040248F">
        <w:trPr>
          <w:trHeight w:val="227"/>
          <w:jc w:val="center"/>
        </w:trPr>
        <w:tc>
          <w:tcPr>
            <w:tcW w:w="876" w:type="dxa"/>
            <w:hideMark/>
          </w:tcPr>
          <w:p w14:paraId="04871B57"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2022</w:t>
            </w:r>
          </w:p>
        </w:tc>
        <w:tc>
          <w:tcPr>
            <w:tcW w:w="2526" w:type="dxa"/>
            <w:hideMark/>
          </w:tcPr>
          <w:p w14:paraId="4E307DEB"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0.202</w:t>
            </w:r>
          </w:p>
        </w:tc>
        <w:tc>
          <w:tcPr>
            <w:tcW w:w="2466" w:type="dxa"/>
            <w:hideMark/>
          </w:tcPr>
          <w:p w14:paraId="355B8BBF"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0.162</w:t>
            </w:r>
          </w:p>
        </w:tc>
        <w:tc>
          <w:tcPr>
            <w:tcW w:w="2400" w:type="dxa"/>
            <w:hideMark/>
          </w:tcPr>
          <w:p w14:paraId="140CDD08"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0.772</w:t>
            </w:r>
          </w:p>
        </w:tc>
      </w:tr>
      <w:tr w:rsidR="00875848" w:rsidRPr="00875848" w14:paraId="527BEDD7" w14:textId="77777777" w:rsidTr="0040248F">
        <w:trPr>
          <w:trHeight w:val="227"/>
          <w:jc w:val="center"/>
        </w:trPr>
        <w:tc>
          <w:tcPr>
            <w:tcW w:w="876" w:type="dxa"/>
            <w:hideMark/>
          </w:tcPr>
          <w:p w14:paraId="1EB41E1B"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2023</w:t>
            </w:r>
          </w:p>
        </w:tc>
        <w:tc>
          <w:tcPr>
            <w:tcW w:w="2526" w:type="dxa"/>
            <w:hideMark/>
          </w:tcPr>
          <w:p w14:paraId="7EF3AB20"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0.159</w:t>
            </w:r>
          </w:p>
        </w:tc>
        <w:tc>
          <w:tcPr>
            <w:tcW w:w="2466" w:type="dxa"/>
            <w:hideMark/>
          </w:tcPr>
          <w:p w14:paraId="64F8E91A"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0.167</w:t>
            </w:r>
          </w:p>
        </w:tc>
        <w:tc>
          <w:tcPr>
            <w:tcW w:w="2400" w:type="dxa"/>
            <w:hideMark/>
          </w:tcPr>
          <w:p w14:paraId="3C137BAA"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0.687</w:t>
            </w:r>
          </w:p>
        </w:tc>
      </w:tr>
      <w:tr w:rsidR="00875848" w:rsidRPr="00875848" w14:paraId="126A5391" w14:textId="77777777" w:rsidTr="0040248F">
        <w:trPr>
          <w:trHeight w:val="227"/>
          <w:jc w:val="center"/>
        </w:trPr>
        <w:tc>
          <w:tcPr>
            <w:tcW w:w="876" w:type="dxa"/>
            <w:tcBorders>
              <w:bottom w:val="single" w:sz="4" w:space="0" w:color="auto"/>
            </w:tcBorders>
            <w:hideMark/>
          </w:tcPr>
          <w:p w14:paraId="77603D13" w14:textId="77777777" w:rsidR="00875848" w:rsidRPr="00875848" w:rsidRDefault="00875848" w:rsidP="00BB536C">
            <w:pPr>
              <w:jc w:val="center"/>
              <w:rPr>
                <w:rFonts w:ascii="Arial" w:hAnsi="Arial" w:cs="Arial"/>
                <w:b/>
                <w:bCs/>
                <w:color w:val="000000"/>
                <w:lang w:eastAsia="en-IN"/>
              </w:rPr>
            </w:pPr>
            <w:r w:rsidRPr="00875848">
              <w:rPr>
                <w:rFonts w:ascii="Arial" w:hAnsi="Arial" w:cs="Arial"/>
                <w:b/>
                <w:bCs/>
                <w:color w:val="000000"/>
                <w:lang w:eastAsia="en-IN"/>
              </w:rPr>
              <w:t>2024</w:t>
            </w:r>
          </w:p>
        </w:tc>
        <w:tc>
          <w:tcPr>
            <w:tcW w:w="2526" w:type="dxa"/>
            <w:tcBorders>
              <w:bottom w:val="single" w:sz="4" w:space="0" w:color="auto"/>
            </w:tcBorders>
            <w:hideMark/>
          </w:tcPr>
          <w:p w14:paraId="4213F84A"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0.199</w:t>
            </w:r>
          </w:p>
        </w:tc>
        <w:tc>
          <w:tcPr>
            <w:tcW w:w="2466" w:type="dxa"/>
            <w:tcBorders>
              <w:bottom w:val="single" w:sz="4" w:space="0" w:color="auto"/>
            </w:tcBorders>
            <w:hideMark/>
          </w:tcPr>
          <w:p w14:paraId="1329086D"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0.23</w:t>
            </w:r>
          </w:p>
        </w:tc>
        <w:tc>
          <w:tcPr>
            <w:tcW w:w="2400" w:type="dxa"/>
            <w:tcBorders>
              <w:bottom w:val="single" w:sz="4" w:space="0" w:color="auto"/>
            </w:tcBorders>
            <w:hideMark/>
          </w:tcPr>
          <w:p w14:paraId="2834F366" w14:textId="77777777" w:rsidR="00875848" w:rsidRPr="00875848" w:rsidRDefault="00875848" w:rsidP="00BB536C">
            <w:pPr>
              <w:jc w:val="center"/>
              <w:rPr>
                <w:rFonts w:ascii="Arial" w:hAnsi="Arial" w:cs="Arial"/>
                <w:color w:val="000000"/>
                <w:lang w:eastAsia="en-IN"/>
              </w:rPr>
            </w:pPr>
            <w:r w:rsidRPr="00875848">
              <w:rPr>
                <w:rFonts w:ascii="Arial" w:hAnsi="Arial" w:cs="Arial"/>
                <w:color w:val="000000"/>
                <w:lang w:eastAsia="en-IN"/>
              </w:rPr>
              <w:t>0.645</w:t>
            </w:r>
          </w:p>
        </w:tc>
      </w:tr>
    </w:tbl>
    <w:p w14:paraId="6B9D5314" w14:textId="77777777" w:rsidR="00E514FD" w:rsidRDefault="00E514FD" w:rsidP="00C53682">
      <w:pPr>
        <w:adjustRightInd w:val="0"/>
        <w:spacing w:after="80" w:line="276" w:lineRule="auto"/>
        <w:rPr>
          <w:rFonts w:ascii="Arial" w:hAnsi="Arial" w:cs="Arial"/>
          <w:i/>
          <w:iCs/>
        </w:rPr>
      </w:pPr>
    </w:p>
    <w:p w14:paraId="78737F41" w14:textId="1E57645D" w:rsidR="00875848" w:rsidRPr="00E514FD" w:rsidRDefault="00875848" w:rsidP="00E514FD">
      <w:pPr>
        <w:adjustRightInd w:val="0"/>
        <w:spacing w:after="80" w:line="276" w:lineRule="auto"/>
        <w:rPr>
          <w:rFonts w:ascii="Arial" w:hAnsi="Arial" w:cs="Arial"/>
          <w:b/>
          <w:bCs/>
        </w:rPr>
      </w:pPr>
      <w:r w:rsidRPr="00E514FD">
        <w:rPr>
          <w:rFonts w:ascii="Arial" w:hAnsi="Arial" w:cs="Arial"/>
          <w:b/>
          <w:bCs/>
        </w:rPr>
        <w:t>Fig</w:t>
      </w:r>
      <w:r w:rsidR="00142CA8">
        <w:rPr>
          <w:rFonts w:ascii="Arial" w:hAnsi="Arial" w:cs="Arial"/>
          <w:b/>
          <w:bCs/>
        </w:rPr>
        <w:t xml:space="preserve"> </w:t>
      </w:r>
      <w:r w:rsidRPr="00E514FD">
        <w:rPr>
          <w:rFonts w:ascii="Arial" w:hAnsi="Arial" w:cs="Arial"/>
          <w:b/>
          <w:bCs/>
        </w:rPr>
        <w:t>1</w:t>
      </w:r>
      <w:r w:rsidR="00142CA8">
        <w:rPr>
          <w:rFonts w:ascii="Arial" w:hAnsi="Arial" w:cs="Arial"/>
          <w:b/>
          <w:bCs/>
        </w:rPr>
        <w:t>.</w:t>
      </w:r>
      <w:r w:rsidRPr="00E514FD">
        <w:rPr>
          <w:rFonts w:ascii="Arial" w:hAnsi="Arial" w:cs="Arial"/>
          <w:b/>
          <w:bCs/>
        </w:rPr>
        <w:t xml:space="preserve"> Market Concentration Trends (HHI) of India’s Fresh Fruit Exports (2013–2024)</w:t>
      </w:r>
    </w:p>
    <w:p w14:paraId="01E5D8A7" w14:textId="77777777" w:rsidR="00875848" w:rsidRPr="00875848" w:rsidRDefault="00875848" w:rsidP="00875848">
      <w:pPr>
        <w:adjustRightInd w:val="0"/>
        <w:spacing w:after="80" w:line="276" w:lineRule="auto"/>
        <w:rPr>
          <w:rFonts w:ascii="Arial" w:hAnsi="Arial" w:cs="Arial"/>
        </w:rPr>
      </w:pPr>
      <w:r w:rsidRPr="00875848">
        <w:rPr>
          <w:rFonts w:ascii="Arial" w:hAnsi="Arial" w:cs="Arial"/>
          <w:noProof/>
        </w:rPr>
        <w:drawing>
          <wp:inline distT="0" distB="0" distL="0" distR="0" wp14:anchorId="021A8234" wp14:editId="306D79E1">
            <wp:extent cx="5143500" cy="2047875"/>
            <wp:effectExtent l="19050" t="19050" r="0" b="9525"/>
            <wp:docPr id="749662909" name="Picture 1" descr="A graph with red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62909" name="Picture 1" descr="A graph with red lines and numb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0" cy="2047875"/>
                    </a:xfrm>
                    <a:prstGeom prst="rect">
                      <a:avLst/>
                    </a:prstGeom>
                    <a:noFill/>
                    <a:ln>
                      <a:solidFill>
                        <a:schemeClr val="tx1"/>
                      </a:solidFill>
                    </a:ln>
                  </pic:spPr>
                </pic:pic>
              </a:graphicData>
            </a:graphic>
          </wp:inline>
        </w:drawing>
      </w:r>
    </w:p>
    <w:p w14:paraId="674607A1" w14:textId="48C5A9AD" w:rsidR="00875848" w:rsidRDefault="00875848" w:rsidP="00875848">
      <w:pPr>
        <w:adjustRightInd w:val="0"/>
        <w:spacing w:after="80" w:line="276" w:lineRule="auto"/>
        <w:jc w:val="both"/>
        <w:rPr>
          <w:rFonts w:ascii="Arial" w:hAnsi="Arial" w:cs="Arial"/>
        </w:rPr>
      </w:pPr>
      <w:r w:rsidRPr="00875848">
        <w:rPr>
          <w:rFonts w:ascii="Arial" w:hAnsi="Arial" w:cs="Arial"/>
        </w:rPr>
        <w:t>As shown in Figure 1, the Herfindahl–Hirschman Index (HHI) values for fresh Grapes and Bananas remain consistently in the lower range with minimal volatility, indicating a well-diversified and stable export structure with sustained buyer relationships across multiple markets. In contrast, fresh Oranges exhibit persistently high HHI values, reflecting limited market reach and dependence on a narrow set of destinations. Overall, the trend suggests that while India’s fruit exports are largely diversified and stable for Grapes and Bananas, Orange exports remain concentrated and require strategic efforts for market expansion and risk mitigation.</w:t>
      </w:r>
    </w:p>
    <w:p w14:paraId="63219EE4" w14:textId="77777777" w:rsidR="00E86823" w:rsidRPr="00875848" w:rsidRDefault="00E86823" w:rsidP="00875848">
      <w:pPr>
        <w:adjustRightInd w:val="0"/>
        <w:spacing w:after="80" w:line="276" w:lineRule="auto"/>
        <w:jc w:val="both"/>
        <w:rPr>
          <w:rFonts w:ascii="Arial" w:hAnsi="Arial" w:cs="Arial"/>
        </w:rPr>
      </w:pPr>
    </w:p>
    <w:p w14:paraId="049FAC5E" w14:textId="563E3366" w:rsidR="00875848" w:rsidRPr="00E514FD" w:rsidRDefault="00875848" w:rsidP="004F439E">
      <w:pPr>
        <w:pStyle w:val="AbstHead"/>
        <w:numPr>
          <w:ilvl w:val="1"/>
          <w:numId w:val="39"/>
        </w:numPr>
        <w:spacing w:after="0"/>
        <w:jc w:val="both"/>
        <w:rPr>
          <w:rFonts w:ascii="Arial" w:hAnsi="Arial" w:cs="Arial"/>
          <w:caps w:val="0"/>
        </w:rPr>
      </w:pPr>
      <w:r w:rsidRPr="00E514FD">
        <w:rPr>
          <w:rFonts w:ascii="Arial" w:hAnsi="Arial" w:cs="Arial"/>
          <w:caps w:val="0"/>
        </w:rPr>
        <w:t>Market Loyalty and Transition Probabilities (Markov Chain Analysis)</w:t>
      </w:r>
    </w:p>
    <w:p w14:paraId="17FFB009" w14:textId="5F94DA4D" w:rsidR="00875848" w:rsidRPr="00142CA8" w:rsidRDefault="00875848" w:rsidP="003E1A35">
      <w:pPr>
        <w:pStyle w:val="ListParagraph"/>
        <w:adjustRightInd w:val="0"/>
        <w:spacing w:before="240" w:after="80"/>
        <w:ind w:left="0"/>
        <w:jc w:val="both"/>
        <w:rPr>
          <w:rFonts w:ascii="Arial" w:hAnsi="Arial" w:cs="Arial"/>
          <w:sz w:val="20"/>
          <w:szCs w:val="20"/>
        </w:rPr>
      </w:pPr>
      <w:r w:rsidRPr="00875848">
        <w:rPr>
          <w:rFonts w:ascii="Arial" w:hAnsi="Arial" w:cs="Arial"/>
          <w:sz w:val="20"/>
          <w:szCs w:val="20"/>
        </w:rPr>
        <w:t xml:space="preserve">The Markov Chain Model was employed to </w:t>
      </w:r>
      <w:proofErr w:type="spellStart"/>
      <w:r w:rsidRPr="00875848">
        <w:rPr>
          <w:rFonts w:ascii="Arial" w:hAnsi="Arial" w:cs="Arial"/>
          <w:sz w:val="20"/>
          <w:szCs w:val="20"/>
        </w:rPr>
        <w:t>analyze</w:t>
      </w:r>
      <w:proofErr w:type="spellEnd"/>
      <w:r w:rsidRPr="00875848">
        <w:rPr>
          <w:rFonts w:ascii="Arial" w:hAnsi="Arial" w:cs="Arial"/>
          <w:sz w:val="20"/>
          <w:szCs w:val="20"/>
        </w:rPr>
        <w:t xml:space="preserve"> the dynamic nature of India’s fruit export destinations and the degree of market loyalty among major importing countries.</w:t>
      </w:r>
      <w:r w:rsidR="003E1A35">
        <w:rPr>
          <w:rFonts w:ascii="Arial" w:hAnsi="Arial" w:cs="Arial"/>
          <w:sz w:val="20"/>
          <w:szCs w:val="20"/>
        </w:rPr>
        <w:t xml:space="preserve"> </w:t>
      </w:r>
      <w:r w:rsidRPr="00142CA8">
        <w:rPr>
          <w:rFonts w:ascii="Arial" w:hAnsi="Arial" w:cs="Arial"/>
          <w:sz w:val="20"/>
          <w:szCs w:val="20"/>
        </w:rPr>
        <w:t xml:space="preserve">The results of the Markov Chain Analysis reveal distinct patterns of market loyalty and transition dynamics in India’s exports of </w:t>
      </w:r>
      <w:r w:rsidR="00E514FD" w:rsidRPr="00142CA8">
        <w:rPr>
          <w:rFonts w:ascii="Arial" w:hAnsi="Arial" w:cs="Arial"/>
          <w:sz w:val="20"/>
          <w:szCs w:val="20"/>
        </w:rPr>
        <w:t>F</w:t>
      </w:r>
      <w:r w:rsidRPr="00142CA8">
        <w:rPr>
          <w:rFonts w:ascii="Arial" w:hAnsi="Arial" w:cs="Arial"/>
          <w:sz w:val="20"/>
          <w:szCs w:val="20"/>
        </w:rPr>
        <w:t>resh Grapes,</w:t>
      </w:r>
      <w:r w:rsidR="00E514FD" w:rsidRPr="00142CA8">
        <w:rPr>
          <w:rFonts w:ascii="Arial" w:hAnsi="Arial" w:cs="Arial"/>
          <w:sz w:val="20"/>
          <w:szCs w:val="20"/>
        </w:rPr>
        <w:t xml:space="preserve"> Fresh</w:t>
      </w:r>
      <w:r w:rsidRPr="00142CA8">
        <w:rPr>
          <w:rFonts w:ascii="Arial" w:hAnsi="Arial" w:cs="Arial"/>
          <w:sz w:val="20"/>
          <w:szCs w:val="20"/>
        </w:rPr>
        <w:t xml:space="preserve"> Bananas, and </w:t>
      </w:r>
      <w:r w:rsidR="00E514FD" w:rsidRPr="00142CA8">
        <w:rPr>
          <w:rFonts w:ascii="Arial" w:hAnsi="Arial" w:cs="Arial"/>
          <w:sz w:val="20"/>
          <w:szCs w:val="20"/>
        </w:rPr>
        <w:t xml:space="preserve">Fresh </w:t>
      </w:r>
      <w:r w:rsidRPr="00142CA8">
        <w:rPr>
          <w:rFonts w:ascii="Arial" w:hAnsi="Arial" w:cs="Arial"/>
          <w:sz w:val="20"/>
          <w:szCs w:val="20"/>
        </w:rPr>
        <w:t>Oranges during 2013–2024. The transition probability matrices were constructed for the top importing countries of each fruit to capture the likelihood of retaining or shifting export destinations over time.</w:t>
      </w:r>
    </w:p>
    <w:p w14:paraId="57026DFA" w14:textId="77777777" w:rsidR="0003763C" w:rsidRPr="00875848" w:rsidRDefault="0003763C" w:rsidP="00875848">
      <w:pPr>
        <w:pStyle w:val="ListParagraph"/>
        <w:adjustRightInd w:val="0"/>
        <w:spacing w:after="80"/>
        <w:ind w:left="0"/>
        <w:jc w:val="both"/>
        <w:rPr>
          <w:rFonts w:ascii="Arial" w:hAnsi="Arial" w:cs="Arial"/>
          <w:sz w:val="20"/>
          <w:szCs w:val="20"/>
        </w:rPr>
      </w:pPr>
    </w:p>
    <w:p w14:paraId="72B711CE" w14:textId="79126086" w:rsidR="00875848" w:rsidRPr="00E514FD" w:rsidRDefault="00875848" w:rsidP="00E514FD">
      <w:pPr>
        <w:adjustRightInd w:val="0"/>
        <w:spacing w:after="80" w:line="276" w:lineRule="auto"/>
        <w:rPr>
          <w:rFonts w:ascii="Arial" w:eastAsia="Calibri" w:hAnsi="Arial" w:cs="Arial"/>
          <w:b/>
          <w:bCs/>
        </w:rPr>
      </w:pPr>
      <w:r w:rsidRPr="00E514FD">
        <w:rPr>
          <w:rFonts w:ascii="Arial" w:eastAsia="Calibri" w:hAnsi="Arial" w:cs="Arial"/>
          <w:b/>
          <w:bCs/>
        </w:rPr>
        <w:lastRenderedPageBreak/>
        <w:t>Table</w:t>
      </w:r>
      <w:r w:rsidR="00142CA8">
        <w:rPr>
          <w:rFonts w:ascii="Arial" w:eastAsia="Calibri" w:hAnsi="Arial" w:cs="Arial"/>
          <w:b/>
          <w:bCs/>
        </w:rPr>
        <w:t xml:space="preserve"> </w:t>
      </w:r>
      <w:r w:rsidR="006C7B21">
        <w:rPr>
          <w:rFonts w:ascii="Arial" w:eastAsia="Calibri" w:hAnsi="Arial" w:cs="Arial"/>
          <w:b/>
          <w:bCs/>
        </w:rPr>
        <w:t>3</w:t>
      </w:r>
      <w:r w:rsidRPr="00E514FD">
        <w:rPr>
          <w:rFonts w:ascii="Arial" w:eastAsia="Calibri" w:hAnsi="Arial" w:cs="Arial"/>
          <w:b/>
          <w:bCs/>
        </w:rPr>
        <w:t>. Transition Probability Matrix for India’s Fresh Grape Exports.</w:t>
      </w:r>
    </w:p>
    <w:tbl>
      <w:tblPr>
        <w:tblW w:w="8424" w:type="dxa"/>
        <w:jc w:val="center"/>
        <w:tblLook w:val="04A0" w:firstRow="1" w:lastRow="0" w:firstColumn="1" w:lastColumn="0" w:noHBand="0" w:noVBand="1"/>
      </w:tblPr>
      <w:tblGrid>
        <w:gridCol w:w="1287"/>
        <w:gridCol w:w="1257"/>
        <w:gridCol w:w="1238"/>
        <w:gridCol w:w="667"/>
        <w:gridCol w:w="807"/>
        <w:gridCol w:w="707"/>
        <w:gridCol w:w="667"/>
        <w:gridCol w:w="997"/>
        <w:gridCol w:w="797"/>
      </w:tblGrid>
      <w:tr w:rsidR="00E514FD" w:rsidRPr="00E514FD" w14:paraId="290FA77C" w14:textId="77777777" w:rsidTr="0040248F">
        <w:trPr>
          <w:trHeight w:val="290"/>
          <w:jc w:val="center"/>
        </w:trPr>
        <w:tc>
          <w:tcPr>
            <w:tcW w:w="1526" w:type="dxa"/>
            <w:tcBorders>
              <w:top w:val="single" w:sz="4" w:space="0" w:color="auto"/>
              <w:bottom w:val="single" w:sz="4" w:space="0" w:color="auto"/>
            </w:tcBorders>
            <w:vAlign w:val="center"/>
            <w:hideMark/>
          </w:tcPr>
          <w:p w14:paraId="7432FE5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Export From → To</w:t>
            </w:r>
          </w:p>
        </w:tc>
        <w:tc>
          <w:tcPr>
            <w:tcW w:w="998" w:type="dxa"/>
            <w:tcBorders>
              <w:top w:val="single" w:sz="4" w:space="0" w:color="auto"/>
              <w:bottom w:val="single" w:sz="4" w:space="0" w:color="auto"/>
            </w:tcBorders>
            <w:vAlign w:val="center"/>
            <w:hideMark/>
          </w:tcPr>
          <w:p w14:paraId="6353A4F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Netherlands</w:t>
            </w:r>
          </w:p>
        </w:tc>
        <w:tc>
          <w:tcPr>
            <w:tcW w:w="1242" w:type="dxa"/>
            <w:tcBorders>
              <w:top w:val="single" w:sz="4" w:space="0" w:color="auto"/>
              <w:bottom w:val="single" w:sz="4" w:space="0" w:color="auto"/>
            </w:tcBorders>
            <w:vAlign w:val="center"/>
            <w:hideMark/>
          </w:tcPr>
          <w:p w14:paraId="1AECB0D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669" w:type="dxa"/>
            <w:tcBorders>
              <w:top w:val="single" w:sz="4" w:space="0" w:color="auto"/>
              <w:bottom w:val="single" w:sz="4" w:space="0" w:color="auto"/>
            </w:tcBorders>
            <w:vAlign w:val="center"/>
            <w:hideMark/>
          </w:tcPr>
          <w:p w14:paraId="0547D29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810" w:type="dxa"/>
            <w:tcBorders>
              <w:top w:val="single" w:sz="4" w:space="0" w:color="auto"/>
              <w:bottom w:val="single" w:sz="4" w:space="0" w:color="auto"/>
            </w:tcBorders>
            <w:vAlign w:val="center"/>
            <w:hideMark/>
          </w:tcPr>
          <w:p w14:paraId="2F659E3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709" w:type="dxa"/>
            <w:tcBorders>
              <w:top w:val="single" w:sz="4" w:space="0" w:color="auto"/>
              <w:bottom w:val="single" w:sz="4" w:space="0" w:color="auto"/>
            </w:tcBorders>
            <w:vAlign w:val="center"/>
            <w:hideMark/>
          </w:tcPr>
          <w:p w14:paraId="6873EE96"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669" w:type="dxa"/>
            <w:tcBorders>
              <w:top w:val="single" w:sz="4" w:space="0" w:color="auto"/>
              <w:bottom w:val="single" w:sz="4" w:space="0" w:color="auto"/>
            </w:tcBorders>
            <w:vAlign w:val="center"/>
            <w:hideMark/>
          </w:tcPr>
          <w:p w14:paraId="4294D05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UK</w:t>
            </w:r>
          </w:p>
        </w:tc>
        <w:tc>
          <w:tcPr>
            <w:tcW w:w="1001" w:type="dxa"/>
            <w:tcBorders>
              <w:top w:val="single" w:sz="4" w:space="0" w:color="auto"/>
              <w:bottom w:val="single" w:sz="4" w:space="0" w:color="auto"/>
            </w:tcBorders>
            <w:vAlign w:val="center"/>
            <w:hideMark/>
          </w:tcPr>
          <w:p w14:paraId="6208E63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Germany</w:t>
            </w:r>
          </w:p>
        </w:tc>
        <w:tc>
          <w:tcPr>
            <w:tcW w:w="800" w:type="dxa"/>
            <w:tcBorders>
              <w:top w:val="single" w:sz="4" w:space="0" w:color="auto"/>
              <w:bottom w:val="single" w:sz="4" w:space="0" w:color="auto"/>
            </w:tcBorders>
            <w:vAlign w:val="center"/>
            <w:hideMark/>
          </w:tcPr>
          <w:p w14:paraId="0A7441DE"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Others</w:t>
            </w:r>
          </w:p>
        </w:tc>
      </w:tr>
      <w:tr w:rsidR="00E514FD" w:rsidRPr="00E514FD" w14:paraId="32D9E006" w14:textId="77777777" w:rsidTr="0040248F">
        <w:trPr>
          <w:trHeight w:val="290"/>
          <w:jc w:val="center"/>
        </w:trPr>
        <w:tc>
          <w:tcPr>
            <w:tcW w:w="1526" w:type="dxa"/>
            <w:tcBorders>
              <w:top w:val="single" w:sz="4" w:space="0" w:color="auto"/>
            </w:tcBorders>
            <w:vAlign w:val="center"/>
            <w:hideMark/>
          </w:tcPr>
          <w:p w14:paraId="5898FE9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Netherlands</w:t>
            </w:r>
          </w:p>
        </w:tc>
        <w:tc>
          <w:tcPr>
            <w:tcW w:w="998" w:type="dxa"/>
            <w:tcBorders>
              <w:top w:val="single" w:sz="4" w:space="0" w:color="auto"/>
            </w:tcBorders>
            <w:shd w:val="clear" w:color="000000" w:fill="F1A983"/>
            <w:vAlign w:val="center"/>
            <w:hideMark/>
          </w:tcPr>
          <w:p w14:paraId="006C9A3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0.483</w:t>
            </w:r>
          </w:p>
        </w:tc>
        <w:tc>
          <w:tcPr>
            <w:tcW w:w="1242" w:type="dxa"/>
            <w:tcBorders>
              <w:top w:val="single" w:sz="4" w:space="0" w:color="auto"/>
            </w:tcBorders>
            <w:vAlign w:val="center"/>
            <w:hideMark/>
          </w:tcPr>
          <w:p w14:paraId="6164E6E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0.084</w:t>
            </w:r>
          </w:p>
        </w:tc>
        <w:tc>
          <w:tcPr>
            <w:tcW w:w="669" w:type="dxa"/>
            <w:tcBorders>
              <w:top w:val="single" w:sz="4" w:space="0" w:color="auto"/>
            </w:tcBorders>
            <w:vAlign w:val="center"/>
            <w:hideMark/>
          </w:tcPr>
          <w:p w14:paraId="76FB0B3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0.072</w:t>
            </w:r>
          </w:p>
        </w:tc>
        <w:tc>
          <w:tcPr>
            <w:tcW w:w="810" w:type="dxa"/>
            <w:tcBorders>
              <w:top w:val="single" w:sz="4" w:space="0" w:color="auto"/>
            </w:tcBorders>
            <w:vAlign w:val="center"/>
            <w:hideMark/>
          </w:tcPr>
          <w:p w14:paraId="17EA972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0.061</w:t>
            </w:r>
          </w:p>
        </w:tc>
        <w:tc>
          <w:tcPr>
            <w:tcW w:w="709" w:type="dxa"/>
            <w:tcBorders>
              <w:top w:val="single" w:sz="4" w:space="0" w:color="auto"/>
            </w:tcBorders>
            <w:vAlign w:val="center"/>
            <w:hideMark/>
          </w:tcPr>
          <w:p w14:paraId="1DB64A6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0.034</w:t>
            </w:r>
          </w:p>
        </w:tc>
        <w:tc>
          <w:tcPr>
            <w:tcW w:w="669" w:type="dxa"/>
            <w:tcBorders>
              <w:top w:val="single" w:sz="4" w:space="0" w:color="auto"/>
            </w:tcBorders>
            <w:vAlign w:val="center"/>
            <w:hideMark/>
          </w:tcPr>
          <w:p w14:paraId="7552107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0.059</w:t>
            </w:r>
          </w:p>
        </w:tc>
        <w:tc>
          <w:tcPr>
            <w:tcW w:w="1001" w:type="dxa"/>
            <w:tcBorders>
              <w:top w:val="single" w:sz="4" w:space="0" w:color="auto"/>
            </w:tcBorders>
            <w:vAlign w:val="center"/>
            <w:hideMark/>
          </w:tcPr>
          <w:p w14:paraId="684E690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800" w:type="dxa"/>
            <w:tcBorders>
              <w:top w:val="single" w:sz="4" w:space="0" w:color="auto"/>
            </w:tcBorders>
            <w:vAlign w:val="center"/>
            <w:hideMark/>
          </w:tcPr>
          <w:p w14:paraId="23208D4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0.159</w:t>
            </w:r>
          </w:p>
        </w:tc>
      </w:tr>
      <w:tr w:rsidR="00E514FD" w:rsidRPr="00E514FD" w14:paraId="0AEBFBBF" w14:textId="77777777" w:rsidTr="0040248F">
        <w:trPr>
          <w:trHeight w:val="290"/>
          <w:jc w:val="center"/>
        </w:trPr>
        <w:tc>
          <w:tcPr>
            <w:tcW w:w="1526" w:type="dxa"/>
            <w:vAlign w:val="center"/>
            <w:hideMark/>
          </w:tcPr>
          <w:p w14:paraId="6B74153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998" w:type="dxa"/>
            <w:vAlign w:val="center"/>
            <w:hideMark/>
          </w:tcPr>
          <w:p w14:paraId="5F5F441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0.059</w:t>
            </w:r>
          </w:p>
        </w:tc>
        <w:tc>
          <w:tcPr>
            <w:tcW w:w="1242" w:type="dxa"/>
            <w:shd w:val="clear" w:color="000000" w:fill="FFC000"/>
            <w:vAlign w:val="center"/>
            <w:hideMark/>
          </w:tcPr>
          <w:p w14:paraId="64C4D1B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0.376</w:t>
            </w:r>
          </w:p>
        </w:tc>
        <w:tc>
          <w:tcPr>
            <w:tcW w:w="669" w:type="dxa"/>
            <w:vAlign w:val="center"/>
            <w:hideMark/>
          </w:tcPr>
          <w:p w14:paraId="6DAD663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0.073</w:t>
            </w:r>
          </w:p>
        </w:tc>
        <w:tc>
          <w:tcPr>
            <w:tcW w:w="810" w:type="dxa"/>
            <w:vAlign w:val="center"/>
            <w:hideMark/>
          </w:tcPr>
          <w:p w14:paraId="3038246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0.071</w:t>
            </w:r>
          </w:p>
        </w:tc>
        <w:tc>
          <w:tcPr>
            <w:tcW w:w="709" w:type="dxa"/>
            <w:vAlign w:val="center"/>
            <w:hideMark/>
          </w:tcPr>
          <w:p w14:paraId="74DA439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0.041</w:t>
            </w:r>
          </w:p>
        </w:tc>
        <w:tc>
          <w:tcPr>
            <w:tcW w:w="669" w:type="dxa"/>
            <w:vAlign w:val="center"/>
            <w:hideMark/>
          </w:tcPr>
          <w:p w14:paraId="745FB119"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0.066</w:t>
            </w:r>
          </w:p>
        </w:tc>
        <w:tc>
          <w:tcPr>
            <w:tcW w:w="1001" w:type="dxa"/>
            <w:vAlign w:val="center"/>
            <w:hideMark/>
          </w:tcPr>
          <w:p w14:paraId="161A039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0.047</w:t>
            </w:r>
          </w:p>
        </w:tc>
        <w:tc>
          <w:tcPr>
            <w:tcW w:w="800" w:type="dxa"/>
            <w:vAlign w:val="center"/>
            <w:hideMark/>
          </w:tcPr>
          <w:p w14:paraId="7F08AD4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0.267</w:t>
            </w:r>
          </w:p>
        </w:tc>
      </w:tr>
      <w:tr w:rsidR="00E514FD" w:rsidRPr="00E514FD" w14:paraId="756975C8" w14:textId="77777777" w:rsidTr="0040248F">
        <w:trPr>
          <w:trHeight w:val="290"/>
          <w:jc w:val="center"/>
        </w:trPr>
        <w:tc>
          <w:tcPr>
            <w:tcW w:w="1526" w:type="dxa"/>
            <w:vAlign w:val="center"/>
            <w:hideMark/>
          </w:tcPr>
          <w:p w14:paraId="1A25938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998" w:type="dxa"/>
            <w:vAlign w:val="center"/>
            <w:hideMark/>
          </w:tcPr>
          <w:p w14:paraId="2E9A2E7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0.072</w:t>
            </w:r>
          </w:p>
        </w:tc>
        <w:tc>
          <w:tcPr>
            <w:tcW w:w="1242" w:type="dxa"/>
            <w:vAlign w:val="center"/>
            <w:hideMark/>
          </w:tcPr>
          <w:p w14:paraId="6BF44A9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0.093</w:t>
            </w:r>
          </w:p>
        </w:tc>
        <w:tc>
          <w:tcPr>
            <w:tcW w:w="669" w:type="dxa"/>
            <w:shd w:val="clear" w:color="000000" w:fill="FFC000"/>
            <w:vAlign w:val="center"/>
            <w:hideMark/>
          </w:tcPr>
          <w:p w14:paraId="15DE5CC6"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0.095</w:t>
            </w:r>
          </w:p>
        </w:tc>
        <w:tc>
          <w:tcPr>
            <w:tcW w:w="810" w:type="dxa"/>
            <w:vAlign w:val="center"/>
            <w:hideMark/>
          </w:tcPr>
          <w:p w14:paraId="0E99CA3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0.089</w:t>
            </w:r>
          </w:p>
        </w:tc>
        <w:tc>
          <w:tcPr>
            <w:tcW w:w="709" w:type="dxa"/>
            <w:vAlign w:val="center"/>
            <w:hideMark/>
          </w:tcPr>
          <w:p w14:paraId="3CEF288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0.057</w:t>
            </w:r>
          </w:p>
        </w:tc>
        <w:tc>
          <w:tcPr>
            <w:tcW w:w="669" w:type="dxa"/>
            <w:vAlign w:val="center"/>
            <w:hideMark/>
          </w:tcPr>
          <w:p w14:paraId="3DF26B4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0.064</w:t>
            </w:r>
          </w:p>
        </w:tc>
        <w:tc>
          <w:tcPr>
            <w:tcW w:w="1001" w:type="dxa"/>
            <w:vAlign w:val="center"/>
            <w:hideMark/>
          </w:tcPr>
          <w:p w14:paraId="180A716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0.055</w:t>
            </w:r>
          </w:p>
        </w:tc>
        <w:tc>
          <w:tcPr>
            <w:tcW w:w="800" w:type="dxa"/>
            <w:vAlign w:val="center"/>
            <w:hideMark/>
          </w:tcPr>
          <w:p w14:paraId="63ACC0B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0.475</w:t>
            </w:r>
          </w:p>
        </w:tc>
      </w:tr>
      <w:tr w:rsidR="00E514FD" w:rsidRPr="00E514FD" w14:paraId="406AD897" w14:textId="77777777" w:rsidTr="0040248F">
        <w:trPr>
          <w:trHeight w:val="290"/>
          <w:jc w:val="center"/>
        </w:trPr>
        <w:tc>
          <w:tcPr>
            <w:tcW w:w="1526" w:type="dxa"/>
            <w:vAlign w:val="center"/>
            <w:hideMark/>
          </w:tcPr>
          <w:p w14:paraId="69D862EE"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998" w:type="dxa"/>
            <w:vAlign w:val="center"/>
            <w:hideMark/>
          </w:tcPr>
          <w:p w14:paraId="2D58263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0.078</w:t>
            </w:r>
          </w:p>
        </w:tc>
        <w:tc>
          <w:tcPr>
            <w:tcW w:w="1242" w:type="dxa"/>
            <w:vAlign w:val="center"/>
            <w:hideMark/>
          </w:tcPr>
          <w:p w14:paraId="29BFF3F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0.083</w:t>
            </w:r>
          </w:p>
        </w:tc>
        <w:tc>
          <w:tcPr>
            <w:tcW w:w="669" w:type="dxa"/>
            <w:vAlign w:val="center"/>
            <w:hideMark/>
          </w:tcPr>
          <w:p w14:paraId="43FE08B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0.068</w:t>
            </w:r>
          </w:p>
        </w:tc>
        <w:tc>
          <w:tcPr>
            <w:tcW w:w="810" w:type="dxa"/>
            <w:shd w:val="clear" w:color="000000" w:fill="FFC000"/>
            <w:vAlign w:val="center"/>
            <w:hideMark/>
          </w:tcPr>
          <w:p w14:paraId="03A2309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0.035</w:t>
            </w:r>
          </w:p>
        </w:tc>
        <w:tc>
          <w:tcPr>
            <w:tcW w:w="709" w:type="dxa"/>
            <w:vAlign w:val="center"/>
            <w:hideMark/>
          </w:tcPr>
          <w:p w14:paraId="002F33A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669" w:type="dxa"/>
            <w:vAlign w:val="center"/>
            <w:hideMark/>
          </w:tcPr>
          <w:p w14:paraId="2DDE426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1001" w:type="dxa"/>
            <w:vAlign w:val="center"/>
            <w:hideMark/>
          </w:tcPr>
          <w:p w14:paraId="42A51E2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0.061</w:t>
            </w:r>
          </w:p>
        </w:tc>
        <w:tc>
          <w:tcPr>
            <w:tcW w:w="800" w:type="dxa"/>
            <w:vAlign w:val="center"/>
            <w:hideMark/>
          </w:tcPr>
          <w:p w14:paraId="538214F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0.564</w:t>
            </w:r>
          </w:p>
        </w:tc>
      </w:tr>
      <w:tr w:rsidR="00E514FD" w:rsidRPr="00E514FD" w14:paraId="227CCE07" w14:textId="77777777" w:rsidTr="0040248F">
        <w:trPr>
          <w:trHeight w:val="290"/>
          <w:jc w:val="center"/>
        </w:trPr>
        <w:tc>
          <w:tcPr>
            <w:tcW w:w="1526" w:type="dxa"/>
            <w:vAlign w:val="center"/>
            <w:hideMark/>
          </w:tcPr>
          <w:p w14:paraId="5E03EDA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998" w:type="dxa"/>
            <w:vAlign w:val="center"/>
            <w:hideMark/>
          </w:tcPr>
          <w:p w14:paraId="57C1D10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0.054</w:t>
            </w:r>
          </w:p>
        </w:tc>
        <w:tc>
          <w:tcPr>
            <w:tcW w:w="1242" w:type="dxa"/>
            <w:vAlign w:val="center"/>
            <w:hideMark/>
          </w:tcPr>
          <w:p w14:paraId="417BCDF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0.067</w:t>
            </w:r>
          </w:p>
        </w:tc>
        <w:tc>
          <w:tcPr>
            <w:tcW w:w="669" w:type="dxa"/>
            <w:vAlign w:val="center"/>
            <w:hideMark/>
          </w:tcPr>
          <w:p w14:paraId="45990B7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0.072</w:t>
            </w:r>
          </w:p>
        </w:tc>
        <w:tc>
          <w:tcPr>
            <w:tcW w:w="810" w:type="dxa"/>
            <w:vAlign w:val="center"/>
            <w:hideMark/>
          </w:tcPr>
          <w:p w14:paraId="1B5AB24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0.081</w:t>
            </w:r>
          </w:p>
        </w:tc>
        <w:tc>
          <w:tcPr>
            <w:tcW w:w="709" w:type="dxa"/>
            <w:shd w:val="clear" w:color="000000" w:fill="FFC000"/>
            <w:vAlign w:val="center"/>
            <w:hideMark/>
          </w:tcPr>
          <w:p w14:paraId="0176D91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0.243</w:t>
            </w:r>
          </w:p>
        </w:tc>
        <w:tc>
          <w:tcPr>
            <w:tcW w:w="669" w:type="dxa"/>
            <w:vAlign w:val="center"/>
            <w:hideMark/>
          </w:tcPr>
          <w:p w14:paraId="4772114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0.059</w:t>
            </w:r>
          </w:p>
        </w:tc>
        <w:tc>
          <w:tcPr>
            <w:tcW w:w="1001" w:type="dxa"/>
            <w:vAlign w:val="center"/>
            <w:hideMark/>
          </w:tcPr>
          <w:p w14:paraId="7E0DC22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0.046</w:t>
            </w:r>
          </w:p>
        </w:tc>
        <w:tc>
          <w:tcPr>
            <w:tcW w:w="800" w:type="dxa"/>
            <w:vAlign w:val="center"/>
            <w:hideMark/>
          </w:tcPr>
          <w:p w14:paraId="70DE7D6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0.378</w:t>
            </w:r>
          </w:p>
        </w:tc>
      </w:tr>
      <w:tr w:rsidR="00E514FD" w:rsidRPr="00E514FD" w14:paraId="0E7CD1AE" w14:textId="77777777" w:rsidTr="0040248F">
        <w:trPr>
          <w:trHeight w:val="290"/>
          <w:jc w:val="center"/>
        </w:trPr>
        <w:tc>
          <w:tcPr>
            <w:tcW w:w="1526" w:type="dxa"/>
            <w:vAlign w:val="center"/>
            <w:hideMark/>
          </w:tcPr>
          <w:p w14:paraId="28F8A9A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UK</w:t>
            </w:r>
          </w:p>
        </w:tc>
        <w:tc>
          <w:tcPr>
            <w:tcW w:w="998" w:type="dxa"/>
            <w:vAlign w:val="center"/>
            <w:hideMark/>
          </w:tcPr>
          <w:p w14:paraId="66912D9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1242" w:type="dxa"/>
            <w:vAlign w:val="center"/>
            <w:hideMark/>
          </w:tcPr>
          <w:p w14:paraId="6A8F672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0.087</w:t>
            </w:r>
          </w:p>
        </w:tc>
        <w:tc>
          <w:tcPr>
            <w:tcW w:w="669" w:type="dxa"/>
            <w:vAlign w:val="center"/>
            <w:hideMark/>
          </w:tcPr>
          <w:p w14:paraId="1A7526D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0.069</w:t>
            </w:r>
          </w:p>
        </w:tc>
        <w:tc>
          <w:tcPr>
            <w:tcW w:w="810" w:type="dxa"/>
            <w:vAlign w:val="center"/>
            <w:hideMark/>
          </w:tcPr>
          <w:p w14:paraId="1B5F367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0.071</w:t>
            </w:r>
          </w:p>
        </w:tc>
        <w:tc>
          <w:tcPr>
            <w:tcW w:w="709" w:type="dxa"/>
            <w:vAlign w:val="center"/>
            <w:hideMark/>
          </w:tcPr>
          <w:p w14:paraId="2EB8FD1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0.051</w:t>
            </w:r>
          </w:p>
        </w:tc>
        <w:tc>
          <w:tcPr>
            <w:tcW w:w="669" w:type="dxa"/>
            <w:shd w:val="clear" w:color="000000" w:fill="FFC000"/>
            <w:vAlign w:val="center"/>
            <w:hideMark/>
          </w:tcPr>
          <w:p w14:paraId="09D3673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0.376</w:t>
            </w:r>
          </w:p>
        </w:tc>
        <w:tc>
          <w:tcPr>
            <w:tcW w:w="1001" w:type="dxa"/>
            <w:vAlign w:val="center"/>
            <w:hideMark/>
          </w:tcPr>
          <w:p w14:paraId="0E2B00A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800" w:type="dxa"/>
            <w:vAlign w:val="center"/>
            <w:hideMark/>
          </w:tcPr>
          <w:p w14:paraId="22C5849A"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0.222</w:t>
            </w:r>
          </w:p>
        </w:tc>
      </w:tr>
      <w:tr w:rsidR="00E514FD" w:rsidRPr="00E514FD" w14:paraId="2A65F0F6" w14:textId="77777777" w:rsidTr="0040248F">
        <w:trPr>
          <w:trHeight w:val="290"/>
          <w:jc w:val="center"/>
        </w:trPr>
        <w:tc>
          <w:tcPr>
            <w:tcW w:w="1526" w:type="dxa"/>
            <w:vAlign w:val="center"/>
            <w:hideMark/>
          </w:tcPr>
          <w:p w14:paraId="6584A97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Germany</w:t>
            </w:r>
          </w:p>
        </w:tc>
        <w:tc>
          <w:tcPr>
            <w:tcW w:w="998" w:type="dxa"/>
            <w:vAlign w:val="center"/>
            <w:hideMark/>
          </w:tcPr>
          <w:p w14:paraId="2D674A3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0.069</w:t>
            </w:r>
          </w:p>
        </w:tc>
        <w:tc>
          <w:tcPr>
            <w:tcW w:w="1242" w:type="dxa"/>
            <w:vAlign w:val="center"/>
            <w:hideMark/>
          </w:tcPr>
          <w:p w14:paraId="6E9650E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0.073</w:t>
            </w:r>
          </w:p>
        </w:tc>
        <w:tc>
          <w:tcPr>
            <w:tcW w:w="669" w:type="dxa"/>
            <w:vAlign w:val="center"/>
            <w:hideMark/>
          </w:tcPr>
          <w:p w14:paraId="17ABA27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0.064</w:t>
            </w:r>
          </w:p>
        </w:tc>
        <w:tc>
          <w:tcPr>
            <w:tcW w:w="810" w:type="dxa"/>
            <w:vAlign w:val="center"/>
            <w:hideMark/>
          </w:tcPr>
          <w:p w14:paraId="2E84673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0.069</w:t>
            </w:r>
          </w:p>
        </w:tc>
        <w:tc>
          <w:tcPr>
            <w:tcW w:w="709" w:type="dxa"/>
            <w:vAlign w:val="center"/>
            <w:hideMark/>
          </w:tcPr>
          <w:p w14:paraId="287803A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0.062</w:t>
            </w:r>
          </w:p>
        </w:tc>
        <w:tc>
          <w:tcPr>
            <w:tcW w:w="669" w:type="dxa"/>
            <w:vAlign w:val="center"/>
            <w:hideMark/>
          </w:tcPr>
          <w:p w14:paraId="1F317F6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0.067</w:t>
            </w:r>
          </w:p>
        </w:tc>
        <w:tc>
          <w:tcPr>
            <w:tcW w:w="1001" w:type="dxa"/>
            <w:shd w:val="clear" w:color="000000" w:fill="F1A983"/>
            <w:vAlign w:val="center"/>
            <w:hideMark/>
          </w:tcPr>
          <w:p w14:paraId="48F25D4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0.496</w:t>
            </w:r>
          </w:p>
        </w:tc>
        <w:tc>
          <w:tcPr>
            <w:tcW w:w="800" w:type="dxa"/>
            <w:vAlign w:val="center"/>
            <w:hideMark/>
          </w:tcPr>
          <w:p w14:paraId="14F2319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0.1</w:t>
            </w:r>
          </w:p>
        </w:tc>
      </w:tr>
      <w:tr w:rsidR="00E514FD" w:rsidRPr="00E514FD" w14:paraId="255C809D" w14:textId="77777777" w:rsidTr="0040248F">
        <w:trPr>
          <w:trHeight w:val="290"/>
          <w:jc w:val="center"/>
        </w:trPr>
        <w:tc>
          <w:tcPr>
            <w:tcW w:w="1526" w:type="dxa"/>
            <w:tcBorders>
              <w:bottom w:val="single" w:sz="4" w:space="0" w:color="auto"/>
            </w:tcBorders>
            <w:vAlign w:val="center"/>
            <w:hideMark/>
          </w:tcPr>
          <w:p w14:paraId="23D9C53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Others</w:t>
            </w:r>
          </w:p>
        </w:tc>
        <w:tc>
          <w:tcPr>
            <w:tcW w:w="998" w:type="dxa"/>
            <w:tcBorders>
              <w:bottom w:val="single" w:sz="4" w:space="0" w:color="auto"/>
            </w:tcBorders>
            <w:vAlign w:val="center"/>
            <w:hideMark/>
          </w:tcPr>
          <w:p w14:paraId="746EA8A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0.101</w:t>
            </w:r>
          </w:p>
        </w:tc>
        <w:tc>
          <w:tcPr>
            <w:tcW w:w="1242" w:type="dxa"/>
            <w:tcBorders>
              <w:bottom w:val="single" w:sz="4" w:space="0" w:color="auto"/>
            </w:tcBorders>
            <w:vAlign w:val="center"/>
            <w:hideMark/>
          </w:tcPr>
          <w:p w14:paraId="54486C2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0.087</w:t>
            </w:r>
          </w:p>
        </w:tc>
        <w:tc>
          <w:tcPr>
            <w:tcW w:w="669" w:type="dxa"/>
            <w:tcBorders>
              <w:bottom w:val="single" w:sz="4" w:space="0" w:color="auto"/>
            </w:tcBorders>
            <w:vAlign w:val="center"/>
            <w:hideMark/>
          </w:tcPr>
          <w:p w14:paraId="7968EBA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0.078</w:t>
            </w:r>
          </w:p>
        </w:tc>
        <w:tc>
          <w:tcPr>
            <w:tcW w:w="810" w:type="dxa"/>
            <w:tcBorders>
              <w:bottom w:val="single" w:sz="4" w:space="0" w:color="auto"/>
            </w:tcBorders>
            <w:vAlign w:val="center"/>
            <w:hideMark/>
          </w:tcPr>
          <w:p w14:paraId="4925525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0.061</w:t>
            </w:r>
          </w:p>
        </w:tc>
        <w:tc>
          <w:tcPr>
            <w:tcW w:w="709" w:type="dxa"/>
            <w:tcBorders>
              <w:bottom w:val="single" w:sz="4" w:space="0" w:color="auto"/>
            </w:tcBorders>
            <w:vAlign w:val="center"/>
            <w:hideMark/>
          </w:tcPr>
          <w:p w14:paraId="37D3AF9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0.057</w:t>
            </w:r>
          </w:p>
        </w:tc>
        <w:tc>
          <w:tcPr>
            <w:tcW w:w="669" w:type="dxa"/>
            <w:tcBorders>
              <w:bottom w:val="single" w:sz="4" w:space="0" w:color="auto"/>
            </w:tcBorders>
            <w:vAlign w:val="center"/>
            <w:hideMark/>
          </w:tcPr>
          <w:p w14:paraId="4F03F63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0.065</w:t>
            </w:r>
          </w:p>
        </w:tc>
        <w:tc>
          <w:tcPr>
            <w:tcW w:w="1001" w:type="dxa"/>
            <w:tcBorders>
              <w:bottom w:val="single" w:sz="4" w:space="0" w:color="auto"/>
            </w:tcBorders>
            <w:vAlign w:val="center"/>
            <w:hideMark/>
          </w:tcPr>
          <w:p w14:paraId="660A7FD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0.071</w:t>
            </w:r>
          </w:p>
        </w:tc>
        <w:tc>
          <w:tcPr>
            <w:tcW w:w="800" w:type="dxa"/>
            <w:tcBorders>
              <w:bottom w:val="single" w:sz="4" w:space="0" w:color="auto"/>
            </w:tcBorders>
            <w:shd w:val="clear" w:color="000000" w:fill="FFC000"/>
            <w:vAlign w:val="center"/>
            <w:hideMark/>
          </w:tcPr>
          <w:p w14:paraId="3BD63FDB"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0.48</w:t>
            </w:r>
          </w:p>
        </w:tc>
      </w:tr>
    </w:tbl>
    <w:p w14:paraId="7A1F8D13" w14:textId="38E09AC7" w:rsidR="00875848" w:rsidRDefault="00142CA8" w:rsidP="0040248F">
      <w:pPr>
        <w:pStyle w:val="ListParagraph"/>
        <w:adjustRightInd w:val="0"/>
        <w:spacing w:before="240" w:after="80"/>
        <w:ind w:left="0"/>
        <w:jc w:val="both"/>
        <w:rPr>
          <w:rFonts w:ascii="Arial" w:hAnsi="Arial" w:cs="Arial"/>
          <w:sz w:val="20"/>
          <w:szCs w:val="20"/>
        </w:rPr>
      </w:pPr>
      <w:r>
        <w:rPr>
          <w:rFonts w:ascii="Arial" w:hAnsi="Arial" w:cs="Arial"/>
          <w:sz w:val="20"/>
          <w:szCs w:val="20"/>
        </w:rPr>
        <w:t xml:space="preserve">The </w:t>
      </w:r>
      <w:r w:rsidRPr="00142CA8">
        <w:rPr>
          <w:rFonts w:ascii="Arial" w:hAnsi="Arial" w:cs="Arial"/>
          <w:sz w:val="20"/>
          <w:szCs w:val="20"/>
        </w:rPr>
        <w:t>Transition Probability Matrix</w:t>
      </w:r>
      <w:r>
        <w:rPr>
          <w:rFonts w:ascii="Arial" w:hAnsi="Arial" w:cs="Arial"/>
          <w:sz w:val="20"/>
          <w:szCs w:val="20"/>
        </w:rPr>
        <w:t xml:space="preserve"> for fresh grapes</w:t>
      </w:r>
      <w:r w:rsidR="0040248F">
        <w:rPr>
          <w:rFonts w:ascii="Arial" w:hAnsi="Arial" w:cs="Arial"/>
          <w:sz w:val="20"/>
          <w:szCs w:val="20"/>
        </w:rPr>
        <w:t xml:space="preserve"> from India</w:t>
      </w:r>
      <w:r>
        <w:rPr>
          <w:rFonts w:ascii="Arial" w:hAnsi="Arial" w:cs="Arial"/>
          <w:sz w:val="20"/>
          <w:szCs w:val="20"/>
        </w:rPr>
        <w:t xml:space="preserve"> are presented in Table 3. F</w:t>
      </w:r>
      <w:r w:rsidR="00875848" w:rsidRPr="00875848">
        <w:rPr>
          <w:rFonts w:ascii="Arial" w:hAnsi="Arial" w:cs="Arial"/>
          <w:sz w:val="20"/>
          <w:szCs w:val="20"/>
        </w:rPr>
        <w:t xml:space="preserve">or fresh </w:t>
      </w:r>
      <w:r>
        <w:rPr>
          <w:rFonts w:ascii="Arial" w:hAnsi="Arial" w:cs="Arial"/>
          <w:sz w:val="20"/>
          <w:szCs w:val="20"/>
        </w:rPr>
        <w:t>g</w:t>
      </w:r>
      <w:r w:rsidR="00875848" w:rsidRPr="00875848">
        <w:rPr>
          <w:rFonts w:ascii="Arial" w:hAnsi="Arial" w:cs="Arial"/>
          <w:sz w:val="20"/>
          <w:szCs w:val="20"/>
        </w:rPr>
        <w:t xml:space="preserve">rapes, the </w:t>
      </w:r>
      <w:r w:rsidRPr="00875848">
        <w:rPr>
          <w:rFonts w:ascii="Arial" w:hAnsi="Arial" w:cs="Arial"/>
          <w:sz w:val="20"/>
          <w:szCs w:val="20"/>
        </w:rPr>
        <w:t xml:space="preserve">Markov Chain </w:t>
      </w:r>
      <w:r w:rsidR="00875848" w:rsidRPr="00875848">
        <w:rPr>
          <w:rFonts w:ascii="Arial" w:hAnsi="Arial" w:cs="Arial"/>
          <w:sz w:val="20"/>
          <w:szCs w:val="20"/>
        </w:rPr>
        <w:t>analysis indicates a relatively high degree of market loyalty, particularly in Germany (0.496) and the Netherlands (0.483), which continue to serve as India’s core and stable export markets. Moderate probabilities toward destinations such as Bangladesh, UAE, and Nepal highlight gradual diversification into emerging Asian markets. These patterns suggest that while India’s grape exports remain strongly tied to established European partners, new opportunities are steadily being developed in South and West Asia.</w:t>
      </w:r>
    </w:p>
    <w:p w14:paraId="624FA6A1" w14:textId="6F40437E" w:rsidR="00D3645A" w:rsidRDefault="00D3645A" w:rsidP="0040248F">
      <w:pPr>
        <w:pStyle w:val="ListParagraph"/>
        <w:adjustRightInd w:val="0"/>
        <w:spacing w:before="240" w:after="80"/>
        <w:ind w:left="0"/>
        <w:jc w:val="both"/>
        <w:rPr>
          <w:rFonts w:ascii="Arial" w:hAnsi="Arial" w:cs="Arial"/>
          <w:sz w:val="20"/>
          <w:szCs w:val="20"/>
        </w:rPr>
      </w:pPr>
      <w:r w:rsidRPr="00D3645A">
        <w:rPr>
          <w:rFonts w:ascii="Arial" w:hAnsi="Arial" w:cs="Arial"/>
          <w:sz w:val="20"/>
          <w:szCs w:val="20"/>
          <w:highlight w:val="yellow"/>
          <w:lang w:val="en-US"/>
        </w:rPr>
        <w:t>This strong market retention in European destinations aligns with earlier findings by Verma et al. (2024), emphasizing the importance of long-term buyer relationships and compliance with stringent quality standards for sustaining export stability.</w:t>
      </w:r>
    </w:p>
    <w:p w14:paraId="5F44EF87" w14:textId="77777777" w:rsidR="00E514FD" w:rsidRPr="00875848" w:rsidRDefault="00E514FD" w:rsidP="00E514FD">
      <w:pPr>
        <w:pStyle w:val="ListParagraph"/>
        <w:adjustRightInd w:val="0"/>
        <w:spacing w:before="240" w:after="80"/>
        <w:ind w:left="0"/>
        <w:jc w:val="both"/>
        <w:rPr>
          <w:rFonts w:ascii="Arial" w:hAnsi="Arial" w:cs="Arial"/>
          <w:sz w:val="20"/>
          <w:szCs w:val="20"/>
        </w:rPr>
      </w:pPr>
    </w:p>
    <w:p w14:paraId="27740E49" w14:textId="078B81A5" w:rsidR="00875848" w:rsidRPr="00E514FD" w:rsidRDefault="00875848" w:rsidP="00E514FD">
      <w:pPr>
        <w:adjustRightInd w:val="0"/>
        <w:spacing w:after="80" w:line="276" w:lineRule="auto"/>
        <w:rPr>
          <w:rFonts w:ascii="Arial" w:eastAsia="Calibri" w:hAnsi="Arial" w:cs="Arial"/>
          <w:b/>
          <w:bCs/>
        </w:rPr>
      </w:pPr>
      <w:r w:rsidRPr="00E514FD">
        <w:rPr>
          <w:rFonts w:ascii="Arial" w:eastAsia="Calibri" w:hAnsi="Arial" w:cs="Arial"/>
          <w:b/>
          <w:bCs/>
        </w:rPr>
        <w:t>Table</w:t>
      </w:r>
      <w:r w:rsidR="00142CA8">
        <w:rPr>
          <w:rFonts w:ascii="Arial" w:eastAsia="Calibri" w:hAnsi="Arial" w:cs="Arial"/>
          <w:b/>
          <w:bCs/>
        </w:rPr>
        <w:t xml:space="preserve"> </w:t>
      </w:r>
      <w:r w:rsidR="006C7B21">
        <w:rPr>
          <w:rFonts w:ascii="Arial" w:eastAsia="Calibri" w:hAnsi="Arial" w:cs="Arial"/>
          <w:b/>
          <w:bCs/>
        </w:rPr>
        <w:t>4</w:t>
      </w:r>
      <w:r w:rsidR="00142CA8">
        <w:rPr>
          <w:rFonts w:ascii="Arial" w:eastAsia="Calibri" w:hAnsi="Arial" w:cs="Arial"/>
          <w:b/>
          <w:bCs/>
        </w:rPr>
        <w:t>.</w:t>
      </w:r>
      <w:r w:rsidRPr="00E514FD">
        <w:rPr>
          <w:rFonts w:ascii="Arial" w:eastAsia="Calibri" w:hAnsi="Arial" w:cs="Arial"/>
          <w:b/>
          <w:bCs/>
        </w:rPr>
        <w:t xml:space="preserve"> Transition Probability Matrix for India’s Fresh Banana Exports.</w:t>
      </w:r>
    </w:p>
    <w:tbl>
      <w:tblPr>
        <w:tblW w:w="8353" w:type="dxa"/>
        <w:tblLook w:val="04A0" w:firstRow="1" w:lastRow="0" w:firstColumn="1" w:lastColumn="0" w:noHBand="0" w:noVBand="1"/>
      </w:tblPr>
      <w:tblGrid>
        <w:gridCol w:w="1360"/>
        <w:gridCol w:w="941"/>
        <w:gridCol w:w="809"/>
        <w:gridCol w:w="1167"/>
        <w:gridCol w:w="809"/>
        <w:gridCol w:w="816"/>
        <w:gridCol w:w="824"/>
        <w:gridCol w:w="815"/>
        <w:gridCol w:w="812"/>
      </w:tblGrid>
      <w:tr w:rsidR="00E514FD" w:rsidRPr="00E514FD" w14:paraId="763B9D98" w14:textId="77777777" w:rsidTr="0040248F">
        <w:trPr>
          <w:trHeight w:val="279"/>
        </w:trPr>
        <w:tc>
          <w:tcPr>
            <w:tcW w:w="1365" w:type="dxa"/>
            <w:tcBorders>
              <w:top w:val="single" w:sz="4" w:space="0" w:color="auto"/>
              <w:bottom w:val="single" w:sz="4" w:space="0" w:color="auto"/>
            </w:tcBorders>
            <w:vAlign w:val="center"/>
            <w:hideMark/>
          </w:tcPr>
          <w:p w14:paraId="2A54CE1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Export From → To</w:t>
            </w:r>
          </w:p>
        </w:tc>
        <w:tc>
          <w:tcPr>
            <w:tcW w:w="949" w:type="dxa"/>
            <w:tcBorders>
              <w:top w:val="single" w:sz="4" w:space="0" w:color="auto"/>
              <w:bottom w:val="single" w:sz="4" w:space="0" w:color="auto"/>
            </w:tcBorders>
            <w:vAlign w:val="center"/>
            <w:hideMark/>
          </w:tcPr>
          <w:p w14:paraId="12729AA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Iraq</w:t>
            </w:r>
          </w:p>
        </w:tc>
        <w:tc>
          <w:tcPr>
            <w:tcW w:w="813" w:type="dxa"/>
            <w:tcBorders>
              <w:top w:val="single" w:sz="4" w:space="0" w:color="auto"/>
              <w:bottom w:val="single" w:sz="4" w:space="0" w:color="auto"/>
            </w:tcBorders>
            <w:vAlign w:val="center"/>
            <w:hideMark/>
          </w:tcPr>
          <w:p w14:paraId="51A3B3C9"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Iran</w:t>
            </w:r>
          </w:p>
        </w:tc>
        <w:tc>
          <w:tcPr>
            <w:tcW w:w="1136" w:type="dxa"/>
            <w:tcBorders>
              <w:top w:val="single" w:sz="4" w:space="0" w:color="auto"/>
              <w:bottom w:val="single" w:sz="4" w:space="0" w:color="auto"/>
            </w:tcBorders>
            <w:vAlign w:val="center"/>
            <w:hideMark/>
          </w:tcPr>
          <w:p w14:paraId="10350BE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Uzbekistan</w:t>
            </w:r>
          </w:p>
        </w:tc>
        <w:tc>
          <w:tcPr>
            <w:tcW w:w="813" w:type="dxa"/>
            <w:tcBorders>
              <w:top w:val="single" w:sz="4" w:space="0" w:color="auto"/>
              <w:bottom w:val="single" w:sz="4" w:space="0" w:color="auto"/>
            </w:tcBorders>
            <w:vAlign w:val="center"/>
            <w:hideMark/>
          </w:tcPr>
          <w:p w14:paraId="5E1737C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819" w:type="dxa"/>
            <w:tcBorders>
              <w:top w:val="single" w:sz="4" w:space="0" w:color="auto"/>
              <w:bottom w:val="single" w:sz="4" w:space="0" w:color="auto"/>
            </w:tcBorders>
            <w:vAlign w:val="center"/>
            <w:hideMark/>
          </w:tcPr>
          <w:p w14:paraId="3BC37501"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825" w:type="dxa"/>
            <w:tcBorders>
              <w:top w:val="single" w:sz="4" w:space="0" w:color="auto"/>
              <w:bottom w:val="single" w:sz="4" w:space="0" w:color="auto"/>
            </w:tcBorders>
            <w:vAlign w:val="center"/>
            <w:hideMark/>
          </w:tcPr>
          <w:p w14:paraId="546C8B8B"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Saudi Arabia</w:t>
            </w:r>
          </w:p>
        </w:tc>
        <w:tc>
          <w:tcPr>
            <w:tcW w:w="818" w:type="dxa"/>
            <w:tcBorders>
              <w:top w:val="single" w:sz="4" w:space="0" w:color="auto"/>
              <w:bottom w:val="single" w:sz="4" w:space="0" w:color="auto"/>
            </w:tcBorders>
            <w:vAlign w:val="center"/>
            <w:hideMark/>
          </w:tcPr>
          <w:p w14:paraId="633227B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815" w:type="dxa"/>
            <w:tcBorders>
              <w:top w:val="single" w:sz="4" w:space="0" w:color="auto"/>
              <w:bottom w:val="single" w:sz="4" w:space="0" w:color="auto"/>
            </w:tcBorders>
            <w:vAlign w:val="center"/>
            <w:hideMark/>
          </w:tcPr>
          <w:p w14:paraId="162A779E"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r>
      <w:tr w:rsidR="00E514FD" w:rsidRPr="00E514FD" w14:paraId="0A04A1F7" w14:textId="77777777" w:rsidTr="0040248F">
        <w:trPr>
          <w:trHeight w:val="279"/>
        </w:trPr>
        <w:tc>
          <w:tcPr>
            <w:tcW w:w="1365" w:type="dxa"/>
            <w:tcBorders>
              <w:top w:val="single" w:sz="4" w:space="0" w:color="auto"/>
            </w:tcBorders>
            <w:vAlign w:val="center"/>
            <w:hideMark/>
          </w:tcPr>
          <w:p w14:paraId="6819CF12"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Iraq</w:t>
            </w:r>
          </w:p>
        </w:tc>
        <w:tc>
          <w:tcPr>
            <w:tcW w:w="949" w:type="dxa"/>
            <w:tcBorders>
              <w:top w:val="single" w:sz="4" w:space="0" w:color="auto"/>
            </w:tcBorders>
            <w:shd w:val="clear" w:color="auto" w:fill="FFC000"/>
            <w:vAlign w:val="center"/>
            <w:hideMark/>
          </w:tcPr>
          <w:p w14:paraId="4129D34F"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0.02</w:t>
            </w:r>
          </w:p>
        </w:tc>
        <w:tc>
          <w:tcPr>
            <w:tcW w:w="813" w:type="dxa"/>
            <w:tcBorders>
              <w:top w:val="single" w:sz="4" w:space="0" w:color="auto"/>
            </w:tcBorders>
            <w:vAlign w:val="center"/>
            <w:hideMark/>
          </w:tcPr>
          <w:p w14:paraId="7C9C5B8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c>
          <w:tcPr>
            <w:tcW w:w="1136" w:type="dxa"/>
            <w:tcBorders>
              <w:top w:val="single" w:sz="4" w:space="0" w:color="auto"/>
            </w:tcBorders>
            <w:vAlign w:val="center"/>
            <w:hideMark/>
          </w:tcPr>
          <w:p w14:paraId="156F73F4"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3" w:type="dxa"/>
            <w:tcBorders>
              <w:top w:val="single" w:sz="4" w:space="0" w:color="auto"/>
            </w:tcBorders>
            <w:vAlign w:val="center"/>
            <w:hideMark/>
          </w:tcPr>
          <w:p w14:paraId="6FC0168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9" w:type="dxa"/>
            <w:tcBorders>
              <w:top w:val="single" w:sz="4" w:space="0" w:color="auto"/>
            </w:tcBorders>
            <w:vAlign w:val="center"/>
            <w:hideMark/>
          </w:tcPr>
          <w:p w14:paraId="372C3BEA"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25" w:type="dxa"/>
            <w:tcBorders>
              <w:top w:val="single" w:sz="4" w:space="0" w:color="auto"/>
            </w:tcBorders>
            <w:vAlign w:val="center"/>
            <w:hideMark/>
          </w:tcPr>
          <w:p w14:paraId="37034CF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0.007</w:t>
            </w:r>
          </w:p>
        </w:tc>
        <w:tc>
          <w:tcPr>
            <w:tcW w:w="818" w:type="dxa"/>
            <w:tcBorders>
              <w:top w:val="single" w:sz="4" w:space="0" w:color="auto"/>
            </w:tcBorders>
            <w:vAlign w:val="center"/>
            <w:hideMark/>
          </w:tcPr>
          <w:p w14:paraId="14AC41C0"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5" w:type="dxa"/>
            <w:tcBorders>
              <w:top w:val="single" w:sz="4" w:space="0" w:color="auto"/>
            </w:tcBorders>
            <w:vAlign w:val="center"/>
            <w:hideMark/>
          </w:tcPr>
          <w:p w14:paraId="2F63280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r>
      <w:tr w:rsidR="00E514FD" w:rsidRPr="00E514FD" w14:paraId="7E802B16" w14:textId="77777777" w:rsidTr="0040248F">
        <w:trPr>
          <w:trHeight w:val="279"/>
        </w:trPr>
        <w:tc>
          <w:tcPr>
            <w:tcW w:w="1365" w:type="dxa"/>
            <w:vAlign w:val="center"/>
            <w:hideMark/>
          </w:tcPr>
          <w:p w14:paraId="6EC6446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Iran</w:t>
            </w:r>
          </w:p>
        </w:tc>
        <w:tc>
          <w:tcPr>
            <w:tcW w:w="949" w:type="dxa"/>
            <w:vAlign w:val="center"/>
            <w:hideMark/>
          </w:tcPr>
          <w:p w14:paraId="473A8AF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3" w:type="dxa"/>
            <w:shd w:val="clear" w:color="auto" w:fill="FABF8F" w:themeFill="accent6" w:themeFillTint="99"/>
            <w:vAlign w:val="center"/>
            <w:hideMark/>
          </w:tcPr>
          <w:p w14:paraId="2BF30406"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0.017</w:t>
            </w:r>
          </w:p>
        </w:tc>
        <w:tc>
          <w:tcPr>
            <w:tcW w:w="1136" w:type="dxa"/>
            <w:vAlign w:val="center"/>
            <w:hideMark/>
          </w:tcPr>
          <w:p w14:paraId="24EE142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3" w:type="dxa"/>
            <w:vAlign w:val="center"/>
            <w:hideMark/>
          </w:tcPr>
          <w:p w14:paraId="5C88CC73"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0.014</w:t>
            </w:r>
          </w:p>
        </w:tc>
        <w:tc>
          <w:tcPr>
            <w:tcW w:w="819" w:type="dxa"/>
            <w:vAlign w:val="center"/>
            <w:hideMark/>
          </w:tcPr>
          <w:p w14:paraId="07184A4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25" w:type="dxa"/>
            <w:vAlign w:val="center"/>
            <w:hideMark/>
          </w:tcPr>
          <w:p w14:paraId="49E6018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0.006</w:t>
            </w:r>
          </w:p>
        </w:tc>
        <w:tc>
          <w:tcPr>
            <w:tcW w:w="818" w:type="dxa"/>
            <w:vAlign w:val="center"/>
            <w:hideMark/>
          </w:tcPr>
          <w:p w14:paraId="17D53DF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0.014</w:t>
            </w:r>
          </w:p>
        </w:tc>
        <w:tc>
          <w:tcPr>
            <w:tcW w:w="815" w:type="dxa"/>
            <w:vAlign w:val="center"/>
            <w:hideMark/>
          </w:tcPr>
          <w:p w14:paraId="6AB6B66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r>
      <w:tr w:rsidR="00E514FD" w:rsidRPr="00E514FD" w14:paraId="0FD51B0D" w14:textId="77777777" w:rsidTr="0040248F">
        <w:trPr>
          <w:trHeight w:val="279"/>
        </w:trPr>
        <w:tc>
          <w:tcPr>
            <w:tcW w:w="1365" w:type="dxa"/>
            <w:vAlign w:val="center"/>
            <w:hideMark/>
          </w:tcPr>
          <w:p w14:paraId="1601E88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Uzbekistan</w:t>
            </w:r>
          </w:p>
        </w:tc>
        <w:tc>
          <w:tcPr>
            <w:tcW w:w="949" w:type="dxa"/>
            <w:vAlign w:val="center"/>
            <w:hideMark/>
          </w:tcPr>
          <w:p w14:paraId="6241339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c>
          <w:tcPr>
            <w:tcW w:w="813" w:type="dxa"/>
            <w:vAlign w:val="center"/>
            <w:hideMark/>
          </w:tcPr>
          <w:p w14:paraId="7A641CE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c>
          <w:tcPr>
            <w:tcW w:w="1136" w:type="dxa"/>
            <w:shd w:val="clear" w:color="auto" w:fill="FFC000"/>
            <w:vAlign w:val="center"/>
            <w:hideMark/>
          </w:tcPr>
          <w:p w14:paraId="6DB7062A"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0.02</w:t>
            </w:r>
          </w:p>
        </w:tc>
        <w:tc>
          <w:tcPr>
            <w:tcW w:w="813" w:type="dxa"/>
            <w:vAlign w:val="center"/>
            <w:hideMark/>
          </w:tcPr>
          <w:p w14:paraId="21747784"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c>
          <w:tcPr>
            <w:tcW w:w="819" w:type="dxa"/>
            <w:vAlign w:val="center"/>
            <w:hideMark/>
          </w:tcPr>
          <w:p w14:paraId="0C19B8FB"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25" w:type="dxa"/>
            <w:vAlign w:val="center"/>
            <w:hideMark/>
          </w:tcPr>
          <w:p w14:paraId="51DA273C"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18" w:type="dxa"/>
            <w:vAlign w:val="center"/>
            <w:hideMark/>
          </w:tcPr>
          <w:p w14:paraId="39200F8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0.018</w:t>
            </w:r>
          </w:p>
        </w:tc>
        <w:tc>
          <w:tcPr>
            <w:tcW w:w="815" w:type="dxa"/>
            <w:vAlign w:val="center"/>
            <w:hideMark/>
          </w:tcPr>
          <w:p w14:paraId="1E0062A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0.02</w:t>
            </w:r>
          </w:p>
        </w:tc>
      </w:tr>
      <w:tr w:rsidR="00E514FD" w:rsidRPr="00E514FD" w14:paraId="5F32AB41" w14:textId="77777777" w:rsidTr="0040248F">
        <w:trPr>
          <w:trHeight w:val="279"/>
        </w:trPr>
        <w:tc>
          <w:tcPr>
            <w:tcW w:w="1365" w:type="dxa"/>
            <w:vAlign w:val="center"/>
            <w:hideMark/>
          </w:tcPr>
          <w:p w14:paraId="7D7B83A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949" w:type="dxa"/>
            <w:vAlign w:val="center"/>
            <w:hideMark/>
          </w:tcPr>
          <w:p w14:paraId="0676BE3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813" w:type="dxa"/>
            <w:vAlign w:val="center"/>
            <w:hideMark/>
          </w:tcPr>
          <w:p w14:paraId="146D0DE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1136" w:type="dxa"/>
            <w:vAlign w:val="center"/>
            <w:hideMark/>
          </w:tcPr>
          <w:p w14:paraId="36BAB49A"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3" w:type="dxa"/>
            <w:shd w:val="clear" w:color="auto" w:fill="FABF8F" w:themeFill="accent6" w:themeFillTint="99"/>
            <w:vAlign w:val="center"/>
            <w:hideMark/>
          </w:tcPr>
          <w:p w14:paraId="33AF4A71"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0.017</w:t>
            </w:r>
          </w:p>
        </w:tc>
        <w:tc>
          <w:tcPr>
            <w:tcW w:w="819" w:type="dxa"/>
            <w:vAlign w:val="center"/>
            <w:hideMark/>
          </w:tcPr>
          <w:p w14:paraId="66C7AA5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25" w:type="dxa"/>
            <w:vAlign w:val="center"/>
            <w:hideMark/>
          </w:tcPr>
          <w:p w14:paraId="14DF9F6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0.007</w:t>
            </w:r>
          </w:p>
        </w:tc>
        <w:tc>
          <w:tcPr>
            <w:tcW w:w="818" w:type="dxa"/>
            <w:vAlign w:val="center"/>
            <w:hideMark/>
          </w:tcPr>
          <w:p w14:paraId="61F328A7"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5" w:type="dxa"/>
            <w:vAlign w:val="center"/>
            <w:hideMark/>
          </w:tcPr>
          <w:p w14:paraId="486B80A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r>
      <w:tr w:rsidR="00E514FD" w:rsidRPr="00E514FD" w14:paraId="6C95A630" w14:textId="77777777" w:rsidTr="0040248F">
        <w:trPr>
          <w:trHeight w:val="279"/>
        </w:trPr>
        <w:tc>
          <w:tcPr>
            <w:tcW w:w="1365" w:type="dxa"/>
            <w:vAlign w:val="center"/>
            <w:hideMark/>
          </w:tcPr>
          <w:p w14:paraId="35E0C5B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949" w:type="dxa"/>
            <w:vAlign w:val="center"/>
            <w:hideMark/>
          </w:tcPr>
          <w:p w14:paraId="0B0EB76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0.008</w:t>
            </w:r>
          </w:p>
        </w:tc>
        <w:tc>
          <w:tcPr>
            <w:tcW w:w="813" w:type="dxa"/>
            <w:vAlign w:val="center"/>
            <w:hideMark/>
          </w:tcPr>
          <w:p w14:paraId="4E9FD3A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1136" w:type="dxa"/>
            <w:vAlign w:val="center"/>
            <w:hideMark/>
          </w:tcPr>
          <w:p w14:paraId="6487553A"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0.014</w:t>
            </w:r>
          </w:p>
        </w:tc>
        <w:tc>
          <w:tcPr>
            <w:tcW w:w="813" w:type="dxa"/>
            <w:vAlign w:val="center"/>
            <w:hideMark/>
          </w:tcPr>
          <w:p w14:paraId="36DD8EA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19" w:type="dxa"/>
            <w:shd w:val="clear" w:color="auto" w:fill="FFC000"/>
            <w:vAlign w:val="center"/>
            <w:hideMark/>
          </w:tcPr>
          <w:p w14:paraId="6CB75F4F"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0.015</w:t>
            </w:r>
          </w:p>
        </w:tc>
        <w:tc>
          <w:tcPr>
            <w:tcW w:w="825" w:type="dxa"/>
            <w:vAlign w:val="center"/>
            <w:hideMark/>
          </w:tcPr>
          <w:p w14:paraId="51D0391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0.008</w:t>
            </w:r>
          </w:p>
        </w:tc>
        <w:tc>
          <w:tcPr>
            <w:tcW w:w="818" w:type="dxa"/>
            <w:vAlign w:val="center"/>
            <w:hideMark/>
          </w:tcPr>
          <w:p w14:paraId="3C2ABD4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5" w:type="dxa"/>
            <w:vAlign w:val="center"/>
            <w:hideMark/>
          </w:tcPr>
          <w:p w14:paraId="4EAD620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r>
      <w:tr w:rsidR="00E514FD" w:rsidRPr="00E514FD" w14:paraId="1B7695A7" w14:textId="77777777" w:rsidTr="0040248F">
        <w:trPr>
          <w:trHeight w:val="279"/>
        </w:trPr>
        <w:tc>
          <w:tcPr>
            <w:tcW w:w="1365" w:type="dxa"/>
            <w:vAlign w:val="center"/>
            <w:hideMark/>
          </w:tcPr>
          <w:p w14:paraId="441579D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Saudi Arabia</w:t>
            </w:r>
          </w:p>
        </w:tc>
        <w:tc>
          <w:tcPr>
            <w:tcW w:w="949" w:type="dxa"/>
            <w:vAlign w:val="center"/>
            <w:hideMark/>
          </w:tcPr>
          <w:p w14:paraId="06F1325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0.007</w:t>
            </w:r>
          </w:p>
        </w:tc>
        <w:tc>
          <w:tcPr>
            <w:tcW w:w="813" w:type="dxa"/>
            <w:vAlign w:val="center"/>
            <w:hideMark/>
          </w:tcPr>
          <w:p w14:paraId="6E25BECC"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1136" w:type="dxa"/>
            <w:vAlign w:val="center"/>
            <w:hideMark/>
          </w:tcPr>
          <w:p w14:paraId="39158DF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3" w:type="dxa"/>
            <w:vAlign w:val="center"/>
            <w:hideMark/>
          </w:tcPr>
          <w:p w14:paraId="0AF458A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19" w:type="dxa"/>
            <w:vAlign w:val="center"/>
            <w:hideMark/>
          </w:tcPr>
          <w:p w14:paraId="5AF9FEA5"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825" w:type="dxa"/>
            <w:shd w:val="clear" w:color="auto" w:fill="FFC000"/>
            <w:vAlign w:val="center"/>
            <w:hideMark/>
          </w:tcPr>
          <w:p w14:paraId="43AAE312"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0.013</w:t>
            </w:r>
          </w:p>
        </w:tc>
        <w:tc>
          <w:tcPr>
            <w:tcW w:w="818" w:type="dxa"/>
            <w:vAlign w:val="center"/>
            <w:hideMark/>
          </w:tcPr>
          <w:p w14:paraId="0DD60F4C"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w:t>
            </w:r>
          </w:p>
        </w:tc>
        <w:tc>
          <w:tcPr>
            <w:tcW w:w="815" w:type="dxa"/>
            <w:vAlign w:val="center"/>
            <w:hideMark/>
          </w:tcPr>
          <w:p w14:paraId="68157D5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r>
      <w:tr w:rsidR="00E514FD" w:rsidRPr="00E514FD" w14:paraId="675F8A98" w14:textId="77777777" w:rsidTr="0040248F">
        <w:trPr>
          <w:trHeight w:val="279"/>
        </w:trPr>
        <w:tc>
          <w:tcPr>
            <w:tcW w:w="1365" w:type="dxa"/>
            <w:vAlign w:val="center"/>
            <w:hideMark/>
          </w:tcPr>
          <w:p w14:paraId="2F57E4B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949" w:type="dxa"/>
            <w:vAlign w:val="center"/>
            <w:hideMark/>
          </w:tcPr>
          <w:p w14:paraId="59EEDB8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0.009</w:t>
            </w:r>
          </w:p>
        </w:tc>
        <w:tc>
          <w:tcPr>
            <w:tcW w:w="813" w:type="dxa"/>
            <w:vAlign w:val="center"/>
            <w:hideMark/>
          </w:tcPr>
          <w:p w14:paraId="3B69DFE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1136" w:type="dxa"/>
            <w:vAlign w:val="center"/>
            <w:hideMark/>
          </w:tcPr>
          <w:p w14:paraId="67C08546"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0.013</w:t>
            </w:r>
          </w:p>
        </w:tc>
        <w:tc>
          <w:tcPr>
            <w:tcW w:w="813" w:type="dxa"/>
            <w:vAlign w:val="center"/>
            <w:hideMark/>
          </w:tcPr>
          <w:p w14:paraId="5FC5CA2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0.015</w:t>
            </w:r>
          </w:p>
        </w:tc>
        <w:tc>
          <w:tcPr>
            <w:tcW w:w="819" w:type="dxa"/>
            <w:vAlign w:val="center"/>
            <w:hideMark/>
          </w:tcPr>
          <w:p w14:paraId="41E8764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0.011</w:t>
            </w:r>
          </w:p>
        </w:tc>
        <w:tc>
          <w:tcPr>
            <w:tcW w:w="825" w:type="dxa"/>
            <w:vAlign w:val="center"/>
            <w:hideMark/>
          </w:tcPr>
          <w:p w14:paraId="0E0E92A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0.008</w:t>
            </w:r>
          </w:p>
        </w:tc>
        <w:tc>
          <w:tcPr>
            <w:tcW w:w="818" w:type="dxa"/>
            <w:shd w:val="clear" w:color="auto" w:fill="FFC000"/>
            <w:vAlign w:val="center"/>
            <w:hideMark/>
          </w:tcPr>
          <w:p w14:paraId="601C0899"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0.016</w:t>
            </w:r>
          </w:p>
        </w:tc>
        <w:tc>
          <w:tcPr>
            <w:tcW w:w="815" w:type="dxa"/>
            <w:vAlign w:val="center"/>
            <w:hideMark/>
          </w:tcPr>
          <w:p w14:paraId="2E82B4D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0.015</w:t>
            </w:r>
          </w:p>
        </w:tc>
      </w:tr>
      <w:tr w:rsidR="00E514FD" w:rsidRPr="00E514FD" w14:paraId="5AEA10F5" w14:textId="77777777" w:rsidTr="0040248F">
        <w:trPr>
          <w:trHeight w:val="279"/>
        </w:trPr>
        <w:tc>
          <w:tcPr>
            <w:tcW w:w="1365" w:type="dxa"/>
            <w:tcBorders>
              <w:bottom w:val="single" w:sz="4" w:space="0" w:color="auto"/>
            </w:tcBorders>
            <w:vAlign w:val="center"/>
            <w:hideMark/>
          </w:tcPr>
          <w:p w14:paraId="5754CCC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c>
          <w:tcPr>
            <w:tcW w:w="949" w:type="dxa"/>
            <w:tcBorders>
              <w:bottom w:val="single" w:sz="4" w:space="0" w:color="auto"/>
            </w:tcBorders>
            <w:vAlign w:val="center"/>
            <w:hideMark/>
          </w:tcPr>
          <w:p w14:paraId="6B41974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3" w:type="dxa"/>
            <w:tcBorders>
              <w:bottom w:val="single" w:sz="4" w:space="0" w:color="auto"/>
            </w:tcBorders>
            <w:vAlign w:val="center"/>
            <w:hideMark/>
          </w:tcPr>
          <w:p w14:paraId="4E568C70"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1136" w:type="dxa"/>
            <w:tcBorders>
              <w:bottom w:val="single" w:sz="4" w:space="0" w:color="auto"/>
            </w:tcBorders>
            <w:vAlign w:val="center"/>
            <w:hideMark/>
          </w:tcPr>
          <w:p w14:paraId="69567D53"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3" w:type="dxa"/>
            <w:tcBorders>
              <w:bottom w:val="single" w:sz="4" w:space="0" w:color="auto"/>
            </w:tcBorders>
            <w:vAlign w:val="center"/>
            <w:hideMark/>
          </w:tcPr>
          <w:p w14:paraId="3612D4C9"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9" w:type="dxa"/>
            <w:tcBorders>
              <w:bottom w:val="single" w:sz="4" w:space="0" w:color="auto"/>
            </w:tcBorders>
            <w:vAlign w:val="center"/>
            <w:hideMark/>
          </w:tcPr>
          <w:p w14:paraId="0B79F19F"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25" w:type="dxa"/>
            <w:tcBorders>
              <w:bottom w:val="single" w:sz="4" w:space="0" w:color="auto"/>
            </w:tcBorders>
            <w:vAlign w:val="center"/>
            <w:hideMark/>
          </w:tcPr>
          <w:p w14:paraId="603728FE"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8" w:type="dxa"/>
            <w:tcBorders>
              <w:bottom w:val="single" w:sz="4" w:space="0" w:color="auto"/>
            </w:tcBorders>
            <w:vAlign w:val="center"/>
            <w:hideMark/>
          </w:tcPr>
          <w:p w14:paraId="3F2C7602"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0.016</w:t>
            </w:r>
          </w:p>
        </w:tc>
        <w:tc>
          <w:tcPr>
            <w:tcW w:w="815" w:type="dxa"/>
            <w:tcBorders>
              <w:bottom w:val="single" w:sz="4" w:space="0" w:color="auto"/>
            </w:tcBorders>
            <w:shd w:val="clear" w:color="auto" w:fill="FFC000"/>
            <w:vAlign w:val="center"/>
            <w:hideMark/>
          </w:tcPr>
          <w:p w14:paraId="27B80D7C"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0.016</w:t>
            </w:r>
          </w:p>
        </w:tc>
      </w:tr>
    </w:tbl>
    <w:p w14:paraId="609968B5" w14:textId="77777777" w:rsidR="00875848" w:rsidRPr="00875848" w:rsidRDefault="00875848" w:rsidP="00875848">
      <w:pPr>
        <w:adjustRightInd w:val="0"/>
        <w:spacing w:after="80"/>
        <w:jc w:val="both"/>
        <w:rPr>
          <w:rFonts w:ascii="Arial" w:hAnsi="Arial" w:cs="Arial"/>
        </w:rPr>
      </w:pPr>
    </w:p>
    <w:p w14:paraId="7ABFA22F" w14:textId="35A5F73C" w:rsidR="00681E4E" w:rsidRDefault="00142CA8" w:rsidP="00AF35CF">
      <w:pPr>
        <w:adjustRightInd w:val="0"/>
        <w:spacing w:after="80" w:line="276" w:lineRule="auto"/>
        <w:jc w:val="both"/>
        <w:rPr>
          <w:rFonts w:ascii="Arial" w:hAnsi="Arial" w:cs="Arial"/>
        </w:rPr>
      </w:pPr>
      <w:r>
        <w:rPr>
          <w:rFonts w:ascii="Arial" w:hAnsi="Arial" w:cs="Arial"/>
        </w:rPr>
        <w:t xml:space="preserve">The </w:t>
      </w:r>
      <w:r w:rsidRPr="00142CA8">
        <w:rPr>
          <w:rFonts w:ascii="Arial" w:hAnsi="Arial" w:cs="Arial"/>
        </w:rPr>
        <w:t>Transition Probability Matrix</w:t>
      </w:r>
      <w:r>
        <w:rPr>
          <w:rFonts w:ascii="Arial" w:hAnsi="Arial" w:cs="Arial"/>
        </w:rPr>
        <w:t xml:space="preserve"> for fresh Banana exports from India are presented in Table 4. </w:t>
      </w:r>
      <w:r w:rsidR="00875848" w:rsidRPr="00875848">
        <w:rPr>
          <w:rFonts w:ascii="Arial" w:hAnsi="Arial" w:cs="Arial"/>
        </w:rPr>
        <w:t>the results exhibit a more dynamic and less stable market structure. Transition probabilities are lower across all major destinations, indicating frequent shifts in export markets. Countries such as the United Arab Emirates, Iran, and Oman serve as regional trade hubs, receiving significant re-exports within the Gulf and West Asian networks. The relatively low self-transition probabilities (below 0.02 for most markets) reflect India’s growing market outreach but also reveal its vulnerability to changing regional demand patterns and competitive pressures from other suppliers.</w:t>
      </w:r>
      <w:r w:rsidR="00E25FBB" w:rsidRPr="00E25FBB">
        <w:t xml:space="preserve"> </w:t>
      </w:r>
      <w:r w:rsidR="00E25FBB" w:rsidRPr="00E25FBB">
        <w:rPr>
          <w:rFonts w:ascii="Arial" w:hAnsi="Arial" w:cs="Arial"/>
          <w:highlight w:val="yellow"/>
        </w:rPr>
        <w:t>The relatively fluid trade structure for bananas, while reflecting expansion potential, also highlights exposure to short-term market shocks</w:t>
      </w:r>
      <w:r w:rsidR="00E25FBB" w:rsidRPr="00E25FBB">
        <w:rPr>
          <w:rFonts w:ascii="Arial" w:hAnsi="Arial" w:cs="Arial"/>
          <w:highlight w:val="yellow"/>
        </w:rPr>
        <w:t>.</w:t>
      </w:r>
    </w:p>
    <w:p w14:paraId="4478F7AA" w14:textId="77777777" w:rsidR="00D3645A" w:rsidRDefault="00D3645A" w:rsidP="00AF35CF">
      <w:pPr>
        <w:adjustRightInd w:val="0"/>
        <w:spacing w:after="80" w:line="276" w:lineRule="auto"/>
        <w:jc w:val="both"/>
        <w:rPr>
          <w:rFonts w:ascii="Arial" w:hAnsi="Arial" w:cs="Arial"/>
        </w:rPr>
      </w:pPr>
    </w:p>
    <w:p w14:paraId="01582509" w14:textId="77777777" w:rsidR="00D3645A" w:rsidRPr="00875848" w:rsidRDefault="00D3645A" w:rsidP="00BC194D">
      <w:pPr>
        <w:adjustRightInd w:val="0"/>
        <w:spacing w:after="80" w:line="276" w:lineRule="auto"/>
        <w:rPr>
          <w:rFonts w:ascii="Arial" w:hAnsi="Arial" w:cs="Arial"/>
        </w:rPr>
      </w:pPr>
    </w:p>
    <w:p w14:paraId="1ECA7CFD" w14:textId="4DBC663C" w:rsidR="00875848" w:rsidRPr="00875848" w:rsidRDefault="00875848" w:rsidP="00E514FD">
      <w:pPr>
        <w:adjustRightInd w:val="0"/>
        <w:spacing w:after="80" w:line="276" w:lineRule="auto"/>
        <w:rPr>
          <w:rFonts w:ascii="Arial" w:eastAsia="Calibri" w:hAnsi="Arial" w:cs="Arial"/>
          <w:i/>
          <w:iCs/>
        </w:rPr>
      </w:pPr>
      <w:r w:rsidRPr="00E514FD">
        <w:rPr>
          <w:rFonts w:ascii="Arial" w:eastAsia="Calibri" w:hAnsi="Arial" w:cs="Arial"/>
          <w:b/>
          <w:bCs/>
        </w:rPr>
        <w:t>Table</w:t>
      </w:r>
      <w:r w:rsidR="00142CA8">
        <w:rPr>
          <w:rFonts w:ascii="Arial" w:eastAsia="Calibri" w:hAnsi="Arial" w:cs="Arial"/>
          <w:b/>
          <w:bCs/>
        </w:rPr>
        <w:t xml:space="preserve"> </w:t>
      </w:r>
      <w:r w:rsidR="006C7B21">
        <w:rPr>
          <w:rFonts w:ascii="Arial" w:eastAsia="Calibri" w:hAnsi="Arial" w:cs="Arial"/>
          <w:b/>
          <w:bCs/>
        </w:rPr>
        <w:t>5</w:t>
      </w:r>
      <w:r w:rsidRPr="00E514FD">
        <w:rPr>
          <w:rFonts w:ascii="Arial" w:eastAsia="Calibri" w:hAnsi="Arial" w:cs="Arial"/>
          <w:b/>
          <w:bCs/>
        </w:rPr>
        <w:t>. Transition Probability Matrix for India’s Fresh Or</w:t>
      </w:r>
      <w:r w:rsidR="00E514FD">
        <w:rPr>
          <w:rFonts w:ascii="Arial" w:eastAsia="Calibri" w:hAnsi="Arial" w:cs="Arial"/>
          <w:b/>
          <w:bCs/>
        </w:rPr>
        <w:t>ang</w:t>
      </w:r>
      <w:r w:rsidRPr="00E514FD">
        <w:rPr>
          <w:rFonts w:ascii="Arial" w:eastAsia="Calibri" w:hAnsi="Arial" w:cs="Arial"/>
          <w:b/>
          <w:bCs/>
        </w:rPr>
        <w:t>e Exports</w:t>
      </w:r>
      <w:r w:rsidRPr="00875848">
        <w:rPr>
          <w:rFonts w:ascii="Arial" w:eastAsia="Calibri" w:hAnsi="Arial" w:cs="Arial"/>
          <w:i/>
          <w:iCs/>
        </w:rPr>
        <w:t>.</w:t>
      </w:r>
    </w:p>
    <w:tbl>
      <w:tblPr>
        <w:tblW w:w="8285" w:type="dxa"/>
        <w:tblLook w:val="04A0" w:firstRow="1" w:lastRow="0" w:firstColumn="1" w:lastColumn="0" w:noHBand="0" w:noVBand="1"/>
      </w:tblPr>
      <w:tblGrid>
        <w:gridCol w:w="1307"/>
        <w:gridCol w:w="1307"/>
        <w:gridCol w:w="736"/>
        <w:gridCol w:w="747"/>
        <w:gridCol w:w="694"/>
        <w:gridCol w:w="876"/>
        <w:gridCol w:w="844"/>
        <w:gridCol w:w="758"/>
        <w:gridCol w:w="1016"/>
      </w:tblGrid>
      <w:tr w:rsidR="00E514FD" w:rsidRPr="00E514FD" w14:paraId="60D0DD09" w14:textId="77777777" w:rsidTr="00142CA8">
        <w:trPr>
          <w:trHeight w:val="312"/>
        </w:trPr>
        <w:tc>
          <w:tcPr>
            <w:tcW w:w="1307" w:type="dxa"/>
            <w:tcBorders>
              <w:top w:val="single" w:sz="4" w:space="0" w:color="auto"/>
              <w:bottom w:val="single" w:sz="4" w:space="0" w:color="auto"/>
            </w:tcBorders>
            <w:vAlign w:val="center"/>
            <w:hideMark/>
          </w:tcPr>
          <w:p w14:paraId="5929C542"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Export From → To</w:t>
            </w:r>
          </w:p>
        </w:tc>
        <w:tc>
          <w:tcPr>
            <w:tcW w:w="1307" w:type="dxa"/>
            <w:tcBorders>
              <w:top w:val="single" w:sz="4" w:space="0" w:color="auto"/>
              <w:bottom w:val="single" w:sz="4" w:space="0" w:color="auto"/>
            </w:tcBorders>
            <w:vAlign w:val="center"/>
            <w:hideMark/>
          </w:tcPr>
          <w:p w14:paraId="32815C8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736" w:type="dxa"/>
            <w:tcBorders>
              <w:top w:val="single" w:sz="4" w:space="0" w:color="auto"/>
              <w:bottom w:val="single" w:sz="4" w:space="0" w:color="auto"/>
            </w:tcBorders>
            <w:vAlign w:val="center"/>
            <w:hideMark/>
          </w:tcPr>
          <w:p w14:paraId="27C781E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747" w:type="dxa"/>
            <w:tcBorders>
              <w:top w:val="single" w:sz="4" w:space="0" w:color="auto"/>
              <w:bottom w:val="single" w:sz="4" w:space="0" w:color="auto"/>
            </w:tcBorders>
            <w:vAlign w:val="center"/>
            <w:hideMark/>
          </w:tcPr>
          <w:p w14:paraId="2BD06DF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c>
          <w:tcPr>
            <w:tcW w:w="694" w:type="dxa"/>
            <w:tcBorders>
              <w:top w:val="single" w:sz="4" w:space="0" w:color="auto"/>
              <w:bottom w:val="single" w:sz="4" w:space="0" w:color="auto"/>
            </w:tcBorders>
            <w:vAlign w:val="center"/>
            <w:hideMark/>
          </w:tcPr>
          <w:p w14:paraId="761762C9"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876" w:type="dxa"/>
            <w:tcBorders>
              <w:top w:val="single" w:sz="4" w:space="0" w:color="auto"/>
              <w:bottom w:val="single" w:sz="4" w:space="0" w:color="auto"/>
            </w:tcBorders>
            <w:vAlign w:val="center"/>
            <w:hideMark/>
          </w:tcPr>
          <w:p w14:paraId="7A35B2DA"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Bhutan</w:t>
            </w:r>
          </w:p>
        </w:tc>
        <w:tc>
          <w:tcPr>
            <w:tcW w:w="844" w:type="dxa"/>
            <w:tcBorders>
              <w:top w:val="single" w:sz="4" w:space="0" w:color="auto"/>
              <w:bottom w:val="single" w:sz="4" w:space="0" w:color="auto"/>
            </w:tcBorders>
            <w:vAlign w:val="center"/>
            <w:hideMark/>
          </w:tcPr>
          <w:p w14:paraId="791B3C8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758" w:type="dxa"/>
            <w:tcBorders>
              <w:top w:val="single" w:sz="4" w:space="0" w:color="auto"/>
              <w:bottom w:val="single" w:sz="4" w:space="0" w:color="auto"/>
            </w:tcBorders>
            <w:vAlign w:val="center"/>
            <w:hideMark/>
          </w:tcPr>
          <w:p w14:paraId="24EDA6B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1016" w:type="dxa"/>
            <w:tcBorders>
              <w:top w:val="single" w:sz="4" w:space="0" w:color="auto"/>
              <w:bottom w:val="single" w:sz="4" w:space="0" w:color="auto"/>
            </w:tcBorders>
            <w:vAlign w:val="center"/>
            <w:hideMark/>
          </w:tcPr>
          <w:p w14:paraId="4C22743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Malaysia</w:t>
            </w:r>
          </w:p>
        </w:tc>
      </w:tr>
      <w:tr w:rsidR="00E514FD" w:rsidRPr="00E514FD" w14:paraId="1C3818F2" w14:textId="77777777" w:rsidTr="0040248F">
        <w:trPr>
          <w:trHeight w:val="312"/>
        </w:trPr>
        <w:tc>
          <w:tcPr>
            <w:tcW w:w="1307" w:type="dxa"/>
            <w:tcBorders>
              <w:top w:val="single" w:sz="4" w:space="0" w:color="auto"/>
            </w:tcBorders>
            <w:vAlign w:val="center"/>
            <w:hideMark/>
          </w:tcPr>
          <w:p w14:paraId="47BC7C8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Bangladesh</w:t>
            </w:r>
          </w:p>
        </w:tc>
        <w:tc>
          <w:tcPr>
            <w:tcW w:w="1307" w:type="dxa"/>
            <w:tcBorders>
              <w:top w:val="single" w:sz="4" w:space="0" w:color="auto"/>
            </w:tcBorders>
            <w:shd w:val="clear" w:color="auto" w:fill="FABF8F" w:themeFill="accent6" w:themeFillTint="99"/>
            <w:vAlign w:val="center"/>
            <w:hideMark/>
          </w:tcPr>
          <w:p w14:paraId="25034F12"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0.053</w:t>
            </w:r>
          </w:p>
        </w:tc>
        <w:tc>
          <w:tcPr>
            <w:tcW w:w="736" w:type="dxa"/>
            <w:tcBorders>
              <w:top w:val="single" w:sz="4" w:space="0" w:color="auto"/>
            </w:tcBorders>
            <w:vAlign w:val="center"/>
            <w:hideMark/>
          </w:tcPr>
          <w:p w14:paraId="0AFD263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0.013</w:t>
            </w:r>
          </w:p>
        </w:tc>
        <w:tc>
          <w:tcPr>
            <w:tcW w:w="747" w:type="dxa"/>
            <w:tcBorders>
              <w:top w:val="single" w:sz="4" w:space="0" w:color="auto"/>
            </w:tcBorders>
            <w:vAlign w:val="center"/>
            <w:hideMark/>
          </w:tcPr>
          <w:p w14:paraId="2CAF695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0.039</w:t>
            </w:r>
          </w:p>
        </w:tc>
        <w:tc>
          <w:tcPr>
            <w:tcW w:w="694" w:type="dxa"/>
            <w:tcBorders>
              <w:top w:val="single" w:sz="4" w:space="0" w:color="auto"/>
            </w:tcBorders>
            <w:vAlign w:val="center"/>
            <w:hideMark/>
          </w:tcPr>
          <w:p w14:paraId="6069F1C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0.001</w:t>
            </w:r>
          </w:p>
        </w:tc>
        <w:tc>
          <w:tcPr>
            <w:tcW w:w="876" w:type="dxa"/>
            <w:tcBorders>
              <w:top w:val="single" w:sz="4" w:space="0" w:color="auto"/>
            </w:tcBorders>
            <w:vAlign w:val="center"/>
            <w:hideMark/>
          </w:tcPr>
          <w:p w14:paraId="5B6CFC5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0.003</w:t>
            </w:r>
          </w:p>
        </w:tc>
        <w:tc>
          <w:tcPr>
            <w:tcW w:w="844" w:type="dxa"/>
            <w:tcBorders>
              <w:top w:val="single" w:sz="4" w:space="0" w:color="auto"/>
            </w:tcBorders>
            <w:vAlign w:val="center"/>
            <w:hideMark/>
          </w:tcPr>
          <w:p w14:paraId="7F1A67E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0.046</w:t>
            </w:r>
          </w:p>
        </w:tc>
        <w:tc>
          <w:tcPr>
            <w:tcW w:w="758" w:type="dxa"/>
            <w:tcBorders>
              <w:top w:val="single" w:sz="4" w:space="0" w:color="auto"/>
            </w:tcBorders>
            <w:vAlign w:val="center"/>
            <w:hideMark/>
          </w:tcPr>
          <w:p w14:paraId="33110D3E"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0.006</w:t>
            </w:r>
          </w:p>
        </w:tc>
        <w:tc>
          <w:tcPr>
            <w:tcW w:w="1016" w:type="dxa"/>
            <w:tcBorders>
              <w:top w:val="single" w:sz="4" w:space="0" w:color="auto"/>
            </w:tcBorders>
            <w:vAlign w:val="center"/>
            <w:hideMark/>
          </w:tcPr>
          <w:p w14:paraId="3035D4F9"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0.047</w:t>
            </w:r>
          </w:p>
        </w:tc>
      </w:tr>
      <w:tr w:rsidR="00E514FD" w:rsidRPr="00E514FD" w14:paraId="77372CA0" w14:textId="77777777" w:rsidTr="0040248F">
        <w:trPr>
          <w:trHeight w:val="312"/>
        </w:trPr>
        <w:tc>
          <w:tcPr>
            <w:tcW w:w="1307" w:type="dxa"/>
            <w:vAlign w:val="center"/>
            <w:hideMark/>
          </w:tcPr>
          <w:p w14:paraId="2F21B02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Nepal</w:t>
            </w:r>
          </w:p>
        </w:tc>
        <w:tc>
          <w:tcPr>
            <w:tcW w:w="1307" w:type="dxa"/>
            <w:vAlign w:val="center"/>
            <w:hideMark/>
          </w:tcPr>
          <w:p w14:paraId="3A6F1FB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0.057</w:t>
            </w:r>
          </w:p>
        </w:tc>
        <w:tc>
          <w:tcPr>
            <w:tcW w:w="736" w:type="dxa"/>
            <w:shd w:val="clear" w:color="auto" w:fill="FFC000"/>
            <w:vAlign w:val="center"/>
            <w:hideMark/>
          </w:tcPr>
          <w:p w14:paraId="5420394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0.047</w:t>
            </w:r>
          </w:p>
        </w:tc>
        <w:tc>
          <w:tcPr>
            <w:tcW w:w="747" w:type="dxa"/>
            <w:vAlign w:val="center"/>
            <w:hideMark/>
          </w:tcPr>
          <w:p w14:paraId="7342EA94"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0.027</w:t>
            </w:r>
          </w:p>
        </w:tc>
        <w:tc>
          <w:tcPr>
            <w:tcW w:w="694" w:type="dxa"/>
            <w:vAlign w:val="center"/>
            <w:hideMark/>
          </w:tcPr>
          <w:p w14:paraId="692E250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0.003</w:t>
            </w:r>
          </w:p>
        </w:tc>
        <w:tc>
          <w:tcPr>
            <w:tcW w:w="876" w:type="dxa"/>
            <w:vAlign w:val="center"/>
            <w:hideMark/>
          </w:tcPr>
          <w:p w14:paraId="2A4F61B9"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0.014</w:t>
            </w:r>
          </w:p>
        </w:tc>
        <w:tc>
          <w:tcPr>
            <w:tcW w:w="844" w:type="dxa"/>
            <w:vAlign w:val="center"/>
            <w:hideMark/>
          </w:tcPr>
          <w:p w14:paraId="4264CA6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w:t>
            </w:r>
          </w:p>
        </w:tc>
        <w:tc>
          <w:tcPr>
            <w:tcW w:w="758" w:type="dxa"/>
            <w:vAlign w:val="center"/>
            <w:hideMark/>
          </w:tcPr>
          <w:p w14:paraId="2FB697B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0.005</w:t>
            </w:r>
          </w:p>
        </w:tc>
        <w:tc>
          <w:tcPr>
            <w:tcW w:w="1016" w:type="dxa"/>
            <w:vAlign w:val="center"/>
            <w:hideMark/>
          </w:tcPr>
          <w:p w14:paraId="0AE7BC8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r>
      <w:tr w:rsidR="00E514FD" w:rsidRPr="00E514FD" w14:paraId="63BD3244" w14:textId="77777777" w:rsidTr="0040248F">
        <w:trPr>
          <w:trHeight w:val="312"/>
        </w:trPr>
        <w:tc>
          <w:tcPr>
            <w:tcW w:w="1307" w:type="dxa"/>
            <w:vAlign w:val="center"/>
            <w:hideMark/>
          </w:tcPr>
          <w:p w14:paraId="1AB7E3D3"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Egypt</w:t>
            </w:r>
          </w:p>
        </w:tc>
        <w:tc>
          <w:tcPr>
            <w:tcW w:w="1307" w:type="dxa"/>
            <w:vAlign w:val="center"/>
            <w:hideMark/>
          </w:tcPr>
          <w:p w14:paraId="1BABC62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36" w:type="dxa"/>
            <w:vAlign w:val="center"/>
            <w:hideMark/>
          </w:tcPr>
          <w:p w14:paraId="27DCCDD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47" w:type="dxa"/>
            <w:shd w:val="clear" w:color="auto" w:fill="FABF8F" w:themeFill="accent6" w:themeFillTint="99"/>
            <w:vAlign w:val="center"/>
            <w:hideMark/>
          </w:tcPr>
          <w:p w14:paraId="5CD1492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0.053</w:t>
            </w:r>
          </w:p>
        </w:tc>
        <w:tc>
          <w:tcPr>
            <w:tcW w:w="694" w:type="dxa"/>
            <w:vAlign w:val="center"/>
            <w:hideMark/>
          </w:tcPr>
          <w:p w14:paraId="63F0692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0.017</w:t>
            </w:r>
          </w:p>
        </w:tc>
        <w:tc>
          <w:tcPr>
            <w:tcW w:w="876" w:type="dxa"/>
            <w:vAlign w:val="center"/>
            <w:hideMark/>
          </w:tcPr>
          <w:p w14:paraId="18FE22E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0.001</w:t>
            </w:r>
          </w:p>
        </w:tc>
        <w:tc>
          <w:tcPr>
            <w:tcW w:w="844" w:type="dxa"/>
            <w:vAlign w:val="center"/>
            <w:hideMark/>
          </w:tcPr>
          <w:p w14:paraId="688CF04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0.008</w:t>
            </w:r>
          </w:p>
        </w:tc>
        <w:tc>
          <w:tcPr>
            <w:tcW w:w="758" w:type="dxa"/>
            <w:vAlign w:val="center"/>
            <w:hideMark/>
          </w:tcPr>
          <w:p w14:paraId="01EB764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0.006</w:t>
            </w:r>
          </w:p>
        </w:tc>
        <w:tc>
          <w:tcPr>
            <w:tcW w:w="1016" w:type="dxa"/>
            <w:vAlign w:val="center"/>
            <w:hideMark/>
          </w:tcPr>
          <w:p w14:paraId="4125D73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r>
      <w:tr w:rsidR="00E514FD" w:rsidRPr="00E514FD" w14:paraId="4C68F9A2" w14:textId="77777777" w:rsidTr="0040248F">
        <w:trPr>
          <w:trHeight w:val="312"/>
        </w:trPr>
        <w:tc>
          <w:tcPr>
            <w:tcW w:w="1307" w:type="dxa"/>
            <w:vAlign w:val="center"/>
            <w:hideMark/>
          </w:tcPr>
          <w:p w14:paraId="6C3E45C6"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UAE</w:t>
            </w:r>
          </w:p>
        </w:tc>
        <w:tc>
          <w:tcPr>
            <w:tcW w:w="1307" w:type="dxa"/>
            <w:vAlign w:val="center"/>
            <w:hideMark/>
          </w:tcPr>
          <w:p w14:paraId="2C07AC6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36" w:type="dxa"/>
            <w:vAlign w:val="center"/>
            <w:hideMark/>
          </w:tcPr>
          <w:p w14:paraId="3D6E8FD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747" w:type="dxa"/>
            <w:vAlign w:val="center"/>
            <w:hideMark/>
          </w:tcPr>
          <w:p w14:paraId="5591E8F3"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0.016</w:t>
            </w:r>
          </w:p>
        </w:tc>
        <w:tc>
          <w:tcPr>
            <w:tcW w:w="694" w:type="dxa"/>
            <w:shd w:val="clear" w:color="auto" w:fill="FFC000"/>
            <w:vAlign w:val="center"/>
            <w:hideMark/>
          </w:tcPr>
          <w:p w14:paraId="59A2A00C"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0.028</w:t>
            </w:r>
          </w:p>
        </w:tc>
        <w:tc>
          <w:tcPr>
            <w:tcW w:w="876" w:type="dxa"/>
            <w:vAlign w:val="center"/>
            <w:hideMark/>
          </w:tcPr>
          <w:p w14:paraId="4EE2CA2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0.029</w:t>
            </w:r>
          </w:p>
        </w:tc>
        <w:tc>
          <w:tcPr>
            <w:tcW w:w="844" w:type="dxa"/>
            <w:vAlign w:val="center"/>
            <w:hideMark/>
          </w:tcPr>
          <w:p w14:paraId="6D72BD5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758" w:type="dxa"/>
            <w:vAlign w:val="center"/>
            <w:hideMark/>
          </w:tcPr>
          <w:p w14:paraId="65D6BE1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0.012</w:t>
            </w:r>
          </w:p>
        </w:tc>
        <w:tc>
          <w:tcPr>
            <w:tcW w:w="1016" w:type="dxa"/>
            <w:vAlign w:val="center"/>
            <w:hideMark/>
          </w:tcPr>
          <w:p w14:paraId="7A488D7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r>
      <w:tr w:rsidR="00E514FD" w:rsidRPr="00E514FD" w14:paraId="6C5FE470" w14:textId="77777777" w:rsidTr="0040248F">
        <w:trPr>
          <w:trHeight w:val="312"/>
        </w:trPr>
        <w:tc>
          <w:tcPr>
            <w:tcW w:w="1307" w:type="dxa"/>
            <w:vAlign w:val="center"/>
            <w:hideMark/>
          </w:tcPr>
          <w:p w14:paraId="723D9430"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Bhutan</w:t>
            </w:r>
          </w:p>
        </w:tc>
        <w:tc>
          <w:tcPr>
            <w:tcW w:w="1307" w:type="dxa"/>
            <w:vAlign w:val="center"/>
            <w:hideMark/>
          </w:tcPr>
          <w:p w14:paraId="3F6AFB8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736" w:type="dxa"/>
            <w:vAlign w:val="center"/>
            <w:hideMark/>
          </w:tcPr>
          <w:p w14:paraId="06417C3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747" w:type="dxa"/>
            <w:vAlign w:val="center"/>
            <w:hideMark/>
          </w:tcPr>
          <w:p w14:paraId="1945EBB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0.037</w:t>
            </w:r>
          </w:p>
        </w:tc>
        <w:tc>
          <w:tcPr>
            <w:tcW w:w="694" w:type="dxa"/>
            <w:vAlign w:val="center"/>
            <w:hideMark/>
          </w:tcPr>
          <w:p w14:paraId="2A71BB9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0.035</w:t>
            </w:r>
          </w:p>
        </w:tc>
        <w:tc>
          <w:tcPr>
            <w:tcW w:w="876" w:type="dxa"/>
            <w:shd w:val="clear" w:color="auto" w:fill="FFC000"/>
            <w:vAlign w:val="center"/>
            <w:hideMark/>
          </w:tcPr>
          <w:p w14:paraId="6836EC24"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0.037</w:t>
            </w:r>
          </w:p>
        </w:tc>
        <w:tc>
          <w:tcPr>
            <w:tcW w:w="844" w:type="dxa"/>
            <w:vAlign w:val="center"/>
            <w:hideMark/>
          </w:tcPr>
          <w:p w14:paraId="1E0E222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758" w:type="dxa"/>
            <w:vAlign w:val="center"/>
            <w:hideMark/>
          </w:tcPr>
          <w:p w14:paraId="1F421747"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0.021</w:t>
            </w:r>
          </w:p>
        </w:tc>
        <w:tc>
          <w:tcPr>
            <w:tcW w:w="1016" w:type="dxa"/>
            <w:vAlign w:val="center"/>
            <w:hideMark/>
          </w:tcPr>
          <w:p w14:paraId="4583CD1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0.035</w:t>
            </w:r>
          </w:p>
        </w:tc>
      </w:tr>
      <w:tr w:rsidR="00E514FD" w:rsidRPr="00E514FD" w14:paraId="7ECD6392" w14:textId="77777777" w:rsidTr="0040248F">
        <w:trPr>
          <w:trHeight w:val="312"/>
        </w:trPr>
        <w:tc>
          <w:tcPr>
            <w:tcW w:w="1307" w:type="dxa"/>
            <w:vAlign w:val="center"/>
            <w:hideMark/>
          </w:tcPr>
          <w:p w14:paraId="35CB8AE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Russia</w:t>
            </w:r>
          </w:p>
        </w:tc>
        <w:tc>
          <w:tcPr>
            <w:tcW w:w="1307" w:type="dxa"/>
            <w:vAlign w:val="center"/>
            <w:hideMark/>
          </w:tcPr>
          <w:p w14:paraId="5C9CC79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0.046</w:t>
            </w:r>
          </w:p>
        </w:tc>
        <w:tc>
          <w:tcPr>
            <w:tcW w:w="736" w:type="dxa"/>
            <w:vAlign w:val="center"/>
            <w:hideMark/>
          </w:tcPr>
          <w:p w14:paraId="05A2AA01"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747" w:type="dxa"/>
            <w:vAlign w:val="center"/>
            <w:hideMark/>
          </w:tcPr>
          <w:p w14:paraId="4C60A54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0.015</w:t>
            </w:r>
          </w:p>
        </w:tc>
        <w:tc>
          <w:tcPr>
            <w:tcW w:w="694" w:type="dxa"/>
            <w:vAlign w:val="center"/>
            <w:hideMark/>
          </w:tcPr>
          <w:p w14:paraId="32B1887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0.049</w:t>
            </w:r>
          </w:p>
        </w:tc>
        <w:tc>
          <w:tcPr>
            <w:tcW w:w="876" w:type="dxa"/>
            <w:vAlign w:val="center"/>
            <w:hideMark/>
          </w:tcPr>
          <w:p w14:paraId="5FCDC1E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0.045</w:t>
            </w:r>
          </w:p>
        </w:tc>
        <w:tc>
          <w:tcPr>
            <w:tcW w:w="844" w:type="dxa"/>
            <w:shd w:val="clear" w:color="auto" w:fill="FFC000"/>
            <w:vAlign w:val="center"/>
            <w:hideMark/>
          </w:tcPr>
          <w:p w14:paraId="7394B858"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0.049</w:t>
            </w:r>
          </w:p>
        </w:tc>
        <w:tc>
          <w:tcPr>
            <w:tcW w:w="758" w:type="dxa"/>
            <w:vAlign w:val="center"/>
            <w:hideMark/>
          </w:tcPr>
          <w:p w14:paraId="2B710AB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1016" w:type="dxa"/>
            <w:vAlign w:val="center"/>
            <w:hideMark/>
          </w:tcPr>
          <w:p w14:paraId="2AB50D56"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0.015</w:t>
            </w:r>
          </w:p>
        </w:tc>
      </w:tr>
      <w:tr w:rsidR="00E514FD" w:rsidRPr="00E514FD" w14:paraId="13AEF0A4" w14:textId="77777777" w:rsidTr="0040248F">
        <w:trPr>
          <w:trHeight w:val="312"/>
        </w:trPr>
        <w:tc>
          <w:tcPr>
            <w:tcW w:w="1307" w:type="dxa"/>
            <w:vAlign w:val="center"/>
            <w:hideMark/>
          </w:tcPr>
          <w:p w14:paraId="2871D53F"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Oman</w:t>
            </w:r>
          </w:p>
        </w:tc>
        <w:tc>
          <w:tcPr>
            <w:tcW w:w="1307" w:type="dxa"/>
            <w:vAlign w:val="center"/>
            <w:hideMark/>
          </w:tcPr>
          <w:p w14:paraId="320E997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736" w:type="dxa"/>
            <w:vAlign w:val="center"/>
            <w:hideMark/>
          </w:tcPr>
          <w:p w14:paraId="75216FC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747" w:type="dxa"/>
            <w:vAlign w:val="center"/>
            <w:hideMark/>
          </w:tcPr>
          <w:p w14:paraId="1ECAC69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0.015</w:t>
            </w:r>
          </w:p>
        </w:tc>
        <w:tc>
          <w:tcPr>
            <w:tcW w:w="694" w:type="dxa"/>
            <w:vAlign w:val="center"/>
            <w:hideMark/>
          </w:tcPr>
          <w:p w14:paraId="643174D5"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0.012</w:t>
            </w:r>
          </w:p>
        </w:tc>
        <w:tc>
          <w:tcPr>
            <w:tcW w:w="876" w:type="dxa"/>
            <w:vAlign w:val="center"/>
            <w:hideMark/>
          </w:tcPr>
          <w:p w14:paraId="585BF16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0.026</w:t>
            </w:r>
          </w:p>
        </w:tc>
        <w:tc>
          <w:tcPr>
            <w:tcW w:w="844" w:type="dxa"/>
            <w:vAlign w:val="center"/>
            <w:hideMark/>
          </w:tcPr>
          <w:p w14:paraId="5A482CE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0.048</w:t>
            </w:r>
          </w:p>
        </w:tc>
        <w:tc>
          <w:tcPr>
            <w:tcW w:w="758" w:type="dxa"/>
            <w:shd w:val="clear" w:color="auto" w:fill="FFC000"/>
            <w:vAlign w:val="center"/>
            <w:hideMark/>
          </w:tcPr>
          <w:p w14:paraId="1DF017ED"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0.03</w:t>
            </w:r>
          </w:p>
        </w:tc>
        <w:tc>
          <w:tcPr>
            <w:tcW w:w="1016" w:type="dxa"/>
            <w:vAlign w:val="center"/>
            <w:hideMark/>
          </w:tcPr>
          <w:p w14:paraId="1ED2AFCC"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0.038</w:t>
            </w:r>
          </w:p>
        </w:tc>
      </w:tr>
      <w:tr w:rsidR="00E514FD" w:rsidRPr="00E514FD" w14:paraId="5A04A42D" w14:textId="77777777" w:rsidTr="0040248F">
        <w:trPr>
          <w:trHeight w:val="312"/>
        </w:trPr>
        <w:tc>
          <w:tcPr>
            <w:tcW w:w="1307" w:type="dxa"/>
            <w:tcBorders>
              <w:bottom w:val="single" w:sz="4" w:space="0" w:color="auto"/>
            </w:tcBorders>
            <w:vAlign w:val="center"/>
            <w:hideMark/>
          </w:tcPr>
          <w:p w14:paraId="39527AA7"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Malaysia</w:t>
            </w:r>
          </w:p>
        </w:tc>
        <w:tc>
          <w:tcPr>
            <w:tcW w:w="1307" w:type="dxa"/>
            <w:tcBorders>
              <w:bottom w:val="single" w:sz="4" w:space="0" w:color="auto"/>
            </w:tcBorders>
            <w:vAlign w:val="center"/>
            <w:hideMark/>
          </w:tcPr>
          <w:p w14:paraId="2C381F8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0.047</w:t>
            </w:r>
          </w:p>
        </w:tc>
        <w:tc>
          <w:tcPr>
            <w:tcW w:w="736" w:type="dxa"/>
            <w:tcBorders>
              <w:bottom w:val="single" w:sz="4" w:space="0" w:color="auto"/>
            </w:tcBorders>
            <w:vAlign w:val="center"/>
            <w:hideMark/>
          </w:tcPr>
          <w:p w14:paraId="001F379F"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c>
          <w:tcPr>
            <w:tcW w:w="747" w:type="dxa"/>
            <w:tcBorders>
              <w:bottom w:val="single" w:sz="4" w:space="0" w:color="auto"/>
            </w:tcBorders>
            <w:vAlign w:val="center"/>
            <w:hideMark/>
          </w:tcPr>
          <w:p w14:paraId="48A5889B"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0.053</w:t>
            </w:r>
          </w:p>
        </w:tc>
        <w:tc>
          <w:tcPr>
            <w:tcW w:w="694" w:type="dxa"/>
            <w:tcBorders>
              <w:bottom w:val="single" w:sz="4" w:space="0" w:color="auto"/>
            </w:tcBorders>
            <w:vAlign w:val="center"/>
            <w:hideMark/>
          </w:tcPr>
          <w:p w14:paraId="117684D8"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0.044</w:t>
            </w:r>
          </w:p>
        </w:tc>
        <w:tc>
          <w:tcPr>
            <w:tcW w:w="876" w:type="dxa"/>
            <w:tcBorders>
              <w:bottom w:val="single" w:sz="4" w:space="0" w:color="auto"/>
            </w:tcBorders>
            <w:vAlign w:val="center"/>
            <w:hideMark/>
          </w:tcPr>
          <w:p w14:paraId="0AD30EDD"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0.035</w:t>
            </w:r>
          </w:p>
        </w:tc>
        <w:tc>
          <w:tcPr>
            <w:tcW w:w="844" w:type="dxa"/>
            <w:tcBorders>
              <w:bottom w:val="single" w:sz="4" w:space="0" w:color="auto"/>
            </w:tcBorders>
            <w:vAlign w:val="center"/>
            <w:hideMark/>
          </w:tcPr>
          <w:p w14:paraId="5DEDF732"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w:t>
            </w:r>
          </w:p>
        </w:tc>
        <w:tc>
          <w:tcPr>
            <w:tcW w:w="758" w:type="dxa"/>
            <w:tcBorders>
              <w:bottom w:val="single" w:sz="4" w:space="0" w:color="auto"/>
            </w:tcBorders>
            <w:vAlign w:val="center"/>
            <w:hideMark/>
          </w:tcPr>
          <w:p w14:paraId="0D311AE0" w14:textId="77777777" w:rsidR="00875848" w:rsidRPr="00E514FD" w:rsidRDefault="00875848" w:rsidP="00142CA8">
            <w:pPr>
              <w:rPr>
                <w:rFonts w:ascii="Arial" w:hAnsi="Arial" w:cs="Arial"/>
                <w:color w:val="000000"/>
                <w:sz w:val="18"/>
                <w:szCs w:val="18"/>
                <w:lang w:eastAsia="en-IN"/>
              </w:rPr>
            </w:pPr>
            <w:r w:rsidRPr="00E514FD">
              <w:rPr>
                <w:rFonts w:ascii="Arial" w:hAnsi="Arial" w:cs="Arial"/>
                <w:color w:val="000000"/>
                <w:sz w:val="18"/>
                <w:szCs w:val="18"/>
                <w:lang w:eastAsia="en-IN"/>
              </w:rPr>
              <w:t>0</w:t>
            </w:r>
          </w:p>
        </w:tc>
        <w:tc>
          <w:tcPr>
            <w:tcW w:w="1016" w:type="dxa"/>
            <w:tcBorders>
              <w:bottom w:val="single" w:sz="4" w:space="0" w:color="auto"/>
            </w:tcBorders>
            <w:shd w:val="clear" w:color="auto" w:fill="FFC000"/>
            <w:vAlign w:val="center"/>
            <w:hideMark/>
          </w:tcPr>
          <w:p w14:paraId="2FE0B175" w14:textId="77777777" w:rsidR="00875848" w:rsidRPr="00E514FD" w:rsidRDefault="00875848" w:rsidP="00142CA8">
            <w:pPr>
              <w:rPr>
                <w:rFonts w:ascii="Arial" w:hAnsi="Arial" w:cs="Arial"/>
                <w:b/>
                <w:bCs/>
                <w:color w:val="000000"/>
                <w:sz w:val="18"/>
                <w:szCs w:val="18"/>
                <w:lang w:eastAsia="en-IN"/>
              </w:rPr>
            </w:pPr>
            <w:r w:rsidRPr="00E514FD">
              <w:rPr>
                <w:rFonts w:ascii="Arial" w:hAnsi="Arial" w:cs="Arial"/>
                <w:b/>
                <w:bCs/>
                <w:color w:val="000000"/>
                <w:sz w:val="18"/>
                <w:szCs w:val="18"/>
                <w:lang w:eastAsia="en-IN"/>
              </w:rPr>
              <w:t>0</w:t>
            </w:r>
          </w:p>
        </w:tc>
      </w:tr>
    </w:tbl>
    <w:p w14:paraId="7F1B47E8" w14:textId="77777777" w:rsidR="00875848" w:rsidRPr="00875848" w:rsidRDefault="00875848" w:rsidP="00875848">
      <w:pPr>
        <w:adjustRightInd w:val="0"/>
        <w:spacing w:after="80"/>
        <w:jc w:val="both"/>
        <w:rPr>
          <w:rFonts w:ascii="Arial" w:hAnsi="Arial" w:cs="Arial"/>
        </w:rPr>
      </w:pPr>
    </w:p>
    <w:p w14:paraId="2EDAAE12" w14:textId="77777777" w:rsidR="00C53682" w:rsidRDefault="0040248F" w:rsidP="00142CA8">
      <w:pPr>
        <w:adjustRightInd w:val="0"/>
        <w:spacing w:after="80" w:line="276" w:lineRule="auto"/>
        <w:jc w:val="both"/>
        <w:rPr>
          <w:rFonts w:ascii="Arial" w:hAnsi="Arial" w:cs="Arial"/>
        </w:rPr>
      </w:pPr>
      <w:r>
        <w:rPr>
          <w:rFonts w:ascii="Arial" w:hAnsi="Arial" w:cs="Arial"/>
        </w:rPr>
        <w:t xml:space="preserve">The </w:t>
      </w:r>
      <w:r w:rsidRPr="00142CA8">
        <w:rPr>
          <w:rFonts w:ascii="Arial" w:hAnsi="Arial" w:cs="Arial"/>
        </w:rPr>
        <w:t>Transition Probability Matrix</w:t>
      </w:r>
      <w:r>
        <w:rPr>
          <w:rFonts w:ascii="Arial" w:hAnsi="Arial" w:cs="Arial"/>
        </w:rPr>
        <w:t xml:space="preserve"> for fresh Oranges export from India are presented in Table 5. T</w:t>
      </w:r>
      <w:r w:rsidR="00875848" w:rsidRPr="00875848">
        <w:rPr>
          <w:rFonts w:ascii="Arial" w:hAnsi="Arial" w:cs="Arial"/>
        </w:rPr>
        <w:t xml:space="preserve">he analysis shows a regional concentration of exports within South Asia. Bangladesh (0.053) and Nepal (0.047) recorded the highest market retention probabilities, suggesting that India’s Orange exports are largely dependent on </w:t>
      </w:r>
      <w:r w:rsidR="00142CA8" w:rsidRPr="00875848">
        <w:rPr>
          <w:rFonts w:ascii="Arial" w:hAnsi="Arial" w:cs="Arial"/>
        </w:rPr>
        <w:t>neighboring</w:t>
      </w:r>
      <w:r w:rsidR="00875848" w:rsidRPr="00875848">
        <w:rPr>
          <w:rFonts w:ascii="Arial" w:hAnsi="Arial" w:cs="Arial"/>
        </w:rPr>
        <w:t xml:space="preserve"> countries. The transitions to Middle Eastern destinations such as UAE, Oman, and Malaysia are comparatively weaker, pointing to limited diversification beyond the regional sphere.</w:t>
      </w:r>
      <w:r w:rsidR="003E1A35">
        <w:rPr>
          <w:rFonts w:ascii="Arial" w:hAnsi="Arial" w:cs="Arial"/>
        </w:rPr>
        <w:t xml:space="preserve"> </w:t>
      </w:r>
    </w:p>
    <w:p w14:paraId="06C1F891" w14:textId="39B6A4BD" w:rsidR="00875848" w:rsidRPr="00875848" w:rsidRDefault="00875848" w:rsidP="00142CA8">
      <w:pPr>
        <w:adjustRightInd w:val="0"/>
        <w:spacing w:after="80" w:line="276" w:lineRule="auto"/>
        <w:jc w:val="both"/>
        <w:rPr>
          <w:rFonts w:ascii="Arial" w:hAnsi="Arial" w:cs="Arial"/>
        </w:rPr>
      </w:pPr>
      <w:r w:rsidRPr="00875848">
        <w:rPr>
          <w:rFonts w:ascii="Arial" w:hAnsi="Arial" w:cs="Arial"/>
        </w:rPr>
        <w:t>Overall, the Markov Chain results highlight that grape exports exhibit the strongest market loyalty and stability, followed by Bananas with high regional dynamism and Oranges with regional dependence. This implies that India’s competitiveness in the global fruit trade is anchored in a few stable markets but requires further market expansion and diversification</w:t>
      </w:r>
      <w:r w:rsidR="004F439E">
        <w:rPr>
          <w:rFonts w:ascii="Arial" w:hAnsi="Arial" w:cs="Arial"/>
        </w:rPr>
        <w:t>-</w:t>
      </w:r>
      <w:r w:rsidRPr="00875848">
        <w:rPr>
          <w:rFonts w:ascii="Arial" w:hAnsi="Arial" w:cs="Arial"/>
        </w:rPr>
        <w:t>particularly for Bananas and Oranges</w:t>
      </w:r>
      <w:r w:rsidR="004F439E">
        <w:rPr>
          <w:rFonts w:ascii="Arial" w:hAnsi="Arial" w:cs="Arial"/>
        </w:rPr>
        <w:t>-</w:t>
      </w:r>
      <w:r w:rsidRPr="00875848">
        <w:rPr>
          <w:rFonts w:ascii="Arial" w:hAnsi="Arial" w:cs="Arial"/>
        </w:rPr>
        <w:t>to ensure long-term export resilience.</w:t>
      </w:r>
    </w:p>
    <w:p w14:paraId="5A6990A4" w14:textId="77777777" w:rsidR="00875848" w:rsidRPr="00E514FD" w:rsidRDefault="00875848" w:rsidP="004F439E">
      <w:pPr>
        <w:pStyle w:val="AbstHead"/>
        <w:numPr>
          <w:ilvl w:val="1"/>
          <w:numId w:val="39"/>
        </w:numPr>
        <w:spacing w:before="240" w:after="0"/>
        <w:jc w:val="both"/>
        <w:rPr>
          <w:rFonts w:ascii="Arial" w:hAnsi="Arial" w:cs="Arial"/>
          <w:caps w:val="0"/>
        </w:rPr>
      </w:pPr>
      <w:r w:rsidRPr="00E514FD">
        <w:rPr>
          <w:rFonts w:ascii="Arial" w:hAnsi="Arial" w:cs="Arial"/>
          <w:caps w:val="0"/>
        </w:rPr>
        <w:t>Cuddy–Della Valle Instability Index (CDVI) for India’s Fresh Fruit Exports (2013–2024)</w:t>
      </w:r>
    </w:p>
    <w:p w14:paraId="1EDEC5BD" w14:textId="417AC482" w:rsidR="00875848" w:rsidRPr="00875848" w:rsidRDefault="00875848" w:rsidP="00E514FD">
      <w:pPr>
        <w:adjustRightInd w:val="0"/>
        <w:spacing w:before="240" w:after="80" w:line="276" w:lineRule="auto"/>
        <w:jc w:val="both"/>
        <w:rPr>
          <w:rFonts w:ascii="Arial" w:hAnsi="Arial" w:cs="Arial"/>
        </w:rPr>
      </w:pPr>
      <w:r w:rsidRPr="00875848">
        <w:rPr>
          <w:rFonts w:ascii="Arial" w:hAnsi="Arial" w:cs="Arial"/>
        </w:rPr>
        <w:t xml:space="preserve">The Cuddy–Della Valle Instability Index (CDVI) was employed to assess the degree of export stability in India’s fresh fruit sector for Fresh Grapes, Fresh Bananas, and Fresh Oranges during the period 2013–2024. This index adjusts the coefficient of variation (CV) for the time-trend component, thereby providing a more realistic measure of instability in time-series data. </w:t>
      </w:r>
      <w:r w:rsidR="0040248F" w:rsidRPr="00875848">
        <w:rPr>
          <w:rFonts w:ascii="Arial" w:hAnsi="Arial" w:cs="Arial"/>
        </w:rPr>
        <w:t>Computed</w:t>
      </w:r>
      <w:r w:rsidRPr="00875848">
        <w:rPr>
          <w:rFonts w:ascii="Arial" w:hAnsi="Arial" w:cs="Arial"/>
        </w:rPr>
        <w:t xml:space="preserve"> results are presented in Table </w:t>
      </w:r>
      <w:r w:rsidR="00142CA8">
        <w:rPr>
          <w:rFonts w:ascii="Arial" w:hAnsi="Arial" w:cs="Arial"/>
        </w:rPr>
        <w:t>6</w:t>
      </w:r>
      <w:r w:rsidRPr="00875848">
        <w:rPr>
          <w:rFonts w:ascii="Arial" w:hAnsi="Arial" w:cs="Arial"/>
        </w:rPr>
        <w:t>.</w:t>
      </w:r>
    </w:p>
    <w:p w14:paraId="63549530" w14:textId="279BC338" w:rsidR="00875848" w:rsidRPr="00142CA8" w:rsidRDefault="00875848" w:rsidP="00E514FD">
      <w:pPr>
        <w:adjustRightInd w:val="0"/>
        <w:spacing w:after="80" w:line="276" w:lineRule="auto"/>
        <w:rPr>
          <w:rFonts w:ascii="Arial" w:hAnsi="Arial" w:cs="Arial"/>
          <w:b/>
          <w:bCs/>
        </w:rPr>
      </w:pPr>
      <w:r w:rsidRPr="00142CA8">
        <w:rPr>
          <w:rFonts w:ascii="Arial" w:eastAsia="Calibri" w:hAnsi="Arial" w:cs="Arial"/>
          <w:b/>
          <w:bCs/>
        </w:rPr>
        <w:t>Table</w:t>
      </w:r>
      <w:r w:rsidR="00142CA8" w:rsidRPr="00142CA8">
        <w:rPr>
          <w:rFonts w:ascii="Arial" w:eastAsia="Calibri" w:hAnsi="Arial" w:cs="Arial"/>
          <w:b/>
          <w:bCs/>
        </w:rPr>
        <w:t xml:space="preserve"> 6</w:t>
      </w:r>
      <w:r w:rsidRPr="00142CA8">
        <w:rPr>
          <w:rFonts w:ascii="Arial" w:eastAsia="Calibri" w:hAnsi="Arial" w:cs="Arial"/>
          <w:b/>
          <w:bCs/>
        </w:rPr>
        <w:t>. CDVI for India’s Fresh Fruit Exports</w:t>
      </w:r>
    </w:p>
    <w:tbl>
      <w:tblPr>
        <w:tblW w:w="8330" w:type="dxa"/>
        <w:tblLook w:val="04A0" w:firstRow="1" w:lastRow="0" w:firstColumn="1" w:lastColumn="0" w:noHBand="0" w:noVBand="1"/>
      </w:tblPr>
      <w:tblGrid>
        <w:gridCol w:w="1951"/>
        <w:gridCol w:w="1276"/>
        <w:gridCol w:w="1276"/>
        <w:gridCol w:w="1559"/>
        <w:gridCol w:w="2268"/>
      </w:tblGrid>
      <w:tr w:rsidR="00875848" w:rsidRPr="00142CA8" w14:paraId="02F5B6A7" w14:textId="77777777" w:rsidTr="00142CA8">
        <w:trPr>
          <w:trHeight w:val="308"/>
        </w:trPr>
        <w:tc>
          <w:tcPr>
            <w:tcW w:w="1951" w:type="dxa"/>
            <w:tcBorders>
              <w:top w:val="single" w:sz="4" w:space="0" w:color="auto"/>
              <w:bottom w:val="single" w:sz="4" w:space="0" w:color="auto"/>
            </w:tcBorders>
            <w:vAlign w:val="center"/>
            <w:hideMark/>
          </w:tcPr>
          <w:p w14:paraId="3EEC2EC0"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Commodity</w:t>
            </w:r>
          </w:p>
        </w:tc>
        <w:tc>
          <w:tcPr>
            <w:tcW w:w="1276" w:type="dxa"/>
            <w:tcBorders>
              <w:top w:val="single" w:sz="4" w:space="0" w:color="auto"/>
              <w:bottom w:val="single" w:sz="4" w:space="0" w:color="auto"/>
            </w:tcBorders>
            <w:vAlign w:val="center"/>
            <w:hideMark/>
          </w:tcPr>
          <w:p w14:paraId="05CA4D33"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CV (%)</w:t>
            </w:r>
          </w:p>
        </w:tc>
        <w:tc>
          <w:tcPr>
            <w:tcW w:w="1276" w:type="dxa"/>
            <w:tcBorders>
              <w:top w:val="single" w:sz="4" w:space="0" w:color="auto"/>
              <w:bottom w:val="single" w:sz="4" w:space="0" w:color="auto"/>
            </w:tcBorders>
            <w:vAlign w:val="center"/>
            <w:hideMark/>
          </w:tcPr>
          <w:p w14:paraId="3D006203"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R²</w:t>
            </w:r>
          </w:p>
        </w:tc>
        <w:tc>
          <w:tcPr>
            <w:tcW w:w="1559" w:type="dxa"/>
            <w:tcBorders>
              <w:top w:val="single" w:sz="4" w:space="0" w:color="auto"/>
              <w:bottom w:val="single" w:sz="4" w:space="0" w:color="auto"/>
            </w:tcBorders>
            <w:vAlign w:val="center"/>
            <w:hideMark/>
          </w:tcPr>
          <w:p w14:paraId="52BCE7AD"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CDVI (%)</w:t>
            </w:r>
          </w:p>
        </w:tc>
        <w:tc>
          <w:tcPr>
            <w:tcW w:w="2268" w:type="dxa"/>
            <w:tcBorders>
              <w:top w:val="single" w:sz="4" w:space="0" w:color="auto"/>
              <w:bottom w:val="single" w:sz="4" w:space="0" w:color="auto"/>
            </w:tcBorders>
            <w:vAlign w:val="center"/>
            <w:hideMark/>
          </w:tcPr>
          <w:p w14:paraId="3410C8D7"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Export Stability</w:t>
            </w:r>
          </w:p>
        </w:tc>
      </w:tr>
      <w:tr w:rsidR="00875848" w:rsidRPr="00142CA8" w14:paraId="5C93F855" w14:textId="77777777" w:rsidTr="00142CA8">
        <w:trPr>
          <w:trHeight w:val="308"/>
        </w:trPr>
        <w:tc>
          <w:tcPr>
            <w:tcW w:w="1951" w:type="dxa"/>
            <w:tcBorders>
              <w:top w:val="single" w:sz="4" w:space="0" w:color="auto"/>
            </w:tcBorders>
            <w:vAlign w:val="center"/>
            <w:hideMark/>
          </w:tcPr>
          <w:p w14:paraId="276CD047"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Fresh Grapes</w:t>
            </w:r>
          </w:p>
        </w:tc>
        <w:tc>
          <w:tcPr>
            <w:tcW w:w="1276" w:type="dxa"/>
            <w:tcBorders>
              <w:top w:val="single" w:sz="4" w:space="0" w:color="auto"/>
            </w:tcBorders>
            <w:vAlign w:val="center"/>
            <w:hideMark/>
          </w:tcPr>
          <w:p w14:paraId="147F02B3"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34.35</w:t>
            </w:r>
          </w:p>
        </w:tc>
        <w:tc>
          <w:tcPr>
            <w:tcW w:w="1276" w:type="dxa"/>
            <w:tcBorders>
              <w:top w:val="single" w:sz="4" w:space="0" w:color="auto"/>
            </w:tcBorders>
            <w:vAlign w:val="center"/>
            <w:hideMark/>
          </w:tcPr>
          <w:p w14:paraId="67973B6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0.821</w:t>
            </w:r>
          </w:p>
        </w:tc>
        <w:tc>
          <w:tcPr>
            <w:tcW w:w="1559" w:type="dxa"/>
            <w:tcBorders>
              <w:top w:val="single" w:sz="4" w:space="0" w:color="auto"/>
            </w:tcBorders>
            <w:vAlign w:val="center"/>
            <w:hideMark/>
          </w:tcPr>
          <w:p w14:paraId="2FCEEF55"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14.53</w:t>
            </w:r>
          </w:p>
        </w:tc>
        <w:tc>
          <w:tcPr>
            <w:tcW w:w="2268" w:type="dxa"/>
            <w:tcBorders>
              <w:top w:val="single" w:sz="4" w:space="0" w:color="auto"/>
            </w:tcBorders>
            <w:vAlign w:val="center"/>
            <w:hideMark/>
          </w:tcPr>
          <w:p w14:paraId="30C04E9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Stable</w:t>
            </w:r>
          </w:p>
        </w:tc>
      </w:tr>
      <w:tr w:rsidR="00875848" w:rsidRPr="00142CA8" w14:paraId="6A2E1B69" w14:textId="77777777" w:rsidTr="00142CA8">
        <w:trPr>
          <w:trHeight w:val="308"/>
        </w:trPr>
        <w:tc>
          <w:tcPr>
            <w:tcW w:w="1951" w:type="dxa"/>
            <w:vAlign w:val="center"/>
            <w:hideMark/>
          </w:tcPr>
          <w:p w14:paraId="33AAA9EC"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Fresh Bananas</w:t>
            </w:r>
          </w:p>
        </w:tc>
        <w:tc>
          <w:tcPr>
            <w:tcW w:w="1276" w:type="dxa"/>
            <w:vAlign w:val="center"/>
            <w:hideMark/>
          </w:tcPr>
          <w:p w14:paraId="3545A2CB"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89.16</w:t>
            </w:r>
          </w:p>
        </w:tc>
        <w:tc>
          <w:tcPr>
            <w:tcW w:w="1276" w:type="dxa"/>
            <w:vAlign w:val="center"/>
            <w:hideMark/>
          </w:tcPr>
          <w:p w14:paraId="4B831A57"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0.806</w:t>
            </w:r>
          </w:p>
        </w:tc>
        <w:tc>
          <w:tcPr>
            <w:tcW w:w="1559" w:type="dxa"/>
            <w:vAlign w:val="center"/>
            <w:hideMark/>
          </w:tcPr>
          <w:p w14:paraId="7F965837"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39.3</w:t>
            </w:r>
          </w:p>
        </w:tc>
        <w:tc>
          <w:tcPr>
            <w:tcW w:w="2268" w:type="dxa"/>
            <w:vAlign w:val="center"/>
            <w:hideMark/>
          </w:tcPr>
          <w:p w14:paraId="45C3234D"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Moderately Unstable</w:t>
            </w:r>
          </w:p>
        </w:tc>
      </w:tr>
      <w:tr w:rsidR="00875848" w:rsidRPr="00142CA8" w14:paraId="06D2A7CC" w14:textId="77777777" w:rsidTr="00142CA8">
        <w:trPr>
          <w:trHeight w:val="324"/>
        </w:trPr>
        <w:tc>
          <w:tcPr>
            <w:tcW w:w="1951" w:type="dxa"/>
            <w:tcBorders>
              <w:bottom w:val="single" w:sz="4" w:space="0" w:color="auto"/>
            </w:tcBorders>
            <w:vAlign w:val="center"/>
            <w:hideMark/>
          </w:tcPr>
          <w:p w14:paraId="05DE6E34"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Fresh Oranges</w:t>
            </w:r>
          </w:p>
        </w:tc>
        <w:tc>
          <w:tcPr>
            <w:tcW w:w="1276" w:type="dxa"/>
            <w:tcBorders>
              <w:bottom w:val="single" w:sz="4" w:space="0" w:color="auto"/>
            </w:tcBorders>
            <w:vAlign w:val="center"/>
            <w:hideMark/>
          </w:tcPr>
          <w:p w14:paraId="41367950"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75.45</w:t>
            </w:r>
          </w:p>
        </w:tc>
        <w:tc>
          <w:tcPr>
            <w:tcW w:w="1276" w:type="dxa"/>
            <w:tcBorders>
              <w:bottom w:val="single" w:sz="4" w:space="0" w:color="auto"/>
            </w:tcBorders>
            <w:vAlign w:val="center"/>
            <w:hideMark/>
          </w:tcPr>
          <w:p w14:paraId="61D8C348"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0.425</w:t>
            </w:r>
          </w:p>
        </w:tc>
        <w:tc>
          <w:tcPr>
            <w:tcW w:w="1559" w:type="dxa"/>
            <w:tcBorders>
              <w:bottom w:val="single" w:sz="4" w:space="0" w:color="auto"/>
            </w:tcBorders>
            <w:vAlign w:val="center"/>
            <w:hideMark/>
          </w:tcPr>
          <w:p w14:paraId="53C89D76" w14:textId="77777777" w:rsidR="00875848" w:rsidRPr="00142CA8" w:rsidRDefault="00875848" w:rsidP="00142CA8">
            <w:pPr>
              <w:rPr>
                <w:rFonts w:ascii="Arial" w:hAnsi="Arial" w:cs="Arial"/>
                <w:b/>
                <w:bCs/>
                <w:color w:val="000000"/>
                <w:sz w:val="18"/>
                <w:szCs w:val="18"/>
                <w:lang w:eastAsia="en-IN"/>
              </w:rPr>
            </w:pPr>
            <w:r w:rsidRPr="00142CA8">
              <w:rPr>
                <w:rFonts w:ascii="Arial" w:hAnsi="Arial" w:cs="Arial"/>
                <w:b/>
                <w:bCs/>
                <w:color w:val="000000"/>
                <w:sz w:val="18"/>
                <w:szCs w:val="18"/>
                <w:lang w:eastAsia="en-IN"/>
              </w:rPr>
              <w:t>57.19</w:t>
            </w:r>
          </w:p>
        </w:tc>
        <w:tc>
          <w:tcPr>
            <w:tcW w:w="2268" w:type="dxa"/>
            <w:tcBorders>
              <w:bottom w:val="single" w:sz="4" w:space="0" w:color="auto"/>
            </w:tcBorders>
            <w:vAlign w:val="center"/>
            <w:hideMark/>
          </w:tcPr>
          <w:p w14:paraId="524D9ED1" w14:textId="77777777" w:rsidR="00875848" w:rsidRPr="00142CA8" w:rsidRDefault="00875848" w:rsidP="00142CA8">
            <w:pPr>
              <w:rPr>
                <w:rFonts w:ascii="Arial" w:hAnsi="Arial" w:cs="Arial"/>
                <w:color w:val="000000"/>
                <w:sz w:val="18"/>
                <w:szCs w:val="18"/>
                <w:lang w:eastAsia="en-IN"/>
              </w:rPr>
            </w:pPr>
            <w:r w:rsidRPr="00142CA8">
              <w:rPr>
                <w:rFonts w:ascii="Arial" w:hAnsi="Arial" w:cs="Arial"/>
                <w:color w:val="000000"/>
                <w:sz w:val="18"/>
                <w:szCs w:val="18"/>
                <w:lang w:eastAsia="en-IN"/>
              </w:rPr>
              <w:t>Highly Unstable</w:t>
            </w:r>
          </w:p>
        </w:tc>
      </w:tr>
    </w:tbl>
    <w:p w14:paraId="5A7BF7DA" w14:textId="77777777" w:rsidR="00875848" w:rsidRPr="00875848" w:rsidRDefault="00875848" w:rsidP="00875848">
      <w:pPr>
        <w:adjustRightInd w:val="0"/>
        <w:spacing w:after="80" w:line="276" w:lineRule="auto"/>
        <w:rPr>
          <w:rFonts w:ascii="Arial" w:hAnsi="Arial" w:cs="Arial"/>
          <w:b/>
          <w:color w:val="4F612D"/>
        </w:rPr>
      </w:pPr>
    </w:p>
    <w:p w14:paraId="5C01A9AF" w14:textId="6732B92C" w:rsidR="0040248F" w:rsidRDefault="00875848" w:rsidP="00875848">
      <w:pPr>
        <w:adjustRightInd w:val="0"/>
        <w:spacing w:after="80" w:line="276" w:lineRule="auto"/>
        <w:jc w:val="both"/>
        <w:rPr>
          <w:rFonts w:ascii="Arial" w:hAnsi="Arial" w:cs="Arial"/>
        </w:rPr>
      </w:pPr>
      <w:r w:rsidRPr="00875848">
        <w:rPr>
          <w:rFonts w:ascii="Arial" w:hAnsi="Arial" w:cs="Arial"/>
        </w:rPr>
        <w:t xml:space="preserve">The results indicate that fresh Grapes exhibited the lowest instability (CDVI = 14.53%), reflecting a consistent export performance supported by established markets and strong compliance systems. Fresh Bananas recorded a moderate instability level (CDVI = 39.30%), suggesting growth potential accompanied by periodic fluctuations in export volumes. In </w:t>
      </w:r>
      <w:r w:rsidRPr="00875848">
        <w:rPr>
          <w:rFonts w:ascii="Arial" w:hAnsi="Arial" w:cs="Arial"/>
        </w:rPr>
        <w:lastRenderedPageBreak/>
        <w:t>contrast, fresh Oranges showed the highest instability (CDVI = 57.19%), indicating significant year-to-year variations in export performance, possibly due to production and market-related factors.</w:t>
      </w:r>
      <w:r w:rsidR="003E1A35">
        <w:rPr>
          <w:rFonts w:ascii="Arial" w:hAnsi="Arial" w:cs="Arial"/>
        </w:rPr>
        <w:t xml:space="preserve"> </w:t>
      </w:r>
      <w:r w:rsidR="0005305C" w:rsidRPr="0005305C">
        <w:rPr>
          <w:rFonts w:ascii="Arial" w:hAnsi="Arial" w:cs="Arial"/>
          <w:highlight w:val="yellow"/>
        </w:rPr>
        <w:t>The instability observed in orange exports reflects the structural dependence on a few regional markets, underscoring the need for diversification through logistical improvement and targeted market promotion</w:t>
      </w:r>
      <w:r w:rsidR="0005305C" w:rsidRPr="0005305C">
        <w:rPr>
          <w:rFonts w:ascii="Arial" w:hAnsi="Arial" w:cs="Arial"/>
          <w:highlight w:val="yellow"/>
        </w:rPr>
        <w:t>.</w:t>
      </w:r>
      <w:r w:rsidR="0005305C">
        <w:rPr>
          <w:rFonts w:ascii="Arial" w:hAnsi="Arial" w:cs="Arial"/>
        </w:rPr>
        <w:t xml:space="preserve"> </w:t>
      </w:r>
      <w:r w:rsidRPr="00875848">
        <w:rPr>
          <w:rFonts w:ascii="Arial" w:hAnsi="Arial" w:cs="Arial"/>
        </w:rPr>
        <w:t>Overall, the results highlight varying degrees of stability across fruits, with Grapes showing resilience, Bananas displaying emerging but variable trends, and Oranges requiring greater consistency in production and market access.</w:t>
      </w:r>
    </w:p>
    <w:p w14:paraId="426E17E1" w14:textId="41437118" w:rsidR="003B59D0" w:rsidRDefault="003B59D0" w:rsidP="00875848">
      <w:pPr>
        <w:adjustRightInd w:val="0"/>
        <w:spacing w:after="80" w:line="276" w:lineRule="auto"/>
        <w:jc w:val="both"/>
        <w:rPr>
          <w:rFonts w:ascii="Arial" w:hAnsi="Arial" w:cs="Arial"/>
        </w:rPr>
      </w:pPr>
      <w:r>
        <w:rPr>
          <w:rFonts w:ascii="Arial" w:hAnsi="Arial" w:cs="Arial"/>
          <w:highlight w:val="yellow"/>
        </w:rPr>
        <w:t>The</w:t>
      </w:r>
      <w:r w:rsidR="00AC1461">
        <w:rPr>
          <w:rFonts w:ascii="Arial" w:hAnsi="Arial" w:cs="Arial"/>
          <w:highlight w:val="yellow"/>
        </w:rPr>
        <w:t>se</w:t>
      </w:r>
      <w:r>
        <w:rPr>
          <w:rFonts w:ascii="Arial" w:hAnsi="Arial" w:cs="Arial"/>
          <w:highlight w:val="yellow"/>
        </w:rPr>
        <w:t xml:space="preserve"> findings </w:t>
      </w:r>
      <w:r w:rsidRPr="003B59D0">
        <w:rPr>
          <w:rFonts w:ascii="Arial" w:hAnsi="Arial" w:cs="Arial"/>
          <w:highlight w:val="yellow"/>
        </w:rPr>
        <w:t>viewed together with the HHI findings, it becomes evident that higher market concentration corresponds with greater export instability, reinforcing the need for diversified market strategies.</w:t>
      </w:r>
    </w:p>
    <w:p w14:paraId="0F07A381" w14:textId="77777777" w:rsidR="0040248F" w:rsidRDefault="0040248F" w:rsidP="00875848">
      <w:pPr>
        <w:adjustRightInd w:val="0"/>
        <w:spacing w:after="80" w:line="276" w:lineRule="auto"/>
        <w:jc w:val="both"/>
        <w:rPr>
          <w:rFonts w:ascii="Arial" w:hAnsi="Arial" w:cs="Arial"/>
        </w:rPr>
      </w:pPr>
    </w:p>
    <w:p w14:paraId="0F6444CC" w14:textId="27907E3F" w:rsidR="0040248F" w:rsidRPr="0040248F" w:rsidRDefault="0040248F" w:rsidP="004F439E">
      <w:pPr>
        <w:pStyle w:val="AbstHead"/>
        <w:numPr>
          <w:ilvl w:val="0"/>
          <w:numId w:val="39"/>
        </w:numPr>
        <w:spacing w:after="0"/>
        <w:jc w:val="both"/>
        <w:rPr>
          <w:rFonts w:ascii="Arial" w:hAnsi="Arial" w:cs="Arial"/>
        </w:rPr>
      </w:pPr>
      <w:r>
        <w:rPr>
          <w:rFonts w:ascii="Arial" w:hAnsi="Arial" w:cs="Arial"/>
        </w:rPr>
        <w:t>CONCLUSION</w:t>
      </w:r>
    </w:p>
    <w:p w14:paraId="5B86F62B" w14:textId="77777777" w:rsidR="00C53682" w:rsidRDefault="0040248F" w:rsidP="00C53682">
      <w:pPr>
        <w:tabs>
          <w:tab w:val="left" w:pos="1395"/>
        </w:tabs>
        <w:spacing w:before="240" w:after="240" w:line="276" w:lineRule="auto"/>
        <w:jc w:val="both"/>
        <w:rPr>
          <w:rFonts w:ascii="Arial" w:hAnsi="Arial" w:cs="Arial"/>
        </w:rPr>
      </w:pPr>
      <w:r w:rsidRPr="0040248F">
        <w:rPr>
          <w:rFonts w:ascii="Arial" w:hAnsi="Arial" w:cs="Arial"/>
        </w:rPr>
        <w:t>The present study analyzed the trade competitiveness of India’s fresh fruit exports</w:t>
      </w:r>
      <w:r w:rsidR="004F439E">
        <w:rPr>
          <w:rFonts w:ascii="Arial" w:hAnsi="Arial" w:cs="Arial"/>
        </w:rPr>
        <w:t>-</w:t>
      </w:r>
      <w:r w:rsidRPr="0040248F">
        <w:rPr>
          <w:rFonts w:ascii="Arial" w:hAnsi="Arial" w:cs="Arial"/>
        </w:rPr>
        <w:t>Fresh Grapes, Fresh Bananas, and Fresh Oranges</w:t>
      </w:r>
      <w:r w:rsidR="004F439E">
        <w:rPr>
          <w:rFonts w:ascii="Arial" w:hAnsi="Arial" w:cs="Arial"/>
        </w:rPr>
        <w:t>-</w:t>
      </w:r>
      <w:r w:rsidRPr="0040248F">
        <w:rPr>
          <w:rFonts w:ascii="Arial" w:hAnsi="Arial" w:cs="Arial"/>
        </w:rPr>
        <w:t>during 2013–2024 using three complementary analytical tools: the Herfindahl–Hirschman Index (HHI) for market concentration, the Markov Chain Model for market loyalty and transition, and the Cuddy–Della Valle Instability Index (CDVI) for export stability.</w:t>
      </w:r>
      <w:r w:rsidR="003E1A35">
        <w:rPr>
          <w:rFonts w:ascii="Arial" w:hAnsi="Arial" w:cs="Arial"/>
        </w:rPr>
        <w:t xml:space="preserve"> </w:t>
      </w:r>
    </w:p>
    <w:p w14:paraId="0F75934C" w14:textId="77777777" w:rsidR="00C53682" w:rsidRDefault="0040248F" w:rsidP="00C53682">
      <w:pPr>
        <w:tabs>
          <w:tab w:val="left" w:pos="1395"/>
        </w:tabs>
        <w:spacing w:before="240" w:after="240" w:line="276" w:lineRule="auto"/>
        <w:jc w:val="both"/>
        <w:rPr>
          <w:rFonts w:ascii="Arial" w:hAnsi="Arial" w:cs="Arial"/>
        </w:rPr>
      </w:pPr>
      <w:r w:rsidRPr="0040248F">
        <w:rPr>
          <w:rFonts w:ascii="Arial" w:hAnsi="Arial" w:cs="Arial"/>
        </w:rPr>
        <w:t>The results revealed distinct market behaviors across commodities. The HHI values indicated that Fresh Grapes and Bananas maintained a low and stable concentration, suggesting well-diversified and mature export structures, while Fresh Oranges showed persistently high concentration, reflecting dependence on a limited set of regional markets. The Markov Chain Analysis highlighted strong market loyalty for Fresh Grapes in established European destinations, moderate retention and expanding diversification for Fresh Bananas, and limited transition beyond South Asian markets for Fresh Oranges. The CDVI results further confirmed that Fresh Grape exports are the most stable (14.53%), followed by Fresh Bananas (39.30%) with moderate fluctuations, whereas Fresh Oranges (57.19%) exhibited high instability.</w:t>
      </w:r>
      <w:r w:rsidR="003E1A35">
        <w:rPr>
          <w:rFonts w:ascii="Arial" w:hAnsi="Arial" w:cs="Arial"/>
        </w:rPr>
        <w:t xml:space="preserve"> </w:t>
      </w:r>
    </w:p>
    <w:p w14:paraId="48C375D9" w14:textId="77777777" w:rsidR="00C53682" w:rsidRDefault="0040248F" w:rsidP="00C53682">
      <w:pPr>
        <w:tabs>
          <w:tab w:val="left" w:pos="1395"/>
        </w:tabs>
        <w:spacing w:before="240" w:after="240" w:line="276" w:lineRule="auto"/>
        <w:jc w:val="both"/>
        <w:rPr>
          <w:rFonts w:ascii="Arial" w:hAnsi="Arial" w:cs="Arial"/>
        </w:rPr>
      </w:pPr>
      <w:r w:rsidRPr="0040248F">
        <w:rPr>
          <w:rFonts w:ascii="Arial" w:hAnsi="Arial" w:cs="Arial"/>
        </w:rPr>
        <w:t>Overall, the findings suggest that India’s grape exports are well-established and resilient, Bananas are growing dynamically but remain moderately volatile, and Orange exports are regionally confined and unstable. Enhancing market diversification, stabilizing production, and improving trade logistics are crucial to sustaining export growth and competitiveness across all three fruit categories.</w:t>
      </w:r>
      <w:r w:rsidR="003E1A35">
        <w:rPr>
          <w:rFonts w:ascii="Arial" w:hAnsi="Arial" w:cs="Arial"/>
        </w:rPr>
        <w:t xml:space="preserve"> </w:t>
      </w:r>
    </w:p>
    <w:p w14:paraId="4DC01746" w14:textId="5502162D" w:rsidR="00251253" w:rsidRDefault="0040248F" w:rsidP="00C53682">
      <w:pPr>
        <w:tabs>
          <w:tab w:val="left" w:pos="1395"/>
        </w:tabs>
        <w:spacing w:before="240" w:after="240" w:line="276" w:lineRule="auto"/>
        <w:jc w:val="both"/>
        <w:rPr>
          <w:rFonts w:ascii="Arial" w:hAnsi="Arial" w:cs="Arial"/>
        </w:rPr>
      </w:pPr>
      <w:r w:rsidRPr="0040248F">
        <w:rPr>
          <w:rFonts w:ascii="Arial" w:hAnsi="Arial" w:cs="Arial"/>
        </w:rPr>
        <w:t>From a policy perspective, the results underscore the need for targeted interventions to strengthen India’s position in global fruit trade. Efforts should focus on diversifying export destinations, particularly for Oranges, by exploring emerging markets in Africa, East Asia, and Eastern Europe. Investment in export infrastructure, including cold chains, packhouses, and quality assurance systems, will be critical to maintaining India’s reputation in high-value markets. Encouraging value addition and branding initiatives, especially for premium fruits such as Grapes, can help capture higher market value. Additionally, promoting production stability and integrated supply chains through contract farming and farmer–exporter linkages will reduce export volatility, particularly for Bananas and Oranges.</w:t>
      </w:r>
      <w:r w:rsidR="003E1A35">
        <w:rPr>
          <w:rFonts w:ascii="Arial" w:hAnsi="Arial" w:cs="Arial"/>
        </w:rPr>
        <w:t xml:space="preserve"> </w:t>
      </w:r>
      <w:r w:rsidRPr="0040248F">
        <w:rPr>
          <w:rFonts w:ascii="Arial" w:hAnsi="Arial" w:cs="Arial"/>
        </w:rPr>
        <w:t xml:space="preserve">By adopting these strategies, India can move toward a competitiveness-driven horticulture export model, </w:t>
      </w:r>
      <w:r w:rsidRPr="0040248F">
        <w:rPr>
          <w:rFonts w:ascii="Arial" w:hAnsi="Arial" w:cs="Arial"/>
        </w:rPr>
        <w:lastRenderedPageBreak/>
        <w:t>ensuring sustained growth, improved export resilience, and a stronger foothold in the global fresh fruit market.</w:t>
      </w:r>
    </w:p>
    <w:p w14:paraId="12EA9EC6" w14:textId="449FE4C0" w:rsidR="0040248F" w:rsidRDefault="0040248F" w:rsidP="004F439E">
      <w:pPr>
        <w:pStyle w:val="AbstHead"/>
        <w:spacing w:after="0"/>
        <w:jc w:val="both"/>
        <w:rPr>
          <w:rFonts w:ascii="Arial" w:hAnsi="Arial" w:cs="Arial"/>
        </w:rPr>
      </w:pPr>
      <w:r>
        <w:rPr>
          <w:rFonts w:ascii="Arial" w:hAnsi="Arial" w:cs="Arial"/>
        </w:rPr>
        <w:t>REFERENCES</w:t>
      </w:r>
    </w:p>
    <w:p w14:paraId="04269382" w14:textId="77777777" w:rsidR="0040248F" w:rsidRDefault="0040248F" w:rsidP="0040248F">
      <w:pPr>
        <w:pStyle w:val="AbstHead"/>
        <w:spacing w:after="0"/>
        <w:jc w:val="both"/>
        <w:rPr>
          <w:rFonts w:ascii="Arial" w:hAnsi="Arial" w:cs="Arial"/>
        </w:rPr>
      </w:pPr>
    </w:p>
    <w:p w14:paraId="0B7D1316" w14:textId="00D29D69" w:rsidR="006A084F" w:rsidRPr="0005305C" w:rsidRDefault="006A084F" w:rsidP="0005305C">
      <w:pPr>
        <w:numPr>
          <w:ilvl w:val="0"/>
          <w:numId w:val="37"/>
        </w:numPr>
        <w:adjustRightInd w:val="0"/>
        <w:spacing w:after="80" w:line="276" w:lineRule="auto"/>
        <w:rPr>
          <w:rFonts w:ascii="Arial" w:hAnsi="Arial" w:cs="Arial"/>
          <w:bCs/>
          <w:highlight w:val="yellow"/>
        </w:rPr>
      </w:pPr>
      <w:r w:rsidRPr="0005305C">
        <w:rPr>
          <w:highlight w:val="yellow"/>
        </w:rPr>
        <w:t>APEDA. (n.d.).</w:t>
      </w:r>
      <w:r w:rsidRPr="0005305C">
        <w:rPr>
          <w:rFonts w:ascii="Arial" w:hAnsi="Arial" w:cs="Arial"/>
          <w:bCs/>
          <w:highlight w:val="yellow"/>
        </w:rPr>
        <w:t xml:space="preserve"> </w:t>
      </w:r>
      <w:r w:rsidRPr="0005305C">
        <w:rPr>
          <w:bCs/>
          <w:highlight w:val="yellow"/>
        </w:rPr>
        <w:t>Agricultural and Processed Food Products Export Development Authority (APEDA).</w:t>
      </w:r>
      <w:r w:rsidRPr="0005305C">
        <w:rPr>
          <w:rFonts w:ascii="Arial" w:hAnsi="Arial" w:cs="Arial"/>
          <w:bCs/>
          <w:highlight w:val="yellow"/>
        </w:rPr>
        <w:t xml:space="preserve"> Data retrieved for the period </w:t>
      </w:r>
      <w:r w:rsidRPr="0005305C">
        <w:rPr>
          <w:highlight w:val="yellow"/>
        </w:rPr>
        <w:t>2013–2024</w:t>
      </w:r>
      <w:r w:rsidRPr="0005305C">
        <w:rPr>
          <w:rFonts w:ascii="Arial" w:hAnsi="Arial" w:cs="Arial"/>
          <w:bCs/>
          <w:highlight w:val="yellow"/>
        </w:rPr>
        <w:t xml:space="preserve">, from </w:t>
      </w:r>
      <w:hyperlink r:id="rId15" w:tgtFrame="_new" w:history="1">
        <w:r w:rsidRPr="0005305C">
          <w:rPr>
            <w:bCs/>
            <w:highlight w:val="yellow"/>
          </w:rPr>
          <w:t>https://apeda.gov.in</w:t>
        </w:r>
      </w:hyperlink>
    </w:p>
    <w:p w14:paraId="5851F7ED" w14:textId="1D37A490" w:rsidR="006A084F" w:rsidRPr="0005305C" w:rsidRDefault="006A084F" w:rsidP="0005305C">
      <w:pPr>
        <w:numPr>
          <w:ilvl w:val="0"/>
          <w:numId w:val="37"/>
        </w:numPr>
        <w:adjustRightInd w:val="0"/>
        <w:spacing w:after="80" w:line="276" w:lineRule="auto"/>
        <w:rPr>
          <w:rFonts w:ascii="Arial" w:hAnsi="Arial" w:cs="Arial"/>
          <w:bCs/>
          <w:highlight w:val="yellow"/>
        </w:rPr>
      </w:pPr>
      <w:r w:rsidRPr="0005305C">
        <w:rPr>
          <w:highlight w:val="yellow"/>
        </w:rPr>
        <w:t>International Trade Centre (ITC). (n.d.).</w:t>
      </w:r>
      <w:r w:rsidRPr="0005305C">
        <w:rPr>
          <w:rFonts w:ascii="Arial" w:hAnsi="Arial" w:cs="Arial"/>
          <w:bCs/>
          <w:highlight w:val="yellow"/>
        </w:rPr>
        <w:t xml:space="preserve"> </w:t>
      </w:r>
      <w:r w:rsidRPr="0005305C">
        <w:rPr>
          <w:bCs/>
          <w:i/>
          <w:iCs/>
          <w:highlight w:val="yellow"/>
        </w:rPr>
        <w:t>Trade Map</w:t>
      </w:r>
      <w:r w:rsidRPr="0005305C">
        <w:rPr>
          <w:bCs/>
          <w:highlight w:val="yellow"/>
        </w:rPr>
        <w:t>: Trade statistics for international business development.</w:t>
      </w:r>
      <w:r w:rsidRPr="0005305C">
        <w:rPr>
          <w:rFonts w:ascii="Arial" w:hAnsi="Arial" w:cs="Arial"/>
          <w:bCs/>
          <w:highlight w:val="yellow"/>
        </w:rPr>
        <w:t xml:space="preserve"> Data retrieved for the period </w:t>
      </w:r>
      <w:r w:rsidRPr="0005305C">
        <w:rPr>
          <w:highlight w:val="yellow"/>
        </w:rPr>
        <w:t>2013–2024</w:t>
      </w:r>
      <w:r w:rsidRPr="0005305C">
        <w:rPr>
          <w:rFonts w:ascii="Arial" w:hAnsi="Arial" w:cs="Arial"/>
          <w:bCs/>
          <w:highlight w:val="yellow"/>
        </w:rPr>
        <w:t xml:space="preserve">, from </w:t>
      </w:r>
      <w:hyperlink r:id="rId16" w:tgtFrame="_new" w:history="1">
        <w:r w:rsidRPr="0005305C">
          <w:rPr>
            <w:bCs/>
            <w:highlight w:val="yellow"/>
          </w:rPr>
          <w:t>https://www.trademap.org</w:t>
        </w:r>
      </w:hyperlink>
    </w:p>
    <w:p w14:paraId="5A23EF77"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Kumar, S., Rana, P., &amp; Bhan, R. K. (2019). Export competitiveness of Indian horticultural products: A comparative analysis. International Journal of Agricultural Economics, 5(3), 123–138.</w:t>
      </w:r>
    </w:p>
    <w:p w14:paraId="2FA67E06"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Sharma, A., &amp; Mathur, P. (2021). Instability and growth trends in agricultural exports: Evidence from India using CDVI and CAGR. Agricultural Economics Research Review, 34(1), 55–68.</w:t>
      </w:r>
    </w:p>
    <w:p w14:paraId="213D8532"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Sing, S., &amp; Badal, V. (2020). Market concentration and export diversification in Indian fruit exports: An HHI-based study. International Journal of Horticultural Science, 17(2), 45–58.</w:t>
      </w:r>
    </w:p>
    <w:p w14:paraId="502BA0E9"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Bisen, R., &amp; et al. (2023). Trends, growth, production instability and export dynamics of Basmati rice using Cuddy–Della Valle indices. Indian Journal of Extension Education, 59(2), 35–50. </w:t>
      </w:r>
    </w:p>
    <w:p w14:paraId="34C8EB01"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Verma, S. K., Kumar, S., Deepshikha, Gopal, M., &amp; Yadav, D. N. (2024). Food Grain Trade Prospects of India: Markov Chain Analysis. SSRI Inst. International Journal of Life Sciences, 10(2), 5050–5056. </w:t>
      </w:r>
    </w:p>
    <w:p w14:paraId="1AEC4F78"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More, S. S., &amp; et al. (2020). Has production of cotton in Maharashtra shown stability? Use of Cuddy–Della Valle instability index on area, production and yield. Current Agriculture Research, 8(3), 224–231. </w:t>
      </w:r>
    </w:p>
    <w:p w14:paraId="76B17AB8" w14:textId="77777777" w:rsidR="0040248F" w:rsidRPr="0040248F" w:rsidRDefault="0040248F" w:rsidP="0040248F">
      <w:pPr>
        <w:numPr>
          <w:ilvl w:val="0"/>
          <w:numId w:val="37"/>
        </w:numPr>
        <w:adjustRightInd w:val="0"/>
        <w:spacing w:after="80" w:line="276" w:lineRule="auto"/>
        <w:rPr>
          <w:rFonts w:ascii="Arial" w:hAnsi="Arial" w:cs="Arial"/>
          <w:bCs/>
        </w:rPr>
      </w:pPr>
      <w:r w:rsidRPr="0040248F">
        <w:rPr>
          <w:rFonts w:ascii="Arial" w:hAnsi="Arial" w:cs="Arial"/>
          <w:bCs/>
        </w:rPr>
        <w:t xml:space="preserve">Farhat, S. (2019). Export competitiveness of India and UAE in horticulture: Analysis with Balassa index. Journal of Trade &amp; Economic Studies, 4(1), 12–25. </w:t>
      </w:r>
    </w:p>
    <w:p w14:paraId="78B93056" w14:textId="2672C6B9" w:rsidR="0040248F" w:rsidRPr="0005305C" w:rsidRDefault="006A084F" w:rsidP="0040248F">
      <w:pPr>
        <w:numPr>
          <w:ilvl w:val="0"/>
          <w:numId w:val="37"/>
        </w:numPr>
        <w:adjustRightInd w:val="0"/>
        <w:spacing w:after="80" w:line="276" w:lineRule="auto"/>
        <w:rPr>
          <w:rFonts w:ascii="Arial" w:hAnsi="Arial" w:cs="Arial"/>
          <w:bCs/>
          <w:highlight w:val="yellow"/>
        </w:rPr>
      </w:pPr>
      <w:proofErr w:type="spellStart"/>
      <w:r w:rsidRPr="0005305C">
        <w:rPr>
          <w:rFonts w:ascii="Arial" w:hAnsi="Arial" w:cs="Arial"/>
          <w:bCs/>
          <w:highlight w:val="yellow"/>
        </w:rPr>
        <w:t>Jiaul</w:t>
      </w:r>
      <w:proofErr w:type="spellEnd"/>
      <w:r w:rsidRPr="0005305C">
        <w:rPr>
          <w:rFonts w:ascii="Arial" w:hAnsi="Arial" w:cs="Arial"/>
          <w:bCs/>
          <w:highlight w:val="yellow"/>
        </w:rPr>
        <w:t>,</w:t>
      </w:r>
      <w:r w:rsidRPr="0005305C">
        <w:rPr>
          <w:rFonts w:ascii="Arial" w:hAnsi="Arial" w:cs="Arial"/>
          <w:bCs/>
          <w:highlight w:val="yellow"/>
        </w:rPr>
        <w:t xml:space="preserve"> H</w:t>
      </w:r>
      <w:r w:rsidRPr="0005305C">
        <w:rPr>
          <w:rFonts w:ascii="Arial" w:hAnsi="Arial" w:cs="Arial"/>
          <w:bCs/>
          <w:highlight w:val="yellow"/>
        </w:rPr>
        <w:t>.,</w:t>
      </w:r>
      <w:r w:rsidRPr="0005305C">
        <w:rPr>
          <w:rFonts w:ascii="Arial" w:hAnsi="Arial" w:cs="Arial"/>
          <w:bCs/>
          <w:highlight w:val="yellow"/>
        </w:rPr>
        <w:t xml:space="preserve"> &amp; Ram</w:t>
      </w:r>
      <w:r w:rsidRPr="0005305C">
        <w:rPr>
          <w:rFonts w:ascii="Arial" w:hAnsi="Arial" w:cs="Arial"/>
          <w:bCs/>
          <w:highlight w:val="yellow"/>
        </w:rPr>
        <w:t>,</w:t>
      </w:r>
      <w:r w:rsidRPr="0005305C">
        <w:rPr>
          <w:rFonts w:ascii="Arial" w:hAnsi="Arial" w:cs="Arial"/>
          <w:bCs/>
          <w:highlight w:val="yellow"/>
        </w:rPr>
        <w:t xml:space="preserve"> S. </w:t>
      </w:r>
      <w:r w:rsidRPr="0005305C">
        <w:rPr>
          <w:rFonts w:ascii="Arial" w:hAnsi="Arial" w:cs="Arial"/>
          <w:bCs/>
          <w:highlight w:val="yellow"/>
        </w:rPr>
        <w:t xml:space="preserve">(2025). </w:t>
      </w:r>
      <w:r w:rsidR="0040248F" w:rsidRPr="0005305C">
        <w:rPr>
          <w:rFonts w:ascii="Arial" w:hAnsi="Arial" w:cs="Arial"/>
          <w:bCs/>
          <w:highlight w:val="yellow"/>
        </w:rPr>
        <w:t>“</w:t>
      </w:r>
      <w:r w:rsidRPr="0005305C">
        <w:rPr>
          <w:rFonts w:ascii="Arial" w:hAnsi="Arial" w:cs="Arial"/>
          <w:bCs/>
          <w:highlight w:val="yellow"/>
        </w:rPr>
        <w:t>Trade</w:t>
      </w:r>
      <w:r w:rsidR="0040248F" w:rsidRPr="0005305C">
        <w:rPr>
          <w:rFonts w:ascii="Arial" w:hAnsi="Arial" w:cs="Arial"/>
          <w:bCs/>
          <w:highlight w:val="yellow"/>
        </w:rPr>
        <w:t xml:space="preserve"> performance and </w:t>
      </w:r>
      <w:r w:rsidRPr="0005305C">
        <w:rPr>
          <w:rFonts w:ascii="Arial" w:hAnsi="Arial" w:cs="Arial"/>
          <w:bCs/>
          <w:highlight w:val="yellow"/>
        </w:rPr>
        <w:t>export</w:t>
      </w:r>
      <w:r w:rsidR="0040248F" w:rsidRPr="0005305C">
        <w:rPr>
          <w:rFonts w:ascii="Arial" w:hAnsi="Arial" w:cs="Arial"/>
          <w:bCs/>
          <w:highlight w:val="yellow"/>
        </w:rPr>
        <w:t xml:space="preserve"> competitiveness of horticultural commodities of North East India (NEI)”</w:t>
      </w:r>
      <w:r w:rsidRPr="0005305C">
        <w:rPr>
          <w:rFonts w:ascii="Arial" w:hAnsi="Arial" w:cs="Arial"/>
          <w:bCs/>
          <w:highlight w:val="yellow"/>
        </w:rPr>
        <w:t>.</w:t>
      </w:r>
      <w:r w:rsidR="0040248F" w:rsidRPr="0005305C">
        <w:rPr>
          <w:rFonts w:ascii="Arial" w:hAnsi="Arial" w:cs="Arial"/>
          <w:bCs/>
          <w:highlight w:val="yellow"/>
        </w:rPr>
        <w:t xml:space="preserve"> International Journal of Agriculture Extension &amp; Social Development, 8(8), 675–679. </w:t>
      </w:r>
    </w:p>
    <w:p w14:paraId="6A1E6AB6" w14:textId="68194617" w:rsidR="0005305C" w:rsidRPr="0005305C" w:rsidRDefault="0005305C" w:rsidP="0005305C">
      <w:pPr>
        <w:pStyle w:val="ListParagraph"/>
        <w:numPr>
          <w:ilvl w:val="0"/>
          <w:numId w:val="37"/>
        </w:numPr>
        <w:rPr>
          <w:rFonts w:ascii="Arial" w:hAnsi="Arial" w:cs="Arial"/>
          <w:sz w:val="20"/>
          <w:szCs w:val="20"/>
          <w:highlight w:val="yellow"/>
          <w:lang w:val="en-GB"/>
        </w:rPr>
      </w:pPr>
      <w:r w:rsidRPr="0005305C">
        <w:rPr>
          <w:rFonts w:ascii="Arial" w:hAnsi="Arial" w:cs="Arial"/>
          <w:sz w:val="20"/>
          <w:szCs w:val="20"/>
          <w:highlight w:val="yellow"/>
          <w:lang w:val="en-GB"/>
        </w:rPr>
        <w:t>Vanitha, S. M., Kumari, G., &amp; Singh, R. (2014). Export competitiveness of fresh vegetables in India. International Journal of Vegetable Science, 20(3), 227-234.</w:t>
      </w:r>
    </w:p>
    <w:p w14:paraId="70B09C41" w14:textId="77777777" w:rsidR="00F055F2" w:rsidRPr="0005305C" w:rsidRDefault="00F055F2" w:rsidP="00F055F2">
      <w:pPr>
        <w:numPr>
          <w:ilvl w:val="0"/>
          <w:numId w:val="37"/>
        </w:numPr>
        <w:adjustRightInd w:val="0"/>
        <w:spacing w:after="80" w:line="276" w:lineRule="auto"/>
        <w:rPr>
          <w:rFonts w:ascii="Arial" w:hAnsi="Arial" w:cs="Arial"/>
          <w:bCs/>
          <w:highlight w:val="yellow"/>
        </w:rPr>
      </w:pPr>
      <w:r w:rsidRPr="0005305C">
        <w:rPr>
          <w:rFonts w:ascii="Arial" w:hAnsi="Arial" w:cs="Arial"/>
          <w:bCs/>
          <w:highlight w:val="yellow"/>
        </w:rPr>
        <w:t xml:space="preserve">Balassa, B. (1965). </w:t>
      </w:r>
      <w:r w:rsidRPr="0005305C">
        <w:rPr>
          <w:bCs/>
          <w:highlight w:val="yellow"/>
        </w:rPr>
        <w:t>Trade liberalization and revealed comparative advantage</w:t>
      </w:r>
      <w:r w:rsidRPr="0005305C">
        <w:rPr>
          <w:rFonts w:ascii="Arial" w:hAnsi="Arial" w:cs="Arial"/>
          <w:bCs/>
          <w:highlight w:val="yellow"/>
        </w:rPr>
        <w:t xml:space="preserve">. </w:t>
      </w:r>
      <w:r w:rsidRPr="0005305C">
        <w:rPr>
          <w:bCs/>
          <w:highlight w:val="yellow"/>
        </w:rPr>
        <w:t>The Manchester School of Economic and Social Studies</w:t>
      </w:r>
      <w:r w:rsidRPr="0005305C">
        <w:rPr>
          <w:rFonts w:ascii="Arial" w:hAnsi="Arial" w:cs="Arial"/>
          <w:bCs/>
          <w:highlight w:val="yellow"/>
        </w:rPr>
        <w:t>, 33(2), 99–123.</w:t>
      </w:r>
    </w:p>
    <w:p w14:paraId="42676026" w14:textId="77777777" w:rsidR="00F055F2" w:rsidRPr="0005305C" w:rsidRDefault="00F055F2" w:rsidP="00F055F2">
      <w:pPr>
        <w:numPr>
          <w:ilvl w:val="0"/>
          <w:numId w:val="37"/>
        </w:numPr>
        <w:adjustRightInd w:val="0"/>
        <w:spacing w:after="80" w:line="276" w:lineRule="auto"/>
        <w:rPr>
          <w:rFonts w:ascii="Arial" w:hAnsi="Arial" w:cs="Arial"/>
          <w:bCs/>
          <w:highlight w:val="yellow"/>
        </w:rPr>
      </w:pPr>
      <w:r w:rsidRPr="0005305C">
        <w:rPr>
          <w:rFonts w:ascii="Arial" w:hAnsi="Arial" w:cs="Arial"/>
          <w:bCs/>
          <w:highlight w:val="yellow"/>
        </w:rPr>
        <w:t xml:space="preserve">Bisen, R., Kumar, V., &amp; Sharma, P. (2023). </w:t>
      </w:r>
      <w:r w:rsidRPr="0005305C">
        <w:rPr>
          <w:bCs/>
          <w:highlight w:val="yellow"/>
        </w:rPr>
        <w:t>Production instability and export dynamics of Basmati rice using Cuddy–Della Valle indices</w:t>
      </w:r>
      <w:r w:rsidRPr="0005305C">
        <w:rPr>
          <w:rFonts w:ascii="Arial" w:hAnsi="Arial" w:cs="Arial"/>
          <w:bCs/>
          <w:highlight w:val="yellow"/>
        </w:rPr>
        <w:t xml:space="preserve">. </w:t>
      </w:r>
      <w:r w:rsidRPr="0005305C">
        <w:rPr>
          <w:bCs/>
          <w:highlight w:val="yellow"/>
        </w:rPr>
        <w:t>Indian Journal of Extension Education</w:t>
      </w:r>
      <w:r w:rsidRPr="0005305C">
        <w:rPr>
          <w:rFonts w:ascii="Arial" w:hAnsi="Arial" w:cs="Arial"/>
          <w:bCs/>
          <w:highlight w:val="yellow"/>
        </w:rPr>
        <w:t>, 59(2), 35–50.</w:t>
      </w:r>
    </w:p>
    <w:p w14:paraId="12E0796F" w14:textId="77777777" w:rsidR="00F055F2" w:rsidRPr="0005305C" w:rsidRDefault="00F055F2" w:rsidP="00F055F2">
      <w:pPr>
        <w:numPr>
          <w:ilvl w:val="0"/>
          <w:numId w:val="37"/>
        </w:numPr>
        <w:adjustRightInd w:val="0"/>
        <w:spacing w:after="80" w:line="276" w:lineRule="auto"/>
        <w:rPr>
          <w:rFonts w:ascii="Arial" w:hAnsi="Arial" w:cs="Arial"/>
          <w:bCs/>
          <w:highlight w:val="yellow"/>
        </w:rPr>
      </w:pPr>
      <w:r w:rsidRPr="0005305C">
        <w:rPr>
          <w:rFonts w:ascii="Arial" w:hAnsi="Arial" w:cs="Arial"/>
          <w:bCs/>
          <w:highlight w:val="yellow"/>
        </w:rPr>
        <w:t xml:space="preserve">Dastagiri, M. B., Chand, R., </w:t>
      </w:r>
      <w:proofErr w:type="spellStart"/>
      <w:r w:rsidRPr="0005305C">
        <w:rPr>
          <w:rFonts w:ascii="Arial" w:hAnsi="Arial" w:cs="Arial"/>
          <w:bCs/>
          <w:highlight w:val="yellow"/>
        </w:rPr>
        <w:t>Immanuelraj</w:t>
      </w:r>
      <w:proofErr w:type="spellEnd"/>
      <w:r w:rsidRPr="0005305C">
        <w:rPr>
          <w:rFonts w:ascii="Arial" w:hAnsi="Arial" w:cs="Arial"/>
          <w:bCs/>
          <w:highlight w:val="yellow"/>
        </w:rPr>
        <w:t xml:space="preserve">, T. K., </w:t>
      </w:r>
      <w:proofErr w:type="spellStart"/>
      <w:r w:rsidRPr="0005305C">
        <w:rPr>
          <w:rFonts w:ascii="Arial" w:hAnsi="Arial" w:cs="Arial"/>
          <w:bCs/>
          <w:highlight w:val="yellow"/>
        </w:rPr>
        <w:t>Hanumanthaiah</w:t>
      </w:r>
      <w:proofErr w:type="spellEnd"/>
      <w:r w:rsidRPr="0005305C">
        <w:rPr>
          <w:rFonts w:ascii="Arial" w:hAnsi="Arial" w:cs="Arial"/>
          <w:bCs/>
          <w:highlight w:val="yellow"/>
        </w:rPr>
        <w:t xml:space="preserve">, C. V., </w:t>
      </w:r>
      <w:proofErr w:type="spellStart"/>
      <w:r w:rsidRPr="0005305C">
        <w:rPr>
          <w:rFonts w:ascii="Arial" w:hAnsi="Arial" w:cs="Arial"/>
          <w:bCs/>
          <w:highlight w:val="yellow"/>
        </w:rPr>
        <w:t>Paramsivam</w:t>
      </w:r>
      <w:proofErr w:type="spellEnd"/>
      <w:r w:rsidRPr="0005305C">
        <w:rPr>
          <w:rFonts w:ascii="Arial" w:hAnsi="Arial" w:cs="Arial"/>
          <w:bCs/>
          <w:highlight w:val="yellow"/>
        </w:rPr>
        <w:t xml:space="preserve">, P., Sidhu, R. S., … Mandal, S. (2013). Indian vegetables: Production trends, marketing </w:t>
      </w:r>
      <w:r w:rsidRPr="0005305C">
        <w:rPr>
          <w:rFonts w:ascii="Arial" w:hAnsi="Arial" w:cs="Arial"/>
          <w:bCs/>
          <w:highlight w:val="yellow"/>
        </w:rPr>
        <w:lastRenderedPageBreak/>
        <w:t xml:space="preserve">efficiency and export competitiveness. American Journal of Agriculture and Forestry, 1(1), 1–11. </w:t>
      </w:r>
    </w:p>
    <w:p w14:paraId="241322B8" w14:textId="17747355" w:rsidR="00F055F2" w:rsidRPr="0005305C" w:rsidRDefault="00F055F2" w:rsidP="0040248F">
      <w:pPr>
        <w:numPr>
          <w:ilvl w:val="0"/>
          <w:numId w:val="37"/>
        </w:numPr>
        <w:adjustRightInd w:val="0"/>
        <w:spacing w:after="80" w:line="276" w:lineRule="auto"/>
        <w:rPr>
          <w:rFonts w:ascii="Arial" w:hAnsi="Arial" w:cs="Arial"/>
          <w:bCs/>
          <w:highlight w:val="yellow"/>
        </w:rPr>
      </w:pPr>
      <w:r w:rsidRPr="0005305C">
        <w:rPr>
          <w:rFonts w:ascii="Arial" w:hAnsi="Arial" w:cs="Arial"/>
          <w:bCs/>
          <w:highlight w:val="yellow"/>
        </w:rPr>
        <w:t>Farhat, S. (2019). Export competitiveness of India and UAE in horticulture: Analysis with Balassa index. Journal of Trade &amp; Economic Studies, 4(1), 12–25.</w:t>
      </w:r>
    </w:p>
    <w:sectPr w:rsidR="00F055F2" w:rsidRPr="0005305C" w:rsidSect="00A146F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5583" w14:textId="77777777" w:rsidR="00C51F55" w:rsidRDefault="00C51F55" w:rsidP="00C37E61">
      <w:r>
        <w:separator/>
      </w:r>
    </w:p>
  </w:endnote>
  <w:endnote w:type="continuationSeparator" w:id="0">
    <w:p w14:paraId="05771B52" w14:textId="77777777" w:rsidR="00C51F55" w:rsidRDefault="00C51F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679A" w14:textId="77777777" w:rsidR="00A146FB" w:rsidRDefault="00A14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F608" w14:textId="77777777" w:rsidR="00A146FB" w:rsidRDefault="00A14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15E" w14:textId="05EB81A6" w:rsidR="00754C9A" w:rsidRPr="00F41D57" w:rsidRDefault="00754C9A" w:rsidP="00F41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71BE" w14:textId="77777777" w:rsidR="00C51F55" w:rsidRDefault="00C51F55" w:rsidP="00C37E61">
      <w:r>
        <w:separator/>
      </w:r>
    </w:p>
  </w:footnote>
  <w:footnote w:type="continuationSeparator" w:id="0">
    <w:p w14:paraId="1B3BA5B6" w14:textId="77777777" w:rsidR="00C51F55" w:rsidRDefault="00C51F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AE39" w14:textId="4E20E89F" w:rsidR="00A146FB" w:rsidRDefault="00000000">
    <w:pPr>
      <w:pStyle w:val="Header"/>
    </w:pPr>
    <w:r>
      <w:rPr>
        <w:noProof/>
      </w:rPr>
      <w:pict w14:anchorId="66D68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61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50" w14:textId="4CF23665" w:rsidR="00A146FB" w:rsidRDefault="00000000">
    <w:pPr>
      <w:pStyle w:val="Header"/>
    </w:pPr>
    <w:r>
      <w:rPr>
        <w:noProof/>
      </w:rPr>
      <w:pict w14:anchorId="7B5A2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61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E243" w14:textId="079F629B" w:rsidR="00296529" w:rsidRPr="00296529" w:rsidRDefault="00000000" w:rsidP="00296529">
    <w:pPr>
      <w:ind w:left="2160"/>
      <w:jc w:val="center"/>
      <w:rPr>
        <w:rFonts w:ascii="Times New Roman" w:eastAsia="Calibri" w:hAnsi="Times New Roman"/>
        <w:i/>
        <w:sz w:val="18"/>
        <w:szCs w:val="22"/>
      </w:rPr>
    </w:pPr>
    <w:r>
      <w:rPr>
        <w:noProof/>
      </w:rPr>
      <w:pict w14:anchorId="12B36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561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0127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5F54C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4366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AED6D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73DE7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29C96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A74D89"/>
    <w:multiLevelType w:val="multilevel"/>
    <w:tmpl w:val="A0960E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160145"/>
    <w:multiLevelType w:val="multilevel"/>
    <w:tmpl w:val="B9CC6E0A"/>
    <w:lvl w:ilvl="0">
      <w:start w:val="3"/>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4425E8"/>
    <w:multiLevelType w:val="multilevel"/>
    <w:tmpl w:val="64BA96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31E8D"/>
    <w:multiLevelType w:val="multilevel"/>
    <w:tmpl w:val="7108AC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84A4E"/>
    <w:multiLevelType w:val="multilevel"/>
    <w:tmpl w:val="AF9C8CC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04F4702"/>
    <w:multiLevelType w:val="multilevel"/>
    <w:tmpl w:val="E8FEFA0C"/>
    <w:lvl w:ilvl="0">
      <w:start w:val="1"/>
      <w:numFmt w:val="upperRoman"/>
      <w:lvlText w:val="%1."/>
      <w:lvlJc w:val="right"/>
      <w:pPr>
        <w:ind w:left="990" w:hanging="360"/>
      </w:pPr>
    </w:lvl>
    <w:lvl w:ilvl="1">
      <w:start w:val="1"/>
      <w:numFmt w:val="decimal"/>
      <w:isLgl/>
      <w:lvlText w:val="%1.%2."/>
      <w:lvlJc w:val="left"/>
      <w:pPr>
        <w:ind w:left="4417" w:hanging="720"/>
      </w:pPr>
      <w:rPr>
        <w:rFonts w:hint="default"/>
        <w:sz w:val="20"/>
      </w:rPr>
    </w:lvl>
    <w:lvl w:ilvl="2">
      <w:start w:val="1"/>
      <w:numFmt w:val="decimal"/>
      <w:isLgl/>
      <w:lvlText w:val="%1.%2.%3."/>
      <w:lvlJc w:val="left"/>
      <w:pPr>
        <w:ind w:left="1571" w:hanging="720"/>
      </w:pPr>
      <w:rPr>
        <w:rFonts w:hint="default"/>
        <w:b/>
        <w:bCs/>
        <w:sz w:val="20"/>
      </w:rPr>
    </w:lvl>
    <w:lvl w:ilvl="3">
      <w:start w:val="1"/>
      <w:numFmt w:val="decimal"/>
      <w:isLgl/>
      <w:lvlText w:val="%1.%2.%3.%4."/>
      <w:lvlJc w:val="left"/>
      <w:pPr>
        <w:ind w:left="2574" w:hanging="1080"/>
      </w:pPr>
      <w:rPr>
        <w:rFonts w:hint="default"/>
        <w:sz w:val="20"/>
      </w:rPr>
    </w:lvl>
    <w:lvl w:ilvl="4">
      <w:start w:val="1"/>
      <w:numFmt w:val="decimal"/>
      <w:isLgl/>
      <w:lvlText w:val="%1.%2.%3.%4.%5."/>
      <w:lvlJc w:val="left"/>
      <w:pPr>
        <w:ind w:left="2862" w:hanging="1080"/>
      </w:pPr>
      <w:rPr>
        <w:rFonts w:hint="default"/>
        <w:sz w:val="20"/>
      </w:rPr>
    </w:lvl>
    <w:lvl w:ilvl="5">
      <w:start w:val="1"/>
      <w:numFmt w:val="decimal"/>
      <w:isLgl/>
      <w:lvlText w:val="%1.%2.%3.%4.%5.%6."/>
      <w:lvlJc w:val="left"/>
      <w:pPr>
        <w:ind w:left="3510" w:hanging="1440"/>
      </w:pPr>
      <w:rPr>
        <w:rFonts w:hint="default"/>
        <w:sz w:val="20"/>
      </w:rPr>
    </w:lvl>
    <w:lvl w:ilvl="6">
      <w:start w:val="1"/>
      <w:numFmt w:val="decimal"/>
      <w:isLgl/>
      <w:lvlText w:val="%1.%2.%3.%4.%5.%6.%7."/>
      <w:lvlJc w:val="left"/>
      <w:pPr>
        <w:ind w:left="3798" w:hanging="1440"/>
      </w:pPr>
      <w:rPr>
        <w:rFonts w:hint="default"/>
        <w:sz w:val="20"/>
      </w:rPr>
    </w:lvl>
    <w:lvl w:ilvl="7">
      <w:start w:val="1"/>
      <w:numFmt w:val="decimal"/>
      <w:isLgl/>
      <w:lvlText w:val="%1.%2.%3.%4.%5.%6.%7.%8."/>
      <w:lvlJc w:val="left"/>
      <w:pPr>
        <w:ind w:left="4446" w:hanging="1800"/>
      </w:pPr>
      <w:rPr>
        <w:rFonts w:hint="default"/>
        <w:sz w:val="20"/>
      </w:rPr>
    </w:lvl>
    <w:lvl w:ilvl="8">
      <w:start w:val="1"/>
      <w:numFmt w:val="decimal"/>
      <w:isLgl/>
      <w:lvlText w:val="%1.%2.%3.%4.%5.%6.%7.%8.%9."/>
      <w:lvlJc w:val="left"/>
      <w:pPr>
        <w:ind w:left="5094" w:hanging="2160"/>
      </w:pPr>
      <w:rPr>
        <w:rFonts w:hint="default"/>
        <w:sz w:val="20"/>
      </w:rPr>
    </w:lvl>
  </w:abstractNum>
  <w:abstractNum w:abstractNumId="25" w15:restartNumberingAfterBreak="0">
    <w:nsid w:val="70582169"/>
    <w:multiLevelType w:val="multilevel"/>
    <w:tmpl w:val="C6B6AB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3B3D5E"/>
    <w:multiLevelType w:val="hybridMultilevel"/>
    <w:tmpl w:val="555ACADE"/>
    <w:lvl w:ilvl="0" w:tplc="1D8A776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3B81F8C"/>
    <w:multiLevelType w:val="multilevel"/>
    <w:tmpl w:val="C74A00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025636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294307">
    <w:abstractNumId w:val="19"/>
  </w:num>
  <w:num w:numId="3" w16cid:durableId="117996263">
    <w:abstractNumId w:val="32"/>
  </w:num>
  <w:num w:numId="4" w16cid:durableId="6500629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38258488">
    <w:abstractNumId w:val="8"/>
  </w:num>
  <w:num w:numId="6" w16cid:durableId="874732334">
    <w:abstractNumId w:val="6"/>
  </w:num>
  <w:num w:numId="7" w16cid:durableId="1599564307">
    <w:abstractNumId w:val="1"/>
  </w:num>
  <w:num w:numId="8" w16cid:durableId="1741903262">
    <w:abstractNumId w:val="14"/>
  </w:num>
  <w:num w:numId="9" w16cid:durableId="1140341997">
    <w:abstractNumId w:val="34"/>
  </w:num>
  <w:num w:numId="10" w16cid:durableId="2064017368">
    <w:abstractNumId w:val="2"/>
  </w:num>
  <w:num w:numId="11" w16cid:durableId="79177554">
    <w:abstractNumId w:val="23"/>
  </w:num>
  <w:num w:numId="12" w16cid:durableId="1261377507">
    <w:abstractNumId w:val="3"/>
  </w:num>
  <w:num w:numId="13" w16cid:durableId="421951341">
    <w:abstractNumId w:val="22"/>
  </w:num>
  <w:num w:numId="14" w16cid:durableId="1605383315">
    <w:abstractNumId w:val="9"/>
  </w:num>
  <w:num w:numId="15" w16cid:durableId="1497573790">
    <w:abstractNumId w:val="29"/>
  </w:num>
  <w:num w:numId="16" w16cid:durableId="1274939001">
    <w:abstractNumId w:val="5"/>
  </w:num>
  <w:num w:numId="17" w16cid:durableId="74209522">
    <w:abstractNumId w:val="31"/>
  </w:num>
  <w:num w:numId="18" w16cid:durableId="775514537">
    <w:abstractNumId w:val="16"/>
  </w:num>
  <w:num w:numId="19" w16cid:durableId="176846450">
    <w:abstractNumId w:val="37"/>
  </w:num>
  <w:num w:numId="20" w16cid:durableId="1595236539">
    <w:abstractNumId w:val="13"/>
  </w:num>
  <w:num w:numId="21" w16cid:durableId="361708015">
    <w:abstractNumId w:val="11"/>
  </w:num>
  <w:num w:numId="22" w16cid:durableId="211307424">
    <w:abstractNumId w:val="15"/>
  </w:num>
  <w:num w:numId="23" w16cid:durableId="51005216">
    <w:abstractNumId w:val="27"/>
  </w:num>
  <w:num w:numId="24" w16cid:durableId="847331708">
    <w:abstractNumId w:val="35"/>
  </w:num>
  <w:num w:numId="25" w16cid:durableId="552816818">
    <w:abstractNumId w:val="4"/>
  </w:num>
  <w:num w:numId="26" w16cid:durableId="1432124092">
    <w:abstractNumId w:val="20"/>
  </w:num>
  <w:num w:numId="27" w16cid:durableId="1967740276">
    <w:abstractNumId w:val="28"/>
  </w:num>
  <w:num w:numId="28" w16cid:durableId="725839136">
    <w:abstractNumId w:val="36"/>
  </w:num>
  <w:num w:numId="29" w16cid:durableId="794564357">
    <w:abstractNumId w:val="33"/>
  </w:num>
  <w:num w:numId="30" w16cid:durableId="125436138">
    <w:abstractNumId w:val="12"/>
  </w:num>
  <w:num w:numId="31" w16cid:durableId="1687318172">
    <w:abstractNumId w:val="21"/>
  </w:num>
  <w:num w:numId="32" w16cid:durableId="1226799212">
    <w:abstractNumId w:val="26"/>
  </w:num>
  <w:num w:numId="33" w16cid:durableId="503476238">
    <w:abstractNumId w:val="24"/>
  </w:num>
  <w:num w:numId="34" w16cid:durableId="455833921">
    <w:abstractNumId w:val="17"/>
  </w:num>
  <w:num w:numId="35" w16cid:durableId="62408215">
    <w:abstractNumId w:val="10"/>
  </w:num>
  <w:num w:numId="36" w16cid:durableId="99688284">
    <w:abstractNumId w:val="25"/>
  </w:num>
  <w:num w:numId="37" w16cid:durableId="1076895805">
    <w:abstractNumId w:val="18"/>
  </w:num>
  <w:num w:numId="38" w16cid:durableId="987247403">
    <w:abstractNumId w:val="7"/>
  </w:num>
  <w:num w:numId="39" w16cid:durableId="607584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A60"/>
    <w:rsid w:val="00000F8F"/>
    <w:rsid w:val="00030174"/>
    <w:rsid w:val="0003763C"/>
    <w:rsid w:val="0004579C"/>
    <w:rsid w:val="0005305C"/>
    <w:rsid w:val="000A47FA"/>
    <w:rsid w:val="000A65D3"/>
    <w:rsid w:val="000B1E33"/>
    <w:rsid w:val="000D0087"/>
    <w:rsid w:val="000D689F"/>
    <w:rsid w:val="000E7B7B"/>
    <w:rsid w:val="000E7D62"/>
    <w:rsid w:val="00103357"/>
    <w:rsid w:val="00123C9F"/>
    <w:rsid w:val="00126190"/>
    <w:rsid w:val="00130F17"/>
    <w:rsid w:val="001320BF"/>
    <w:rsid w:val="00142CA8"/>
    <w:rsid w:val="00151156"/>
    <w:rsid w:val="00163BC4"/>
    <w:rsid w:val="00180052"/>
    <w:rsid w:val="00191062"/>
    <w:rsid w:val="00192B72"/>
    <w:rsid w:val="001A29D8"/>
    <w:rsid w:val="001A5CAA"/>
    <w:rsid w:val="001B0427"/>
    <w:rsid w:val="001D3A51"/>
    <w:rsid w:val="001E10D2"/>
    <w:rsid w:val="001E25B4"/>
    <w:rsid w:val="001E44FE"/>
    <w:rsid w:val="001E4EF9"/>
    <w:rsid w:val="00200595"/>
    <w:rsid w:val="00204835"/>
    <w:rsid w:val="00231920"/>
    <w:rsid w:val="0023195C"/>
    <w:rsid w:val="0024282C"/>
    <w:rsid w:val="002460DC"/>
    <w:rsid w:val="00250985"/>
    <w:rsid w:val="00251253"/>
    <w:rsid w:val="002556F6"/>
    <w:rsid w:val="00283105"/>
    <w:rsid w:val="00284C4C"/>
    <w:rsid w:val="00287E68"/>
    <w:rsid w:val="00296529"/>
    <w:rsid w:val="002B27FB"/>
    <w:rsid w:val="002B685A"/>
    <w:rsid w:val="002C57D2"/>
    <w:rsid w:val="002E0D56"/>
    <w:rsid w:val="002E2C02"/>
    <w:rsid w:val="00315186"/>
    <w:rsid w:val="0033343E"/>
    <w:rsid w:val="003512C2"/>
    <w:rsid w:val="00363353"/>
    <w:rsid w:val="00371FB6"/>
    <w:rsid w:val="003763C1"/>
    <w:rsid w:val="00376BBE"/>
    <w:rsid w:val="0039224F"/>
    <w:rsid w:val="00393AC1"/>
    <w:rsid w:val="003A43A4"/>
    <w:rsid w:val="003A7E18"/>
    <w:rsid w:val="003B59D0"/>
    <w:rsid w:val="003C4C86"/>
    <w:rsid w:val="003C6258"/>
    <w:rsid w:val="003C6A7C"/>
    <w:rsid w:val="003E1A35"/>
    <w:rsid w:val="003E2904"/>
    <w:rsid w:val="00401927"/>
    <w:rsid w:val="0040248F"/>
    <w:rsid w:val="0041027F"/>
    <w:rsid w:val="00412475"/>
    <w:rsid w:val="00423789"/>
    <w:rsid w:val="00440F43"/>
    <w:rsid w:val="00441B6F"/>
    <w:rsid w:val="00445A40"/>
    <w:rsid w:val="00446221"/>
    <w:rsid w:val="00450E62"/>
    <w:rsid w:val="004539DB"/>
    <w:rsid w:val="00471A80"/>
    <w:rsid w:val="00485EE5"/>
    <w:rsid w:val="004B09D0"/>
    <w:rsid w:val="004D305E"/>
    <w:rsid w:val="004D4277"/>
    <w:rsid w:val="004F439E"/>
    <w:rsid w:val="00502516"/>
    <w:rsid w:val="00505F06"/>
    <w:rsid w:val="00506828"/>
    <w:rsid w:val="0051294F"/>
    <w:rsid w:val="0053056E"/>
    <w:rsid w:val="00554FDA"/>
    <w:rsid w:val="00573833"/>
    <w:rsid w:val="005A2F6C"/>
    <w:rsid w:val="005C3781"/>
    <w:rsid w:val="005C784C"/>
    <w:rsid w:val="005D17F6"/>
    <w:rsid w:val="005E5539"/>
    <w:rsid w:val="00602BF5"/>
    <w:rsid w:val="00617FDD"/>
    <w:rsid w:val="00633614"/>
    <w:rsid w:val="00633F68"/>
    <w:rsid w:val="00636EB2"/>
    <w:rsid w:val="006375B8"/>
    <w:rsid w:val="0066510A"/>
    <w:rsid w:val="00673F9F"/>
    <w:rsid w:val="00681E4E"/>
    <w:rsid w:val="00686953"/>
    <w:rsid w:val="00687DEA"/>
    <w:rsid w:val="00687E67"/>
    <w:rsid w:val="006967F7"/>
    <w:rsid w:val="006A084F"/>
    <w:rsid w:val="006A250C"/>
    <w:rsid w:val="006B21D3"/>
    <w:rsid w:val="006B57D0"/>
    <w:rsid w:val="006C0D21"/>
    <w:rsid w:val="006C7B21"/>
    <w:rsid w:val="006D30FF"/>
    <w:rsid w:val="006D6940"/>
    <w:rsid w:val="006F11EC"/>
    <w:rsid w:val="006F5C11"/>
    <w:rsid w:val="0070082C"/>
    <w:rsid w:val="007369E6"/>
    <w:rsid w:val="00746E59"/>
    <w:rsid w:val="00754C9A"/>
    <w:rsid w:val="0075599A"/>
    <w:rsid w:val="00761D52"/>
    <w:rsid w:val="0077749E"/>
    <w:rsid w:val="00790ADA"/>
    <w:rsid w:val="007940D6"/>
    <w:rsid w:val="007D2288"/>
    <w:rsid w:val="007E088F"/>
    <w:rsid w:val="007F7B32"/>
    <w:rsid w:val="00804BC2"/>
    <w:rsid w:val="00811CBA"/>
    <w:rsid w:val="0081431A"/>
    <w:rsid w:val="0083216F"/>
    <w:rsid w:val="00860000"/>
    <w:rsid w:val="00863BD3"/>
    <w:rsid w:val="008641ED"/>
    <w:rsid w:val="00866D66"/>
    <w:rsid w:val="008671C6"/>
    <w:rsid w:val="00875803"/>
    <w:rsid w:val="00875848"/>
    <w:rsid w:val="008B459E"/>
    <w:rsid w:val="008E13AE"/>
    <w:rsid w:val="008E1506"/>
    <w:rsid w:val="008E710C"/>
    <w:rsid w:val="008F69D6"/>
    <w:rsid w:val="00902823"/>
    <w:rsid w:val="00915CA6"/>
    <w:rsid w:val="009230FE"/>
    <w:rsid w:val="00927834"/>
    <w:rsid w:val="009317C7"/>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3EB"/>
    <w:rsid w:val="00A1134E"/>
    <w:rsid w:val="00A146FB"/>
    <w:rsid w:val="00A24E7E"/>
    <w:rsid w:val="00A258C3"/>
    <w:rsid w:val="00A347C0"/>
    <w:rsid w:val="00A51431"/>
    <w:rsid w:val="00A539AD"/>
    <w:rsid w:val="00A94063"/>
    <w:rsid w:val="00AA6219"/>
    <w:rsid w:val="00AA74E0"/>
    <w:rsid w:val="00AB703F"/>
    <w:rsid w:val="00AC1461"/>
    <w:rsid w:val="00AC28D5"/>
    <w:rsid w:val="00AC6BB8"/>
    <w:rsid w:val="00AE008F"/>
    <w:rsid w:val="00AF35CF"/>
    <w:rsid w:val="00B01FCD"/>
    <w:rsid w:val="00B1776C"/>
    <w:rsid w:val="00B33692"/>
    <w:rsid w:val="00B41B8C"/>
    <w:rsid w:val="00B52583"/>
    <w:rsid w:val="00B52896"/>
    <w:rsid w:val="00B95236"/>
    <w:rsid w:val="00B95B95"/>
    <w:rsid w:val="00B96BD9"/>
    <w:rsid w:val="00BA1B01"/>
    <w:rsid w:val="00BA2641"/>
    <w:rsid w:val="00BB37AA"/>
    <w:rsid w:val="00BC194D"/>
    <w:rsid w:val="00BC53A0"/>
    <w:rsid w:val="00BE62AD"/>
    <w:rsid w:val="00BF121F"/>
    <w:rsid w:val="00BF1F80"/>
    <w:rsid w:val="00BF3469"/>
    <w:rsid w:val="00C166EF"/>
    <w:rsid w:val="00C17EB0"/>
    <w:rsid w:val="00C27F5F"/>
    <w:rsid w:val="00C30A0F"/>
    <w:rsid w:val="00C37E61"/>
    <w:rsid w:val="00C51F55"/>
    <w:rsid w:val="00C53682"/>
    <w:rsid w:val="00C70F1B"/>
    <w:rsid w:val="00C71A47"/>
    <w:rsid w:val="00C7464C"/>
    <w:rsid w:val="00C764DB"/>
    <w:rsid w:val="00C85588"/>
    <w:rsid w:val="00CD38DF"/>
    <w:rsid w:val="00CD6755"/>
    <w:rsid w:val="00CD6856"/>
    <w:rsid w:val="00CE0089"/>
    <w:rsid w:val="00CE793C"/>
    <w:rsid w:val="00CF193C"/>
    <w:rsid w:val="00D173F1"/>
    <w:rsid w:val="00D25D99"/>
    <w:rsid w:val="00D3645A"/>
    <w:rsid w:val="00D74CB0"/>
    <w:rsid w:val="00D8295D"/>
    <w:rsid w:val="00DC2A65"/>
    <w:rsid w:val="00DC73D4"/>
    <w:rsid w:val="00DE15F0"/>
    <w:rsid w:val="00DE5663"/>
    <w:rsid w:val="00DE78AA"/>
    <w:rsid w:val="00E053D0"/>
    <w:rsid w:val="00E10B51"/>
    <w:rsid w:val="00E15994"/>
    <w:rsid w:val="00E25FBB"/>
    <w:rsid w:val="00E3114E"/>
    <w:rsid w:val="00E31A70"/>
    <w:rsid w:val="00E35B02"/>
    <w:rsid w:val="00E42DD4"/>
    <w:rsid w:val="00E514FD"/>
    <w:rsid w:val="00E66496"/>
    <w:rsid w:val="00E66B35"/>
    <w:rsid w:val="00E66E10"/>
    <w:rsid w:val="00E769F6"/>
    <w:rsid w:val="00E8407C"/>
    <w:rsid w:val="00E84F3C"/>
    <w:rsid w:val="00E86823"/>
    <w:rsid w:val="00EA012C"/>
    <w:rsid w:val="00EC6A55"/>
    <w:rsid w:val="00ED0288"/>
    <w:rsid w:val="00EE52CB"/>
    <w:rsid w:val="00EF156F"/>
    <w:rsid w:val="00EF581D"/>
    <w:rsid w:val="00EF7FD8"/>
    <w:rsid w:val="00F055F2"/>
    <w:rsid w:val="00F06F59"/>
    <w:rsid w:val="00F17988"/>
    <w:rsid w:val="00F41D57"/>
    <w:rsid w:val="00F469F0"/>
    <w:rsid w:val="00F53273"/>
    <w:rsid w:val="00F66E58"/>
    <w:rsid w:val="00F755E4"/>
    <w:rsid w:val="00F77D02"/>
    <w:rsid w:val="00F947B9"/>
    <w:rsid w:val="00FA4C5F"/>
    <w:rsid w:val="00FB3A86"/>
    <w:rsid w:val="00FC7C25"/>
    <w:rsid w:val="00FD14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97E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758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uthors">
    <w:name w:val="Authors"/>
    <w:basedOn w:val="Normal"/>
    <w:next w:val="Normal"/>
    <w:rsid w:val="003C6A7C"/>
    <w:pPr>
      <w:framePr w:w="9072" w:hSpace="187" w:vSpace="187" w:wrap="notBeside" w:vAnchor="text" w:hAnchor="page" w:xAlign="center" w:y="1"/>
      <w:autoSpaceDE w:val="0"/>
      <w:autoSpaceDN w:val="0"/>
      <w:spacing w:after="320"/>
      <w:jc w:val="center"/>
    </w:pPr>
    <w:rPr>
      <w:rFonts w:ascii="Times New Roman" w:hAnsi="Times New Roman"/>
      <w:sz w:val="22"/>
      <w:szCs w:val="22"/>
    </w:rPr>
  </w:style>
  <w:style w:type="character" w:customStyle="1" w:styleId="Heading3Char">
    <w:name w:val="Heading 3 Char"/>
    <w:basedOn w:val="DefaultParagraphFont"/>
    <w:link w:val="Heading3"/>
    <w:rsid w:val="008758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875848"/>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875848"/>
    <w:pPr>
      <w:spacing w:after="160" w:line="259" w:lineRule="auto"/>
      <w:ind w:left="720"/>
      <w:contextualSpacing/>
    </w:pPr>
    <w:rPr>
      <w:rFonts w:asciiTheme="minorHAnsi" w:eastAsiaTheme="minorHAnsi" w:hAnsiTheme="minorHAnsi" w:cstheme="minorBidi"/>
      <w:kern w:val="2"/>
      <w:sz w:val="22"/>
      <w:szCs w:val="22"/>
      <w:lang w:val="en-IN"/>
    </w:rPr>
  </w:style>
  <w:style w:type="table" w:styleId="TableGridLight">
    <w:name w:val="Grid Table Light"/>
    <w:basedOn w:val="TableNormal"/>
    <w:uiPriority w:val="40"/>
    <w:rsid w:val="008758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6A0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ademap.org?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eda.gov.in?utm_source=chatgp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498F4-0D74-4615-9832-903BD7DF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10</Pages>
  <Words>3550</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NiranjanReddyP-Manager-Business Develop &amp; Analyst-(Fert)-Bangalor-coromandel</cp:lastModifiedBy>
  <cp:revision>9</cp:revision>
  <cp:lastPrinted>1999-07-06T11:00:00Z</cp:lastPrinted>
  <dcterms:created xsi:type="dcterms:W3CDTF">2025-10-14T09:53:00Z</dcterms:created>
  <dcterms:modified xsi:type="dcterms:W3CDTF">2025-10-14T10:00:00Z</dcterms:modified>
</cp:coreProperties>
</file>