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49" w:rsidRPr="00F27E49" w:rsidRDefault="00F27E49" w:rsidP="00F27E49">
      <w:pPr>
        <w:jc w:val="both"/>
        <w:rPr>
          <w:rFonts w:ascii="Times New Roman" w:hAnsi="Times New Roman" w:cs="Times New Roman"/>
          <w:b/>
          <w:bCs/>
          <w:i/>
          <w:iCs/>
          <w:sz w:val="28"/>
          <w:szCs w:val="28"/>
          <w:u w:val="single"/>
        </w:rPr>
      </w:pPr>
      <w:r w:rsidRPr="00F27E49">
        <w:rPr>
          <w:rFonts w:ascii="Times New Roman" w:hAnsi="Times New Roman" w:cs="Times New Roman"/>
          <w:b/>
          <w:bCs/>
          <w:i/>
          <w:iCs/>
          <w:sz w:val="28"/>
          <w:szCs w:val="28"/>
          <w:u w:val="single"/>
        </w:rPr>
        <w:t>Original Research Article</w:t>
      </w:r>
    </w:p>
    <w:p w:rsidR="00F27E49" w:rsidRDefault="00F27E49" w:rsidP="00F51EAA">
      <w:pPr>
        <w:jc w:val="both"/>
        <w:rPr>
          <w:rFonts w:ascii="Times New Roman" w:hAnsi="Times New Roman" w:cs="Times New Roman"/>
          <w:b/>
          <w:bCs/>
          <w:sz w:val="28"/>
          <w:szCs w:val="28"/>
        </w:rPr>
      </w:pPr>
    </w:p>
    <w:p w:rsidR="00524FF0" w:rsidRPr="00F51EAA" w:rsidRDefault="00C54CE3" w:rsidP="00F51EAA">
      <w:pPr>
        <w:jc w:val="both"/>
        <w:rPr>
          <w:rFonts w:ascii="Times New Roman" w:hAnsi="Times New Roman" w:cs="Times New Roman"/>
          <w:b/>
          <w:bCs/>
          <w:sz w:val="28"/>
          <w:szCs w:val="28"/>
        </w:rPr>
      </w:pPr>
      <w:r w:rsidRPr="00F51EAA">
        <w:rPr>
          <w:rFonts w:ascii="Times New Roman" w:hAnsi="Times New Roman" w:cs="Times New Roman"/>
          <w:b/>
          <w:bCs/>
          <w:sz w:val="28"/>
          <w:szCs w:val="28"/>
        </w:rPr>
        <w:t>Influence of Tillage and Weed management</w:t>
      </w:r>
      <w:r w:rsidR="00C957DD" w:rsidRPr="00F51EAA">
        <w:rPr>
          <w:rFonts w:ascii="Times New Roman" w:hAnsi="Times New Roman" w:cs="Times New Roman"/>
          <w:b/>
          <w:bCs/>
          <w:sz w:val="28"/>
          <w:szCs w:val="28"/>
        </w:rPr>
        <w:t xml:space="preserve"> Practices</w:t>
      </w:r>
      <w:r w:rsidRPr="00F51EAA">
        <w:rPr>
          <w:rFonts w:ascii="Times New Roman" w:hAnsi="Times New Roman" w:cs="Times New Roman"/>
          <w:b/>
          <w:bCs/>
          <w:sz w:val="28"/>
          <w:szCs w:val="28"/>
        </w:rPr>
        <w:t xml:space="preserve"> on Growth Performance and Soil Nutrient Status of Wheat (</w:t>
      </w:r>
      <w:r w:rsidRPr="00F51EAA">
        <w:rPr>
          <w:rFonts w:ascii="Times New Roman" w:hAnsi="Times New Roman" w:cs="Times New Roman"/>
          <w:b/>
          <w:bCs/>
          <w:i/>
          <w:iCs/>
          <w:sz w:val="28"/>
          <w:szCs w:val="28"/>
        </w:rPr>
        <w:t>Triticum aestivum</w:t>
      </w:r>
      <w:r w:rsidRPr="00F51EAA">
        <w:rPr>
          <w:rFonts w:ascii="Times New Roman" w:hAnsi="Times New Roman" w:cs="Times New Roman"/>
          <w:b/>
          <w:bCs/>
          <w:sz w:val="28"/>
          <w:szCs w:val="28"/>
        </w:rPr>
        <w:t xml:space="preserve"> L.) in Central Plains of UP</w:t>
      </w:r>
    </w:p>
    <w:p w:rsidR="00B9653D" w:rsidRDefault="00B9653D" w:rsidP="00C957DD">
      <w:pPr>
        <w:spacing w:after="0"/>
        <w:jc w:val="center"/>
        <w:rPr>
          <w:rFonts w:ascii="Times New Roman" w:hAnsi="Times New Roman" w:cs="Times New Roman"/>
          <w:sz w:val="24"/>
          <w:szCs w:val="24"/>
        </w:rPr>
      </w:pPr>
    </w:p>
    <w:p w:rsidR="00060353" w:rsidRPr="0078498A" w:rsidRDefault="00060353" w:rsidP="00C957DD">
      <w:pPr>
        <w:spacing w:after="0"/>
        <w:jc w:val="center"/>
        <w:rPr>
          <w:rFonts w:ascii="Times New Roman" w:hAnsi="Times New Roman" w:cs="Times New Roman"/>
          <w:sz w:val="24"/>
          <w:szCs w:val="24"/>
        </w:rPr>
      </w:pPr>
    </w:p>
    <w:p w:rsidR="00C957DD" w:rsidRDefault="00C957DD" w:rsidP="00C957DD">
      <w:pPr>
        <w:jc w:val="center"/>
        <w:rPr>
          <w:rFonts w:ascii="Times New Roman" w:hAnsi="Times New Roman" w:cs="Times New Roman"/>
          <w:b/>
          <w:bCs/>
          <w:sz w:val="24"/>
          <w:szCs w:val="24"/>
        </w:rPr>
      </w:pPr>
      <w:r w:rsidRPr="003340A0">
        <w:rPr>
          <w:rFonts w:ascii="Times New Roman" w:hAnsi="Times New Roman" w:cs="Times New Roman"/>
          <w:b/>
          <w:bCs/>
          <w:sz w:val="24"/>
          <w:szCs w:val="24"/>
        </w:rPr>
        <w:t>Abstract</w:t>
      </w:r>
    </w:p>
    <w:p w:rsidR="00F32D72" w:rsidRDefault="00F6176B" w:rsidP="00AC5BA5">
      <w:pPr>
        <w:jc w:val="both"/>
        <w:rPr>
          <w:rFonts w:ascii="Times New Roman" w:hAnsi="Times New Roman" w:cs="Times New Roman"/>
          <w:sz w:val="24"/>
          <w:szCs w:val="24"/>
        </w:rPr>
      </w:pPr>
      <w:r w:rsidRPr="00F6176B">
        <w:rPr>
          <w:rFonts w:ascii="Times New Roman" w:hAnsi="Times New Roman" w:cs="Times New Roman"/>
          <w:sz w:val="24"/>
          <w:szCs w:val="24"/>
        </w:rPr>
        <w:t>Wheat productivity and soil health in the Indo-Gangetic Plains are increasingly challenged by intensive tillage practices and weed infestation, which degrade soil structure, reduce nu</w:t>
      </w:r>
      <w:r w:rsidR="00B51D37">
        <w:rPr>
          <w:rFonts w:ascii="Times New Roman" w:hAnsi="Times New Roman" w:cs="Times New Roman"/>
          <w:sz w:val="24"/>
          <w:szCs w:val="24"/>
        </w:rPr>
        <w:t xml:space="preserve">trient availability </w:t>
      </w:r>
      <w:r w:rsidRPr="00F6176B">
        <w:rPr>
          <w:rFonts w:ascii="Times New Roman" w:hAnsi="Times New Roman" w:cs="Times New Roman"/>
          <w:sz w:val="24"/>
          <w:szCs w:val="24"/>
        </w:rPr>
        <w:t xml:space="preserve">and lower yield sustainability. To address these challenges, the present investigation was conducted during two consecutive </w:t>
      </w:r>
      <w:r w:rsidRPr="00F6176B">
        <w:rPr>
          <w:rFonts w:ascii="Times New Roman" w:hAnsi="Times New Roman" w:cs="Times New Roman"/>
          <w:i/>
          <w:iCs/>
          <w:sz w:val="24"/>
          <w:szCs w:val="24"/>
        </w:rPr>
        <w:t>Rabi</w:t>
      </w:r>
      <w:r w:rsidRPr="00F6176B">
        <w:rPr>
          <w:rFonts w:ascii="Times New Roman" w:hAnsi="Times New Roman" w:cs="Times New Roman"/>
          <w:sz w:val="24"/>
          <w:szCs w:val="24"/>
        </w:rPr>
        <w:t xml:space="preserve"> (winter) seasons of 2022–23 and 2023–24 at the Students’ Instructional Farm, Chandra Shekhar Azad University of Agriculture and Technology, Kanpur (U.P.), to evaluate the effect of tillage and weed management practices on growth, yield, and soil properties of wheat</w:t>
      </w:r>
      <w:r>
        <w:t>.</w:t>
      </w:r>
      <w:r w:rsidRPr="007F51C9">
        <w:rPr>
          <w:rFonts w:ascii="Times New Roman" w:hAnsi="Times New Roman" w:cs="Times New Roman"/>
          <w:sz w:val="24"/>
          <w:szCs w:val="24"/>
        </w:rPr>
        <w:t xml:space="preserve"> The</w:t>
      </w:r>
      <w:r w:rsidR="007F51C9" w:rsidRPr="007F51C9">
        <w:rPr>
          <w:rFonts w:ascii="Times New Roman" w:hAnsi="Times New Roman" w:cs="Times New Roman"/>
          <w:sz w:val="24"/>
          <w:szCs w:val="24"/>
        </w:rPr>
        <w:t xml:space="preserve"> experiment was arranged in a split-plot design with three tillage practices in the main plots, viz., zero til</w:t>
      </w:r>
      <w:r w:rsidR="00B66DAC">
        <w:rPr>
          <w:rFonts w:ascii="Times New Roman" w:hAnsi="Times New Roman" w:cs="Times New Roman"/>
          <w:sz w:val="24"/>
          <w:szCs w:val="24"/>
        </w:rPr>
        <w:t xml:space="preserve">lage (T1), reduced tillage (T2) and conventional tillage (T3) </w:t>
      </w:r>
      <w:r w:rsidR="007F51C9" w:rsidRPr="007F51C9">
        <w:rPr>
          <w:rFonts w:ascii="Times New Roman" w:hAnsi="Times New Roman" w:cs="Times New Roman"/>
          <w:sz w:val="24"/>
          <w:szCs w:val="24"/>
        </w:rPr>
        <w:t>and six weed management practices in sub-plots, namely pyroxasulfone @ 120 g/ha as pre-emergence fb clodinafop-propargyl @ 60 g/ha at 35 DAS (W1), pendimethalin @ 1000 g/ha + metribuzin @ 210 g/ha as pre-emergence (W2), clodinafop-propargyl @ 60 g/ha + metsulfuron-methyl @ 4 g/ha at 35 DAS (W3), pinoxaden @ 50 g/ha + carfentrazone-ethyl @ 20 g/ha at 35</w:t>
      </w:r>
      <w:r w:rsidR="00B66DAC">
        <w:rPr>
          <w:rFonts w:ascii="Times New Roman" w:hAnsi="Times New Roman" w:cs="Times New Roman"/>
          <w:sz w:val="24"/>
          <w:szCs w:val="24"/>
        </w:rPr>
        <w:t xml:space="preserve"> DAS (W4), weed-free (W5)</w:t>
      </w:r>
      <w:r w:rsidR="007F51C9" w:rsidRPr="007F51C9">
        <w:rPr>
          <w:rFonts w:ascii="Times New Roman" w:hAnsi="Times New Roman" w:cs="Times New Roman"/>
          <w:sz w:val="24"/>
          <w:szCs w:val="24"/>
        </w:rPr>
        <w:t xml:space="preserve"> and weedy check (W6). Pooled results revealed that zero tillage recorded the highest dry matter accumulation (80.19, 455.76, 815.58 and 937.68 g m⁻² at 30, 60, 90 DAS and harvest, respectively), closely followed by reduced tillage, while conventional tillage was lowest. Similarly, maximum tiller number was observed under zero tillage (78.46 m⁻² at harvest), statistically </w:t>
      </w:r>
      <w:r w:rsidR="007F51C9" w:rsidRPr="00B66DAC">
        <w:rPr>
          <w:rFonts w:ascii="Times New Roman" w:hAnsi="Times New Roman" w:cs="Times New Roman"/>
          <w:i/>
          <w:iCs/>
          <w:sz w:val="24"/>
          <w:szCs w:val="24"/>
        </w:rPr>
        <w:t>at par</w:t>
      </w:r>
      <w:r w:rsidR="007F51C9" w:rsidRPr="007F51C9">
        <w:rPr>
          <w:rFonts w:ascii="Times New Roman" w:hAnsi="Times New Roman" w:cs="Times New Roman"/>
          <w:sz w:val="24"/>
          <w:szCs w:val="24"/>
        </w:rPr>
        <w:t xml:space="preserve"> with reduced tillage. Among weed management, weed-free (973.56 g m⁻² dry matter and 83.03 tillers m⁻²) was superior, comparable with clodinafop + metsulfuron and pinoxaden + carfentrazone, whereas weedy check remained inferior. Soil fertility improved under zero tillage and weed-free conditions with higher organic carbon (0.515–0.530%) and nutrient availability, while bulk density was lowest (1.47–1.52 g cc⁻¹). Overall, zero tillage combined with effective herbicides enhanced crop growth, yield attributes, and soil properties, highlighting its potential for sustainable wheat production.</w:t>
      </w:r>
    </w:p>
    <w:p w:rsidR="007F51C9" w:rsidRDefault="00F32D72" w:rsidP="00AC5BA5">
      <w:pPr>
        <w:jc w:val="both"/>
        <w:rPr>
          <w:i/>
          <w:iCs/>
        </w:rPr>
      </w:pPr>
      <w:r w:rsidRPr="00F32D72">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32D72">
        <w:rPr>
          <w:rFonts w:ascii="Times New Roman" w:hAnsi="Times New Roman" w:cs="Times New Roman"/>
          <w:i/>
          <w:iCs/>
          <w:sz w:val="24"/>
          <w:szCs w:val="24"/>
        </w:rPr>
        <w:t>Reduced tillage, Tillage practices,</w:t>
      </w:r>
      <w:r>
        <w:t xml:space="preserve">Bulk density, </w:t>
      </w:r>
      <w:r w:rsidRPr="00F32D72">
        <w:rPr>
          <w:i/>
          <w:iCs/>
        </w:rPr>
        <w:t>Soil properties, Organic carbon</w:t>
      </w:r>
    </w:p>
    <w:p w:rsidR="00F32D72" w:rsidRDefault="00F32D72" w:rsidP="00AC5BA5">
      <w:pPr>
        <w:jc w:val="both"/>
        <w:rPr>
          <w:i/>
          <w:iCs/>
        </w:rPr>
      </w:pPr>
    </w:p>
    <w:p w:rsidR="00F32D72" w:rsidRDefault="00F32D72" w:rsidP="00F32D72">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B70E9A">
        <w:rPr>
          <w:rFonts w:ascii="Times New Roman" w:hAnsi="Times New Roman" w:cs="Times New Roman"/>
          <w:b/>
          <w:bCs/>
          <w:sz w:val="24"/>
          <w:szCs w:val="24"/>
        </w:rPr>
        <w:t>Introduction</w:t>
      </w:r>
    </w:p>
    <w:p w:rsidR="00F32D72" w:rsidRDefault="00404A4A" w:rsidP="00A12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w:t>
      </w:r>
      <w:r w:rsidRPr="00404A4A">
        <w:rPr>
          <w:rFonts w:ascii="Times New Roman" w:hAnsi="Times New Roman" w:cs="Times New Roman"/>
          <w:sz w:val="24"/>
          <w:szCs w:val="24"/>
        </w:rPr>
        <w:t xml:space="preserve">heat </w:t>
      </w:r>
      <w:r>
        <w:rPr>
          <w:rFonts w:ascii="Times New Roman" w:hAnsi="Times New Roman" w:cs="Times New Roman"/>
          <w:sz w:val="24"/>
          <w:szCs w:val="24"/>
        </w:rPr>
        <w:t>(</w:t>
      </w:r>
      <w:r w:rsidRPr="00404A4A">
        <w:rPr>
          <w:rFonts w:ascii="Times New Roman" w:hAnsi="Times New Roman" w:cs="Times New Roman"/>
          <w:i/>
          <w:iCs/>
          <w:sz w:val="24"/>
          <w:szCs w:val="24"/>
        </w:rPr>
        <w:t>Triticum aestivum</w:t>
      </w:r>
      <w:r w:rsidRPr="00404A4A">
        <w:rPr>
          <w:rFonts w:ascii="Times New Roman" w:hAnsi="Times New Roman" w:cs="Times New Roman"/>
          <w:sz w:val="24"/>
          <w:szCs w:val="24"/>
        </w:rPr>
        <w:t xml:space="preserve"> L</w:t>
      </w:r>
      <w:r>
        <w:rPr>
          <w:rFonts w:ascii="Times New Roman" w:hAnsi="Times New Roman" w:cs="Times New Roman"/>
          <w:sz w:val="24"/>
          <w:szCs w:val="24"/>
        </w:rPr>
        <w:t>.)</w:t>
      </w:r>
      <w:r w:rsidRPr="00404A4A">
        <w:rPr>
          <w:rFonts w:ascii="Times New Roman" w:hAnsi="Times New Roman" w:cs="Times New Roman"/>
          <w:sz w:val="24"/>
          <w:szCs w:val="24"/>
        </w:rPr>
        <w:t xml:space="preserve"> is the second most vital cereal crop that flourishes in India and is second after rice. </w:t>
      </w:r>
      <w:r w:rsidRPr="00F72DAF">
        <w:rPr>
          <w:rFonts w:ascii="Times New Roman" w:hAnsi="Times New Roman" w:cs="Times New Roman"/>
          <w:sz w:val="24"/>
          <w:szCs w:val="24"/>
        </w:rPr>
        <w:t>It occupies an area of 214.3 m ha worldwide, with producti</w:t>
      </w:r>
      <w:r>
        <w:rPr>
          <w:rFonts w:ascii="Times New Roman" w:hAnsi="Times New Roman" w:cs="Times New Roman"/>
          <w:sz w:val="24"/>
          <w:szCs w:val="24"/>
        </w:rPr>
        <w:t>on and productivity of 787</w:t>
      </w:r>
      <w:r w:rsidRPr="00F72DAF">
        <w:rPr>
          <w:rFonts w:ascii="Times New Roman" w:hAnsi="Times New Roman" w:cs="Times New Roman"/>
          <w:sz w:val="24"/>
          <w:szCs w:val="24"/>
        </w:rPr>
        <w:t xml:space="preserve">.0 mt and 3425.5 kg/ha, respectively </w:t>
      </w:r>
      <w:r w:rsidRPr="00F72DAF">
        <w:rPr>
          <w:rFonts w:ascii="Times New Roman" w:hAnsi="Times New Roman" w:cs="Times New Roman"/>
          <w:b/>
          <w:bCs/>
          <w:sz w:val="24"/>
          <w:szCs w:val="24"/>
        </w:rPr>
        <w:t>(FAO STAT, 2024)</w:t>
      </w:r>
      <w:r w:rsidRPr="00F72DAF">
        <w:rPr>
          <w:rFonts w:ascii="Times New Roman" w:hAnsi="Times New Roman" w:cs="Times New Roman"/>
          <w:sz w:val="24"/>
          <w:szCs w:val="24"/>
        </w:rPr>
        <w:t xml:space="preserve">. In India, it is grown an area of 31.40 m ha with an annual production of 113.92 mt and an average productivity of 3600 kg ha-1 </w:t>
      </w:r>
      <w:r w:rsidRPr="00F72DAF">
        <w:rPr>
          <w:rFonts w:ascii="Times New Roman" w:hAnsi="Times New Roman" w:cs="Times New Roman"/>
          <w:b/>
          <w:bCs/>
          <w:sz w:val="24"/>
          <w:szCs w:val="24"/>
        </w:rPr>
        <w:t>(Anonymous, 2024).</w:t>
      </w:r>
      <w:r w:rsidR="00E27C82" w:rsidRPr="00512635">
        <w:rPr>
          <w:rFonts w:ascii="Times New Roman" w:hAnsi="Times New Roman" w:cs="Times New Roman"/>
          <w:sz w:val="24"/>
          <w:szCs w:val="24"/>
        </w:rPr>
        <w:t xml:space="preserve">Wheat continues to dominate the rice-wheat cropping system in the north Indian plains. According to studies conducted over the last decade, the sustainability of the rice-wheat system in the northern plains has been jeopardized primarily due to declining groundwater levels, soil organic matter content and nutrient availability, increased soil salinization, pest and disease incidence, and other factors. Weeds, among other production factors, pose a serious threat to wheat productivity. Weeds compete with crops for water, nutrients, and other growth factors </w:t>
      </w:r>
      <w:r w:rsidR="00E27C82" w:rsidRPr="00233D9E">
        <w:rPr>
          <w:rFonts w:ascii="Times New Roman" w:hAnsi="Times New Roman" w:cs="Times New Roman"/>
          <w:b/>
          <w:bCs/>
          <w:sz w:val="24"/>
          <w:szCs w:val="24"/>
        </w:rPr>
        <w:t xml:space="preserve">(Khokhar and Nepalia, 2010; Najwa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2012),</w:t>
      </w:r>
      <w:r w:rsidR="00E27C82" w:rsidRPr="00512635">
        <w:rPr>
          <w:rFonts w:ascii="Times New Roman" w:hAnsi="Times New Roman" w:cs="Times New Roman"/>
          <w:sz w:val="24"/>
          <w:szCs w:val="24"/>
        </w:rPr>
        <w:t xml:space="preserve"> and in the absence of effective control measures, weeds remove a significant amount of available nutrients and water, resulting in higher yield loss and severe conditions under water scarcity </w:t>
      </w:r>
      <w:r w:rsidR="00E27C82" w:rsidRPr="00233D9E">
        <w:rPr>
          <w:rFonts w:ascii="Times New Roman" w:hAnsi="Times New Roman" w:cs="Times New Roman"/>
          <w:b/>
          <w:bCs/>
          <w:sz w:val="24"/>
          <w:szCs w:val="24"/>
        </w:rPr>
        <w:t xml:space="preserve">(Singh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2009 and Sharma and Singh, 2011</w:t>
      </w:r>
      <w:r w:rsidR="00E27C82" w:rsidRPr="00AF153D">
        <w:rPr>
          <w:rFonts w:ascii="Times New Roman" w:hAnsi="Times New Roman" w:cs="Times New Roman"/>
          <w:b/>
          <w:bCs/>
          <w:sz w:val="24"/>
          <w:szCs w:val="24"/>
        </w:rPr>
        <w:t>)</w:t>
      </w:r>
      <w:r w:rsidR="00E27C82" w:rsidRPr="00AF153D">
        <w:rPr>
          <w:rFonts w:ascii="Times New Roman" w:hAnsi="Times New Roman" w:cs="Times New Roman"/>
          <w:sz w:val="24"/>
          <w:szCs w:val="24"/>
        </w:rPr>
        <w:t>.</w:t>
      </w:r>
      <w:r w:rsidR="00AF153D" w:rsidRPr="003C5D70">
        <w:rPr>
          <w:rFonts w:ascii="Times New Roman" w:hAnsi="Times New Roman" w:cs="Times New Roman"/>
          <w:sz w:val="24"/>
          <w:szCs w:val="24"/>
        </w:rPr>
        <w:t xml:space="preserve">Weed infestation puts wheat crops under intense competition by vying for essential resources like water, nutrients, sunlight, and physical space </w:t>
      </w:r>
      <w:r w:rsidR="00AF153D" w:rsidRPr="003C5D70">
        <w:rPr>
          <w:rFonts w:ascii="Times New Roman" w:hAnsi="Times New Roman" w:cs="Times New Roman"/>
          <w:b/>
          <w:bCs/>
          <w:sz w:val="24"/>
          <w:szCs w:val="24"/>
        </w:rPr>
        <w:t xml:space="preserve">(Jeet </w:t>
      </w:r>
      <w:r w:rsidR="00AF153D" w:rsidRPr="0057714B">
        <w:rPr>
          <w:rFonts w:ascii="Times New Roman" w:hAnsi="Times New Roman" w:cs="Times New Roman"/>
          <w:b/>
          <w:bCs/>
          <w:i/>
          <w:iCs/>
          <w:sz w:val="24"/>
          <w:szCs w:val="24"/>
        </w:rPr>
        <w:t>et al</w:t>
      </w:r>
      <w:r w:rsidR="00AF153D" w:rsidRPr="003C5D70">
        <w:rPr>
          <w:rFonts w:ascii="Times New Roman" w:hAnsi="Times New Roman" w:cs="Times New Roman"/>
          <w:b/>
          <w:bCs/>
          <w:sz w:val="24"/>
          <w:szCs w:val="24"/>
        </w:rPr>
        <w:t>., 2010</w:t>
      </w:r>
      <w:r w:rsidR="00A12397">
        <w:rPr>
          <w:rFonts w:ascii="Times New Roman" w:hAnsi="Times New Roman" w:cs="Times New Roman"/>
          <w:b/>
          <w:bCs/>
          <w:sz w:val="24"/>
          <w:szCs w:val="24"/>
        </w:rPr>
        <w:t>).</w:t>
      </w:r>
      <w:r w:rsidR="00AF153D" w:rsidRPr="00AF153D">
        <w:rPr>
          <w:rFonts w:ascii="Times New Roman" w:hAnsi="Times New Roman" w:cs="Times New Roman"/>
          <w:sz w:val="24"/>
          <w:szCs w:val="24"/>
        </w:rPr>
        <w:t xml:space="preserve"> Conservation tillage includes practices like zero, minimum, and no-till farming that aim to reduce soil disturbance and keep crop residues on the soil surface. This helps maintain soil organic matter, improves soil structure, saves time and cost in sowing, and supports environmental sustainability—making it an eco-friendly and cost-effective farming method.Tillage aims to improve soil physical condition to support optimal plant growth and yield. However, excessive tillage can harm soil health by degrading structure, disrupting pores, and removing protective residues</w:t>
      </w:r>
      <w:r w:rsidR="00AF153D" w:rsidRPr="0057714B">
        <w:rPr>
          <w:rFonts w:ascii="Times New Roman" w:hAnsi="Times New Roman" w:cs="Times New Roman"/>
          <w:b/>
          <w:bCs/>
          <w:sz w:val="24"/>
          <w:szCs w:val="24"/>
        </w:rPr>
        <w:t xml:space="preserve">(Qamar </w:t>
      </w:r>
      <w:r w:rsidR="00AF153D" w:rsidRPr="0057714B">
        <w:rPr>
          <w:rFonts w:ascii="Times New Roman" w:hAnsi="Times New Roman" w:cs="Times New Roman"/>
          <w:b/>
          <w:bCs/>
          <w:i/>
          <w:iCs/>
          <w:sz w:val="24"/>
          <w:szCs w:val="24"/>
        </w:rPr>
        <w:t>et al</w:t>
      </w:r>
      <w:r w:rsidR="00AF153D" w:rsidRPr="0057714B">
        <w:rPr>
          <w:rFonts w:ascii="Times New Roman" w:hAnsi="Times New Roman" w:cs="Times New Roman"/>
          <w:b/>
          <w:bCs/>
          <w:sz w:val="24"/>
          <w:szCs w:val="24"/>
        </w:rPr>
        <w:t>., 2021).</w:t>
      </w:r>
    </w:p>
    <w:p w:rsidR="00A12397" w:rsidRDefault="00A12397" w:rsidP="00A12397">
      <w:pPr>
        <w:spacing w:line="360" w:lineRule="auto"/>
        <w:jc w:val="both"/>
        <w:rPr>
          <w:rFonts w:ascii="Times New Roman" w:eastAsia="Times New Roman" w:hAnsi="Times New Roman" w:cs="Times New Roman"/>
          <w:b/>
          <w:bCs/>
          <w:sz w:val="24"/>
          <w:szCs w:val="24"/>
          <w:lang w:bidi="hi-IN"/>
        </w:rPr>
      </w:pPr>
      <w:r w:rsidRPr="00A12397">
        <w:rPr>
          <w:rFonts w:ascii="Times New Roman" w:hAnsi="Times New Roman" w:cs="Times New Roman"/>
          <w:b/>
          <w:bCs/>
          <w:sz w:val="24"/>
          <w:szCs w:val="24"/>
        </w:rPr>
        <w:t>2.</w:t>
      </w:r>
      <w:r w:rsidRPr="007C6663">
        <w:rPr>
          <w:rFonts w:ascii="Times New Roman" w:eastAsia="Times New Roman" w:hAnsi="Times New Roman" w:cs="Times New Roman"/>
          <w:b/>
          <w:bCs/>
          <w:sz w:val="24"/>
          <w:szCs w:val="24"/>
          <w:lang w:bidi="hi-IN"/>
        </w:rPr>
        <w:t>Materials and Methods</w:t>
      </w:r>
    </w:p>
    <w:p w:rsidR="00A12397" w:rsidRDefault="00A12397" w:rsidP="00A12397">
      <w:pPr>
        <w:spacing w:line="360" w:lineRule="auto"/>
        <w:jc w:val="both"/>
        <w:rPr>
          <w:rFonts w:ascii="Times New Roman" w:hAnsi="Times New Roman" w:cs="Times New Roman"/>
          <w:sz w:val="24"/>
          <w:szCs w:val="24"/>
        </w:rPr>
      </w:pPr>
      <w:r w:rsidRPr="00B63E46">
        <w:rPr>
          <w:rFonts w:ascii="Times New Roman" w:hAnsi="Times New Roman" w:cs="Times New Roman"/>
          <w:sz w:val="24"/>
          <w:szCs w:val="24"/>
        </w:rPr>
        <w:t xml:space="preserve">The Experiment was conducted during two consecutive </w:t>
      </w:r>
      <w:r w:rsidRPr="00B63E46">
        <w:rPr>
          <w:rFonts w:ascii="Times New Roman" w:hAnsi="Times New Roman" w:cs="Times New Roman"/>
          <w:i/>
          <w:iCs/>
          <w:sz w:val="24"/>
          <w:szCs w:val="24"/>
        </w:rPr>
        <w:t xml:space="preserve">Rabi </w:t>
      </w:r>
      <w:r w:rsidRPr="00B63E46">
        <w:rPr>
          <w:rFonts w:ascii="Times New Roman" w:hAnsi="Times New Roman" w:cs="Times New Roman"/>
          <w:sz w:val="24"/>
          <w:szCs w:val="24"/>
        </w:rPr>
        <w:t>(winter) seasons of 2022-23 and 2023-24 at Students Instructional Farm of Chandra Shekhar Azad University of Agriculture and Technology, Kanpur (U.P.).</w:t>
      </w:r>
      <w:r w:rsidRPr="00045D74">
        <w:rPr>
          <w:rFonts w:ascii="Times New Roman" w:hAnsi="Times New Roman" w:cs="Times New Roman"/>
          <w:sz w:val="24"/>
          <w:szCs w:val="24"/>
        </w:rPr>
        <w:t>Geographically, Kanpur is situated in subtropical region. It is situated at an elevation of 125.9 meter above mean sea level 26º20" 35" North latitude and 80º18'35" East longitude. It is situated in the alluvial belt of Indo-Gangetic Plain in th</w:t>
      </w:r>
      <w:r>
        <w:rPr>
          <w:rFonts w:ascii="Times New Roman" w:hAnsi="Times New Roman" w:cs="Times New Roman"/>
          <w:sz w:val="24"/>
          <w:szCs w:val="24"/>
        </w:rPr>
        <w:t>e Central part of Uttar Pradesh. The</w:t>
      </w:r>
      <w:r w:rsidRPr="00654AF0">
        <w:rPr>
          <w:rFonts w:ascii="Times New Roman" w:hAnsi="Times New Roman" w:cs="Times New Roman"/>
          <w:sz w:val="24"/>
          <w:szCs w:val="24"/>
        </w:rPr>
        <w:t xml:space="preserve"> experimental soil </w:t>
      </w:r>
      <w:r>
        <w:rPr>
          <w:rFonts w:ascii="Times New Roman" w:hAnsi="Times New Roman" w:cs="Times New Roman"/>
          <w:sz w:val="24"/>
          <w:szCs w:val="24"/>
        </w:rPr>
        <w:t xml:space="preserve">plot </w:t>
      </w:r>
      <w:r w:rsidRPr="00654AF0">
        <w:rPr>
          <w:rFonts w:ascii="Times New Roman" w:hAnsi="Times New Roman" w:cs="Times New Roman"/>
          <w:sz w:val="24"/>
          <w:szCs w:val="24"/>
        </w:rPr>
        <w:t xml:space="preserve">was sandy loam having </w:t>
      </w:r>
      <w:r>
        <w:rPr>
          <w:rFonts w:ascii="Times New Roman" w:hAnsi="Times New Roman" w:cs="Times New Roman"/>
          <w:sz w:val="24"/>
          <w:szCs w:val="24"/>
        </w:rPr>
        <w:t xml:space="preserve">0.45% organic carbon, </w:t>
      </w:r>
      <w:r w:rsidRPr="007C6663">
        <w:rPr>
          <w:rFonts w:ascii="Times New Roman" w:hAnsi="Times New Roman" w:cs="Times New Roman"/>
          <w:sz w:val="24"/>
          <w:szCs w:val="24"/>
        </w:rPr>
        <w:t>172.2</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N, </w:t>
      </w:r>
      <w:r w:rsidRPr="007C6663">
        <w:rPr>
          <w:rFonts w:ascii="Times New Roman" w:hAnsi="Times New Roman" w:cs="Times New Roman"/>
          <w:sz w:val="24"/>
          <w:szCs w:val="24"/>
        </w:rPr>
        <w:t>12.80</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P, </w:t>
      </w:r>
      <w:r w:rsidRPr="007C6663">
        <w:rPr>
          <w:rFonts w:ascii="Times New Roman" w:hAnsi="Times New Roman" w:cs="Times New Roman"/>
          <w:sz w:val="24"/>
          <w:szCs w:val="24"/>
        </w:rPr>
        <w:t>156.4</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K, </w:t>
      </w:r>
      <w:r w:rsidRPr="007C6663">
        <w:rPr>
          <w:rFonts w:ascii="Times New Roman" w:hAnsi="Times New Roman" w:cs="Times New Roman"/>
          <w:sz w:val="24"/>
          <w:szCs w:val="24"/>
        </w:rPr>
        <w:t>0.547</w:t>
      </w:r>
      <w:r w:rsidRPr="00E84558">
        <w:rPr>
          <w:rFonts w:ascii="Times New Roman" w:hAnsi="Times New Roman" w:cs="Times New Roman"/>
          <w:sz w:val="24"/>
          <w:szCs w:val="24"/>
        </w:rPr>
        <w:t>(mg kg</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available Zn, </w:t>
      </w:r>
      <w:r w:rsidRPr="007C6663">
        <w:rPr>
          <w:rFonts w:ascii="Times New Roman" w:hAnsi="Times New Roman" w:cs="Times New Roman"/>
          <w:sz w:val="24"/>
          <w:szCs w:val="24"/>
        </w:rPr>
        <w:t>15.67</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Sulphar. In both years, to assess the most suitable wheat variety for e</w:t>
      </w:r>
      <w:r w:rsidRPr="007C6663">
        <w:rPr>
          <w:rFonts w:ascii="Times New Roman" w:hAnsi="Times New Roman" w:cs="Times New Roman"/>
          <w:sz w:val="24"/>
          <w:szCs w:val="24"/>
        </w:rPr>
        <w:t>val</w:t>
      </w:r>
      <w:r>
        <w:rPr>
          <w:rFonts w:ascii="Times New Roman" w:hAnsi="Times New Roman" w:cs="Times New Roman"/>
          <w:sz w:val="24"/>
          <w:szCs w:val="24"/>
        </w:rPr>
        <w:t>uation of different tillage and weed management practices on growth indices</w:t>
      </w:r>
      <w:r w:rsidRPr="007C6663">
        <w:rPr>
          <w:rFonts w:ascii="Times New Roman" w:hAnsi="Times New Roman" w:cs="Times New Roman"/>
          <w:sz w:val="24"/>
          <w:szCs w:val="24"/>
        </w:rPr>
        <w:t xml:space="preserve"> of Wheat</w:t>
      </w:r>
      <w:r>
        <w:rPr>
          <w:rFonts w:ascii="Times New Roman" w:hAnsi="Times New Roman" w:cs="Times New Roman"/>
          <w:sz w:val="24"/>
          <w:szCs w:val="24"/>
        </w:rPr>
        <w:t>.</w:t>
      </w:r>
      <w:r w:rsidRPr="00B63E46">
        <w:rPr>
          <w:rFonts w:ascii="Times New Roman" w:hAnsi="Times New Roman" w:cs="Times New Roman"/>
          <w:sz w:val="24"/>
          <w:szCs w:val="24"/>
        </w:rPr>
        <w:t>The experiment was laid out in a split-plot design with three tillage practices in the main plots, viz., Zero tillage (T</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Reduced tillage (T</w:t>
      </w:r>
      <w:r w:rsidRPr="00B63E46">
        <w:rPr>
          <w:rFonts w:ascii="Times New Roman" w:hAnsi="Times New Roman" w:cs="Times New Roman"/>
          <w:sz w:val="24"/>
          <w:szCs w:val="24"/>
          <w:vertAlign w:val="subscript"/>
        </w:rPr>
        <w:t>2</w:t>
      </w:r>
      <w:r w:rsidRPr="00B63E46">
        <w:rPr>
          <w:rFonts w:ascii="Times New Roman" w:hAnsi="Times New Roman" w:cs="Times New Roman"/>
          <w:sz w:val="24"/>
          <w:szCs w:val="24"/>
        </w:rPr>
        <w:t>), and Conventional tillage (T</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Pendimethalin @ 1000 g/ha + Metribuzin @ 210 g/ha as pre-emergence (W2), Clodinafop-propargyl @ 60 g/ha + Metsulfuron-methyl @ 4 g/ha as post-emergence at 35 DAS (W</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Pinoxaden @ 50 g/ha + Carfentrazone-ethyl @ 20 g/ha as post-emergence at 35 DAS (W</w:t>
      </w:r>
      <w:r w:rsidRPr="00B63E46">
        <w:rPr>
          <w:rFonts w:ascii="Times New Roman" w:hAnsi="Times New Roman" w:cs="Times New Roman"/>
          <w:sz w:val="24"/>
          <w:szCs w:val="24"/>
          <w:vertAlign w:val="subscript"/>
        </w:rPr>
        <w:t>4</w:t>
      </w:r>
      <w:r w:rsidRPr="00B63E46">
        <w:rPr>
          <w:rFonts w:ascii="Times New Roman" w:hAnsi="Times New Roman" w:cs="Times New Roman"/>
          <w:sz w:val="24"/>
          <w:szCs w:val="24"/>
        </w:rPr>
        <w:t>),Weed free (W</w:t>
      </w:r>
      <w:r w:rsidRPr="00B63E46">
        <w:rPr>
          <w:rFonts w:ascii="Times New Roman" w:hAnsi="Times New Roman" w:cs="Times New Roman"/>
          <w:sz w:val="24"/>
          <w:szCs w:val="24"/>
          <w:vertAlign w:val="subscript"/>
        </w:rPr>
        <w:t>5</w:t>
      </w:r>
      <w:r w:rsidRPr="00B63E46">
        <w:rPr>
          <w:rFonts w:ascii="Times New Roman" w:hAnsi="Times New Roman" w:cs="Times New Roman"/>
          <w:sz w:val="24"/>
          <w:szCs w:val="24"/>
        </w:rPr>
        <w:t>), and Weedy check (Control) (W</w:t>
      </w:r>
      <w:r w:rsidRPr="00B63E46">
        <w:rPr>
          <w:rFonts w:ascii="Times New Roman" w:hAnsi="Times New Roman" w:cs="Times New Roman"/>
          <w:sz w:val="24"/>
          <w:szCs w:val="24"/>
          <w:vertAlign w:val="subscript"/>
        </w:rPr>
        <w:t>6</w:t>
      </w:r>
      <w:r w:rsidRPr="00B63E46">
        <w:rPr>
          <w:rFonts w:ascii="Times New Roman" w:hAnsi="Times New Roman" w:cs="Times New Roman"/>
          <w:sz w:val="24"/>
          <w:szCs w:val="24"/>
        </w:rPr>
        <w:t>).</w:t>
      </w:r>
    </w:p>
    <w:p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44542E">
        <w:rPr>
          <w:rFonts w:ascii="Times New Roman" w:hAnsi="Times New Roman" w:cs="Times New Roman"/>
          <w:b/>
          <w:bCs/>
          <w:sz w:val="24"/>
          <w:szCs w:val="24"/>
        </w:rPr>
        <w:t>Number of tillers (m</w:t>
      </w:r>
      <w:r w:rsidRPr="0044542E">
        <w:rPr>
          <w:rFonts w:ascii="Times New Roman" w:hAnsi="Times New Roman" w:cs="Times New Roman"/>
          <w:b/>
          <w:bCs/>
          <w:sz w:val="24"/>
          <w:szCs w:val="24"/>
          <w:vertAlign w:val="superscript"/>
        </w:rPr>
        <w:t>-2</w:t>
      </w:r>
      <w:r w:rsidRPr="0044542E">
        <w:rPr>
          <w:rFonts w:ascii="Times New Roman" w:hAnsi="Times New Roman" w:cs="Times New Roman"/>
          <w:b/>
          <w:bCs/>
          <w:sz w:val="24"/>
          <w:szCs w:val="24"/>
        </w:rPr>
        <w:t>)</w:t>
      </w:r>
    </w:p>
    <w:p w:rsidR="00A12397" w:rsidRDefault="00A12397" w:rsidP="00A12397">
      <w:pPr>
        <w:jc w:val="both"/>
        <w:rPr>
          <w:rFonts w:ascii="Times New Roman" w:hAnsi="Times New Roman" w:cs="Times New Roman"/>
          <w:sz w:val="24"/>
          <w:szCs w:val="24"/>
        </w:rPr>
      </w:pPr>
      <w:r w:rsidRPr="00997072">
        <w:rPr>
          <w:rFonts w:ascii="Times New Roman" w:hAnsi="Times New Roman" w:cs="Times New Roman"/>
          <w:sz w:val="24"/>
          <w:szCs w:val="24"/>
        </w:rPr>
        <w:t>Total number of tillers per square meter was counted from three places in each plot at 30, 60, and 90 days after sowing and at harvest and finally average number of tillers was worked out.</w:t>
      </w:r>
    </w:p>
    <w:p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2.2.</w:t>
      </w:r>
      <w:r w:rsidRPr="00E82B64">
        <w:rPr>
          <w:rFonts w:ascii="Times New Roman" w:hAnsi="Times New Roman" w:cs="Times New Roman"/>
          <w:b/>
          <w:bCs/>
          <w:sz w:val="24"/>
          <w:szCs w:val="24"/>
        </w:rPr>
        <w:t xml:space="preserve"> Dry matter accumulation (g m</w:t>
      </w:r>
      <w:r w:rsidRPr="00E82B64">
        <w:rPr>
          <w:rFonts w:ascii="Times New Roman" w:hAnsi="Times New Roman" w:cs="Times New Roman"/>
          <w:b/>
          <w:bCs/>
          <w:sz w:val="24"/>
          <w:szCs w:val="24"/>
          <w:vertAlign w:val="superscript"/>
        </w:rPr>
        <w:t>-2</w:t>
      </w:r>
      <w:r w:rsidRPr="00E82B64">
        <w:rPr>
          <w:rFonts w:ascii="Times New Roman" w:hAnsi="Times New Roman" w:cs="Times New Roman"/>
          <w:b/>
          <w:bCs/>
          <w:sz w:val="24"/>
          <w:szCs w:val="24"/>
        </w:rPr>
        <w:t>)</w:t>
      </w:r>
    </w:p>
    <w:p w:rsidR="00A12397" w:rsidRDefault="00A12397" w:rsidP="00A12397">
      <w:pPr>
        <w:jc w:val="both"/>
        <w:rPr>
          <w:rFonts w:ascii="Times New Roman" w:hAnsi="Times New Roman" w:cs="Times New Roman"/>
          <w:sz w:val="24"/>
          <w:szCs w:val="24"/>
        </w:rPr>
      </w:pPr>
      <w:r>
        <w:rPr>
          <w:rFonts w:ascii="Times New Roman" w:hAnsi="Times New Roman" w:cs="Times New Roman"/>
          <w:b/>
          <w:bCs/>
          <w:sz w:val="24"/>
          <w:szCs w:val="24"/>
        </w:rPr>
        <w:tab/>
      </w:r>
      <w:r w:rsidRPr="00E82B64">
        <w:rPr>
          <w:rFonts w:ascii="Times New Roman" w:hAnsi="Times New Roman" w:cs="Times New Roman"/>
          <w:sz w:val="24"/>
          <w:szCs w:val="24"/>
        </w:rPr>
        <w:t>Plants per square meter were selected randomly at 30, 60 and 90 DAS and at harvest and they were cut close to the ground surface. Plants were sun dried and collected individually in paper bags after cutting into small pieces. After sun drying, these samples were put in electrical oven at 600C till the constant dry weight was achieved and weighing with the help of electronic balance and then converted in to g m</w:t>
      </w:r>
      <w:r w:rsidRPr="00E82B64">
        <w:rPr>
          <w:rFonts w:ascii="Times New Roman" w:hAnsi="Times New Roman" w:cs="Times New Roman"/>
          <w:sz w:val="24"/>
          <w:szCs w:val="24"/>
          <w:vertAlign w:val="superscript"/>
        </w:rPr>
        <w:t>-2</w:t>
      </w:r>
      <w:r>
        <w:rPr>
          <w:rFonts w:ascii="Times New Roman" w:hAnsi="Times New Roman" w:cs="Times New Roman"/>
          <w:sz w:val="24"/>
          <w:szCs w:val="24"/>
        </w:rPr>
        <w:t>.</w:t>
      </w:r>
    </w:p>
    <w:p w:rsidR="00CB2E4B" w:rsidRPr="0058400D"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8400D">
        <w:rPr>
          <w:rFonts w:ascii="Times New Roman" w:hAnsi="Times New Roman" w:cs="Times New Roman"/>
          <w:b/>
          <w:bCs/>
          <w:sz w:val="24"/>
          <w:szCs w:val="24"/>
        </w:rPr>
        <w:t>Chemical Analysis:</w:t>
      </w:r>
    </w:p>
    <w:p w:rsidR="00CB2E4B" w:rsidRDefault="00CB2E4B" w:rsidP="00CB2E4B">
      <w:pPr>
        <w:spacing w:line="360" w:lineRule="auto"/>
        <w:ind w:firstLine="720"/>
        <w:jc w:val="both"/>
        <w:rPr>
          <w:rFonts w:ascii="Times New Roman" w:hAnsi="Times New Roman" w:cs="Times New Roman"/>
          <w:sz w:val="24"/>
          <w:szCs w:val="24"/>
        </w:rPr>
      </w:pPr>
      <w:r w:rsidRPr="0058400D">
        <w:rPr>
          <w:rFonts w:ascii="Times New Roman" w:hAnsi="Times New Roman" w:cs="Times New Roman"/>
          <w:sz w:val="24"/>
          <w:szCs w:val="24"/>
        </w:rPr>
        <w:t xml:space="preserve"> The original soil sample used in mechanical analysis was also analyzed for available Nitrogen, Phosphorus, Potash, Sulphar and Zinc as well as for Organic Carbon, Soil pH, Electrical Conductivity (EC) by t</w:t>
      </w:r>
      <w:r>
        <w:rPr>
          <w:rFonts w:ascii="Times New Roman" w:hAnsi="Times New Roman" w:cs="Times New Roman"/>
          <w:sz w:val="24"/>
          <w:szCs w:val="24"/>
        </w:rPr>
        <w:t>he method indicated in Table 1</w:t>
      </w:r>
      <w:r w:rsidRPr="0058400D">
        <w:rPr>
          <w:rFonts w:ascii="Times New Roman" w:hAnsi="Times New Roman" w:cs="Times New Roman"/>
          <w:sz w:val="24"/>
          <w:szCs w:val="24"/>
        </w:rPr>
        <w:t>.</w:t>
      </w:r>
    </w:p>
    <w:p w:rsidR="00F7312F" w:rsidRDefault="00CB2E4B" w:rsidP="00CB2E4B">
      <w:pPr>
        <w:spacing w:line="360" w:lineRule="auto"/>
        <w:jc w:val="both"/>
        <w:rPr>
          <w:rFonts w:ascii="Times New Roman" w:hAnsi="Times New Roman" w:cs="Times New Roman"/>
          <w:b/>
          <w:bCs/>
          <w:sz w:val="24"/>
          <w:szCs w:val="24"/>
        </w:rPr>
      </w:pPr>
      <w:r w:rsidRPr="00CB2E4B">
        <w:rPr>
          <w:rFonts w:ascii="Times New Roman" w:hAnsi="Times New Roman" w:cs="Times New Roman"/>
          <w:b/>
          <w:bCs/>
          <w:sz w:val="24"/>
          <w:szCs w:val="24"/>
        </w:rPr>
        <w:t>2.3.1 Organic Carbon</w:t>
      </w:r>
    </w:p>
    <w:p w:rsidR="00CB2E4B"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organic carbon content of the soil was found to be </w:t>
      </w:r>
      <w:r w:rsidRPr="00F7312F">
        <w:rPr>
          <w:rStyle w:val="Strong"/>
          <w:rFonts w:ascii="Times New Roman" w:hAnsi="Times New Roman" w:cs="Times New Roman"/>
          <w:b w:val="0"/>
          <w:bCs w:val="0"/>
          <w:sz w:val="24"/>
          <w:szCs w:val="24"/>
        </w:rPr>
        <w:t>0.35%</w:t>
      </w:r>
      <w:r w:rsidRPr="00F7312F">
        <w:rPr>
          <w:rFonts w:ascii="Times New Roman" w:hAnsi="Times New Roman" w:cs="Times New Roman"/>
          <w:sz w:val="24"/>
          <w:szCs w:val="24"/>
        </w:rPr>
        <w:t xml:space="preserve"> determined using the </w:t>
      </w:r>
      <w:r w:rsidRPr="00F7312F">
        <w:rPr>
          <w:rStyle w:val="Strong"/>
          <w:rFonts w:ascii="Times New Roman" w:hAnsi="Times New Roman" w:cs="Times New Roman"/>
          <w:b w:val="0"/>
          <w:bCs w:val="0"/>
          <w:sz w:val="24"/>
          <w:szCs w:val="24"/>
        </w:rPr>
        <w:t>Walkley and Black (1934)</w:t>
      </w:r>
      <w:r w:rsidRPr="00F7312F">
        <w:rPr>
          <w:rFonts w:ascii="Times New Roman" w:hAnsi="Times New Roman" w:cs="Times New Roman"/>
          <w:sz w:val="24"/>
          <w:szCs w:val="24"/>
        </w:rPr>
        <w:t xml:space="preserve">wet oxidation method. According to standard ratings, this value indicates </w:t>
      </w:r>
      <w:r w:rsidRPr="00F7312F">
        <w:rPr>
          <w:rStyle w:val="Strong"/>
          <w:rFonts w:ascii="Times New Roman" w:hAnsi="Times New Roman" w:cs="Times New Roman"/>
          <w:b w:val="0"/>
          <w:bCs w:val="0"/>
          <w:sz w:val="24"/>
          <w:szCs w:val="24"/>
        </w:rPr>
        <w:t>low organic matter status</w:t>
      </w:r>
      <w:r w:rsidRPr="00F7312F">
        <w:rPr>
          <w:rFonts w:ascii="Times New Roman" w:hAnsi="Times New Roman" w:cs="Times New Roman"/>
          <w:sz w:val="24"/>
          <w:szCs w:val="24"/>
        </w:rPr>
        <w:t>, suggesting poor soil fertility and limited microbial activity.</w:t>
      </w:r>
    </w:p>
    <w:p w:rsidR="00F7312F" w:rsidRDefault="00F7312F" w:rsidP="00CB2E4B">
      <w:pPr>
        <w:spacing w:line="360" w:lineRule="auto"/>
        <w:jc w:val="both"/>
        <w:rPr>
          <w:rFonts w:ascii="Times New Roman" w:hAnsi="Times New Roman" w:cs="Times New Roman"/>
          <w:sz w:val="24"/>
          <w:szCs w:val="24"/>
        </w:rPr>
      </w:pPr>
    </w:p>
    <w:p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lastRenderedPageBreak/>
        <w:t>2.3.2 Electrical Conductivity (E.C.) (mmhos cm⁻¹ at 25°C)</w:t>
      </w:r>
    </w:p>
    <w:p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w:t>
      </w:r>
      <w:r w:rsidRPr="00F7312F">
        <w:rPr>
          <w:rStyle w:val="Strong"/>
          <w:rFonts w:ascii="Times New Roman" w:hAnsi="Times New Roman" w:cs="Times New Roman"/>
          <w:b w:val="0"/>
          <w:bCs w:val="0"/>
          <w:sz w:val="24"/>
          <w:szCs w:val="24"/>
        </w:rPr>
        <w:t>E.C. value (0.31 mmhos cm⁻¹)</w:t>
      </w:r>
      <w:r w:rsidRPr="00F7312F">
        <w:rPr>
          <w:rFonts w:ascii="Times New Roman" w:hAnsi="Times New Roman" w:cs="Times New Roman"/>
          <w:sz w:val="24"/>
          <w:szCs w:val="24"/>
        </w:rPr>
        <w:t xml:space="preserve"> was measured using a </w:t>
      </w:r>
      <w:r w:rsidRPr="00F7312F">
        <w:rPr>
          <w:rStyle w:val="Strong"/>
          <w:rFonts w:ascii="Times New Roman" w:hAnsi="Times New Roman" w:cs="Times New Roman"/>
          <w:b w:val="0"/>
          <w:bCs w:val="0"/>
          <w:sz w:val="24"/>
          <w:szCs w:val="24"/>
        </w:rPr>
        <w:t>conductivity meter (Black, 1965)</w:t>
      </w:r>
      <w:r w:rsidRPr="00F7312F">
        <w:rPr>
          <w:rFonts w:ascii="Times New Roman" w:hAnsi="Times New Roman" w:cs="Times New Roman"/>
          <w:b/>
          <w:bCs/>
          <w:sz w:val="24"/>
          <w:szCs w:val="24"/>
        </w:rPr>
        <w:t>.</w:t>
      </w:r>
      <w:r w:rsidRPr="00F7312F">
        <w:rPr>
          <w:rFonts w:ascii="Times New Roman" w:hAnsi="Times New Roman" w:cs="Times New Roman"/>
          <w:sz w:val="24"/>
          <w:szCs w:val="24"/>
        </w:rPr>
        <w:t xml:space="preserve"> The result shows </w:t>
      </w:r>
      <w:r w:rsidRPr="00F7312F">
        <w:rPr>
          <w:rStyle w:val="Strong"/>
          <w:rFonts w:ascii="Times New Roman" w:hAnsi="Times New Roman" w:cs="Times New Roman"/>
          <w:b w:val="0"/>
          <w:bCs w:val="0"/>
          <w:sz w:val="24"/>
          <w:szCs w:val="24"/>
        </w:rPr>
        <w:t>low salinity</w:t>
      </w:r>
      <w:r w:rsidRPr="00F7312F">
        <w:rPr>
          <w:rFonts w:ascii="Times New Roman" w:hAnsi="Times New Roman" w:cs="Times New Roman"/>
          <w:sz w:val="24"/>
          <w:szCs w:val="24"/>
        </w:rPr>
        <w:t xml:space="preserve">, indicating that the soil is </w:t>
      </w:r>
      <w:r w:rsidRPr="00F7312F">
        <w:rPr>
          <w:rStyle w:val="Strong"/>
          <w:rFonts w:ascii="Times New Roman" w:hAnsi="Times New Roman" w:cs="Times New Roman"/>
          <w:b w:val="0"/>
          <w:bCs w:val="0"/>
          <w:sz w:val="24"/>
          <w:szCs w:val="24"/>
        </w:rPr>
        <w:t>non-saline</w:t>
      </w:r>
      <w:r w:rsidRPr="00F7312F">
        <w:rPr>
          <w:rFonts w:ascii="Times New Roman" w:hAnsi="Times New Roman" w:cs="Times New Roman"/>
          <w:sz w:val="24"/>
          <w:szCs w:val="24"/>
        </w:rPr>
        <w:t>and suitable for normal crop growth.</w:t>
      </w:r>
    </w:p>
    <w:p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w:t>
      </w:r>
      <w:r>
        <w:rPr>
          <w:rFonts w:ascii="Times New Roman" w:hAnsi="Times New Roman" w:cs="Times New Roman"/>
          <w:b/>
          <w:bCs/>
          <w:sz w:val="24"/>
          <w:szCs w:val="24"/>
        </w:rPr>
        <w:t xml:space="preserve">3 </w:t>
      </w:r>
      <w:r w:rsidRPr="00F7312F">
        <w:rPr>
          <w:rFonts w:ascii="Times New Roman" w:hAnsi="Times New Roman" w:cs="Times New Roman"/>
          <w:b/>
          <w:bCs/>
          <w:sz w:val="24"/>
          <w:szCs w:val="24"/>
        </w:rPr>
        <w:t>Available Nitrogen (kg ha⁻¹)</w:t>
      </w:r>
    </w:p>
    <w:p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available nitrogen content was </w:t>
      </w:r>
      <w:r w:rsidRPr="00F7312F">
        <w:rPr>
          <w:rStyle w:val="Strong"/>
          <w:rFonts w:ascii="Times New Roman" w:hAnsi="Times New Roman" w:cs="Times New Roman"/>
          <w:b w:val="0"/>
          <w:bCs w:val="0"/>
          <w:sz w:val="24"/>
          <w:szCs w:val="24"/>
        </w:rPr>
        <w:t>172.2 kg ha⁻¹</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estimated by the </w:t>
      </w:r>
      <w:r w:rsidRPr="00F7312F">
        <w:rPr>
          <w:rStyle w:val="Strong"/>
          <w:rFonts w:ascii="Times New Roman" w:hAnsi="Times New Roman" w:cs="Times New Roman"/>
          <w:b w:val="0"/>
          <w:bCs w:val="0"/>
          <w:sz w:val="24"/>
          <w:szCs w:val="24"/>
        </w:rPr>
        <w:t>Subbiah and Asija (1956)</w:t>
      </w:r>
      <w:r w:rsidRPr="00F7312F">
        <w:rPr>
          <w:rFonts w:ascii="Times New Roman" w:hAnsi="Times New Roman" w:cs="Times New Roman"/>
          <w:sz w:val="24"/>
          <w:szCs w:val="24"/>
        </w:rPr>
        <w:t xml:space="preserve"> alkaline permanganate method. The nitrogen level falls in the </w:t>
      </w:r>
      <w:r w:rsidRPr="00F7312F">
        <w:rPr>
          <w:rStyle w:val="Strong"/>
          <w:rFonts w:ascii="Times New Roman" w:hAnsi="Times New Roman" w:cs="Times New Roman"/>
          <w:b w:val="0"/>
          <w:bCs w:val="0"/>
          <w:sz w:val="24"/>
          <w:szCs w:val="24"/>
        </w:rPr>
        <w:t>low range</w:t>
      </w:r>
      <w:r w:rsidRPr="00F7312F">
        <w:rPr>
          <w:rFonts w:ascii="Times New Roman" w:hAnsi="Times New Roman" w:cs="Times New Roman"/>
          <w:sz w:val="24"/>
          <w:szCs w:val="24"/>
        </w:rPr>
        <w:t>, reflecting a need for external nitrogen supplementation for optimum crop production.</w:t>
      </w:r>
    </w:p>
    <w:p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2.3.4 Available Phosphorus (kg ha⁻¹)</w:t>
      </w:r>
    </w:p>
    <w:p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soil contained </w:t>
      </w:r>
      <w:r w:rsidRPr="00F7312F">
        <w:rPr>
          <w:rStyle w:val="Strong"/>
          <w:rFonts w:ascii="Times New Roman" w:hAnsi="Times New Roman" w:cs="Times New Roman"/>
          <w:b w:val="0"/>
          <w:bCs w:val="0"/>
          <w:sz w:val="24"/>
          <w:szCs w:val="24"/>
        </w:rPr>
        <w:t>12.80 kg ha⁻¹ of available phosphorus</w:t>
      </w:r>
      <w:r w:rsidRPr="00F7312F">
        <w:rPr>
          <w:rFonts w:ascii="Times New Roman" w:hAnsi="Times New Roman" w:cs="Times New Roman"/>
          <w:sz w:val="24"/>
          <w:szCs w:val="24"/>
        </w:rPr>
        <w:t xml:space="preserve">, determined by the </w:t>
      </w:r>
      <w:r w:rsidRPr="00F7312F">
        <w:rPr>
          <w:rStyle w:val="Strong"/>
          <w:rFonts w:ascii="Times New Roman" w:hAnsi="Times New Roman" w:cs="Times New Roman"/>
          <w:b w:val="0"/>
          <w:bCs w:val="0"/>
          <w:sz w:val="24"/>
          <w:szCs w:val="24"/>
        </w:rPr>
        <w:t>Olsen’s method (Jackson, 1967)</w:t>
      </w:r>
      <w:r w:rsidRPr="00F7312F">
        <w:rPr>
          <w:rFonts w:ascii="Times New Roman" w:hAnsi="Times New Roman" w:cs="Times New Roman"/>
          <w:sz w:val="24"/>
          <w:szCs w:val="24"/>
        </w:rPr>
        <w:t xml:space="preserve">. The phosphorus level is categorized as </w:t>
      </w:r>
      <w:r w:rsidRPr="00F7312F">
        <w:rPr>
          <w:rStyle w:val="Strong"/>
          <w:rFonts w:ascii="Times New Roman" w:hAnsi="Times New Roman" w:cs="Times New Roman"/>
          <w:b w:val="0"/>
          <w:bCs w:val="0"/>
          <w:sz w:val="24"/>
          <w:szCs w:val="24"/>
        </w:rPr>
        <w:t>medium</w:t>
      </w:r>
      <w:r w:rsidRPr="00F7312F">
        <w:rPr>
          <w:rFonts w:ascii="Times New Roman" w:hAnsi="Times New Roman" w:cs="Times New Roman"/>
          <w:sz w:val="24"/>
          <w:szCs w:val="24"/>
        </w:rPr>
        <w:t>, indicating moderate availability for plant uptake.</w:t>
      </w:r>
    </w:p>
    <w:p w:rsidR="00F7312F" w:rsidRDefault="00F7312F" w:rsidP="00F731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2.3.5</w:t>
      </w:r>
      <w:r w:rsidRPr="00F7312F">
        <w:rPr>
          <w:rFonts w:ascii="Times New Roman" w:hAnsi="Times New Roman" w:cs="Times New Roman"/>
          <w:b/>
          <w:bCs/>
          <w:sz w:val="24"/>
          <w:szCs w:val="24"/>
        </w:rPr>
        <w:t xml:space="preserve"> Available Potassium(kg ha⁻¹)</w:t>
      </w:r>
    </w:p>
    <w:p w:rsidR="00F7312F" w:rsidRPr="00B51D37"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sz w:val="24"/>
          <w:szCs w:val="24"/>
        </w:rPr>
        <w:t xml:space="preserve">The </w:t>
      </w:r>
      <w:r w:rsidRPr="00F7312F">
        <w:rPr>
          <w:rStyle w:val="Strong"/>
          <w:rFonts w:ascii="Times New Roman" w:hAnsi="Times New Roman" w:cs="Times New Roman"/>
          <w:b w:val="0"/>
          <w:bCs w:val="0"/>
          <w:sz w:val="24"/>
          <w:szCs w:val="24"/>
        </w:rPr>
        <w:t>available potassium</w:t>
      </w:r>
      <w:r w:rsidRPr="00F7312F">
        <w:rPr>
          <w:rFonts w:ascii="Times New Roman" w:hAnsi="Times New Roman" w:cs="Times New Roman"/>
          <w:sz w:val="24"/>
          <w:szCs w:val="24"/>
        </w:rPr>
        <w:t xml:space="preserve"> was measured at </w:t>
      </w:r>
      <w:r w:rsidRPr="00F7312F">
        <w:rPr>
          <w:rStyle w:val="Strong"/>
          <w:rFonts w:ascii="Times New Roman" w:hAnsi="Times New Roman" w:cs="Times New Roman"/>
          <w:b w:val="0"/>
          <w:bCs w:val="0"/>
          <w:sz w:val="24"/>
          <w:szCs w:val="24"/>
        </w:rPr>
        <w:t>156.4 kg ha⁻¹</w:t>
      </w:r>
      <w:r w:rsidRPr="00F7312F">
        <w:rPr>
          <w:rFonts w:ascii="Times New Roman" w:hAnsi="Times New Roman" w:cs="Times New Roman"/>
          <w:sz w:val="24"/>
          <w:szCs w:val="24"/>
        </w:rPr>
        <w:t xml:space="preserve"> using the </w:t>
      </w:r>
      <w:r w:rsidRPr="00F7312F">
        <w:rPr>
          <w:rStyle w:val="Strong"/>
          <w:rFonts w:ascii="Times New Roman" w:hAnsi="Times New Roman" w:cs="Times New Roman"/>
          <w:b w:val="0"/>
          <w:bCs w:val="0"/>
          <w:sz w:val="24"/>
          <w:szCs w:val="24"/>
        </w:rPr>
        <w:t>flame photometric method (Jackson,1967)</w:t>
      </w:r>
      <w:r w:rsidRPr="00F7312F">
        <w:rPr>
          <w:rFonts w:ascii="Times New Roman" w:hAnsi="Times New Roman" w:cs="Times New Roman"/>
          <w:sz w:val="24"/>
          <w:szCs w:val="24"/>
        </w:rPr>
        <w:t xml:space="preserve">. This value also falls under the </w:t>
      </w:r>
      <w:r w:rsidRPr="00F7312F">
        <w:rPr>
          <w:rStyle w:val="Strong"/>
          <w:rFonts w:ascii="Times New Roman" w:hAnsi="Times New Roman" w:cs="Times New Roman"/>
          <w:b w:val="0"/>
          <w:bCs w:val="0"/>
          <w:sz w:val="24"/>
          <w:szCs w:val="24"/>
        </w:rPr>
        <w:t>medium range</w:t>
      </w:r>
      <w:r w:rsidRPr="00F7312F">
        <w:rPr>
          <w:rFonts w:ascii="Times New Roman" w:hAnsi="Times New Roman" w:cs="Times New Roman"/>
          <w:sz w:val="24"/>
          <w:szCs w:val="24"/>
        </w:rPr>
        <w:t>, sufficient for most cereal crops.</w:t>
      </w:r>
    </w:p>
    <w:p w:rsidR="00CB2E4B"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58400D">
        <w:rPr>
          <w:rFonts w:ascii="Times New Roman" w:hAnsi="Times New Roman" w:cs="Times New Roman"/>
          <w:b/>
          <w:bCs/>
          <w:sz w:val="24"/>
          <w:szCs w:val="24"/>
        </w:rPr>
        <w:t>: Chemical analysis of the soil</w:t>
      </w:r>
    </w:p>
    <w:tbl>
      <w:tblPr>
        <w:tblStyle w:val="TableGrid"/>
        <w:tblW w:w="9968" w:type="dxa"/>
        <w:jc w:val="center"/>
        <w:tblLayout w:type="fixed"/>
        <w:tblLook w:val="04A0"/>
      </w:tblPr>
      <w:tblGrid>
        <w:gridCol w:w="918"/>
        <w:gridCol w:w="3420"/>
        <w:gridCol w:w="1378"/>
        <w:gridCol w:w="3150"/>
        <w:gridCol w:w="1102"/>
      </w:tblGrid>
      <w:tr w:rsidR="00CB2E4B" w:rsidTr="00FF51E5">
        <w:trPr>
          <w:jc w:val="center"/>
        </w:trPr>
        <w:tc>
          <w:tcPr>
            <w:tcW w:w="91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3420" w:type="dxa"/>
          </w:tcPr>
          <w:p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Soil characteristics</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Value</w:t>
            </w:r>
            <w:r>
              <w:rPr>
                <w:rFonts w:ascii="Times New Roman" w:hAnsi="Times New Roman" w:cs="Times New Roman"/>
                <w:b/>
                <w:bCs/>
                <w:sz w:val="24"/>
                <w:szCs w:val="24"/>
              </w:rPr>
              <w:t>s</w:t>
            </w:r>
            <w:r w:rsidRPr="00654AF0">
              <w:rPr>
                <w:rFonts w:ascii="Times New Roman" w:hAnsi="Times New Roman" w:cs="Times New Roman"/>
                <w:b/>
                <w:bCs/>
                <w:sz w:val="24"/>
                <w:szCs w:val="24"/>
              </w:rPr>
              <w:t xml:space="preserve"> (%)</w:t>
            </w:r>
          </w:p>
        </w:tc>
        <w:tc>
          <w:tcPr>
            <w:tcW w:w="3150" w:type="dxa"/>
          </w:tcPr>
          <w:p w:rsidR="00CB2E4B" w:rsidRPr="0058400D"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 of </w:t>
            </w:r>
            <w:r w:rsidRPr="0058400D">
              <w:rPr>
                <w:rFonts w:ascii="Times New Roman" w:hAnsi="Times New Roman" w:cs="Times New Roman"/>
                <w:b/>
                <w:bCs/>
                <w:sz w:val="24"/>
                <w:szCs w:val="24"/>
              </w:rPr>
              <w:t>distribution</w:t>
            </w:r>
          </w:p>
        </w:tc>
        <w:tc>
          <w:tcPr>
            <w:tcW w:w="1102"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Remark</w:t>
            </w:r>
          </w:p>
        </w:tc>
      </w:tr>
      <w:tr w:rsidR="00CB2E4B" w:rsidTr="00FF51E5">
        <w:trPr>
          <w:jc w:val="center"/>
        </w:trPr>
        <w:tc>
          <w:tcPr>
            <w:tcW w:w="91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420" w:type="dxa"/>
          </w:tcPr>
          <w:p w:rsidR="00CB2E4B" w:rsidRPr="00B849EF" w:rsidRDefault="00CB2E4B" w:rsidP="00FF51E5">
            <w:pPr>
              <w:spacing w:line="360" w:lineRule="auto"/>
              <w:jc w:val="center"/>
              <w:rPr>
                <w:rFonts w:ascii="Times New Roman" w:hAnsi="Times New Roman" w:cs="Times New Roman"/>
                <w:sz w:val="24"/>
                <w:szCs w:val="24"/>
              </w:rPr>
            </w:pPr>
            <w:r w:rsidRPr="00B849EF">
              <w:rPr>
                <w:rFonts w:ascii="Times New Roman" w:hAnsi="Times New Roman" w:cs="Times New Roman"/>
                <w:sz w:val="24"/>
                <w:szCs w:val="24"/>
              </w:rPr>
              <w:t>Organic carbon (%)</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0.35</w:t>
            </w:r>
          </w:p>
        </w:tc>
        <w:tc>
          <w:tcPr>
            <w:tcW w:w="315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Walkley and Black (1934)</w:t>
            </w:r>
          </w:p>
        </w:tc>
        <w:tc>
          <w:tcPr>
            <w:tcW w:w="1102" w:type="dxa"/>
          </w:tcPr>
          <w:p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rsidTr="00FF51E5">
        <w:trPr>
          <w:jc w:val="center"/>
        </w:trPr>
        <w:tc>
          <w:tcPr>
            <w:tcW w:w="91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420" w:type="dxa"/>
          </w:tcPr>
          <w:p w:rsidR="00CB2E4B" w:rsidRPr="00B849EF" w:rsidRDefault="00CB2E4B" w:rsidP="00FF51E5">
            <w:pPr>
              <w:spacing w:line="360" w:lineRule="auto"/>
              <w:jc w:val="center"/>
              <w:rPr>
                <w:rFonts w:ascii="Times New Roman" w:hAnsi="Times New Roman" w:cs="Times New Roman"/>
                <w:b/>
                <w:bCs/>
                <w:sz w:val="24"/>
                <w:szCs w:val="24"/>
              </w:rPr>
            </w:pPr>
            <w:r w:rsidRPr="00B849EF">
              <w:rPr>
                <w:rFonts w:ascii="Times New Roman" w:hAnsi="Times New Roman" w:cs="Times New Roman"/>
                <w:sz w:val="24"/>
                <w:szCs w:val="24"/>
              </w:rPr>
              <w:t>E.C. (mm hos cm</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 xml:space="preserve"> at 25ºC)</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c>
          <w:tcPr>
            <w:tcW w:w="3150" w:type="dxa"/>
          </w:tcPr>
          <w:p w:rsidR="00CB2E4B" w:rsidRPr="00E84558"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Conductivity </w:t>
            </w:r>
            <w:r w:rsidRPr="00E84558">
              <w:rPr>
                <w:rFonts w:ascii="Times New Roman" w:hAnsi="Times New Roman" w:cs="Times New Roman"/>
                <w:sz w:val="24"/>
                <w:szCs w:val="24"/>
              </w:rPr>
              <w:t>meter (Black–</w:t>
            </w:r>
          </w:p>
          <w:p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1965)</w:t>
            </w:r>
          </w:p>
        </w:tc>
        <w:tc>
          <w:tcPr>
            <w:tcW w:w="1102" w:type="dxa"/>
          </w:tcPr>
          <w:p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rsidTr="00FF51E5">
        <w:trPr>
          <w:jc w:val="center"/>
        </w:trPr>
        <w:tc>
          <w:tcPr>
            <w:tcW w:w="91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420" w:type="dxa"/>
          </w:tcPr>
          <w:p w:rsidR="00CB2E4B" w:rsidRPr="00B849EF"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Available nitrogen</w:t>
            </w:r>
            <w:r w:rsidRPr="00B849EF">
              <w:rPr>
                <w:rFonts w:ascii="Times New Roman" w:hAnsi="Times New Roman" w:cs="Times New Roman"/>
                <w:sz w:val="24"/>
                <w:szCs w:val="24"/>
              </w:rPr>
              <w:t xml:space="preserve"> (kg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172.2</w:t>
            </w:r>
          </w:p>
        </w:tc>
        <w:tc>
          <w:tcPr>
            <w:tcW w:w="315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Subaid and Asija (1956)</w:t>
            </w:r>
          </w:p>
        </w:tc>
        <w:tc>
          <w:tcPr>
            <w:tcW w:w="1102" w:type="dxa"/>
          </w:tcPr>
          <w:p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rsidTr="00FF51E5">
        <w:trPr>
          <w:jc w:val="center"/>
        </w:trPr>
        <w:tc>
          <w:tcPr>
            <w:tcW w:w="91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42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phosphorus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12.80</w:t>
            </w:r>
          </w:p>
        </w:tc>
        <w:tc>
          <w:tcPr>
            <w:tcW w:w="315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rsidTr="00FF51E5">
        <w:trPr>
          <w:jc w:val="center"/>
        </w:trPr>
        <w:tc>
          <w:tcPr>
            <w:tcW w:w="91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42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potash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156.4</w:t>
            </w:r>
          </w:p>
        </w:tc>
        <w:tc>
          <w:tcPr>
            <w:tcW w:w="315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rsidTr="00FF51E5">
        <w:trPr>
          <w:jc w:val="center"/>
        </w:trPr>
        <w:tc>
          <w:tcPr>
            <w:tcW w:w="918" w:type="dxa"/>
          </w:tcPr>
          <w:p w:rsidR="00CB2E4B" w:rsidRDefault="00FF51E5"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CB2E4B">
              <w:rPr>
                <w:rFonts w:ascii="Times New Roman" w:hAnsi="Times New Roman" w:cs="Times New Roman"/>
                <w:b/>
                <w:bCs/>
                <w:sz w:val="24"/>
                <w:szCs w:val="24"/>
              </w:rPr>
              <w:t>.</w:t>
            </w:r>
          </w:p>
        </w:tc>
        <w:tc>
          <w:tcPr>
            <w:tcW w:w="342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Soil pH</w:t>
            </w:r>
          </w:p>
        </w:tc>
        <w:tc>
          <w:tcPr>
            <w:tcW w:w="1378" w:type="dxa"/>
          </w:tcPr>
          <w:p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7.71</w:t>
            </w:r>
          </w:p>
        </w:tc>
        <w:tc>
          <w:tcPr>
            <w:tcW w:w="3150" w:type="dxa"/>
          </w:tcPr>
          <w:p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Electrometric glass electrode</w:t>
            </w:r>
          </w:p>
          <w:p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method meter (Piper, 1950)</w:t>
            </w:r>
          </w:p>
        </w:tc>
        <w:tc>
          <w:tcPr>
            <w:tcW w:w="1102" w:type="dxa"/>
          </w:tcPr>
          <w:p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Slightly s</w:t>
            </w:r>
            <w:r>
              <w:rPr>
                <w:rFonts w:ascii="Times New Roman" w:hAnsi="Times New Roman" w:cs="Times New Roman"/>
                <w:sz w:val="24"/>
                <w:szCs w:val="24"/>
              </w:rPr>
              <w:t>a</w:t>
            </w:r>
            <w:r w:rsidRPr="00536C5C">
              <w:rPr>
                <w:rFonts w:ascii="Times New Roman" w:hAnsi="Times New Roman" w:cs="Times New Roman"/>
                <w:sz w:val="24"/>
                <w:szCs w:val="24"/>
              </w:rPr>
              <w:t>line</w:t>
            </w:r>
          </w:p>
        </w:tc>
      </w:tr>
    </w:tbl>
    <w:p w:rsidR="00D71C06" w:rsidRDefault="00D71C06" w:rsidP="00F7312F">
      <w:pPr>
        <w:jc w:val="both"/>
        <w:rPr>
          <w:rFonts w:ascii="Times New Roman" w:hAnsi="Times New Roman" w:cs="Times New Roman"/>
          <w:b/>
          <w:bCs/>
          <w:sz w:val="24"/>
          <w:szCs w:val="24"/>
        </w:rPr>
      </w:pPr>
    </w:p>
    <w:p w:rsidR="0083290A" w:rsidRDefault="0083290A" w:rsidP="00F7312F">
      <w:pPr>
        <w:jc w:val="both"/>
        <w:rPr>
          <w:rFonts w:ascii="Times New Roman" w:hAnsi="Times New Roman" w:cs="Times New Roman"/>
          <w:b/>
          <w:bCs/>
          <w:sz w:val="24"/>
          <w:szCs w:val="24"/>
        </w:rPr>
      </w:pPr>
      <w:r w:rsidRPr="0083290A">
        <w:rPr>
          <w:rFonts w:ascii="Times New Roman" w:hAnsi="Times New Roman" w:cs="Times New Roman"/>
          <w:b/>
          <w:bCs/>
          <w:noProof/>
          <w:sz w:val="24"/>
          <w:szCs w:val="24"/>
          <w:lang w:bidi="hi-IN"/>
        </w:rPr>
        <w:lastRenderedPageBreak/>
        <w:drawing>
          <wp:inline distT="0" distB="0" distL="0" distR="0">
            <wp:extent cx="5905500" cy="189547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290A" w:rsidRDefault="0083290A" w:rsidP="0083290A">
      <w:pPr>
        <w:jc w:val="center"/>
        <w:rPr>
          <w:rFonts w:ascii="Times New Roman" w:hAnsi="Times New Roman" w:cs="Times New Roman"/>
          <w:b/>
          <w:bCs/>
          <w:sz w:val="24"/>
          <w:szCs w:val="24"/>
        </w:rPr>
      </w:pPr>
      <w:r>
        <w:rPr>
          <w:rFonts w:ascii="Times New Roman" w:hAnsi="Times New Roman" w:cs="Times New Roman"/>
          <w:b/>
          <w:bCs/>
          <w:sz w:val="24"/>
          <w:szCs w:val="24"/>
        </w:rPr>
        <w:t xml:space="preserve">Fig.1 Annual rainfall during </w:t>
      </w:r>
      <w:r w:rsidR="008033B1">
        <w:rPr>
          <w:rFonts w:ascii="Times New Roman" w:hAnsi="Times New Roman" w:cs="Times New Roman"/>
          <w:b/>
          <w:bCs/>
          <w:sz w:val="24"/>
          <w:szCs w:val="24"/>
        </w:rPr>
        <w:t xml:space="preserve">both </w:t>
      </w:r>
      <w:r>
        <w:rPr>
          <w:rFonts w:ascii="Times New Roman" w:hAnsi="Times New Roman" w:cs="Times New Roman"/>
          <w:b/>
          <w:bCs/>
          <w:sz w:val="24"/>
          <w:szCs w:val="24"/>
        </w:rPr>
        <w:t>experimental year</w:t>
      </w:r>
    </w:p>
    <w:p w:rsidR="00F7312F" w:rsidRDefault="00F7312F" w:rsidP="00F7312F">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125C5A">
        <w:rPr>
          <w:rFonts w:ascii="Times New Roman" w:hAnsi="Times New Roman" w:cs="Times New Roman"/>
          <w:b/>
          <w:bCs/>
          <w:sz w:val="24"/>
          <w:szCs w:val="24"/>
        </w:rPr>
        <w:t>Statistical Analysis</w:t>
      </w:r>
    </w:p>
    <w:p w:rsidR="0059010D" w:rsidRDefault="00F7312F" w:rsidP="00F7312F">
      <w:pPr>
        <w:jc w:val="both"/>
        <w:rPr>
          <w:rFonts w:ascii="Times New Roman" w:hAnsi="Times New Roman" w:cs="Times New Roman"/>
          <w:sz w:val="24"/>
          <w:szCs w:val="24"/>
        </w:rPr>
      </w:pPr>
      <w:r w:rsidRPr="00125C5A">
        <w:rPr>
          <w:rFonts w:ascii="Times New Roman" w:hAnsi="Times New Roman" w:cs="Times New Roman"/>
          <w:sz w:val="24"/>
          <w:szCs w:val="24"/>
        </w:rPr>
        <w:t>The statistical analysis of the data was carried out using OPSTAT software.</w:t>
      </w:r>
    </w:p>
    <w:p w:rsidR="00F7312F" w:rsidRDefault="00F7312F" w:rsidP="00F7312F">
      <w:pPr>
        <w:jc w:val="both"/>
        <w:rPr>
          <w:rFonts w:ascii="Times New Roman" w:hAnsi="Times New Roman" w:cs="Times New Roman"/>
          <w:b/>
          <w:bCs/>
          <w:sz w:val="24"/>
          <w:szCs w:val="24"/>
        </w:rPr>
      </w:pPr>
      <w:r w:rsidRPr="00125C5A">
        <w:rPr>
          <w:rFonts w:ascii="Times New Roman" w:hAnsi="Times New Roman" w:cs="Times New Roman"/>
          <w:b/>
          <w:bCs/>
          <w:sz w:val="24"/>
          <w:szCs w:val="24"/>
        </w:rPr>
        <w:t>3. Results and Discussions</w:t>
      </w:r>
    </w:p>
    <w:p w:rsidR="00F7312F" w:rsidRDefault="00F7312F" w:rsidP="00F7312F">
      <w:pPr>
        <w:tabs>
          <w:tab w:val="left" w:pos="-540"/>
        </w:tabs>
        <w:rPr>
          <w:rFonts w:ascii="Times New Roman" w:hAnsi="Times New Roman" w:cs="Times New Roman"/>
          <w:b/>
          <w:bCs/>
          <w:sz w:val="24"/>
          <w:szCs w:val="24"/>
        </w:rPr>
      </w:pPr>
      <w:r>
        <w:rPr>
          <w:rFonts w:ascii="Times New Roman" w:hAnsi="Times New Roman" w:cs="Times New Roman"/>
          <w:b/>
          <w:bCs/>
          <w:sz w:val="24"/>
          <w:szCs w:val="24"/>
        </w:rPr>
        <w:t>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rsidR="00F7312F" w:rsidRPr="00971B5D" w:rsidRDefault="00F7312F" w:rsidP="0083290A">
      <w:pPr>
        <w:tabs>
          <w:tab w:val="left" w:pos="-540"/>
        </w:tabs>
        <w:jc w:val="both"/>
        <w:rPr>
          <w:rFonts w:ascii="Times New Roman" w:hAnsi="Times New Roman" w:cs="Times New Roman"/>
          <w:color w:val="18181B"/>
          <w:sz w:val="24"/>
          <w:szCs w:val="24"/>
          <w:shd w:val="clear" w:color="auto" w:fill="FFFFFF"/>
        </w:rPr>
      </w:pPr>
      <w:r w:rsidRPr="00EB5475">
        <w:rPr>
          <w:rFonts w:ascii="Times New Roman" w:hAnsi="Times New Roman" w:cs="Times New Roman"/>
          <w:sz w:val="24"/>
          <w:szCs w:val="24"/>
        </w:rPr>
        <w:t xml:space="preserve">The data pertaining to </w:t>
      </w:r>
      <w:r w:rsidR="00EB5475" w:rsidRPr="00EB5475">
        <w:rPr>
          <w:rFonts w:ascii="Times New Roman" w:hAnsi="Times New Roman" w:cs="Times New Roman"/>
          <w:sz w:val="24"/>
          <w:szCs w:val="24"/>
        </w:rPr>
        <w:t>number of tillers (m</w:t>
      </w:r>
      <w:r w:rsidR="00EB5475" w:rsidRPr="00EB5475">
        <w:rPr>
          <w:rFonts w:ascii="Times New Roman" w:hAnsi="Times New Roman" w:cs="Times New Roman"/>
          <w:sz w:val="24"/>
          <w:szCs w:val="24"/>
          <w:vertAlign w:val="superscript"/>
        </w:rPr>
        <w:t>-2</w:t>
      </w:r>
      <w:r w:rsidR="00EB5475" w:rsidRPr="00EB5475">
        <w:rPr>
          <w:rFonts w:ascii="Times New Roman" w:hAnsi="Times New Roman" w:cs="Times New Roman"/>
          <w:sz w:val="24"/>
          <w:szCs w:val="24"/>
        </w:rPr>
        <w:t>) presented in Table No.2.</w:t>
      </w:r>
      <w:r w:rsidRPr="00EB5475">
        <w:rPr>
          <w:rFonts w:ascii="Times New Roman" w:hAnsi="Times New Roman" w:cs="Times New Roman"/>
          <w:sz w:val="24"/>
          <w:szCs w:val="24"/>
        </w:rPr>
        <w:t xml:space="preserve"> The pooled data indicated that tillage practices exerted a significant influence on tiller production across all growth stages. Maximum number of tillers was recorded under zero tillage (64.85, 112.42, 80.15 and 78.46 m⁻² at 30, 60, 90 DAS and at harvest, respectively), which was statistically at par with reduced tillage (63.73, 111.11, 79.27 and 77.01 m⁻², respectively) and significantly superior to conventional tillage (59.34, 102.43, 72.78 and 70.10 m⁻², respectively) at all the stages of crop growth.</w:t>
      </w:r>
      <w:r w:rsidR="0083290A" w:rsidRPr="0083290A">
        <w:rPr>
          <w:rFonts w:ascii="Times New Roman" w:hAnsi="Times New Roman" w:cs="Times New Roman"/>
          <w:sz w:val="24"/>
          <w:szCs w:val="24"/>
        </w:rPr>
        <w:t xml:space="preserve">Similar result was also reported by </w:t>
      </w:r>
      <w:r w:rsidR="008033B1" w:rsidRPr="00953C0E">
        <w:rPr>
          <w:rFonts w:ascii="Times New Roman" w:hAnsi="Times New Roman" w:cs="Times New Roman"/>
          <w:b/>
          <w:bCs/>
          <w:color w:val="18181B"/>
          <w:sz w:val="24"/>
          <w:szCs w:val="24"/>
          <w:shd w:val="clear" w:color="auto" w:fill="FFFFFF"/>
        </w:rPr>
        <w:t>Ahmed, A., &amp; Basir, A. (2023)</w:t>
      </w:r>
      <w:r w:rsidR="008033B1" w:rsidRPr="008033B1">
        <w:rPr>
          <w:rFonts w:ascii="Times New Roman" w:hAnsi="Times New Roman" w:cs="Times New Roman"/>
          <w:color w:val="18181B"/>
          <w:sz w:val="24"/>
          <w:szCs w:val="24"/>
          <w:shd w:val="clear" w:color="auto" w:fill="FFFFFF"/>
        </w:rPr>
        <w:t>.</w:t>
      </w:r>
      <w:r w:rsidR="0083290A" w:rsidRPr="0083290A">
        <w:rPr>
          <w:rFonts w:ascii="Times New Roman" w:hAnsi="Times New Roman" w:cs="Times New Roman"/>
          <w:sz w:val="24"/>
          <w:szCs w:val="24"/>
        </w:rPr>
        <w:t xml:space="preserve">that zero tillage was effective in increasing tiller because it has improved soil structure and conservation of moisture. </w:t>
      </w:r>
    </w:p>
    <w:p w:rsidR="00F7312F" w:rsidRDefault="00F7312F" w:rsidP="00270DA6">
      <w:pPr>
        <w:pStyle w:val="NormalWeb"/>
        <w:ind w:firstLine="720"/>
        <w:jc w:val="both"/>
      </w:pPr>
      <w:r>
        <w:t>Weed management practices had a significant influence on the number of tillers at different stages of crop growth. The highest number of tillers was consistently recorded under weed-free condition (69.59, 119.35, 85.36 and 83.03 m⁻² at 30, 60, 90 DAS and at harvest, respectively), which remained statistically at par with clodinafop + metsulfuron (67.83, 118.05, 84.46 and 81.79 m⁻², respectively) and pinoxaden + carfentrazone (66.58, 115.86, 82.05 and 80.17 m⁻², respectively) but significantly superior to other treatments. Among the herbicidal treatments, clodinafop + metsulfuron proved most effective and was comparable with pinoxaden + carfentrazone in improving tiller number. All weed management practices were significantly superior to the weedy check (46.75, 82.23, 58.34 and 56.45 m⁻², respectively), which consistently recorded the minimum tiller population throughout the crop growth stages. The interaction effect of tillage and weed management practices on number of tillers was found to be non-significant at all the stages of observation during both the years.</w:t>
      </w:r>
      <w:r w:rsidR="007F24B9">
        <w:t>Similar</w:t>
      </w:r>
      <w:r w:rsidR="008033B1" w:rsidRPr="0083290A">
        <w:t xml:space="preserve">result was also reported by </w:t>
      </w:r>
      <w:r w:rsidR="008033B1" w:rsidRPr="00953C0E">
        <w:rPr>
          <w:rFonts w:ascii="Arial" w:hAnsi="Arial" w:cs="Arial"/>
          <w:b/>
          <w:bCs/>
          <w:color w:val="222222"/>
          <w:sz w:val="22"/>
          <w:szCs w:val="22"/>
          <w:shd w:val="clear" w:color="auto" w:fill="FFFFFF"/>
        </w:rPr>
        <w:t>Singh, I., &amp; Mehriya, M. L. (2022).</w:t>
      </w:r>
      <w:r w:rsidR="0083290A" w:rsidRPr="0083290A">
        <w:t>discovered that herbicides like clodinafop + metsulfuron were very effective in weed management by increasing the number of tillers by curtailing crop-weed interactions.</w:t>
      </w:r>
    </w:p>
    <w:p w:rsidR="00721F40" w:rsidRDefault="00721F40" w:rsidP="00721F40">
      <w:pPr>
        <w:tabs>
          <w:tab w:val="left" w:pos="-540"/>
        </w:tabs>
        <w:rPr>
          <w:rFonts w:ascii="Times New Roman" w:hAnsi="Times New Roman" w:cs="Times New Roman"/>
          <w:b/>
          <w:bCs/>
          <w:sz w:val="24"/>
          <w:szCs w:val="24"/>
        </w:rPr>
      </w:pPr>
      <w:r>
        <w:rPr>
          <w:rFonts w:ascii="Times New Roman" w:hAnsi="Times New Roman" w:cs="Times New Roman"/>
          <w:b/>
          <w:bCs/>
          <w:sz w:val="24"/>
          <w:szCs w:val="24"/>
        </w:rPr>
        <w:lastRenderedPageBreak/>
        <w:t>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p w:rsidR="00721F40" w:rsidRPr="00953C0E" w:rsidRDefault="00721F40" w:rsidP="008033B1">
      <w:pPr>
        <w:tabs>
          <w:tab w:val="left" w:pos="-540"/>
        </w:tabs>
        <w:jc w:val="both"/>
        <w:rPr>
          <w:rFonts w:ascii="Times New Roman" w:hAnsi="Times New Roman" w:cs="Times New Roman"/>
          <w:b/>
          <w:bCs/>
          <w:sz w:val="24"/>
          <w:szCs w:val="24"/>
        </w:rPr>
      </w:pPr>
      <w:r>
        <w:rPr>
          <w:rFonts w:ascii="Times New Roman" w:hAnsi="Times New Roman" w:cs="Times New Roman"/>
          <w:b/>
          <w:bCs/>
          <w:sz w:val="24"/>
          <w:szCs w:val="24"/>
        </w:rPr>
        <w:tab/>
      </w:r>
      <w:r w:rsidR="00EB5475" w:rsidRPr="00EB5475">
        <w:rPr>
          <w:rFonts w:ascii="Times New Roman" w:hAnsi="Times New Roman" w:cs="Times New Roman"/>
          <w:sz w:val="24"/>
          <w:szCs w:val="24"/>
        </w:rPr>
        <w:t>The data pertaining to</w:t>
      </w:r>
      <w:r w:rsidR="00EB5475">
        <w:rPr>
          <w:rFonts w:ascii="Times New Roman" w:hAnsi="Times New Roman" w:cs="Times New Roman"/>
          <w:sz w:val="24"/>
          <w:szCs w:val="24"/>
        </w:rPr>
        <w:t xml:space="preserve"> dry matter accumulation</w:t>
      </w:r>
      <w:r w:rsidR="00EB5475" w:rsidRPr="00EB5475">
        <w:rPr>
          <w:rFonts w:ascii="Times New Roman" w:hAnsi="Times New Roman" w:cs="Times New Roman"/>
          <w:sz w:val="24"/>
          <w:szCs w:val="24"/>
        </w:rPr>
        <w:t xml:space="preserve"> presented in Table No.3.</w:t>
      </w:r>
      <w:r w:rsidRPr="00721F40">
        <w:rPr>
          <w:rFonts w:ascii="Times New Roman" w:hAnsi="Times New Roman" w:cs="Times New Roman"/>
          <w:sz w:val="24"/>
          <w:szCs w:val="24"/>
        </w:rPr>
        <w:t>An evaluation of the pooled data revealed that tillage practices had a significant effect on dry matter accumulation across all growth stages. Maximum dry matter accumulation was recorded under zero tillage (80.19, 455.76, 815.58 and 937.68 g m⁻² at 30, 60, 90 DAS and at harvest, respectively), which was statistically at par with reduced tillage (75.75, 452.65, 811.61 and 932.90 g m⁻², respectively) and significantly superior to conventional tillage (63.09, 373.44, 670.71 and 771.34 g m⁻², respectively) at all the stages of crop growth.</w:t>
      </w:r>
      <w:r w:rsidR="007F24B9">
        <w:rPr>
          <w:rFonts w:ascii="Times New Roman" w:hAnsi="Times New Roman" w:cs="Times New Roman"/>
          <w:sz w:val="24"/>
          <w:szCs w:val="24"/>
        </w:rPr>
        <w:t>Similar</w:t>
      </w:r>
      <w:r w:rsidR="00971B5D" w:rsidRPr="007F24B9">
        <w:rPr>
          <w:rFonts w:ascii="Times New Roman" w:hAnsi="Times New Roman" w:cs="Times New Roman"/>
          <w:sz w:val="24"/>
          <w:szCs w:val="24"/>
        </w:rPr>
        <w:t xml:space="preserve"> result was also reported by</w:t>
      </w:r>
      <w:r w:rsidR="00971B5D" w:rsidRPr="00953C0E">
        <w:rPr>
          <w:rFonts w:ascii="Times New Roman" w:hAnsi="Times New Roman" w:cs="Times New Roman"/>
          <w:b/>
          <w:bCs/>
          <w:sz w:val="24"/>
          <w:szCs w:val="24"/>
        </w:rPr>
        <w:t xml:space="preserve">Yadav </w:t>
      </w:r>
      <w:r w:rsidR="00971B5D" w:rsidRPr="00953C0E">
        <w:rPr>
          <w:rFonts w:ascii="Times New Roman" w:hAnsi="Times New Roman" w:cs="Times New Roman"/>
          <w:b/>
          <w:bCs/>
          <w:i/>
          <w:iCs/>
          <w:sz w:val="24"/>
          <w:szCs w:val="24"/>
        </w:rPr>
        <w:t>et al</w:t>
      </w:r>
      <w:r w:rsidR="00971B5D" w:rsidRPr="00953C0E">
        <w:rPr>
          <w:rFonts w:ascii="Times New Roman" w:hAnsi="Times New Roman" w:cs="Times New Roman"/>
          <w:b/>
          <w:bCs/>
          <w:sz w:val="24"/>
          <w:szCs w:val="24"/>
        </w:rPr>
        <w:t>.</w:t>
      </w:r>
      <w:r w:rsidR="00953C0E" w:rsidRPr="00953C0E">
        <w:rPr>
          <w:rFonts w:ascii="Times New Roman" w:hAnsi="Times New Roman" w:cs="Times New Roman"/>
          <w:b/>
          <w:bCs/>
          <w:sz w:val="24"/>
          <w:szCs w:val="24"/>
        </w:rPr>
        <w:t xml:space="preserve"> (2024), </w:t>
      </w:r>
      <w:r w:rsidR="00953C0E" w:rsidRPr="00953C0E">
        <w:rPr>
          <w:rFonts w:ascii="Times New Roman" w:hAnsi="Times New Roman" w:cs="Times New Roman"/>
          <w:b/>
          <w:bCs/>
          <w:color w:val="222222"/>
          <w:sz w:val="24"/>
          <w:szCs w:val="24"/>
          <w:shd w:val="clear" w:color="auto" w:fill="FFFFFF"/>
        </w:rPr>
        <w:t xml:space="preserve">Keil </w:t>
      </w:r>
      <w:r w:rsidR="00953C0E" w:rsidRPr="00953C0E">
        <w:rPr>
          <w:rFonts w:ascii="Times New Roman" w:hAnsi="Times New Roman" w:cs="Times New Roman"/>
          <w:b/>
          <w:bCs/>
          <w:i/>
          <w:iCs/>
          <w:color w:val="222222"/>
          <w:sz w:val="24"/>
          <w:szCs w:val="24"/>
          <w:shd w:val="clear" w:color="auto" w:fill="FFFFFF"/>
        </w:rPr>
        <w:t>et al</w:t>
      </w:r>
      <w:r w:rsidR="00953C0E" w:rsidRPr="00953C0E">
        <w:rPr>
          <w:rFonts w:ascii="Times New Roman" w:hAnsi="Times New Roman" w:cs="Times New Roman"/>
          <w:b/>
          <w:bCs/>
          <w:color w:val="222222"/>
          <w:sz w:val="24"/>
          <w:szCs w:val="24"/>
          <w:shd w:val="clear" w:color="auto" w:fill="FFFFFF"/>
        </w:rPr>
        <w:t>. (2015)</w:t>
      </w:r>
      <w:r w:rsidR="00953C0E" w:rsidRPr="00953C0E">
        <w:rPr>
          <w:rFonts w:ascii="Times New Roman" w:hAnsi="Times New Roman" w:cs="Times New Roman"/>
          <w:b/>
          <w:bCs/>
          <w:i/>
          <w:iCs/>
          <w:color w:val="222222"/>
          <w:sz w:val="24"/>
          <w:szCs w:val="24"/>
          <w:shd w:val="clear" w:color="auto" w:fill="FFFFFF"/>
        </w:rPr>
        <w:t>.</w:t>
      </w:r>
    </w:p>
    <w:p w:rsidR="00721F40" w:rsidRDefault="00721F40" w:rsidP="00721F40">
      <w:pPr>
        <w:pStyle w:val="NormalWeb"/>
        <w:ind w:firstLine="720"/>
        <w:jc w:val="both"/>
      </w:pPr>
      <w:r>
        <w:t>Weed management practices also had a significant effect on dry matter accumulation. The highest dry matter accumulation was consistently recorded under weed-free condition (81.32, 473.47, 847.68 and 973.56 g m⁻² at 30, 60, 90 DAS and at harvest, respectively), which was statistically at par with clodinafop + metsulfuron (80.24, 470.15, 844.45 and 970.59 g m⁻², respectively) and pinoxaden + carfentrazone (77.86, 455.93, 819.00 and 941.46 g m⁻², respectively), but significantly superior to other treatments. Among the herbicidal treatments, clodinafop + metsulfuron proved most effective and was comparable with pinoxaden + carfentrazone in enhancing dry matter accumulation. All weed management practices were significantly superior to the weedy check (53.08, 309.24, 555.63 and 639.21 g m⁻², respectively), which consistently recorded the lowest dry matter accumulation throughout the crop growth stages. The interaction effect of tillage and weed management practices on dry matter accumulation was found to be non-significant at all the stages of observation during both the years.</w:t>
      </w:r>
      <w:r w:rsidR="007F24B9">
        <w:t>Similar</w:t>
      </w:r>
      <w:r w:rsidR="007F24B9" w:rsidRPr="007F24B9">
        <w:t xml:space="preserve"> result was also reported by</w:t>
      </w:r>
      <w:r w:rsidR="00B51D37">
        <w:t xml:space="preserve"> </w:t>
      </w:r>
      <w:r w:rsidR="007F24B9" w:rsidRPr="007F24B9">
        <w:rPr>
          <w:b/>
          <w:bCs/>
          <w:color w:val="222222"/>
          <w:shd w:val="clear" w:color="auto" w:fill="FFFFFF"/>
        </w:rPr>
        <w:t xml:space="preserve">Dayal </w:t>
      </w:r>
      <w:r w:rsidR="007F24B9" w:rsidRPr="007F24B9">
        <w:rPr>
          <w:b/>
          <w:bCs/>
          <w:i/>
          <w:iCs/>
          <w:color w:val="222222"/>
          <w:shd w:val="clear" w:color="auto" w:fill="FFFFFF"/>
        </w:rPr>
        <w:t>et al</w:t>
      </w:r>
      <w:r w:rsidR="007F24B9" w:rsidRPr="007F24B9">
        <w:rPr>
          <w:b/>
          <w:bCs/>
          <w:color w:val="222222"/>
          <w:shd w:val="clear" w:color="auto" w:fill="FFFFFF"/>
        </w:rPr>
        <w:t>. (2023)</w:t>
      </w:r>
    </w:p>
    <w:p w:rsidR="00CA24E4" w:rsidRDefault="00CA24E4" w:rsidP="00CA24E4">
      <w:pPr>
        <w:pStyle w:val="NormalWeb"/>
        <w:jc w:val="both"/>
        <w:rPr>
          <w:rFonts w:eastAsia="Calibri"/>
          <w:b/>
          <w:bCs/>
          <w:color w:val="000000"/>
        </w:rPr>
      </w:pPr>
      <w:r w:rsidRPr="00E17088">
        <w:rPr>
          <w:rFonts w:eastAsia="Calibri"/>
          <w:b/>
          <w:bCs/>
          <w:color w:val="000000"/>
        </w:rPr>
        <w:t>Bulk Density (g/cc)</w:t>
      </w:r>
    </w:p>
    <w:p w:rsidR="00CA24E4" w:rsidRDefault="00EB5475" w:rsidP="00EB5475">
      <w:pPr>
        <w:pStyle w:val="NormalWeb"/>
        <w:ind w:firstLine="720"/>
        <w:jc w:val="both"/>
      </w:pPr>
      <w:r w:rsidRPr="00125C5A">
        <w:t xml:space="preserve">The data pertaining to </w:t>
      </w:r>
      <w:r w:rsidR="00D71C06">
        <w:rPr>
          <w:rStyle w:val="Strong"/>
          <w:b w:val="0"/>
          <w:bCs w:val="0"/>
        </w:rPr>
        <w:t>bulk density</w:t>
      </w:r>
      <w:r>
        <w:t xml:space="preserve"> presented in Table No.4.</w:t>
      </w:r>
      <w:r w:rsidR="00B66DAC">
        <w:t xml:space="preserve"> </w:t>
      </w:r>
      <w:r w:rsidR="00CA24E4">
        <w:t>Among tillage systems, Conventional Tillage (CT) recorded the highest bulk density (1.60 g/cc pooled), followed by Reduced Tillage (RT) (1.56 g/cc). Zero Tillage (ZT) (1.52 g/cc) showed comparatively lower bulk density.</w:t>
      </w:r>
      <w:r w:rsidR="00D94503">
        <w:t>In the current study, C</w:t>
      </w:r>
      <w:r w:rsidR="00D94503" w:rsidRPr="00D94503">
        <w:t>onventional tillage (1.60 g /cc)</w:t>
      </w:r>
      <w:r w:rsidR="00D94503">
        <w:t xml:space="preserve"> recorded highest bulk density</w:t>
      </w:r>
      <w:r w:rsidR="00D94503" w:rsidRPr="00D94503">
        <w:t xml:space="preserve"> that is contra</w:t>
      </w:r>
      <w:r w:rsidR="00D94503">
        <w:t xml:space="preserve">ry to that of </w:t>
      </w:r>
      <w:r w:rsidR="00D94503" w:rsidRPr="00D94503">
        <w:rPr>
          <w:b/>
          <w:bCs/>
        </w:rPr>
        <w:t xml:space="preserve">Rathod </w:t>
      </w:r>
      <w:r w:rsidR="00D94503" w:rsidRPr="00D94503">
        <w:rPr>
          <w:b/>
          <w:bCs/>
          <w:i/>
          <w:iCs/>
        </w:rPr>
        <w:t>et al</w:t>
      </w:r>
      <w:r w:rsidR="00D94503" w:rsidRPr="00D94503">
        <w:rPr>
          <w:b/>
          <w:bCs/>
        </w:rPr>
        <w:t>. (2021)</w:t>
      </w:r>
      <w:r w:rsidR="00D94503" w:rsidRPr="00D94503">
        <w:t xml:space="preserve"> who had lower bulk density in conventional tillage. This difference can be explained by the fact that soi</w:t>
      </w:r>
      <w:r w:rsidR="005201B5">
        <w:t>l type, soil moisture condition</w:t>
      </w:r>
      <w:r w:rsidR="00D94503" w:rsidRPr="00D94503">
        <w:t xml:space="preserve"> and soil management practice are different, which affected soil compaction.</w:t>
      </w:r>
    </w:p>
    <w:p w:rsidR="00CA12F0" w:rsidRDefault="00CA24E4" w:rsidP="005201B5">
      <w:pPr>
        <w:pStyle w:val="NormalWeb"/>
        <w:ind w:firstLine="720"/>
        <w:jc w:val="both"/>
      </w:pPr>
      <w:r>
        <w:t>With respect to weed management practices,</w:t>
      </w:r>
      <w:r w:rsidR="00D94503">
        <w:t xml:space="preserve"> the weedy check (W6) recorded</w:t>
      </w:r>
      <w:r>
        <w:t xml:space="preserve"> the highest bulk density (1.63 g/cc), which was followed by pendimethalin + metribuzin (W2) (1.61 g/cc) and pyroxasulfone fb clodinafop (W1) (1.59 g/cc). Clodinafop + metasulfuron (W3) (1.52 g/cc) and pinoxaden + carfentrazone (W4) (1.55 g/cc) also maintained comparatively lower bulk density, while the lowest bulk density was recorded under weed-free (W5) (1.47 g/cc).</w:t>
      </w:r>
      <w:r w:rsidR="00CA12F0">
        <w:t>Similar</w:t>
      </w:r>
      <w:r w:rsidR="00CA12F0" w:rsidRPr="007F24B9">
        <w:t xml:space="preserve"> result was also reported by</w:t>
      </w:r>
      <w:r w:rsidR="00B51D37">
        <w:t xml:space="preserve"> </w:t>
      </w:r>
      <w:r w:rsidR="00CA12F0">
        <w:rPr>
          <w:b/>
          <w:bCs/>
          <w:color w:val="222222"/>
          <w:shd w:val="clear" w:color="auto" w:fill="FFFFFF"/>
        </w:rPr>
        <w:t>Meena</w:t>
      </w:r>
      <w:r w:rsidR="00B51D37">
        <w:rPr>
          <w:b/>
          <w:bCs/>
          <w:color w:val="222222"/>
          <w:shd w:val="clear" w:color="auto" w:fill="FFFFFF"/>
        </w:rPr>
        <w:t xml:space="preserve"> </w:t>
      </w:r>
      <w:r w:rsidR="00CA12F0" w:rsidRPr="007F24B9">
        <w:rPr>
          <w:b/>
          <w:bCs/>
          <w:i/>
          <w:iCs/>
          <w:color w:val="222222"/>
          <w:shd w:val="clear" w:color="auto" w:fill="FFFFFF"/>
        </w:rPr>
        <w:t>et al</w:t>
      </w:r>
      <w:r w:rsidR="00CA12F0" w:rsidRPr="007F24B9">
        <w:rPr>
          <w:b/>
          <w:bCs/>
          <w:color w:val="222222"/>
          <w:shd w:val="clear" w:color="auto" w:fill="FFFFFF"/>
        </w:rPr>
        <w:t>. (2023)</w:t>
      </w:r>
    </w:p>
    <w:p w:rsidR="00B51D37" w:rsidRDefault="00B51D37" w:rsidP="00CA24E4">
      <w:pPr>
        <w:pStyle w:val="NormalWeb"/>
        <w:jc w:val="both"/>
        <w:rPr>
          <w:rFonts w:eastAsia="Calibri"/>
          <w:b/>
          <w:bCs/>
          <w:color w:val="000000"/>
        </w:rPr>
      </w:pPr>
    </w:p>
    <w:p w:rsidR="00B51D37" w:rsidRDefault="00B51D37" w:rsidP="00CA24E4">
      <w:pPr>
        <w:pStyle w:val="NormalWeb"/>
        <w:jc w:val="both"/>
        <w:rPr>
          <w:rFonts w:eastAsia="Calibri"/>
          <w:b/>
          <w:bCs/>
          <w:color w:val="000000"/>
        </w:rPr>
      </w:pPr>
    </w:p>
    <w:p w:rsidR="00CA24E4" w:rsidRDefault="00CA24E4" w:rsidP="00CA24E4">
      <w:pPr>
        <w:pStyle w:val="NormalWeb"/>
        <w:jc w:val="both"/>
        <w:rPr>
          <w:rFonts w:eastAsia="Calibri"/>
          <w:b/>
          <w:bCs/>
          <w:color w:val="000000"/>
        </w:rPr>
      </w:pPr>
      <w:r w:rsidRPr="00CB362B">
        <w:rPr>
          <w:rFonts w:eastAsia="Calibri"/>
          <w:b/>
          <w:bCs/>
          <w:color w:val="000000"/>
        </w:rPr>
        <w:lastRenderedPageBreak/>
        <w:t>Soil pH</w:t>
      </w:r>
    </w:p>
    <w:p w:rsidR="00CA24E4" w:rsidRDefault="00EB5475" w:rsidP="00CA24E4">
      <w:pPr>
        <w:pStyle w:val="NormalWeb"/>
        <w:ind w:firstLine="720"/>
        <w:jc w:val="both"/>
      </w:pPr>
      <w:r w:rsidRPr="00125C5A">
        <w:t xml:space="preserve">The data pertaining to </w:t>
      </w:r>
      <w:r w:rsidR="00D71C06">
        <w:rPr>
          <w:rStyle w:val="Strong"/>
          <w:b w:val="0"/>
          <w:bCs w:val="0"/>
        </w:rPr>
        <w:t>soil pH</w:t>
      </w:r>
      <w:r>
        <w:t xml:space="preserve"> presented in Table No.4. </w:t>
      </w:r>
      <w:r w:rsidR="00CA24E4">
        <w:t xml:space="preserve">Among the tillage systems, </w:t>
      </w:r>
      <w:r w:rsidR="00CA24E4" w:rsidRPr="00CA24E4">
        <w:rPr>
          <w:rStyle w:val="Strong"/>
          <w:b w:val="0"/>
          <w:bCs w:val="0"/>
        </w:rPr>
        <w:t>Conventional Tillage (CT)</w:t>
      </w:r>
      <w:r w:rsidR="00CA24E4">
        <w:t xml:space="preserve"> recorded the highest pooled soil pH (7.62), followed by </w:t>
      </w:r>
      <w:r w:rsidR="00CA24E4" w:rsidRPr="00CA24E4">
        <w:rPr>
          <w:rStyle w:val="Strong"/>
          <w:b w:val="0"/>
          <w:bCs w:val="0"/>
        </w:rPr>
        <w:t>Reduced Tillage (RT)</w:t>
      </w:r>
      <w:r w:rsidR="00CA24E4">
        <w:t xml:space="preserve"> (7.48). The lowest pooled soil pH was observed under </w:t>
      </w:r>
      <w:r w:rsidR="00CA24E4" w:rsidRPr="00CA24E4">
        <w:rPr>
          <w:rStyle w:val="Strong"/>
          <w:b w:val="0"/>
          <w:bCs w:val="0"/>
        </w:rPr>
        <w:t>Zero Tillage (ZT)</w:t>
      </w:r>
      <w:r w:rsidR="00CA24E4">
        <w:t xml:space="preserve"> (7.12).</w:t>
      </w:r>
      <w:r w:rsidR="00070DCE">
        <w:t xml:space="preserve">Similar result was also reported by </w:t>
      </w:r>
      <w:r w:rsidR="00B51D37">
        <w:rPr>
          <w:b/>
          <w:bCs/>
          <w:color w:val="222222"/>
          <w:shd w:val="clear" w:color="auto" w:fill="FFFFFF"/>
        </w:rPr>
        <w:t xml:space="preserve">Kochar and Kumar </w:t>
      </w:r>
      <w:r w:rsidR="00070DCE" w:rsidRPr="00070DCE">
        <w:rPr>
          <w:b/>
          <w:bCs/>
          <w:color w:val="222222"/>
          <w:shd w:val="clear" w:color="auto" w:fill="FFFFFF"/>
        </w:rPr>
        <w:t>(2024).</w:t>
      </w:r>
    </w:p>
    <w:p w:rsidR="00CA24E4" w:rsidRDefault="00CA24E4" w:rsidP="00CA24E4">
      <w:pPr>
        <w:pStyle w:val="NormalWeb"/>
        <w:ind w:firstLine="720"/>
        <w:jc w:val="both"/>
      </w:pPr>
      <w:r>
        <w:t xml:space="preserve">With respect to weed management practices, the </w:t>
      </w:r>
      <w:r w:rsidRPr="00CA24E4">
        <w:rPr>
          <w:rStyle w:val="Strong"/>
          <w:b w:val="0"/>
          <w:bCs w:val="0"/>
        </w:rPr>
        <w:t>weedy check (W6)</w:t>
      </w:r>
      <w:r>
        <w:t xml:space="preserve"> recorded the highest pooled soil pH (7.67), which was followed by </w:t>
      </w:r>
      <w:r w:rsidRPr="00CA24E4">
        <w:rPr>
          <w:rStyle w:val="Strong"/>
          <w:b w:val="0"/>
          <w:bCs w:val="0"/>
        </w:rPr>
        <w:t>pendimethalin + metribuzin (W2)</w:t>
      </w:r>
      <w:r>
        <w:t xml:space="preserve"> (7.62). On the other hand, the lowest pooled soil pH was observed in the </w:t>
      </w:r>
      <w:r w:rsidRPr="00CA24E4">
        <w:rPr>
          <w:rStyle w:val="Strong"/>
          <w:b w:val="0"/>
          <w:bCs w:val="0"/>
        </w:rPr>
        <w:t>weed-free treatment (W5)</w:t>
      </w:r>
      <w:r>
        <w:t xml:space="preserve"> (7.15), which was closely followed by </w:t>
      </w:r>
      <w:r w:rsidRPr="00CA24E4">
        <w:rPr>
          <w:rStyle w:val="Strong"/>
          <w:b w:val="0"/>
          <w:bCs w:val="0"/>
        </w:rPr>
        <w:t>clodinafop + metsulfuron (W3)</w:t>
      </w:r>
      <w:r>
        <w:t xml:space="preserve"> (7.26).</w:t>
      </w:r>
      <w:r w:rsidR="00D94503">
        <w:t xml:space="preserve"> Similar result was also reported by </w:t>
      </w:r>
      <w:r w:rsidR="00D94503" w:rsidRPr="00D94503">
        <w:rPr>
          <w:b/>
          <w:bCs/>
        </w:rPr>
        <w:t xml:space="preserve">Kumar </w:t>
      </w:r>
      <w:r w:rsidR="00D94503" w:rsidRPr="00D94503">
        <w:rPr>
          <w:b/>
          <w:bCs/>
          <w:i/>
          <w:iCs/>
        </w:rPr>
        <w:t>et al</w:t>
      </w:r>
      <w:r w:rsidR="00D94503" w:rsidRPr="00D94503">
        <w:rPr>
          <w:b/>
          <w:bCs/>
        </w:rPr>
        <w:t>. (2020).</w:t>
      </w:r>
    </w:p>
    <w:p w:rsidR="00CA24E4" w:rsidRDefault="00CA24E4" w:rsidP="00CA24E4">
      <w:pPr>
        <w:pStyle w:val="NormalWeb"/>
        <w:jc w:val="both"/>
        <w:rPr>
          <w:rFonts w:eastAsia="Calibri"/>
          <w:b/>
          <w:bCs/>
          <w:color w:val="000000"/>
        </w:rPr>
      </w:pPr>
      <w:r w:rsidRPr="00CB362B">
        <w:rPr>
          <w:rFonts w:eastAsia="Calibri"/>
          <w:b/>
          <w:bCs/>
          <w:color w:val="000000"/>
        </w:rPr>
        <w:t>Organic carbon (%)</w:t>
      </w:r>
    </w:p>
    <w:p w:rsidR="00CA24E4" w:rsidRDefault="00EB5475" w:rsidP="00CA24E4">
      <w:pPr>
        <w:pStyle w:val="NormalWeb"/>
        <w:ind w:firstLine="720"/>
        <w:jc w:val="both"/>
      </w:pPr>
      <w:r w:rsidRPr="00125C5A">
        <w:t xml:space="preserve">The data pertaining to </w:t>
      </w:r>
      <w:r w:rsidR="00D71C06">
        <w:rPr>
          <w:rStyle w:val="Strong"/>
          <w:b w:val="0"/>
          <w:bCs w:val="0"/>
        </w:rPr>
        <w:t>organic carbon (%)</w:t>
      </w:r>
      <w:r>
        <w:t xml:space="preserve"> presented in Table No.4. </w:t>
      </w:r>
      <w:r w:rsidR="00CA24E4">
        <w:t xml:space="preserve">Among the tillage systems, the highest pooled organic carbon was recorded under </w:t>
      </w:r>
      <w:r w:rsidR="00CA24E4" w:rsidRPr="00CA24E4">
        <w:rPr>
          <w:rStyle w:val="Strong"/>
          <w:b w:val="0"/>
          <w:bCs w:val="0"/>
        </w:rPr>
        <w:t>Zero Tillage (ZT)</w:t>
      </w:r>
      <w:r w:rsidR="00CA24E4">
        <w:t xml:space="preserve"> (0.515%), followed by </w:t>
      </w:r>
      <w:r w:rsidR="00CA24E4" w:rsidRPr="00CA24E4">
        <w:rPr>
          <w:rStyle w:val="Strong"/>
          <w:b w:val="0"/>
          <w:bCs w:val="0"/>
        </w:rPr>
        <w:t>Reduced Tillage (RT)</w:t>
      </w:r>
      <w:r w:rsidR="00CA24E4">
        <w:t xml:space="preserve"> (0.503%). The lowest pooled value was observed in </w:t>
      </w:r>
      <w:r w:rsidR="00CA24E4" w:rsidRPr="00CA24E4">
        <w:rPr>
          <w:rStyle w:val="Strong"/>
          <w:b w:val="0"/>
          <w:bCs w:val="0"/>
        </w:rPr>
        <w:t>Conventional Tillage (CT)</w:t>
      </w:r>
      <w:r w:rsidR="00CA24E4">
        <w:t xml:space="preserve"> (0.464%).</w:t>
      </w:r>
      <w:r w:rsidR="00070DCE">
        <w:t xml:space="preserve">Similar result was also reported by </w:t>
      </w:r>
      <w:r w:rsidR="00070DCE" w:rsidRPr="00070DCE">
        <w:rPr>
          <w:b/>
          <w:bCs/>
          <w:color w:val="222222"/>
          <w:shd w:val="clear" w:color="auto" w:fill="FFFFFF"/>
        </w:rPr>
        <w:t xml:space="preserve">Ahmad </w:t>
      </w:r>
      <w:r w:rsidR="00070DCE" w:rsidRPr="00070DCE">
        <w:rPr>
          <w:b/>
          <w:bCs/>
          <w:i/>
          <w:iCs/>
          <w:color w:val="222222"/>
          <w:shd w:val="clear" w:color="auto" w:fill="FFFFFF"/>
        </w:rPr>
        <w:t>et al</w:t>
      </w:r>
      <w:r w:rsidR="00070DCE" w:rsidRPr="00070DCE">
        <w:rPr>
          <w:b/>
          <w:bCs/>
          <w:color w:val="222222"/>
          <w:shd w:val="clear" w:color="auto" w:fill="FFFFFF"/>
        </w:rPr>
        <w:t>. (2024).</w:t>
      </w:r>
    </w:p>
    <w:p w:rsidR="00CA24E4" w:rsidRDefault="00CA24E4" w:rsidP="00CA24E4">
      <w:pPr>
        <w:pStyle w:val="NormalWeb"/>
        <w:ind w:firstLine="720"/>
        <w:jc w:val="both"/>
      </w:pPr>
      <w:r>
        <w:t xml:space="preserve">With respect to weed management practices, the maximum pooled organic carbon was noted in the </w:t>
      </w:r>
      <w:r w:rsidRPr="00CA24E4">
        <w:rPr>
          <w:rStyle w:val="Strong"/>
          <w:b w:val="0"/>
          <w:bCs w:val="0"/>
        </w:rPr>
        <w:t>weed-free treatment (W5)</w:t>
      </w:r>
      <w:r>
        <w:t xml:space="preserve"> (0.530%), which was followed by </w:t>
      </w:r>
      <w:r w:rsidRPr="00CA24E4">
        <w:rPr>
          <w:rStyle w:val="Strong"/>
          <w:b w:val="0"/>
          <w:bCs w:val="0"/>
        </w:rPr>
        <w:t>clodinafop + metsulfuron (W3)</w:t>
      </w:r>
      <w:r>
        <w:t xml:space="preserve"> (0.514%). In contrast, the lowest pooled organic carbon was recorded under the </w:t>
      </w:r>
      <w:r w:rsidRPr="00CA24E4">
        <w:rPr>
          <w:rStyle w:val="Strong"/>
          <w:b w:val="0"/>
          <w:bCs w:val="0"/>
        </w:rPr>
        <w:t>weedy check (W6)</w:t>
      </w:r>
      <w:r>
        <w:t>(0.451%).</w:t>
      </w:r>
      <w:r w:rsidR="00070DCE">
        <w:t xml:space="preserve"> Similar result was also reported by </w:t>
      </w:r>
      <w:r w:rsidR="00070DCE" w:rsidRPr="00D94503">
        <w:rPr>
          <w:b/>
          <w:bCs/>
        </w:rPr>
        <w:t xml:space="preserve">Kumar </w:t>
      </w:r>
      <w:r w:rsidR="00070DCE" w:rsidRPr="00D94503">
        <w:rPr>
          <w:b/>
          <w:bCs/>
          <w:i/>
          <w:iCs/>
        </w:rPr>
        <w:t>et al</w:t>
      </w:r>
      <w:r w:rsidR="00070DCE" w:rsidRPr="00D94503">
        <w:rPr>
          <w:b/>
          <w:bCs/>
        </w:rPr>
        <w:t>. (2020)</w:t>
      </w:r>
      <w:r w:rsidR="00070DCE">
        <w:rPr>
          <w:b/>
          <w:bCs/>
        </w:rPr>
        <w:t>.</w:t>
      </w:r>
    </w:p>
    <w:p w:rsidR="007F51C9" w:rsidRDefault="00CA24E4" w:rsidP="007F51C9">
      <w:pPr>
        <w:pStyle w:val="NormalWeb"/>
        <w:jc w:val="both"/>
        <w:rPr>
          <w:b/>
          <w:bCs/>
        </w:rPr>
      </w:pPr>
      <w:r w:rsidRPr="009D25F5">
        <w:rPr>
          <w:rFonts w:eastAsia="Calibri"/>
          <w:b/>
          <w:bCs/>
          <w:color w:val="000000"/>
          <w:sz w:val="22"/>
          <w:szCs w:val="22"/>
        </w:rPr>
        <w:t>Available N</w:t>
      </w:r>
      <w:r w:rsidRPr="009D25F5">
        <w:rPr>
          <w:b/>
          <w:bCs/>
        </w:rPr>
        <w:t>(kg/ha) in soil</w:t>
      </w:r>
    </w:p>
    <w:p w:rsidR="007F51C9" w:rsidRPr="00354F47" w:rsidRDefault="00EB5475" w:rsidP="007F51C9">
      <w:pPr>
        <w:pStyle w:val="NormalWeb"/>
        <w:ind w:firstLine="720"/>
        <w:jc w:val="both"/>
        <w:rPr>
          <w:b/>
          <w:bCs/>
        </w:rPr>
      </w:pPr>
      <w:r w:rsidRPr="00125C5A">
        <w:t>The data pertaining to</w:t>
      </w:r>
      <w:r w:rsidR="00D71C06">
        <w:t xml:space="preserve"> available nitrogen (kg/ha)</w:t>
      </w:r>
      <w:r>
        <w:t xml:space="preserve"> presented in Table No.5. </w:t>
      </w:r>
      <w:r w:rsidR="007F51C9">
        <w:t>Among tillage systems, Zero Tillage (ZT) recorded the highest available nitrogen (238.38 kg/ha pooled), which was at par with Reduced Tillage (RT) (236.06 kg/ha) and significantly superior to Conventional Tillage (CT) (222.06 kg/ha). The lowest available nitrogen was observed under Conventional Tillage.</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rsidR="007F51C9" w:rsidRDefault="007F51C9" w:rsidP="007F51C9">
      <w:pPr>
        <w:pStyle w:val="NormalWeb"/>
        <w:ind w:firstLine="720"/>
        <w:jc w:val="both"/>
      </w:pPr>
      <w:r>
        <w:t>Weed management practices also exerted a pronounced effect on available nitrogen. The wee</w:t>
      </w:r>
      <w:r w:rsidR="00354F47">
        <w:t>d-free treatment (W5) recorded</w:t>
      </w:r>
      <w:r>
        <w:t xml:space="preserve"> the highest available nitrogen (242.66 kg/ha pooled), which was statistically at par with clodinafop + metsulfuron (W3) (240.44 kg/ha) and pinoxaden + carfentrazone (W4) (236.75 kg/ha). On the other hand, the weedy check (W6) recorded the lowest available nitrogen (209.10 kg/ha), remaining significantly inferior to all other weed management practices.</w:t>
      </w:r>
      <w:r w:rsidR="00354F47">
        <w:t xml:space="preserve"> 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rsidR="007F51C9" w:rsidRDefault="007F51C9" w:rsidP="007F51C9">
      <w:pPr>
        <w:pStyle w:val="NormalWeb"/>
        <w:jc w:val="both"/>
        <w:rPr>
          <w:b/>
          <w:bCs/>
        </w:rPr>
      </w:pPr>
      <w:r>
        <w:rPr>
          <w:rFonts w:eastAsia="Calibri"/>
          <w:b/>
          <w:bCs/>
          <w:color w:val="000000"/>
          <w:sz w:val="22"/>
          <w:szCs w:val="22"/>
        </w:rPr>
        <w:t xml:space="preserve">Available P </w:t>
      </w:r>
      <w:r w:rsidRPr="009D25F5">
        <w:rPr>
          <w:b/>
          <w:bCs/>
        </w:rPr>
        <w:t>(kg/ha) in soil</w:t>
      </w:r>
    </w:p>
    <w:p w:rsidR="007F51C9" w:rsidRDefault="00D71C06" w:rsidP="007F51C9">
      <w:pPr>
        <w:pStyle w:val="NormalWeb"/>
        <w:ind w:firstLine="720"/>
        <w:jc w:val="both"/>
      </w:pPr>
      <w:r w:rsidRPr="00125C5A">
        <w:t>The data pertaining to</w:t>
      </w:r>
      <w:r>
        <w:t xml:space="preserve"> available phosphorous (kg/ha) presented in Table No.5. </w:t>
      </w:r>
      <w:r w:rsidR="007F51C9">
        <w:t xml:space="preserve">Among tillage systems, Zero Tillage (ZT) recorded the highest available phosphorus (16.29 kg/ha pooled), which was at par with Reduced Tillage (RT) (16.01 kg/ha) and significantly superior to </w:t>
      </w:r>
      <w:r w:rsidR="007F51C9">
        <w:lastRenderedPageBreak/>
        <w:t>Conventional Tillage (CT) (13.09 kg/ha). The lowest available phosphorus was observed under Conventional Tillage.</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rsidR="007F51C9" w:rsidRDefault="007F51C9" w:rsidP="007F51C9">
      <w:pPr>
        <w:pStyle w:val="NormalWeb"/>
        <w:ind w:firstLine="720"/>
        <w:jc w:val="both"/>
      </w:pPr>
      <w:r>
        <w:t>Weed management practices also exerted a pronounced effect on available phosphorus. The weed-free treatment (W5) registered the highest available phosphorus (16.73 kg/ha pooled), which was statistically at par with clodinafop + metsulfuron (W3) (16.23 kg/ha) and pinoxaden + carfentrazone (W4) (15.92 kg/ha). On the other hand, the weedy check (W6) recorded the lowest available phosphorus (11.42 kg/ha), remaining significantly inferior to all other weed management practices.</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rsidR="007F51C9" w:rsidRDefault="007F51C9" w:rsidP="007F51C9">
      <w:pPr>
        <w:pStyle w:val="NormalWeb"/>
        <w:jc w:val="both"/>
        <w:rPr>
          <w:b/>
          <w:bCs/>
        </w:rPr>
      </w:pPr>
      <w:r>
        <w:rPr>
          <w:rFonts w:eastAsia="Calibri"/>
          <w:b/>
          <w:bCs/>
          <w:color w:val="000000"/>
          <w:sz w:val="22"/>
          <w:szCs w:val="22"/>
        </w:rPr>
        <w:t xml:space="preserve">Available K </w:t>
      </w:r>
      <w:r w:rsidRPr="009D25F5">
        <w:rPr>
          <w:b/>
          <w:bCs/>
        </w:rPr>
        <w:t>(kg/ha) in soil</w:t>
      </w:r>
    </w:p>
    <w:p w:rsidR="007F51C9" w:rsidRDefault="00D71C06" w:rsidP="007F51C9">
      <w:pPr>
        <w:pStyle w:val="NormalWeb"/>
        <w:ind w:firstLine="720"/>
        <w:jc w:val="both"/>
      </w:pPr>
      <w:r w:rsidRPr="00125C5A">
        <w:t>The data pertaining to</w:t>
      </w:r>
      <w:r>
        <w:t xml:space="preserve"> available potassium (kg/ha) presented in Table No.5.</w:t>
      </w:r>
      <w:r w:rsidR="007F51C9">
        <w:t>Among tillage systems, Zero Tillage (ZT) recorded the highest available potassium (190.64 kg/ha pooled), which was at par with Reduced Tillage (RT) (188.89 kg/ha) and significantly superior to Conventional Tillage (CT) (178.27 kg/ha). The lowest available potassium was observed under Conventional Tillage.</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rsidR="007F51C9" w:rsidRDefault="007F51C9" w:rsidP="007F51C9">
      <w:pPr>
        <w:pStyle w:val="NormalWeb"/>
        <w:ind w:firstLine="720"/>
        <w:jc w:val="both"/>
      </w:pPr>
      <w:r>
        <w:t>Weed management practices also exerted a notable effect on available potassium. The wee</w:t>
      </w:r>
      <w:r w:rsidR="00354F47">
        <w:t>d-free treatment (W5) recorded</w:t>
      </w:r>
      <w:r>
        <w:t xml:space="preserve"> the highest available potassium (192.77 kg/ha pooled), which was statistically at par with clodinafop + metsulfuron (W3) (190.55 kg/ha) and pinoxaden + carfentrazone (W4) (189.28 kg/ha). On the other hand, the weedy check (W6) recorded the lowest available potassium (174.53 kg/ha), remaining inferior to all other weed management practices.</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rsidR="007F51C9" w:rsidRDefault="007F51C9" w:rsidP="007F51C9">
      <w:pPr>
        <w:pStyle w:val="NormalWeb"/>
        <w:ind w:firstLine="720"/>
        <w:jc w:val="both"/>
      </w:pPr>
    </w:p>
    <w:p w:rsidR="00D71C06" w:rsidRDefault="00D71C06" w:rsidP="007F51C9">
      <w:pPr>
        <w:pStyle w:val="NormalWeb"/>
        <w:ind w:firstLine="720"/>
        <w:jc w:val="both"/>
        <w:sectPr w:rsidR="00D71C06" w:rsidSect="00524F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1F75B9">
        <w:rPr>
          <w:rFonts w:ascii="Times New Roman" w:hAnsi="Times New Roman" w:cs="Times New Roman"/>
          <w:b/>
          <w:bCs/>
          <w:sz w:val="24"/>
          <w:szCs w:val="24"/>
        </w:rPr>
        <w:t xml:space="preserve"> Effect of tillage and weed managemen</w:t>
      </w:r>
      <w:r>
        <w:rPr>
          <w:rFonts w:ascii="Times New Roman" w:hAnsi="Times New Roman" w:cs="Times New Roman"/>
          <w:b/>
          <w:bCs/>
          <w:sz w:val="24"/>
          <w:szCs w:val="24"/>
        </w:rPr>
        <w:t>t practices on 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tbl>
      <w:tblPr>
        <w:tblStyle w:val="TableGrid"/>
        <w:tblW w:w="14467" w:type="dxa"/>
        <w:tblInd w:w="-432" w:type="dxa"/>
        <w:tblLayout w:type="fixed"/>
        <w:tblLook w:val="04A0"/>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rsidTr="0059010D">
        <w:trPr>
          <w:trHeight w:val="147"/>
        </w:trPr>
        <w:tc>
          <w:tcPr>
            <w:tcW w:w="3464" w:type="dxa"/>
            <w:gridSpan w:val="2"/>
            <w:vMerge w:val="restart"/>
            <w:vAlign w:val="center"/>
          </w:tcPr>
          <w:p w:rsidR="00D71C06" w:rsidRPr="00135665" w:rsidRDefault="00D71C06" w:rsidP="0059010D">
            <w:pPr>
              <w:jc w:val="center"/>
              <w:rPr>
                <w:rFonts w:ascii="Calibri" w:eastAsia="Calibri" w:hAnsi="Calibri" w:cs="Calibri"/>
                <w:b/>
                <w:sz w:val="18"/>
                <w:szCs w:val="18"/>
              </w:rPr>
            </w:pPr>
          </w:p>
          <w:p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rsidR="00D71C06" w:rsidRPr="00135665" w:rsidRDefault="00D71C06" w:rsidP="0059010D">
            <w:pPr>
              <w:jc w:val="center"/>
              <w:rPr>
                <w:rFonts w:ascii="Calibri" w:eastAsia="Calibri" w:hAnsi="Calibri" w:cs="Mangal"/>
              </w:rPr>
            </w:pPr>
            <w:r w:rsidRPr="00214AE6">
              <w:rPr>
                <w:rFonts w:ascii="Calibri" w:eastAsia="Calibri" w:hAnsi="Calibri" w:cs="Mangal"/>
                <w:b/>
                <w:sz w:val="24"/>
                <w:szCs w:val="24"/>
              </w:rPr>
              <w:t>No. of tillers(m</w:t>
            </w:r>
            <w:r w:rsidRPr="00214AE6">
              <w:rPr>
                <w:rFonts w:ascii="Calibri" w:eastAsia="Calibri" w:hAnsi="Calibri" w:cs="Mangal"/>
                <w:b/>
                <w:sz w:val="24"/>
                <w:szCs w:val="24"/>
                <w:vertAlign w:val="superscript"/>
              </w:rPr>
              <w:t>-2</w:t>
            </w:r>
            <w:r w:rsidRPr="00214AE6">
              <w:rPr>
                <w:rFonts w:ascii="Calibri" w:eastAsia="Calibri" w:hAnsi="Calibri" w:cs="Mangal"/>
                <w:b/>
                <w:sz w:val="24"/>
                <w:szCs w:val="24"/>
              </w:rPr>
              <w:t>)</w:t>
            </w:r>
          </w:p>
        </w:tc>
      </w:tr>
      <w:tr w:rsidR="00D71C06" w:rsidRPr="00135665" w:rsidTr="0059010D">
        <w:trPr>
          <w:trHeight w:val="147"/>
        </w:trPr>
        <w:tc>
          <w:tcPr>
            <w:tcW w:w="3464" w:type="dxa"/>
            <w:gridSpan w:val="2"/>
            <w:vMerge/>
            <w:vAlign w:val="center"/>
          </w:tcPr>
          <w:p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rsidTr="0059010D">
        <w:trPr>
          <w:trHeight w:val="147"/>
        </w:trPr>
        <w:tc>
          <w:tcPr>
            <w:tcW w:w="3464" w:type="dxa"/>
            <w:gridSpan w:val="2"/>
            <w:vMerge/>
            <w:vAlign w:val="bottom"/>
          </w:tcPr>
          <w:p w:rsidR="00D71C06" w:rsidRPr="00135665" w:rsidRDefault="00D71C06" w:rsidP="0059010D">
            <w:pPr>
              <w:spacing w:before="120" w:after="120"/>
              <w:rPr>
                <w:rFonts w:ascii="Calibri" w:eastAsia="Calibri" w:hAnsi="Calibri" w:cs="Calibri"/>
                <w:b/>
                <w:color w:val="000000"/>
                <w:sz w:val="18"/>
                <w:szCs w:val="18"/>
              </w:rPr>
            </w:pPr>
          </w:p>
        </w:tc>
        <w:tc>
          <w:tcPr>
            <w:tcW w:w="916"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rsidR="00D71C06" w:rsidRPr="00F12F28" w:rsidRDefault="00D71C06" w:rsidP="005201B5">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rsidTr="0059010D">
        <w:trPr>
          <w:trHeight w:val="345"/>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63.79</w:t>
            </w:r>
          </w:p>
        </w:tc>
        <w:tc>
          <w:tcPr>
            <w:tcW w:w="102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65.91</w:t>
            </w:r>
          </w:p>
        </w:tc>
        <w:tc>
          <w:tcPr>
            <w:tcW w:w="814"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64.85</w:t>
            </w:r>
          </w:p>
        </w:tc>
        <w:tc>
          <w:tcPr>
            <w:tcW w:w="986"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110.75</w:t>
            </w:r>
          </w:p>
        </w:tc>
        <w:tc>
          <w:tcPr>
            <w:tcW w:w="90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114.08</w:t>
            </w:r>
          </w:p>
        </w:tc>
        <w:tc>
          <w:tcPr>
            <w:tcW w:w="81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112.42</w:t>
            </w:r>
          </w:p>
        </w:tc>
        <w:tc>
          <w:tcPr>
            <w:tcW w:w="90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78.83</w:t>
            </w:r>
          </w:p>
        </w:tc>
        <w:tc>
          <w:tcPr>
            <w:tcW w:w="99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81.47</w:t>
            </w:r>
          </w:p>
        </w:tc>
        <w:tc>
          <w:tcPr>
            <w:tcW w:w="90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80.15</w:t>
            </w:r>
          </w:p>
        </w:tc>
        <w:tc>
          <w:tcPr>
            <w:tcW w:w="90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77.05</w:t>
            </w:r>
          </w:p>
        </w:tc>
        <w:tc>
          <w:tcPr>
            <w:tcW w:w="99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79.87</w:t>
            </w:r>
          </w:p>
        </w:tc>
        <w:tc>
          <w:tcPr>
            <w:tcW w:w="877"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78.46</w:t>
            </w:r>
          </w:p>
        </w:tc>
      </w:tr>
      <w:tr w:rsidR="00D71C06" w:rsidRPr="00135665" w:rsidTr="0059010D">
        <w:trPr>
          <w:trHeight w:val="345"/>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62.69</w:t>
            </w:r>
          </w:p>
        </w:tc>
        <w:tc>
          <w:tcPr>
            <w:tcW w:w="102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64.78</w:t>
            </w:r>
          </w:p>
        </w:tc>
        <w:tc>
          <w:tcPr>
            <w:tcW w:w="814"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63.73</w:t>
            </w:r>
          </w:p>
        </w:tc>
        <w:tc>
          <w:tcPr>
            <w:tcW w:w="986"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109.47</w:t>
            </w:r>
          </w:p>
        </w:tc>
        <w:tc>
          <w:tcPr>
            <w:tcW w:w="90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112.76</w:t>
            </w:r>
          </w:p>
        </w:tc>
        <w:tc>
          <w:tcPr>
            <w:tcW w:w="81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111.11</w:t>
            </w:r>
          </w:p>
        </w:tc>
        <w:tc>
          <w:tcPr>
            <w:tcW w:w="90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77.97</w:t>
            </w:r>
          </w:p>
        </w:tc>
        <w:tc>
          <w:tcPr>
            <w:tcW w:w="99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80.58</w:t>
            </w:r>
          </w:p>
        </w:tc>
        <w:tc>
          <w:tcPr>
            <w:tcW w:w="90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79.27</w:t>
            </w:r>
          </w:p>
        </w:tc>
        <w:tc>
          <w:tcPr>
            <w:tcW w:w="90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75.63</w:t>
            </w:r>
          </w:p>
        </w:tc>
        <w:tc>
          <w:tcPr>
            <w:tcW w:w="99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78.40</w:t>
            </w:r>
          </w:p>
        </w:tc>
        <w:tc>
          <w:tcPr>
            <w:tcW w:w="877"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77.01</w:t>
            </w:r>
          </w:p>
        </w:tc>
      </w:tr>
      <w:tr w:rsidR="00D71C06" w:rsidRPr="00135665" w:rsidTr="0059010D">
        <w:trPr>
          <w:trHeight w:val="345"/>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58.38</w:t>
            </w:r>
          </w:p>
        </w:tc>
        <w:tc>
          <w:tcPr>
            <w:tcW w:w="102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60.31</w:t>
            </w:r>
          </w:p>
        </w:tc>
        <w:tc>
          <w:tcPr>
            <w:tcW w:w="814"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59.34</w:t>
            </w:r>
          </w:p>
        </w:tc>
        <w:tc>
          <w:tcPr>
            <w:tcW w:w="986"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100.92</w:t>
            </w:r>
          </w:p>
        </w:tc>
        <w:tc>
          <w:tcPr>
            <w:tcW w:w="90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103.94</w:t>
            </w:r>
          </w:p>
        </w:tc>
        <w:tc>
          <w:tcPr>
            <w:tcW w:w="81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102.43</w:t>
            </w:r>
          </w:p>
        </w:tc>
        <w:tc>
          <w:tcPr>
            <w:tcW w:w="90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71.58</w:t>
            </w:r>
          </w:p>
        </w:tc>
        <w:tc>
          <w:tcPr>
            <w:tcW w:w="99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73.98</w:t>
            </w:r>
          </w:p>
        </w:tc>
        <w:tc>
          <w:tcPr>
            <w:tcW w:w="900"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72.78</w:t>
            </w:r>
          </w:p>
        </w:tc>
        <w:tc>
          <w:tcPr>
            <w:tcW w:w="90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68.84</w:t>
            </w:r>
          </w:p>
        </w:tc>
        <w:tc>
          <w:tcPr>
            <w:tcW w:w="990" w:type="dxa"/>
            <w:gridSpan w:val="2"/>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71.37</w:t>
            </w:r>
          </w:p>
        </w:tc>
        <w:tc>
          <w:tcPr>
            <w:tcW w:w="877" w:type="dxa"/>
            <w:vAlign w:val="bottom"/>
          </w:tcPr>
          <w:p w:rsidR="00D71C06" w:rsidRPr="00090925" w:rsidRDefault="00D71C06" w:rsidP="005201B5">
            <w:pPr>
              <w:spacing w:before="120" w:line="360" w:lineRule="auto"/>
              <w:jc w:val="center"/>
              <w:rPr>
                <w:rFonts w:ascii="Times New Roman" w:hAnsi="Times New Roman" w:cs="Times New Roman"/>
                <w:sz w:val="20"/>
                <w:szCs w:val="20"/>
              </w:rPr>
            </w:pPr>
            <w:r w:rsidRPr="00090925">
              <w:rPr>
                <w:rFonts w:ascii="Times New Roman" w:hAnsi="Times New Roman" w:cs="Times New Roman"/>
                <w:sz w:val="20"/>
                <w:szCs w:val="20"/>
              </w:rPr>
              <w:t>70.10</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0.443</w:t>
            </w:r>
          </w:p>
        </w:tc>
        <w:tc>
          <w:tcPr>
            <w:tcW w:w="1020" w:type="dxa"/>
            <w:gridSpan w:val="2"/>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0.334</w:t>
            </w:r>
          </w:p>
        </w:tc>
        <w:tc>
          <w:tcPr>
            <w:tcW w:w="805"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0.385</w:t>
            </w:r>
          </w:p>
        </w:tc>
        <w:tc>
          <w:tcPr>
            <w:tcW w:w="995" w:type="dxa"/>
            <w:gridSpan w:val="2"/>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0.562</w:t>
            </w:r>
          </w:p>
        </w:tc>
        <w:tc>
          <w:tcPr>
            <w:tcW w:w="900" w:type="dxa"/>
            <w:gridSpan w:val="2"/>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1.249</w:t>
            </w:r>
          </w:p>
        </w:tc>
        <w:tc>
          <w:tcPr>
            <w:tcW w:w="81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0.649</w:t>
            </w:r>
          </w:p>
        </w:tc>
        <w:tc>
          <w:tcPr>
            <w:tcW w:w="90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0.533</w:t>
            </w:r>
          </w:p>
        </w:tc>
        <w:tc>
          <w:tcPr>
            <w:tcW w:w="99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0.670</w:t>
            </w:r>
          </w:p>
        </w:tc>
        <w:tc>
          <w:tcPr>
            <w:tcW w:w="90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0.615</w:t>
            </w:r>
          </w:p>
        </w:tc>
        <w:tc>
          <w:tcPr>
            <w:tcW w:w="894"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0.633</w:t>
            </w:r>
          </w:p>
        </w:tc>
        <w:tc>
          <w:tcPr>
            <w:tcW w:w="996" w:type="dxa"/>
            <w:gridSpan w:val="3"/>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0.748</w:t>
            </w:r>
          </w:p>
        </w:tc>
        <w:tc>
          <w:tcPr>
            <w:tcW w:w="877"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0.603</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1.787</w:t>
            </w:r>
          </w:p>
        </w:tc>
        <w:tc>
          <w:tcPr>
            <w:tcW w:w="1020" w:type="dxa"/>
            <w:gridSpan w:val="2"/>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1.346</w:t>
            </w:r>
          </w:p>
        </w:tc>
        <w:tc>
          <w:tcPr>
            <w:tcW w:w="805"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1.554</w:t>
            </w:r>
          </w:p>
        </w:tc>
        <w:tc>
          <w:tcPr>
            <w:tcW w:w="995" w:type="dxa"/>
            <w:gridSpan w:val="2"/>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2.266</w:t>
            </w:r>
          </w:p>
        </w:tc>
        <w:tc>
          <w:tcPr>
            <w:tcW w:w="900" w:type="dxa"/>
            <w:gridSpan w:val="2"/>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5.036</w:t>
            </w:r>
          </w:p>
        </w:tc>
        <w:tc>
          <w:tcPr>
            <w:tcW w:w="81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2.616</w:t>
            </w:r>
          </w:p>
        </w:tc>
        <w:tc>
          <w:tcPr>
            <w:tcW w:w="90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2.150</w:t>
            </w:r>
          </w:p>
        </w:tc>
        <w:tc>
          <w:tcPr>
            <w:tcW w:w="99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2.701</w:t>
            </w:r>
          </w:p>
        </w:tc>
        <w:tc>
          <w:tcPr>
            <w:tcW w:w="900"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2.481</w:t>
            </w:r>
          </w:p>
        </w:tc>
        <w:tc>
          <w:tcPr>
            <w:tcW w:w="894"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2.550</w:t>
            </w:r>
          </w:p>
        </w:tc>
        <w:tc>
          <w:tcPr>
            <w:tcW w:w="996" w:type="dxa"/>
            <w:gridSpan w:val="3"/>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3.015</w:t>
            </w:r>
          </w:p>
        </w:tc>
        <w:tc>
          <w:tcPr>
            <w:tcW w:w="877" w:type="dxa"/>
            <w:vAlign w:val="center"/>
          </w:tcPr>
          <w:p w:rsidR="00D71C06" w:rsidRPr="00090925" w:rsidRDefault="00D71C06" w:rsidP="005201B5">
            <w:pPr>
              <w:jc w:val="center"/>
              <w:rPr>
                <w:rFonts w:ascii="Times New Roman" w:hAnsi="Times New Roman" w:cs="Times New Roman"/>
                <w:b/>
                <w:bCs/>
                <w:sz w:val="20"/>
                <w:szCs w:val="20"/>
              </w:rPr>
            </w:pPr>
            <w:r w:rsidRPr="00090925">
              <w:rPr>
                <w:rFonts w:ascii="Times New Roman" w:hAnsi="Times New Roman" w:cs="Times New Roman"/>
                <w:b/>
                <w:bCs/>
                <w:sz w:val="20"/>
                <w:szCs w:val="20"/>
              </w:rPr>
              <w:t>2.430</w:t>
            </w:r>
          </w:p>
        </w:tc>
      </w:tr>
      <w:tr w:rsidR="00D71C06" w:rsidRPr="00135665" w:rsidTr="0059010D">
        <w:trPr>
          <w:trHeight w:val="147"/>
        </w:trPr>
        <w:tc>
          <w:tcPr>
            <w:tcW w:w="14467" w:type="dxa"/>
            <w:gridSpan w:val="19"/>
            <w:vAlign w:val="center"/>
          </w:tcPr>
          <w:p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62.25</w:t>
            </w:r>
          </w:p>
        </w:tc>
        <w:tc>
          <w:tcPr>
            <w:tcW w:w="1003"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64.32</w:t>
            </w:r>
          </w:p>
        </w:tc>
        <w:tc>
          <w:tcPr>
            <w:tcW w:w="822"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63.29</w:t>
            </w:r>
          </w:p>
        </w:tc>
        <w:tc>
          <w:tcPr>
            <w:tcW w:w="1003" w:type="dxa"/>
            <w:gridSpan w:val="3"/>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107.26</w:t>
            </w:r>
          </w:p>
        </w:tc>
        <w:tc>
          <w:tcPr>
            <w:tcW w:w="892"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110.50</w:t>
            </w:r>
          </w:p>
        </w:tc>
        <w:tc>
          <w:tcPr>
            <w:tcW w:w="81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108.88</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76.55</w:t>
            </w:r>
          </w:p>
        </w:tc>
        <w:tc>
          <w:tcPr>
            <w:tcW w:w="99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79.11</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77.83</w:t>
            </w:r>
          </w:p>
        </w:tc>
        <w:tc>
          <w:tcPr>
            <w:tcW w:w="894"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74.30</w:t>
            </w:r>
          </w:p>
        </w:tc>
        <w:tc>
          <w:tcPr>
            <w:tcW w:w="980"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77.02</w:t>
            </w:r>
          </w:p>
        </w:tc>
        <w:tc>
          <w:tcPr>
            <w:tcW w:w="893"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75.66</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60.82</w:t>
            </w:r>
          </w:p>
        </w:tc>
        <w:tc>
          <w:tcPr>
            <w:tcW w:w="1003"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62.83</w:t>
            </w:r>
          </w:p>
        </w:tc>
        <w:tc>
          <w:tcPr>
            <w:tcW w:w="822"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61.82</w:t>
            </w:r>
          </w:p>
        </w:tc>
        <w:tc>
          <w:tcPr>
            <w:tcW w:w="1003" w:type="dxa"/>
            <w:gridSpan w:val="3"/>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105.95</w:t>
            </w:r>
          </w:p>
        </w:tc>
        <w:tc>
          <w:tcPr>
            <w:tcW w:w="892"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109.14</w:t>
            </w:r>
          </w:p>
        </w:tc>
        <w:tc>
          <w:tcPr>
            <w:tcW w:w="81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107.54</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75.11</w:t>
            </w:r>
          </w:p>
        </w:tc>
        <w:tc>
          <w:tcPr>
            <w:tcW w:w="99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77.63</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76.36</w:t>
            </w:r>
          </w:p>
        </w:tc>
        <w:tc>
          <w:tcPr>
            <w:tcW w:w="894"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72.71</w:t>
            </w:r>
          </w:p>
        </w:tc>
        <w:tc>
          <w:tcPr>
            <w:tcW w:w="980"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75.39</w:t>
            </w:r>
          </w:p>
        </w:tc>
        <w:tc>
          <w:tcPr>
            <w:tcW w:w="893"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74.05</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66.72</w:t>
            </w:r>
          </w:p>
        </w:tc>
        <w:tc>
          <w:tcPr>
            <w:tcW w:w="1003"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68.93</w:t>
            </w:r>
          </w:p>
        </w:tc>
        <w:tc>
          <w:tcPr>
            <w:tcW w:w="822"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67.83</w:t>
            </w:r>
          </w:p>
        </w:tc>
        <w:tc>
          <w:tcPr>
            <w:tcW w:w="1003" w:type="dxa"/>
            <w:gridSpan w:val="3"/>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116.32</w:t>
            </w:r>
          </w:p>
        </w:tc>
        <w:tc>
          <w:tcPr>
            <w:tcW w:w="892"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119.78</w:t>
            </w:r>
          </w:p>
        </w:tc>
        <w:tc>
          <w:tcPr>
            <w:tcW w:w="81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118.05</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83.07</w:t>
            </w:r>
          </w:p>
        </w:tc>
        <w:tc>
          <w:tcPr>
            <w:tcW w:w="99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85.84</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84.46</w:t>
            </w:r>
          </w:p>
        </w:tc>
        <w:tc>
          <w:tcPr>
            <w:tcW w:w="894"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80.31</w:t>
            </w:r>
          </w:p>
        </w:tc>
        <w:tc>
          <w:tcPr>
            <w:tcW w:w="980"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83.26</w:t>
            </w:r>
          </w:p>
        </w:tc>
        <w:tc>
          <w:tcPr>
            <w:tcW w:w="893"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81.79</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rsidR="00D71C06" w:rsidRPr="001C7350" w:rsidRDefault="00D71C06" w:rsidP="0059010D">
            <w:pPr>
              <w:spacing w:line="360" w:lineRule="auto"/>
              <w:rPr>
                <w:rFonts w:ascii="Calibri" w:hAnsi="Calibri" w:cs="Calibri"/>
                <w:color w:val="000000"/>
                <w:sz w:val="20"/>
                <w:szCs w:val="20"/>
              </w:rPr>
            </w:pPr>
            <w:r w:rsidRPr="001C7350">
              <w:rPr>
                <w:rFonts w:ascii="Calibri" w:hAnsi="Calibri" w:cs="Calibri"/>
                <w:color w:val="000000"/>
                <w:sz w:val="20"/>
                <w:szCs w:val="20"/>
              </w:rPr>
              <w:t>65.49</w:t>
            </w:r>
          </w:p>
        </w:tc>
        <w:tc>
          <w:tcPr>
            <w:tcW w:w="1003"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67.68</w:t>
            </w:r>
          </w:p>
        </w:tc>
        <w:tc>
          <w:tcPr>
            <w:tcW w:w="822"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66.58</w:t>
            </w:r>
          </w:p>
        </w:tc>
        <w:tc>
          <w:tcPr>
            <w:tcW w:w="1003" w:type="dxa"/>
            <w:gridSpan w:val="3"/>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114.13</w:t>
            </w:r>
          </w:p>
        </w:tc>
        <w:tc>
          <w:tcPr>
            <w:tcW w:w="892"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117.60</w:t>
            </w:r>
          </w:p>
        </w:tc>
        <w:tc>
          <w:tcPr>
            <w:tcW w:w="81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115.86</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80.70</w:t>
            </w:r>
          </w:p>
        </w:tc>
        <w:tc>
          <w:tcPr>
            <w:tcW w:w="99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83.40</w:t>
            </w:r>
          </w:p>
        </w:tc>
        <w:tc>
          <w:tcPr>
            <w:tcW w:w="900"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82.05</w:t>
            </w:r>
          </w:p>
        </w:tc>
        <w:tc>
          <w:tcPr>
            <w:tcW w:w="894" w:type="dxa"/>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78.74</w:t>
            </w:r>
          </w:p>
        </w:tc>
        <w:tc>
          <w:tcPr>
            <w:tcW w:w="980"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81.61</w:t>
            </w:r>
          </w:p>
        </w:tc>
        <w:tc>
          <w:tcPr>
            <w:tcW w:w="893" w:type="dxa"/>
            <w:gridSpan w:val="2"/>
            <w:vAlign w:val="center"/>
          </w:tcPr>
          <w:p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80.17</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vAlign w:val="center"/>
          </w:tcPr>
          <w:p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rsidR="00D71C06" w:rsidRPr="001C7350" w:rsidRDefault="00D71C06" w:rsidP="0059010D">
            <w:pPr>
              <w:spacing w:before="120" w:line="360" w:lineRule="auto"/>
              <w:rPr>
                <w:rFonts w:ascii="Calibri" w:hAnsi="Calibri" w:cs="Calibri"/>
                <w:color w:val="000000"/>
                <w:sz w:val="20"/>
                <w:szCs w:val="20"/>
              </w:rPr>
            </w:pPr>
            <w:r w:rsidRPr="001C7350">
              <w:rPr>
                <w:rFonts w:ascii="Calibri" w:hAnsi="Calibri" w:cs="Calibri"/>
                <w:color w:val="000000"/>
                <w:sz w:val="20"/>
                <w:szCs w:val="20"/>
              </w:rPr>
              <w:t>68.45</w:t>
            </w:r>
          </w:p>
        </w:tc>
        <w:tc>
          <w:tcPr>
            <w:tcW w:w="1003"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70.73</w:t>
            </w:r>
          </w:p>
        </w:tc>
        <w:tc>
          <w:tcPr>
            <w:tcW w:w="822" w:type="dxa"/>
            <w:gridSpan w:val="2"/>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69.59</w:t>
            </w:r>
          </w:p>
        </w:tc>
        <w:tc>
          <w:tcPr>
            <w:tcW w:w="1003" w:type="dxa"/>
            <w:gridSpan w:val="3"/>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117.59</w:t>
            </w:r>
          </w:p>
        </w:tc>
        <w:tc>
          <w:tcPr>
            <w:tcW w:w="892"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121.10</w:t>
            </w:r>
          </w:p>
        </w:tc>
        <w:tc>
          <w:tcPr>
            <w:tcW w:w="81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119.35</w:t>
            </w:r>
          </w:p>
        </w:tc>
        <w:tc>
          <w:tcPr>
            <w:tcW w:w="90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83.96</w:t>
            </w:r>
          </w:p>
        </w:tc>
        <w:tc>
          <w:tcPr>
            <w:tcW w:w="99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86.76</w:t>
            </w:r>
          </w:p>
        </w:tc>
        <w:tc>
          <w:tcPr>
            <w:tcW w:w="90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85.36</w:t>
            </w:r>
          </w:p>
        </w:tc>
        <w:tc>
          <w:tcPr>
            <w:tcW w:w="894"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81.54</w:t>
            </w:r>
          </w:p>
        </w:tc>
        <w:tc>
          <w:tcPr>
            <w:tcW w:w="980" w:type="dxa"/>
            <w:gridSpan w:val="2"/>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84.53</w:t>
            </w:r>
          </w:p>
        </w:tc>
        <w:tc>
          <w:tcPr>
            <w:tcW w:w="893" w:type="dxa"/>
            <w:gridSpan w:val="2"/>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83.03</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vAlign w:val="center"/>
          </w:tcPr>
          <w:p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rsidR="00D71C06" w:rsidRPr="001C7350" w:rsidRDefault="00D71C06" w:rsidP="0059010D">
            <w:pPr>
              <w:spacing w:before="120" w:line="360" w:lineRule="auto"/>
              <w:ind w:left="-180" w:firstLine="180"/>
              <w:rPr>
                <w:rFonts w:ascii="Calibri" w:hAnsi="Calibri" w:cs="Calibri"/>
                <w:color w:val="000000"/>
                <w:sz w:val="20"/>
                <w:szCs w:val="20"/>
              </w:rPr>
            </w:pPr>
            <w:r w:rsidRPr="001C7350">
              <w:rPr>
                <w:rFonts w:ascii="Calibri" w:hAnsi="Calibri" w:cs="Calibri"/>
                <w:color w:val="000000"/>
                <w:sz w:val="20"/>
                <w:szCs w:val="20"/>
              </w:rPr>
              <w:t>45.99</w:t>
            </w:r>
          </w:p>
        </w:tc>
        <w:tc>
          <w:tcPr>
            <w:tcW w:w="1003"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47.51</w:t>
            </w:r>
          </w:p>
        </w:tc>
        <w:tc>
          <w:tcPr>
            <w:tcW w:w="822" w:type="dxa"/>
            <w:gridSpan w:val="2"/>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46.75</w:t>
            </w:r>
          </w:p>
        </w:tc>
        <w:tc>
          <w:tcPr>
            <w:tcW w:w="1003" w:type="dxa"/>
            <w:gridSpan w:val="3"/>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81.02</w:t>
            </w:r>
          </w:p>
        </w:tc>
        <w:tc>
          <w:tcPr>
            <w:tcW w:w="892"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83.45</w:t>
            </w:r>
          </w:p>
        </w:tc>
        <w:tc>
          <w:tcPr>
            <w:tcW w:w="81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82.23</w:t>
            </w:r>
          </w:p>
        </w:tc>
        <w:tc>
          <w:tcPr>
            <w:tcW w:w="90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57.38</w:t>
            </w:r>
          </w:p>
        </w:tc>
        <w:tc>
          <w:tcPr>
            <w:tcW w:w="99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59.29</w:t>
            </w:r>
          </w:p>
        </w:tc>
        <w:tc>
          <w:tcPr>
            <w:tcW w:w="900"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58.34</w:t>
            </w:r>
          </w:p>
        </w:tc>
        <w:tc>
          <w:tcPr>
            <w:tcW w:w="894" w:type="dxa"/>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55.44</w:t>
            </w:r>
          </w:p>
        </w:tc>
        <w:tc>
          <w:tcPr>
            <w:tcW w:w="980" w:type="dxa"/>
            <w:gridSpan w:val="2"/>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57.46</w:t>
            </w:r>
          </w:p>
        </w:tc>
        <w:tc>
          <w:tcPr>
            <w:tcW w:w="893" w:type="dxa"/>
            <w:gridSpan w:val="2"/>
            <w:vAlign w:val="center"/>
          </w:tcPr>
          <w:p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56.45</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0.965</w:t>
            </w:r>
          </w:p>
        </w:tc>
        <w:tc>
          <w:tcPr>
            <w:tcW w:w="1003"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0.989</w:t>
            </w:r>
          </w:p>
        </w:tc>
        <w:tc>
          <w:tcPr>
            <w:tcW w:w="822" w:type="dxa"/>
            <w:gridSpan w:val="2"/>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0.992</w:t>
            </w:r>
          </w:p>
        </w:tc>
        <w:tc>
          <w:tcPr>
            <w:tcW w:w="1003" w:type="dxa"/>
            <w:gridSpan w:val="3"/>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1.747</w:t>
            </w:r>
          </w:p>
        </w:tc>
        <w:tc>
          <w:tcPr>
            <w:tcW w:w="892"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1.892</w:t>
            </w:r>
          </w:p>
        </w:tc>
        <w:tc>
          <w:tcPr>
            <w:tcW w:w="81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2.265</w:t>
            </w:r>
          </w:p>
        </w:tc>
        <w:tc>
          <w:tcPr>
            <w:tcW w:w="90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1.754</w:t>
            </w:r>
          </w:p>
        </w:tc>
        <w:tc>
          <w:tcPr>
            <w:tcW w:w="99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1.824</w:t>
            </w:r>
          </w:p>
        </w:tc>
        <w:tc>
          <w:tcPr>
            <w:tcW w:w="90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1.830</w:t>
            </w:r>
          </w:p>
        </w:tc>
        <w:tc>
          <w:tcPr>
            <w:tcW w:w="894"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1.542</w:t>
            </w:r>
          </w:p>
        </w:tc>
        <w:tc>
          <w:tcPr>
            <w:tcW w:w="980" w:type="dxa"/>
            <w:gridSpan w:val="2"/>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1.369</w:t>
            </w:r>
          </w:p>
        </w:tc>
        <w:tc>
          <w:tcPr>
            <w:tcW w:w="893" w:type="dxa"/>
            <w:gridSpan w:val="2"/>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1.370</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2.800</w:t>
            </w:r>
          </w:p>
        </w:tc>
        <w:tc>
          <w:tcPr>
            <w:tcW w:w="1003"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2.871</w:t>
            </w:r>
          </w:p>
        </w:tc>
        <w:tc>
          <w:tcPr>
            <w:tcW w:w="822" w:type="dxa"/>
            <w:gridSpan w:val="2"/>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2.878</w:t>
            </w:r>
          </w:p>
        </w:tc>
        <w:tc>
          <w:tcPr>
            <w:tcW w:w="1003" w:type="dxa"/>
            <w:gridSpan w:val="3"/>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5.070</w:t>
            </w:r>
          </w:p>
        </w:tc>
        <w:tc>
          <w:tcPr>
            <w:tcW w:w="892"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5.492</w:t>
            </w:r>
          </w:p>
        </w:tc>
        <w:tc>
          <w:tcPr>
            <w:tcW w:w="81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6.575</w:t>
            </w:r>
          </w:p>
        </w:tc>
        <w:tc>
          <w:tcPr>
            <w:tcW w:w="90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5.091</w:t>
            </w:r>
          </w:p>
        </w:tc>
        <w:tc>
          <w:tcPr>
            <w:tcW w:w="99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5.294</w:t>
            </w:r>
          </w:p>
        </w:tc>
        <w:tc>
          <w:tcPr>
            <w:tcW w:w="900"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5.310</w:t>
            </w:r>
          </w:p>
        </w:tc>
        <w:tc>
          <w:tcPr>
            <w:tcW w:w="894" w:type="dxa"/>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4.475</w:t>
            </w:r>
          </w:p>
        </w:tc>
        <w:tc>
          <w:tcPr>
            <w:tcW w:w="980" w:type="dxa"/>
            <w:gridSpan w:val="2"/>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3.973</w:t>
            </w:r>
          </w:p>
        </w:tc>
        <w:tc>
          <w:tcPr>
            <w:tcW w:w="893" w:type="dxa"/>
            <w:gridSpan w:val="2"/>
            <w:vAlign w:val="center"/>
          </w:tcPr>
          <w:p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3.975</w:t>
            </w:r>
          </w:p>
        </w:tc>
      </w:tr>
    </w:tbl>
    <w:p w:rsidR="00D71C06" w:rsidRDefault="00D71C06" w:rsidP="007F51C9">
      <w:pPr>
        <w:pStyle w:val="NormalWeb"/>
        <w:ind w:firstLine="720"/>
        <w:jc w:val="both"/>
      </w:pPr>
    </w:p>
    <w:p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Pr="002903AA">
        <w:rPr>
          <w:rFonts w:ascii="Times New Roman" w:hAnsi="Times New Roman" w:cs="Times New Roman"/>
          <w:b/>
          <w:bCs/>
          <w:sz w:val="24"/>
          <w:szCs w:val="24"/>
        </w:rPr>
        <w:t>Effect of tillage and weed managemen</w:t>
      </w:r>
      <w:r>
        <w:rPr>
          <w:rFonts w:ascii="Times New Roman" w:hAnsi="Times New Roman" w:cs="Times New Roman"/>
          <w:b/>
          <w:bCs/>
          <w:sz w:val="24"/>
          <w:szCs w:val="24"/>
        </w:rPr>
        <w:t>t practices on 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tbl>
      <w:tblPr>
        <w:tblStyle w:val="TableGrid"/>
        <w:tblW w:w="14467" w:type="dxa"/>
        <w:tblInd w:w="-432" w:type="dxa"/>
        <w:tblLayout w:type="fixed"/>
        <w:tblLook w:val="04A0"/>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rsidTr="0059010D">
        <w:trPr>
          <w:trHeight w:val="147"/>
        </w:trPr>
        <w:tc>
          <w:tcPr>
            <w:tcW w:w="3464" w:type="dxa"/>
            <w:gridSpan w:val="2"/>
            <w:vMerge w:val="restart"/>
            <w:vAlign w:val="center"/>
          </w:tcPr>
          <w:p w:rsidR="00D71C06" w:rsidRPr="00135665" w:rsidRDefault="00D71C06" w:rsidP="0059010D">
            <w:pPr>
              <w:jc w:val="center"/>
              <w:rPr>
                <w:rFonts w:ascii="Calibri" w:eastAsia="Calibri" w:hAnsi="Calibri" w:cs="Calibri"/>
                <w:b/>
                <w:sz w:val="18"/>
                <w:szCs w:val="18"/>
              </w:rPr>
            </w:pPr>
          </w:p>
          <w:p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rsidR="00D71C06" w:rsidRPr="00135665" w:rsidRDefault="00D71C06" w:rsidP="0059010D">
            <w:pPr>
              <w:jc w:val="center"/>
              <w:rPr>
                <w:rFonts w:ascii="Calibri" w:eastAsia="Calibri" w:hAnsi="Calibri" w:cs="Mangal"/>
              </w:rPr>
            </w:pPr>
            <w:r>
              <w:rPr>
                <w:rFonts w:ascii="Calibri" w:eastAsia="Calibri" w:hAnsi="Calibri" w:cs="Mangal"/>
                <w:b/>
                <w:sz w:val="24"/>
                <w:szCs w:val="24"/>
              </w:rPr>
              <w:t>D</w:t>
            </w:r>
            <w:r w:rsidRPr="00C4693B">
              <w:rPr>
                <w:rFonts w:ascii="Calibri" w:eastAsia="Calibri" w:hAnsi="Calibri" w:cs="Mangal"/>
                <w:b/>
                <w:sz w:val="24"/>
                <w:szCs w:val="24"/>
              </w:rPr>
              <w:t>ry matter accumulation (g/m</w:t>
            </w:r>
            <w:r w:rsidRPr="00C4693B">
              <w:rPr>
                <w:rFonts w:ascii="Calibri" w:eastAsia="Calibri" w:hAnsi="Calibri" w:cs="Mangal"/>
                <w:b/>
                <w:sz w:val="24"/>
                <w:szCs w:val="24"/>
                <w:vertAlign w:val="superscript"/>
              </w:rPr>
              <w:t>2</w:t>
            </w:r>
            <w:r w:rsidRPr="00C4693B">
              <w:rPr>
                <w:rFonts w:ascii="Calibri" w:eastAsia="Calibri" w:hAnsi="Calibri" w:cs="Mangal"/>
                <w:b/>
                <w:sz w:val="24"/>
                <w:szCs w:val="24"/>
              </w:rPr>
              <w:t>)</w:t>
            </w:r>
          </w:p>
        </w:tc>
      </w:tr>
      <w:tr w:rsidR="00D71C06" w:rsidRPr="00135665" w:rsidTr="0059010D">
        <w:trPr>
          <w:trHeight w:val="147"/>
        </w:trPr>
        <w:tc>
          <w:tcPr>
            <w:tcW w:w="3464" w:type="dxa"/>
            <w:gridSpan w:val="2"/>
            <w:vMerge/>
            <w:vAlign w:val="center"/>
          </w:tcPr>
          <w:p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rsidTr="0059010D">
        <w:trPr>
          <w:trHeight w:val="147"/>
        </w:trPr>
        <w:tc>
          <w:tcPr>
            <w:tcW w:w="3464" w:type="dxa"/>
            <w:gridSpan w:val="2"/>
            <w:vMerge/>
            <w:vAlign w:val="bottom"/>
          </w:tcPr>
          <w:p w:rsidR="00D71C06" w:rsidRPr="00135665" w:rsidRDefault="00D71C06" w:rsidP="0059010D">
            <w:pPr>
              <w:spacing w:before="120" w:after="120"/>
              <w:rPr>
                <w:rFonts w:ascii="Calibri" w:eastAsia="Calibri" w:hAnsi="Calibri" w:cs="Calibri"/>
                <w:b/>
                <w:color w:val="000000"/>
                <w:sz w:val="18"/>
                <w:szCs w:val="18"/>
              </w:rPr>
            </w:pPr>
          </w:p>
        </w:tc>
        <w:tc>
          <w:tcPr>
            <w:tcW w:w="916"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rsidTr="0059010D">
        <w:trPr>
          <w:trHeight w:val="345"/>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78.87</w:t>
            </w:r>
          </w:p>
        </w:tc>
        <w:tc>
          <w:tcPr>
            <w:tcW w:w="102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81.51</w:t>
            </w:r>
          </w:p>
        </w:tc>
        <w:tc>
          <w:tcPr>
            <w:tcW w:w="814"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80.19</w:t>
            </w:r>
          </w:p>
        </w:tc>
        <w:tc>
          <w:tcPr>
            <w:tcW w:w="986"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452.00</w:t>
            </w:r>
          </w:p>
        </w:tc>
        <w:tc>
          <w:tcPr>
            <w:tcW w:w="90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459.52</w:t>
            </w:r>
          </w:p>
        </w:tc>
        <w:tc>
          <w:tcPr>
            <w:tcW w:w="81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455.76</w:t>
            </w:r>
          </w:p>
        </w:tc>
        <w:tc>
          <w:tcPr>
            <w:tcW w:w="90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810.17</w:t>
            </w:r>
          </w:p>
        </w:tc>
        <w:tc>
          <w:tcPr>
            <w:tcW w:w="99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820.99</w:t>
            </w:r>
          </w:p>
        </w:tc>
        <w:tc>
          <w:tcPr>
            <w:tcW w:w="90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815.58</w:t>
            </w:r>
          </w:p>
        </w:tc>
        <w:tc>
          <w:tcPr>
            <w:tcW w:w="90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931.46</w:t>
            </w:r>
          </w:p>
        </w:tc>
        <w:tc>
          <w:tcPr>
            <w:tcW w:w="99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943.91</w:t>
            </w:r>
          </w:p>
        </w:tc>
        <w:tc>
          <w:tcPr>
            <w:tcW w:w="877"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937.68</w:t>
            </w:r>
          </w:p>
        </w:tc>
      </w:tr>
      <w:tr w:rsidR="00D71C06" w:rsidRPr="00135665" w:rsidTr="0059010D">
        <w:trPr>
          <w:trHeight w:val="345"/>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74.50</w:t>
            </w:r>
          </w:p>
        </w:tc>
        <w:tc>
          <w:tcPr>
            <w:tcW w:w="102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76.99</w:t>
            </w:r>
          </w:p>
        </w:tc>
        <w:tc>
          <w:tcPr>
            <w:tcW w:w="814"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75.75</w:t>
            </w:r>
          </w:p>
        </w:tc>
        <w:tc>
          <w:tcPr>
            <w:tcW w:w="986"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448.91</w:t>
            </w:r>
          </w:p>
        </w:tc>
        <w:tc>
          <w:tcPr>
            <w:tcW w:w="90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456.39</w:t>
            </w:r>
          </w:p>
        </w:tc>
        <w:tc>
          <w:tcPr>
            <w:tcW w:w="81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452.65</w:t>
            </w:r>
          </w:p>
        </w:tc>
        <w:tc>
          <w:tcPr>
            <w:tcW w:w="90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806.22</w:t>
            </w:r>
          </w:p>
        </w:tc>
        <w:tc>
          <w:tcPr>
            <w:tcW w:w="99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816.99</w:t>
            </w:r>
          </w:p>
        </w:tc>
        <w:tc>
          <w:tcPr>
            <w:tcW w:w="90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811.61</w:t>
            </w:r>
          </w:p>
        </w:tc>
        <w:tc>
          <w:tcPr>
            <w:tcW w:w="90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926.71</w:t>
            </w:r>
          </w:p>
        </w:tc>
        <w:tc>
          <w:tcPr>
            <w:tcW w:w="99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939.09</w:t>
            </w:r>
          </w:p>
        </w:tc>
        <w:tc>
          <w:tcPr>
            <w:tcW w:w="877"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932.90</w:t>
            </w:r>
          </w:p>
        </w:tc>
      </w:tr>
      <w:tr w:rsidR="00D71C06" w:rsidRPr="00135665" w:rsidTr="0059010D">
        <w:trPr>
          <w:trHeight w:val="345"/>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62.06</w:t>
            </w:r>
          </w:p>
        </w:tc>
        <w:tc>
          <w:tcPr>
            <w:tcW w:w="102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64.12</w:t>
            </w:r>
          </w:p>
        </w:tc>
        <w:tc>
          <w:tcPr>
            <w:tcW w:w="814"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63.09</w:t>
            </w:r>
          </w:p>
        </w:tc>
        <w:tc>
          <w:tcPr>
            <w:tcW w:w="986"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370.36</w:t>
            </w:r>
          </w:p>
        </w:tc>
        <w:tc>
          <w:tcPr>
            <w:tcW w:w="90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376.51</w:t>
            </w:r>
          </w:p>
        </w:tc>
        <w:tc>
          <w:tcPr>
            <w:tcW w:w="81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373.44</w:t>
            </w:r>
          </w:p>
        </w:tc>
        <w:tc>
          <w:tcPr>
            <w:tcW w:w="90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666.25</w:t>
            </w:r>
          </w:p>
        </w:tc>
        <w:tc>
          <w:tcPr>
            <w:tcW w:w="99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675.18</w:t>
            </w:r>
          </w:p>
        </w:tc>
        <w:tc>
          <w:tcPr>
            <w:tcW w:w="900"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670.71</w:t>
            </w:r>
          </w:p>
        </w:tc>
        <w:tc>
          <w:tcPr>
            <w:tcW w:w="90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766.26</w:t>
            </w:r>
          </w:p>
        </w:tc>
        <w:tc>
          <w:tcPr>
            <w:tcW w:w="990" w:type="dxa"/>
            <w:gridSpan w:val="2"/>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776.41</w:t>
            </w:r>
          </w:p>
        </w:tc>
        <w:tc>
          <w:tcPr>
            <w:tcW w:w="877" w:type="dxa"/>
            <w:vAlign w:val="center"/>
          </w:tcPr>
          <w:p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771.34</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0.400</w:t>
            </w:r>
          </w:p>
        </w:tc>
        <w:tc>
          <w:tcPr>
            <w:tcW w:w="1020"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0.703</w:t>
            </w:r>
          </w:p>
        </w:tc>
        <w:tc>
          <w:tcPr>
            <w:tcW w:w="805"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0.419</w:t>
            </w:r>
          </w:p>
        </w:tc>
        <w:tc>
          <w:tcPr>
            <w:tcW w:w="995"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3.612</w:t>
            </w:r>
          </w:p>
        </w:tc>
        <w:tc>
          <w:tcPr>
            <w:tcW w:w="900"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3.362</w:t>
            </w:r>
          </w:p>
        </w:tc>
        <w:tc>
          <w:tcPr>
            <w:tcW w:w="81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3.148</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3.935</w:t>
            </w:r>
          </w:p>
        </w:tc>
        <w:tc>
          <w:tcPr>
            <w:tcW w:w="99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4.713</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4.227</w:t>
            </w:r>
          </w:p>
        </w:tc>
        <w:tc>
          <w:tcPr>
            <w:tcW w:w="894"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10.142</w:t>
            </w:r>
          </w:p>
        </w:tc>
        <w:tc>
          <w:tcPr>
            <w:tcW w:w="996" w:type="dxa"/>
            <w:gridSpan w:val="3"/>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5.393</w:t>
            </w:r>
          </w:p>
        </w:tc>
        <w:tc>
          <w:tcPr>
            <w:tcW w:w="877"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5.756</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1.612</w:t>
            </w:r>
          </w:p>
        </w:tc>
        <w:tc>
          <w:tcPr>
            <w:tcW w:w="1020"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2.834</w:t>
            </w:r>
          </w:p>
        </w:tc>
        <w:tc>
          <w:tcPr>
            <w:tcW w:w="805"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1.687</w:t>
            </w:r>
          </w:p>
        </w:tc>
        <w:tc>
          <w:tcPr>
            <w:tcW w:w="995"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14.562</w:t>
            </w:r>
          </w:p>
        </w:tc>
        <w:tc>
          <w:tcPr>
            <w:tcW w:w="900"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13.554</w:t>
            </w:r>
          </w:p>
        </w:tc>
        <w:tc>
          <w:tcPr>
            <w:tcW w:w="81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12.692</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15.863</w:t>
            </w:r>
          </w:p>
        </w:tc>
        <w:tc>
          <w:tcPr>
            <w:tcW w:w="99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19.002</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17.044</w:t>
            </w:r>
          </w:p>
        </w:tc>
        <w:tc>
          <w:tcPr>
            <w:tcW w:w="894"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40.890</w:t>
            </w:r>
          </w:p>
        </w:tc>
        <w:tc>
          <w:tcPr>
            <w:tcW w:w="996" w:type="dxa"/>
            <w:gridSpan w:val="3"/>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21.744</w:t>
            </w:r>
          </w:p>
        </w:tc>
        <w:tc>
          <w:tcPr>
            <w:tcW w:w="877"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23.207</w:t>
            </w:r>
          </w:p>
        </w:tc>
      </w:tr>
      <w:tr w:rsidR="00D71C06" w:rsidRPr="00135665" w:rsidTr="0059010D">
        <w:trPr>
          <w:trHeight w:val="147"/>
        </w:trPr>
        <w:tc>
          <w:tcPr>
            <w:tcW w:w="14467" w:type="dxa"/>
            <w:gridSpan w:val="19"/>
            <w:vAlign w:val="center"/>
          </w:tcPr>
          <w:p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rsidTr="0059010D">
        <w:trPr>
          <w:trHeight w:val="710"/>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72.69</w:t>
            </w:r>
          </w:p>
        </w:tc>
        <w:tc>
          <w:tcPr>
            <w:tcW w:w="1003"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75.12</w:t>
            </w:r>
          </w:p>
        </w:tc>
        <w:tc>
          <w:tcPr>
            <w:tcW w:w="822" w:type="dxa"/>
            <w:gridSpan w:val="2"/>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73.90</w:t>
            </w:r>
          </w:p>
        </w:tc>
        <w:tc>
          <w:tcPr>
            <w:tcW w:w="1003" w:type="dxa"/>
            <w:gridSpan w:val="3"/>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425.80</w:t>
            </w:r>
          </w:p>
        </w:tc>
        <w:tc>
          <w:tcPr>
            <w:tcW w:w="892"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432.84</w:t>
            </w:r>
          </w:p>
        </w:tc>
        <w:tc>
          <w:tcPr>
            <w:tcW w:w="81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429.32</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760.64</w:t>
            </w:r>
          </w:p>
        </w:tc>
        <w:tc>
          <w:tcPr>
            <w:tcW w:w="99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770.90</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765.77</w:t>
            </w:r>
          </w:p>
        </w:tc>
        <w:tc>
          <w:tcPr>
            <w:tcW w:w="894"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874.96</w:t>
            </w:r>
          </w:p>
        </w:tc>
        <w:tc>
          <w:tcPr>
            <w:tcW w:w="980"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886.76</w:t>
            </w:r>
          </w:p>
        </w:tc>
        <w:tc>
          <w:tcPr>
            <w:tcW w:w="893"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880.86</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70.49</w:t>
            </w:r>
          </w:p>
        </w:tc>
        <w:tc>
          <w:tcPr>
            <w:tcW w:w="1003"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72.84</w:t>
            </w:r>
          </w:p>
        </w:tc>
        <w:tc>
          <w:tcPr>
            <w:tcW w:w="822"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71.66</w:t>
            </w:r>
          </w:p>
        </w:tc>
        <w:tc>
          <w:tcPr>
            <w:tcW w:w="1003" w:type="dxa"/>
            <w:gridSpan w:val="3"/>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422.09</w:t>
            </w:r>
          </w:p>
        </w:tc>
        <w:tc>
          <w:tcPr>
            <w:tcW w:w="892"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429.06</w:t>
            </w:r>
          </w:p>
        </w:tc>
        <w:tc>
          <w:tcPr>
            <w:tcW w:w="81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425.58</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758.14</w:t>
            </w:r>
          </w:p>
        </w:tc>
        <w:tc>
          <w:tcPr>
            <w:tcW w:w="99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768.38</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763.26</w:t>
            </w:r>
          </w:p>
        </w:tc>
        <w:tc>
          <w:tcPr>
            <w:tcW w:w="894"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872.28</w:t>
            </w:r>
          </w:p>
        </w:tc>
        <w:tc>
          <w:tcPr>
            <w:tcW w:w="980"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884.05</w:t>
            </w:r>
          </w:p>
        </w:tc>
        <w:tc>
          <w:tcPr>
            <w:tcW w:w="893"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878.16</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78.93</w:t>
            </w:r>
          </w:p>
        </w:tc>
        <w:tc>
          <w:tcPr>
            <w:tcW w:w="1003"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81.55</w:t>
            </w:r>
          </w:p>
        </w:tc>
        <w:tc>
          <w:tcPr>
            <w:tcW w:w="822"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80.24</w:t>
            </w:r>
          </w:p>
        </w:tc>
        <w:tc>
          <w:tcPr>
            <w:tcW w:w="1003" w:type="dxa"/>
            <w:gridSpan w:val="3"/>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466.27</w:t>
            </w:r>
          </w:p>
        </w:tc>
        <w:tc>
          <w:tcPr>
            <w:tcW w:w="892"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474.04</w:t>
            </w:r>
          </w:p>
        </w:tc>
        <w:tc>
          <w:tcPr>
            <w:tcW w:w="81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470.15</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838.86</w:t>
            </w:r>
          </w:p>
        </w:tc>
        <w:tc>
          <w:tcPr>
            <w:tcW w:w="99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850.04</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844.45</w:t>
            </w:r>
          </w:p>
        </w:tc>
        <w:tc>
          <w:tcPr>
            <w:tcW w:w="894"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964.16</w:t>
            </w:r>
          </w:p>
        </w:tc>
        <w:tc>
          <w:tcPr>
            <w:tcW w:w="980"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977.01</w:t>
            </w:r>
          </w:p>
        </w:tc>
        <w:tc>
          <w:tcPr>
            <w:tcW w:w="893"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970.59</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76.58</w:t>
            </w:r>
          </w:p>
        </w:tc>
        <w:tc>
          <w:tcPr>
            <w:tcW w:w="1003"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79.14</w:t>
            </w:r>
          </w:p>
        </w:tc>
        <w:tc>
          <w:tcPr>
            <w:tcW w:w="822"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77.86</w:t>
            </w:r>
          </w:p>
        </w:tc>
        <w:tc>
          <w:tcPr>
            <w:tcW w:w="1003" w:type="dxa"/>
            <w:gridSpan w:val="3"/>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452.17</w:t>
            </w:r>
          </w:p>
        </w:tc>
        <w:tc>
          <w:tcPr>
            <w:tcW w:w="892"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459.68</w:t>
            </w:r>
          </w:p>
        </w:tc>
        <w:tc>
          <w:tcPr>
            <w:tcW w:w="81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455.93</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813.56</w:t>
            </w:r>
          </w:p>
        </w:tc>
        <w:tc>
          <w:tcPr>
            <w:tcW w:w="99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824.45</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819.00</w:t>
            </w:r>
          </w:p>
        </w:tc>
        <w:tc>
          <w:tcPr>
            <w:tcW w:w="894"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935.30</w:t>
            </w:r>
          </w:p>
        </w:tc>
        <w:tc>
          <w:tcPr>
            <w:tcW w:w="980"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947.62</w:t>
            </w:r>
          </w:p>
        </w:tc>
        <w:tc>
          <w:tcPr>
            <w:tcW w:w="893"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941.46</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tcPr>
          <w:p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79.99</w:t>
            </w:r>
          </w:p>
        </w:tc>
        <w:tc>
          <w:tcPr>
            <w:tcW w:w="1003"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82.65</w:t>
            </w:r>
          </w:p>
        </w:tc>
        <w:tc>
          <w:tcPr>
            <w:tcW w:w="822"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81.32</w:t>
            </w:r>
          </w:p>
        </w:tc>
        <w:tc>
          <w:tcPr>
            <w:tcW w:w="1003" w:type="dxa"/>
            <w:gridSpan w:val="3"/>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469.56</w:t>
            </w:r>
          </w:p>
        </w:tc>
        <w:tc>
          <w:tcPr>
            <w:tcW w:w="892"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477.39</w:t>
            </w:r>
          </w:p>
        </w:tc>
        <w:tc>
          <w:tcPr>
            <w:tcW w:w="81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473.47</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842.08</w:t>
            </w:r>
          </w:p>
        </w:tc>
        <w:tc>
          <w:tcPr>
            <w:tcW w:w="99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853.29</w:t>
            </w:r>
          </w:p>
        </w:tc>
        <w:tc>
          <w:tcPr>
            <w:tcW w:w="900"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847.68</w:t>
            </w:r>
          </w:p>
        </w:tc>
        <w:tc>
          <w:tcPr>
            <w:tcW w:w="894" w:type="dxa"/>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967.12</w:t>
            </w:r>
          </w:p>
        </w:tc>
        <w:tc>
          <w:tcPr>
            <w:tcW w:w="980"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980.00</w:t>
            </w:r>
          </w:p>
        </w:tc>
        <w:tc>
          <w:tcPr>
            <w:tcW w:w="893" w:type="dxa"/>
            <w:gridSpan w:val="2"/>
            <w:vAlign w:val="center"/>
          </w:tcPr>
          <w:p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973.56</w:t>
            </w:r>
          </w:p>
        </w:tc>
      </w:tr>
      <w:tr w:rsidR="00D71C06" w:rsidRPr="00135665" w:rsidTr="0059010D">
        <w:trPr>
          <w:trHeight w:val="147"/>
        </w:trPr>
        <w:tc>
          <w:tcPr>
            <w:tcW w:w="712" w:type="dxa"/>
            <w:vAlign w:val="center"/>
          </w:tcPr>
          <w:p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tcPr>
          <w:p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52.21</w:t>
            </w:r>
          </w:p>
        </w:tc>
        <w:tc>
          <w:tcPr>
            <w:tcW w:w="1003"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53.94</w:t>
            </w:r>
          </w:p>
        </w:tc>
        <w:tc>
          <w:tcPr>
            <w:tcW w:w="822" w:type="dxa"/>
            <w:gridSpan w:val="2"/>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53.08</w:t>
            </w:r>
          </w:p>
        </w:tc>
        <w:tc>
          <w:tcPr>
            <w:tcW w:w="1003" w:type="dxa"/>
            <w:gridSpan w:val="3"/>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306.66</w:t>
            </w:r>
          </w:p>
        </w:tc>
        <w:tc>
          <w:tcPr>
            <w:tcW w:w="892"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311.83</w:t>
            </w:r>
          </w:p>
        </w:tc>
        <w:tc>
          <w:tcPr>
            <w:tcW w:w="810"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309.24</w:t>
            </w:r>
          </w:p>
        </w:tc>
        <w:tc>
          <w:tcPr>
            <w:tcW w:w="900"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552.01</w:t>
            </w:r>
          </w:p>
        </w:tc>
        <w:tc>
          <w:tcPr>
            <w:tcW w:w="990"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559.26</w:t>
            </w:r>
          </w:p>
        </w:tc>
        <w:tc>
          <w:tcPr>
            <w:tcW w:w="900"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555.63</w:t>
            </w:r>
          </w:p>
        </w:tc>
        <w:tc>
          <w:tcPr>
            <w:tcW w:w="894" w:type="dxa"/>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635.04</w:t>
            </w:r>
          </w:p>
        </w:tc>
        <w:tc>
          <w:tcPr>
            <w:tcW w:w="980" w:type="dxa"/>
            <w:gridSpan w:val="2"/>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643.38</w:t>
            </w:r>
          </w:p>
        </w:tc>
        <w:tc>
          <w:tcPr>
            <w:tcW w:w="893" w:type="dxa"/>
            <w:gridSpan w:val="2"/>
            <w:vAlign w:val="center"/>
          </w:tcPr>
          <w:p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639.21</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1.335</w:t>
            </w:r>
          </w:p>
        </w:tc>
        <w:tc>
          <w:tcPr>
            <w:tcW w:w="1003"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1.248</w:t>
            </w:r>
          </w:p>
        </w:tc>
        <w:tc>
          <w:tcPr>
            <w:tcW w:w="822"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1.189</w:t>
            </w:r>
          </w:p>
        </w:tc>
        <w:tc>
          <w:tcPr>
            <w:tcW w:w="1003" w:type="dxa"/>
            <w:gridSpan w:val="3"/>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6.368</w:t>
            </w:r>
          </w:p>
        </w:tc>
        <w:tc>
          <w:tcPr>
            <w:tcW w:w="892"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6.535</w:t>
            </w:r>
          </w:p>
        </w:tc>
        <w:tc>
          <w:tcPr>
            <w:tcW w:w="81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6.731</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11.788</w:t>
            </w:r>
          </w:p>
        </w:tc>
        <w:tc>
          <w:tcPr>
            <w:tcW w:w="99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12.293</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12.360</w:t>
            </w:r>
          </w:p>
        </w:tc>
        <w:tc>
          <w:tcPr>
            <w:tcW w:w="894"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14.747</w:t>
            </w:r>
          </w:p>
        </w:tc>
        <w:tc>
          <w:tcPr>
            <w:tcW w:w="980"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18.366</w:t>
            </w:r>
          </w:p>
        </w:tc>
        <w:tc>
          <w:tcPr>
            <w:tcW w:w="893"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20.298</w:t>
            </w:r>
          </w:p>
        </w:tc>
      </w:tr>
      <w:tr w:rsidR="00D71C06" w:rsidRPr="00135665" w:rsidTr="0059010D">
        <w:trPr>
          <w:trHeight w:val="147"/>
        </w:trPr>
        <w:tc>
          <w:tcPr>
            <w:tcW w:w="3464" w:type="dxa"/>
            <w:gridSpan w:val="2"/>
            <w:vAlign w:val="bottom"/>
          </w:tcPr>
          <w:p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3.874</w:t>
            </w:r>
          </w:p>
        </w:tc>
        <w:tc>
          <w:tcPr>
            <w:tcW w:w="1003"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3.622</w:t>
            </w:r>
          </w:p>
        </w:tc>
        <w:tc>
          <w:tcPr>
            <w:tcW w:w="822"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3.452</w:t>
            </w:r>
          </w:p>
        </w:tc>
        <w:tc>
          <w:tcPr>
            <w:tcW w:w="1003" w:type="dxa"/>
            <w:gridSpan w:val="3"/>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18.480</w:t>
            </w:r>
          </w:p>
        </w:tc>
        <w:tc>
          <w:tcPr>
            <w:tcW w:w="892"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18.967</w:t>
            </w:r>
          </w:p>
        </w:tc>
        <w:tc>
          <w:tcPr>
            <w:tcW w:w="81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19.534</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34.211</w:t>
            </w:r>
          </w:p>
        </w:tc>
        <w:tc>
          <w:tcPr>
            <w:tcW w:w="99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35.676</w:t>
            </w:r>
          </w:p>
        </w:tc>
        <w:tc>
          <w:tcPr>
            <w:tcW w:w="900"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35.871</w:t>
            </w:r>
          </w:p>
        </w:tc>
        <w:tc>
          <w:tcPr>
            <w:tcW w:w="894" w:type="dxa"/>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42.798</w:t>
            </w:r>
          </w:p>
        </w:tc>
        <w:tc>
          <w:tcPr>
            <w:tcW w:w="980"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53.302</w:t>
            </w:r>
          </w:p>
        </w:tc>
        <w:tc>
          <w:tcPr>
            <w:tcW w:w="893" w:type="dxa"/>
            <w:gridSpan w:val="2"/>
            <w:vAlign w:val="center"/>
          </w:tcPr>
          <w:p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58.907</w:t>
            </w:r>
          </w:p>
        </w:tc>
      </w:tr>
    </w:tbl>
    <w:p w:rsidR="00D71C06" w:rsidRDefault="00D71C06" w:rsidP="00D71C06">
      <w:pPr>
        <w:pStyle w:val="NormalWeb"/>
        <w:ind w:firstLine="720"/>
        <w:jc w:val="both"/>
      </w:pPr>
    </w:p>
    <w:p w:rsidR="00D71C06" w:rsidRDefault="00D71C06" w:rsidP="00D71C06">
      <w:pPr>
        <w:ind w:left="-270"/>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3E1CFE">
        <w:rPr>
          <w:rFonts w:ascii="Times New Roman" w:hAnsi="Times New Roman" w:cs="Times New Roman"/>
          <w:b/>
          <w:bCs/>
          <w:sz w:val="24"/>
          <w:szCs w:val="24"/>
        </w:rPr>
        <w:t xml:space="preserve"> Effect of tillage and weed management practices </w:t>
      </w:r>
      <w:r>
        <w:rPr>
          <w:rFonts w:ascii="Times New Roman" w:hAnsi="Times New Roman" w:cs="Times New Roman"/>
          <w:b/>
          <w:bCs/>
          <w:sz w:val="24"/>
          <w:szCs w:val="24"/>
        </w:rPr>
        <w:t>on soil properties</w:t>
      </w:r>
    </w:p>
    <w:tbl>
      <w:tblPr>
        <w:tblStyle w:val="TableGrid"/>
        <w:tblW w:w="13428" w:type="dxa"/>
        <w:tblLayout w:type="fixed"/>
        <w:tblLook w:val="04A0"/>
      </w:tblPr>
      <w:tblGrid>
        <w:gridCol w:w="683"/>
        <w:gridCol w:w="4052"/>
        <w:gridCol w:w="925"/>
        <w:gridCol w:w="1017"/>
        <w:gridCol w:w="925"/>
        <w:gridCol w:w="925"/>
        <w:gridCol w:w="1017"/>
        <w:gridCol w:w="832"/>
        <w:gridCol w:w="1017"/>
        <w:gridCol w:w="1110"/>
        <w:gridCol w:w="925"/>
      </w:tblGrid>
      <w:tr w:rsidR="00D71C06" w:rsidRPr="003E1CFE" w:rsidTr="0059010D">
        <w:trPr>
          <w:trHeight w:val="300"/>
        </w:trPr>
        <w:tc>
          <w:tcPr>
            <w:tcW w:w="4735" w:type="dxa"/>
            <w:gridSpan w:val="2"/>
            <w:vMerge w:val="restart"/>
            <w:vAlign w:val="center"/>
          </w:tcPr>
          <w:p w:rsidR="00D71C06" w:rsidRPr="003E1CFE" w:rsidRDefault="00D71C06" w:rsidP="0059010D">
            <w:pPr>
              <w:spacing w:before="120" w:after="120"/>
              <w:rPr>
                <w:rFonts w:ascii="Times New Roman" w:eastAsia="Calibri" w:hAnsi="Times New Roman" w:cs="Times New Roman"/>
                <w:b/>
                <w:sz w:val="24"/>
                <w:szCs w:val="24"/>
              </w:rPr>
            </w:pPr>
            <w:r w:rsidRPr="003E1CFE">
              <w:rPr>
                <w:rFonts w:ascii="Times New Roman" w:eastAsia="Calibri" w:hAnsi="Times New Roman" w:cs="Times New Roman"/>
                <w:b/>
                <w:color w:val="000000"/>
                <w:sz w:val="24"/>
                <w:szCs w:val="24"/>
              </w:rPr>
              <w:t>Tillage Practices</w:t>
            </w:r>
          </w:p>
        </w:tc>
        <w:tc>
          <w:tcPr>
            <w:tcW w:w="2867" w:type="dxa"/>
            <w:gridSpan w:val="3"/>
            <w:vAlign w:val="bottom"/>
          </w:tcPr>
          <w:p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Bulk Density (g/cc)</w:t>
            </w:r>
          </w:p>
        </w:tc>
        <w:tc>
          <w:tcPr>
            <w:tcW w:w="2774" w:type="dxa"/>
            <w:gridSpan w:val="3"/>
            <w:vAlign w:val="bottom"/>
          </w:tcPr>
          <w:p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Soil pH</w:t>
            </w:r>
          </w:p>
        </w:tc>
        <w:tc>
          <w:tcPr>
            <w:tcW w:w="3052" w:type="dxa"/>
            <w:gridSpan w:val="3"/>
            <w:vAlign w:val="bottom"/>
          </w:tcPr>
          <w:p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Organic carbon (%)</w:t>
            </w:r>
          </w:p>
        </w:tc>
      </w:tr>
      <w:tr w:rsidR="00D71C06" w:rsidRPr="003E1CFE" w:rsidTr="0059010D">
        <w:trPr>
          <w:trHeight w:val="300"/>
        </w:trPr>
        <w:tc>
          <w:tcPr>
            <w:tcW w:w="4735" w:type="dxa"/>
            <w:gridSpan w:val="2"/>
            <w:vMerge/>
            <w:vAlign w:val="bottom"/>
          </w:tcPr>
          <w:p w:rsidR="00D71C06" w:rsidRPr="003E1CFE" w:rsidRDefault="00D71C06" w:rsidP="0059010D">
            <w:pPr>
              <w:spacing w:before="120" w:after="120"/>
              <w:rPr>
                <w:rFonts w:ascii="Calibri" w:eastAsia="Calibri" w:hAnsi="Calibri" w:cs="Calibri"/>
                <w:b/>
                <w:color w:val="000000"/>
                <w:sz w:val="18"/>
                <w:szCs w:val="18"/>
              </w:rPr>
            </w:pPr>
          </w:p>
        </w:tc>
        <w:tc>
          <w:tcPr>
            <w:tcW w:w="925" w:type="dxa"/>
            <w:vAlign w:val="center"/>
          </w:tcPr>
          <w:p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925" w:type="dxa"/>
            <w:vAlign w:val="center"/>
          </w:tcPr>
          <w:p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832" w:type="dxa"/>
            <w:vAlign w:val="center"/>
          </w:tcPr>
          <w:p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1017" w:type="dxa"/>
            <w:vAlign w:val="center"/>
          </w:tcPr>
          <w:p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110" w:type="dxa"/>
            <w:vAlign w:val="center"/>
          </w:tcPr>
          <w:p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r>
      <w:tr w:rsidR="00D71C06" w:rsidRPr="003E1CFE" w:rsidTr="0059010D">
        <w:trPr>
          <w:trHeight w:val="300"/>
        </w:trPr>
        <w:tc>
          <w:tcPr>
            <w:tcW w:w="683" w:type="dxa"/>
            <w:vAlign w:val="center"/>
          </w:tcPr>
          <w:p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T1</w:t>
            </w:r>
          </w:p>
        </w:tc>
        <w:tc>
          <w:tcPr>
            <w:tcW w:w="4052" w:type="dxa"/>
            <w:vAlign w:val="center"/>
          </w:tcPr>
          <w:p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Zero Tillage (ZT)</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1.49</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1.52</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7.05</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7.20</w:t>
            </w:r>
          </w:p>
        </w:tc>
        <w:tc>
          <w:tcPr>
            <w:tcW w:w="832"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7.12</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0.493</w:t>
            </w:r>
          </w:p>
        </w:tc>
        <w:tc>
          <w:tcPr>
            <w:tcW w:w="1110"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0.537</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0.515</w:t>
            </w:r>
          </w:p>
        </w:tc>
      </w:tr>
      <w:tr w:rsidR="00D71C06" w:rsidRPr="003E1CFE" w:rsidTr="0059010D">
        <w:trPr>
          <w:trHeight w:val="300"/>
        </w:trPr>
        <w:tc>
          <w:tcPr>
            <w:tcW w:w="683" w:type="dxa"/>
            <w:vAlign w:val="center"/>
          </w:tcPr>
          <w:p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T2</w:t>
            </w:r>
          </w:p>
        </w:tc>
        <w:tc>
          <w:tcPr>
            <w:tcW w:w="4052" w:type="dxa"/>
            <w:vAlign w:val="center"/>
          </w:tcPr>
          <w:p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Reduced Tillage (RT)</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1.53</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7.40</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7.56</w:t>
            </w:r>
          </w:p>
        </w:tc>
        <w:tc>
          <w:tcPr>
            <w:tcW w:w="832"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7.48</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0.481</w:t>
            </w:r>
          </w:p>
        </w:tc>
        <w:tc>
          <w:tcPr>
            <w:tcW w:w="1110"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0.524</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0.503</w:t>
            </w:r>
          </w:p>
        </w:tc>
      </w:tr>
      <w:tr w:rsidR="00D71C06" w:rsidRPr="003E1CFE" w:rsidTr="0059010D">
        <w:trPr>
          <w:trHeight w:val="300"/>
        </w:trPr>
        <w:tc>
          <w:tcPr>
            <w:tcW w:w="683" w:type="dxa"/>
            <w:vAlign w:val="center"/>
          </w:tcPr>
          <w:p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T3</w:t>
            </w:r>
          </w:p>
        </w:tc>
        <w:tc>
          <w:tcPr>
            <w:tcW w:w="4052" w:type="dxa"/>
            <w:vAlign w:val="center"/>
          </w:tcPr>
          <w:p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Conventional Tillage (CT)</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1.57</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1.64</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7.54</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7.70</w:t>
            </w:r>
          </w:p>
        </w:tc>
        <w:tc>
          <w:tcPr>
            <w:tcW w:w="832"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7.62</w:t>
            </w:r>
          </w:p>
        </w:tc>
        <w:tc>
          <w:tcPr>
            <w:tcW w:w="1017"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0.445</w:t>
            </w:r>
          </w:p>
        </w:tc>
        <w:tc>
          <w:tcPr>
            <w:tcW w:w="1110"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0.484</w:t>
            </w:r>
          </w:p>
        </w:tc>
        <w:tc>
          <w:tcPr>
            <w:tcW w:w="925" w:type="dxa"/>
            <w:vAlign w:val="bottom"/>
          </w:tcPr>
          <w:p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0.464</w:t>
            </w:r>
          </w:p>
        </w:tc>
      </w:tr>
      <w:tr w:rsidR="00D71C06" w:rsidRPr="003E1CFE" w:rsidTr="0059010D">
        <w:trPr>
          <w:trHeight w:val="300"/>
        </w:trPr>
        <w:tc>
          <w:tcPr>
            <w:tcW w:w="683" w:type="dxa"/>
            <w:vAlign w:val="bottom"/>
          </w:tcPr>
          <w:p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SE.m ±</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0.006</w:t>
            </w:r>
          </w:p>
        </w:tc>
        <w:tc>
          <w:tcPr>
            <w:tcW w:w="1017"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0.011</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0.008</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0.038</w:t>
            </w:r>
          </w:p>
        </w:tc>
        <w:tc>
          <w:tcPr>
            <w:tcW w:w="1017"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0.059</w:t>
            </w:r>
          </w:p>
        </w:tc>
        <w:tc>
          <w:tcPr>
            <w:tcW w:w="832"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0.064</w:t>
            </w:r>
          </w:p>
        </w:tc>
        <w:tc>
          <w:tcPr>
            <w:tcW w:w="1017"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c>
          <w:tcPr>
            <w:tcW w:w="1110"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0.001</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r>
      <w:tr w:rsidR="00D71C06" w:rsidRPr="003E1CFE" w:rsidTr="0059010D">
        <w:trPr>
          <w:trHeight w:val="300"/>
        </w:trPr>
        <w:tc>
          <w:tcPr>
            <w:tcW w:w="683" w:type="dxa"/>
            <w:vAlign w:val="bottom"/>
          </w:tcPr>
          <w:p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CD at 5%</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0.023</w:t>
            </w:r>
          </w:p>
        </w:tc>
        <w:tc>
          <w:tcPr>
            <w:tcW w:w="1017"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0.043</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0.032</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0.154</w:t>
            </w:r>
          </w:p>
        </w:tc>
        <w:tc>
          <w:tcPr>
            <w:tcW w:w="1017"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0.238</w:t>
            </w:r>
          </w:p>
        </w:tc>
        <w:tc>
          <w:tcPr>
            <w:tcW w:w="832"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0.259</w:t>
            </w:r>
          </w:p>
        </w:tc>
        <w:tc>
          <w:tcPr>
            <w:tcW w:w="1017"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0.014</w:t>
            </w:r>
          </w:p>
        </w:tc>
        <w:tc>
          <w:tcPr>
            <w:tcW w:w="1110"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0.005</w:t>
            </w:r>
          </w:p>
        </w:tc>
        <w:tc>
          <w:tcPr>
            <w:tcW w:w="925" w:type="dxa"/>
            <w:vAlign w:val="bottom"/>
          </w:tcPr>
          <w:p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0.017</w:t>
            </w:r>
          </w:p>
        </w:tc>
      </w:tr>
      <w:tr w:rsidR="00D71C06" w:rsidRPr="003E1CFE" w:rsidTr="0059010D">
        <w:trPr>
          <w:trHeight w:val="300"/>
        </w:trPr>
        <w:tc>
          <w:tcPr>
            <w:tcW w:w="13428" w:type="dxa"/>
            <w:gridSpan w:val="11"/>
            <w:vAlign w:val="bottom"/>
          </w:tcPr>
          <w:p w:rsidR="00D71C06" w:rsidRPr="003E1CFE" w:rsidRDefault="00D71C06" w:rsidP="0059010D">
            <w:pPr>
              <w:rPr>
                <w:rFonts w:ascii="Times New Roman" w:eastAsia="Calibri" w:hAnsi="Times New Roman" w:cs="Times New Roman"/>
                <w:color w:val="00B0F0"/>
                <w:sz w:val="24"/>
                <w:szCs w:val="24"/>
              </w:rPr>
            </w:pPr>
            <w:r w:rsidRPr="003E1CFE">
              <w:rPr>
                <w:rFonts w:ascii="Times New Roman" w:eastAsia="Calibri" w:hAnsi="Times New Roman" w:cs="Times New Roman"/>
                <w:b/>
                <w:color w:val="000000"/>
                <w:sz w:val="24"/>
                <w:szCs w:val="24"/>
              </w:rPr>
              <w:t>Weed managements</w:t>
            </w:r>
          </w:p>
        </w:tc>
      </w:tr>
      <w:tr w:rsidR="00D71C06" w:rsidRPr="003E1CFE" w:rsidTr="0059010D">
        <w:trPr>
          <w:trHeight w:val="440"/>
        </w:trPr>
        <w:tc>
          <w:tcPr>
            <w:tcW w:w="683" w:type="dxa"/>
            <w:vAlign w:val="center"/>
          </w:tcPr>
          <w:p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W1</w:t>
            </w:r>
          </w:p>
        </w:tc>
        <w:tc>
          <w:tcPr>
            <w:tcW w:w="4052" w:type="dxa"/>
            <w:vAlign w:val="bottom"/>
          </w:tcPr>
          <w:p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Pyroxasulfone (85%WG) @ 120g/ha as PE fb Clodinafop- Propargyl (15% WP) @ 60g/ha as PE 35 DAS</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7.37</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832"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7.45</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0.468</w:t>
            </w:r>
          </w:p>
        </w:tc>
        <w:tc>
          <w:tcPr>
            <w:tcW w:w="1110"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0.509</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0.489</w:t>
            </w:r>
          </w:p>
        </w:tc>
      </w:tr>
      <w:tr w:rsidR="00D71C06" w:rsidRPr="003E1CFE" w:rsidTr="0059010D">
        <w:trPr>
          <w:trHeight w:val="300"/>
        </w:trPr>
        <w:tc>
          <w:tcPr>
            <w:tcW w:w="683" w:type="dxa"/>
            <w:vAlign w:val="center"/>
          </w:tcPr>
          <w:p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W2</w:t>
            </w:r>
          </w:p>
        </w:tc>
        <w:tc>
          <w:tcPr>
            <w:tcW w:w="4052" w:type="dxa"/>
            <w:vAlign w:val="bottom"/>
          </w:tcPr>
          <w:p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Pendimethalin (30% EC) @ 1000 g/ha + Metribuzin (75% WP) @ 210 g/ha (RM) as PE</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1.58</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1.64</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1.61</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7.70</w:t>
            </w:r>
          </w:p>
        </w:tc>
        <w:tc>
          <w:tcPr>
            <w:tcW w:w="832"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7.62</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0.457</w:t>
            </w:r>
          </w:p>
        </w:tc>
        <w:tc>
          <w:tcPr>
            <w:tcW w:w="1110"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0.498</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0.478</w:t>
            </w:r>
          </w:p>
        </w:tc>
      </w:tr>
      <w:tr w:rsidR="00D71C06" w:rsidRPr="003E1CFE" w:rsidTr="0059010D">
        <w:trPr>
          <w:trHeight w:val="300"/>
        </w:trPr>
        <w:tc>
          <w:tcPr>
            <w:tcW w:w="683" w:type="dxa"/>
            <w:vAlign w:val="center"/>
          </w:tcPr>
          <w:p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W3</w:t>
            </w:r>
          </w:p>
        </w:tc>
        <w:tc>
          <w:tcPr>
            <w:tcW w:w="4052" w:type="dxa"/>
            <w:vAlign w:val="bottom"/>
          </w:tcPr>
          <w:p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Clodinafop- Propargyl (15% WP) @ 60 g/ha + Metasulfuron methyl (20% WP) @ 4 g/ha (RM) as PoE at 35 DAS</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1.49</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7.19</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7.34</w:t>
            </w:r>
          </w:p>
        </w:tc>
        <w:tc>
          <w:tcPr>
            <w:tcW w:w="832"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7.26</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0.493</w:t>
            </w:r>
          </w:p>
        </w:tc>
        <w:tc>
          <w:tcPr>
            <w:tcW w:w="1110"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0.536</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0.514</w:t>
            </w:r>
          </w:p>
        </w:tc>
      </w:tr>
      <w:tr w:rsidR="00D71C06" w:rsidRPr="003E1CFE" w:rsidTr="0059010D">
        <w:trPr>
          <w:trHeight w:val="300"/>
        </w:trPr>
        <w:tc>
          <w:tcPr>
            <w:tcW w:w="683" w:type="dxa"/>
            <w:vAlign w:val="center"/>
          </w:tcPr>
          <w:p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W4</w:t>
            </w:r>
          </w:p>
        </w:tc>
        <w:tc>
          <w:tcPr>
            <w:tcW w:w="4052" w:type="dxa"/>
            <w:vAlign w:val="bottom"/>
          </w:tcPr>
          <w:p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Pinoxaden (5.1%EC) @50 g/ha+ Carfentrazone ethyle (40%DF) @ 20g/ha as PoE at 35 DAS</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1.57</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1.55</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7.23</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7.38</w:t>
            </w:r>
          </w:p>
        </w:tc>
        <w:tc>
          <w:tcPr>
            <w:tcW w:w="832"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7.30</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0.481</w:t>
            </w:r>
          </w:p>
        </w:tc>
        <w:tc>
          <w:tcPr>
            <w:tcW w:w="1110"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0.524</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0.503</w:t>
            </w:r>
          </w:p>
        </w:tc>
      </w:tr>
      <w:tr w:rsidR="00D71C06" w:rsidRPr="003E1CFE" w:rsidTr="0059010D">
        <w:trPr>
          <w:trHeight w:val="300"/>
        </w:trPr>
        <w:tc>
          <w:tcPr>
            <w:tcW w:w="683" w:type="dxa"/>
            <w:vAlign w:val="center"/>
          </w:tcPr>
          <w:p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W5</w:t>
            </w:r>
          </w:p>
        </w:tc>
        <w:tc>
          <w:tcPr>
            <w:tcW w:w="4052" w:type="dxa"/>
            <w:vAlign w:val="center"/>
          </w:tcPr>
          <w:p w:rsidR="00D71C06" w:rsidRPr="00CC2272" w:rsidRDefault="00D71C06" w:rsidP="0059010D">
            <w:pP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Weed free</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1.44</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1.51</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1.47</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7.07</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7.22</w:t>
            </w:r>
          </w:p>
        </w:tc>
        <w:tc>
          <w:tcPr>
            <w:tcW w:w="832"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7.15</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0.507</w:t>
            </w:r>
          </w:p>
        </w:tc>
        <w:tc>
          <w:tcPr>
            <w:tcW w:w="1110"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0.552</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0.530</w:t>
            </w:r>
          </w:p>
        </w:tc>
      </w:tr>
      <w:tr w:rsidR="00D71C06" w:rsidRPr="003E1CFE" w:rsidTr="0059010D">
        <w:trPr>
          <w:trHeight w:val="300"/>
        </w:trPr>
        <w:tc>
          <w:tcPr>
            <w:tcW w:w="683" w:type="dxa"/>
            <w:vAlign w:val="center"/>
          </w:tcPr>
          <w:p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W6</w:t>
            </w:r>
          </w:p>
        </w:tc>
        <w:tc>
          <w:tcPr>
            <w:tcW w:w="4052" w:type="dxa"/>
            <w:vAlign w:val="center"/>
          </w:tcPr>
          <w:p w:rsidR="00D71C06" w:rsidRPr="00CC2272" w:rsidRDefault="00D71C06" w:rsidP="0059010D">
            <w:pPr>
              <w:rPr>
                <w:rFonts w:ascii="Times New Roman" w:eastAsia="Calibri" w:hAnsi="Times New Roman" w:cs="Times New Roman"/>
                <w:sz w:val="20"/>
                <w:szCs w:val="20"/>
              </w:rPr>
            </w:pPr>
            <w:r w:rsidRPr="00CC2272">
              <w:rPr>
                <w:rFonts w:ascii="Times New Roman" w:eastAsia="Calibri" w:hAnsi="Times New Roman" w:cs="Times New Roman"/>
                <w:sz w:val="20"/>
                <w:szCs w:val="20"/>
              </w:rPr>
              <w:t>Weedy check (Control)</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1.67</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7.59</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7.75</w:t>
            </w:r>
          </w:p>
        </w:tc>
        <w:tc>
          <w:tcPr>
            <w:tcW w:w="832"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7.67</w:t>
            </w:r>
          </w:p>
        </w:tc>
        <w:tc>
          <w:tcPr>
            <w:tcW w:w="1017"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0.432</w:t>
            </w:r>
          </w:p>
        </w:tc>
        <w:tc>
          <w:tcPr>
            <w:tcW w:w="1110"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0.470</w:t>
            </w:r>
          </w:p>
        </w:tc>
        <w:tc>
          <w:tcPr>
            <w:tcW w:w="925" w:type="dxa"/>
            <w:vAlign w:val="bottom"/>
          </w:tcPr>
          <w:p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0.451</w:t>
            </w:r>
          </w:p>
        </w:tc>
      </w:tr>
      <w:tr w:rsidR="00D71C06" w:rsidRPr="003E1CFE" w:rsidTr="0059010D">
        <w:trPr>
          <w:trHeight w:val="300"/>
        </w:trPr>
        <w:tc>
          <w:tcPr>
            <w:tcW w:w="4735" w:type="dxa"/>
            <w:gridSpan w:val="2"/>
            <w:vAlign w:val="bottom"/>
          </w:tcPr>
          <w:p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SE.m ±</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1017"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0.014</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0.117</w:t>
            </w:r>
          </w:p>
        </w:tc>
        <w:tc>
          <w:tcPr>
            <w:tcW w:w="1017"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0.110</w:t>
            </w:r>
          </w:p>
        </w:tc>
        <w:tc>
          <w:tcPr>
            <w:tcW w:w="832"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0.112</w:t>
            </w:r>
          </w:p>
        </w:tc>
        <w:tc>
          <w:tcPr>
            <w:tcW w:w="1017"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c>
          <w:tcPr>
            <w:tcW w:w="1110"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0.010</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r>
      <w:tr w:rsidR="00D71C06" w:rsidRPr="003E1CFE" w:rsidTr="0059010D">
        <w:trPr>
          <w:trHeight w:val="300"/>
        </w:trPr>
        <w:tc>
          <w:tcPr>
            <w:tcW w:w="4735" w:type="dxa"/>
            <w:gridSpan w:val="2"/>
            <w:vAlign w:val="bottom"/>
          </w:tcPr>
          <w:p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CD at 5%</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0.080</w:t>
            </w:r>
          </w:p>
        </w:tc>
        <w:tc>
          <w:tcPr>
            <w:tcW w:w="1017"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0.081</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0.040</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0.339</w:t>
            </w:r>
          </w:p>
        </w:tc>
        <w:tc>
          <w:tcPr>
            <w:tcW w:w="1017"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0.319</w:t>
            </w:r>
          </w:p>
        </w:tc>
        <w:tc>
          <w:tcPr>
            <w:tcW w:w="832"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0.325</w:t>
            </w:r>
          </w:p>
        </w:tc>
        <w:tc>
          <w:tcPr>
            <w:tcW w:w="1017"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0.027</w:t>
            </w:r>
          </w:p>
        </w:tc>
        <w:tc>
          <w:tcPr>
            <w:tcW w:w="1110"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0.026</w:t>
            </w:r>
          </w:p>
        </w:tc>
      </w:tr>
    </w:tbl>
    <w:p w:rsidR="00D71C06" w:rsidRDefault="00D71C06" w:rsidP="00D71C06">
      <w:pPr>
        <w:pStyle w:val="NormalWeb"/>
        <w:ind w:firstLine="720"/>
        <w:jc w:val="both"/>
      </w:pPr>
    </w:p>
    <w:p w:rsidR="00D71C06" w:rsidRDefault="00D71C06" w:rsidP="00E27C82">
      <w:pPr>
        <w:pStyle w:val="NormalWeb"/>
        <w:jc w:val="both"/>
        <w:rPr>
          <w:b/>
          <w:bCs/>
        </w:rPr>
      </w:pPr>
    </w:p>
    <w:p w:rsidR="00D71C06" w:rsidRDefault="00D71C06" w:rsidP="00E27C82">
      <w:pPr>
        <w:pStyle w:val="NormalWeb"/>
        <w:jc w:val="both"/>
        <w:rPr>
          <w:b/>
          <w:bCs/>
        </w:rPr>
      </w:pPr>
    </w:p>
    <w:p w:rsidR="00D71C06" w:rsidRDefault="00D71C06" w:rsidP="00D71C06">
      <w:pPr>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6135A0">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available NPK in soil (kg/ha)</w:t>
      </w:r>
    </w:p>
    <w:tbl>
      <w:tblPr>
        <w:tblStyle w:val="TableGrid"/>
        <w:tblW w:w="13764" w:type="dxa"/>
        <w:jc w:val="center"/>
        <w:tblLayout w:type="fixed"/>
        <w:tblLook w:val="04A0"/>
      </w:tblPr>
      <w:tblGrid>
        <w:gridCol w:w="685"/>
        <w:gridCol w:w="4397"/>
        <w:gridCol w:w="1008"/>
        <w:gridCol w:w="961"/>
        <w:gridCol w:w="953"/>
        <w:gridCol w:w="958"/>
        <w:gridCol w:w="969"/>
        <w:gridCol w:w="958"/>
        <w:gridCol w:w="958"/>
        <w:gridCol w:w="958"/>
        <w:gridCol w:w="959"/>
      </w:tblGrid>
      <w:tr w:rsidR="00D71C06" w:rsidRPr="00B2575F" w:rsidTr="00946412">
        <w:trPr>
          <w:trHeight w:val="346"/>
          <w:jc w:val="center"/>
        </w:trPr>
        <w:tc>
          <w:tcPr>
            <w:tcW w:w="5082" w:type="dxa"/>
            <w:gridSpan w:val="2"/>
            <w:vMerge w:val="restart"/>
            <w:vAlign w:val="center"/>
          </w:tcPr>
          <w:p w:rsidR="00D71C06" w:rsidRPr="00B2575F" w:rsidRDefault="00D71C06" w:rsidP="0059010D">
            <w:pPr>
              <w:spacing w:before="120" w:after="120"/>
              <w:rPr>
                <w:rFonts w:ascii="Times New Roman" w:eastAsia="Calibri" w:hAnsi="Times New Roman" w:cs="Times New Roman"/>
                <w:b/>
                <w:sz w:val="24"/>
                <w:szCs w:val="24"/>
              </w:rPr>
            </w:pPr>
            <w:r w:rsidRPr="00B2575F">
              <w:rPr>
                <w:rFonts w:ascii="Times New Roman" w:eastAsia="Calibri" w:hAnsi="Times New Roman" w:cs="Times New Roman"/>
                <w:b/>
                <w:color w:val="000000"/>
                <w:sz w:val="24"/>
                <w:szCs w:val="24"/>
              </w:rPr>
              <w:t>Tillage Practices</w:t>
            </w:r>
          </w:p>
        </w:tc>
        <w:tc>
          <w:tcPr>
            <w:tcW w:w="2922" w:type="dxa"/>
            <w:gridSpan w:val="3"/>
            <w:vAlign w:val="center"/>
          </w:tcPr>
          <w:p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N</w:t>
            </w:r>
          </w:p>
        </w:tc>
        <w:tc>
          <w:tcPr>
            <w:tcW w:w="2885" w:type="dxa"/>
            <w:gridSpan w:val="3"/>
            <w:vAlign w:val="center"/>
          </w:tcPr>
          <w:p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P</w:t>
            </w:r>
          </w:p>
        </w:tc>
        <w:tc>
          <w:tcPr>
            <w:tcW w:w="2875" w:type="dxa"/>
            <w:gridSpan w:val="3"/>
            <w:vAlign w:val="center"/>
          </w:tcPr>
          <w:p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K</w:t>
            </w:r>
          </w:p>
        </w:tc>
      </w:tr>
      <w:tr w:rsidR="0002594B" w:rsidRPr="00B2575F" w:rsidTr="00946412">
        <w:trPr>
          <w:trHeight w:val="346"/>
          <w:jc w:val="center"/>
        </w:trPr>
        <w:tc>
          <w:tcPr>
            <w:tcW w:w="5082" w:type="dxa"/>
            <w:gridSpan w:val="2"/>
            <w:vMerge/>
            <w:vAlign w:val="bottom"/>
          </w:tcPr>
          <w:p w:rsidR="0002594B" w:rsidRPr="00B2575F" w:rsidRDefault="0002594B" w:rsidP="0059010D">
            <w:pPr>
              <w:spacing w:before="120" w:after="120"/>
              <w:rPr>
                <w:rFonts w:ascii="Calibri" w:eastAsia="Calibri" w:hAnsi="Calibri" w:cs="Calibri"/>
                <w:b/>
                <w:color w:val="000000"/>
                <w:sz w:val="18"/>
                <w:szCs w:val="18"/>
              </w:rPr>
            </w:pPr>
          </w:p>
        </w:tc>
        <w:tc>
          <w:tcPr>
            <w:tcW w:w="1008" w:type="dxa"/>
            <w:vAlign w:val="center"/>
          </w:tcPr>
          <w:p w:rsidR="0002594B" w:rsidRPr="0002594B" w:rsidRDefault="0002594B" w:rsidP="0040494D">
            <w:pPr>
              <w:jc w:val="center"/>
              <w:rPr>
                <w:rFonts w:ascii="Times New Roman" w:eastAsia="Calibri" w:hAnsi="Times New Roman" w:cs="Times New Roman"/>
                <w:b/>
                <w:bCs/>
                <w:sz w:val="20"/>
                <w:szCs w:val="20"/>
              </w:rPr>
            </w:pPr>
            <w:r w:rsidRPr="0002594B">
              <w:rPr>
                <w:rFonts w:ascii="Times New Roman" w:eastAsia="Calibri" w:hAnsi="Times New Roman" w:cs="Times New Roman"/>
                <w:b/>
                <w:bCs/>
                <w:sz w:val="20"/>
                <w:szCs w:val="20"/>
              </w:rPr>
              <w:t>2022-23</w:t>
            </w:r>
          </w:p>
        </w:tc>
        <w:tc>
          <w:tcPr>
            <w:tcW w:w="961" w:type="dxa"/>
            <w:vAlign w:val="center"/>
          </w:tcPr>
          <w:p w:rsidR="0002594B" w:rsidRPr="0002594B" w:rsidRDefault="0002594B" w:rsidP="0040494D">
            <w:pPr>
              <w:jc w:val="center"/>
              <w:rPr>
                <w:rFonts w:ascii="Times New Roman" w:eastAsia="Calibri" w:hAnsi="Times New Roman" w:cs="Times New Roman"/>
                <w:b/>
                <w:bCs/>
                <w:color w:val="000000"/>
                <w:sz w:val="20"/>
                <w:szCs w:val="20"/>
              </w:rPr>
            </w:pPr>
            <w:r w:rsidRPr="0002594B">
              <w:rPr>
                <w:rFonts w:ascii="Times New Roman" w:eastAsia="Calibri" w:hAnsi="Times New Roman" w:cs="Times New Roman"/>
                <w:b/>
                <w:bCs/>
                <w:color w:val="000000"/>
                <w:sz w:val="20"/>
                <w:szCs w:val="20"/>
              </w:rPr>
              <w:t>2023-24</w:t>
            </w:r>
          </w:p>
        </w:tc>
        <w:tc>
          <w:tcPr>
            <w:tcW w:w="953" w:type="dxa"/>
            <w:vAlign w:val="center"/>
          </w:tcPr>
          <w:p w:rsidR="0002594B" w:rsidRPr="0002594B" w:rsidRDefault="0002594B" w:rsidP="0059010D">
            <w:pPr>
              <w:jc w:val="center"/>
              <w:rPr>
                <w:rFonts w:ascii="Arial" w:eastAsia="Calibri" w:hAnsi="Arial" w:cs="Arial"/>
                <w:b/>
                <w:bCs/>
                <w:color w:val="000000"/>
                <w:sz w:val="16"/>
                <w:szCs w:val="16"/>
              </w:rPr>
            </w:pPr>
            <w:r w:rsidRPr="0002594B">
              <w:rPr>
                <w:rFonts w:ascii="Arial" w:eastAsia="Calibri" w:hAnsi="Arial" w:cs="Arial"/>
                <w:b/>
                <w:bCs/>
                <w:color w:val="000000"/>
                <w:sz w:val="16"/>
                <w:szCs w:val="16"/>
              </w:rPr>
              <w:t>Pooled</w:t>
            </w:r>
          </w:p>
        </w:tc>
        <w:tc>
          <w:tcPr>
            <w:tcW w:w="958" w:type="dxa"/>
            <w:vAlign w:val="center"/>
          </w:tcPr>
          <w:p w:rsidR="0002594B" w:rsidRPr="0002594B" w:rsidRDefault="0002594B" w:rsidP="0040494D">
            <w:pPr>
              <w:jc w:val="center"/>
              <w:rPr>
                <w:rFonts w:ascii="Times New Roman" w:eastAsia="Calibri" w:hAnsi="Times New Roman" w:cs="Times New Roman"/>
                <w:b/>
                <w:bCs/>
                <w:sz w:val="20"/>
                <w:szCs w:val="20"/>
              </w:rPr>
            </w:pPr>
            <w:r w:rsidRPr="0002594B">
              <w:rPr>
                <w:rFonts w:ascii="Times New Roman" w:eastAsia="Calibri" w:hAnsi="Times New Roman" w:cs="Times New Roman"/>
                <w:b/>
                <w:bCs/>
                <w:sz w:val="20"/>
                <w:szCs w:val="20"/>
              </w:rPr>
              <w:t>2022-23</w:t>
            </w:r>
          </w:p>
        </w:tc>
        <w:tc>
          <w:tcPr>
            <w:tcW w:w="969" w:type="dxa"/>
            <w:vAlign w:val="center"/>
          </w:tcPr>
          <w:p w:rsidR="0002594B" w:rsidRPr="0002594B" w:rsidRDefault="0002594B" w:rsidP="0040494D">
            <w:pPr>
              <w:jc w:val="center"/>
              <w:rPr>
                <w:rFonts w:ascii="Times New Roman" w:eastAsia="Calibri" w:hAnsi="Times New Roman" w:cs="Times New Roman"/>
                <w:b/>
                <w:bCs/>
                <w:color w:val="000000"/>
                <w:sz w:val="20"/>
                <w:szCs w:val="20"/>
              </w:rPr>
            </w:pPr>
            <w:r w:rsidRPr="0002594B">
              <w:rPr>
                <w:rFonts w:ascii="Times New Roman" w:eastAsia="Calibri" w:hAnsi="Times New Roman" w:cs="Times New Roman"/>
                <w:b/>
                <w:bCs/>
                <w:color w:val="000000"/>
                <w:sz w:val="20"/>
                <w:szCs w:val="20"/>
              </w:rPr>
              <w:t>2023-24</w:t>
            </w:r>
          </w:p>
        </w:tc>
        <w:tc>
          <w:tcPr>
            <w:tcW w:w="958" w:type="dxa"/>
            <w:vAlign w:val="center"/>
          </w:tcPr>
          <w:p w:rsidR="0002594B" w:rsidRPr="0002594B" w:rsidRDefault="0002594B" w:rsidP="0059010D">
            <w:pPr>
              <w:jc w:val="center"/>
              <w:rPr>
                <w:rFonts w:ascii="Arial" w:eastAsia="Calibri" w:hAnsi="Arial" w:cs="Arial"/>
                <w:b/>
                <w:bCs/>
                <w:color w:val="000000"/>
                <w:sz w:val="16"/>
                <w:szCs w:val="16"/>
              </w:rPr>
            </w:pPr>
            <w:r w:rsidRPr="0002594B">
              <w:rPr>
                <w:rFonts w:ascii="Arial" w:eastAsia="Calibri" w:hAnsi="Arial" w:cs="Arial"/>
                <w:b/>
                <w:bCs/>
                <w:color w:val="000000"/>
                <w:sz w:val="16"/>
                <w:szCs w:val="16"/>
              </w:rPr>
              <w:t>Pooled</w:t>
            </w:r>
          </w:p>
        </w:tc>
        <w:tc>
          <w:tcPr>
            <w:tcW w:w="958" w:type="dxa"/>
            <w:vAlign w:val="center"/>
          </w:tcPr>
          <w:p w:rsidR="0002594B" w:rsidRPr="0002594B" w:rsidRDefault="0002594B" w:rsidP="0040494D">
            <w:pPr>
              <w:jc w:val="center"/>
              <w:rPr>
                <w:rFonts w:ascii="Times New Roman" w:eastAsia="Calibri" w:hAnsi="Times New Roman" w:cs="Times New Roman"/>
                <w:b/>
                <w:bCs/>
                <w:sz w:val="20"/>
                <w:szCs w:val="20"/>
              </w:rPr>
            </w:pPr>
            <w:r w:rsidRPr="0002594B">
              <w:rPr>
                <w:rFonts w:ascii="Times New Roman" w:eastAsia="Calibri" w:hAnsi="Times New Roman" w:cs="Times New Roman"/>
                <w:b/>
                <w:bCs/>
                <w:sz w:val="20"/>
                <w:szCs w:val="20"/>
              </w:rPr>
              <w:t>2022-23</w:t>
            </w:r>
          </w:p>
        </w:tc>
        <w:tc>
          <w:tcPr>
            <w:tcW w:w="958" w:type="dxa"/>
            <w:vAlign w:val="center"/>
          </w:tcPr>
          <w:p w:rsidR="0002594B" w:rsidRPr="0002594B" w:rsidRDefault="0002594B" w:rsidP="0040494D">
            <w:pPr>
              <w:jc w:val="center"/>
              <w:rPr>
                <w:rFonts w:ascii="Times New Roman" w:eastAsia="Calibri" w:hAnsi="Times New Roman" w:cs="Times New Roman"/>
                <w:b/>
                <w:bCs/>
                <w:color w:val="000000"/>
                <w:sz w:val="20"/>
                <w:szCs w:val="20"/>
              </w:rPr>
            </w:pPr>
            <w:r w:rsidRPr="0002594B">
              <w:rPr>
                <w:rFonts w:ascii="Times New Roman" w:eastAsia="Calibri" w:hAnsi="Times New Roman" w:cs="Times New Roman"/>
                <w:b/>
                <w:bCs/>
                <w:color w:val="000000"/>
                <w:sz w:val="20"/>
                <w:szCs w:val="20"/>
              </w:rPr>
              <w:t>2023-24</w:t>
            </w:r>
          </w:p>
        </w:tc>
        <w:tc>
          <w:tcPr>
            <w:tcW w:w="959" w:type="dxa"/>
            <w:vAlign w:val="center"/>
          </w:tcPr>
          <w:p w:rsidR="0002594B" w:rsidRPr="0002594B" w:rsidRDefault="0002594B" w:rsidP="0059010D">
            <w:pPr>
              <w:jc w:val="center"/>
              <w:rPr>
                <w:rFonts w:ascii="Arial" w:eastAsia="Calibri" w:hAnsi="Arial" w:cs="Arial"/>
                <w:b/>
                <w:bCs/>
                <w:color w:val="000000"/>
                <w:sz w:val="16"/>
                <w:szCs w:val="16"/>
              </w:rPr>
            </w:pPr>
            <w:r w:rsidRPr="0002594B">
              <w:rPr>
                <w:rFonts w:ascii="Arial" w:eastAsia="Calibri" w:hAnsi="Arial" w:cs="Arial"/>
                <w:b/>
                <w:bCs/>
                <w:color w:val="000000"/>
                <w:sz w:val="16"/>
                <w:szCs w:val="16"/>
              </w:rPr>
              <w:t>Pooled</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T1</w:t>
            </w:r>
          </w:p>
        </w:tc>
        <w:tc>
          <w:tcPr>
            <w:tcW w:w="4397" w:type="dxa"/>
            <w:vAlign w:val="center"/>
          </w:tcPr>
          <w:p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Zero Tillage (ZT)</w:t>
            </w:r>
          </w:p>
        </w:tc>
        <w:tc>
          <w:tcPr>
            <w:tcW w:w="1008" w:type="dxa"/>
            <w:vAlign w:val="center"/>
          </w:tcPr>
          <w:p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236.01</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240.75</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238.38</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16.00</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16.58</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16.29</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187.81</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193.48</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190.64</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T2</w:t>
            </w:r>
          </w:p>
        </w:tc>
        <w:tc>
          <w:tcPr>
            <w:tcW w:w="4397" w:type="dxa"/>
            <w:vAlign w:val="center"/>
          </w:tcPr>
          <w:p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Reduced Tillage (RT)</w:t>
            </w:r>
          </w:p>
        </w:tc>
        <w:tc>
          <w:tcPr>
            <w:tcW w:w="1008" w:type="dxa"/>
            <w:vAlign w:val="center"/>
          </w:tcPr>
          <w:p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233.71</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238.41</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236.06</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15.72</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16.30</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16.01</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186.09</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191.69</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188.89</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T3</w:t>
            </w:r>
          </w:p>
        </w:tc>
        <w:tc>
          <w:tcPr>
            <w:tcW w:w="4397" w:type="dxa"/>
            <w:vAlign w:val="center"/>
          </w:tcPr>
          <w:p w:rsidR="00D71C06" w:rsidRPr="00B2575F" w:rsidRDefault="00D71C06" w:rsidP="0059010D">
            <w:pPr>
              <w:rPr>
                <w:rFonts w:ascii="Times New Roman" w:eastAsia="Calibri" w:hAnsi="Times New Roman" w:cs="Times New Roman"/>
                <w:sz w:val="20"/>
                <w:szCs w:val="20"/>
              </w:rPr>
            </w:pPr>
            <w:r w:rsidRPr="00B2575F">
              <w:rPr>
                <w:rFonts w:ascii="Times New Roman" w:eastAsia="Calibri" w:hAnsi="Times New Roman" w:cs="Times New Roman"/>
                <w:sz w:val="20"/>
                <w:szCs w:val="20"/>
              </w:rPr>
              <w:t>Conventional Tillage (CT)</w:t>
            </w:r>
          </w:p>
        </w:tc>
        <w:tc>
          <w:tcPr>
            <w:tcW w:w="1008" w:type="dxa"/>
            <w:vAlign w:val="center"/>
          </w:tcPr>
          <w:p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219.85</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224.27</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222.06</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12.85</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13.32</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13.09</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175.62</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180.92</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178.27</w:t>
            </w:r>
          </w:p>
        </w:tc>
      </w:tr>
      <w:tr w:rsidR="00D71C06" w:rsidRPr="00B2575F" w:rsidTr="00946412">
        <w:trPr>
          <w:trHeight w:val="346"/>
          <w:jc w:val="center"/>
        </w:trPr>
        <w:tc>
          <w:tcPr>
            <w:tcW w:w="5082" w:type="dxa"/>
            <w:gridSpan w:val="2"/>
            <w:vAlign w:val="bottom"/>
          </w:tcPr>
          <w:p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100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1.361</w:t>
            </w:r>
          </w:p>
        </w:tc>
        <w:tc>
          <w:tcPr>
            <w:tcW w:w="961"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0.635</w:t>
            </w:r>
          </w:p>
        </w:tc>
        <w:tc>
          <w:tcPr>
            <w:tcW w:w="953"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1.052</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0.086</w:t>
            </w:r>
          </w:p>
        </w:tc>
        <w:tc>
          <w:tcPr>
            <w:tcW w:w="96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0.181</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0.088</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1.540</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1.561</w:t>
            </w:r>
          </w:p>
        </w:tc>
        <w:tc>
          <w:tcPr>
            <w:tcW w:w="95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1.092</w:t>
            </w:r>
          </w:p>
        </w:tc>
      </w:tr>
      <w:tr w:rsidR="00D71C06" w:rsidRPr="00B2575F" w:rsidTr="00946412">
        <w:trPr>
          <w:trHeight w:val="346"/>
          <w:jc w:val="center"/>
        </w:trPr>
        <w:tc>
          <w:tcPr>
            <w:tcW w:w="5082" w:type="dxa"/>
            <w:gridSpan w:val="2"/>
            <w:vAlign w:val="bottom"/>
          </w:tcPr>
          <w:p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100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5.485</w:t>
            </w:r>
          </w:p>
        </w:tc>
        <w:tc>
          <w:tcPr>
            <w:tcW w:w="961"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2.558</w:t>
            </w:r>
          </w:p>
        </w:tc>
        <w:tc>
          <w:tcPr>
            <w:tcW w:w="953"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4.242</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0.347</w:t>
            </w:r>
          </w:p>
        </w:tc>
        <w:tc>
          <w:tcPr>
            <w:tcW w:w="96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0.729</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0.356</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6.210</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6.294</w:t>
            </w:r>
          </w:p>
        </w:tc>
        <w:tc>
          <w:tcPr>
            <w:tcW w:w="95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4.402</w:t>
            </w:r>
          </w:p>
        </w:tc>
      </w:tr>
      <w:tr w:rsidR="00D71C06" w:rsidRPr="00B2575F" w:rsidTr="0059010D">
        <w:trPr>
          <w:trHeight w:val="346"/>
          <w:jc w:val="center"/>
        </w:trPr>
        <w:tc>
          <w:tcPr>
            <w:tcW w:w="13764" w:type="dxa"/>
            <w:gridSpan w:val="11"/>
            <w:vAlign w:val="bottom"/>
          </w:tcPr>
          <w:p w:rsidR="00D71C06" w:rsidRPr="00B2575F" w:rsidRDefault="00D71C06" w:rsidP="0059010D">
            <w:pPr>
              <w:rPr>
                <w:rFonts w:ascii="Times New Roman" w:eastAsia="Calibri" w:hAnsi="Times New Roman" w:cs="Times New Roman"/>
                <w:color w:val="00B0F0"/>
                <w:sz w:val="24"/>
                <w:szCs w:val="24"/>
              </w:rPr>
            </w:pPr>
            <w:r w:rsidRPr="00B2575F">
              <w:rPr>
                <w:rFonts w:ascii="Times New Roman" w:eastAsia="Calibri" w:hAnsi="Times New Roman" w:cs="Times New Roman"/>
                <w:b/>
                <w:color w:val="000000"/>
                <w:sz w:val="24"/>
                <w:szCs w:val="24"/>
              </w:rPr>
              <w:t>Weed managements</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W1</w:t>
            </w:r>
          </w:p>
        </w:tc>
        <w:tc>
          <w:tcPr>
            <w:tcW w:w="4397" w:type="dxa"/>
            <w:vAlign w:val="bottom"/>
          </w:tcPr>
          <w:p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Pyroxasulfone (85%WG) @ 120g/ha as PE fb Clodinafop- Propargyl (15% WP) @ 60g/ha as PE 35 DAS</w:t>
            </w:r>
          </w:p>
        </w:tc>
        <w:tc>
          <w:tcPr>
            <w:tcW w:w="100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230.80</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235.49</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233.14</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15.10</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15.65</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15.38</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182.31</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187.82</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185.06</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W2</w:t>
            </w:r>
          </w:p>
        </w:tc>
        <w:tc>
          <w:tcPr>
            <w:tcW w:w="4397" w:type="dxa"/>
            <w:vAlign w:val="bottom"/>
          </w:tcPr>
          <w:p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Pendimethalin (30% EC) @ 1000 g/ha + Metribuzin (75% WP) @ 210 g/ha (RM) as PE</w:t>
            </w:r>
          </w:p>
        </w:tc>
        <w:tc>
          <w:tcPr>
            <w:tcW w:w="100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228.58</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233.23</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230.90</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14.82</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15.36</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15.09</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180.68</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186.15</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183.41</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W3</w:t>
            </w:r>
          </w:p>
        </w:tc>
        <w:tc>
          <w:tcPr>
            <w:tcW w:w="4397" w:type="dxa"/>
            <w:vAlign w:val="bottom"/>
          </w:tcPr>
          <w:p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Clodinafop- Propargyl (15% WP) @ 60 g/ha + Metasulfuron methyl (20% WP) @ 4 g/ha (RM) as PoE at 35 DAS</w:t>
            </w:r>
          </w:p>
        </w:tc>
        <w:tc>
          <w:tcPr>
            <w:tcW w:w="100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238.08</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242.81</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240.44</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15.94</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16.52</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16.23</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187.73</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193.38</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190.55</w:t>
            </w:r>
          </w:p>
        </w:tc>
      </w:tr>
      <w:tr w:rsidR="00D71C06" w:rsidRPr="00B2575F" w:rsidTr="00946412">
        <w:trPr>
          <w:trHeight w:val="346"/>
          <w:jc w:val="center"/>
        </w:trPr>
        <w:tc>
          <w:tcPr>
            <w:tcW w:w="685"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W4</w:t>
            </w:r>
          </w:p>
        </w:tc>
        <w:tc>
          <w:tcPr>
            <w:tcW w:w="4397" w:type="dxa"/>
            <w:vAlign w:val="bottom"/>
          </w:tcPr>
          <w:p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Pinoxaden (5.1%EC) @50 g/ha+ Carfentrazone ethyle (40%DF) @ 20g/ha as PoE at 35 DAS</w:t>
            </w:r>
          </w:p>
        </w:tc>
        <w:tc>
          <w:tcPr>
            <w:tcW w:w="100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234.37</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239.13</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236.75</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15.63</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16.21</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15.92</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186.45</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192.11</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189.28</w:t>
            </w:r>
          </w:p>
        </w:tc>
      </w:tr>
      <w:tr w:rsidR="00D71C06" w:rsidRPr="00B2575F" w:rsidTr="00946412">
        <w:trPr>
          <w:trHeight w:val="346"/>
          <w:jc w:val="center"/>
        </w:trPr>
        <w:tc>
          <w:tcPr>
            <w:tcW w:w="685" w:type="dxa"/>
            <w:vAlign w:val="bottom"/>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W5</w:t>
            </w:r>
          </w:p>
        </w:tc>
        <w:tc>
          <w:tcPr>
            <w:tcW w:w="4397" w:type="dxa"/>
            <w:vAlign w:val="bottom"/>
          </w:tcPr>
          <w:p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 free</w:t>
            </w:r>
          </w:p>
        </w:tc>
        <w:tc>
          <w:tcPr>
            <w:tcW w:w="1008" w:type="dxa"/>
            <w:vAlign w:val="center"/>
          </w:tcPr>
          <w:p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240.28</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245.05</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242.66</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16.42</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17.03</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16.73</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189.92</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195.62</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192.77</w:t>
            </w:r>
          </w:p>
        </w:tc>
      </w:tr>
      <w:tr w:rsidR="00D71C06" w:rsidRPr="00B2575F" w:rsidTr="00946412">
        <w:trPr>
          <w:trHeight w:val="346"/>
          <w:jc w:val="center"/>
        </w:trPr>
        <w:tc>
          <w:tcPr>
            <w:tcW w:w="685" w:type="dxa"/>
            <w:vAlign w:val="bottom"/>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W6</w:t>
            </w:r>
          </w:p>
        </w:tc>
        <w:tc>
          <w:tcPr>
            <w:tcW w:w="4397" w:type="dxa"/>
            <w:vAlign w:val="bottom"/>
          </w:tcPr>
          <w:p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Weedy check (Control)</w:t>
            </w:r>
          </w:p>
        </w:tc>
        <w:tc>
          <w:tcPr>
            <w:tcW w:w="1008" w:type="dxa"/>
            <w:vAlign w:val="center"/>
          </w:tcPr>
          <w:p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207.05</w:t>
            </w:r>
          </w:p>
        </w:tc>
        <w:tc>
          <w:tcPr>
            <w:tcW w:w="961"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211.15</w:t>
            </w:r>
          </w:p>
        </w:tc>
        <w:tc>
          <w:tcPr>
            <w:tcW w:w="953"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209.10</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11.22</w:t>
            </w:r>
          </w:p>
        </w:tc>
        <w:tc>
          <w:tcPr>
            <w:tcW w:w="96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11.63</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11.42</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171.96</w:t>
            </w:r>
          </w:p>
        </w:tc>
        <w:tc>
          <w:tcPr>
            <w:tcW w:w="958"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177.10</w:t>
            </w:r>
          </w:p>
        </w:tc>
        <w:tc>
          <w:tcPr>
            <w:tcW w:w="959" w:type="dxa"/>
            <w:vAlign w:val="center"/>
          </w:tcPr>
          <w:p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174.53</w:t>
            </w:r>
          </w:p>
        </w:tc>
      </w:tr>
      <w:tr w:rsidR="00D71C06" w:rsidRPr="00B2575F" w:rsidTr="00946412">
        <w:trPr>
          <w:trHeight w:val="346"/>
          <w:jc w:val="center"/>
        </w:trPr>
        <w:tc>
          <w:tcPr>
            <w:tcW w:w="5082" w:type="dxa"/>
            <w:gridSpan w:val="2"/>
            <w:vAlign w:val="bottom"/>
          </w:tcPr>
          <w:p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100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3.505</w:t>
            </w:r>
          </w:p>
        </w:tc>
        <w:tc>
          <w:tcPr>
            <w:tcW w:w="961"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3.846</w:t>
            </w:r>
          </w:p>
        </w:tc>
        <w:tc>
          <w:tcPr>
            <w:tcW w:w="953"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4.017</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0.253</w:t>
            </w:r>
          </w:p>
        </w:tc>
        <w:tc>
          <w:tcPr>
            <w:tcW w:w="96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0.280</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0.320</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4.082</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4.240</w:t>
            </w:r>
          </w:p>
        </w:tc>
        <w:tc>
          <w:tcPr>
            <w:tcW w:w="95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4.174</w:t>
            </w:r>
          </w:p>
        </w:tc>
      </w:tr>
      <w:tr w:rsidR="00D71C06" w:rsidRPr="00B2575F" w:rsidTr="00946412">
        <w:trPr>
          <w:trHeight w:val="346"/>
          <w:jc w:val="center"/>
        </w:trPr>
        <w:tc>
          <w:tcPr>
            <w:tcW w:w="5082" w:type="dxa"/>
            <w:gridSpan w:val="2"/>
            <w:vAlign w:val="bottom"/>
          </w:tcPr>
          <w:p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100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10.171</w:t>
            </w:r>
          </w:p>
        </w:tc>
        <w:tc>
          <w:tcPr>
            <w:tcW w:w="961"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11.161</w:t>
            </w:r>
          </w:p>
        </w:tc>
        <w:tc>
          <w:tcPr>
            <w:tcW w:w="953"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11.659</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0.735</w:t>
            </w:r>
          </w:p>
        </w:tc>
        <w:tc>
          <w:tcPr>
            <w:tcW w:w="96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0.814</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0.929</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9" w:type="dxa"/>
            <w:vAlign w:val="center"/>
          </w:tcPr>
          <w:p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r>
    </w:tbl>
    <w:p w:rsidR="00D71C06" w:rsidRDefault="00D71C06" w:rsidP="00D71C06">
      <w:pPr>
        <w:pStyle w:val="NormalWeb"/>
        <w:jc w:val="both"/>
        <w:rPr>
          <w:b/>
          <w:bCs/>
        </w:rPr>
        <w:sectPr w:rsidR="00D71C06" w:rsidSect="00D71C06">
          <w:pgSz w:w="15840" w:h="12240" w:orient="landscape"/>
          <w:pgMar w:top="1440" w:right="1440" w:bottom="1440" w:left="1440" w:header="720" w:footer="720" w:gutter="0"/>
          <w:cols w:space="720"/>
          <w:docGrid w:linePitch="360"/>
        </w:sectPr>
      </w:pPr>
    </w:p>
    <w:p w:rsidR="00354F47" w:rsidRDefault="00354F47" w:rsidP="00E27C82">
      <w:pPr>
        <w:pStyle w:val="NormalWeb"/>
        <w:jc w:val="both"/>
        <w:rPr>
          <w:b/>
          <w:bCs/>
        </w:rPr>
      </w:pPr>
      <w:r>
        <w:rPr>
          <w:b/>
          <w:bCs/>
        </w:rPr>
        <w:lastRenderedPageBreak/>
        <w:t>4. Conclusion</w:t>
      </w:r>
    </w:p>
    <w:p w:rsidR="0092502C" w:rsidRDefault="00270DA6" w:rsidP="0092502C">
      <w:pPr>
        <w:pStyle w:val="ListParagraph"/>
        <w:ind w:left="0"/>
        <w:jc w:val="both"/>
        <w:rPr>
          <w:b/>
          <w:bCs/>
          <w:sz w:val="20"/>
          <w:szCs w:val="20"/>
          <w:lang w:val="en-GB"/>
        </w:rPr>
      </w:pPr>
      <w:r w:rsidRPr="0092502C">
        <w:rPr>
          <w:rFonts w:ascii="Times New Roman" w:hAnsi="Times New Roman" w:cs="Times New Roman"/>
          <w:sz w:val="24"/>
          <w:szCs w:val="24"/>
        </w:rPr>
        <w:t xml:space="preserve">Keeping in view the objectives of the study and the results obtained over two years, it was concluded that tillage and weed management practices significantly influenced the growth and soil nutrient status of wheat. </w:t>
      </w:r>
      <w:r w:rsidRPr="0092502C">
        <w:rPr>
          <w:rStyle w:val="Strong"/>
          <w:rFonts w:ascii="Times New Roman" w:hAnsi="Times New Roman" w:cs="Times New Roman"/>
          <w:b w:val="0"/>
          <w:bCs w:val="0"/>
          <w:sz w:val="24"/>
          <w:szCs w:val="24"/>
        </w:rPr>
        <w:t>Zero tillage</w:t>
      </w:r>
      <w:r w:rsidRPr="0092502C">
        <w:rPr>
          <w:rFonts w:ascii="Times New Roman" w:hAnsi="Times New Roman" w:cs="Times New Roman"/>
          <w:sz w:val="24"/>
          <w:szCs w:val="24"/>
        </w:rPr>
        <w:t xml:space="preserve"> consistently performed best by recording the highest number of tillers, greater dry matter accumulation, lower bulk density, and improved soil fertility with higher available N, P, and K. Among weed management practices, the </w:t>
      </w:r>
      <w:r w:rsidRPr="0092502C">
        <w:rPr>
          <w:rStyle w:val="Strong"/>
          <w:rFonts w:ascii="Times New Roman" w:hAnsi="Times New Roman" w:cs="Times New Roman"/>
          <w:b w:val="0"/>
          <w:bCs w:val="0"/>
          <w:sz w:val="24"/>
          <w:szCs w:val="24"/>
        </w:rPr>
        <w:t>weed-free condition</w:t>
      </w:r>
      <w:r w:rsidR="0092502C">
        <w:rPr>
          <w:rFonts w:ascii="Times New Roman" w:hAnsi="Times New Roman" w:cs="Times New Roman"/>
          <w:sz w:val="24"/>
          <w:szCs w:val="24"/>
        </w:rPr>
        <w:t xml:space="preserve"> </w:t>
      </w:r>
      <w:r w:rsidRPr="0092502C">
        <w:rPr>
          <w:rFonts w:ascii="Times New Roman" w:hAnsi="Times New Roman" w:cs="Times New Roman"/>
          <w:sz w:val="24"/>
          <w:szCs w:val="24"/>
        </w:rPr>
        <w:t xml:space="preserve">and </w:t>
      </w:r>
      <w:r w:rsidRPr="0092502C">
        <w:rPr>
          <w:rStyle w:val="Strong"/>
          <w:rFonts w:ascii="Times New Roman" w:hAnsi="Times New Roman" w:cs="Times New Roman"/>
          <w:b w:val="0"/>
          <w:bCs w:val="0"/>
          <w:sz w:val="24"/>
          <w:szCs w:val="24"/>
        </w:rPr>
        <w:t>clodinafop + metsulfuron</w:t>
      </w:r>
      <w:r w:rsidRPr="0092502C">
        <w:rPr>
          <w:rFonts w:ascii="Times New Roman" w:hAnsi="Times New Roman" w:cs="Times New Roman"/>
          <w:sz w:val="24"/>
          <w:szCs w:val="24"/>
        </w:rPr>
        <w:t xml:space="preserve"> were most effective in enhancing crop growth and nutrient availability. Therefore, adopting zero tillage in combination with efficient herbicidal management can be recommended for improving wheat productivity and sustaining soil health under intensive cropping systems.</w:t>
      </w:r>
      <w:r w:rsidR="0092502C" w:rsidRPr="0092502C">
        <w:rPr>
          <w:rFonts w:ascii="Times New Roman" w:hAnsi="Times New Roman" w:cs="Times New Roman"/>
          <w:sz w:val="24"/>
          <w:szCs w:val="24"/>
          <w:lang w:val="en-GB"/>
        </w:rPr>
        <w:t xml:space="preserve"> Tillage plays an important role in the development of plants. This work seeks to discover the effect different tillage practice affects the growth of wheat. Additionally, soil nutrient and acidity, influenced by organic matter content of soil is investigated. </w:t>
      </w:r>
      <w:r w:rsidR="00880DD3" w:rsidRPr="0092502C">
        <w:rPr>
          <w:rFonts w:ascii="Times New Roman" w:hAnsi="Times New Roman" w:cs="Times New Roman"/>
          <w:sz w:val="24"/>
          <w:szCs w:val="24"/>
          <w:lang w:val="en-GB"/>
        </w:rPr>
        <w:t>Knowledge</w:t>
      </w:r>
      <w:r w:rsidR="0092502C" w:rsidRPr="0092502C">
        <w:rPr>
          <w:rFonts w:ascii="Times New Roman" w:hAnsi="Times New Roman" w:cs="Times New Roman"/>
          <w:sz w:val="24"/>
          <w:szCs w:val="24"/>
          <w:lang w:val="en-GB"/>
        </w:rPr>
        <w:t xml:space="preserve"> of these would be helpful in planning and management of a farm enterprise</w:t>
      </w:r>
      <w:r w:rsidR="0092502C">
        <w:rPr>
          <w:b/>
          <w:bCs/>
          <w:sz w:val="20"/>
          <w:szCs w:val="20"/>
          <w:lang w:val="en-GB"/>
        </w:rPr>
        <w:t>.</w:t>
      </w:r>
    </w:p>
    <w:p w:rsidR="00270DA6" w:rsidRDefault="00270DA6" w:rsidP="00E27C82">
      <w:pPr>
        <w:pStyle w:val="NormalWeb"/>
        <w:jc w:val="both"/>
      </w:pPr>
    </w:p>
    <w:p w:rsidR="00060353" w:rsidRDefault="00060353" w:rsidP="00E27C82">
      <w:pPr>
        <w:pStyle w:val="NormalWeb"/>
        <w:jc w:val="both"/>
        <w:rPr>
          <w:b/>
          <w:bCs/>
        </w:rPr>
      </w:pPr>
    </w:p>
    <w:p w:rsidR="008720CC" w:rsidRPr="00524953" w:rsidRDefault="008720CC" w:rsidP="008720CC">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rsidR="008720CC" w:rsidRPr="00394842" w:rsidRDefault="008720CC" w:rsidP="008720CC">
      <w:pPr>
        <w:rPr>
          <w:highlight w:val="yellow"/>
        </w:rPr>
      </w:pPr>
    </w:p>
    <w:p w:rsidR="008720CC" w:rsidRPr="00394842" w:rsidRDefault="008720CC" w:rsidP="008720CC">
      <w:pPr>
        <w:rPr>
          <w:highlight w:val="yellow"/>
        </w:rPr>
      </w:pPr>
      <w:r w:rsidRPr="00394842">
        <w:rPr>
          <w:highlight w:val="yellow"/>
        </w:rPr>
        <w:t xml:space="preserve">Option 1: </w:t>
      </w:r>
    </w:p>
    <w:p w:rsidR="008720CC" w:rsidRPr="00394842" w:rsidRDefault="008720CC" w:rsidP="008720CC">
      <w:pPr>
        <w:rPr>
          <w:highlight w:val="yellow"/>
        </w:rPr>
      </w:pPr>
    </w:p>
    <w:p w:rsidR="008720CC" w:rsidRPr="00394842" w:rsidRDefault="008720CC" w:rsidP="008720CC">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rsidR="008720CC" w:rsidRPr="00394842" w:rsidRDefault="008720CC" w:rsidP="008720CC">
      <w:pPr>
        <w:rPr>
          <w:highlight w:val="yellow"/>
        </w:rPr>
      </w:pPr>
    </w:p>
    <w:p w:rsidR="008720CC" w:rsidRPr="00394842" w:rsidRDefault="008720CC" w:rsidP="008720CC">
      <w:pPr>
        <w:rPr>
          <w:highlight w:val="yellow"/>
        </w:rPr>
      </w:pPr>
      <w:r w:rsidRPr="00394842">
        <w:rPr>
          <w:highlight w:val="yellow"/>
        </w:rPr>
        <w:t xml:space="preserve">Option 2: </w:t>
      </w:r>
    </w:p>
    <w:p w:rsidR="008720CC" w:rsidRPr="00394842" w:rsidRDefault="008720CC" w:rsidP="008720CC">
      <w:pPr>
        <w:rPr>
          <w:highlight w:val="yellow"/>
        </w:rPr>
      </w:pPr>
    </w:p>
    <w:p w:rsidR="008720CC" w:rsidRPr="00394842" w:rsidRDefault="008720CC" w:rsidP="008720CC">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720CC" w:rsidRPr="00394842" w:rsidRDefault="008720CC" w:rsidP="008720CC">
      <w:pPr>
        <w:rPr>
          <w:highlight w:val="yellow"/>
        </w:rPr>
      </w:pPr>
    </w:p>
    <w:p w:rsidR="008720CC" w:rsidRPr="00394842" w:rsidRDefault="008720CC" w:rsidP="008720CC">
      <w:pPr>
        <w:rPr>
          <w:highlight w:val="yellow"/>
        </w:rPr>
      </w:pPr>
      <w:r w:rsidRPr="00394842">
        <w:rPr>
          <w:highlight w:val="yellow"/>
        </w:rPr>
        <w:lastRenderedPageBreak/>
        <w:t>Details of the AI usage are given below:</w:t>
      </w:r>
    </w:p>
    <w:p w:rsidR="008720CC" w:rsidRPr="00394842" w:rsidRDefault="008720CC" w:rsidP="008720CC">
      <w:pPr>
        <w:rPr>
          <w:highlight w:val="yellow"/>
        </w:rPr>
      </w:pPr>
      <w:r w:rsidRPr="00394842">
        <w:rPr>
          <w:highlight w:val="yellow"/>
        </w:rPr>
        <w:t>1.</w:t>
      </w:r>
      <w:r w:rsidR="006D7B04">
        <w:rPr>
          <w:highlight w:val="yellow"/>
        </w:rPr>
        <w:t xml:space="preserve"> No</w:t>
      </w:r>
    </w:p>
    <w:p w:rsidR="008720CC" w:rsidRPr="00394842" w:rsidRDefault="008720CC" w:rsidP="008720CC">
      <w:pPr>
        <w:rPr>
          <w:highlight w:val="yellow"/>
        </w:rPr>
      </w:pPr>
      <w:r w:rsidRPr="00394842">
        <w:rPr>
          <w:highlight w:val="yellow"/>
        </w:rPr>
        <w:t>2.</w:t>
      </w:r>
      <w:r w:rsidR="006D7B04">
        <w:rPr>
          <w:highlight w:val="yellow"/>
        </w:rPr>
        <w:t>No</w:t>
      </w:r>
    </w:p>
    <w:p w:rsidR="008720CC" w:rsidRDefault="008720CC" w:rsidP="008720CC">
      <w:r w:rsidRPr="00394842">
        <w:rPr>
          <w:highlight w:val="yellow"/>
        </w:rPr>
        <w:t>3.</w:t>
      </w:r>
      <w:r w:rsidR="006D7B04">
        <w:t>No</w:t>
      </w:r>
    </w:p>
    <w:p w:rsidR="00C26A46" w:rsidRPr="00DD5053" w:rsidRDefault="00C26A46" w:rsidP="008720CC"/>
    <w:p w:rsidR="008720CC" w:rsidRDefault="008720CC" w:rsidP="00E27C82">
      <w:pPr>
        <w:pStyle w:val="NormalWeb"/>
        <w:jc w:val="both"/>
        <w:rPr>
          <w:b/>
          <w:bCs/>
        </w:rPr>
      </w:pPr>
      <w:bookmarkStart w:id="0" w:name="_GoBack"/>
      <w:bookmarkEnd w:id="0"/>
    </w:p>
    <w:p w:rsidR="00CA24E4" w:rsidRPr="00404A4A" w:rsidRDefault="00404A4A" w:rsidP="00E27C82">
      <w:pPr>
        <w:pStyle w:val="NormalWeb"/>
        <w:jc w:val="both"/>
        <w:rPr>
          <w:b/>
          <w:bCs/>
        </w:rPr>
      </w:pPr>
      <w:r w:rsidRPr="00404A4A">
        <w:rPr>
          <w:b/>
          <w:bCs/>
        </w:rPr>
        <w:t xml:space="preserve">Reference </w:t>
      </w:r>
    </w:p>
    <w:p w:rsidR="00270DA6" w:rsidRPr="00354F47" w:rsidRDefault="00270DA6" w:rsidP="00354F47">
      <w:pPr>
        <w:jc w:val="both"/>
        <w:rPr>
          <w:rFonts w:ascii="Times New Roman" w:hAnsi="Times New Roman" w:cs="Times New Roman"/>
          <w:sz w:val="24"/>
          <w:szCs w:val="24"/>
        </w:rPr>
      </w:pPr>
    </w:p>
    <w:p w:rsidR="00270DA6" w:rsidRPr="00354F47" w:rsidRDefault="00270DA6" w:rsidP="00B51D37">
      <w:pPr>
        <w:pStyle w:val="NormalWeb"/>
        <w:spacing w:line="276" w:lineRule="auto"/>
        <w:ind w:left="720" w:hanging="720"/>
        <w:jc w:val="both"/>
      </w:pPr>
      <w:r w:rsidRPr="00354F47">
        <w:rPr>
          <w:color w:val="222222"/>
          <w:shd w:val="clear" w:color="auto" w:fill="FFFFFF"/>
        </w:rPr>
        <w:t>Ahmad, N., Virk, A. L., Hafeez, M. B., Ercisli, S., Golokhvast, K. S., Qi, Y., &amp; Li, J. (2024). Effects of different tillage and residue management systems on soil organic carbon stock and grain yield of rice–wheat double cropping system. </w:t>
      </w:r>
      <w:r w:rsidRPr="00354F47">
        <w:rPr>
          <w:i/>
          <w:iCs/>
          <w:color w:val="222222"/>
          <w:shd w:val="clear" w:color="auto" w:fill="FFFFFF"/>
        </w:rPr>
        <w:t>Ecological Indicators</w:t>
      </w:r>
      <w:r w:rsidRPr="00354F47">
        <w:rPr>
          <w:color w:val="222222"/>
          <w:shd w:val="clear" w:color="auto" w:fill="FFFFFF"/>
        </w:rPr>
        <w:t>, </w:t>
      </w:r>
      <w:r w:rsidRPr="00354F47">
        <w:rPr>
          <w:i/>
          <w:iCs/>
          <w:color w:val="222222"/>
          <w:shd w:val="clear" w:color="auto" w:fill="FFFFFF"/>
        </w:rPr>
        <w:t>158</w:t>
      </w:r>
      <w:r w:rsidRPr="00354F47">
        <w:rPr>
          <w:color w:val="222222"/>
          <w:shd w:val="clear" w:color="auto" w:fill="FFFFFF"/>
        </w:rPr>
        <w:t>, 111452.</w:t>
      </w:r>
    </w:p>
    <w:p w:rsidR="00270DA6" w:rsidRPr="00354F47" w:rsidRDefault="00270DA6" w:rsidP="00B51D37">
      <w:pPr>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Ahmed, A., &amp; Basir, A. (2023). Impact of Cropping System and Planting Techniques On Soil Properties and Wheat Productivity Under Rainfed Condition. </w:t>
      </w:r>
      <w:r w:rsidRPr="00354F47">
        <w:rPr>
          <w:rFonts w:ascii="Times New Roman" w:hAnsi="Times New Roman" w:cs="Times New Roman"/>
          <w:i/>
          <w:iCs/>
          <w:color w:val="222222"/>
          <w:sz w:val="24"/>
          <w:szCs w:val="24"/>
          <w:shd w:val="clear" w:color="auto" w:fill="FFFFFF"/>
        </w:rPr>
        <w:t>Journal of Crop Health</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76</w:t>
      </w:r>
      <w:r w:rsidRPr="00354F47">
        <w:rPr>
          <w:rFonts w:ascii="Times New Roman" w:hAnsi="Times New Roman" w:cs="Times New Roman"/>
          <w:color w:val="222222"/>
          <w:sz w:val="24"/>
          <w:szCs w:val="24"/>
          <w:shd w:val="clear" w:color="auto" w:fill="FFFFFF"/>
        </w:rPr>
        <w:t>(1), 261-268.</w:t>
      </w:r>
    </w:p>
    <w:p w:rsidR="00270DA6" w:rsidRPr="00354F47" w:rsidRDefault="00270DA6" w:rsidP="00B51D37">
      <w:pPr>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Dayal, P., Kumar, A., Tyagi, S., Pal, R. K., Manohar, B., Ranjan, S., &amp; Sow, S. (2023). Weed dynamics and productivity of wheat (Triticum aestivum) under various tillage and weed management practices. </w:t>
      </w:r>
      <w:r w:rsidRPr="00354F47">
        <w:rPr>
          <w:rFonts w:ascii="Times New Roman" w:hAnsi="Times New Roman" w:cs="Times New Roman"/>
          <w:i/>
          <w:iCs/>
          <w:color w:val="222222"/>
          <w:sz w:val="24"/>
          <w:szCs w:val="24"/>
          <w:shd w:val="clear" w:color="auto" w:fill="FFFFFF"/>
        </w:rPr>
        <w:t>Indian J. Agric. Sci</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93</w:t>
      </w:r>
      <w:r w:rsidRPr="00354F47">
        <w:rPr>
          <w:rFonts w:ascii="Times New Roman" w:hAnsi="Times New Roman" w:cs="Times New Roman"/>
          <w:color w:val="222222"/>
          <w:sz w:val="24"/>
          <w:szCs w:val="24"/>
          <w:shd w:val="clear" w:color="auto" w:fill="FFFFFF"/>
        </w:rPr>
        <w:t>(9), 1037-1040.</w:t>
      </w:r>
    </w:p>
    <w:p w:rsidR="00B51D37" w:rsidRDefault="00270DA6" w:rsidP="00B51D37">
      <w:pPr>
        <w:pStyle w:val="NormalWeb"/>
        <w:spacing w:line="276" w:lineRule="auto"/>
        <w:ind w:left="720" w:hanging="720"/>
        <w:jc w:val="both"/>
      </w:pPr>
      <w:r w:rsidRPr="00354F47">
        <w:t xml:space="preserve">FAO. (2024). </w:t>
      </w:r>
      <w:r w:rsidRPr="00354F47">
        <w:rPr>
          <w:rStyle w:val="Emphasis"/>
        </w:rPr>
        <w:t>FAOSTAT: Food and Agriculture Organization of the United Nations</w:t>
      </w:r>
      <w:r w:rsidRPr="00354F47">
        <w:t xml:space="preserve">. Retrieved from </w:t>
      </w:r>
      <w:hyperlink r:id="rId14" w:tgtFrame="_new" w:history="1">
        <w:r w:rsidRPr="00354F47">
          <w:rPr>
            <w:rStyle w:val="Hyperlink"/>
          </w:rPr>
          <w:t>https://www.fao.org/faostat/en/</w:t>
        </w:r>
      </w:hyperlink>
    </w:p>
    <w:p w:rsidR="00B51D37" w:rsidRDefault="00270DA6" w:rsidP="00B51D37">
      <w:pPr>
        <w:pStyle w:val="NormalWeb"/>
        <w:spacing w:line="276" w:lineRule="auto"/>
        <w:ind w:left="720" w:hanging="720"/>
        <w:jc w:val="both"/>
      </w:pPr>
      <w:r w:rsidRPr="00354F47">
        <w:t>Jackson, M.L. Soil Chemical Analysis; Prentice Hall of India Pvt. Ltd.: New Delhi, India, 1973; pp. 183–408.</w:t>
      </w:r>
    </w:p>
    <w:p w:rsidR="00B51D37" w:rsidRDefault="00270DA6" w:rsidP="00B51D37">
      <w:pPr>
        <w:pStyle w:val="NormalWeb"/>
        <w:spacing w:line="276" w:lineRule="auto"/>
        <w:ind w:left="720" w:hanging="720"/>
        <w:jc w:val="both"/>
      </w:pPr>
      <w:r w:rsidRPr="00354F47">
        <w:t xml:space="preserve">Jeet, S., Kler, D.S., Kumar, R. and Kumari, A. (2010). Response of seed rates and nitrogen levels in relation to crop residue management on microenvironment of bed planted soybean (Glycine max)-wheat (Triticum aestivum) system. </w:t>
      </w:r>
      <w:r w:rsidRPr="00354F47">
        <w:rPr>
          <w:i/>
          <w:iCs/>
        </w:rPr>
        <w:t>Environmental Ecology</w:t>
      </w:r>
      <w:r w:rsidRPr="00354F47">
        <w:t>. 28: 1571-1576.</w:t>
      </w:r>
    </w:p>
    <w:p w:rsidR="00270DA6" w:rsidRPr="00B51D37" w:rsidRDefault="00270DA6" w:rsidP="00B51D37">
      <w:pPr>
        <w:pStyle w:val="NormalWeb"/>
        <w:spacing w:line="276" w:lineRule="auto"/>
        <w:ind w:left="720" w:hanging="720"/>
        <w:jc w:val="both"/>
      </w:pPr>
      <w:r w:rsidRPr="00354F47">
        <w:rPr>
          <w:color w:val="222222"/>
          <w:shd w:val="clear" w:color="auto" w:fill="FFFFFF"/>
        </w:rPr>
        <w:t>Kaushik, U., Raj, D., Rani, P., &amp; Antil, R. S. (2018). Impact of zero tillage on available nutrients status on pearlmillet wheat cropping system. </w:t>
      </w:r>
      <w:r w:rsidRPr="00354F47">
        <w:rPr>
          <w:i/>
          <w:iCs/>
          <w:color w:val="222222"/>
          <w:shd w:val="clear" w:color="auto" w:fill="FFFFFF"/>
        </w:rPr>
        <w:t>International Journal of Chemical Studies</w:t>
      </w:r>
      <w:r w:rsidRPr="00354F47">
        <w:rPr>
          <w:color w:val="222222"/>
          <w:shd w:val="clear" w:color="auto" w:fill="FFFFFF"/>
        </w:rPr>
        <w:t>, </w:t>
      </w:r>
      <w:r w:rsidRPr="00354F47">
        <w:rPr>
          <w:i/>
          <w:iCs/>
          <w:color w:val="222222"/>
          <w:shd w:val="clear" w:color="auto" w:fill="FFFFFF"/>
        </w:rPr>
        <w:t>6</w:t>
      </w:r>
      <w:r w:rsidRPr="00354F47">
        <w:rPr>
          <w:color w:val="222222"/>
          <w:shd w:val="clear" w:color="auto" w:fill="FFFFFF"/>
        </w:rPr>
        <w:t>(3), 2997-3000.</w:t>
      </w:r>
    </w:p>
    <w:p w:rsidR="00270DA6" w:rsidRPr="00354F47" w:rsidRDefault="00270DA6" w:rsidP="00B51D37">
      <w:pPr>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lastRenderedPageBreak/>
        <w:t>Keil, A., D’souza, A., &amp; McDonald, A. (2015). Zero-tillage as a pathway for sustainable wheat intensification in the Eastern Indo-Gangetic Plains: does it work in farmers’ fields?. </w:t>
      </w:r>
      <w:r w:rsidRPr="00354F47">
        <w:rPr>
          <w:rFonts w:ascii="Times New Roman" w:hAnsi="Times New Roman" w:cs="Times New Roman"/>
          <w:i/>
          <w:iCs/>
          <w:color w:val="222222"/>
          <w:sz w:val="24"/>
          <w:szCs w:val="24"/>
          <w:shd w:val="clear" w:color="auto" w:fill="FFFFFF"/>
        </w:rPr>
        <w:t>Food Security</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w:t>
      </w:r>
      <w:r w:rsidRPr="00354F47">
        <w:rPr>
          <w:rFonts w:ascii="Times New Roman" w:hAnsi="Times New Roman" w:cs="Times New Roman"/>
          <w:color w:val="222222"/>
          <w:sz w:val="24"/>
          <w:szCs w:val="24"/>
          <w:shd w:val="clear" w:color="auto" w:fill="FFFFFF"/>
        </w:rPr>
        <w:t>(5), 983-1001.</w:t>
      </w:r>
    </w:p>
    <w:p w:rsidR="00B51D37" w:rsidRDefault="00270DA6" w:rsidP="00B51D3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Khokhar, A.K. &amp; Nepalia, V. (2010). Effect of herbicides and nutrient management on weed flora, nutrient uptake and yield of wheat nutrient uptake and yield of wheat. </w:t>
      </w:r>
      <w:r w:rsidRPr="00354F47">
        <w:rPr>
          <w:rFonts w:ascii="Times New Roman" w:hAnsi="Times New Roman" w:cs="Times New Roman"/>
          <w:i/>
          <w:iCs/>
          <w:sz w:val="24"/>
          <w:szCs w:val="24"/>
        </w:rPr>
        <w:t>Ind. J. Weed Sci.</w:t>
      </w:r>
      <w:r w:rsidRPr="00354F47">
        <w:rPr>
          <w:rFonts w:ascii="Times New Roman" w:hAnsi="Times New Roman" w:cs="Times New Roman"/>
          <w:sz w:val="24"/>
          <w:szCs w:val="24"/>
        </w:rPr>
        <w:t xml:space="preserve"> 42: 14-18.</w:t>
      </w:r>
    </w:p>
    <w:p w:rsidR="00270DA6" w:rsidRPr="00B51D37" w:rsidRDefault="00270DA6" w:rsidP="00B51D37">
      <w:pPr>
        <w:spacing w:line="480" w:lineRule="auto"/>
        <w:ind w:left="720" w:hanging="720"/>
        <w:jc w:val="both"/>
        <w:rPr>
          <w:rFonts w:ascii="Times New Roman" w:hAnsi="Times New Roman" w:cs="Times New Roman"/>
          <w:sz w:val="24"/>
          <w:szCs w:val="24"/>
        </w:rPr>
      </w:pPr>
      <w:r w:rsidRPr="00B51D37">
        <w:rPr>
          <w:rFonts w:ascii="Times New Roman" w:hAnsi="Times New Roman" w:cs="Times New Roman"/>
          <w:color w:val="222222"/>
          <w:sz w:val="24"/>
          <w:szCs w:val="24"/>
          <w:shd w:val="clear" w:color="auto" w:fill="FFFFFF"/>
        </w:rPr>
        <w:t>Kochar, D., &amp; Kumar, R. (2024). Effect of Long Term Tillage and Soil Moisture Regime on the Chemical Properties of Soil under Mung Bean-Wheat and Sorghum-Wheat Cropping System. </w:t>
      </w:r>
      <w:r w:rsidRPr="00B51D37">
        <w:rPr>
          <w:rFonts w:ascii="Times New Roman" w:hAnsi="Times New Roman" w:cs="Times New Roman"/>
          <w:i/>
          <w:iCs/>
          <w:color w:val="222222"/>
          <w:sz w:val="24"/>
          <w:szCs w:val="24"/>
          <w:shd w:val="clear" w:color="auto" w:fill="FFFFFF"/>
        </w:rPr>
        <w:t>International Journal of Plant &amp; Soil Science</w:t>
      </w:r>
      <w:r w:rsidRPr="00B51D37">
        <w:rPr>
          <w:rFonts w:ascii="Times New Roman" w:hAnsi="Times New Roman" w:cs="Times New Roman"/>
          <w:color w:val="222222"/>
          <w:sz w:val="24"/>
          <w:szCs w:val="24"/>
          <w:shd w:val="clear" w:color="auto" w:fill="FFFFFF"/>
        </w:rPr>
        <w:t>, </w:t>
      </w:r>
      <w:r w:rsidRPr="00B51D37">
        <w:rPr>
          <w:rFonts w:ascii="Times New Roman" w:hAnsi="Times New Roman" w:cs="Times New Roman"/>
          <w:i/>
          <w:iCs/>
          <w:color w:val="222222"/>
          <w:sz w:val="24"/>
          <w:szCs w:val="24"/>
          <w:shd w:val="clear" w:color="auto" w:fill="FFFFFF"/>
        </w:rPr>
        <w:t>36</w:t>
      </w:r>
      <w:r w:rsidRPr="00B51D37">
        <w:rPr>
          <w:rFonts w:ascii="Times New Roman" w:hAnsi="Times New Roman" w:cs="Times New Roman"/>
          <w:color w:val="222222"/>
          <w:sz w:val="24"/>
          <w:szCs w:val="24"/>
          <w:shd w:val="clear" w:color="auto" w:fill="FFFFFF"/>
        </w:rPr>
        <w:t>(7), 797-808.</w:t>
      </w:r>
    </w:p>
    <w:p w:rsidR="00B51D37" w:rsidRDefault="00270DA6" w:rsidP="00B51D3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Kumar, P., Pathak, R.</w:t>
      </w:r>
      <w:r w:rsidR="00B51D37">
        <w:rPr>
          <w:rFonts w:ascii="Times New Roman" w:hAnsi="Times New Roman" w:cs="Times New Roman"/>
          <w:color w:val="222222"/>
          <w:sz w:val="24"/>
          <w:szCs w:val="24"/>
          <w:shd w:val="clear" w:color="auto" w:fill="FFFFFF"/>
        </w:rPr>
        <w:t xml:space="preserve"> K., Gaur, A. S., Shukla, D. P.</w:t>
      </w:r>
      <w:r w:rsidRPr="00354F47">
        <w:rPr>
          <w:rFonts w:ascii="Times New Roman" w:hAnsi="Times New Roman" w:cs="Times New Roman"/>
          <w:color w:val="222222"/>
          <w:sz w:val="24"/>
          <w:szCs w:val="24"/>
          <w:shd w:val="clear" w:color="auto" w:fill="FFFFFF"/>
        </w:rPr>
        <w:t xml:space="preserve"> &amp; Yadav, G. (2020). Effect of weed management practices on physicochemical and biological properties of soils in wheat crop.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8</w:t>
      </w:r>
      <w:r w:rsidRPr="00354F47">
        <w:rPr>
          <w:rFonts w:ascii="Times New Roman" w:hAnsi="Times New Roman" w:cs="Times New Roman"/>
          <w:color w:val="222222"/>
          <w:sz w:val="24"/>
          <w:szCs w:val="24"/>
          <w:shd w:val="clear" w:color="auto" w:fill="FFFFFF"/>
        </w:rPr>
        <w:t>(1), 270-4.</w:t>
      </w:r>
    </w:p>
    <w:p w:rsidR="00B51D37" w:rsidRDefault="00270DA6" w:rsidP="00B51D37">
      <w:pPr>
        <w:spacing w:line="480" w:lineRule="auto"/>
        <w:ind w:left="720" w:hanging="720"/>
        <w:jc w:val="both"/>
        <w:rPr>
          <w:rFonts w:ascii="Times New Roman" w:hAnsi="Times New Roman" w:cs="Times New Roman"/>
          <w:sz w:val="24"/>
          <w:szCs w:val="24"/>
        </w:rPr>
      </w:pPr>
      <w:r w:rsidRPr="00354F47">
        <w:rPr>
          <w:color w:val="222222"/>
          <w:shd w:val="clear" w:color="auto" w:fill="FFFFFF"/>
        </w:rPr>
        <w:t>Meena, M., Singh, R. K., Dhayal, S., &amp; Meena, P. K. (2023). Effect of Different Dose of Herbicide on Soil Physico-chemical and Biological Properties after Harvest of Wheat. </w:t>
      </w:r>
      <w:r w:rsidRPr="00354F47">
        <w:rPr>
          <w:i/>
          <w:iCs/>
          <w:color w:val="222222"/>
          <w:shd w:val="clear" w:color="auto" w:fill="FFFFFF"/>
        </w:rPr>
        <w:t>Int. J. Plant Soil Sci</w:t>
      </w:r>
      <w:r w:rsidRPr="00354F47">
        <w:rPr>
          <w:color w:val="222222"/>
          <w:shd w:val="clear" w:color="auto" w:fill="FFFFFF"/>
        </w:rPr>
        <w:t>, </w:t>
      </w:r>
      <w:r w:rsidRPr="00354F47">
        <w:rPr>
          <w:i/>
          <w:iCs/>
          <w:color w:val="222222"/>
          <w:shd w:val="clear" w:color="auto" w:fill="FFFFFF"/>
        </w:rPr>
        <w:t>35</w:t>
      </w:r>
      <w:r w:rsidRPr="00354F47">
        <w:rPr>
          <w:color w:val="222222"/>
          <w:shd w:val="clear" w:color="auto" w:fill="FFFFFF"/>
        </w:rPr>
        <w:t>(5), 12-17.</w:t>
      </w:r>
    </w:p>
    <w:p w:rsidR="00270DA6" w:rsidRPr="00354F47" w:rsidRDefault="00270DA6" w:rsidP="00B51D3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Ministry of Agriculture and Farmers Welfare. (2024). </w:t>
      </w:r>
      <w:r w:rsidRPr="00354F47">
        <w:rPr>
          <w:rStyle w:val="Emphasis"/>
          <w:rFonts w:ascii="Times New Roman" w:hAnsi="Times New Roman" w:cs="Times New Roman"/>
          <w:sz w:val="24"/>
          <w:szCs w:val="24"/>
        </w:rPr>
        <w:t>Wheat production and area, 2023–24: Production, area, and yield statistics</w:t>
      </w:r>
      <w:r w:rsidRPr="00354F47">
        <w:rPr>
          <w:rFonts w:ascii="Times New Roman" w:hAnsi="Times New Roman" w:cs="Times New Roman"/>
          <w:sz w:val="24"/>
          <w:szCs w:val="24"/>
        </w:rPr>
        <w:t>. Government of India.</w:t>
      </w:r>
    </w:p>
    <w:p w:rsidR="00B51D37" w:rsidRDefault="00270DA6" w:rsidP="00B51D3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Najwa, S., Johani, A., Aytah, A. &amp;Boutraa, T. (2012). Allelopathic impact of two weeds, Chenopodiummurale and Malvaparviflora on growth and photosynthesis of barley. </w:t>
      </w:r>
      <w:r w:rsidRPr="00354F47">
        <w:rPr>
          <w:rFonts w:ascii="Times New Roman" w:hAnsi="Times New Roman" w:cs="Times New Roman"/>
          <w:i/>
          <w:iCs/>
          <w:sz w:val="24"/>
          <w:szCs w:val="24"/>
        </w:rPr>
        <w:t>Pakistan Journal of Botany</w:t>
      </w:r>
      <w:r w:rsidRPr="00354F47">
        <w:rPr>
          <w:rFonts w:ascii="Times New Roman" w:hAnsi="Times New Roman" w:cs="Times New Roman"/>
          <w:sz w:val="24"/>
          <w:szCs w:val="24"/>
        </w:rPr>
        <w:t xml:space="preserve"> 44(6): 1865-1872.</w:t>
      </w:r>
    </w:p>
    <w:p w:rsidR="00B51D37" w:rsidRDefault="00270DA6" w:rsidP="00B51D3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color w:val="222222"/>
          <w:sz w:val="24"/>
          <w:szCs w:val="24"/>
          <w:shd w:val="clear" w:color="auto" w:fill="FFFFFF"/>
        </w:rPr>
        <w:t>Pal, R. K. (2022). </w:t>
      </w:r>
      <w:r w:rsidRPr="00354F47">
        <w:rPr>
          <w:rFonts w:ascii="Times New Roman" w:hAnsi="Times New Roman" w:cs="Times New Roman"/>
          <w:i/>
          <w:iCs/>
          <w:color w:val="222222"/>
          <w:sz w:val="24"/>
          <w:szCs w:val="24"/>
          <w:shd w:val="clear" w:color="auto" w:fill="FFFFFF"/>
        </w:rPr>
        <w:t>Studies on effect of different tillage methods and weed management practices in late sown wheat</w:t>
      </w:r>
      <w:r w:rsidRPr="00354F47">
        <w:rPr>
          <w:rFonts w:ascii="Times New Roman" w:hAnsi="Times New Roman" w:cs="Times New Roman"/>
          <w:color w:val="222222"/>
          <w:sz w:val="24"/>
          <w:szCs w:val="24"/>
          <w:shd w:val="clear" w:color="auto" w:fill="FFFFFF"/>
        </w:rPr>
        <w:t> (Doctoral dissertation, BIHAR AGRICULTURAL UNIVERSITY).</w:t>
      </w:r>
    </w:p>
    <w:p w:rsidR="00B51D37" w:rsidRPr="00B51D37" w:rsidRDefault="00270DA6" w:rsidP="00354F47">
      <w:pPr>
        <w:spacing w:line="480" w:lineRule="auto"/>
        <w:ind w:left="720" w:hanging="720"/>
        <w:jc w:val="both"/>
        <w:rPr>
          <w:rFonts w:ascii="Times New Roman" w:hAnsi="Times New Roman" w:cs="Times New Roman"/>
          <w:sz w:val="24"/>
          <w:szCs w:val="24"/>
        </w:rPr>
      </w:pPr>
      <w:r w:rsidRPr="00B51D37">
        <w:rPr>
          <w:rFonts w:ascii="Times New Roman" w:hAnsi="Times New Roman" w:cs="Times New Roman"/>
          <w:sz w:val="24"/>
          <w:szCs w:val="24"/>
        </w:rPr>
        <w:lastRenderedPageBreak/>
        <w:t>Qamar  R,  Rehman  AU,  Javeed  HMR,  Rehman  A,  Safdar  ME,  Ali  H,  Ahmad  S  (2021) Tillage  Systems  Affecting  Rice-Wheat  Cropp</w:t>
      </w:r>
      <w:r w:rsidR="00B51D37" w:rsidRPr="00B51D37">
        <w:rPr>
          <w:rFonts w:ascii="Times New Roman" w:hAnsi="Times New Roman" w:cs="Times New Roman"/>
          <w:sz w:val="24"/>
          <w:szCs w:val="24"/>
        </w:rPr>
        <w:t xml:space="preserve">ing  System. </w:t>
      </w:r>
      <w:r w:rsidR="00B51D37" w:rsidRPr="00B51D37">
        <w:rPr>
          <w:rFonts w:ascii="Times New Roman" w:hAnsi="Times New Roman" w:cs="Times New Roman"/>
          <w:i/>
          <w:iCs/>
          <w:sz w:val="24"/>
          <w:szCs w:val="24"/>
        </w:rPr>
        <w:t>Sains Malaysiana</w:t>
      </w:r>
      <w:r w:rsidR="00B51D37" w:rsidRPr="00B51D37">
        <w:rPr>
          <w:rFonts w:ascii="Times New Roman" w:hAnsi="Times New Roman" w:cs="Times New Roman"/>
          <w:sz w:val="24"/>
          <w:szCs w:val="24"/>
        </w:rPr>
        <w:t xml:space="preserve"> 50(6): 1543-1562</w:t>
      </w:r>
    </w:p>
    <w:p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Sharma, S.N. &amp; Singh, R.K. (2011) Productivity and economics of wheat as influenced by weed management and seed rate. </w:t>
      </w:r>
      <w:r w:rsidRPr="00354F47">
        <w:rPr>
          <w:rFonts w:ascii="Times New Roman" w:hAnsi="Times New Roman" w:cs="Times New Roman"/>
          <w:i/>
          <w:iCs/>
          <w:sz w:val="24"/>
          <w:szCs w:val="24"/>
        </w:rPr>
        <w:t>Progressive Agriculture</w:t>
      </w:r>
      <w:r w:rsidRPr="00354F47">
        <w:rPr>
          <w:rFonts w:ascii="Times New Roman" w:hAnsi="Times New Roman" w:cs="Times New Roman"/>
          <w:sz w:val="24"/>
          <w:szCs w:val="24"/>
        </w:rPr>
        <w:t xml:space="preserve"> 11: 242-250</w:t>
      </w:r>
    </w:p>
    <w:p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Singh, I., &amp; Mehriya, M. L. (2022). Influence of different levels of fertilizer and post-emergence herbicides on weed control efficiency, nutrient depletion by weeds and production of wheat [Triticum aestivum (L.)]. </w:t>
      </w:r>
      <w:r w:rsidRPr="00354F47">
        <w:rPr>
          <w:rFonts w:ascii="Times New Roman" w:hAnsi="Times New Roman" w:cs="Times New Roman"/>
          <w:i/>
          <w:iCs/>
          <w:color w:val="222222"/>
          <w:sz w:val="24"/>
          <w:szCs w:val="24"/>
          <w:shd w:val="clear" w:color="auto" w:fill="FFFFFF"/>
        </w:rPr>
        <w:t>International Journal of Bio-resource and Stress Management</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13</w:t>
      </w:r>
      <w:r w:rsidRPr="00354F47">
        <w:rPr>
          <w:rFonts w:ascii="Times New Roman" w:hAnsi="Times New Roman" w:cs="Times New Roman"/>
          <w:color w:val="222222"/>
          <w:sz w:val="24"/>
          <w:szCs w:val="24"/>
          <w:shd w:val="clear" w:color="auto" w:fill="FFFFFF"/>
        </w:rPr>
        <w:t>(3), 309-316.</w:t>
      </w:r>
    </w:p>
    <w:p w:rsidR="00B51D37" w:rsidRDefault="00270DA6" w:rsidP="00B51D3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Singh, R.K., Verma, S.K., Sharma, R. &amp; Singh, S.B. (2009). Bio-efficacy and selectivity of sulfosulfuron and metribuzin before and after irrigation in wheat under zero-tillage system. </w:t>
      </w:r>
      <w:r w:rsidRPr="00354F47">
        <w:rPr>
          <w:rFonts w:ascii="Times New Roman" w:hAnsi="Times New Roman" w:cs="Times New Roman"/>
          <w:i/>
          <w:iCs/>
          <w:sz w:val="24"/>
          <w:szCs w:val="24"/>
        </w:rPr>
        <w:t>Ind. J. Agri. Sci</w:t>
      </w:r>
      <w:r w:rsidRPr="00354F47">
        <w:rPr>
          <w:rFonts w:ascii="Times New Roman" w:hAnsi="Times New Roman" w:cs="Times New Roman"/>
          <w:sz w:val="24"/>
          <w:szCs w:val="24"/>
        </w:rPr>
        <w:t>. 79(9):735-739.</w:t>
      </w:r>
    </w:p>
    <w:p w:rsidR="00270DA6" w:rsidRPr="00354F47" w:rsidRDefault="00270DA6" w:rsidP="00B51D3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Walkley, A.; Black, I.A. An examination of Degtjareff method for determining organic carbon in soils: Effect of variations in digestion conditions and of inorganic soil constituents. </w:t>
      </w:r>
      <w:r w:rsidRPr="00354F47">
        <w:rPr>
          <w:rFonts w:ascii="Times New Roman" w:hAnsi="Times New Roman" w:cs="Times New Roman"/>
          <w:i/>
          <w:iCs/>
          <w:sz w:val="24"/>
          <w:szCs w:val="24"/>
        </w:rPr>
        <w:t>Soil Sci</w:t>
      </w:r>
      <w:r w:rsidRPr="00354F47">
        <w:rPr>
          <w:rFonts w:ascii="Times New Roman" w:hAnsi="Times New Roman" w:cs="Times New Roman"/>
          <w:sz w:val="24"/>
          <w:szCs w:val="24"/>
        </w:rPr>
        <w:t>. 1934, 63, 251–263.</w:t>
      </w:r>
    </w:p>
    <w:p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Yadav, R. K., Panwar, G. S., Maurya, S. K., Tiwari, A., Sah, D., Yadav, P., &amp; Gupta, D. (2024). Performance of late sown wheat varieties to various tillage practices. </w:t>
      </w:r>
      <w:r w:rsidRPr="00354F47">
        <w:rPr>
          <w:rFonts w:ascii="Times New Roman" w:hAnsi="Times New Roman" w:cs="Times New Roman"/>
          <w:i/>
          <w:iCs/>
          <w:color w:val="222222"/>
          <w:sz w:val="24"/>
          <w:szCs w:val="24"/>
          <w:shd w:val="clear" w:color="auto" w:fill="FFFFFF"/>
        </w:rPr>
        <w:t>Int. J. Environ. Clim. Change</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14</w:t>
      </w:r>
      <w:r w:rsidRPr="00354F47">
        <w:rPr>
          <w:rFonts w:ascii="Times New Roman" w:hAnsi="Times New Roman" w:cs="Times New Roman"/>
          <w:color w:val="222222"/>
          <w:sz w:val="24"/>
          <w:szCs w:val="24"/>
          <w:shd w:val="clear" w:color="auto" w:fill="FFFFFF"/>
        </w:rPr>
        <w:t>(1), 522-528.</w:t>
      </w:r>
    </w:p>
    <w:sectPr w:rsidR="00270DA6" w:rsidRPr="00354F47" w:rsidSect="00524F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1C8" w:rsidRDefault="00A051C8" w:rsidP="00060353">
      <w:pPr>
        <w:spacing w:after="0" w:line="240" w:lineRule="auto"/>
      </w:pPr>
      <w:r>
        <w:separator/>
      </w:r>
    </w:p>
  </w:endnote>
  <w:endnote w:type="continuationSeparator" w:id="1">
    <w:p w:rsidR="00A051C8" w:rsidRDefault="00A051C8" w:rsidP="00060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46" w:rsidRDefault="00C26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46" w:rsidRDefault="00C26A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46" w:rsidRDefault="00C26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1C8" w:rsidRDefault="00A051C8" w:rsidP="00060353">
      <w:pPr>
        <w:spacing w:after="0" w:line="240" w:lineRule="auto"/>
      </w:pPr>
      <w:r>
        <w:separator/>
      </w:r>
    </w:p>
  </w:footnote>
  <w:footnote w:type="continuationSeparator" w:id="1">
    <w:p w:rsidR="00A051C8" w:rsidRDefault="00A051C8" w:rsidP="000603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46" w:rsidRDefault="00C26A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46" w:rsidRDefault="00C26A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A46" w:rsidRDefault="00C26A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D02A7"/>
    <w:multiLevelType w:val="hybridMultilevel"/>
    <w:tmpl w:val="56F8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0D772A"/>
    <w:multiLevelType w:val="multilevel"/>
    <w:tmpl w:val="9414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AEELc3NDCyBlYKCkoxScWlycmZ8HUmBUCwBfNnzNLAAAAA=="/>
  </w:docVars>
  <w:rsids>
    <w:rsidRoot w:val="00C54CE3"/>
    <w:rsid w:val="0002594B"/>
    <w:rsid w:val="00060353"/>
    <w:rsid w:val="00070DCE"/>
    <w:rsid w:val="00253DFE"/>
    <w:rsid w:val="00270DA6"/>
    <w:rsid w:val="00354F47"/>
    <w:rsid w:val="00404A4A"/>
    <w:rsid w:val="005201B5"/>
    <w:rsid w:val="00524FF0"/>
    <w:rsid w:val="0059010D"/>
    <w:rsid w:val="006268AA"/>
    <w:rsid w:val="006326ED"/>
    <w:rsid w:val="006D7B04"/>
    <w:rsid w:val="00721F40"/>
    <w:rsid w:val="00746288"/>
    <w:rsid w:val="007F24B9"/>
    <w:rsid w:val="007F51C9"/>
    <w:rsid w:val="008033B1"/>
    <w:rsid w:val="0083290A"/>
    <w:rsid w:val="008720CC"/>
    <w:rsid w:val="00880DD3"/>
    <w:rsid w:val="0092502C"/>
    <w:rsid w:val="00946412"/>
    <w:rsid w:val="00953C0E"/>
    <w:rsid w:val="00971B5D"/>
    <w:rsid w:val="00A051C8"/>
    <w:rsid w:val="00A103AC"/>
    <w:rsid w:val="00A12397"/>
    <w:rsid w:val="00AC5BA5"/>
    <w:rsid w:val="00AF153D"/>
    <w:rsid w:val="00B51D37"/>
    <w:rsid w:val="00B66DAC"/>
    <w:rsid w:val="00B91C78"/>
    <w:rsid w:val="00B9653D"/>
    <w:rsid w:val="00BA72B7"/>
    <w:rsid w:val="00BF59D6"/>
    <w:rsid w:val="00C26A46"/>
    <w:rsid w:val="00C46DF5"/>
    <w:rsid w:val="00C54CE3"/>
    <w:rsid w:val="00C957DD"/>
    <w:rsid w:val="00CA12F0"/>
    <w:rsid w:val="00CA24E4"/>
    <w:rsid w:val="00CB2E4B"/>
    <w:rsid w:val="00D433D6"/>
    <w:rsid w:val="00D71C06"/>
    <w:rsid w:val="00D94503"/>
    <w:rsid w:val="00E27C82"/>
    <w:rsid w:val="00EB5475"/>
    <w:rsid w:val="00EF72DE"/>
    <w:rsid w:val="00F25E58"/>
    <w:rsid w:val="00F27E49"/>
    <w:rsid w:val="00F32D72"/>
    <w:rsid w:val="00F51EAA"/>
    <w:rsid w:val="00F6176B"/>
    <w:rsid w:val="00F7312F"/>
    <w:rsid w:val="00F85651"/>
    <w:rsid w:val="00FF5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F4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A24E4"/>
    <w:rPr>
      <w:b/>
      <w:bCs/>
    </w:rPr>
  </w:style>
  <w:style w:type="character" w:styleId="Emphasis">
    <w:name w:val="Emphasis"/>
    <w:basedOn w:val="DefaultParagraphFont"/>
    <w:uiPriority w:val="20"/>
    <w:qFormat/>
    <w:rsid w:val="00404A4A"/>
    <w:rPr>
      <w:i/>
      <w:iCs/>
    </w:rPr>
  </w:style>
  <w:style w:type="character" w:styleId="Hyperlink">
    <w:name w:val="Hyperlink"/>
    <w:basedOn w:val="DefaultParagraphFont"/>
    <w:uiPriority w:val="99"/>
    <w:unhideWhenUsed/>
    <w:rsid w:val="00404A4A"/>
    <w:rPr>
      <w:color w:val="0000FF"/>
      <w:u w:val="single"/>
    </w:rPr>
  </w:style>
  <w:style w:type="paragraph" w:styleId="ListParagraph">
    <w:name w:val="List Paragraph"/>
    <w:basedOn w:val="Normal"/>
    <w:uiPriority w:val="34"/>
    <w:qFormat/>
    <w:rsid w:val="00BF59D6"/>
    <w:pPr>
      <w:ind w:left="720"/>
      <w:contextualSpacing/>
    </w:pPr>
  </w:style>
  <w:style w:type="table" w:styleId="TableGrid">
    <w:name w:val="Table Grid"/>
    <w:basedOn w:val="TableNormal"/>
    <w:uiPriority w:val="59"/>
    <w:rsid w:val="00CB2E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06"/>
    <w:rPr>
      <w:rFonts w:ascii="Tahoma" w:hAnsi="Tahoma" w:cs="Tahoma"/>
      <w:sz w:val="16"/>
      <w:szCs w:val="16"/>
    </w:rPr>
  </w:style>
  <w:style w:type="character" w:customStyle="1" w:styleId="UnresolvedMention">
    <w:name w:val="Unresolved Mention"/>
    <w:basedOn w:val="DefaultParagraphFont"/>
    <w:uiPriority w:val="99"/>
    <w:semiHidden/>
    <w:unhideWhenUsed/>
    <w:rsid w:val="006326ED"/>
    <w:rPr>
      <w:color w:val="605E5C"/>
      <w:shd w:val="clear" w:color="auto" w:fill="E1DFDD"/>
    </w:rPr>
  </w:style>
  <w:style w:type="paragraph" w:styleId="Header">
    <w:name w:val="header"/>
    <w:basedOn w:val="Normal"/>
    <w:link w:val="HeaderChar"/>
    <w:uiPriority w:val="99"/>
    <w:unhideWhenUsed/>
    <w:rsid w:val="0006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53"/>
  </w:style>
  <w:style w:type="paragraph" w:styleId="Footer">
    <w:name w:val="footer"/>
    <w:basedOn w:val="Normal"/>
    <w:link w:val="FooterChar"/>
    <w:uiPriority w:val="99"/>
    <w:unhideWhenUsed/>
    <w:rsid w:val="00060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53"/>
  </w:style>
</w:styles>
</file>

<file path=word/webSettings.xml><?xml version="1.0" encoding="utf-8"?>
<w:webSettings xmlns:r="http://schemas.openxmlformats.org/officeDocument/2006/relationships" xmlns:w="http://schemas.openxmlformats.org/wordprocessingml/2006/main">
  <w:divs>
    <w:div w:id="18233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ao.org/faostat/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Sheet1!$G$4</c:f>
              <c:strCache>
                <c:ptCount val="1"/>
                <c:pt idx="0">
                  <c:v>Standard Weeks</c:v>
                </c:pt>
              </c:strCache>
            </c:strRef>
          </c:tx>
          <c:val>
            <c:numRef>
              <c:f>Sheet1!$G$5:$G$31</c:f>
              <c:numCache>
                <c:formatCode>General</c:formatCode>
                <c:ptCount val="27"/>
                <c:pt idx="1">
                  <c:v>45</c:v>
                </c:pt>
                <c:pt idx="2">
                  <c:v>46</c:v>
                </c:pt>
                <c:pt idx="3">
                  <c:v>47</c:v>
                </c:pt>
                <c:pt idx="4">
                  <c:v>48</c:v>
                </c:pt>
                <c:pt idx="5">
                  <c:v>49</c:v>
                </c:pt>
                <c:pt idx="6">
                  <c:v>50</c:v>
                </c:pt>
                <c:pt idx="7">
                  <c:v>51</c:v>
                </c:pt>
                <c:pt idx="8">
                  <c:v>52</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numCache>
            </c:numRef>
          </c:val>
          <c:extLst xmlns:c16r2="http://schemas.microsoft.com/office/drawing/2015/06/chart">
            <c:ext xmlns:c16="http://schemas.microsoft.com/office/drawing/2014/chart" uri="{C3380CC4-5D6E-409C-BE32-E72D297353CC}">
              <c16:uniqueId val="{00000000-1405-4BF4-AB58-455945D266A8}"/>
            </c:ext>
          </c:extLst>
        </c:ser>
        <c:ser>
          <c:idx val="1"/>
          <c:order val="1"/>
          <c:tx>
            <c:strRef>
              <c:f>Sheet1!$H$4</c:f>
              <c:strCache>
                <c:ptCount val="1"/>
                <c:pt idx="0">
                  <c:v>Rainfall (mm) 2022-23</c:v>
                </c:pt>
              </c:strCache>
            </c:strRef>
          </c:tx>
          <c:val>
            <c:numRef>
              <c:f>Sheet1!$H$5:$H$31</c:f>
              <c:numCache>
                <c:formatCode>General</c:formatCode>
                <c:ptCount val="27"/>
                <c:pt idx="1">
                  <c:v>0</c:v>
                </c:pt>
                <c:pt idx="2">
                  <c:v>0</c:v>
                </c:pt>
                <c:pt idx="3">
                  <c:v>0</c:v>
                </c:pt>
                <c:pt idx="4">
                  <c:v>0</c:v>
                </c:pt>
                <c:pt idx="5">
                  <c:v>0</c:v>
                </c:pt>
                <c:pt idx="6">
                  <c:v>0</c:v>
                </c:pt>
                <c:pt idx="7">
                  <c:v>0</c:v>
                </c:pt>
                <c:pt idx="8">
                  <c:v>0</c:v>
                </c:pt>
                <c:pt idx="9">
                  <c:v>0</c:v>
                </c:pt>
                <c:pt idx="10">
                  <c:v>0</c:v>
                </c:pt>
                <c:pt idx="11">
                  <c:v>0</c:v>
                </c:pt>
                <c:pt idx="12">
                  <c:v>10.200000000000001</c:v>
                </c:pt>
                <c:pt idx="13">
                  <c:v>1</c:v>
                </c:pt>
                <c:pt idx="14">
                  <c:v>0</c:v>
                </c:pt>
                <c:pt idx="15">
                  <c:v>0</c:v>
                </c:pt>
                <c:pt idx="16">
                  <c:v>0</c:v>
                </c:pt>
                <c:pt idx="17">
                  <c:v>0</c:v>
                </c:pt>
                <c:pt idx="18">
                  <c:v>0</c:v>
                </c:pt>
                <c:pt idx="19">
                  <c:v>6.4</c:v>
                </c:pt>
                <c:pt idx="20">
                  <c:v>11.6</c:v>
                </c:pt>
                <c:pt idx="21">
                  <c:v>39.200000000000003</c:v>
                </c:pt>
                <c:pt idx="22">
                  <c:v>0</c:v>
                </c:pt>
                <c:pt idx="23">
                  <c:v>0</c:v>
                </c:pt>
                <c:pt idx="24">
                  <c:v>0</c:v>
                </c:pt>
                <c:pt idx="25">
                  <c:v>14.6</c:v>
                </c:pt>
                <c:pt idx="26">
                  <c:v>75.8</c:v>
                </c:pt>
              </c:numCache>
            </c:numRef>
          </c:val>
          <c:extLst xmlns:c16r2="http://schemas.microsoft.com/office/drawing/2015/06/chart">
            <c:ext xmlns:c16="http://schemas.microsoft.com/office/drawing/2014/chart" uri="{C3380CC4-5D6E-409C-BE32-E72D297353CC}">
              <c16:uniqueId val="{00000001-1405-4BF4-AB58-455945D266A8}"/>
            </c:ext>
          </c:extLst>
        </c:ser>
        <c:ser>
          <c:idx val="2"/>
          <c:order val="2"/>
          <c:tx>
            <c:strRef>
              <c:f>Sheet1!$I$4</c:f>
              <c:strCache>
                <c:ptCount val="1"/>
                <c:pt idx="0">
                  <c:v>Rainfall (mm) 2023-24</c:v>
                </c:pt>
              </c:strCache>
            </c:strRef>
          </c:tx>
          <c:val>
            <c:numRef>
              <c:f>Sheet1!$I$5:$I$31</c:f>
              <c:numCache>
                <c:formatCode>General</c:formatCode>
                <c:ptCount val="27"/>
                <c:pt idx="1">
                  <c:v>0</c:v>
                </c:pt>
                <c:pt idx="2">
                  <c:v>0</c:v>
                </c:pt>
                <c:pt idx="3">
                  <c:v>0</c:v>
                </c:pt>
                <c:pt idx="4">
                  <c:v>6.6</c:v>
                </c:pt>
                <c:pt idx="5">
                  <c:v>11.8</c:v>
                </c:pt>
                <c:pt idx="6">
                  <c:v>0</c:v>
                </c:pt>
                <c:pt idx="7">
                  <c:v>0</c:v>
                </c:pt>
                <c:pt idx="8">
                  <c:v>0</c:v>
                </c:pt>
                <c:pt idx="9">
                  <c:v>11.2</c:v>
                </c:pt>
                <c:pt idx="10">
                  <c:v>0</c:v>
                </c:pt>
                <c:pt idx="11">
                  <c:v>0</c:v>
                </c:pt>
                <c:pt idx="12">
                  <c:v>0</c:v>
                </c:pt>
                <c:pt idx="13">
                  <c:v>0</c:v>
                </c:pt>
                <c:pt idx="14">
                  <c:v>26.8</c:v>
                </c:pt>
                <c:pt idx="15">
                  <c:v>0</c:v>
                </c:pt>
                <c:pt idx="16">
                  <c:v>0.60000000000000031</c:v>
                </c:pt>
                <c:pt idx="17">
                  <c:v>32.200000000000003</c:v>
                </c:pt>
                <c:pt idx="18">
                  <c:v>0</c:v>
                </c:pt>
                <c:pt idx="19">
                  <c:v>0</c:v>
                </c:pt>
                <c:pt idx="20">
                  <c:v>0</c:v>
                </c:pt>
                <c:pt idx="21">
                  <c:v>0</c:v>
                </c:pt>
                <c:pt idx="22">
                  <c:v>0</c:v>
                </c:pt>
                <c:pt idx="23">
                  <c:v>2</c:v>
                </c:pt>
                <c:pt idx="24">
                  <c:v>0</c:v>
                </c:pt>
                <c:pt idx="25">
                  <c:v>0</c:v>
                </c:pt>
                <c:pt idx="26">
                  <c:v>75.8</c:v>
                </c:pt>
              </c:numCache>
            </c:numRef>
          </c:val>
          <c:extLst xmlns:c16r2="http://schemas.microsoft.com/office/drawing/2015/06/chart">
            <c:ext xmlns:c16="http://schemas.microsoft.com/office/drawing/2014/chart" uri="{C3380CC4-5D6E-409C-BE32-E72D297353CC}">
              <c16:uniqueId val="{00000002-1405-4BF4-AB58-455945D266A8}"/>
            </c:ext>
          </c:extLst>
        </c:ser>
        <c:axId val="359538048"/>
        <c:axId val="359553280"/>
      </c:barChart>
      <c:catAx>
        <c:axId val="359538048"/>
        <c:scaling>
          <c:orientation val="minMax"/>
        </c:scaling>
        <c:axPos val="b"/>
        <c:tickLblPos val="nextTo"/>
        <c:crossAx val="359553280"/>
        <c:crosses val="autoZero"/>
        <c:auto val="1"/>
        <c:lblAlgn val="ctr"/>
        <c:lblOffset val="100"/>
      </c:catAx>
      <c:valAx>
        <c:axId val="359553280"/>
        <c:scaling>
          <c:orientation val="minMax"/>
        </c:scaling>
        <c:axPos val="l"/>
        <c:numFmt formatCode="General" sourceLinked="1"/>
        <c:tickLblPos val="nextTo"/>
        <c:crossAx val="359538048"/>
        <c:crosses val="autoZero"/>
        <c:crossBetween val="between"/>
      </c:valAx>
      <c:spPr>
        <a:noFill/>
        <a:ln w="25400">
          <a:noFill/>
        </a:ln>
      </c:spPr>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16</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16</cp:revision>
  <dcterms:created xsi:type="dcterms:W3CDTF">2025-10-07T17:04:00Z</dcterms:created>
  <dcterms:modified xsi:type="dcterms:W3CDTF">2025-10-13T09:36:00Z</dcterms:modified>
</cp:coreProperties>
</file>