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65E9" w14:textId="77777777" w:rsidR="00754C9A" w:rsidRPr="00C46353" w:rsidRDefault="00754C9A" w:rsidP="00441B6F">
      <w:pPr>
        <w:pStyle w:val="Title"/>
        <w:spacing w:after="0"/>
        <w:jc w:val="both"/>
        <w:rPr>
          <w:rStyle w:val="Strong"/>
        </w:rPr>
      </w:pPr>
      <w:bookmarkStart w:id="0" w:name="_Hlk209007776"/>
    </w:p>
    <w:p w14:paraId="47FA80B9" w14:textId="42485CF8" w:rsidR="00163BC4" w:rsidRPr="00163BC4" w:rsidRDefault="00B465AB" w:rsidP="00441B6F">
      <w:pPr>
        <w:pStyle w:val="Author"/>
        <w:spacing w:line="240" w:lineRule="auto"/>
        <w:rPr>
          <w:rFonts w:ascii="Arial" w:hAnsi="Arial" w:cs="Arial"/>
          <w:bCs/>
          <w:iCs/>
          <w:kern w:val="28"/>
          <w:sz w:val="36"/>
        </w:rPr>
      </w:pPr>
      <w:r>
        <w:rPr>
          <w:rFonts w:ascii="Arial" w:hAnsi="Arial" w:cs="Arial"/>
          <w:bCs/>
          <w:iCs/>
          <w:kern w:val="28"/>
          <w:sz w:val="36"/>
        </w:rPr>
        <w:t>A Descriptive Study on TESDA Dressmaking NC II Training and Its Role in Skills Development, Employment, and Livelihood Improvement</w:t>
      </w:r>
    </w:p>
    <w:p w14:paraId="70291451" w14:textId="77777777" w:rsidR="00A258C3" w:rsidRPr="00790ADA" w:rsidRDefault="00A258C3" w:rsidP="00441B6F">
      <w:pPr>
        <w:pStyle w:val="Author"/>
        <w:spacing w:line="240" w:lineRule="auto"/>
        <w:jc w:val="both"/>
        <w:rPr>
          <w:rFonts w:ascii="Arial" w:hAnsi="Arial" w:cs="Arial"/>
          <w:sz w:val="36"/>
        </w:rPr>
      </w:pPr>
    </w:p>
    <w:p w14:paraId="1B64FBF7" w14:textId="415CA0FD" w:rsidR="00B01FCD" w:rsidRPr="00FB3A86" w:rsidRDefault="00000000" w:rsidP="00441B6F">
      <w:pPr>
        <w:pStyle w:val="Copyright"/>
        <w:spacing w:after="0" w:line="240" w:lineRule="auto"/>
        <w:jc w:val="both"/>
        <w:rPr>
          <w:rFonts w:ascii="Arial" w:hAnsi="Arial" w:cs="Arial"/>
        </w:rPr>
        <w:sectPr w:rsidR="00B01FCD" w:rsidRPr="00FB3A86" w:rsidSect="00C463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E29C3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69D9A9C" w14:textId="5BFC626F" w:rsidR="00790ADA" w:rsidRPr="00FB3A86" w:rsidRDefault="0087017D"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09C2AF8" w14:textId="77777777" w:rsidTr="001E44FE">
        <w:tc>
          <w:tcPr>
            <w:tcW w:w="9576" w:type="dxa"/>
            <w:shd w:val="clear" w:color="auto" w:fill="F2F2F2"/>
          </w:tcPr>
          <w:p w14:paraId="2B9C32BF" w14:textId="2532365A" w:rsidR="001C20A6" w:rsidRPr="00453358" w:rsidRDefault="001C20A6" w:rsidP="001C20A6">
            <w:pPr>
              <w:pStyle w:val="Body"/>
              <w:spacing w:after="0"/>
              <w:rPr>
                <w:rFonts w:ascii="Arial" w:eastAsia="Calibri" w:hAnsi="Arial" w:cs="Arial"/>
              </w:rPr>
            </w:pPr>
            <w:r w:rsidRPr="001C20A6">
              <w:rPr>
                <w:rFonts w:ascii="Arial" w:eastAsia="Calibri" w:hAnsi="Arial" w:cs="Arial"/>
              </w:rPr>
              <w:t xml:space="preserve">This study assessed the perceptions of TESDA Dressmaking NC II graduates regarding changes in their employment and income status after completing the program and passing the National Competency (NC II) </w:t>
            </w:r>
            <w:proofErr w:type="gramStart"/>
            <w:r w:rsidRPr="001C20A6">
              <w:rPr>
                <w:rFonts w:ascii="Arial" w:eastAsia="Calibri" w:hAnsi="Arial" w:cs="Arial"/>
              </w:rPr>
              <w:t>assessment, and</w:t>
            </w:r>
            <w:proofErr w:type="gramEnd"/>
            <w:r w:rsidRPr="001C20A6">
              <w:rPr>
                <w:rFonts w:ascii="Arial" w:eastAsia="Calibri" w:hAnsi="Arial" w:cs="Arial"/>
              </w:rPr>
              <w:t xml:space="preserve"> examined how they view the importance of Competency-Based Training (CBT) in their personal and professional development. Within the Philippine TVET framework, CBT is recognized as a key strategy for enhancing workforce readiness and promoting inclusive growth, making its evaluation both theoretically and policy relevant. A descriptive quantitative design was </w:t>
            </w:r>
            <w:proofErr w:type="gramStart"/>
            <w:r w:rsidRPr="001C20A6">
              <w:rPr>
                <w:rFonts w:ascii="Arial" w:eastAsia="Calibri" w:hAnsi="Arial" w:cs="Arial"/>
              </w:rPr>
              <w:t>employed</w:t>
            </w:r>
            <w:proofErr w:type="gramEnd"/>
            <w:r w:rsidRPr="001C20A6">
              <w:rPr>
                <w:rFonts w:ascii="Arial" w:eastAsia="Calibri" w:hAnsi="Arial" w:cs="Arial"/>
              </w:rPr>
              <w:t xml:space="preserve"> </w:t>
            </w:r>
            <w:r w:rsidR="00453358" w:rsidRPr="00453358">
              <w:rPr>
                <w:rFonts w:ascii="Arial" w:eastAsia="Calibri" w:hAnsi="Arial" w:cs="Arial"/>
              </w:rPr>
              <w:t xml:space="preserve">and the study was conducted </w:t>
            </w:r>
            <w:r w:rsidRPr="001C20A6">
              <w:rPr>
                <w:rFonts w:ascii="Arial" w:eastAsia="Calibri" w:hAnsi="Arial" w:cs="Arial"/>
              </w:rPr>
              <w:t xml:space="preserve">in </w:t>
            </w:r>
            <w:proofErr w:type="spellStart"/>
            <w:r w:rsidRPr="001C20A6">
              <w:rPr>
                <w:rFonts w:ascii="Arial" w:eastAsia="Calibri" w:hAnsi="Arial" w:cs="Arial"/>
              </w:rPr>
              <w:t>Ilocos</w:t>
            </w:r>
            <w:proofErr w:type="spellEnd"/>
            <w:r w:rsidRPr="001C20A6">
              <w:rPr>
                <w:rFonts w:ascii="Arial" w:eastAsia="Calibri" w:hAnsi="Arial" w:cs="Arial"/>
              </w:rPr>
              <w:t xml:space="preserve"> Norte and </w:t>
            </w:r>
            <w:proofErr w:type="spellStart"/>
            <w:r w:rsidRPr="001C20A6">
              <w:rPr>
                <w:rFonts w:ascii="Arial" w:eastAsia="Calibri" w:hAnsi="Arial" w:cs="Arial"/>
              </w:rPr>
              <w:t>Ilocos</w:t>
            </w:r>
            <w:proofErr w:type="spellEnd"/>
            <w:r w:rsidRPr="001C20A6">
              <w:rPr>
                <w:rFonts w:ascii="Arial" w:eastAsia="Calibri" w:hAnsi="Arial" w:cs="Arial"/>
              </w:rPr>
              <w:t xml:space="preserve"> Sur, Philippines, with 100 graduates selected through purposive and snowball sampling. Data </w:t>
            </w:r>
            <w:proofErr w:type="gramStart"/>
            <w:r w:rsidRPr="001C20A6">
              <w:rPr>
                <w:rFonts w:ascii="Arial" w:eastAsia="Calibri" w:hAnsi="Arial" w:cs="Arial"/>
              </w:rPr>
              <w:t>were</w:t>
            </w:r>
            <w:proofErr w:type="gramEnd"/>
            <w:r w:rsidRPr="001C20A6">
              <w:rPr>
                <w:rFonts w:ascii="Arial" w:eastAsia="Calibri" w:hAnsi="Arial" w:cs="Arial"/>
              </w:rPr>
              <w:t xml:space="preserve"> gathered using a structured online checklist and analyzed through descriptive statistics.</w:t>
            </w:r>
          </w:p>
          <w:p w14:paraId="508B590D" w14:textId="77777777" w:rsidR="003059E1" w:rsidRPr="001C20A6" w:rsidRDefault="003059E1" w:rsidP="001C20A6">
            <w:pPr>
              <w:pStyle w:val="Body"/>
              <w:spacing w:after="0"/>
              <w:rPr>
                <w:rFonts w:ascii="Arial" w:eastAsia="Calibri" w:hAnsi="Arial" w:cs="Arial"/>
              </w:rPr>
            </w:pPr>
          </w:p>
          <w:p w14:paraId="22538781" w14:textId="77777777" w:rsidR="001C20A6" w:rsidRPr="00453358" w:rsidRDefault="001C20A6" w:rsidP="001C20A6">
            <w:pPr>
              <w:pStyle w:val="Body"/>
              <w:spacing w:after="0"/>
              <w:rPr>
                <w:rFonts w:ascii="Arial" w:eastAsia="Calibri" w:hAnsi="Arial" w:cs="Arial"/>
              </w:rPr>
            </w:pPr>
            <w:r w:rsidRPr="001C20A6">
              <w:rPr>
                <w:rFonts w:ascii="Arial" w:eastAsia="Calibri" w:hAnsi="Arial" w:cs="Arial"/>
              </w:rPr>
              <w:t xml:space="preserve">Findings showed that graduates </w:t>
            </w:r>
            <w:proofErr w:type="gramStart"/>
            <w:r w:rsidRPr="001C20A6">
              <w:rPr>
                <w:rFonts w:ascii="Arial" w:eastAsia="Calibri" w:hAnsi="Arial" w:cs="Arial"/>
              </w:rPr>
              <w:t>agreed</w:t>
            </w:r>
            <w:proofErr w:type="gramEnd"/>
            <w:r w:rsidRPr="001C20A6">
              <w:rPr>
                <w:rFonts w:ascii="Arial" w:eastAsia="Calibri" w:hAnsi="Arial" w:cs="Arial"/>
              </w:rPr>
              <w:t xml:space="preserve"> the program enhanced their employability (overall mean = 2.65) and improved their financial situation (overall mean = 2.77). The highest-rated indicators were increased confidence in applying for jobs or starting a business (M = 2.75) and the acquisition of dressmaking skills as a source of income (M = 2.79). However, challenges emerged in securing employment directly related to dressmaking (M = 2.56) and attaining substantial financial stability (M = 2.74), highlighting a persistent job-skills mismatch and modest economic returns.</w:t>
            </w:r>
          </w:p>
          <w:p w14:paraId="252DB6E7" w14:textId="77777777" w:rsidR="003059E1" w:rsidRPr="001C20A6" w:rsidRDefault="003059E1" w:rsidP="001C20A6">
            <w:pPr>
              <w:pStyle w:val="Body"/>
              <w:spacing w:after="0"/>
              <w:rPr>
                <w:rFonts w:ascii="Arial" w:eastAsia="Calibri" w:hAnsi="Arial" w:cs="Arial"/>
              </w:rPr>
            </w:pPr>
          </w:p>
          <w:p w14:paraId="79822997" w14:textId="77777777" w:rsidR="001C20A6" w:rsidRPr="001C20A6" w:rsidRDefault="001C20A6" w:rsidP="001C20A6">
            <w:pPr>
              <w:pStyle w:val="Body"/>
              <w:spacing w:after="0"/>
              <w:rPr>
                <w:rFonts w:ascii="Arial" w:eastAsia="Calibri" w:hAnsi="Arial" w:cs="Arial"/>
              </w:rPr>
            </w:pPr>
            <w:r w:rsidRPr="001C20A6">
              <w:rPr>
                <w:rFonts w:ascii="Arial" w:eastAsia="Calibri" w:hAnsi="Arial" w:cs="Arial"/>
              </w:rPr>
              <w:t>These results suggest that while the program provides technical competencies and fosters entrepreneurial confidence, its broader economic impact is constrained by external labor market conditions. Addressing these gaps requires stronger industry linkages, targeted entrepreneurial support, and closer alignment between training content and market needs. Such measures would maximize the benefits of TESDA’s Dressmaking NC II program and strengthen TVET’s contribution to sustainable livelihoods.</w:t>
            </w:r>
          </w:p>
          <w:p w14:paraId="70E79DC3" w14:textId="67435CAE" w:rsidR="00505F06" w:rsidRPr="00F065F5" w:rsidRDefault="00505F06" w:rsidP="00F065F5">
            <w:pPr>
              <w:pStyle w:val="Body"/>
              <w:spacing w:after="0"/>
              <w:rPr>
                <w:rFonts w:ascii="Arial" w:eastAsia="Calibri" w:hAnsi="Arial" w:cs="Arial"/>
                <w:b/>
                <w:bCs/>
                <w:szCs w:val="22"/>
              </w:rPr>
            </w:pPr>
          </w:p>
        </w:tc>
      </w:tr>
    </w:tbl>
    <w:p w14:paraId="02291994" w14:textId="77777777" w:rsidR="00636EB2" w:rsidRDefault="00636EB2" w:rsidP="00441B6F">
      <w:pPr>
        <w:pStyle w:val="Body"/>
        <w:spacing w:after="0"/>
        <w:rPr>
          <w:rFonts w:ascii="Arial" w:hAnsi="Arial" w:cs="Arial"/>
          <w:i/>
        </w:rPr>
      </w:pPr>
    </w:p>
    <w:p w14:paraId="7DC7000E" w14:textId="30DCC16B" w:rsidR="00A24E7E" w:rsidRDefault="00A24E7E" w:rsidP="00441B6F">
      <w:pPr>
        <w:pStyle w:val="Body"/>
        <w:spacing w:after="0"/>
        <w:rPr>
          <w:rFonts w:ascii="Arial" w:hAnsi="Arial" w:cs="Arial"/>
          <w:i/>
        </w:rPr>
      </w:pPr>
      <w:r>
        <w:rPr>
          <w:rFonts w:ascii="Arial" w:hAnsi="Arial" w:cs="Arial"/>
          <w:i/>
        </w:rPr>
        <w:t>Keywords:</w:t>
      </w:r>
      <w:r w:rsidR="003436C4">
        <w:rPr>
          <w:rFonts w:ascii="Arial" w:hAnsi="Arial" w:cs="Arial"/>
          <w:i/>
        </w:rPr>
        <w:t xml:space="preserve"> Dressmaking NC II, Competency-Based Training (CBT), Employment Outcomes, Income Improvement, Skills Development, Livelihood Opportunities </w:t>
      </w:r>
    </w:p>
    <w:p w14:paraId="5A6ECE23" w14:textId="77777777" w:rsidR="0024282C" w:rsidRDefault="0024282C" w:rsidP="00441B6F">
      <w:pPr>
        <w:pStyle w:val="Body"/>
        <w:spacing w:after="0"/>
        <w:rPr>
          <w:rFonts w:ascii="Arial" w:hAnsi="Arial" w:cs="Arial"/>
          <w:i/>
          <w:sz w:val="18"/>
        </w:rPr>
      </w:pPr>
    </w:p>
    <w:p w14:paraId="25C71C4E" w14:textId="5862ED7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520F46" w14:textId="77777777" w:rsidR="003436C4" w:rsidRPr="003436C4" w:rsidRDefault="003436C4" w:rsidP="003436C4">
      <w:pPr>
        <w:ind w:firstLine="720"/>
        <w:jc w:val="both"/>
        <w:rPr>
          <w:rFonts w:ascii="Arial" w:hAnsi="Arial" w:cs="Arial"/>
        </w:rPr>
      </w:pPr>
      <w:r w:rsidRPr="003436C4">
        <w:rPr>
          <w:rFonts w:ascii="Arial" w:hAnsi="Arial" w:cs="Arial"/>
        </w:rPr>
        <w:t xml:space="preserve">The growing demand for skilled workers in the Philippines underscores the significance of Technical and Vocational Education and Training (TVET), particularly programs managed by the Technical Education and Skills Development Authority (TESDA). One of TESDA’s primary training approaches is Competency-Based Training (CBT), which is structured to ensure that learners acquire specific, workplace-relevant skills that meet both local and international standards (TESDA, 2021). </w:t>
      </w:r>
      <w:bookmarkStart w:id="1" w:name="_Hlk203548185"/>
      <w:r w:rsidRPr="003436C4">
        <w:rPr>
          <w:rFonts w:ascii="Arial" w:hAnsi="Arial" w:cs="Arial"/>
        </w:rPr>
        <w:t>CBT focuses not on the time a learner spends in training but on what they can perform after the training, offering a flexible, learner-centered approach that enables individuals to progress at their own pace (Asian Development Bank [ADB], 2014).</w:t>
      </w:r>
      <w:bookmarkEnd w:id="1"/>
    </w:p>
    <w:p w14:paraId="2620C7A6" w14:textId="77777777" w:rsidR="003436C4" w:rsidRPr="003436C4" w:rsidRDefault="003436C4" w:rsidP="003436C4">
      <w:pPr>
        <w:ind w:firstLine="720"/>
        <w:jc w:val="both"/>
        <w:rPr>
          <w:rFonts w:ascii="Arial" w:hAnsi="Arial" w:cs="Arial"/>
        </w:rPr>
      </w:pPr>
      <w:r w:rsidRPr="003436C4">
        <w:rPr>
          <w:rFonts w:ascii="Arial" w:hAnsi="Arial" w:cs="Arial"/>
        </w:rPr>
        <w:lastRenderedPageBreak/>
        <w:t xml:space="preserve">TESDA’s CBT framework aligns with national competency standards defined by industry practitioners, ensuring relevance to labor market demands. Trainees are evaluated based on clearly defined performance criteria and awarded National Certificates (NC) upon demonstrating competence. These NCs are nationally and globally recognized credentials that serve as indicators of workforce readiness (Philippine Qualifications Framework [PQF], 2017). According to the International </w:t>
      </w:r>
      <w:proofErr w:type="spellStart"/>
      <w:r w:rsidRPr="003436C4">
        <w:rPr>
          <w:rFonts w:ascii="Arial" w:hAnsi="Arial" w:cs="Arial"/>
        </w:rPr>
        <w:t>Labour</w:t>
      </w:r>
      <w:proofErr w:type="spellEnd"/>
      <w:r w:rsidRPr="003436C4">
        <w:rPr>
          <w:rFonts w:ascii="Arial" w:hAnsi="Arial" w:cs="Arial"/>
        </w:rPr>
        <w:t xml:space="preserve"> Organization (2016), CBT programs, especially those aligned with national certification systems, have shown a positive impact on employment and productivity across developing countries.</w:t>
      </w:r>
    </w:p>
    <w:p w14:paraId="5297EF44" w14:textId="77777777" w:rsidR="003436C4" w:rsidRPr="003436C4" w:rsidRDefault="003436C4" w:rsidP="003436C4">
      <w:pPr>
        <w:ind w:firstLine="720"/>
        <w:jc w:val="both"/>
        <w:rPr>
          <w:rFonts w:ascii="Arial" w:hAnsi="Arial" w:cs="Arial"/>
        </w:rPr>
      </w:pPr>
      <w:r w:rsidRPr="003436C4">
        <w:rPr>
          <w:rFonts w:ascii="Arial" w:hAnsi="Arial" w:cs="Arial"/>
        </w:rPr>
        <w:t>The Dressmaking NC II program under TESDA exemplifies this CBT approach. It aims to provide individuals particularly women, out-of-school youth, and unemployed citizens with technical competencies in pattern drafting, sewing techniques, and garments construction. The program, which lasts 275 hours, incorporates both theoretical knowledge and hands-on application in modules that are outcomes-based and industry-aligned (TESDA, 2021). Once trainees complete the course and pass the National Competency assessment, they are expected to find employment in the garment industry, start a small enterprise, or engage in freelance services to improve their income-generating potential.</w:t>
      </w:r>
    </w:p>
    <w:p w14:paraId="29C2D3E1" w14:textId="77777777" w:rsidR="003436C4" w:rsidRPr="003436C4" w:rsidRDefault="003436C4" w:rsidP="003436C4">
      <w:pPr>
        <w:ind w:firstLine="720"/>
        <w:jc w:val="both"/>
        <w:rPr>
          <w:rFonts w:ascii="Arial" w:hAnsi="Arial" w:cs="Arial"/>
        </w:rPr>
      </w:pPr>
      <w:r w:rsidRPr="003436C4">
        <w:rPr>
          <w:rFonts w:ascii="Arial" w:hAnsi="Arial" w:cs="Arial"/>
        </w:rPr>
        <w:t>Several impact assessments and government reports show that TESDA training has helped increase employability and livelihood opportunities. A 2014–2022 study by TESDA reported that over 60% of TVET graduates gained employment within six months, many of whom reported income improvements (TESDA, 2022). Similarly, localized success stories from community-based dressmaking programs in areas such as Abra demonstrate that graduates were able to contribute to local economies through entrepreneurial ventures and subcontracting arrangements (TESDA-CAR, 2023). These reports align with findings from the Asian Development Bank (2014), which emphasized the value of CBT in accelerating skill acquisition and enhancing job placement outcomes.</w:t>
      </w:r>
    </w:p>
    <w:p w14:paraId="32471FDA" w14:textId="77777777" w:rsidR="003436C4" w:rsidRPr="003436C4" w:rsidRDefault="003436C4" w:rsidP="003436C4">
      <w:pPr>
        <w:ind w:firstLine="720"/>
        <w:jc w:val="both"/>
        <w:rPr>
          <w:rFonts w:ascii="Arial" w:hAnsi="Arial" w:cs="Arial"/>
        </w:rPr>
      </w:pPr>
      <w:r w:rsidRPr="003436C4">
        <w:rPr>
          <w:rFonts w:ascii="Arial" w:hAnsi="Arial" w:cs="Arial"/>
        </w:rPr>
        <w:t>Understanding the perceptions of scholars who underwent TESDA Dressmaking NC II training is essential for refining curriculum delivery, strengthening assessment practices, and improving the alignment between training and labor market needs. This descriptive quantitative study investigates how scholars perceive the relevance and effectiveness of Competency-Based Training, and the employment or income changes they experienced after certification. The findings aim to inform policy and practice in technical-vocational education delivery and contribute to evidence-based improvements in program implementation.</w:t>
      </w:r>
    </w:p>
    <w:p w14:paraId="6D9DC21D" w14:textId="77777777" w:rsidR="003436C4" w:rsidRPr="003436C4" w:rsidRDefault="003436C4" w:rsidP="003436C4">
      <w:pPr>
        <w:jc w:val="both"/>
        <w:rPr>
          <w:rFonts w:ascii="Arial" w:hAnsi="Arial" w:cs="Arial"/>
        </w:rPr>
      </w:pPr>
      <w:r w:rsidRPr="003436C4">
        <w:rPr>
          <w:rFonts w:ascii="Arial" w:hAnsi="Arial" w:cs="Arial"/>
        </w:rPr>
        <w:t>This study aims to assess the perceptions of TESDA Dressmaking NC II graduates regarding the changes in their employment and income status after completing the program and passing the National Competency (NC) assessment, and to evaluate how they perceive the importance of Competency-Based Training in their personal and professional development.</w:t>
      </w:r>
    </w:p>
    <w:p w14:paraId="6295A949" w14:textId="77777777" w:rsidR="00790ADA" w:rsidRPr="003436C4" w:rsidRDefault="00790ADA" w:rsidP="00441B6F">
      <w:pPr>
        <w:pStyle w:val="AbstHead"/>
        <w:spacing w:after="0"/>
        <w:jc w:val="both"/>
        <w:rPr>
          <w:rFonts w:ascii="Arial" w:hAnsi="Arial" w:cs="Arial"/>
        </w:rPr>
      </w:pPr>
    </w:p>
    <w:p w14:paraId="78E970F7" w14:textId="77777777" w:rsidR="00790ADA" w:rsidRPr="00FB3A86" w:rsidRDefault="00790ADA" w:rsidP="00441B6F">
      <w:pPr>
        <w:pStyle w:val="Body"/>
        <w:spacing w:after="0"/>
        <w:rPr>
          <w:rFonts w:ascii="Arial" w:hAnsi="Arial" w:cs="Arial"/>
        </w:rPr>
      </w:pPr>
    </w:p>
    <w:p w14:paraId="2E9FB4C2" w14:textId="7A66F85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FDA6F1C" w14:textId="77777777" w:rsidR="008A7394" w:rsidRDefault="008A7394" w:rsidP="00441B6F">
      <w:pPr>
        <w:pStyle w:val="AbstHead"/>
        <w:spacing w:after="0"/>
        <w:jc w:val="both"/>
        <w:rPr>
          <w:rFonts w:ascii="Arial" w:hAnsi="Arial" w:cs="Arial"/>
        </w:rPr>
      </w:pPr>
    </w:p>
    <w:p w14:paraId="0423E1FC" w14:textId="76A1117B" w:rsidR="008A7394" w:rsidRPr="008A7394" w:rsidRDefault="008A7394" w:rsidP="008A7394">
      <w:pPr>
        <w:jc w:val="both"/>
        <w:rPr>
          <w:rFonts w:cstheme="minorHAnsi"/>
          <w:b/>
          <w:bCs/>
          <w:sz w:val="22"/>
          <w:szCs w:val="22"/>
        </w:rPr>
      </w:pPr>
      <w:r>
        <w:rPr>
          <w:rFonts w:cstheme="minorHAnsi"/>
          <w:b/>
          <w:bCs/>
          <w:sz w:val="22"/>
          <w:szCs w:val="22"/>
        </w:rPr>
        <w:t xml:space="preserve">2.1 </w:t>
      </w:r>
      <w:r w:rsidRPr="008A7394">
        <w:rPr>
          <w:rFonts w:cstheme="minorHAnsi"/>
          <w:b/>
          <w:bCs/>
          <w:sz w:val="22"/>
          <w:szCs w:val="22"/>
        </w:rPr>
        <w:t>Research Design</w:t>
      </w:r>
    </w:p>
    <w:p w14:paraId="6FA12A21" w14:textId="5654F6DC" w:rsidR="008A7394" w:rsidRDefault="008A7394" w:rsidP="008A7394">
      <w:pPr>
        <w:ind w:firstLine="720"/>
        <w:jc w:val="both"/>
        <w:rPr>
          <w:rFonts w:ascii="Arial" w:hAnsi="Arial" w:cs="Arial"/>
        </w:rPr>
      </w:pPr>
      <w:r w:rsidRPr="0064521F">
        <w:rPr>
          <w:rFonts w:ascii="Arial" w:hAnsi="Arial" w:cs="Arial"/>
        </w:rPr>
        <w:t>This study employed a descriptive quantitative research design to collect and analyze data on the perceptions of TESDA Dressmaking NC II graduates regarding their experiences after completing the program. Specifically, the study aimed to determine the graduates’ perceptions of changes in their employment status and income following the training and National Certificate II (NC II) assessment. It also sought to assess how the graduates perceive the importance of the Competency-Based Training (CBT) approach implemented in the program. The</w:t>
      </w:r>
      <w:r w:rsidR="000A6344">
        <w:rPr>
          <w:rFonts w:ascii="Arial" w:hAnsi="Arial" w:cs="Arial"/>
        </w:rPr>
        <w:t xml:space="preserve"> </w:t>
      </w:r>
      <w:r w:rsidRPr="0064521F">
        <w:rPr>
          <w:rFonts w:ascii="Arial" w:hAnsi="Arial" w:cs="Arial"/>
        </w:rPr>
        <w:t>quantitative design enabled the researcher to objectively measure and summarize responses using statistical tools and descriptive analysis.</w:t>
      </w:r>
    </w:p>
    <w:p w14:paraId="1C09F1A3" w14:textId="77777777" w:rsidR="00A62A3C" w:rsidRPr="0064521F" w:rsidRDefault="00A62A3C" w:rsidP="008A7394">
      <w:pPr>
        <w:ind w:firstLine="720"/>
        <w:jc w:val="both"/>
        <w:rPr>
          <w:rFonts w:ascii="Arial" w:hAnsi="Arial" w:cs="Arial"/>
        </w:rPr>
      </w:pPr>
    </w:p>
    <w:p w14:paraId="14DA2CED" w14:textId="77777777" w:rsidR="008A7394" w:rsidRPr="0064521F" w:rsidRDefault="008A7394" w:rsidP="008A7394">
      <w:pPr>
        <w:ind w:firstLine="720"/>
        <w:jc w:val="both"/>
        <w:rPr>
          <w:rFonts w:ascii="Arial" w:hAnsi="Arial" w:cs="Arial"/>
        </w:rPr>
      </w:pPr>
    </w:p>
    <w:p w14:paraId="10FA3A2C" w14:textId="5F168FCF" w:rsidR="008A7394" w:rsidRPr="0064521F" w:rsidRDefault="008A7394" w:rsidP="008A7394">
      <w:pPr>
        <w:jc w:val="both"/>
        <w:rPr>
          <w:rFonts w:ascii="Arial" w:hAnsi="Arial" w:cs="Arial"/>
          <w:b/>
          <w:bCs/>
          <w:sz w:val="22"/>
          <w:szCs w:val="22"/>
        </w:rPr>
      </w:pPr>
      <w:r w:rsidRPr="0064521F">
        <w:rPr>
          <w:rFonts w:ascii="Arial" w:hAnsi="Arial" w:cs="Arial"/>
          <w:b/>
          <w:bCs/>
          <w:sz w:val="22"/>
          <w:szCs w:val="22"/>
        </w:rPr>
        <w:lastRenderedPageBreak/>
        <w:t>2.2 Research Locale</w:t>
      </w:r>
    </w:p>
    <w:p w14:paraId="6A9654B1" w14:textId="77777777" w:rsidR="008A7394" w:rsidRPr="0064521F" w:rsidRDefault="008A7394" w:rsidP="008A7394">
      <w:pPr>
        <w:ind w:firstLine="720"/>
        <w:jc w:val="both"/>
        <w:rPr>
          <w:rFonts w:ascii="Arial" w:hAnsi="Arial" w:cs="Arial"/>
        </w:rPr>
      </w:pPr>
      <w:r w:rsidRPr="0064521F">
        <w:rPr>
          <w:rFonts w:ascii="Arial" w:hAnsi="Arial" w:cs="Arial"/>
        </w:rPr>
        <w:t xml:space="preserve">The study was conducted in the provinces of </w:t>
      </w:r>
      <w:proofErr w:type="spellStart"/>
      <w:r w:rsidRPr="0064521F">
        <w:rPr>
          <w:rFonts w:ascii="Arial" w:hAnsi="Arial" w:cs="Arial"/>
        </w:rPr>
        <w:t>Ilocos</w:t>
      </w:r>
      <w:proofErr w:type="spellEnd"/>
      <w:r w:rsidRPr="0064521F">
        <w:rPr>
          <w:rFonts w:ascii="Arial" w:hAnsi="Arial" w:cs="Arial"/>
        </w:rPr>
        <w:t xml:space="preserve"> Norte and </w:t>
      </w:r>
      <w:proofErr w:type="spellStart"/>
      <w:r w:rsidRPr="0064521F">
        <w:rPr>
          <w:rFonts w:ascii="Arial" w:hAnsi="Arial" w:cs="Arial"/>
        </w:rPr>
        <w:t>Ilocos</w:t>
      </w:r>
      <w:proofErr w:type="spellEnd"/>
      <w:r w:rsidRPr="0064521F">
        <w:rPr>
          <w:rFonts w:ascii="Arial" w:hAnsi="Arial" w:cs="Arial"/>
        </w:rPr>
        <w:t xml:space="preserve"> Sur, where several TESDA-accredited Technical Vocational Institutions (TVIs) offer the Dressmaking NC II program. These areas were selected due to their active implementation of the program and the accessibility of graduates and scholars.</w:t>
      </w:r>
    </w:p>
    <w:p w14:paraId="61D781DF" w14:textId="77777777" w:rsidR="008A7394" w:rsidRPr="0064521F" w:rsidRDefault="008A7394" w:rsidP="008A7394">
      <w:pPr>
        <w:ind w:firstLine="720"/>
        <w:jc w:val="both"/>
        <w:rPr>
          <w:rFonts w:ascii="Arial" w:hAnsi="Arial" w:cs="Arial"/>
        </w:rPr>
      </w:pPr>
    </w:p>
    <w:p w14:paraId="243BF8AC" w14:textId="438275F0" w:rsidR="008A7394" w:rsidRPr="0064521F" w:rsidRDefault="008A7394" w:rsidP="008A7394">
      <w:pPr>
        <w:jc w:val="both"/>
        <w:rPr>
          <w:rFonts w:ascii="Arial" w:hAnsi="Arial" w:cs="Arial"/>
          <w:b/>
          <w:bCs/>
          <w:sz w:val="22"/>
          <w:szCs w:val="22"/>
        </w:rPr>
      </w:pPr>
      <w:r w:rsidRPr="0064521F">
        <w:rPr>
          <w:rFonts w:ascii="Arial" w:hAnsi="Arial" w:cs="Arial"/>
          <w:b/>
          <w:bCs/>
          <w:sz w:val="22"/>
          <w:szCs w:val="22"/>
        </w:rPr>
        <w:t>2.3 Population and Sampling Technique</w:t>
      </w:r>
    </w:p>
    <w:p w14:paraId="2BBFA751" w14:textId="77777777" w:rsidR="008A7394" w:rsidRPr="0064521F" w:rsidRDefault="008A7394" w:rsidP="008A7394">
      <w:pPr>
        <w:ind w:firstLine="720"/>
        <w:jc w:val="both"/>
        <w:rPr>
          <w:rFonts w:ascii="Arial" w:hAnsi="Arial" w:cs="Arial"/>
        </w:rPr>
      </w:pPr>
      <w:r w:rsidRPr="0064521F">
        <w:rPr>
          <w:rFonts w:ascii="Arial" w:hAnsi="Arial" w:cs="Arial"/>
        </w:rPr>
        <w:t xml:space="preserve">The target population of this study consisted of individuals who completed the TESDA Dressmaking NC II training program within the last five (5) years in the provinces of </w:t>
      </w:r>
      <w:proofErr w:type="spellStart"/>
      <w:r w:rsidRPr="0064521F">
        <w:rPr>
          <w:rFonts w:ascii="Arial" w:hAnsi="Arial" w:cs="Arial"/>
        </w:rPr>
        <w:t>Ilocos</w:t>
      </w:r>
      <w:proofErr w:type="spellEnd"/>
      <w:r w:rsidRPr="0064521F">
        <w:rPr>
          <w:rFonts w:ascii="Arial" w:hAnsi="Arial" w:cs="Arial"/>
        </w:rPr>
        <w:t xml:space="preserve"> Norte and </w:t>
      </w:r>
      <w:proofErr w:type="spellStart"/>
      <w:r w:rsidRPr="0064521F">
        <w:rPr>
          <w:rFonts w:ascii="Arial" w:hAnsi="Arial" w:cs="Arial"/>
        </w:rPr>
        <w:t>Ilocos</w:t>
      </w:r>
      <w:proofErr w:type="spellEnd"/>
      <w:r w:rsidRPr="0064521F">
        <w:rPr>
          <w:rFonts w:ascii="Arial" w:hAnsi="Arial" w:cs="Arial"/>
        </w:rPr>
        <w:t xml:space="preserve"> Sur. From this population, a total of 100 trainees were selected to serve as respondents.</w:t>
      </w:r>
    </w:p>
    <w:p w14:paraId="7282972E" w14:textId="5150423F" w:rsidR="008A7394" w:rsidRPr="0064521F" w:rsidRDefault="008A7394" w:rsidP="008A7394">
      <w:pPr>
        <w:ind w:firstLine="720"/>
        <w:jc w:val="both"/>
        <w:rPr>
          <w:rFonts w:ascii="Arial" w:hAnsi="Arial" w:cs="Arial"/>
        </w:rPr>
      </w:pPr>
      <w:r w:rsidRPr="0064521F">
        <w:rPr>
          <w:rFonts w:ascii="Arial" w:hAnsi="Arial" w:cs="Arial"/>
        </w:rPr>
        <w:t xml:space="preserve">The participants were chosen through purposive sampling, wherein the researcher deliberately selected individuals who had completed the training and passed the NC II assessment. To effectively locate and reach more eligible respondents, especially those who may no longer be directly affiliated with their training institutions, a snowball sampling technique was employed. Initial respondents were encouraged to </w:t>
      </w:r>
      <w:r w:rsidR="00247BC9" w:rsidRPr="0064521F">
        <w:rPr>
          <w:rFonts w:ascii="Arial" w:hAnsi="Arial" w:cs="Arial"/>
        </w:rPr>
        <w:t>refer to</w:t>
      </w:r>
      <w:r w:rsidRPr="0064521F">
        <w:rPr>
          <w:rFonts w:ascii="Arial" w:hAnsi="Arial" w:cs="Arial"/>
        </w:rPr>
        <w:t xml:space="preserve"> other qualified graduates who met the study’s criteria.</w:t>
      </w:r>
    </w:p>
    <w:p w14:paraId="16EEA7DD" w14:textId="77777777" w:rsidR="008A7394" w:rsidRPr="0064521F" w:rsidRDefault="008A7394" w:rsidP="008A7394">
      <w:pPr>
        <w:ind w:firstLine="720"/>
        <w:jc w:val="both"/>
        <w:rPr>
          <w:rFonts w:ascii="Arial" w:hAnsi="Arial" w:cs="Arial"/>
        </w:rPr>
      </w:pPr>
      <w:r w:rsidRPr="0064521F">
        <w:rPr>
          <w:rFonts w:ascii="Arial" w:hAnsi="Arial" w:cs="Arial"/>
        </w:rPr>
        <w:t>This combination of purposive and snowball sampling ensured that the sample was composed of respondents with firsthand experience of the Dressmaking NC II program, thereby enhancing the relevance and reliability of the data gathered.</w:t>
      </w:r>
    </w:p>
    <w:p w14:paraId="5CAA8F57" w14:textId="77777777" w:rsidR="008A7394" w:rsidRPr="0064521F" w:rsidRDefault="008A7394" w:rsidP="008A7394">
      <w:pPr>
        <w:jc w:val="both"/>
        <w:rPr>
          <w:rFonts w:ascii="Arial" w:hAnsi="Arial" w:cs="Arial"/>
        </w:rPr>
      </w:pPr>
    </w:p>
    <w:p w14:paraId="1649F671" w14:textId="3D06E628" w:rsidR="008A7394" w:rsidRPr="0064521F" w:rsidRDefault="008A7394" w:rsidP="008A7394">
      <w:pPr>
        <w:jc w:val="both"/>
        <w:rPr>
          <w:rFonts w:ascii="Arial" w:hAnsi="Arial" w:cs="Arial"/>
          <w:b/>
          <w:bCs/>
          <w:sz w:val="22"/>
          <w:szCs w:val="22"/>
        </w:rPr>
      </w:pPr>
      <w:r w:rsidRPr="0064521F">
        <w:rPr>
          <w:rFonts w:ascii="Arial" w:hAnsi="Arial" w:cs="Arial"/>
          <w:b/>
          <w:bCs/>
          <w:sz w:val="22"/>
          <w:szCs w:val="22"/>
        </w:rPr>
        <w:t>2.4 Data Gathering Procedure</w:t>
      </w:r>
    </w:p>
    <w:p w14:paraId="2E800DDD" w14:textId="77777777" w:rsidR="008A7394" w:rsidRPr="0064521F" w:rsidRDefault="008A7394" w:rsidP="008A7394">
      <w:pPr>
        <w:ind w:firstLine="720"/>
        <w:jc w:val="both"/>
        <w:rPr>
          <w:rFonts w:ascii="Arial" w:hAnsi="Arial" w:cs="Arial"/>
        </w:rPr>
      </w:pPr>
      <w:r w:rsidRPr="0064521F">
        <w:rPr>
          <w:rFonts w:ascii="Arial" w:hAnsi="Arial" w:cs="Arial"/>
        </w:rPr>
        <w:t>Prior to data collection, permission was formally sought from the heads of the participating TVIs to gain access to scholars and disseminate the survey questionnaire. Upon approval, the researcher coordinated with trainers who facilitated the TESDA programs to help distribute the Google Forms link to their respective official group chats of scholars.</w:t>
      </w:r>
    </w:p>
    <w:p w14:paraId="01A0B5B3" w14:textId="77777777" w:rsidR="008A7394" w:rsidRPr="0064521F" w:rsidRDefault="008A7394" w:rsidP="008A7394">
      <w:pPr>
        <w:ind w:firstLine="720"/>
        <w:jc w:val="both"/>
        <w:rPr>
          <w:rFonts w:ascii="Arial" w:hAnsi="Arial" w:cs="Arial"/>
        </w:rPr>
      </w:pPr>
      <w:r w:rsidRPr="0064521F">
        <w:rPr>
          <w:rFonts w:ascii="Arial" w:hAnsi="Arial" w:cs="Arial"/>
        </w:rPr>
        <w:t>The research instrument was a checklist developed by the researcher and administered through Google Forms. The online format ensured convenience and wider reach among respondents, especially those in remote areas. The survey included items focusing on the scholars’ perceptions of the effectiveness of CBT, their employment outcomes, and the changes in their income after completing the program.</w:t>
      </w:r>
    </w:p>
    <w:p w14:paraId="31A0FD1C" w14:textId="77777777" w:rsidR="008A7394" w:rsidRPr="0064521F" w:rsidRDefault="008A7394" w:rsidP="008A7394">
      <w:pPr>
        <w:ind w:firstLine="720"/>
        <w:jc w:val="both"/>
        <w:rPr>
          <w:rFonts w:ascii="Arial" w:hAnsi="Arial" w:cs="Arial"/>
        </w:rPr>
      </w:pPr>
    </w:p>
    <w:p w14:paraId="0D674269" w14:textId="76D34EA8" w:rsidR="008A7394" w:rsidRPr="0064521F" w:rsidRDefault="008A7394" w:rsidP="008A7394">
      <w:pPr>
        <w:jc w:val="both"/>
        <w:rPr>
          <w:rFonts w:ascii="Arial" w:hAnsi="Arial" w:cs="Arial"/>
          <w:b/>
          <w:bCs/>
          <w:sz w:val="22"/>
          <w:szCs w:val="22"/>
        </w:rPr>
      </w:pPr>
      <w:r w:rsidRPr="0064521F">
        <w:rPr>
          <w:rFonts w:ascii="Arial" w:hAnsi="Arial" w:cs="Arial"/>
          <w:b/>
          <w:bCs/>
          <w:sz w:val="22"/>
          <w:szCs w:val="22"/>
        </w:rPr>
        <w:t>2.5 Ethical Considerations</w:t>
      </w:r>
    </w:p>
    <w:p w14:paraId="4D6B7A54" w14:textId="77777777" w:rsidR="008A7394" w:rsidRPr="008049C7" w:rsidRDefault="008A7394" w:rsidP="008A7394">
      <w:pPr>
        <w:ind w:firstLine="720"/>
        <w:jc w:val="both"/>
        <w:rPr>
          <w:rFonts w:cstheme="minorHAnsi"/>
        </w:rPr>
      </w:pPr>
      <w:r w:rsidRPr="0064521F">
        <w:rPr>
          <w:rFonts w:ascii="Arial" w:hAnsi="Arial" w:cs="Arial"/>
        </w:rPr>
        <w:t>In conducting this study, ethical standards were upheld. Participants were informed about the purpose of the research, and their informed consent was obtained prior to participation. Participation was voluntary, and confidentiality of responses was assured. Respondents had the right to withdraw from the study at any point without penalty</w:t>
      </w:r>
      <w:r w:rsidRPr="008049C7">
        <w:rPr>
          <w:rFonts w:cstheme="minorHAnsi"/>
        </w:rPr>
        <w:t>.</w:t>
      </w:r>
    </w:p>
    <w:p w14:paraId="4B6DEE99" w14:textId="6E287C57" w:rsidR="00AA74E0" w:rsidRDefault="00AA74E0" w:rsidP="008A7394">
      <w:pPr>
        <w:pStyle w:val="Body"/>
        <w:spacing w:after="0"/>
        <w:rPr>
          <w:rFonts w:ascii="Arial" w:hAnsi="Arial" w:cs="Arial"/>
        </w:rPr>
      </w:pPr>
      <w:r w:rsidRPr="00FB3A86">
        <w:rPr>
          <w:rFonts w:ascii="Arial" w:hAnsi="Arial" w:cs="Arial"/>
        </w:rPr>
        <w:t xml:space="preserve"> </w:t>
      </w:r>
    </w:p>
    <w:p w14:paraId="536744C3" w14:textId="77777777" w:rsidR="00790ADA" w:rsidRPr="00FB3A86" w:rsidRDefault="00790ADA" w:rsidP="00441B6F">
      <w:pPr>
        <w:pStyle w:val="Body"/>
        <w:spacing w:after="0"/>
        <w:rPr>
          <w:rFonts w:ascii="Arial" w:hAnsi="Arial" w:cs="Arial"/>
        </w:rPr>
      </w:pPr>
    </w:p>
    <w:p w14:paraId="3A763346" w14:textId="01BAA32A" w:rsidR="00790ADA" w:rsidRDefault="00000F8F" w:rsidP="008A739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B31381" w14:textId="77777777" w:rsidR="008A7394" w:rsidRDefault="008A7394" w:rsidP="008A7394">
      <w:pPr>
        <w:pStyle w:val="Head1"/>
        <w:spacing w:after="0"/>
        <w:jc w:val="both"/>
        <w:rPr>
          <w:rFonts w:ascii="Arial" w:hAnsi="Arial" w:cs="Arial"/>
        </w:rPr>
      </w:pPr>
    </w:p>
    <w:p w14:paraId="6399DE0B" w14:textId="0A2E6083"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8A7394">
        <w:rPr>
          <w:rFonts w:ascii="Arial" w:hAnsi="Arial"/>
          <w:b/>
        </w:rPr>
        <w:t>Employment Changes</w:t>
      </w:r>
    </w:p>
    <w:p w14:paraId="20E82F21" w14:textId="77777777" w:rsidR="00863BD3" w:rsidRPr="00DC3180" w:rsidRDefault="00863BD3" w:rsidP="00441B6F">
      <w:pPr>
        <w:tabs>
          <w:tab w:val="left" w:pos="1080"/>
        </w:tabs>
        <w:jc w:val="both"/>
        <w:rPr>
          <w:rFonts w:ascii="Arial" w:hAnsi="Arial"/>
          <w:b/>
        </w:rPr>
      </w:pPr>
    </w:p>
    <w:tbl>
      <w:tblPr>
        <w:tblW w:w="779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833"/>
        <w:gridCol w:w="1089"/>
        <w:gridCol w:w="1877"/>
      </w:tblGrid>
      <w:tr w:rsidR="00863BD3" w:rsidRPr="00247BC9" w14:paraId="50BC9E2A" w14:textId="77777777" w:rsidTr="008A7394">
        <w:trPr>
          <w:trHeight w:val="474"/>
          <w:jc w:val="center"/>
        </w:trPr>
        <w:tc>
          <w:tcPr>
            <w:tcW w:w="4833" w:type="dxa"/>
            <w:tcBorders>
              <w:bottom w:val="single" w:sz="4" w:space="0" w:color="auto"/>
            </w:tcBorders>
          </w:tcPr>
          <w:p w14:paraId="0664C462" w14:textId="49E658F3" w:rsidR="00863BD3" w:rsidRPr="00247BC9" w:rsidRDefault="008A7394" w:rsidP="00441B6F">
            <w:pPr>
              <w:jc w:val="both"/>
              <w:rPr>
                <w:rFonts w:ascii="Arial" w:hAnsi="Arial"/>
                <w:b/>
                <w:bCs/>
                <w:sz w:val="18"/>
                <w:szCs w:val="18"/>
              </w:rPr>
            </w:pPr>
            <w:r w:rsidRPr="00247BC9">
              <w:rPr>
                <w:rFonts w:ascii="Arial" w:hAnsi="Arial"/>
                <w:b/>
                <w:sz w:val="18"/>
                <w:szCs w:val="18"/>
              </w:rPr>
              <w:t>Item</w:t>
            </w:r>
          </w:p>
        </w:tc>
        <w:tc>
          <w:tcPr>
            <w:tcW w:w="1089" w:type="dxa"/>
            <w:tcBorders>
              <w:bottom w:val="single" w:sz="4" w:space="0" w:color="auto"/>
            </w:tcBorders>
          </w:tcPr>
          <w:p w14:paraId="62CE8A56" w14:textId="56E67FBC" w:rsidR="00863BD3" w:rsidRPr="00247BC9" w:rsidRDefault="008A7394" w:rsidP="00986618">
            <w:pPr>
              <w:jc w:val="center"/>
              <w:rPr>
                <w:rFonts w:ascii="Arial" w:hAnsi="Arial"/>
                <w:b/>
                <w:bCs/>
                <w:sz w:val="18"/>
                <w:szCs w:val="18"/>
              </w:rPr>
            </w:pPr>
            <w:r w:rsidRPr="00247BC9">
              <w:rPr>
                <w:rFonts w:ascii="Arial" w:hAnsi="Arial"/>
                <w:b/>
                <w:bCs/>
                <w:sz w:val="18"/>
                <w:szCs w:val="18"/>
              </w:rPr>
              <w:t>Mean</w:t>
            </w:r>
          </w:p>
        </w:tc>
        <w:tc>
          <w:tcPr>
            <w:tcW w:w="1877" w:type="dxa"/>
            <w:tcBorders>
              <w:bottom w:val="single" w:sz="4" w:space="0" w:color="auto"/>
            </w:tcBorders>
          </w:tcPr>
          <w:p w14:paraId="289E01ED" w14:textId="4C7AD455" w:rsidR="00863BD3" w:rsidRPr="00247BC9" w:rsidRDefault="008A7394" w:rsidP="00986618">
            <w:pPr>
              <w:jc w:val="center"/>
              <w:rPr>
                <w:rFonts w:ascii="Arial" w:hAnsi="Arial"/>
                <w:b/>
                <w:bCs/>
                <w:sz w:val="18"/>
                <w:szCs w:val="18"/>
              </w:rPr>
            </w:pPr>
            <w:r w:rsidRPr="00247BC9">
              <w:rPr>
                <w:rFonts w:ascii="Arial" w:hAnsi="Arial"/>
                <w:b/>
                <w:bCs/>
                <w:sz w:val="18"/>
                <w:szCs w:val="18"/>
              </w:rPr>
              <w:t>Descriptive Interpretation</w:t>
            </w:r>
          </w:p>
        </w:tc>
      </w:tr>
      <w:tr w:rsidR="008A7394" w:rsidRPr="00247BC9" w14:paraId="2C07F1D7" w14:textId="77777777" w:rsidTr="00986618">
        <w:trPr>
          <w:trHeight w:val="512"/>
          <w:jc w:val="center"/>
        </w:trPr>
        <w:tc>
          <w:tcPr>
            <w:tcW w:w="4833" w:type="dxa"/>
            <w:tcBorders>
              <w:bottom w:val="nil"/>
            </w:tcBorders>
          </w:tcPr>
          <w:p w14:paraId="095F5303" w14:textId="29E7BEF3" w:rsidR="008A7394" w:rsidRPr="00247BC9" w:rsidRDefault="008A7394" w:rsidP="008A7394">
            <w:pPr>
              <w:jc w:val="both"/>
              <w:rPr>
                <w:rFonts w:ascii="Arial" w:hAnsi="Arial"/>
                <w:b/>
                <w:bCs/>
                <w:sz w:val="18"/>
                <w:szCs w:val="18"/>
              </w:rPr>
            </w:pPr>
            <w:r w:rsidRPr="00247BC9">
              <w:rPr>
                <w:rFonts w:cstheme="minorHAnsi"/>
                <w:sz w:val="18"/>
                <w:szCs w:val="18"/>
              </w:rPr>
              <w:t>The training enabled me to secure a job or livelihood related to dressmaking.</w:t>
            </w:r>
          </w:p>
        </w:tc>
        <w:tc>
          <w:tcPr>
            <w:tcW w:w="1089" w:type="dxa"/>
            <w:tcBorders>
              <w:bottom w:val="nil"/>
            </w:tcBorders>
          </w:tcPr>
          <w:p w14:paraId="3CF465E7" w14:textId="0C1E1483" w:rsidR="008A7394" w:rsidRPr="00247BC9" w:rsidRDefault="008A7394" w:rsidP="008A7394">
            <w:pPr>
              <w:jc w:val="center"/>
              <w:rPr>
                <w:rFonts w:ascii="Arial" w:hAnsi="Arial"/>
                <w:b/>
                <w:bCs/>
                <w:sz w:val="18"/>
                <w:szCs w:val="18"/>
              </w:rPr>
            </w:pPr>
            <w:r w:rsidRPr="00247BC9">
              <w:rPr>
                <w:rFonts w:cstheme="minorHAnsi"/>
                <w:sz w:val="18"/>
                <w:szCs w:val="18"/>
              </w:rPr>
              <w:t>2.56</w:t>
            </w:r>
          </w:p>
        </w:tc>
        <w:tc>
          <w:tcPr>
            <w:tcW w:w="1877" w:type="dxa"/>
            <w:tcBorders>
              <w:bottom w:val="nil"/>
            </w:tcBorders>
          </w:tcPr>
          <w:p w14:paraId="06F62577" w14:textId="6A406B24" w:rsidR="008A7394" w:rsidRPr="00247BC9" w:rsidRDefault="008A7394" w:rsidP="008A7394">
            <w:pPr>
              <w:jc w:val="center"/>
              <w:rPr>
                <w:rFonts w:ascii="Arial" w:hAnsi="Arial"/>
                <w:b/>
                <w:bCs/>
                <w:sz w:val="18"/>
                <w:szCs w:val="18"/>
              </w:rPr>
            </w:pPr>
            <w:r w:rsidRPr="00247BC9">
              <w:rPr>
                <w:rFonts w:cstheme="minorHAnsi"/>
                <w:sz w:val="18"/>
                <w:szCs w:val="18"/>
              </w:rPr>
              <w:t>Agree</w:t>
            </w:r>
          </w:p>
        </w:tc>
      </w:tr>
      <w:tr w:rsidR="008A7394" w:rsidRPr="00247BC9" w14:paraId="16924690" w14:textId="77777777" w:rsidTr="008A7394">
        <w:trPr>
          <w:trHeight w:val="487"/>
          <w:jc w:val="center"/>
        </w:trPr>
        <w:tc>
          <w:tcPr>
            <w:tcW w:w="4833" w:type="dxa"/>
            <w:tcBorders>
              <w:top w:val="nil"/>
              <w:bottom w:val="nil"/>
            </w:tcBorders>
          </w:tcPr>
          <w:p w14:paraId="5F4C9ED8" w14:textId="445B44BB" w:rsidR="008A7394" w:rsidRPr="00247BC9" w:rsidRDefault="008A7394" w:rsidP="008A7394">
            <w:pPr>
              <w:jc w:val="both"/>
              <w:rPr>
                <w:rFonts w:ascii="Arial" w:hAnsi="Arial" w:cs="Arial"/>
                <w:sz w:val="18"/>
                <w:szCs w:val="18"/>
              </w:rPr>
            </w:pPr>
            <w:r w:rsidRPr="00247BC9">
              <w:rPr>
                <w:rFonts w:cstheme="minorHAnsi"/>
                <w:sz w:val="18"/>
                <w:szCs w:val="18"/>
              </w:rPr>
              <w:t>The NC II assessment improved my employment status.</w:t>
            </w:r>
          </w:p>
        </w:tc>
        <w:tc>
          <w:tcPr>
            <w:tcW w:w="1089" w:type="dxa"/>
            <w:tcBorders>
              <w:top w:val="nil"/>
              <w:bottom w:val="nil"/>
            </w:tcBorders>
          </w:tcPr>
          <w:p w14:paraId="1976A8BA" w14:textId="5244CCC0" w:rsidR="008A7394" w:rsidRPr="00247BC9" w:rsidRDefault="008A7394" w:rsidP="008A7394">
            <w:pPr>
              <w:jc w:val="center"/>
              <w:rPr>
                <w:rFonts w:ascii="Arial" w:hAnsi="Arial" w:cs="Arial"/>
                <w:sz w:val="18"/>
                <w:szCs w:val="18"/>
              </w:rPr>
            </w:pPr>
            <w:r w:rsidRPr="00247BC9">
              <w:rPr>
                <w:rFonts w:cstheme="minorHAnsi"/>
                <w:sz w:val="18"/>
                <w:szCs w:val="18"/>
              </w:rPr>
              <w:t>2.65</w:t>
            </w:r>
          </w:p>
        </w:tc>
        <w:tc>
          <w:tcPr>
            <w:tcW w:w="1877" w:type="dxa"/>
            <w:tcBorders>
              <w:top w:val="nil"/>
              <w:bottom w:val="nil"/>
            </w:tcBorders>
          </w:tcPr>
          <w:p w14:paraId="7AB89753" w14:textId="346FB24D" w:rsidR="008A7394" w:rsidRPr="00247BC9" w:rsidRDefault="008A7394" w:rsidP="008A7394">
            <w:pPr>
              <w:jc w:val="center"/>
              <w:rPr>
                <w:rFonts w:ascii="Arial" w:hAnsi="Arial"/>
                <w:sz w:val="18"/>
                <w:szCs w:val="18"/>
              </w:rPr>
            </w:pPr>
            <w:r w:rsidRPr="00247BC9">
              <w:rPr>
                <w:rFonts w:cstheme="minorHAnsi"/>
                <w:sz w:val="18"/>
                <w:szCs w:val="18"/>
              </w:rPr>
              <w:t>Agree</w:t>
            </w:r>
          </w:p>
        </w:tc>
      </w:tr>
      <w:tr w:rsidR="008A7394" w:rsidRPr="00247BC9" w14:paraId="5919F70B" w14:textId="77777777" w:rsidTr="008A7394">
        <w:trPr>
          <w:trHeight w:val="474"/>
          <w:jc w:val="center"/>
        </w:trPr>
        <w:tc>
          <w:tcPr>
            <w:tcW w:w="4833" w:type="dxa"/>
            <w:tcBorders>
              <w:top w:val="nil"/>
              <w:bottom w:val="nil"/>
            </w:tcBorders>
          </w:tcPr>
          <w:p w14:paraId="7EA14D30" w14:textId="3C17F190" w:rsidR="008A7394" w:rsidRPr="00247BC9" w:rsidRDefault="008A7394" w:rsidP="008A7394">
            <w:pPr>
              <w:jc w:val="both"/>
              <w:rPr>
                <w:rFonts w:ascii="Arial" w:hAnsi="Arial"/>
                <w:sz w:val="18"/>
                <w:szCs w:val="18"/>
              </w:rPr>
            </w:pPr>
            <w:r w:rsidRPr="00247BC9">
              <w:rPr>
                <w:rFonts w:cstheme="minorHAnsi"/>
                <w:sz w:val="18"/>
                <w:szCs w:val="18"/>
              </w:rPr>
              <w:t>The training increased my confidence in applying for jobs or starting a business.</w:t>
            </w:r>
          </w:p>
        </w:tc>
        <w:tc>
          <w:tcPr>
            <w:tcW w:w="1089" w:type="dxa"/>
            <w:tcBorders>
              <w:top w:val="nil"/>
              <w:bottom w:val="nil"/>
            </w:tcBorders>
          </w:tcPr>
          <w:p w14:paraId="0D1B294B" w14:textId="3F680468" w:rsidR="008A7394" w:rsidRPr="00247BC9" w:rsidRDefault="008A7394" w:rsidP="008A7394">
            <w:pPr>
              <w:jc w:val="center"/>
              <w:rPr>
                <w:rFonts w:ascii="Arial" w:hAnsi="Arial"/>
                <w:sz w:val="18"/>
                <w:szCs w:val="18"/>
              </w:rPr>
            </w:pPr>
            <w:r w:rsidRPr="00247BC9">
              <w:rPr>
                <w:rFonts w:cstheme="minorHAnsi"/>
                <w:sz w:val="18"/>
                <w:szCs w:val="18"/>
              </w:rPr>
              <w:t>2.75</w:t>
            </w:r>
          </w:p>
        </w:tc>
        <w:tc>
          <w:tcPr>
            <w:tcW w:w="1877" w:type="dxa"/>
            <w:tcBorders>
              <w:top w:val="nil"/>
              <w:bottom w:val="nil"/>
            </w:tcBorders>
          </w:tcPr>
          <w:p w14:paraId="720F897A" w14:textId="3CA91B66" w:rsidR="008A7394" w:rsidRPr="00247BC9" w:rsidRDefault="008A7394" w:rsidP="008A7394">
            <w:pPr>
              <w:jc w:val="center"/>
              <w:rPr>
                <w:rFonts w:ascii="Arial" w:hAnsi="Arial" w:cs="Arial"/>
                <w:sz w:val="18"/>
                <w:szCs w:val="18"/>
              </w:rPr>
            </w:pPr>
            <w:r w:rsidRPr="00247BC9">
              <w:rPr>
                <w:rFonts w:cstheme="minorHAnsi"/>
                <w:sz w:val="18"/>
                <w:szCs w:val="18"/>
              </w:rPr>
              <w:t>Agree</w:t>
            </w:r>
          </w:p>
        </w:tc>
      </w:tr>
      <w:tr w:rsidR="008A7394" w:rsidRPr="00247BC9" w14:paraId="62476892" w14:textId="77777777" w:rsidTr="008A7394">
        <w:trPr>
          <w:trHeight w:val="474"/>
          <w:jc w:val="center"/>
        </w:trPr>
        <w:tc>
          <w:tcPr>
            <w:tcW w:w="4833" w:type="dxa"/>
            <w:tcBorders>
              <w:top w:val="nil"/>
              <w:bottom w:val="nil"/>
            </w:tcBorders>
          </w:tcPr>
          <w:p w14:paraId="54274639" w14:textId="40E66754" w:rsidR="008A7394" w:rsidRPr="00247BC9" w:rsidRDefault="008A7394" w:rsidP="008A7394">
            <w:pPr>
              <w:jc w:val="both"/>
              <w:rPr>
                <w:rFonts w:ascii="Arial" w:hAnsi="Arial"/>
                <w:sz w:val="18"/>
                <w:szCs w:val="18"/>
              </w:rPr>
            </w:pPr>
            <w:r w:rsidRPr="00247BC9">
              <w:rPr>
                <w:rFonts w:cstheme="minorHAnsi"/>
                <w:sz w:val="18"/>
                <w:szCs w:val="18"/>
              </w:rPr>
              <w:lastRenderedPageBreak/>
              <w:t>The training enhanced my ability to meet the requirements of employees or clients.</w:t>
            </w:r>
          </w:p>
        </w:tc>
        <w:tc>
          <w:tcPr>
            <w:tcW w:w="1089" w:type="dxa"/>
            <w:tcBorders>
              <w:top w:val="nil"/>
              <w:bottom w:val="nil"/>
            </w:tcBorders>
          </w:tcPr>
          <w:p w14:paraId="01BDE1C3" w14:textId="21548A75" w:rsidR="008A7394" w:rsidRPr="00247BC9" w:rsidRDefault="008A7394" w:rsidP="008A7394">
            <w:pPr>
              <w:jc w:val="center"/>
              <w:rPr>
                <w:rFonts w:ascii="Arial" w:hAnsi="Arial"/>
                <w:sz w:val="18"/>
                <w:szCs w:val="18"/>
              </w:rPr>
            </w:pPr>
            <w:r w:rsidRPr="00247BC9">
              <w:rPr>
                <w:rFonts w:cstheme="minorHAnsi"/>
                <w:sz w:val="18"/>
                <w:szCs w:val="18"/>
              </w:rPr>
              <w:t>2.65</w:t>
            </w:r>
          </w:p>
        </w:tc>
        <w:tc>
          <w:tcPr>
            <w:tcW w:w="1877" w:type="dxa"/>
            <w:tcBorders>
              <w:top w:val="nil"/>
              <w:bottom w:val="nil"/>
            </w:tcBorders>
          </w:tcPr>
          <w:p w14:paraId="1C9A309B" w14:textId="007F51D6" w:rsidR="008A7394" w:rsidRPr="00247BC9" w:rsidRDefault="008A7394" w:rsidP="008A7394">
            <w:pPr>
              <w:jc w:val="center"/>
              <w:rPr>
                <w:rFonts w:ascii="Arial" w:hAnsi="Arial" w:cs="Arial"/>
                <w:sz w:val="18"/>
                <w:szCs w:val="18"/>
              </w:rPr>
            </w:pPr>
            <w:r w:rsidRPr="00247BC9">
              <w:rPr>
                <w:rFonts w:cstheme="minorHAnsi"/>
                <w:sz w:val="18"/>
                <w:szCs w:val="18"/>
              </w:rPr>
              <w:t>Agree</w:t>
            </w:r>
          </w:p>
        </w:tc>
      </w:tr>
    </w:tbl>
    <w:p w14:paraId="0F73B63E" w14:textId="10E4676E" w:rsidR="00CA3C1B" w:rsidRPr="005130BB" w:rsidRDefault="00863BD3" w:rsidP="00CA3C1B">
      <w:pPr>
        <w:ind w:right="-424"/>
        <w:jc w:val="both"/>
        <w:rPr>
          <w:rFonts w:ascii="Times New Roman" w:hAnsi="Times New Roman"/>
          <w:i/>
          <w:iCs/>
          <w:sz w:val="18"/>
          <w:szCs w:val="18"/>
        </w:rPr>
      </w:pPr>
      <w:r w:rsidRPr="008C73BB">
        <w:rPr>
          <w:rFonts w:ascii="Arial" w:hAnsi="Arial"/>
          <w:bCs/>
          <w:i/>
          <w:sz w:val="18"/>
        </w:rPr>
        <w:t>*</w:t>
      </w:r>
      <w:r w:rsidR="00CA3C1B" w:rsidRPr="00CA3C1B">
        <w:rPr>
          <w:rFonts w:ascii="Times New Roman" w:hAnsi="Times New Roman"/>
          <w:i/>
          <w:iCs/>
          <w:sz w:val="18"/>
          <w:szCs w:val="18"/>
        </w:rPr>
        <w:t xml:space="preserve"> </w:t>
      </w:r>
      <w:r w:rsidR="00CA3C1B" w:rsidRPr="005130BB">
        <w:rPr>
          <w:rFonts w:ascii="Times New Roman" w:hAnsi="Times New Roman"/>
          <w:i/>
          <w:iCs/>
          <w:sz w:val="18"/>
          <w:szCs w:val="18"/>
        </w:rPr>
        <w:t>Range of Mean Interval-DI, 3.25-4.00- Strongly Agree; 2.50-3.24- Agree; 1.75-2.49- Disagree; 1.0-1.74- Strongly Disagree</w:t>
      </w:r>
    </w:p>
    <w:p w14:paraId="3E0D2AD2" w14:textId="77777777" w:rsidR="00863BD3" w:rsidRDefault="00863BD3" w:rsidP="00CA3C1B">
      <w:pPr>
        <w:pStyle w:val="BodyText3"/>
        <w:tabs>
          <w:tab w:val="left" w:pos="1080"/>
        </w:tabs>
        <w:spacing w:after="0"/>
        <w:jc w:val="both"/>
        <w:rPr>
          <w:rFonts w:ascii="Arial" w:hAnsi="Arial"/>
          <w:b/>
          <w:sz w:val="20"/>
          <w:szCs w:val="20"/>
        </w:rPr>
      </w:pPr>
    </w:p>
    <w:p w14:paraId="4A73BA04" w14:textId="0D66DFD4" w:rsidR="00CA3C1B" w:rsidRPr="0064521F" w:rsidRDefault="00CA3C1B" w:rsidP="00CA3C1B">
      <w:pPr>
        <w:ind w:firstLine="720"/>
        <w:jc w:val="both"/>
        <w:rPr>
          <w:rFonts w:ascii="Arial" w:hAnsi="Arial" w:cs="Arial"/>
        </w:rPr>
      </w:pPr>
      <w:r w:rsidRPr="0064521F">
        <w:rPr>
          <w:rFonts w:ascii="Arial" w:hAnsi="Arial" w:cs="Arial"/>
        </w:rPr>
        <w:t xml:space="preserve">The four indicators related to employment changes yielded mean scores ranging from 2.56 to 2.75, with an overall average of 2.65. This corresponds to an interpretation of </w:t>
      </w:r>
      <w:r w:rsidRPr="0064521F">
        <w:rPr>
          <w:rFonts w:ascii="Arial" w:hAnsi="Arial" w:cs="Arial"/>
          <w:i/>
          <w:iCs/>
        </w:rPr>
        <w:t>Agree</w:t>
      </w:r>
      <w:r w:rsidRPr="0064521F">
        <w:rPr>
          <w:rFonts w:ascii="Arial" w:hAnsi="Arial" w:cs="Arial"/>
        </w:rPr>
        <w:t>, indicating that respondents generally perceived positive employment-related outcomes following the Dressmaking NC II training. Among the indicators, the highest-rated statement was the increase in confidence when applying for jobs or starting a business (M = 2.75). This suggests that beyond technical competency, the training significantly contributed to building self-efficacy and job readiness, which is consistent with the goal of Competency-Based Training under TESDA programs.</w:t>
      </w:r>
    </w:p>
    <w:p w14:paraId="54B3FD33" w14:textId="77777777" w:rsidR="00CA3C1B" w:rsidRPr="0064521F" w:rsidRDefault="00CA3C1B" w:rsidP="00CA3C1B">
      <w:pPr>
        <w:ind w:firstLine="720"/>
        <w:jc w:val="both"/>
        <w:rPr>
          <w:rFonts w:ascii="Arial" w:hAnsi="Arial" w:cs="Arial"/>
        </w:rPr>
      </w:pPr>
      <w:r w:rsidRPr="0064521F">
        <w:rPr>
          <w:rFonts w:ascii="Arial" w:hAnsi="Arial" w:cs="Arial"/>
        </w:rPr>
        <w:t>Moderate agreement was also observed in areas such as meeting employer or client requirements (M = 2.65) and improved employment status after passing the NC II assessment (M = 2.65). The lowest-rated item, although still positive, was securing a job or livelihood related to dressmaking (M = 2.56), indicating that while the training develops employable skills, actual placement into related jobs remains a challenge.</w:t>
      </w:r>
    </w:p>
    <w:p w14:paraId="18056DE3" w14:textId="77777777" w:rsidR="00CA3C1B" w:rsidRPr="0064521F" w:rsidRDefault="00CA3C1B" w:rsidP="00CA3C1B">
      <w:pPr>
        <w:ind w:firstLine="720"/>
        <w:jc w:val="both"/>
        <w:rPr>
          <w:rFonts w:ascii="Arial" w:hAnsi="Arial" w:cs="Arial"/>
        </w:rPr>
      </w:pPr>
      <w:r w:rsidRPr="0064521F">
        <w:rPr>
          <w:rFonts w:ascii="Arial" w:hAnsi="Arial" w:cs="Arial"/>
        </w:rPr>
        <w:t>These findings mirror national evidence from TESDA tracer studies, which report that about 70% of TVET graduates find employment, though many are employed in occupations not directly aligned with their training (Arayata, 2022; TESDA, 2022). Job-skills mismatch remains a persistent issue, with estimates suggesting that up to 70% of graduates work outside their trained field (Gatchalian, 2022). Furthermore, a Philippine Institute for Development Studies (PIDS) discussion paper by Generalao et al. (2025) revealed that while TVET enhances labor force participation, it does not guarantee job quality or alignment with competencies acquired, and its effect on wage premiums varies across educational backgrounds.</w:t>
      </w:r>
    </w:p>
    <w:p w14:paraId="23556792" w14:textId="77777777" w:rsidR="00CA3C1B" w:rsidRPr="0064521F" w:rsidRDefault="00CA3C1B" w:rsidP="00CA3C1B">
      <w:pPr>
        <w:ind w:firstLine="720"/>
        <w:jc w:val="both"/>
        <w:rPr>
          <w:rFonts w:ascii="Arial" w:hAnsi="Arial" w:cs="Arial"/>
        </w:rPr>
      </w:pPr>
      <w:r w:rsidRPr="0064521F">
        <w:rPr>
          <w:rFonts w:ascii="Arial" w:hAnsi="Arial" w:cs="Arial"/>
        </w:rPr>
        <w:t>This reinforces that while programs like Dressmaking NC II effectively enhance skills and confidence for employability, achieving consistent employment outcomes requires complementary interventions such as labor market linkages, entrepreneurship support, and demand-driven training design. Similar recommendations have been made in studies by the Asian Development Bank (2020), which emphasize aligning TVET programs with evolving industry needs to reduce underemployment and maximize economic benefits.</w:t>
      </w:r>
    </w:p>
    <w:p w14:paraId="2EE0B72E" w14:textId="77777777" w:rsidR="00E053D0" w:rsidRPr="0064521F" w:rsidRDefault="00E053D0" w:rsidP="00441B6F">
      <w:pPr>
        <w:pStyle w:val="Body"/>
        <w:spacing w:after="0"/>
        <w:rPr>
          <w:rFonts w:ascii="Arial" w:hAnsi="Arial" w:cs="Arial"/>
        </w:rPr>
      </w:pPr>
    </w:p>
    <w:p w14:paraId="6E14F636" w14:textId="35B242E2" w:rsidR="00CA3C1B" w:rsidRDefault="00CA3C1B" w:rsidP="00CA3C1B">
      <w:pPr>
        <w:tabs>
          <w:tab w:val="left" w:pos="1080"/>
        </w:tabs>
        <w:jc w:val="both"/>
        <w:rPr>
          <w:rFonts w:ascii="Arial" w:hAnsi="Arial"/>
          <w:b/>
        </w:rPr>
      </w:pPr>
      <w:r>
        <w:rPr>
          <w:rFonts w:ascii="Arial" w:hAnsi="Arial"/>
          <w:b/>
        </w:rPr>
        <w:t xml:space="preserve">Table </w:t>
      </w:r>
      <w:r w:rsidR="0087017D">
        <w:rPr>
          <w:rFonts w:ascii="Arial" w:hAnsi="Arial"/>
          <w:b/>
        </w:rPr>
        <w:t>2</w:t>
      </w:r>
      <w:r>
        <w:rPr>
          <w:rFonts w:ascii="Arial" w:hAnsi="Arial"/>
          <w:b/>
        </w:rPr>
        <w:t>.</w:t>
      </w:r>
      <w:r w:rsidRPr="00DC3180">
        <w:rPr>
          <w:rFonts w:ascii="Arial" w:hAnsi="Arial"/>
          <w:b/>
        </w:rPr>
        <w:tab/>
      </w:r>
      <w:r>
        <w:rPr>
          <w:rFonts w:ascii="Arial" w:hAnsi="Arial"/>
          <w:b/>
        </w:rPr>
        <w:t>Income Changes</w:t>
      </w:r>
    </w:p>
    <w:p w14:paraId="68C515AE" w14:textId="77777777" w:rsidR="00544F28" w:rsidRDefault="00544F28" w:rsidP="00CA3C1B">
      <w:pPr>
        <w:tabs>
          <w:tab w:val="left" w:pos="1080"/>
        </w:tabs>
        <w:jc w:val="both"/>
        <w:rPr>
          <w:rFonts w:ascii="Arial" w:hAnsi="Arial"/>
          <w:b/>
        </w:rPr>
      </w:pPr>
    </w:p>
    <w:tbl>
      <w:tblPr>
        <w:tblW w:w="779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833"/>
        <w:gridCol w:w="1089"/>
        <w:gridCol w:w="1877"/>
      </w:tblGrid>
      <w:tr w:rsidR="00544F28" w:rsidRPr="00247BC9" w14:paraId="491087BB" w14:textId="77777777" w:rsidTr="009E4E5C">
        <w:trPr>
          <w:trHeight w:val="474"/>
          <w:jc w:val="center"/>
        </w:trPr>
        <w:tc>
          <w:tcPr>
            <w:tcW w:w="4833" w:type="dxa"/>
            <w:tcBorders>
              <w:bottom w:val="single" w:sz="4" w:space="0" w:color="auto"/>
            </w:tcBorders>
          </w:tcPr>
          <w:p w14:paraId="409D412E" w14:textId="77777777" w:rsidR="00544F28" w:rsidRPr="00247BC9" w:rsidRDefault="00544F28" w:rsidP="009E4E5C">
            <w:pPr>
              <w:jc w:val="both"/>
              <w:rPr>
                <w:rFonts w:ascii="Arial" w:hAnsi="Arial"/>
                <w:b/>
                <w:bCs/>
                <w:sz w:val="18"/>
                <w:szCs w:val="18"/>
              </w:rPr>
            </w:pPr>
            <w:r w:rsidRPr="00247BC9">
              <w:rPr>
                <w:rFonts w:ascii="Arial" w:hAnsi="Arial"/>
                <w:b/>
                <w:sz w:val="18"/>
                <w:szCs w:val="18"/>
              </w:rPr>
              <w:t>Item</w:t>
            </w:r>
          </w:p>
        </w:tc>
        <w:tc>
          <w:tcPr>
            <w:tcW w:w="1089" w:type="dxa"/>
            <w:tcBorders>
              <w:bottom w:val="single" w:sz="4" w:space="0" w:color="auto"/>
            </w:tcBorders>
          </w:tcPr>
          <w:p w14:paraId="6BDA5B8C" w14:textId="77777777" w:rsidR="00544F28" w:rsidRPr="00247BC9" w:rsidRDefault="00544F28" w:rsidP="001E6320">
            <w:pPr>
              <w:jc w:val="center"/>
              <w:rPr>
                <w:rFonts w:ascii="Arial" w:hAnsi="Arial"/>
                <w:b/>
                <w:bCs/>
                <w:sz w:val="18"/>
                <w:szCs w:val="18"/>
              </w:rPr>
            </w:pPr>
            <w:r w:rsidRPr="00247BC9">
              <w:rPr>
                <w:rFonts w:ascii="Arial" w:hAnsi="Arial"/>
                <w:b/>
                <w:bCs/>
                <w:sz w:val="18"/>
                <w:szCs w:val="18"/>
              </w:rPr>
              <w:t>Mean</w:t>
            </w:r>
          </w:p>
        </w:tc>
        <w:tc>
          <w:tcPr>
            <w:tcW w:w="1877" w:type="dxa"/>
            <w:tcBorders>
              <w:bottom w:val="single" w:sz="4" w:space="0" w:color="auto"/>
            </w:tcBorders>
          </w:tcPr>
          <w:p w14:paraId="32F701E5" w14:textId="77777777" w:rsidR="00544F28" w:rsidRPr="00247BC9" w:rsidRDefault="00544F28" w:rsidP="001E6320">
            <w:pPr>
              <w:jc w:val="center"/>
              <w:rPr>
                <w:rFonts w:ascii="Arial" w:hAnsi="Arial"/>
                <w:b/>
                <w:bCs/>
                <w:sz w:val="18"/>
                <w:szCs w:val="18"/>
              </w:rPr>
            </w:pPr>
            <w:r w:rsidRPr="00247BC9">
              <w:rPr>
                <w:rFonts w:ascii="Arial" w:hAnsi="Arial"/>
                <w:b/>
                <w:bCs/>
                <w:sz w:val="18"/>
                <w:szCs w:val="18"/>
              </w:rPr>
              <w:t>Descriptive Interpretation</w:t>
            </w:r>
          </w:p>
        </w:tc>
      </w:tr>
      <w:tr w:rsidR="00544F28" w:rsidRPr="00247BC9" w14:paraId="180B37C1" w14:textId="77777777" w:rsidTr="001E6320">
        <w:trPr>
          <w:trHeight w:val="485"/>
          <w:jc w:val="center"/>
        </w:trPr>
        <w:tc>
          <w:tcPr>
            <w:tcW w:w="4833" w:type="dxa"/>
            <w:tcBorders>
              <w:bottom w:val="nil"/>
            </w:tcBorders>
          </w:tcPr>
          <w:p w14:paraId="1A33ED19" w14:textId="2ABEF22F" w:rsidR="00544F28" w:rsidRPr="00247BC9" w:rsidRDefault="00544F28" w:rsidP="00544F28">
            <w:pPr>
              <w:jc w:val="both"/>
              <w:rPr>
                <w:rFonts w:ascii="Arial" w:hAnsi="Arial"/>
                <w:b/>
                <w:bCs/>
                <w:sz w:val="18"/>
                <w:szCs w:val="18"/>
              </w:rPr>
            </w:pPr>
            <w:r w:rsidRPr="00247BC9">
              <w:rPr>
                <w:rFonts w:cstheme="minorHAnsi"/>
                <w:sz w:val="18"/>
                <w:szCs w:val="18"/>
              </w:rPr>
              <w:t>The training increased my income after I obtained the NC II certification.</w:t>
            </w:r>
          </w:p>
        </w:tc>
        <w:tc>
          <w:tcPr>
            <w:tcW w:w="1089" w:type="dxa"/>
            <w:tcBorders>
              <w:bottom w:val="nil"/>
            </w:tcBorders>
          </w:tcPr>
          <w:p w14:paraId="551B9B97" w14:textId="79D24FF5" w:rsidR="00544F28" w:rsidRPr="00247BC9" w:rsidRDefault="00544F28" w:rsidP="00544F28">
            <w:pPr>
              <w:jc w:val="center"/>
              <w:rPr>
                <w:rFonts w:ascii="Arial" w:hAnsi="Arial"/>
                <w:b/>
                <w:bCs/>
                <w:sz w:val="18"/>
                <w:szCs w:val="18"/>
              </w:rPr>
            </w:pPr>
            <w:r w:rsidRPr="00247BC9">
              <w:rPr>
                <w:rFonts w:cstheme="minorHAnsi"/>
                <w:sz w:val="18"/>
                <w:szCs w:val="18"/>
              </w:rPr>
              <w:t>2.74</w:t>
            </w:r>
          </w:p>
        </w:tc>
        <w:tc>
          <w:tcPr>
            <w:tcW w:w="1877" w:type="dxa"/>
            <w:tcBorders>
              <w:bottom w:val="nil"/>
            </w:tcBorders>
          </w:tcPr>
          <w:p w14:paraId="1F2CE2F3" w14:textId="34E4717D" w:rsidR="00544F28" w:rsidRPr="00247BC9" w:rsidRDefault="00544F28" w:rsidP="00544F28">
            <w:pPr>
              <w:jc w:val="center"/>
              <w:rPr>
                <w:rFonts w:ascii="Arial" w:hAnsi="Arial"/>
                <w:b/>
                <w:bCs/>
                <w:sz w:val="18"/>
                <w:szCs w:val="18"/>
              </w:rPr>
            </w:pPr>
            <w:r w:rsidRPr="00247BC9">
              <w:rPr>
                <w:rFonts w:cstheme="minorHAnsi"/>
                <w:sz w:val="18"/>
                <w:szCs w:val="18"/>
              </w:rPr>
              <w:t>Agree</w:t>
            </w:r>
          </w:p>
        </w:tc>
      </w:tr>
      <w:tr w:rsidR="00544F28" w:rsidRPr="00247BC9" w14:paraId="358B85BB" w14:textId="77777777" w:rsidTr="009E4E5C">
        <w:trPr>
          <w:trHeight w:val="487"/>
          <w:jc w:val="center"/>
        </w:trPr>
        <w:tc>
          <w:tcPr>
            <w:tcW w:w="4833" w:type="dxa"/>
            <w:tcBorders>
              <w:top w:val="nil"/>
              <w:bottom w:val="nil"/>
            </w:tcBorders>
          </w:tcPr>
          <w:p w14:paraId="0166B8CA" w14:textId="242C5AC7" w:rsidR="00544F28" w:rsidRPr="00247BC9" w:rsidRDefault="00544F28" w:rsidP="00544F28">
            <w:pPr>
              <w:jc w:val="both"/>
              <w:rPr>
                <w:rFonts w:ascii="Arial" w:hAnsi="Arial" w:cs="Arial"/>
                <w:sz w:val="18"/>
                <w:szCs w:val="18"/>
              </w:rPr>
            </w:pPr>
            <w:r w:rsidRPr="00247BC9">
              <w:rPr>
                <w:rFonts w:cstheme="minorHAnsi"/>
                <w:sz w:val="18"/>
                <w:szCs w:val="18"/>
              </w:rPr>
              <w:t>The training provided me with the skills to earn more through dressmaking.</w:t>
            </w:r>
          </w:p>
        </w:tc>
        <w:tc>
          <w:tcPr>
            <w:tcW w:w="1089" w:type="dxa"/>
            <w:tcBorders>
              <w:top w:val="nil"/>
              <w:bottom w:val="nil"/>
            </w:tcBorders>
          </w:tcPr>
          <w:p w14:paraId="5CCBD068" w14:textId="15E423A1" w:rsidR="00544F28" w:rsidRPr="00247BC9" w:rsidRDefault="00544F28" w:rsidP="00544F28">
            <w:pPr>
              <w:jc w:val="center"/>
              <w:rPr>
                <w:rFonts w:ascii="Arial" w:hAnsi="Arial" w:cs="Arial"/>
                <w:sz w:val="18"/>
                <w:szCs w:val="18"/>
              </w:rPr>
            </w:pPr>
            <w:r w:rsidRPr="00247BC9">
              <w:rPr>
                <w:rFonts w:cstheme="minorHAnsi"/>
                <w:sz w:val="18"/>
                <w:szCs w:val="18"/>
              </w:rPr>
              <w:t>2.79</w:t>
            </w:r>
          </w:p>
        </w:tc>
        <w:tc>
          <w:tcPr>
            <w:tcW w:w="1877" w:type="dxa"/>
            <w:tcBorders>
              <w:top w:val="nil"/>
              <w:bottom w:val="nil"/>
            </w:tcBorders>
          </w:tcPr>
          <w:p w14:paraId="12071A60" w14:textId="28FDA15D" w:rsidR="00544F28" w:rsidRPr="00247BC9" w:rsidRDefault="00544F28" w:rsidP="00544F28">
            <w:pPr>
              <w:jc w:val="center"/>
              <w:rPr>
                <w:rFonts w:ascii="Arial" w:hAnsi="Arial"/>
                <w:sz w:val="18"/>
                <w:szCs w:val="18"/>
              </w:rPr>
            </w:pPr>
            <w:r w:rsidRPr="00247BC9">
              <w:rPr>
                <w:rFonts w:cstheme="minorHAnsi"/>
                <w:sz w:val="18"/>
                <w:szCs w:val="18"/>
              </w:rPr>
              <w:t>Agree</w:t>
            </w:r>
          </w:p>
        </w:tc>
      </w:tr>
      <w:tr w:rsidR="00544F28" w:rsidRPr="00247BC9" w14:paraId="3B5D6443" w14:textId="77777777" w:rsidTr="009E4E5C">
        <w:trPr>
          <w:trHeight w:val="474"/>
          <w:jc w:val="center"/>
        </w:trPr>
        <w:tc>
          <w:tcPr>
            <w:tcW w:w="4833" w:type="dxa"/>
            <w:tcBorders>
              <w:top w:val="nil"/>
              <w:bottom w:val="nil"/>
            </w:tcBorders>
          </w:tcPr>
          <w:p w14:paraId="44961AE5" w14:textId="7777AAAE" w:rsidR="00544F28" w:rsidRPr="00247BC9" w:rsidRDefault="00544F28" w:rsidP="00544F28">
            <w:pPr>
              <w:jc w:val="both"/>
              <w:rPr>
                <w:rFonts w:ascii="Arial" w:hAnsi="Arial"/>
                <w:sz w:val="18"/>
                <w:szCs w:val="18"/>
              </w:rPr>
            </w:pPr>
            <w:r w:rsidRPr="00247BC9">
              <w:rPr>
                <w:rFonts w:cstheme="minorHAnsi"/>
                <w:sz w:val="18"/>
                <w:szCs w:val="18"/>
              </w:rPr>
              <w:t>The training improved my financial stability compared to before.</w:t>
            </w:r>
          </w:p>
        </w:tc>
        <w:tc>
          <w:tcPr>
            <w:tcW w:w="1089" w:type="dxa"/>
            <w:tcBorders>
              <w:top w:val="nil"/>
              <w:bottom w:val="nil"/>
            </w:tcBorders>
          </w:tcPr>
          <w:p w14:paraId="4D92935D" w14:textId="3E413028" w:rsidR="00544F28" w:rsidRPr="00247BC9" w:rsidRDefault="00544F28" w:rsidP="00544F28">
            <w:pPr>
              <w:jc w:val="center"/>
              <w:rPr>
                <w:rFonts w:ascii="Arial" w:hAnsi="Arial"/>
                <w:sz w:val="18"/>
                <w:szCs w:val="18"/>
              </w:rPr>
            </w:pPr>
            <w:r w:rsidRPr="00247BC9">
              <w:rPr>
                <w:rFonts w:cstheme="minorHAnsi"/>
                <w:sz w:val="18"/>
                <w:szCs w:val="18"/>
              </w:rPr>
              <w:t>2.74</w:t>
            </w:r>
          </w:p>
        </w:tc>
        <w:tc>
          <w:tcPr>
            <w:tcW w:w="1877" w:type="dxa"/>
            <w:tcBorders>
              <w:top w:val="nil"/>
              <w:bottom w:val="nil"/>
            </w:tcBorders>
          </w:tcPr>
          <w:p w14:paraId="0B2C3E44" w14:textId="0BD67664" w:rsidR="00544F28" w:rsidRPr="00247BC9" w:rsidRDefault="00544F28" w:rsidP="00544F28">
            <w:pPr>
              <w:jc w:val="center"/>
              <w:rPr>
                <w:rFonts w:ascii="Arial" w:hAnsi="Arial" w:cs="Arial"/>
                <w:sz w:val="18"/>
                <w:szCs w:val="18"/>
              </w:rPr>
            </w:pPr>
            <w:r w:rsidRPr="00247BC9">
              <w:rPr>
                <w:rFonts w:cstheme="minorHAnsi"/>
                <w:sz w:val="18"/>
                <w:szCs w:val="18"/>
              </w:rPr>
              <w:t>Agree</w:t>
            </w:r>
          </w:p>
        </w:tc>
      </w:tr>
      <w:tr w:rsidR="00544F28" w:rsidRPr="00247BC9" w14:paraId="4E6E0A1A" w14:textId="77777777" w:rsidTr="009E4E5C">
        <w:trPr>
          <w:trHeight w:val="474"/>
          <w:jc w:val="center"/>
        </w:trPr>
        <w:tc>
          <w:tcPr>
            <w:tcW w:w="4833" w:type="dxa"/>
            <w:tcBorders>
              <w:top w:val="nil"/>
              <w:bottom w:val="nil"/>
            </w:tcBorders>
          </w:tcPr>
          <w:p w14:paraId="08DC229A" w14:textId="3930DAF8" w:rsidR="00544F28" w:rsidRPr="00247BC9" w:rsidRDefault="00544F28" w:rsidP="00544F28">
            <w:pPr>
              <w:jc w:val="both"/>
              <w:rPr>
                <w:rFonts w:ascii="Arial" w:hAnsi="Arial"/>
                <w:sz w:val="18"/>
                <w:szCs w:val="18"/>
              </w:rPr>
            </w:pPr>
            <w:r w:rsidRPr="00247BC9">
              <w:rPr>
                <w:rFonts w:cstheme="minorHAnsi"/>
                <w:sz w:val="18"/>
                <w:szCs w:val="18"/>
              </w:rPr>
              <w:t>The training equipped me with dressmaking skills that serve as a source of income.</w:t>
            </w:r>
          </w:p>
        </w:tc>
        <w:tc>
          <w:tcPr>
            <w:tcW w:w="1089" w:type="dxa"/>
            <w:tcBorders>
              <w:top w:val="nil"/>
              <w:bottom w:val="nil"/>
            </w:tcBorders>
          </w:tcPr>
          <w:p w14:paraId="002833A2" w14:textId="042CA541" w:rsidR="00544F28" w:rsidRPr="00247BC9" w:rsidRDefault="00544F28" w:rsidP="00544F28">
            <w:pPr>
              <w:jc w:val="center"/>
              <w:rPr>
                <w:rFonts w:ascii="Arial" w:hAnsi="Arial"/>
                <w:sz w:val="18"/>
                <w:szCs w:val="18"/>
              </w:rPr>
            </w:pPr>
            <w:r w:rsidRPr="00247BC9">
              <w:rPr>
                <w:rFonts w:cstheme="minorHAnsi"/>
                <w:sz w:val="18"/>
                <w:szCs w:val="18"/>
              </w:rPr>
              <w:t>2.79</w:t>
            </w:r>
          </w:p>
        </w:tc>
        <w:tc>
          <w:tcPr>
            <w:tcW w:w="1877" w:type="dxa"/>
            <w:tcBorders>
              <w:top w:val="nil"/>
              <w:bottom w:val="nil"/>
            </w:tcBorders>
          </w:tcPr>
          <w:p w14:paraId="21517E7B" w14:textId="1F013C59" w:rsidR="00544F28" w:rsidRPr="00247BC9" w:rsidRDefault="00544F28" w:rsidP="00544F28">
            <w:pPr>
              <w:jc w:val="center"/>
              <w:rPr>
                <w:rFonts w:ascii="Arial" w:hAnsi="Arial" w:cs="Arial"/>
                <w:sz w:val="18"/>
                <w:szCs w:val="18"/>
              </w:rPr>
            </w:pPr>
            <w:r w:rsidRPr="00247BC9">
              <w:rPr>
                <w:rFonts w:cstheme="minorHAnsi"/>
                <w:sz w:val="18"/>
                <w:szCs w:val="18"/>
              </w:rPr>
              <w:t>Agree</w:t>
            </w:r>
          </w:p>
        </w:tc>
      </w:tr>
    </w:tbl>
    <w:p w14:paraId="0C2523B0" w14:textId="77777777" w:rsidR="00544F28" w:rsidRPr="005130BB" w:rsidRDefault="00544F28" w:rsidP="00544F28">
      <w:pPr>
        <w:ind w:right="-424"/>
        <w:jc w:val="both"/>
        <w:rPr>
          <w:rFonts w:ascii="Times New Roman" w:hAnsi="Times New Roman"/>
          <w:i/>
          <w:iCs/>
          <w:sz w:val="18"/>
          <w:szCs w:val="18"/>
        </w:rPr>
      </w:pPr>
      <w:r w:rsidRPr="008C73BB">
        <w:rPr>
          <w:rFonts w:ascii="Arial" w:hAnsi="Arial"/>
          <w:bCs/>
          <w:i/>
          <w:sz w:val="18"/>
        </w:rPr>
        <w:t>*</w:t>
      </w:r>
      <w:r w:rsidRPr="00CA3C1B">
        <w:rPr>
          <w:rFonts w:ascii="Times New Roman" w:hAnsi="Times New Roman"/>
          <w:i/>
          <w:iCs/>
          <w:sz w:val="18"/>
          <w:szCs w:val="18"/>
        </w:rPr>
        <w:t xml:space="preserve"> </w:t>
      </w:r>
      <w:r w:rsidRPr="005130BB">
        <w:rPr>
          <w:rFonts w:ascii="Times New Roman" w:hAnsi="Times New Roman"/>
          <w:i/>
          <w:iCs/>
          <w:sz w:val="18"/>
          <w:szCs w:val="18"/>
        </w:rPr>
        <w:t>Range of Mean Interval-DI, 3.25-4.00- Strongly Agree; 2.50-3.24- Agree; 1.75-2.49- Disagree; 1.0-1.74- Strongly Disagree</w:t>
      </w:r>
    </w:p>
    <w:p w14:paraId="00A21DFE" w14:textId="77777777" w:rsidR="00CA3C1B" w:rsidRDefault="00CA3C1B" w:rsidP="00441B6F">
      <w:pPr>
        <w:pStyle w:val="Body"/>
        <w:spacing w:after="0"/>
        <w:rPr>
          <w:rFonts w:ascii="Arial" w:hAnsi="Arial" w:cs="Arial"/>
        </w:rPr>
      </w:pPr>
    </w:p>
    <w:p w14:paraId="774881EE" w14:textId="77777777" w:rsidR="00544F28" w:rsidRPr="0064521F" w:rsidRDefault="00544F28" w:rsidP="00544F28">
      <w:pPr>
        <w:ind w:firstLine="720"/>
        <w:jc w:val="both"/>
        <w:rPr>
          <w:rFonts w:ascii="Arial" w:hAnsi="Arial" w:cs="Arial"/>
        </w:rPr>
      </w:pPr>
      <w:r w:rsidRPr="0064521F">
        <w:rPr>
          <w:rFonts w:ascii="Arial" w:hAnsi="Arial" w:cs="Arial"/>
        </w:rPr>
        <w:t xml:space="preserve">Participants in the Dressmaking NC II training rated four income-related statements with means ranging from 2.74 to 2.79, yielding an overall average of approximately 2.77 on a 4-point scale. This result suggests </w:t>
      </w:r>
      <w:r w:rsidRPr="0064521F">
        <w:rPr>
          <w:rFonts w:ascii="Arial" w:hAnsi="Arial" w:cs="Arial"/>
          <w:i/>
          <w:iCs/>
        </w:rPr>
        <w:t>slight agreement</w:t>
      </w:r>
      <w:r w:rsidRPr="0064521F">
        <w:rPr>
          <w:rFonts w:ascii="Arial" w:hAnsi="Arial" w:cs="Arial"/>
        </w:rPr>
        <w:t xml:space="preserve"> that their incomes and financial stability improved after completing the training. The highest-rated items concerned the acquisition of </w:t>
      </w:r>
      <w:r w:rsidRPr="0064521F">
        <w:rPr>
          <w:rFonts w:ascii="Arial" w:hAnsi="Arial" w:cs="Arial"/>
        </w:rPr>
        <w:lastRenderedPageBreak/>
        <w:t>skills enabling additional earnings (M = 2.79) and the use of those dressmaking skills as a source of income (M = 2.79), indicating that trainees most strongly acknowledged the tangible utility of the program.</w:t>
      </w:r>
    </w:p>
    <w:p w14:paraId="2099B4C5" w14:textId="77777777" w:rsidR="00544F28" w:rsidRPr="0064521F" w:rsidRDefault="00544F28" w:rsidP="00544F28">
      <w:pPr>
        <w:ind w:firstLine="720"/>
        <w:jc w:val="both"/>
        <w:rPr>
          <w:rFonts w:ascii="Arial" w:hAnsi="Arial" w:cs="Arial"/>
        </w:rPr>
      </w:pPr>
      <w:r w:rsidRPr="0064521F">
        <w:rPr>
          <w:rFonts w:ascii="Arial" w:hAnsi="Arial" w:cs="Arial"/>
        </w:rPr>
        <w:t>In addition, structural challenges persist in terms of job-skills mismatch. Sector-level data reveal that up to 70% of TVET graduates work in jobs unrelated to their training, which underscores the disconnect between acquired competencies and labor market demand (Gatchalian, 2022). Investigative reports also highlight that although TESDA claims high employment rates among graduates (around 80%), a significant proportion are employed at or below minimum wage, raising concerns about underemployment despite high placement figures (Villanueva, as cited in Senate Commission, 2023).</w:t>
      </w:r>
    </w:p>
    <w:p w14:paraId="43B8A8CE" w14:textId="77777777" w:rsidR="00544F28" w:rsidRPr="0064521F" w:rsidRDefault="00544F28" w:rsidP="00544F28">
      <w:pPr>
        <w:ind w:firstLine="720"/>
        <w:jc w:val="both"/>
        <w:rPr>
          <w:rFonts w:ascii="Arial" w:hAnsi="Arial" w:cs="Arial"/>
        </w:rPr>
      </w:pPr>
      <w:r w:rsidRPr="0064521F">
        <w:rPr>
          <w:rFonts w:ascii="Arial" w:hAnsi="Arial" w:cs="Arial"/>
        </w:rPr>
        <w:t>Taken together, these findings suggest that while the Dressmaking NC II program effectively equips trainees with income-generating skills, the transformation of these competencies into substantial and sustainable economic gains depends heavily on broader structural factors. These include stronger industry linkages, improved alignment of training with actual labor market needs, and enhanced market support for micro-entrepreneurial initiatives.</w:t>
      </w:r>
    </w:p>
    <w:p w14:paraId="6C33053E" w14:textId="77777777" w:rsidR="00544F28" w:rsidRDefault="00544F28" w:rsidP="00544F28">
      <w:pPr>
        <w:pStyle w:val="Body"/>
        <w:spacing w:after="0"/>
        <w:rPr>
          <w:rFonts w:ascii="Arial" w:hAnsi="Arial" w:cs="Arial"/>
        </w:rPr>
      </w:pPr>
    </w:p>
    <w:p w14:paraId="5F2CACC3" w14:textId="6840478B" w:rsidR="0064521F" w:rsidRDefault="0064521F" w:rsidP="0064521F">
      <w:pPr>
        <w:tabs>
          <w:tab w:val="left" w:pos="1080"/>
        </w:tabs>
        <w:jc w:val="both"/>
        <w:rPr>
          <w:rFonts w:ascii="Arial" w:hAnsi="Arial"/>
          <w:b/>
        </w:rPr>
      </w:pPr>
      <w:r>
        <w:rPr>
          <w:rFonts w:ascii="Arial" w:hAnsi="Arial"/>
          <w:b/>
        </w:rPr>
        <w:t xml:space="preserve">Table </w:t>
      </w:r>
      <w:r w:rsidR="0087017D">
        <w:rPr>
          <w:rFonts w:ascii="Arial" w:hAnsi="Arial"/>
          <w:b/>
        </w:rPr>
        <w:t>3</w:t>
      </w:r>
      <w:r>
        <w:rPr>
          <w:rFonts w:ascii="Arial" w:hAnsi="Arial"/>
          <w:b/>
        </w:rPr>
        <w:t>.</w:t>
      </w:r>
      <w:r w:rsidRPr="00DC3180">
        <w:rPr>
          <w:rFonts w:ascii="Arial" w:hAnsi="Arial"/>
          <w:b/>
        </w:rPr>
        <w:tab/>
      </w:r>
      <w:r>
        <w:rPr>
          <w:rFonts w:ascii="Arial" w:hAnsi="Arial"/>
          <w:b/>
        </w:rPr>
        <w:t>Importance of Competency-Based Training (CBT) in Dressmaking NC II</w:t>
      </w:r>
    </w:p>
    <w:p w14:paraId="4FEC945F" w14:textId="77777777" w:rsidR="0064521F" w:rsidRDefault="0064521F" w:rsidP="0064521F">
      <w:pPr>
        <w:tabs>
          <w:tab w:val="left" w:pos="1080"/>
        </w:tabs>
        <w:jc w:val="both"/>
        <w:rPr>
          <w:rFonts w:ascii="Arial" w:hAnsi="Arial"/>
          <w:b/>
        </w:rPr>
      </w:pPr>
    </w:p>
    <w:tbl>
      <w:tblPr>
        <w:tblW w:w="779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833"/>
        <w:gridCol w:w="1089"/>
        <w:gridCol w:w="1877"/>
      </w:tblGrid>
      <w:tr w:rsidR="0064521F" w:rsidRPr="00247BC9" w14:paraId="025CBCCD" w14:textId="77777777" w:rsidTr="009E4E5C">
        <w:trPr>
          <w:trHeight w:val="474"/>
          <w:jc w:val="center"/>
        </w:trPr>
        <w:tc>
          <w:tcPr>
            <w:tcW w:w="4833" w:type="dxa"/>
            <w:tcBorders>
              <w:bottom w:val="single" w:sz="4" w:space="0" w:color="auto"/>
            </w:tcBorders>
          </w:tcPr>
          <w:p w14:paraId="4204F10E" w14:textId="77777777" w:rsidR="0064521F" w:rsidRPr="00247BC9" w:rsidRDefault="0064521F" w:rsidP="009E4E5C">
            <w:pPr>
              <w:jc w:val="both"/>
              <w:rPr>
                <w:rFonts w:ascii="Arial" w:hAnsi="Arial"/>
                <w:b/>
                <w:bCs/>
                <w:sz w:val="18"/>
                <w:szCs w:val="18"/>
              </w:rPr>
            </w:pPr>
            <w:r w:rsidRPr="00247BC9">
              <w:rPr>
                <w:rFonts w:ascii="Arial" w:hAnsi="Arial"/>
                <w:b/>
                <w:sz w:val="18"/>
                <w:szCs w:val="18"/>
              </w:rPr>
              <w:t>Item</w:t>
            </w:r>
          </w:p>
        </w:tc>
        <w:tc>
          <w:tcPr>
            <w:tcW w:w="1089" w:type="dxa"/>
            <w:tcBorders>
              <w:bottom w:val="single" w:sz="4" w:space="0" w:color="auto"/>
            </w:tcBorders>
          </w:tcPr>
          <w:p w14:paraId="52A0792E" w14:textId="77777777" w:rsidR="0064521F" w:rsidRPr="00247BC9" w:rsidRDefault="0064521F" w:rsidP="00D62A3A">
            <w:pPr>
              <w:jc w:val="center"/>
              <w:rPr>
                <w:rFonts w:ascii="Arial" w:hAnsi="Arial"/>
                <w:b/>
                <w:bCs/>
                <w:sz w:val="18"/>
                <w:szCs w:val="18"/>
              </w:rPr>
            </w:pPr>
            <w:r w:rsidRPr="00247BC9">
              <w:rPr>
                <w:rFonts w:ascii="Arial" w:hAnsi="Arial"/>
                <w:b/>
                <w:bCs/>
                <w:sz w:val="18"/>
                <w:szCs w:val="18"/>
              </w:rPr>
              <w:t>Mean</w:t>
            </w:r>
          </w:p>
        </w:tc>
        <w:tc>
          <w:tcPr>
            <w:tcW w:w="1877" w:type="dxa"/>
            <w:tcBorders>
              <w:bottom w:val="single" w:sz="4" w:space="0" w:color="auto"/>
            </w:tcBorders>
          </w:tcPr>
          <w:p w14:paraId="7155C468" w14:textId="77777777" w:rsidR="0064521F" w:rsidRPr="00247BC9" w:rsidRDefault="0064521F" w:rsidP="00D62A3A">
            <w:pPr>
              <w:jc w:val="center"/>
              <w:rPr>
                <w:rFonts w:ascii="Arial" w:hAnsi="Arial"/>
                <w:b/>
                <w:bCs/>
                <w:sz w:val="18"/>
                <w:szCs w:val="18"/>
              </w:rPr>
            </w:pPr>
            <w:r w:rsidRPr="00247BC9">
              <w:rPr>
                <w:rFonts w:ascii="Arial" w:hAnsi="Arial"/>
                <w:b/>
                <w:bCs/>
                <w:sz w:val="18"/>
                <w:szCs w:val="18"/>
              </w:rPr>
              <w:t>Descriptive Interpretation</w:t>
            </w:r>
          </w:p>
        </w:tc>
      </w:tr>
      <w:tr w:rsidR="0064521F" w:rsidRPr="00247BC9" w14:paraId="390450FE" w14:textId="77777777" w:rsidTr="00D62A3A">
        <w:trPr>
          <w:trHeight w:val="539"/>
          <w:jc w:val="center"/>
        </w:trPr>
        <w:tc>
          <w:tcPr>
            <w:tcW w:w="4833" w:type="dxa"/>
            <w:tcBorders>
              <w:bottom w:val="nil"/>
            </w:tcBorders>
          </w:tcPr>
          <w:p w14:paraId="3AC3B10E" w14:textId="75141407" w:rsidR="0064521F" w:rsidRPr="00247BC9" w:rsidRDefault="00453358" w:rsidP="0064521F">
            <w:pPr>
              <w:jc w:val="both"/>
              <w:rPr>
                <w:rFonts w:ascii="Arial" w:hAnsi="Arial"/>
                <w:b/>
                <w:bCs/>
                <w:sz w:val="18"/>
                <w:szCs w:val="18"/>
              </w:rPr>
            </w:pPr>
            <w:r>
              <w:rPr>
                <w:rFonts w:cstheme="minorHAnsi"/>
                <w:sz w:val="18"/>
                <w:szCs w:val="18"/>
              </w:rPr>
              <w:t>My income increased after I obtained the NC II certification</w:t>
            </w:r>
            <w:r w:rsidR="0064521F" w:rsidRPr="00247BC9">
              <w:rPr>
                <w:rFonts w:cstheme="minorHAnsi"/>
                <w:sz w:val="18"/>
                <w:szCs w:val="18"/>
              </w:rPr>
              <w:t>.</w:t>
            </w:r>
          </w:p>
        </w:tc>
        <w:tc>
          <w:tcPr>
            <w:tcW w:w="1089" w:type="dxa"/>
            <w:tcBorders>
              <w:bottom w:val="nil"/>
            </w:tcBorders>
          </w:tcPr>
          <w:p w14:paraId="006C42DB" w14:textId="1A39EE8E" w:rsidR="0064521F" w:rsidRPr="00247BC9" w:rsidRDefault="0064521F" w:rsidP="0064521F">
            <w:pPr>
              <w:jc w:val="center"/>
              <w:rPr>
                <w:rFonts w:ascii="Arial" w:hAnsi="Arial"/>
                <w:b/>
                <w:bCs/>
                <w:sz w:val="18"/>
                <w:szCs w:val="18"/>
              </w:rPr>
            </w:pPr>
            <w:r w:rsidRPr="00247BC9">
              <w:rPr>
                <w:rFonts w:cstheme="minorHAnsi"/>
                <w:sz w:val="18"/>
                <w:szCs w:val="18"/>
              </w:rPr>
              <w:t>2.74</w:t>
            </w:r>
          </w:p>
        </w:tc>
        <w:tc>
          <w:tcPr>
            <w:tcW w:w="1877" w:type="dxa"/>
            <w:tcBorders>
              <w:bottom w:val="nil"/>
            </w:tcBorders>
          </w:tcPr>
          <w:p w14:paraId="544D6ABA" w14:textId="721FEA5C" w:rsidR="0064521F" w:rsidRPr="00247BC9" w:rsidRDefault="0064521F" w:rsidP="0064521F">
            <w:pPr>
              <w:jc w:val="center"/>
              <w:rPr>
                <w:rFonts w:ascii="Arial" w:hAnsi="Arial"/>
                <w:b/>
                <w:bCs/>
                <w:sz w:val="18"/>
                <w:szCs w:val="18"/>
              </w:rPr>
            </w:pPr>
            <w:r w:rsidRPr="00247BC9">
              <w:rPr>
                <w:rFonts w:cstheme="minorHAnsi"/>
                <w:sz w:val="18"/>
                <w:szCs w:val="18"/>
              </w:rPr>
              <w:t>Agree</w:t>
            </w:r>
          </w:p>
        </w:tc>
      </w:tr>
      <w:tr w:rsidR="0064521F" w:rsidRPr="00247BC9" w14:paraId="47E40775" w14:textId="77777777" w:rsidTr="009E4E5C">
        <w:trPr>
          <w:trHeight w:val="487"/>
          <w:jc w:val="center"/>
        </w:trPr>
        <w:tc>
          <w:tcPr>
            <w:tcW w:w="4833" w:type="dxa"/>
            <w:tcBorders>
              <w:top w:val="nil"/>
              <w:bottom w:val="nil"/>
            </w:tcBorders>
          </w:tcPr>
          <w:p w14:paraId="75A3E308" w14:textId="6BE1510F" w:rsidR="0064521F" w:rsidRPr="00247BC9" w:rsidRDefault="00453358" w:rsidP="0064521F">
            <w:pPr>
              <w:jc w:val="both"/>
              <w:rPr>
                <w:rFonts w:ascii="Arial" w:hAnsi="Arial" w:cs="Arial"/>
                <w:sz w:val="18"/>
                <w:szCs w:val="18"/>
              </w:rPr>
            </w:pPr>
            <w:r>
              <w:rPr>
                <w:rFonts w:ascii="Arial" w:hAnsi="Arial" w:cs="Arial"/>
                <w:sz w:val="18"/>
                <w:szCs w:val="18"/>
              </w:rPr>
              <w:t>The training provided me with the skills to earn more through dressmaking</w:t>
            </w:r>
          </w:p>
        </w:tc>
        <w:tc>
          <w:tcPr>
            <w:tcW w:w="1089" w:type="dxa"/>
            <w:tcBorders>
              <w:top w:val="nil"/>
              <w:bottom w:val="nil"/>
            </w:tcBorders>
          </w:tcPr>
          <w:p w14:paraId="2B49A40A" w14:textId="7B1095CE" w:rsidR="0064521F" w:rsidRPr="00247BC9" w:rsidRDefault="0064521F" w:rsidP="0064521F">
            <w:pPr>
              <w:jc w:val="center"/>
              <w:rPr>
                <w:rFonts w:ascii="Arial" w:hAnsi="Arial" w:cs="Arial"/>
                <w:sz w:val="18"/>
                <w:szCs w:val="18"/>
              </w:rPr>
            </w:pPr>
            <w:r w:rsidRPr="00247BC9">
              <w:rPr>
                <w:rFonts w:cstheme="minorHAnsi"/>
                <w:sz w:val="18"/>
                <w:szCs w:val="18"/>
              </w:rPr>
              <w:t>2.79</w:t>
            </w:r>
          </w:p>
        </w:tc>
        <w:tc>
          <w:tcPr>
            <w:tcW w:w="1877" w:type="dxa"/>
            <w:tcBorders>
              <w:top w:val="nil"/>
              <w:bottom w:val="nil"/>
            </w:tcBorders>
          </w:tcPr>
          <w:p w14:paraId="4326F078" w14:textId="0671AD8F" w:rsidR="0064521F" w:rsidRPr="00247BC9" w:rsidRDefault="0064521F" w:rsidP="0064521F">
            <w:pPr>
              <w:jc w:val="center"/>
              <w:rPr>
                <w:rFonts w:ascii="Arial" w:hAnsi="Arial"/>
                <w:sz w:val="18"/>
                <w:szCs w:val="18"/>
              </w:rPr>
            </w:pPr>
            <w:r w:rsidRPr="00247BC9">
              <w:rPr>
                <w:rFonts w:cstheme="minorHAnsi"/>
                <w:sz w:val="18"/>
                <w:szCs w:val="18"/>
              </w:rPr>
              <w:t>Agree</w:t>
            </w:r>
          </w:p>
        </w:tc>
      </w:tr>
      <w:tr w:rsidR="00453358" w:rsidRPr="00247BC9" w14:paraId="10031E5C" w14:textId="77777777" w:rsidTr="009E4E5C">
        <w:trPr>
          <w:trHeight w:val="474"/>
          <w:jc w:val="center"/>
        </w:trPr>
        <w:tc>
          <w:tcPr>
            <w:tcW w:w="4833" w:type="dxa"/>
            <w:tcBorders>
              <w:top w:val="nil"/>
              <w:bottom w:val="nil"/>
            </w:tcBorders>
          </w:tcPr>
          <w:p w14:paraId="11FEE182" w14:textId="4C2B4475" w:rsidR="00453358" w:rsidRPr="00247BC9" w:rsidRDefault="00453358" w:rsidP="00453358">
            <w:pPr>
              <w:jc w:val="both"/>
              <w:rPr>
                <w:rFonts w:ascii="Arial" w:hAnsi="Arial"/>
                <w:sz w:val="18"/>
                <w:szCs w:val="18"/>
              </w:rPr>
            </w:pPr>
            <w:r>
              <w:rPr>
                <w:rFonts w:cstheme="minorHAnsi"/>
                <w:sz w:val="18"/>
                <w:szCs w:val="18"/>
              </w:rPr>
              <w:t>I am more financially stable now compared to before the training.</w:t>
            </w:r>
          </w:p>
        </w:tc>
        <w:tc>
          <w:tcPr>
            <w:tcW w:w="1089" w:type="dxa"/>
            <w:tcBorders>
              <w:top w:val="nil"/>
              <w:bottom w:val="nil"/>
            </w:tcBorders>
          </w:tcPr>
          <w:p w14:paraId="7A1DEF12" w14:textId="79D4EA8C" w:rsidR="00453358" w:rsidRPr="00247BC9" w:rsidRDefault="00453358" w:rsidP="00453358">
            <w:pPr>
              <w:jc w:val="center"/>
              <w:rPr>
                <w:rFonts w:ascii="Arial" w:hAnsi="Arial"/>
                <w:sz w:val="18"/>
                <w:szCs w:val="18"/>
              </w:rPr>
            </w:pPr>
            <w:r w:rsidRPr="00247BC9">
              <w:rPr>
                <w:rFonts w:cstheme="minorHAnsi"/>
                <w:sz w:val="18"/>
                <w:szCs w:val="18"/>
              </w:rPr>
              <w:t>2.74</w:t>
            </w:r>
          </w:p>
        </w:tc>
        <w:tc>
          <w:tcPr>
            <w:tcW w:w="1877" w:type="dxa"/>
            <w:tcBorders>
              <w:top w:val="nil"/>
              <w:bottom w:val="nil"/>
            </w:tcBorders>
          </w:tcPr>
          <w:p w14:paraId="6969843E" w14:textId="6E4CBAF0" w:rsidR="00453358" w:rsidRPr="00247BC9" w:rsidRDefault="00453358" w:rsidP="00453358">
            <w:pPr>
              <w:jc w:val="center"/>
              <w:rPr>
                <w:rFonts w:ascii="Arial" w:hAnsi="Arial" w:cs="Arial"/>
                <w:sz w:val="18"/>
                <w:szCs w:val="18"/>
              </w:rPr>
            </w:pPr>
            <w:r w:rsidRPr="00247BC9">
              <w:rPr>
                <w:rFonts w:cstheme="minorHAnsi"/>
                <w:sz w:val="18"/>
                <w:szCs w:val="18"/>
              </w:rPr>
              <w:t>Agree</w:t>
            </w:r>
          </w:p>
        </w:tc>
      </w:tr>
      <w:tr w:rsidR="00453358" w:rsidRPr="00247BC9" w14:paraId="760BEB24" w14:textId="77777777" w:rsidTr="009E4E5C">
        <w:trPr>
          <w:trHeight w:val="474"/>
          <w:jc w:val="center"/>
        </w:trPr>
        <w:tc>
          <w:tcPr>
            <w:tcW w:w="4833" w:type="dxa"/>
            <w:tcBorders>
              <w:top w:val="nil"/>
              <w:bottom w:val="nil"/>
            </w:tcBorders>
          </w:tcPr>
          <w:p w14:paraId="62B06F1C" w14:textId="75294520" w:rsidR="00453358" w:rsidRPr="00247BC9" w:rsidRDefault="00453358" w:rsidP="00453358">
            <w:pPr>
              <w:jc w:val="both"/>
              <w:rPr>
                <w:rFonts w:ascii="Arial" w:hAnsi="Arial"/>
                <w:sz w:val="18"/>
                <w:szCs w:val="18"/>
              </w:rPr>
            </w:pPr>
            <w:r>
              <w:rPr>
                <w:rFonts w:cstheme="minorHAnsi"/>
                <w:sz w:val="18"/>
                <w:szCs w:val="18"/>
              </w:rPr>
              <w:t>The dressmaking skills I gained are now a source of income for me.</w:t>
            </w:r>
          </w:p>
        </w:tc>
        <w:tc>
          <w:tcPr>
            <w:tcW w:w="1089" w:type="dxa"/>
            <w:tcBorders>
              <w:top w:val="nil"/>
              <w:bottom w:val="nil"/>
            </w:tcBorders>
          </w:tcPr>
          <w:p w14:paraId="25A36E26" w14:textId="61B23D5D" w:rsidR="00453358" w:rsidRPr="00247BC9" w:rsidRDefault="00453358" w:rsidP="00453358">
            <w:pPr>
              <w:jc w:val="center"/>
              <w:rPr>
                <w:rFonts w:ascii="Arial" w:hAnsi="Arial"/>
                <w:sz w:val="18"/>
                <w:szCs w:val="18"/>
              </w:rPr>
            </w:pPr>
            <w:r w:rsidRPr="00247BC9">
              <w:rPr>
                <w:rFonts w:cstheme="minorHAnsi"/>
                <w:sz w:val="18"/>
                <w:szCs w:val="18"/>
              </w:rPr>
              <w:t>2.79</w:t>
            </w:r>
          </w:p>
        </w:tc>
        <w:tc>
          <w:tcPr>
            <w:tcW w:w="1877" w:type="dxa"/>
            <w:tcBorders>
              <w:top w:val="nil"/>
              <w:bottom w:val="nil"/>
            </w:tcBorders>
          </w:tcPr>
          <w:p w14:paraId="09C56DA4" w14:textId="4028EDD6" w:rsidR="00453358" w:rsidRPr="00247BC9" w:rsidRDefault="00453358" w:rsidP="00453358">
            <w:pPr>
              <w:jc w:val="center"/>
              <w:rPr>
                <w:rFonts w:ascii="Arial" w:hAnsi="Arial" w:cs="Arial"/>
                <w:sz w:val="18"/>
                <w:szCs w:val="18"/>
              </w:rPr>
            </w:pPr>
            <w:r w:rsidRPr="00247BC9">
              <w:rPr>
                <w:rFonts w:cstheme="minorHAnsi"/>
                <w:sz w:val="18"/>
                <w:szCs w:val="18"/>
              </w:rPr>
              <w:t>Agree</w:t>
            </w:r>
          </w:p>
        </w:tc>
      </w:tr>
    </w:tbl>
    <w:p w14:paraId="4248B79E" w14:textId="77777777" w:rsidR="0064521F" w:rsidRPr="005130BB" w:rsidRDefault="0064521F" w:rsidP="0064521F">
      <w:pPr>
        <w:ind w:right="-424"/>
        <w:jc w:val="both"/>
        <w:rPr>
          <w:rFonts w:ascii="Times New Roman" w:hAnsi="Times New Roman"/>
          <w:i/>
          <w:iCs/>
          <w:sz w:val="18"/>
          <w:szCs w:val="18"/>
        </w:rPr>
      </w:pPr>
      <w:r w:rsidRPr="008C73BB">
        <w:rPr>
          <w:rFonts w:ascii="Arial" w:hAnsi="Arial"/>
          <w:bCs/>
          <w:i/>
          <w:sz w:val="18"/>
        </w:rPr>
        <w:t>*</w:t>
      </w:r>
      <w:r w:rsidRPr="00CA3C1B">
        <w:rPr>
          <w:rFonts w:ascii="Times New Roman" w:hAnsi="Times New Roman"/>
          <w:i/>
          <w:iCs/>
          <w:sz w:val="18"/>
          <w:szCs w:val="18"/>
        </w:rPr>
        <w:t xml:space="preserve"> </w:t>
      </w:r>
      <w:r w:rsidRPr="005130BB">
        <w:rPr>
          <w:rFonts w:ascii="Times New Roman" w:hAnsi="Times New Roman"/>
          <w:i/>
          <w:iCs/>
          <w:sz w:val="18"/>
          <w:szCs w:val="18"/>
        </w:rPr>
        <w:t>Range of Mean Interval-DI, 3.25-4.00- Strongly Agree; 2.50-3.24- Agree; 1.75-2.49- Disagree; 1.0-1.74- Strongly Disagree</w:t>
      </w:r>
    </w:p>
    <w:p w14:paraId="4125273D" w14:textId="77777777" w:rsidR="00544F28" w:rsidRDefault="00544F28" w:rsidP="00544F28">
      <w:pPr>
        <w:pStyle w:val="Body"/>
        <w:spacing w:after="0"/>
        <w:rPr>
          <w:rFonts w:ascii="Arial" w:hAnsi="Arial" w:cs="Arial"/>
        </w:rPr>
      </w:pPr>
    </w:p>
    <w:p w14:paraId="4991BB20" w14:textId="77777777" w:rsidR="0064521F" w:rsidRPr="0064521F" w:rsidRDefault="0064521F" w:rsidP="0064521F">
      <w:pPr>
        <w:pStyle w:val="ListParagraph"/>
        <w:ind w:left="0" w:firstLine="720"/>
        <w:jc w:val="both"/>
        <w:rPr>
          <w:rFonts w:ascii="Arial" w:hAnsi="Arial" w:cs="Arial"/>
          <w:sz w:val="20"/>
          <w:szCs w:val="20"/>
        </w:rPr>
      </w:pPr>
      <w:r w:rsidRPr="0064521F">
        <w:rPr>
          <w:rFonts w:ascii="Arial" w:hAnsi="Arial" w:cs="Arial"/>
          <w:sz w:val="20"/>
          <w:szCs w:val="20"/>
        </w:rPr>
        <w:t>Participants’ responses to income-related items yielded means ranging from 2.74 to 2.79, resulting in an overall interpretation of “Agree,” which suggests that the Dressmaking NC II training contributed moderately to improved financial conditions. The highest-rated items were “The training provided me with the skills to earn more through dressmaking” and “The training equipped me with dressmaking skills that serve as a source of income” (both with M = 2.79). This indicates that participants most strongly acknowledged the practical utility of the acquired skills as a means of generating income. Meanwhile, statements on actual income increase and improved financial stability received slightly lower but still positive ratings (M = 2.74), implying that while income opportunities improved, the extent of financial gains may not be substantial for all trainees.</w:t>
      </w:r>
    </w:p>
    <w:p w14:paraId="76C49CDA" w14:textId="77777777" w:rsidR="0064521F" w:rsidRPr="0064521F" w:rsidRDefault="0064521F" w:rsidP="0064521F">
      <w:pPr>
        <w:pStyle w:val="ListParagraph"/>
        <w:ind w:left="0" w:firstLine="720"/>
        <w:jc w:val="both"/>
        <w:rPr>
          <w:rFonts w:ascii="Arial" w:hAnsi="Arial" w:cs="Arial"/>
          <w:sz w:val="20"/>
          <w:szCs w:val="20"/>
        </w:rPr>
      </w:pPr>
      <w:r w:rsidRPr="0064521F">
        <w:rPr>
          <w:rFonts w:ascii="Arial" w:hAnsi="Arial" w:cs="Arial"/>
          <w:sz w:val="20"/>
          <w:szCs w:val="20"/>
        </w:rPr>
        <w:t xml:space="preserve">These findings align with studies on TVET outcomes in the Philippines, which consistently highlight that while technical training enhances employability and income-generating capability, the increase in earnings is often modest and dependent on labor market conditions (Asian Development Bank [ADB], 2021; Technical Education and Skills Development Authority [TESDA], 2022). TESDA’s tracer studies report that NC II-certified individuals often experience better access to livelihood and self-employment opportunities; however, income growth is generally incremental rather than transformative, especially for those in informal sectors like dressmaking (TESDA, 2021). Gatchalian (2022) emphasized </w:t>
      </w:r>
      <w:r w:rsidRPr="0064521F">
        <w:rPr>
          <w:rFonts w:ascii="Arial" w:hAnsi="Arial" w:cs="Arial"/>
          <w:sz w:val="20"/>
          <w:szCs w:val="20"/>
        </w:rPr>
        <w:lastRenderedPageBreak/>
        <w:t>that despite TESDA’s high employment placement reports (averaging 80%), many graduates remain underemployed or earn minimum wages, signaling systemic challenges in linking skills training to higher-paying opportunities.</w:t>
      </w:r>
    </w:p>
    <w:p w14:paraId="0E604D37" w14:textId="67D6200B" w:rsidR="0064521F" w:rsidRPr="0064521F" w:rsidRDefault="0064521F" w:rsidP="0064521F">
      <w:pPr>
        <w:pStyle w:val="ListParagraph"/>
        <w:ind w:left="0" w:firstLine="720"/>
        <w:jc w:val="both"/>
        <w:rPr>
          <w:rFonts w:ascii="Arial" w:hAnsi="Arial" w:cs="Arial"/>
          <w:sz w:val="20"/>
          <w:szCs w:val="20"/>
        </w:rPr>
      </w:pPr>
      <w:r w:rsidRPr="0064521F">
        <w:rPr>
          <w:rFonts w:ascii="Arial" w:hAnsi="Arial" w:cs="Arial"/>
          <w:sz w:val="20"/>
          <w:szCs w:val="20"/>
        </w:rPr>
        <w:t xml:space="preserve">International evidence reinforces these patterns, as TVET interventions in low- and middle-income countries tend to improve labor participation and self-employment prospects more than wage-based employment or income level (Fox &amp; Kaul, 2018). In this context, the Dressmaking NC II program appears effective in providing trainees with alternative income </w:t>
      </w:r>
      <w:r w:rsidR="00D62A3A">
        <w:rPr>
          <w:rFonts w:ascii="Arial" w:hAnsi="Arial" w:cs="Arial"/>
          <w:sz w:val="20"/>
          <w:szCs w:val="20"/>
        </w:rPr>
        <w:t>opportunities</w:t>
      </w:r>
      <w:r w:rsidRPr="0064521F">
        <w:rPr>
          <w:rFonts w:ascii="Arial" w:hAnsi="Arial" w:cs="Arial"/>
          <w:sz w:val="20"/>
          <w:szCs w:val="20"/>
        </w:rPr>
        <w:t>, but its capacity to significantly enhance financial stability may require complementary measures, such as market access programs, entrepreneurial support, and stronger industry linkages.</w:t>
      </w:r>
    </w:p>
    <w:p w14:paraId="1CD635D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0DD298A" w14:textId="77777777" w:rsidR="00790ADA" w:rsidRPr="00FB3A86" w:rsidRDefault="00790ADA" w:rsidP="00441B6F">
      <w:pPr>
        <w:pStyle w:val="ConcHead"/>
        <w:spacing w:after="0"/>
        <w:jc w:val="both"/>
        <w:rPr>
          <w:rFonts w:ascii="Arial" w:hAnsi="Arial" w:cs="Arial"/>
        </w:rPr>
      </w:pPr>
    </w:p>
    <w:p w14:paraId="7ED9E363" w14:textId="77777777" w:rsidR="00EB01AC" w:rsidRPr="00EB01AC" w:rsidRDefault="00EB01AC" w:rsidP="00EB01AC">
      <w:pPr>
        <w:pStyle w:val="ListParagraph"/>
        <w:ind w:left="0" w:firstLine="720"/>
        <w:jc w:val="both"/>
        <w:rPr>
          <w:rFonts w:ascii="Arial" w:hAnsi="Arial" w:cs="Arial"/>
          <w:sz w:val="20"/>
          <w:szCs w:val="20"/>
        </w:rPr>
      </w:pPr>
      <w:r w:rsidRPr="00EB01AC">
        <w:rPr>
          <w:rFonts w:ascii="Arial" w:hAnsi="Arial" w:cs="Arial"/>
          <w:sz w:val="20"/>
          <w:szCs w:val="20"/>
        </w:rPr>
        <w:t>The Dressmaking NC II program demonstrates positive contributions to both employment and income outcomes, though the magnitude of these effects appears moderate. Respondents generally agreed that the training enhanced their employability (overall mean = 2.65) and improved their financial situation (overall mean = 2.77). The strongest impacts were noted in increased confidence in applying for jobs or starting a business and in the practical utility of skills for generating income, indicating that the program successfully develops both technical competence and self-efficacy.</w:t>
      </w:r>
    </w:p>
    <w:p w14:paraId="07F5594F" w14:textId="77777777" w:rsidR="00EB01AC" w:rsidRPr="00EB01AC" w:rsidRDefault="00EB01AC" w:rsidP="00EB01AC">
      <w:pPr>
        <w:pStyle w:val="ListParagraph"/>
        <w:ind w:left="0" w:firstLine="720"/>
        <w:jc w:val="both"/>
        <w:rPr>
          <w:rFonts w:ascii="Arial" w:hAnsi="Arial" w:cs="Arial"/>
          <w:sz w:val="20"/>
          <w:szCs w:val="20"/>
        </w:rPr>
      </w:pPr>
      <w:r w:rsidRPr="00EB01AC">
        <w:rPr>
          <w:rFonts w:ascii="Arial" w:hAnsi="Arial" w:cs="Arial"/>
          <w:sz w:val="20"/>
          <w:szCs w:val="20"/>
        </w:rPr>
        <w:t>However, the data also reveal persistent challenges. While participants acknowledged benefits, indicators related to securing jobs directly linked to dressmaking and achieving substantial financial stability received lower, though still positive, ratings. These findings align with national and international research suggesting that technical-vocational education and training (TVET) improves labor force participation and self-employment prospects but often results in incremental rather than transformative income gains (Asian Development Bank [ADB], 2021; TESDA, 2022). Furthermore, systemic barriers such as job-skills mismatch and limited industry linkages constrain the program’s ability to translate skills acquisition into sustainable, high-quality employment (Gatchalian, 2022; Generalao et al., 2025).</w:t>
      </w:r>
    </w:p>
    <w:p w14:paraId="6A6FE76A" w14:textId="77777777" w:rsidR="00EB01AC" w:rsidRDefault="00EB01AC" w:rsidP="00EB01AC">
      <w:pPr>
        <w:pStyle w:val="ListParagraph"/>
        <w:ind w:left="0" w:firstLine="720"/>
        <w:jc w:val="both"/>
        <w:rPr>
          <w:rFonts w:ascii="Arial" w:hAnsi="Arial" w:cs="Arial"/>
          <w:sz w:val="20"/>
          <w:szCs w:val="20"/>
        </w:rPr>
      </w:pPr>
      <w:r w:rsidRPr="00EB01AC">
        <w:rPr>
          <w:rFonts w:ascii="Arial" w:hAnsi="Arial" w:cs="Arial"/>
          <w:sz w:val="20"/>
          <w:szCs w:val="20"/>
        </w:rPr>
        <w:t>Taken together, the findings suggest that while the Dressmaking NC II program equips learners with relevant skills and boosts confidence for employment and entrepreneurship, its impact on income and job placement is contingent on external factors. To maximize economic benefits, complementary measures—such as strengthening industry partnerships, enhancing labor market alignment, and providing market access and entrepreneurial support—are critical. These steps echo recommendations from recent TVET research advocating for demand-driven, inclusive training strategies to address underemployment and ensure that graduates achieve meaningful livelihood outcomes (ADB, 2021; TESDA, 2023; Generalao et al., 2025).</w:t>
      </w:r>
    </w:p>
    <w:p w14:paraId="71E1F45E" w14:textId="37D0B263" w:rsidR="008E4645" w:rsidRDefault="008E4645" w:rsidP="008E4645">
      <w:pPr>
        <w:pStyle w:val="ConcHead"/>
        <w:spacing w:after="0"/>
        <w:jc w:val="both"/>
        <w:rPr>
          <w:rFonts w:ascii="Arial" w:hAnsi="Arial" w:cs="Arial"/>
        </w:rPr>
      </w:pPr>
      <w:r>
        <w:rPr>
          <w:rFonts w:ascii="Arial" w:hAnsi="Arial" w:cs="Arial"/>
        </w:rPr>
        <w:lastRenderedPageBreak/>
        <w:t>4. Recommendations</w:t>
      </w:r>
    </w:p>
    <w:p w14:paraId="6D39959D" w14:textId="6164E636" w:rsidR="008E4645" w:rsidRDefault="008E4645" w:rsidP="008E4645">
      <w:pPr>
        <w:pStyle w:val="ConcHead"/>
        <w:spacing w:after="0"/>
        <w:ind w:firstLine="720"/>
        <w:jc w:val="both"/>
        <w:rPr>
          <w:rFonts w:ascii="Arial" w:hAnsi="Arial" w:cs="Arial"/>
          <w:b w:val="0"/>
          <w:bCs/>
          <w:caps w:val="0"/>
          <w:sz w:val="20"/>
          <w:szCs w:val="18"/>
        </w:rPr>
      </w:pPr>
      <w:r w:rsidRPr="008E4645">
        <w:rPr>
          <w:rFonts w:ascii="Arial" w:hAnsi="Arial" w:cs="Arial"/>
          <w:b w:val="0"/>
          <w:bCs/>
          <w:caps w:val="0"/>
          <w:sz w:val="20"/>
          <w:szCs w:val="18"/>
        </w:rPr>
        <w:t>T</w:t>
      </w:r>
      <w:r>
        <w:rPr>
          <w:rFonts w:ascii="Arial" w:hAnsi="Arial" w:cs="Arial"/>
          <w:b w:val="0"/>
          <w:bCs/>
          <w:caps w:val="0"/>
          <w:sz w:val="20"/>
          <w:szCs w:val="18"/>
        </w:rPr>
        <w:t>ESDA</w:t>
      </w:r>
      <w:r w:rsidRPr="008E4645">
        <w:rPr>
          <w:rFonts w:ascii="Arial" w:hAnsi="Arial" w:cs="Arial"/>
          <w:b w:val="0"/>
          <w:bCs/>
          <w:caps w:val="0"/>
          <w:sz w:val="20"/>
          <w:szCs w:val="18"/>
        </w:rPr>
        <w:t xml:space="preserve"> should strengthen industry partnerships and align curricula with labor market needs to reduce job-skills mismatch. Providing entrepreneurial support, such as start-up kits, financing, and mentoring, can help graduates monetize their skills. Incorporating digital marketing and e-commerce training will enhance income opportunities, while post-training job placement systems can improve employment outcomes. Lastly, continuous program evaluation and feedback mechanisms are essential to keep the </w:t>
      </w:r>
      <w:r>
        <w:rPr>
          <w:rFonts w:ascii="Arial" w:hAnsi="Arial" w:cs="Arial"/>
          <w:b w:val="0"/>
          <w:bCs/>
          <w:caps w:val="0"/>
          <w:sz w:val="20"/>
          <w:szCs w:val="18"/>
        </w:rPr>
        <w:t>NC II</w:t>
      </w:r>
      <w:r w:rsidRPr="008E4645">
        <w:rPr>
          <w:rFonts w:ascii="Arial" w:hAnsi="Arial" w:cs="Arial"/>
          <w:b w:val="0"/>
          <w:bCs/>
          <w:caps w:val="0"/>
          <w:sz w:val="20"/>
          <w:szCs w:val="18"/>
        </w:rPr>
        <w:t xml:space="preserve"> program relevant and effective.</w:t>
      </w:r>
    </w:p>
    <w:p w14:paraId="799731B8" w14:textId="77777777" w:rsidR="008E4645" w:rsidRPr="008E4645" w:rsidRDefault="008E4645" w:rsidP="008E4645">
      <w:pPr>
        <w:pStyle w:val="ConcHead"/>
        <w:spacing w:after="0"/>
        <w:ind w:firstLine="720"/>
        <w:jc w:val="both"/>
        <w:rPr>
          <w:rFonts w:ascii="Arial" w:hAnsi="Arial" w:cs="Arial"/>
          <w:b w:val="0"/>
          <w:bCs/>
          <w:sz w:val="20"/>
          <w:szCs w:val="18"/>
        </w:rPr>
      </w:pPr>
    </w:p>
    <w:p w14:paraId="4E470AAA" w14:textId="1D1EEDEC" w:rsidR="00860000" w:rsidRPr="008E4645" w:rsidRDefault="008E4645" w:rsidP="00441B6F">
      <w:pPr>
        <w:pStyle w:val="ReferHead"/>
        <w:spacing w:after="0"/>
        <w:jc w:val="both"/>
        <w:rPr>
          <w:rFonts w:ascii="Arial" w:hAnsi="Arial" w:cs="Arial"/>
        </w:rPr>
      </w:pPr>
      <w:r w:rsidRPr="008E4645">
        <w:rPr>
          <w:rFonts w:ascii="Arial" w:hAnsi="Arial" w:cs="Arial"/>
          <w:caps w:val="0"/>
        </w:rPr>
        <w:t>COMPETING INTERESTS</w:t>
      </w:r>
    </w:p>
    <w:p w14:paraId="16710303" w14:textId="77777777" w:rsidR="00860000" w:rsidRPr="00786D36" w:rsidRDefault="00860000" w:rsidP="00441B6F">
      <w:pPr>
        <w:pStyle w:val="ReferHead"/>
        <w:spacing w:after="0"/>
        <w:jc w:val="both"/>
        <w:rPr>
          <w:rFonts w:ascii="Arial" w:hAnsi="Arial" w:cs="Arial"/>
        </w:rPr>
      </w:pPr>
    </w:p>
    <w:p w14:paraId="6C6B0D80" w14:textId="61F1CFF3" w:rsidR="002C5F03" w:rsidRDefault="00E66E10" w:rsidP="00441B6F">
      <w:pPr>
        <w:pStyle w:val="ReferHead"/>
        <w:spacing w:after="0"/>
        <w:jc w:val="both"/>
        <w:rPr>
          <w:rFonts w:ascii="Arial" w:hAnsi="Arial" w:cs="Arial"/>
          <w:b w:val="0"/>
          <w:caps w:val="0"/>
          <w:sz w:val="20"/>
        </w:rPr>
      </w:pPr>
      <w:r w:rsidRPr="008E4645">
        <w:rPr>
          <w:rFonts w:ascii="Arial" w:hAnsi="Arial" w:cs="Arial"/>
          <w:b w:val="0"/>
          <w:caps w:val="0"/>
          <w:sz w:val="20"/>
        </w:rPr>
        <w:t>Authors have declared that no competing interests exist.</w:t>
      </w:r>
    </w:p>
    <w:p w14:paraId="4E423534" w14:textId="77777777" w:rsidR="002E68CD" w:rsidRDefault="002E68CD" w:rsidP="00441B6F">
      <w:pPr>
        <w:pStyle w:val="ReferHead"/>
        <w:spacing w:after="0"/>
        <w:jc w:val="both"/>
        <w:rPr>
          <w:rFonts w:ascii="Arial" w:hAnsi="Arial" w:cs="Arial"/>
          <w:b w:val="0"/>
          <w:caps w:val="0"/>
          <w:sz w:val="20"/>
        </w:rPr>
      </w:pPr>
    </w:p>
    <w:p w14:paraId="1567B28B" w14:textId="601FE879" w:rsidR="00D86864" w:rsidRPr="002E68CD" w:rsidRDefault="002E68CD" w:rsidP="00D86864">
      <w:pPr>
        <w:rPr>
          <w:b/>
          <w:bCs/>
        </w:rPr>
      </w:pPr>
      <w:r w:rsidRPr="002E68CD">
        <w:rPr>
          <w:b/>
          <w:bCs/>
        </w:rPr>
        <w:t>DISCLAIMER (ARTIFICIAL INTELLIGENCE)</w:t>
      </w:r>
    </w:p>
    <w:p w14:paraId="4639442E" w14:textId="77777777" w:rsidR="00D86864" w:rsidRPr="002E68CD" w:rsidRDefault="00D86864" w:rsidP="00D86864"/>
    <w:p w14:paraId="37129F19" w14:textId="77777777" w:rsidR="00D86864" w:rsidRPr="002E68CD" w:rsidRDefault="00D86864" w:rsidP="00D86864"/>
    <w:p w14:paraId="606E4225" w14:textId="7DBA8C26" w:rsidR="00D86864" w:rsidRPr="002E68CD" w:rsidRDefault="00D86864" w:rsidP="00D86864">
      <w:r w:rsidRPr="002E68CD">
        <w:t>Author</w:t>
      </w:r>
      <w:r w:rsidR="002E68CD" w:rsidRPr="002E68CD">
        <w:t xml:space="preserve"> </w:t>
      </w:r>
      <w:r w:rsidRPr="002E68CD">
        <w:t xml:space="preserve">hereby </w:t>
      </w:r>
      <w:proofErr w:type="gramStart"/>
      <w:r w:rsidRPr="002E68CD">
        <w:t>declare</w:t>
      </w:r>
      <w:proofErr w:type="gramEnd"/>
      <w:r w:rsidRPr="002E68CD">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EC6AE6" w14:textId="77777777" w:rsidR="00D86864" w:rsidRPr="002E68CD" w:rsidRDefault="00D86864" w:rsidP="00D86864"/>
    <w:p w14:paraId="08CDAAC9" w14:textId="77777777" w:rsidR="00D86864" w:rsidRPr="002E68CD" w:rsidRDefault="00D86864" w:rsidP="00D86864">
      <w:r w:rsidRPr="002E68CD">
        <w:t>Details of the AI usage are given below:</w:t>
      </w:r>
    </w:p>
    <w:p w14:paraId="4DBFB2DC" w14:textId="3AA2092D" w:rsidR="00D86864" w:rsidRPr="002E68CD" w:rsidRDefault="00D86864" w:rsidP="00D86864">
      <w:r w:rsidRPr="002E68CD">
        <w:t>1.</w:t>
      </w:r>
      <w:r w:rsidR="002E68CD" w:rsidRPr="002E68CD">
        <w:t xml:space="preserve"> CHAT GPT</w:t>
      </w:r>
    </w:p>
    <w:p w14:paraId="5E0232E7" w14:textId="77777777" w:rsidR="00D86864" w:rsidRPr="008E4645" w:rsidRDefault="00D86864" w:rsidP="00441B6F">
      <w:pPr>
        <w:pStyle w:val="ReferHead"/>
        <w:spacing w:after="0"/>
        <w:jc w:val="both"/>
        <w:rPr>
          <w:rFonts w:ascii="Arial" w:hAnsi="Arial" w:cs="Arial"/>
          <w:b w:val="0"/>
          <w:caps w:val="0"/>
          <w:sz w:val="20"/>
        </w:rPr>
      </w:pPr>
    </w:p>
    <w:p w14:paraId="2F3A616F" w14:textId="77777777" w:rsidR="00371FB6" w:rsidRDefault="00371FB6" w:rsidP="00441B6F">
      <w:pPr>
        <w:pStyle w:val="ReferHead"/>
        <w:spacing w:after="0"/>
        <w:jc w:val="both"/>
        <w:rPr>
          <w:rFonts w:ascii="Arial" w:hAnsi="Arial" w:cs="Arial"/>
          <w:b w:val="0"/>
          <w:caps w:val="0"/>
          <w:sz w:val="20"/>
        </w:rPr>
      </w:pPr>
    </w:p>
    <w:p w14:paraId="6D5D95AE" w14:textId="77777777" w:rsidR="005C784C" w:rsidRDefault="005C784C" w:rsidP="00441B6F">
      <w:pPr>
        <w:pStyle w:val="ReferHead"/>
        <w:spacing w:after="0"/>
        <w:jc w:val="both"/>
        <w:rPr>
          <w:rFonts w:ascii="Arial" w:hAnsi="Arial" w:cs="Arial"/>
          <w:b w:val="0"/>
          <w:caps w:val="0"/>
          <w:sz w:val="20"/>
        </w:rPr>
      </w:pPr>
    </w:p>
    <w:p w14:paraId="0D15AF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B539B54" w14:textId="77777777" w:rsidR="00C73B61" w:rsidRDefault="00C73B61" w:rsidP="00C73B61">
      <w:pPr>
        <w:pStyle w:val="ReferHead"/>
        <w:spacing w:after="0"/>
        <w:jc w:val="both"/>
        <w:rPr>
          <w:rFonts w:ascii="Arial" w:hAnsi="Arial" w:cs="Arial"/>
        </w:rPr>
      </w:pPr>
    </w:p>
    <w:p w14:paraId="6683DB1A" w14:textId="77777777" w:rsidR="008E4645" w:rsidRPr="008E4645" w:rsidRDefault="008E4645" w:rsidP="008E4645">
      <w:pPr>
        <w:ind w:left="720" w:hanging="720"/>
        <w:jc w:val="both"/>
        <w:rPr>
          <w:rFonts w:cstheme="minorHAnsi"/>
        </w:rPr>
      </w:pPr>
      <w:r w:rsidRPr="008D3D25">
        <w:rPr>
          <w:rFonts w:cstheme="minorHAnsi"/>
        </w:rPr>
        <w:t>Arayata, M. C</w:t>
      </w:r>
      <w:r w:rsidRPr="008E4645">
        <w:rPr>
          <w:rFonts w:cstheme="minorHAnsi"/>
        </w:rPr>
        <w:t xml:space="preserve">. (2022, August 30). 7 in 10 TVET grads got hired: TESDA study. </w:t>
      </w:r>
      <w:r w:rsidRPr="008E4645">
        <w:rPr>
          <w:rFonts w:cstheme="minorHAnsi"/>
          <w:i/>
          <w:iCs/>
        </w:rPr>
        <w:t>Philippine News Agency</w:t>
      </w:r>
      <w:r w:rsidRPr="008E4645">
        <w:rPr>
          <w:rFonts w:cstheme="minorHAnsi"/>
        </w:rPr>
        <w:t>. https://www.pna.gov.ph/articles/1182507</w:t>
      </w:r>
    </w:p>
    <w:p w14:paraId="6B79625D" w14:textId="77777777" w:rsidR="008E4645" w:rsidRPr="008E4645" w:rsidRDefault="008E4645" w:rsidP="008E4645">
      <w:pPr>
        <w:ind w:left="720" w:hanging="720"/>
        <w:jc w:val="both"/>
        <w:rPr>
          <w:rFonts w:cstheme="minorHAnsi"/>
        </w:rPr>
      </w:pPr>
      <w:r w:rsidRPr="008E4645">
        <w:rPr>
          <w:rFonts w:cstheme="minorHAnsi"/>
        </w:rPr>
        <w:t xml:space="preserve">Asian Development Bank. (2021). </w:t>
      </w:r>
      <w:r w:rsidRPr="008E4645">
        <w:rPr>
          <w:rFonts w:cstheme="minorHAnsi"/>
          <w:i/>
          <w:iCs/>
        </w:rPr>
        <w:t>Technical and vocational education and training in the Philippines in the age of Industry 4.0</w:t>
      </w:r>
      <w:r w:rsidRPr="008E4645">
        <w:rPr>
          <w:rFonts w:cstheme="minorHAnsi"/>
        </w:rPr>
        <w:t>. ADB. https://www.adb.org/publications/technical-vocational-education-training-philippines-industry-4</w:t>
      </w:r>
    </w:p>
    <w:p w14:paraId="2ABF7589" w14:textId="77777777" w:rsidR="008E4645" w:rsidRPr="008E4645" w:rsidRDefault="008E4645" w:rsidP="008E4645">
      <w:pPr>
        <w:ind w:left="720" w:hanging="720"/>
        <w:jc w:val="both"/>
        <w:rPr>
          <w:rFonts w:cstheme="minorHAnsi"/>
        </w:rPr>
      </w:pPr>
      <w:r w:rsidRPr="008E4645">
        <w:rPr>
          <w:rFonts w:cstheme="minorHAnsi"/>
        </w:rPr>
        <w:t xml:space="preserve">Asadullah, M. N., Savoia, A., &amp; Mahmud, W. (2021). Vocational training and labor market outcomes in the Philippines. </w:t>
      </w:r>
      <w:r w:rsidRPr="008E4645">
        <w:rPr>
          <w:rFonts w:cstheme="minorHAnsi"/>
          <w:i/>
          <w:iCs/>
        </w:rPr>
        <w:t>International Journal of Educational Development, 87,</w:t>
      </w:r>
      <w:r w:rsidRPr="008E4645">
        <w:rPr>
          <w:rFonts w:cstheme="minorHAnsi"/>
        </w:rPr>
        <w:t xml:space="preserve"> 102501. </w:t>
      </w:r>
      <w:hyperlink r:id="rId14" w:tgtFrame="_new" w:history="1">
        <w:r w:rsidRPr="008E4645">
          <w:rPr>
            <w:rStyle w:val="Hyperlink"/>
            <w:rFonts w:cstheme="minorHAnsi"/>
            <w:color w:val="auto"/>
            <w:u w:val="none"/>
          </w:rPr>
          <w:t>https://doi.org/10.1016/j.ijedudev.2021.102501</w:t>
        </w:r>
      </w:hyperlink>
    </w:p>
    <w:p w14:paraId="0E0CC40B" w14:textId="77777777" w:rsidR="008E4645" w:rsidRPr="008E4645" w:rsidRDefault="008E4645" w:rsidP="008E4645">
      <w:pPr>
        <w:ind w:left="720" w:hanging="720"/>
        <w:jc w:val="both"/>
        <w:rPr>
          <w:rFonts w:cstheme="minorHAnsi"/>
        </w:rPr>
      </w:pPr>
      <w:r w:rsidRPr="008E4645">
        <w:rPr>
          <w:rFonts w:cstheme="minorHAnsi"/>
        </w:rPr>
        <w:t xml:space="preserve">Fox, L., &amp; Kaul, U. (2018). The evidence is in: How should youth employment programs in low-income countries be designed? </w:t>
      </w:r>
      <w:r w:rsidRPr="008E4645">
        <w:rPr>
          <w:rFonts w:cstheme="minorHAnsi"/>
          <w:i/>
          <w:iCs/>
        </w:rPr>
        <w:t>World Bank Policy Research Working Paper.</w:t>
      </w:r>
      <w:r w:rsidRPr="008E4645">
        <w:rPr>
          <w:rFonts w:cstheme="minorHAnsi"/>
        </w:rPr>
        <w:t xml:space="preserve"> https://openknowledge.worldbank.org/handle/10986/30596</w:t>
      </w:r>
    </w:p>
    <w:p w14:paraId="1AC9811C" w14:textId="77777777" w:rsidR="008E4645" w:rsidRPr="008E4645" w:rsidRDefault="008E4645" w:rsidP="008E4645">
      <w:pPr>
        <w:ind w:left="720" w:hanging="720"/>
        <w:jc w:val="both"/>
        <w:rPr>
          <w:rFonts w:cstheme="minorHAnsi"/>
        </w:rPr>
      </w:pPr>
      <w:r w:rsidRPr="008E4645">
        <w:rPr>
          <w:rFonts w:cstheme="minorHAnsi"/>
        </w:rPr>
        <w:t xml:space="preserve">Gatchalian, R. (2022). </w:t>
      </w:r>
      <w:r w:rsidRPr="008E4645">
        <w:rPr>
          <w:rFonts w:cstheme="minorHAnsi"/>
          <w:i/>
          <w:iCs/>
        </w:rPr>
        <w:t>Employment and income outcomes of TESDA graduates: Policy implications.</w:t>
      </w:r>
      <w:r w:rsidRPr="008E4645">
        <w:rPr>
          <w:rFonts w:cstheme="minorHAnsi"/>
        </w:rPr>
        <w:t xml:space="preserve"> Philippine Institute for Development Studies Discussion Paper Series. </w:t>
      </w:r>
      <w:hyperlink r:id="rId15" w:tgtFrame="_new" w:history="1">
        <w:r w:rsidRPr="008E4645">
          <w:rPr>
            <w:rStyle w:val="Hyperlink"/>
            <w:rFonts w:cstheme="minorHAnsi"/>
            <w:color w:val="auto"/>
            <w:u w:val="none"/>
          </w:rPr>
          <w:t>https://pids.gov.ph</w:t>
        </w:r>
      </w:hyperlink>
    </w:p>
    <w:p w14:paraId="3F6AE1F8" w14:textId="77777777" w:rsidR="008E4645" w:rsidRPr="008E4645" w:rsidRDefault="008E4645" w:rsidP="008E4645">
      <w:pPr>
        <w:ind w:left="720" w:hanging="720"/>
        <w:jc w:val="both"/>
        <w:rPr>
          <w:rFonts w:cstheme="minorHAnsi"/>
        </w:rPr>
      </w:pPr>
      <w:r w:rsidRPr="008E4645">
        <w:rPr>
          <w:rFonts w:cstheme="minorHAnsi"/>
        </w:rPr>
        <w:t xml:space="preserve">Gatchalian, W. (2022, November 9). Gatchalian proposes P10M in TESDA budget to help address jobs-skills mismatch. </w:t>
      </w:r>
      <w:r w:rsidRPr="008E4645">
        <w:rPr>
          <w:rFonts w:cstheme="minorHAnsi"/>
          <w:i/>
          <w:iCs/>
        </w:rPr>
        <w:t>Philippine Institute for Development Studies.</w:t>
      </w:r>
      <w:r w:rsidRPr="008E4645">
        <w:rPr>
          <w:rFonts w:cstheme="minorHAnsi"/>
        </w:rPr>
        <w:t xml:space="preserve"> </w:t>
      </w:r>
      <w:hyperlink r:id="rId16" w:tgtFrame="_new" w:history="1">
        <w:r w:rsidRPr="008E4645">
          <w:rPr>
            <w:rStyle w:val="Hyperlink"/>
            <w:rFonts w:cstheme="minorHAnsi"/>
            <w:color w:val="auto"/>
            <w:u w:val="none"/>
          </w:rPr>
          <w:t>https://pids.gov.ph/details/gatchalian-proposes-p10m-in-tesda-budget-to-help-address-jobs-skills-mismatch</w:t>
        </w:r>
      </w:hyperlink>
    </w:p>
    <w:p w14:paraId="026BB5EC" w14:textId="77777777" w:rsidR="008E4645" w:rsidRPr="008E4645" w:rsidRDefault="008E4645" w:rsidP="008E4645">
      <w:pPr>
        <w:ind w:left="720" w:hanging="720"/>
        <w:jc w:val="both"/>
        <w:rPr>
          <w:rFonts w:cstheme="minorHAnsi"/>
        </w:rPr>
      </w:pPr>
      <w:r w:rsidRPr="008E4645">
        <w:rPr>
          <w:rFonts w:cstheme="minorHAnsi"/>
        </w:rPr>
        <w:t xml:space="preserve">Gatchalian, W. (2022, as cited in Senate of the Philippines). Jobs-skills mismatch among TVET graduates. </w:t>
      </w:r>
      <w:r w:rsidRPr="008E4645">
        <w:rPr>
          <w:rFonts w:cstheme="minorHAnsi"/>
          <w:i/>
          <w:iCs/>
        </w:rPr>
        <w:t>Senate of the Philippines.</w:t>
      </w:r>
    </w:p>
    <w:p w14:paraId="792ED581" w14:textId="77777777" w:rsidR="008E4645" w:rsidRPr="008E4645" w:rsidRDefault="008E4645" w:rsidP="008E4645">
      <w:pPr>
        <w:ind w:left="720" w:hanging="720"/>
        <w:jc w:val="both"/>
        <w:rPr>
          <w:rFonts w:cstheme="minorHAnsi"/>
        </w:rPr>
      </w:pPr>
      <w:r w:rsidRPr="008E4645">
        <w:rPr>
          <w:rFonts w:cstheme="minorHAnsi"/>
        </w:rPr>
        <w:t xml:space="preserve">Generalao, I. N. A., Balaoro, J. M., Lorenzo, P. J. M., &amp; Rivera, J. P. R. (2025). </w:t>
      </w:r>
      <w:r w:rsidRPr="008E4645">
        <w:rPr>
          <w:rFonts w:cstheme="minorHAnsi"/>
          <w:i/>
          <w:iCs/>
        </w:rPr>
        <w:t>Examining the effects of technical vocational education and training (TVET) on employment outcomes in the Philippines</w:t>
      </w:r>
      <w:r w:rsidRPr="008E4645">
        <w:rPr>
          <w:rFonts w:cstheme="minorHAnsi"/>
        </w:rPr>
        <w:t xml:space="preserve"> (Discussion Paper No. 2025-08). Philippine Institute for Development Studies. </w:t>
      </w:r>
      <w:hyperlink r:id="rId17" w:tgtFrame="_new" w:history="1">
        <w:r w:rsidRPr="008E4645">
          <w:rPr>
            <w:rStyle w:val="Hyperlink"/>
            <w:rFonts w:cstheme="minorHAnsi"/>
            <w:color w:val="auto"/>
            <w:u w:val="none"/>
          </w:rPr>
          <w:t>https://pids.gov.ph/publication/discussion-papers/examining-</w:t>
        </w:r>
        <w:r w:rsidRPr="008E4645">
          <w:rPr>
            <w:rStyle w:val="Hyperlink"/>
            <w:rFonts w:cstheme="minorHAnsi"/>
            <w:color w:val="auto"/>
            <w:u w:val="none"/>
          </w:rPr>
          <w:lastRenderedPageBreak/>
          <w:t>the-effects-of-technical-vocational-education-and-training-tvet-on-employment-outcomes-in-the-philippines</w:t>
        </w:r>
      </w:hyperlink>
    </w:p>
    <w:p w14:paraId="14C1AD9B" w14:textId="77777777" w:rsidR="008E4645" w:rsidRPr="008E4645" w:rsidRDefault="008E4645" w:rsidP="008E4645">
      <w:pPr>
        <w:ind w:left="720" w:hanging="720"/>
        <w:jc w:val="both"/>
        <w:rPr>
          <w:rFonts w:cstheme="minorHAnsi"/>
        </w:rPr>
      </w:pPr>
      <w:r w:rsidRPr="008E4645">
        <w:rPr>
          <w:rFonts w:cstheme="minorHAnsi"/>
        </w:rPr>
        <w:t xml:space="preserve">Generalao, I. N. A., Balaoro, J. M., Lorenzo, P. J. M., &amp; Rivera, J. P. R. (2025). </w:t>
      </w:r>
      <w:r w:rsidRPr="008E4645">
        <w:rPr>
          <w:rFonts w:cstheme="minorHAnsi"/>
          <w:i/>
          <w:iCs/>
        </w:rPr>
        <w:t>Measuring the impacts of technical vocational education and training (TVET) on wage outcomes in the Philippines</w:t>
      </w:r>
      <w:r w:rsidRPr="008E4645">
        <w:rPr>
          <w:rFonts w:cstheme="minorHAnsi"/>
        </w:rPr>
        <w:t xml:space="preserve"> (Discussion Paper No. 2025-09). Philippine Institute for Development Studies. </w:t>
      </w:r>
      <w:hyperlink r:id="rId18" w:tgtFrame="_new" w:history="1">
        <w:r w:rsidRPr="008E4645">
          <w:rPr>
            <w:rStyle w:val="Hyperlink"/>
            <w:rFonts w:cstheme="minorHAnsi"/>
            <w:color w:val="auto"/>
            <w:u w:val="none"/>
          </w:rPr>
          <w:t>https://doi.org/10.62986/dp2025.09</w:t>
        </w:r>
      </w:hyperlink>
    </w:p>
    <w:p w14:paraId="652DC18A" w14:textId="77777777" w:rsidR="008E4645" w:rsidRPr="008E4645" w:rsidRDefault="008E4645" w:rsidP="008E4645">
      <w:pPr>
        <w:ind w:left="720" w:hanging="720"/>
        <w:jc w:val="both"/>
        <w:rPr>
          <w:rFonts w:cstheme="minorHAnsi"/>
        </w:rPr>
      </w:pPr>
      <w:r w:rsidRPr="008E4645">
        <w:rPr>
          <w:rFonts w:cstheme="minorHAnsi"/>
        </w:rPr>
        <w:t xml:space="preserve">Majumdar, S. (2019). Competency-based education: Bridging skills development and employability. </w:t>
      </w:r>
      <w:r w:rsidRPr="008E4645">
        <w:rPr>
          <w:rFonts w:cstheme="minorHAnsi"/>
          <w:i/>
          <w:iCs/>
        </w:rPr>
        <w:t>International Journal of Training Research, 17</w:t>
      </w:r>
      <w:r w:rsidRPr="008E4645">
        <w:rPr>
          <w:rFonts w:cstheme="minorHAnsi"/>
        </w:rPr>
        <w:t xml:space="preserve">(S1), 6–20. </w:t>
      </w:r>
      <w:hyperlink r:id="rId19" w:tgtFrame="_new" w:history="1">
        <w:r w:rsidRPr="008E4645">
          <w:rPr>
            <w:rStyle w:val="Hyperlink"/>
            <w:rFonts w:cstheme="minorHAnsi"/>
            <w:color w:val="auto"/>
            <w:u w:val="none"/>
          </w:rPr>
          <w:t>https://doi.org/10.1080/14480220.2019.1629720</w:t>
        </w:r>
      </w:hyperlink>
    </w:p>
    <w:p w14:paraId="2766A7BF" w14:textId="77777777" w:rsidR="008E4645" w:rsidRPr="008E4645" w:rsidRDefault="008E4645" w:rsidP="008E4645">
      <w:pPr>
        <w:ind w:left="720" w:hanging="720"/>
        <w:jc w:val="both"/>
        <w:rPr>
          <w:rFonts w:cstheme="minorHAnsi"/>
        </w:rPr>
      </w:pPr>
      <w:r w:rsidRPr="008E4645">
        <w:rPr>
          <w:rFonts w:cstheme="minorHAnsi"/>
        </w:rPr>
        <w:t xml:space="preserve">Majumdar, S. (2019). </w:t>
      </w:r>
      <w:r w:rsidRPr="008E4645">
        <w:rPr>
          <w:rFonts w:cstheme="minorHAnsi"/>
          <w:i/>
          <w:iCs/>
        </w:rPr>
        <w:t>Future of TVET teaching and learning: Issues and challenges.</w:t>
      </w:r>
      <w:r w:rsidRPr="008E4645">
        <w:rPr>
          <w:rFonts w:cstheme="minorHAnsi"/>
        </w:rPr>
        <w:t xml:space="preserve"> UNESCO-UNEVOC International Centre for Technical and Vocational Education and Training.</w:t>
      </w:r>
    </w:p>
    <w:p w14:paraId="283E1158" w14:textId="77777777" w:rsidR="008E4645" w:rsidRPr="008E4645" w:rsidRDefault="008E4645" w:rsidP="008E4645">
      <w:pPr>
        <w:ind w:left="720" w:hanging="720"/>
        <w:jc w:val="both"/>
        <w:rPr>
          <w:rFonts w:cstheme="minorHAnsi"/>
        </w:rPr>
      </w:pPr>
      <w:r w:rsidRPr="008E4645">
        <w:rPr>
          <w:rFonts w:cstheme="minorHAnsi"/>
        </w:rPr>
        <w:t xml:space="preserve">Technical Education and Skills Development Authority. (2020). </w:t>
      </w:r>
      <w:r w:rsidRPr="008E4645">
        <w:rPr>
          <w:rFonts w:cstheme="minorHAnsi"/>
          <w:i/>
          <w:iCs/>
        </w:rPr>
        <w:t>Impact evaluation of TESDA scholarship programs.</w:t>
      </w:r>
      <w:r w:rsidRPr="008E4645">
        <w:rPr>
          <w:rFonts w:cstheme="minorHAnsi"/>
        </w:rPr>
        <w:t xml:space="preserve"> TESDA Research and Evaluation Division. </w:t>
      </w:r>
      <w:hyperlink r:id="rId20" w:tgtFrame="_new" w:history="1">
        <w:r w:rsidRPr="00247BC9">
          <w:rPr>
            <w:rStyle w:val="Hyperlink"/>
            <w:rFonts w:cstheme="minorHAnsi"/>
            <w:color w:val="000000" w:themeColor="text1"/>
            <w:u w:val="none"/>
          </w:rPr>
          <w:t>https://tesda.gov.ph</w:t>
        </w:r>
      </w:hyperlink>
    </w:p>
    <w:p w14:paraId="702C3754" w14:textId="77777777" w:rsidR="008E4645" w:rsidRPr="008E4645" w:rsidRDefault="008E4645" w:rsidP="008E4645">
      <w:pPr>
        <w:ind w:left="720" w:hanging="720"/>
        <w:jc w:val="both"/>
        <w:rPr>
          <w:rFonts w:cstheme="minorHAnsi"/>
        </w:rPr>
      </w:pPr>
      <w:r w:rsidRPr="008E4645">
        <w:rPr>
          <w:rFonts w:cstheme="minorHAnsi"/>
        </w:rPr>
        <w:t xml:space="preserve">Technical Education and Skills Development Authority. (2020). </w:t>
      </w:r>
      <w:r w:rsidRPr="008E4645">
        <w:rPr>
          <w:rFonts w:cstheme="minorHAnsi"/>
          <w:i/>
          <w:iCs/>
        </w:rPr>
        <w:t>TESDA annual report.</w:t>
      </w:r>
      <w:r w:rsidRPr="008E4645">
        <w:rPr>
          <w:rFonts w:cstheme="minorHAnsi"/>
        </w:rPr>
        <w:t xml:space="preserve"> TESDA.</w:t>
      </w:r>
    </w:p>
    <w:p w14:paraId="6B5393F7" w14:textId="77777777" w:rsidR="008E4645" w:rsidRPr="008E4645" w:rsidRDefault="008E4645" w:rsidP="008E4645">
      <w:pPr>
        <w:ind w:left="720" w:hanging="720"/>
        <w:jc w:val="both"/>
        <w:rPr>
          <w:rFonts w:cstheme="minorHAnsi"/>
        </w:rPr>
      </w:pPr>
      <w:r w:rsidRPr="008E4645">
        <w:rPr>
          <w:rFonts w:cstheme="minorHAnsi"/>
        </w:rPr>
        <w:t xml:space="preserve">Technical Education and Skills Development Authority. (2021). </w:t>
      </w:r>
      <w:r w:rsidRPr="008E4645">
        <w:rPr>
          <w:rFonts w:cstheme="minorHAnsi"/>
          <w:i/>
          <w:iCs/>
        </w:rPr>
        <w:t>2021 TESDA graduate tracer study.</w:t>
      </w:r>
      <w:r w:rsidRPr="008E4645">
        <w:rPr>
          <w:rFonts w:cstheme="minorHAnsi"/>
        </w:rPr>
        <w:t xml:space="preserve"> TESDA.</w:t>
      </w:r>
    </w:p>
    <w:p w14:paraId="00604DB7" w14:textId="77777777" w:rsidR="008E4645" w:rsidRPr="008E4645" w:rsidRDefault="008E4645" w:rsidP="008E4645">
      <w:pPr>
        <w:ind w:left="720" w:hanging="720"/>
        <w:jc w:val="both"/>
        <w:rPr>
          <w:rFonts w:cstheme="minorHAnsi"/>
        </w:rPr>
      </w:pPr>
      <w:r w:rsidRPr="008E4645">
        <w:rPr>
          <w:rFonts w:cstheme="minorHAnsi"/>
        </w:rPr>
        <w:t xml:space="preserve">Technical Education and Skills Development Authority. (2022). </w:t>
      </w:r>
      <w:r w:rsidRPr="008E4645">
        <w:rPr>
          <w:rFonts w:cstheme="minorHAnsi"/>
          <w:i/>
          <w:iCs/>
        </w:rPr>
        <w:t>Annual report.</w:t>
      </w:r>
      <w:r w:rsidRPr="008E4645">
        <w:rPr>
          <w:rFonts w:cstheme="minorHAnsi"/>
        </w:rPr>
        <w:t xml:space="preserve"> TESDA.</w:t>
      </w:r>
    </w:p>
    <w:p w14:paraId="09921703" w14:textId="77777777" w:rsidR="008E4645" w:rsidRPr="008E4645" w:rsidRDefault="008E4645" w:rsidP="008E4645">
      <w:pPr>
        <w:ind w:left="720" w:hanging="720"/>
        <w:jc w:val="both"/>
        <w:rPr>
          <w:rFonts w:cstheme="minorHAnsi"/>
        </w:rPr>
      </w:pPr>
      <w:r w:rsidRPr="008E4645">
        <w:rPr>
          <w:rFonts w:cstheme="minorHAnsi"/>
        </w:rPr>
        <w:t xml:space="preserve">Technical Education and Skills Development Authority. (2022). </w:t>
      </w:r>
      <w:r w:rsidRPr="008E4645">
        <w:rPr>
          <w:rFonts w:cstheme="minorHAnsi"/>
          <w:i/>
          <w:iCs/>
        </w:rPr>
        <w:t>TVET graduates tracer study: National report.</w:t>
      </w:r>
      <w:r w:rsidRPr="008E4645">
        <w:rPr>
          <w:rFonts w:cstheme="minorHAnsi"/>
        </w:rPr>
        <w:t xml:space="preserve"> TESDA.</w:t>
      </w:r>
      <w:r w:rsidRPr="00247BC9">
        <w:rPr>
          <w:rFonts w:cstheme="minorHAnsi"/>
          <w:color w:val="000000" w:themeColor="text1"/>
        </w:rPr>
        <w:t xml:space="preserve"> </w:t>
      </w:r>
      <w:hyperlink r:id="rId21" w:tgtFrame="_new" w:history="1">
        <w:r w:rsidRPr="00247BC9">
          <w:rPr>
            <w:rStyle w:val="Hyperlink"/>
            <w:rFonts w:cstheme="minorHAnsi"/>
            <w:color w:val="000000" w:themeColor="text1"/>
            <w:u w:val="none"/>
          </w:rPr>
          <w:t>https://tesda.gov.ph</w:t>
        </w:r>
      </w:hyperlink>
    </w:p>
    <w:p w14:paraId="4489840A" w14:textId="77777777" w:rsidR="008E4645" w:rsidRPr="008E4645" w:rsidRDefault="008E4645" w:rsidP="008E4645">
      <w:pPr>
        <w:ind w:left="720" w:hanging="720"/>
        <w:jc w:val="both"/>
        <w:rPr>
          <w:rFonts w:cstheme="minorHAnsi"/>
        </w:rPr>
      </w:pPr>
      <w:proofErr w:type="spellStart"/>
      <w:r w:rsidRPr="008E4645">
        <w:rPr>
          <w:rFonts w:cstheme="minorHAnsi"/>
        </w:rPr>
        <w:t>Tripney</w:t>
      </w:r>
      <w:proofErr w:type="spellEnd"/>
      <w:r w:rsidRPr="008E4645">
        <w:rPr>
          <w:rFonts w:cstheme="minorHAnsi"/>
        </w:rPr>
        <w:t xml:space="preserve">, J. S., &amp; </w:t>
      </w:r>
      <w:proofErr w:type="spellStart"/>
      <w:r w:rsidRPr="008E4645">
        <w:rPr>
          <w:rFonts w:cstheme="minorHAnsi"/>
        </w:rPr>
        <w:t>Hombrados</w:t>
      </w:r>
      <w:proofErr w:type="spellEnd"/>
      <w:r w:rsidRPr="008E4645">
        <w:rPr>
          <w:rFonts w:cstheme="minorHAnsi"/>
        </w:rPr>
        <w:t xml:space="preserve">, J. G. (2013). Technical and vocational education and training (TVET) for young people: A systematic review of the evidence on the effects of TVET on employment and employability. </w:t>
      </w:r>
      <w:r w:rsidRPr="008E4645">
        <w:rPr>
          <w:rFonts w:cstheme="minorHAnsi"/>
          <w:i/>
          <w:iCs/>
        </w:rPr>
        <w:t>Campbell Systematic Reviews, 9</w:t>
      </w:r>
      <w:r w:rsidRPr="008E4645">
        <w:rPr>
          <w:rFonts w:cstheme="minorHAnsi"/>
        </w:rPr>
        <w:t xml:space="preserve">(1), 1–87. </w:t>
      </w:r>
      <w:hyperlink r:id="rId22" w:tgtFrame="_new" w:history="1">
        <w:r w:rsidRPr="00247BC9">
          <w:rPr>
            <w:rStyle w:val="Hyperlink"/>
            <w:rFonts w:cstheme="minorHAnsi"/>
            <w:color w:val="000000" w:themeColor="text1"/>
            <w:u w:val="none"/>
          </w:rPr>
          <w:t>https://doi.org/10.4073/csr.2013.9</w:t>
        </w:r>
      </w:hyperlink>
    </w:p>
    <w:p w14:paraId="6A9B5374" w14:textId="77777777" w:rsidR="008E4645" w:rsidRPr="008E4645" w:rsidRDefault="008E4645" w:rsidP="008E4645">
      <w:pPr>
        <w:ind w:left="720" w:hanging="720"/>
        <w:jc w:val="both"/>
        <w:rPr>
          <w:rFonts w:cstheme="minorHAnsi"/>
        </w:rPr>
      </w:pPr>
      <w:proofErr w:type="spellStart"/>
      <w:r w:rsidRPr="008E4645">
        <w:rPr>
          <w:rFonts w:cstheme="minorHAnsi"/>
        </w:rPr>
        <w:t>Tripney</w:t>
      </w:r>
      <w:proofErr w:type="spellEnd"/>
      <w:r w:rsidRPr="008E4645">
        <w:rPr>
          <w:rFonts w:cstheme="minorHAnsi"/>
        </w:rPr>
        <w:t xml:space="preserve">, J., &amp; </w:t>
      </w:r>
      <w:proofErr w:type="spellStart"/>
      <w:r w:rsidRPr="008E4645">
        <w:rPr>
          <w:rFonts w:cstheme="minorHAnsi"/>
        </w:rPr>
        <w:t>Hombrados</w:t>
      </w:r>
      <w:proofErr w:type="spellEnd"/>
      <w:r w:rsidRPr="008E4645">
        <w:rPr>
          <w:rFonts w:cstheme="minorHAnsi"/>
        </w:rPr>
        <w:t xml:space="preserve">, J. G. (2013). Technical and vocational education and training (TVET) for young people in low- and middle-income countries: A systematic review and meta-analysis. </w:t>
      </w:r>
      <w:r w:rsidRPr="008E4645">
        <w:rPr>
          <w:rFonts w:cstheme="minorHAnsi"/>
          <w:i/>
          <w:iCs/>
        </w:rPr>
        <w:t>Empirical Research in Vocational Education and Training, 5</w:t>
      </w:r>
      <w:r w:rsidRPr="008E4645">
        <w:rPr>
          <w:rFonts w:cstheme="minorHAnsi"/>
        </w:rPr>
        <w:t>(3), 1–29. https://doi.org/10.1186/1877-6345-5-3</w:t>
      </w:r>
    </w:p>
    <w:p w14:paraId="63DD8645" w14:textId="77777777" w:rsidR="008E4645" w:rsidRPr="008E4645" w:rsidRDefault="008E4645" w:rsidP="008E4645">
      <w:pPr>
        <w:ind w:left="720" w:hanging="720"/>
        <w:jc w:val="both"/>
        <w:rPr>
          <w:rFonts w:cstheme="minorHAnsi"/>
        </w:rPr>
      </w:pPr>
      <w:r w:rsidRPr="008E4645">
        <w:rPr>
          <w:rFonts w:cstheme="minorHAnsi"/>
        </w:rPr>
        <w:t xml:space="preserve">Vandenberg, P., &amp; Laranjo, J. (2020). </w:t>
      </w:r>
      <w:r w:rsidRPr="008E4645">
        <w:rPr>
          <w:rFonts w:cstheme="minorHAnsi"/>
          <w:i/>
          <w:iCs/>
        </w:rPr>
        <w:t>The impact of vocational training on labor market outcomes in the Philippines.</w:t>
      </w:r>
      <w:r w:rsidRPr="008E4645">
        <w:rPr>
          <w:rFonts w:cstheme="minorHAnsi"/>
        </w:rPr>
        <w:t xml:space="preserve"> Asian Development Bank. https://www.adb.org/publications/impact-vocational-training-labor-market-outcomes-philippines</w:t>
      </w:r>
    </w:p>
    <w:p w14:paraId="0808497F" w14:textId="6E323843" w:rsidR="004D4277" w:rsidRPr="00F065F5" w:rsidRDefault="008E4645" w:rsidP="00F065F5">
      <w:pPr>
        <w:ind w:left="720" w:hanging="720"/>
        <w:jc w:val="both"/>
        <w:rPr>
          <w:rFonts w:cstheme="minorHAnsi"/>
        </w:rPr>
        <w:sectPr w:rsidR="004D4277" w:rsidRPr="00F065F5" w:rsidSect="00C46353">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r w:rsidRPr="008E4645">
        <w:rPr>
          <w:rFonts w:cstheme="minorHAnsi"/>
        </w:rPr>
        <w:t xml:space="preserve">Villanueva, J. (2023, September 13). Despite high employment rate, TESDA grads earn below minimum wage. </w:t>
      </w:r>
      <w:r w:rsidRPr="008E4645">
        <w:rPr>
          <w:rFonts w:cstheme="minorHAnsi"/>
          <w:i/>
          <w:iCs/>
        </w:rPr>
        <w:t>Senate Press Release.</w:t>
      </w:r>
      <w:r w:rsidRPr="008E4645">
        <w:rPr>
          <w:rFonts w:cstheme="minorHAnsi"/>
        </w:rPr>
        <w:t xml:space="preserve"> Senate of the Philippines.</w:t>
      </w:r>
    </w:p>
    <w:bookmarkEnd w:id="0"/>
    <w:p w14:paraId="40F83E84" w14:textId="77777777" w:rsidR="00B01FCD" w:rsidRPr="00FB3A86" w:rsidRDefault="00B01FCD" w:rsidP="00F065F5">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6438" w14:textId="77777777" w:rsidR="00DA0C1B" w:rsidRDefault="00DA0C1B" w:rsidP="00C37E61">
      <w:r>
        <w:separator/>
      </w:r>
    </w:p>
  </w:endnote>
  <w:endnote w:type="continuationSeparator" w:id="0">
    <w:p w14:paraId="281DB1DF" w14:textId="77777777" w:rsidR="00DA0C1B" w:rsidRDefault="00DA0C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5358" w14:textId="77777777" w:rsidR="00BB15E4" w:rsidRDefault="00BB1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F39C" w14:textId="5B622268" w:rsidR="00C37E61" w:rsidRPr="00486952" w:rsidRDefault="00C37E61" w:rsidP="00486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FAF2" w14:textId="37894D9E" w:rsidR="00754C9A" w:rsidRPr="00BB15E4" w:rsidRDefault="00754C9A" w:rsidP="00BB15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157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57A8" w14:textId="77777777" w:rsidR="00DA0C1B" w:rsidRDefault="00DA0C1B" w:rsidP="00C37E61">
      <w:r>
        <w:separator/>
      </w:r>
    </w:p>
  </w:footnote>
  <w:footnote w:type="continuationSeparator" w:id="0">
    <w:p w14:paraId="1D860977" w14:textId="77777777" w:rsidR="00DA0C1B" w:rsidRDefault="00DA0C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A559" w14:textId="6856F168" w:rsidR="00BB15E4" w:rsidRDefault="00000000">
    <w:pPr>
      <w:pStyle w:val="Header"/>
    </w:pPr>
    <w:r>
      <w:rPr>
        <w:noProof/>
      </w:rPr>
      <w:pict w14:anchorId="3B092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2FB5" w14:textId="0CFEC1EC" w:rsidR="00BB15E4" w:rsidRDefault="00000000">
    <w:pPr>
      <w:pStyle w:val="Header"/>
    </w:pPr>
    <w:r>
      <w:rPr>
        <w:noProof/>
      </w:rPr>
      <w:pict w14:anchorId="5FEFC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0FE3" w14:textId="296F4C4D" w:rsidR="00296529" w:rsidRPr="00296529" w:rsidRDefault="00000000" w:rsidP="00296529">
    <w:pPr>
      <w:ind w:left="2160"/>
      <w:jc w:val="center"/>
      <w:rPr>
        <w:rFonts w:ascii="Times New Roman" w:eastAsia="Calibri" w:hAnsi="Times New Roman"/>
        <w:i/>
        <w:sz w:val="18"/>
        <w:szCs w:val="22"/>
      </w:rPr>
    </w:pPr>
    <w:r>
      <w:rPr>
        <w:noProof/>
      </w:rPr>
      <w:pict w14:anchorId="3A640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06718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3DF7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4BB5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90E3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69223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53BB5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3FAE" w14:textId="6E58CF9D" w:rsidR="00BB15E4" w:rsidRDefault="00000000">
    <w:pPr>
      <w:pStyle w:val="Header"/>
    </w:pPr>
    <w:r>
      <w:rPr>
        <w:noProof/>
      </w:rPr>
      <w:pict w14:anchorId="784AF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8F27" w14:textId="28D1A7A3" w:rsidR="00BB15E4" w:rsidRDefault="00000000">
    <w:pPr>
      <w:pStyle w:val="Header"/>
    </w:pPr>
    <w:r>
      <w:rPr>
        <w:noProof/>
      </w:rPr>
      <w:pict w14:anchorId="7156C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9F87" w14:textId="6D6E10FB" w:rsidR="00BB15E4" w:rsidRDefault="00000000">
    <w:pPr>
      <w:pStyle w:val="Header"/>
    </w:pPr>
    <w:r>
      <w:rPr>
        <w:noProof/>
      </w:rPr>
      <w:pict w14:anchorId="4C54D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604525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7694040">
    <w:abstractNumId w:val="15"/>
  </w:num>
  <w:num w:numId="3" w16cid:durableId="125271872">
    <w:abstractNumId w:val="23"/>
  </w:num>
  <w:num w:numId="4" w16cid:durableId="21465062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44507138">
    <w:abstractNumId w:val="7"/>
  </w:num>
  <w:num w:numId="6" w16cid:durableId="410857557">
    <w:abstractNumId w:val="6"/>
  </w:num>
  <w:num w:numId="7" w16cid:durableId="1524826871">
    <w:abstractNumId w:val="1"/>
  </w:num>
  <w:num w:numId="8" w16cid:durableId="1382168082">
    <w:abstractNumId w:val="12"/>
  </w:num>
  <w:num w:numId="9" w16cid:durableId="1516650597">
    <w:abstractNumId w:val="25"/>
  </w:num>
  <w:num w:numId="10" w16cid:durableId="126752265">
    <w:abstractNumId w:val="2"/>
  </w:num>
  <w:num w:numId="11" w16cid:durableId="1507211076">
    <w:abstractNumId w:val="18"/>
  </w:num>
  <w:num w:numId="12" w16cid:durableId="941688164">
    <w:abstractNumId w:val="3"/>
  </w:num>
  <w:num w:numId="13" w16cid:durableId="1857769995">
    <w:abstractNumId w:val="17"/>
  </w:num>
  <w:num w:numId="14" w16cid:durableId="1426997650">
    <w:abstractNumId w:val="8"/>
  </w:num>
  <w:num w:numId="15" w16cid:durableId="2057384763">
    <w:abstractNumId w:val="21"/>
  </w:num>
  <w:num w:numId="16" w16cid:durableId="146671989">
    <w:abstractNumId w:val="5"/>
  </w:num>
  <w:num w:numId="17" w16cid:durableId="533421126">
    <w:abstractNumId w:val="22"/>
  </w:num>
  <w:num w:numId="18" w16cid:durableId="295919430">
    <w:abstractNumId w:val="14"/>
  </w:num>
  <w:num w:numId="19" w16cid:durableId="919947434">
    <w:abstractNumId w:val="28"/>
  </w:num>
  <w:num w:numId="20" w16cid:durableId="1625698834">
    <w:abstractNumId w:val="11"/>
  </w:num>
  <w:num w:numId="21" w16cid:durableId="390813635">
    <w:abstractNumId w:val="9"/>
  </w:num>
  <w:num w:numId="22" w16cid:durableId="968435337">
    <w:abstractNumId w:val="13"/>
  </w:num>
  <w:num w:numId="23" w16cid:durableId="1071344888">
    <w:abstractNumId w:val="19"/>
  </w:num>
  <w:num w:numId="24" w16cid:durableId="1832870320">
    <w:abstractNumId w:val="26"/>
  </w:num>
  <w:num w:numId="25" w16cid:durableId="875699062">
    <w:abstractNumId w:val="4"/>
  </w:num>
  <w:num w:numId="26" w16cid:durableId="1993867359">
    <w:abstractNumId w:val="16"/>
  </w:num>
  <w:num w:numId="27" w16cid:durableId="110394412">
    <w:abstractNumId w:val="20"/>
  </w:num>
  <w:num w:numId="28" w16cid:durableId="162667259">
    <w:abstractNumId w:val="27"/>
  </w:num>
  <w:num w:numId="29" w16cid:durableId="1732533029">
    <w:abstractNumId w:val="24"/>
  </w:num>
  <w:num w:numId="30" w16cid:durableId="87389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344"/>
    <w:rsid w:val="000A65D3"/>
    <w:rsid w:val="000B1E33"/>
    <w:rsid w:val="000D689F"/>
    <w:rsid w:val="000E5D7C"/>
    <w:rsid w:val="000E7B7B"/>
    <w:rsid w:val="000E7D62"/>
    <w:rsid w:val="00103357"/>
    <w:rsid w:val="00123C9F"/>
    <w:rsid w:val="00126190"/>
    <w:rsid w:val="00130F17"/>
    <w:rsid w:val="001320BF"/>
    <w:rsid w:val="00163BC4"/>
    <w:rsid w:val="001850FE"/>
    <w:rsid w:val="00185175"/>
    <w:rsid w:val="00191062"/>
    <w:rsid w:val="00192B72"/>
    <w:rsid w:val="001A0861"/>
    <w:rsid w:val="001A29D8"/>
    <w:rsid w:val="001A5843"/>
    <w:rsid w:val="001A5CAA"/>
    <w:rsid w:val="001B0427"/>
    <w:rsid w:val="001C20A6"/>
    <w:rsid w:val="001D3A51"/>
    <w:rsid w:val="001E10D2"/>
    <w:rsid w:val="001E25B4"/>
    <w:rsid w:val="001E44FE"/>
    <w:rsid w:val="001E6320"/>
    <w:rsid w:val="00200595"/>
    <w:rsid w:val="00204835"/>
    <w:rsid w:val="00231920"/>
    <w:rsid w:val="0023195C"/>
    <w:rsid w:val="002373FB"/>
    <w:rsid w:val="0024282C"/>
    <w:rsid w:val="002460DC"/>
    <w:rsid w:val="00247BC9"/>
    <w:rsid w:val="00250985"/>
    <w:rsid w:val="002556F6"/>
    <w:rsid w:val="00273E19"/>
    <w:rsid w:val="00283105"/>
    <w:rsid w:val="00284C4C"/>
    <w:rsid w:val="00287E68"/>
    <w:rsid w:val="00296529"/>
    <w:rsid w:val="002A5BBD"/>
    <w:rsid w:val="002B27FB"/>
    <w:rsid w:val="002B685A"/>
    <w:rsid w:val="002C57D2"/>
    <w:rsid w:val="002C5F03"/>
    <w:rsid w:val="002E0D56"/>
    <w:rsid w:val="002E68CD"/>
    <w:rsid w:val="002F7E61"/>
    <w:rsid w:val="00300DD3"/>
    <w:rsid w:val="003059E1"/>
    <w:rsid w:val="00305CE1"/>
    <w:rsid w:val="00315186"/>
    <w:rsid w:val="0033343E"/>
    <w:rsid w:val="003436C4"/>
    <w:rsid w:val="003512C2"/>
    <w:rsid w:val="003559B7"/>
    <w:rsid w:val="00371FB6"/>
    <w:rsid w:val="003763C1"/>
    <w:rsid w:val="00376BBE"/>
    <w:rsid w:val="00383A83"/>
    <w:rsid w:val="0039224F"/>
    <w:rsid w:val="003A43A4"/>
    <w:rsid w:val="003A7E18"/>
    <w:rsid w:val="003C4C86"/>
    <w:rsid w:val="003C6258"/>
    <w:rsid w:val="003E2904"/>
    <w:rsid w:val="003E4AF1"/>
    <w:rsid w:val="00401927"/>
    <w:rsid w:val="0041027F"/>
    <w:rsid w:val="00412475"/>
    <w:rsid w:val="00423789"/>
    <w:rsid w:val="00437059"/>
    <w:rsid w:val="00440F43"/>
    <w:rsid w:val="00441B6F"/>
    <w:rsid w:val="00446221"/>
    <w:rsid w:val="00450E62"/>
    <w:rsid w:val="00453358"/>
    <w:rsid w:val="004539DB"/>
    <w:rsid w:val="00471A80"/>
    <w:rsid w:val="00486952"/>
    <w:rsid w:val="004B3308"/>
    <w:rsid w:val="004D305E"/>
    <w:rsid w:val="004D4277"/>
    <w:rsid w:val="00502516"/>
    <w:rsid w:val="00505F06"/>
    <w:rsid w:val="00506828"/>
    <w:rsid w:val="0053056E"/>
    <w:rsid w:val="00532E88"/>
    <w:rsid w:val="00544F28"/>
    <w:rsid w:val="00554FDA"/>
    <w:rsid w:val="005823EF"/>
    <w:rsid w:val="005C6234"/>
    <w:rsid w:val="005C784C"/>
    <w:rsid w:val="005D17F6"/>
    <w:rsid w:val="005E5539"/>
    <w:rsid w:val="00602BF5"/>
    <w:rsid w:val="00617FDD"/>
    <w:rsid w:val="00633614"/>
    <w:rsid w:val="00633F68"/>
    <w:rsid w:val="0063665A"/>
    <w:rsid w:val="00636EB2"/>
    <w:rsid w:val="006375B8"/>
    <w:rsid w:val="0064158D"/>
    <w:rsid w:val="0064521F"/>
    <w:rsid w:val="0066510A"/>
    <w:rsid w:val="00673F9F"/>
    <w:rsid w:val="00686953"/>
    <w:rsid w:val="00687DEA"/>
    <w:rsid w:val="00687E67"/>
    <w:rsid w:val="006967F7"/>
    <w:rsid w:val="006A250C"/>
    <w:rsid w:val="006B21D3"/>
    <w:rsid w:val="006B57D0"/>
    <w:rsid w:val="006C54DD"/>
    <w:rsid w:val="006D30FF"/>
    <w:rsid w:val="006D6940"/>
    <w:rsid w:val="006E7AF6"/>
    <w:rsid w:val="006F03BC"/>
    <w:rsid w:val="006F11EC"/>
    <w:rsid w:val="0070082C"/>
    <w:rsid w:val="00710318"/>
    <w:rsid w:val="007369E6"/>
    <w:rsid w:val="00746E59"/>
    <w:rsid w:val="00754C9A"/>
    <w:rsid w:val="0075599A"/>
    <w:rsid w:val="00761D52"/>
    <w:rsid w:val="007706E1"/>
    <w:rsid w:val="0077749E"/>
    <w:rsid w:val="00790ADA"/>
    <w:rsid w:val="007D2288"/>
    <w:rsid w:val="007E088F"/>
    <w:rsid w:val="007F7B32"/>
    <w:rsid w:val="00804BC2"/>
    <w:rsid w:val="0081431A"/>
    <w:rsid w:val="0083216F"/>
    <w:rsid w:val="00840385"/>
    <w:rsid w:val="00860000"/>
    <w:rsid w:val="00863BD3"/>
    <w:rsid w:val="008641ED"/>
    <w:rsid w:val="00866D66"/>
    <w:rsid w:val="008671C6"/>
    <w:rsid w:val="0087017D"/>
    <w:rsid w:val="00875803"/>
    <w:rsid w:val="008A7394"/>
    <w:rsid w:val="008B459E"/>
    <w:rsid w:val="008E13AE"/>
    <w:rsid w:val="008E1506"/>
    <w:rsid w:val="008E4645"/>
    <w:rsid w:val="008E710C"/>
    <w:rsid w:val="008F69D6"/>
    <w:rsid w:val="009017D0"/>
    <w:rsid w:val="00902823"/>
    <w:rsid w:val="00915CA6"/>
    <w:rsid w:val="00927834"/>
    <w:rsid w:val="009500A6"/>
    <w:rsid w:val="00957C18"/>
    <w:rsid w:val="00963AD1"/>
    <w:rsid w:val="009659BA"/>
    <w:rsid w:val="00983040"/>
    <w:rsid w:val="0098661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A3C"/>
    <w:rsid w:val="00A94063"/>
    <w:rsid w:val="00AA6219"/>
    <w:rsid w:val="00AA74E0"/>
    <w:rsid w:val="00AB703F"/>
    <w:rsid w:val="00AC6BB8"/>
    <w:rsid w:val="00AE008F"/>
    <w:rsid w:val="00B01FCD"/>
    <w:rsid w:val="00B1776C"/>
    <w:rsid w:val="00B34BC1"/>
    <w:rsid w:val="00B465AB"/>
    <w:rsid w:val="00B52583"/>
    <w:rsid w:val="00B52896"/>
    <w:rsid w:val="00B95236"/>
    <w:rsid w:val="00B96BD9"/>
    <w:rsid w:val="00BA1B01"/>
    <w:rsid w:val="00BA2641"/>
    <w:rsid w:val="00BB15E4"/>
    <w:rsid w:val="00BB37AA"/>
    <w:rsid w:val="00BC53A0"/>
    <w:rsid w:val="00BE62AD"/>
    <w:rsid w:val="00BF121F"/>
    <w:rsid w:val="00BF1F80"/>
    <w:rsid w:val="00C166EF"/>
    <w:rsid w:val="00C17EB0"/>
    <w:rsid w:val="00C2138D"/>
    <w:rsid w:val="00C27F5F"/>
    <w:rsid w:val="00C30A0F"/>
    <w:rsid w:val="00C37E61"/>
    <w:rsid w:val="00C46353"/>
    <w:rsid w:val="00C70F1B"/>
    <w:rsid w:val="00C71A47"/>
    <w:rsid w:val="00C73B61"/>
    <w:rsid w:val="00C7464C"/>
    <w:rsid w:val="00C85588"/>
    <w:rsid w:val="00CA3C1B"/>
    <w:rsid w:val="00CB3FB9"/>
    <w:rsid w:val="00CD6755"/>
    <w:rsid w:val="00CD6856"/>
    <w:rsid w:val="00CE0089"/>
    <w:rsid w:val="00CE793C"/>
    <w:rsid w:val="00CF193C"/>
    <w:rsid w:val="00CF20D3"/>
    <w:rsid w:val="00D173F1"/>
    <w:rsid w:val="00D30640"/>
    <w:rsid w:val="00D54137"/>
    <w:rsid w:val="00D62A3A"/>
    <w:rsid w:val="00D74CB0"/>
    <w:rsid w:val="00D8295D"/>
    <w:rsid w:val="00D86864"/>
    <w:rsid w:val="00DA0C1B"/>
    <w:rsid w:val="00DC2A65"/>
    <w:rsid w:val="00DC6EFA"/>
    <w:rsid w:val="00DE15F0"/>
    <w:rsid w:val="00DE5663"/>
    <w:rsid w:val="00DE78AA"/>
    <w:rsid w:val="00E053D0"/>
    <w:rsid w:val="00E15994"/>
    <w:rsid w:val="00E23CB4"/>
    <w:rsid w:val="00E3114E"/>
    <w:rsid w:val="00E31A70"/>
    <w:rsid w:val="00E35B02"/>
    <w:rsid w:val="00E45FBE"/>
    <w:rsid w:val="00E66496"/>
    <w:rsid w:val="00E66B35"/>
    <w:rsid w:val="00E66E10"/>
    <w:rsid w:val="00E769F6"/>
    <w:rsid w:val="00E8407C"/>
    <w:rsid w:val="00E84F3C"/>
    <w:rsid w:val="00EA012C"/>
    <w:rsid w:val="00EB01AC"/>
    <w:rsid w:val="00EC1EDA"/>
    <w:rsid w:val="00EC6A55"/>
    <w:rsid w:val="00ED0288"/>
    <w:rsid w:val="00EE52CB"/>
    <w:rsid w:val="00EF581D"/>
    <w:rsid w:val="00EF7FD8"/>
    <w:rsid w:val="00F065F5"/>
    <w:rsid w:val="00F06F59"/>
    <w:rsid w:val="00F17988"/>
    <w:rsid w:val="00F469F0"/>
    <w:rsid w:val="00F53273"/>
    <w:rsid w:val="00F57F41"/>
    <w:rsid w:val="00F755E4"/>
    <w:rsid w:val="00F77D02"/>
    <w:rsid w:val="00F77E2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B353E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4521F"/>
    <w:pPr>
      <w:spacing w:after="160" w:line="278" w:lineRule="auto"/>
      <w:ind w:left="720"/>
      <w:contextualSpacing/>
    </w:pPr>
    <w:rPr>
      <w:rFonts w:asciiTheme="minorHAnsi" w:eastAsiaTheme="minorHAnsi" w:hAnsiTheme="minorHAnsi" w:cstheme="minorBidi"/>
      <w:kern w:val="2"/>
      <w:sz w:val="24"/>
      <w:szCs w:val="24"/>
    </w:rPr>
  </w:style>
  <w:style w:type="character" w:styleId="Strong">
    <w:name w:val="Strong"/>
    <w:basedOn w:val="DefaultParagraphFont"/>
    <w:qFormat/>
    <w:rsid w:val="00C46353"/>
    <w:rPr>
      <w:b/>
      <w:bCs/>
    </w:rPr>
  </w:style>
  <w:style w:type="character" w:styleId="UnresolvedMention">
    <w:name w:val="Unresolved Mention"/>
    <w:basedOn w:val="DefaultParagraphFont"/>
    <w:uiPriority w:val="99"/>
    <w:semiHidden/>
    <w:unhideWhenUsed/>
    <w:rsid w:val="00C7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62986/dp2025.09"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tesda.gov.p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ids.gov.ph/publication/discussion-papers/examining-the-effects-of-technical-vocational-education-and-training-tvet-on-employment-outcomes-in-the-philippine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ids.gov.ph/details/gatchalian-proposes-p10m-in-tesda-budget-to-help-address-jobs-skills-mismatch" TargetMode="External"/><Relationship Id="rId20" Type="http://schemas.openxmlformats.org/officeDocument/2006/relationships/hyperlink" Target="https://tesda.gov.p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pids.gov.ph"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14480220.2019.16297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ijedudev.2021.102501" TargetMode="External"/><Relationship Id="rId22" Type="http://schemas.openxmlformats.org/officeDocument/2006/relationships/hyperlink" Target="https://doi.org/10.4073/csr.2013.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410E-6C7C-4E3D-8341-97D052BF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240</TotalTime>
  <Pages>8</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Mylene Diza</cp:lastModifiedBy>
  <cp:revision>51</cp:revision>
  <cp:lastPrinted>1999-07-06T11:00:00Z</cp:lastPrinted>
  <dcterms:created xsi:type="dcterms:W3CDTF">2014-10-25T14:34:00Z</dcterms:created>
  <dcterms:modified xsi:type="dcterms:W3CDTF">2025-09-25T01:55:00Z</dcterms:modified>
</cp:coreProperties>
</file>