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A3EE1" w14:textId="26905D4C" w:rsidR="00BA521A" w:rsidRDefault="00BD675F">
      <w:pPr>
        <w:pStyle w:val="Author"/>
        <w:spacing w:line="240" w:lineRule="auto"/>
        <w:rPr>
          <w:rFonts w:ascii="Arial" w:hAnsi="Arial" w:cs="Arial"/>
          <w:sz w:val="36"/>
        </w:rPr>
      </w:pPr>
      <w:bookmarkStart w:id="0" w:name="_Hlk208389747"/>
      <w:r>
        <w:rPr>
          <w:rFonts w:ascii="Arial" w:hAnsi="Arial" w:cs="Arial"/>
          <w:bCs/>
          <w:iCs/>
          <w:kern w:val="28"/>
          <w:sz w:val="36"/>
        </w:rPr>
        <w:t>Impact of Stand Density on Biomass production and Carbon Stocks in Sandalwood (</w:t>
      </w:r>
      <w:r>
        <w:rPr>
          <w:rFonts w:ascii="Arial" w:hAnsi="Arial" w:cs="Arial"/>
          <w:bCs/>
          <w:i/>
          <w:kern w:val="28"/>
          <w:sz w:val="36"/>
        </w:rPr>
        <w:t>Santalum album</w:t>
      </w:r>
      <w:r>
        <w:rPr>
          <w:rFonts w:ascii="Arial" w:hAnsi="Arial" w:cs="Arial"/>
          <w:bCs/>
          <w:iCs/>
          <w:kern w:val="28"/>
          <w:sz w:val="36"/>
        </w:rPr>
        <w:t xml:space="preserve"> L.) plantations in Maharashtra</w:t>
      </w:r>
      <w:r w:rsidR="003F162C">
        <w:rPr>
          <w:rFonts w:ascii="Arial" w:hAnsi="Arial" w:cs="Arial"/>
          <w:bCs/>
          <w:iCs/>
          <w:kern w:val="28"/>
          <w:sz w:val="36"/>
        </w:rPr>
        <w:t>, India</w:t>
      </w:r>
    </w:p>
    <w:bookmarkEnd w:id="0"/>
    <w:p w14:paraId="1218A6C1" w14:textId="77777777" w:rsidR="00BA521A" w:rsidRDefault="00BA521A">
      <w:pPr>
        <w:pStyle w:val="Affiliation"/>
        <w:spacing w:after="0" w:line="240" w:lineRule="auto"/>
        <w:rPr>
          <w:rFonts w:ascii="Arial" w:hAnsi="Arial" w:cs="Arial"/>
        </w:rPr>
      </w:pPr>
    </w:p>
    <w:p w14:paraId="0CB9ABDD" w14:textId="77777777" w:rsidR="00BA521A" w:rsidRDefault="00BA521A">
      <w:pPr>
        <w:pStyle w:val="Affiliation"/>
        <w:spacing w:after="0" w:line="240" w:lineRule="auto"/>
        <w:rPr>
          <w:rFonts w:ascii="Arial" w:hAnsi="Arial" w:cs="Arial"/>
        </w:rPr>
      </w:pPr>
    </w:p>
    <w:p w14:paraId="7A0DE494" w14:textId="77777777" w:rsidR="00BA521A" w:rsidRDefault="00BA521A">
      <w:pPr>
        <w:pStyle w:val="Affiliation"/>
        <w:spacing w:after="0" w:line="240" w:lineRule="auto"/>
        <w:jc w:val="both"/>
        <w:rPr>
          <w:rFonts w:ascii="Arial" w:hAnsi="Arial" w:cs="Arial"/>
        </w:rPr>
      </w:pPr>
    </w:p>
    <w:p w14:paraId="7E438519" w14:textId="77777777" w:rsidR="00BA521A" w:rsidRDefault="00BD675F">
      <w:pPr>
        <w:pStyle w:val="Copyright"/>
        <w:spacing w:after="0" w:line="240" w:lineRule="auto"/>
        <w:jc w:val="both"/>
        <w:rPr>
          <w:rFonts w:ascii="Arial" w:hAnsi="Arial" w:cs="Arial"/>
        </w:rPr>
        <w:sectPr w:rsidR="00BA521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0541B44" wp14:editId="45A6CE74">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53CD77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0D804F1" w14:textId="77777777" w:rsidR="00BA521A" w:rsidRDefault="00BD675F">
      <w:pPr>
        <w:pStyle w:val="AbstHead"/>
        <w:spacing w:after="0"/>
        <w:jc w:val="both"/>
        <w:rPr>
          <w:rFonts w:ascii="Arial" w:hAnsi="Arial" w:cs="Arial"/>
        </w:rPr>
      </w:pPr>
      <w:r>
        <w:rPr>
          <w:rFonts w:ascii="Arial" w:hAnsi="Arial" w:cs="Arial"/>
        </w:rPr>
        <w:t xml:space="preserve">ABSTRACT </w:t>
      </w:r>
    </w:p>
    <w:p w14:paraId="5A427881" w14:textId="77777777" w:rsidR="00BA521A" w:rsidRDefault="00BA521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A521A" w14:paraId="0FD5B97D" w14:textId="77777777">
        <w:tc>
          <w:tcPr>
            <w:tcW w:w="9576" w:type="dxa"/>
            <w:shd w:val="clear" w:color="auto" w:fill="F2F2F2"/>
          </w:tcPr>
          <w:p w14:paraId="1D242CC1" w14:textId="5C97576D" w:rsidR="00BA521A" w:rsidRDefault="00BD675F">
            <w:pPr>
              <w:pStyle w:val="Body"/>
              <w:spacing w:after="0"/>
              <w:rPr>
                <w:rFonts w:ascii="Arial" w:eastAsia="Calibri" w:hAnsi="Arial" w:cs="Arial"/>
                <w:szCs w:val="22"/>
              </w:rPr>
            </w:pPr>
            <w:r>
              <w:rPr>
                <w:rFonts w:ascii="Arial" w:eastAsia="Calibri" w:hAnsi="Arial" w:cs="Arial"/>
                <w:szCs w:val="22"/>
              </w:rPr>
              <w:t>This study on Sandalwood focuses on relationship between biomass and the individual tree-level factors that influences its growth. Understanding carbon stocks associated with tree growth is complex, as it is affected by various factors, including planting geometry, soil conditions, local climate, tree management practices, and genetic traits. In 202</w:t>
            </w:r>
            <w:r w:rsidR="00B55365">
              <w:rPr>
                <w:rFonts w:ascii="Arial" w:eastAsia="Calibri" w:hAnsi="Arial" w:cs="Arial"/>
                <w:szCs w:val="22"/>
              </w:rPr>
              <w:t>3</w:t>
            </w:r>
            <w:r>
              <w:rPr>
                <w:rFonts w:ascii="Arial" w:eastAsia="Calibri" w:hAnsi="Arial" w:cs="Arial"/>
                <w:szCs w:val="22"/>
              </w:rPr>
              <w:t>, a survey in Maharashtra identified 3</w:t>
            </w:r>
            <w:r w:rsidR="00B21160">
              <w:rPr>
                <w:rFonts w:ascii="Arial" w:eastAsia="Calibri" w:hAnsi="Arial" w:cs="Arial"/>
                <w:szCs w:val="22"/>
              </w:rPr>
              <w:t>0</w:t>
            </w:r>
            <w:r>
              <w:rPr>
                <w:rFonts w:ascii="Arial" w:eastAsia="Calibri" w:hAnsi="Arial" w:cs="Arial"/>
                <w:szCs w:val="22"/>
              </w:rPr>
              <w:t xml:space="preserve"> Sandalwood plantations through a snowball sampling method. To assess biomass production, these plantations were classified into five different stand density types. A Randomized Block Design (RBD) was implemented which consisted of five treatments based on spacing, each treatment replicated three times in twelve plots. The treatments were denoted as, T1 (3m × 3m), T2 (3.5m × 3.5m), T3 (4.5m × 4.5m), T4 (5.5m × 5.5m) &amp; T5 (6m × 6m). The study found that the highest total biomass of 8.342 Mg ha</w:t>
            </w:r>
            <w:r>
              <w:rPr>
                <w:rFonts w:ascii="Cambria Math" w:eastAsia="Calibri" w:hAnsi="Cambria Math" w:cs="Cambria Math"/>
                <w:szCs w:val="22"/>
              </w:rPr>
              <w:t>⁻</w:t>
            </w:r>
            <w:r>
              <w:rPr>
                <w:rFonts w:ascii="Arial" w:eastAsia="Calibri" w:hAnsi="Arial" w:cs="Arial"/>
                <w:szCs w:val="22"/>
              </w:rPr>
              <w:t>¹ occurred at a density of 493 trees ha</w:t>
            </w:r>
            <w:r w:rsidR="000A736F">
              <w:rPr>
                <w:rFonts w:ascii="Arial" w:hAnsi="Arial" w:cs="Arial"/>
                <w:color w:val="000000" w:themeColor="text1"/>
                <w:vertAlign w:val="superscript"/>
              </w:rPr>
              <w:t>-1</w:t>
            </w:r>
            <w:r>
              <w:rPr>
                <w:rFonts w:ascii="Arial" w:eastAsia="Calibri" w:hAnsi="Arial" w:cs="Arial"/>
                <w:szCs w:val="22"/>
              </w:rPr>
              <w:t>, significantly surpassing all other treatments. Correspondingly, the total carbon stock was greatest at this density, measuring 36.571 Mg C ha</w:t>
            </w:r>
            <w:r w:rsidR="00CF1A02" w:rsidRPr="00F957DF">
              <w:rPr>
                <w:rFonts w:ascii="Arial" w:eastAsia="Calibri" w:hAnsi="Arial" w:cs="Arial"/>
                <w:szCs w:val="22"/>
                <w:vertAlign w:val="superscript"/>
              </w:rPr>
              <w:t>-1</w:t>
            </w:r>
            <w:r>
              <w:rPr>
                <w:rFonts w:ascii="Arial" w:eastAsia="Calibri" w:hAnsi="Arial" w:cs="Arial"/>
                <w:szCs w:val="22"/>
              </w:rPr>
              <w:t>, while the lowest carbon stock was recorded at 277 trees ha</w:t>
            </w:r>
            <w:r w:rsidR="00CF1A02">
              <w:rPr>
                <w:rFonts w:ascii="Arial" w:hAnsi="Arial" w:cs="Arial"/>
                <w:color w:val="000000" w:themeColor="text1"/>
                <w:vertAlign w:val="superscript"/>
              </w:rPr>
              <w:t>-1</w:t>
            </w:r>
            <w:r>
              <w:rPr>
                <w:rFonts w:ascii="Arial" w:eastAsia="Calibri" w:hAnsi="Arial" w:cs="Arial"/>
                <w:szCs w:val="22"/>
              </w:rPr>
              <w:t>, which was 31.425 Mg C ha</w:t>
            </w:r>
            <w:r w:rsidR="000A736F">
              <w:rPr>
                <w:rFonts w:ascii="Arial" w:hAnsi="Arial" w:cs="Arial"/>
                <w:color w:val="000000" w:themeColor="text1"/>
                <w:vertAlign w:val="superscript"/>
              </w:rPr>
              <w:t>-1</w:t>
            </w:r>
            <w:r>
              <w:rPr>
                <w:rFonts w:ascii="Arial" w:eastAsia="Calibri" w:hAnsi="Arial" w:cs="Arial"/>
                <w:szCs w:val="22"/>
              </w:rPr>
              <w:t>. Additionally, the carbon sequestration potential peaked at 134.215 Mg C ha</w:t>
            </w:r>
            <w:r w:rsidR="000A736F">
              <w:rPr>
                <w:rFonts w:ascii="Arial" w:hAnsi="Arial" w:cs="Arial"/>
                <w:color w:val="000000" w:themeColor="text1"/>
                <w:vertAlign w:val="superscript"/>
              </w:rPr>
              <w:t>-1</w:t>
            </w:r>
            <w:r>
              <w:rPr>
                <w:rFonts w:ascii="Arial" w:eastAsia="Calibri" w:hAnsi="Arial" w:cs="Arial"/>
                <w:szCs w:val="22"/>
              </w:rPr>
              <w:t xml:space="preserve"> in the moderate density plantation. These results confirm that stand density plays a crucial role in biomass accumulation in </w:t>
            </w:r>
            <w:r w:rsidR="000A736F">
              <w:rPr>
                <w:rFonts w:ascii="Arial" w:eastAsia="Calibri" w:hAnsi="Arial" w:cs="Arial"/>
                <w:szCs w:val="22"/>
              </w:rPr>
              <w:t>S</w:t>
            </w:r>
            <w:r>
              <w:rPr>
                <w:rFonts w:ascii="Arial" w:eastAsia="Calibri" w:hAnsi="Arial" w:cs="Arial"/>
                <w:szCs w:val="22"/>
              </w:rPr>
              <w:t xml:space="preserve">andalwood plantations, with intermediate densities producing the best outcomes. The findings align with previous research on </w:t>
            </w:r>
            <w:r w:rsidR="000A736F">
              <w:rPr>
                <w:rFonts w:ascii="Arial" w:eastAsia="Calibri" w:hAnsi="Arial" w:cs="Arial"/>
                <w:szCs w:val="22"/>
              </w:rPr>
              <w:t>S</w:t>
            </w:r>
            <w:r>
              <w:rPr>
                <w:rFonts w:ascii="Arial" w:eastAsia="Calibri" w:hAnsi="Arial" w:cs="Arial"/>
                <w:szCs w:val="22"/>
              </w:rPr>
              <w:t>andalwood and other tree species, highlighting the importance of optimizing planting density for sustainable and productive plantation management.</w:t>
            </w:r>
          </w:p>
        </w:tc>
      </w:tr>
    </w:tbl>
    <w:p w14:paraId="1539ADEE" w14:textId="77777777" w:rsidR="00BA521A" w:rsidRDefault="00BA521A">
      <w:pPr>
        <w:pStyle w:val="Body"/>
        <w:spacing w:after="0"/>
        <w:rPr>
          <w:rFonts w:ascii="Arial" w:hAnsi="Arial" w:cs="Arial"/>
          <w:i/>
        </w:rPr>
      </w:pPr>
    </w:p>
    <w:p w14:paraId="60D23BCE" w14:textId="77777777" w:rsidR="00BA521A" w:rsidRDefault="00BD675F">
      <w:pPr>
        <w:pStyle w:val="Body"/>
        <w:spacing w:after="0"/>
        <w:rPr>
          <w:rFonts w:ascii="Arial" w:hAnsi="Arial" w:cs="Arial"/>
          <w:i/>
        </w:rPr>
      </w:pPr>
      <w:r>
        <w:rPr>
          <w:rFonts w:ascii="Arial" w:hAnsi="Arial" w:cs="Arial"/>
          <w:i/>
        </w:rPr>
        <w:t>Keywords: Sandalwood, Stand Density, Biomass, Carbon Stock</w:t>
      </w:r>
    </w:p>
    <w:p w14:paraId="7C4D3E73" w14:textId="77777777" w:rsidR="00BA521A" w:rsidRDefault="00BA521A">
      <w:pPr>
        <w:pStyle w:val="Body"/>
        <w:spacing w:after="0"/>
        <w:rPr>
          <w:rFonts w:ascii="Arial" w:hAnsi="Arial" w:cs="Arial"/>
          <w:i/>
        </w:rPr>
      </w:pPr>
    </w:p>
    <w:p w14:paraId="2E5F55D6" w14:textId="77777777" w:rsidR="00BA521A" w:rsidRDefault="00BD675F">
      <w:pPr>
        <w:pStyle w:val="AbstHead"/>
        <w:spacing w:after="0"/>
        <w:jc w:val="both"/>
        <w:rPr>
          <w:rFonts w:ascii="Arial" w:hAnsi="Arial" w:cs="Arial"/>
        </w:rPr>
      </w:pPr>
      <w:r>
        <w:rPr>
          <w:rFonts w:ascii="Arial" w:hAnsi="Arial" w:cs="Arial"/>
        </w:rPr>
        <w:t xml:space="preserve">1. INTRODUCTION </w:t>
      </w:r>
    </w:p>
    <w:p w14:paraId="622BAF47" w14:textId="25E868E9" w:rsidR="00BA521A" w:rsidRDefault="00BD675F">
      <w:pPr>
        <w:ind w:firstLine="720"/>
        <w:jc w:val="both"/>
        <w:rPr>
          <w:rFonts w:ascii="Arial" w:hAnsi="Arial" w:cs="Arial"/>
        </w:rPr>
      </w:pPr>
      <w:r>
        <w:rPr>
          <w:rFonts w:ascii="Arial" w:hAnsi="Arial" w:cs="Arial"/>
        </w:rPr>
        <w:t>Sandalwood (</w:t>
      </w:r>
      <w:r>
        <w:rPr>
          <w:rFonts w:ascii="Arial" w:hAnsi="Arial" w:cs="Arial"/>
          <w:i/>
          <w:iCs/>
        </w:rPr>
        <w:t>Santalum album</w:t>
      </w:r>
      <w:r>
        <w:rPr>
          <w:rFonts w:ascii="Arial" w:hAnsi="Arial" w:cs="Arial"/>
        </w:rPr>
        <w:t xml:space="preserve">) is a prominent tree species native to peninsular India (Shukla </w:t>
      </w:r>
      <w:r>
        <w:rPr>
          <w:rFonts w:ascii="Arial" w:hAnsi="Arial" w:cs="Arial"/>
          <w:i/>
          <w:iCs/>
        </w:rPr>
        <w:t>et al</w:t>
      </w:r>
      <w:r>
        <w:rPr>
          <w:rFonts w:ascii="Arial" w:hAnsi="Arial" w:cs="Arial"/>
        </w:rPr>
        <w:t xml:space="preserve">., 2016), renowned worldwide for its aromatic heartwood and fragrant oil. It is also known as the “Dollar earning parasite" (Vignesh, 2022). The tree belongs to the </w:t>
      </w:r>
      <w:r>
        <w:rPr>
          <w:rFonts w:ascii="Arial" w:hAnsi="Arial" w:cs="Arial"/>
          <w:i/>
          <w:iCs/>
        </w:rPr>
        <w:t xml:space="preserve">Santalaceae </w:t>
      </w:r>
      <w:r>
        <w:rPr>
          <w:rFonts w:ascii="Arial" w:hAnsi="Arial" w:cs="Arial"/>
        </w:rPr>
        <w:t xml:space="preserve">family. Currently, 20725 hectares of sandal plantations exist under farm conditions in India, predominantly in the southern states of Karnataka, Tamil Nadu, and Kerala (Viswanath &amp; Chakraborty, 2022). According to the predictions of Thomson (2020), </w:t>
      </w:r>
      <w:r w:rsidR="00F6557E">
        <w:rPr>
          <w:rFonts w:ascii="Arial" w:hAnsi="Arial" w:cs="Arial"/>
        </w:rPr>
        <w:t>“</w:t>
      </w:r>
      <w:r>
        <w:rPr>
          <w:rFonts w:ascii="Arial" w:hAnsi="Arial" w:cs="Arial"/>
        </w:rPr>
        <w:t xml:space="preserve">the local demand for </w:t>
      </w:r>
      <w:r w:rsidR="005E4EC4">
        <w:rPr>
          <w:rFonts w:ascii="Arial" w:hAnsi="Arial" w:cs="Arial"/>
        </w:rPr>
        <w:t>Sandalwood</w:t>
      </w:r>
      <w:r>
        <w:rPr>
          <w:rFonts w:ascii="Arial" w:hAnsi="Arial" w:cs="Arial"/>
        </w:rPr>
        <w:t xml:space="preserve"> oil in India will rise to a minimum of 250 tons in 2040</w:t>
      </w:r>
      <w:r w:rsidR="00F6557E">
        <w:rPr>
          <w:rFonts w:ascii="Arial" w:hAnsi="Arial" w:cs="Arial"/>
        </w:rPr>
        <w:t>”</w:t>
      </w:r>
      <w:r>
        <w:rPr>
          <w:rFonts w:ascii="Arial" w:hAnsi="Arial" w:cs="Arial"/>
        </w:rPr>
        <w:t xml:space="preserve">. </w:t>
      </w:r>
      <w:r w:rsidR="00F6557E">
        <w:rPr>
          <w:rFonts w:ascii="Arial" w:hAnsi="Arial" w:cs="Arial"/>
        </w:rPr>
        <w:t>“</w:t>
      </w:r>
      <w:r>
        <w:rPr>
          <w:rFonts w:ascii="Arial" w:hAnsi="Arial" w:cs="Arial"/>
        </w:rPr>
        <w:t>Financial compensation for such plantations may be eligible under the Clean Development Mechanism of the United Nations Framework Convention on Climate Change (UNFCCC) Kyoto Protocol. It has also been proposed for inclusion in REDD+ (reducing emissions from deforestation, forest degradation, and enhancement of forest carbon stocks), which is under negotiation within the United Nations FCCC</w:t>
      </w:r>
      <w:r w:rsidR="00F6557E">
        <w:rPr>
          <w:rFonts w:ascii="Arial" w:hAnsi="Arial" w:cs="Arial"/>
        </w:rPr>
        <w:t>”</w:t>
      </w:r>
      <w:r>
        <w:rPr>
          <w:rFonts w:ascii="Arial" w:hAnsi="Arial" w:cs="Arial"/>
        </w:rPr>
        <w:t xml:space="preserve"> (</w:t>
      </w:r>
      <w:proofErr w:type="spellStart"/>
      <w:r>
        <w:rPr>
          <w:rFonts w:ascii="Arial" w:hAnsi="Arial" w:cs="Arial"/>
        </w:rPr>
        <w:t>Kongsager</w:t>
      </w:r>
      <w:proofErr w:type="spellEnd"/>
      <w:r>
        <w:rPr>
          <w:rFonts w:ascii="Arial" w:hAnsi="Arial" w:cs="Arial"/>
        </w:rPr>
        <w:t xml:space="preserve"> </w:t>
      </w:r>
      <w:r>
        <w:rPr>
          <w:rFonts w:ascii="Arial" w:hAnsi="Arial" w:cs="Arial"/>
          <w:i/>
          <w:iCs/>
        </w:rPr>
        <w:t>et al.,</w:t>
      </w:r>
      <w:r>
        <w:rPr>
          <w:rFonts w:ascii="Arial" w:hAnsi="Arial" w:cs="Arial"/>
        </w:rPr>
        <w:t xml:space="preserve"> 2013; Venkatesh, 2023).</w:t>
      </w:r>
    </w:p>
    <w:p w14:paraId="3EFE4446" w14:textId="77777777" w:rsidR="00BA521A" w:rsidRDefault="00BA521A">
      <w:pPr>
        <w:ind w:firstLine="720"/>
        <w:jc w:val="both"/>
        <w:rPr>
          <w:rFonts w:ascii="Arial" w:hAnsi="Arial" w:cs="Arial"/>
        </w:rPr>
      </w:pPr>
    </w:p>
    <w:p w14:paraId="40F032CD" w14:textId="77777777" w:rsidR="00BA521A" w:rsidRDefault="00BD675F">
      <w:pPr>
        <w:pStyle w:val="ListParagraph"/>
        <w:numPr>
          <w:ilvl w:val="1"/>
          <w:numId w:val="2"/>
        </w:numPr>
        <w:spacing w:before="240" w:after="0" w:line="240" w:lineRule="auto"/>
        <w:ind w:left="450" w:hanging="450"/>
        <w:jc w:val="both"/>
        <w:rPr>
          <w:rFonts w:ascii="Arial" w:hAnsi="Arial" w:cs="Arial"/>
          <w:b/>
          <w:bCs/>
          <w:sz w:val="20"/>
        </w:rPr>
      </w:pPr>
      <w:r>
        <w:rPr>
          <w:rFonts w:ascii="Arial" w:hAnsi="Arial" w:cs="Arial"/>
          <w:b/>
          <w:bCs/>
          <w:szCs w:val="22"/>
        </w:rPr>
        <w:t>Biomass</w:t>
      </w:r>
    </w:p>
    <w:p w14:paraId="59D9AD8D" w14:textId="469DD02F" w:rsidR="00BA521A" w:rsidRDefault="00F6557E">
      <w:pPr>
        <w:ind w:firstLine="720"/>
        <w:jc w:val="both"/>
        <w:rPr>
          <w:rFonts w:ascii="Arial" w:hAnsi="Arial" w:cs="Arial"/>
          <w:b/>
          <w:bCs/>
        </w:rPr>
      </w:pPr>
      <w:r>
        <w:rPr>
          <w:rFonts w:ascii="Arial" w:hAnsi="Arial" w:cs="Arial"/>
        </w:rPr>
        <w:t>“</w:t>
      </w:r>
      <w:r w:rsidR="00BD675F">
        <w:rPr>
          <w:rFonts w:ascii="Arial" w:hAnsi="Arial" w:cs="Arial"/>
        </w:rPr>
        <w:t xml:space="preserve">The growth of a tree is affected by its ontogenetic stage, biotic and abiotic environment, and functional traits. Most studies, however, do not consider the direct relation </w:t>
      </w:r>
      <w:r w:rsidR="00BD675F">
        <w:rPr>
          <w:rFonts w:ascii="Arial" w:hAnsi="Arial" w:cs="Arial"/>
        </w:rPr>
        <w:lastRenderedPageBreak/>
        <w:t>between biomass growth and factors driving this at the individual tree level, but rather focus on average species performance and average species traits</w:t>
      </w:r>
      <w:r>
        <w:rPr>
          <w:rFonts w:ascii="Arial" w:hAnsi="Arial" w:cs="Arial"/>
        </w:rPr>
        <w:t>”</w:t>
      </w:r>
      <w:r w:rsidR="00BD675F">
        <w:rPr>
          <w:rFonts w:ascii="Arial" w:hAnsi="Arial" w:cs="Arial"/>
        </w:rPr>
        <w:t xml:space="preserve"> (e.g., </w:t>
      </w:r>
      <w:proofErr w:type="spellStart"/>
      <w:r w:rsidR="00BD675F">
        <w:rPr>
          <w:rFonts w:ascii="Arial" w:hAnsi="Arial" w:cs="Arial"/>
        </w:rPr>
        <w:t>Poorter</w:t>
      </w:r>
      <w:proofErr w:type="spellEnd"/>
      <w:r w:rsidR="00BD675F">
        <w:rPr>
          <w:rFonts w:ascii="Arial" w:hAnsi="Arial" w:cs="Arial"/>
        </w:rPr>
        <w:t xml:space="preserve"> and </w:t>
      </w:r>
      <w:proofErr w:type="spellStart"/>
      <w:r w:rsidR="00BD675F">
        <w:rPr>
          <w:rFonts w:ascii="Arial" w:hAnsi="Arial" w:cs="Arial"/>
        </w:rPr>
        <w:t>Bongers</w:t>
      </w:r>
      <w:proofErr w:type="spellEnd"/>
      <w:r w:rsidR="00BD675F">
        <w:rPr>
          <w:rFonts w:ascii="Arial" w:hAnsi="Arial" w:cs="Arial"/>
        </w:rPr>
        <w:t xml:space="preserve">, 2006; Wright </w:t>
      </w:r>
      <w:r w:rsidR="00BD675F">
        <w:rPr>
          <w:rFonts w:ascii="Arial" w:hAnsi="Arial" w:cs="Arial"/>
          <w:i/>
          <w:iCs/>
        </w:rPr>
        <w:t>et al</w:t>
      </w:r>
      <w:r w:rsidR="00BD675F">
        <w:rPr>
          <w:rFonts w:ascii="Arial" w:hAnsi="Arial" w:cs="Arial"/>
        </w:rPr>
        <w:t xml:space="preserve">., 2010). </w:t>
      </w:r>
      <w:r>
        <w:rPr>
          <w:rFonts w:ascii="Arial" w:hAnsi="Arial" w:cs="Arial"/>
        </w:rPr>
        <w:t>“</w:t>
      </w:r>
      <w:r w:rsidR="00BD675F">
        <w:rPr>
          <w:rFonts w:ascii="Arial" w:hAnsi="Arial" w:cs="Arial"/>
        </w:rPr>
        <w:t>The greatest potential for above ground biomass and carbon storage in the forest ecosystem resides in the canopy tree layer, although the understory, litter and coarse woody debris can also make a considerable contribution</w:t>
      </w:r>
      <w:r>
        <w:rPr>
          <w:rFonts w:ascii="Arial" w:hAnsi="Arial" w:cs="Arial"/>
        </w:rPr>
        <w:t>”</w:t>
      </w:r>
      <w:r w:rsidR="00BD675F">
        <w:rPr>
          <w:rFonts w:ascii="Arial" w:hAnsi="Arial" w:cs="Arial"/>
        </w:rPr>
        <w:t xml:space="preserve"> (Kumar </w:t>
      </w:r>
      <w:r w:rsidR="00BD675F">
        <w:rPr>
          <w:rFonts w:ascii="Arial" w:hAnsi="Arial" w:cs="Arial"/>
          <w:i/>
          <w:iCs/>
        </w:rPr>
        <w:t>et al.</w:t>
      </w:r>
      <w:r w:rsidR="00BD675F">
        <w:rPr>
          <w:rFonts w:ascii="Arial" w:hAnsi="Arial" w:cs="Arial"/>
        </w:rPr>
        <w:t>, 2016).</w:t>
      </w:r>
    </w:p>
    <w:p w14:paraId="0EE3D437" w14:textId="77777777" w:rsidR="00BA521A" w:rsidRDefault="00BD675F">
      <w:pPr>
        <w:pStyle w:val="ListParagraph"/>
        <w:numPr>
          <w:ilvl w:val="1"/>
          <w:numId w:val="2"/>
        </w:numPr>
        <w:spacing w:before="240" w:after="0" w:line="240" w:lineRule="auto"/>
        <w:ind w:left="450" w:hanging="450"/>
        <w:jc w:val="both"/>
        <w:rPr>
          <w:rFonts w:ascii="Arial" w:hAnsi="Arial" w:cs="Arial"/>
          <w:b/>
          <w:bCs/>
          <w:sz w:val="20"/>
        </w:rPr>
      </w:pPr>
      <w:r>
        <w:rPr>
          <w:rFonts w:ascii="Arial" w:hAnsi="Arial" w:cs="Arial"/>
          <w:b/>
          <w:bCs/>
          <w:sz w:val="20"/>
        </w:rPr>
        <w:t xml:space="preserve"> </w:t>
      </w:r>
      <w:r>
        <w:rPr>
          <w:rFonts w:ascii="Arial" w:hAnsi="Arial" w:cs="Arial"/>
          <w:b/>
          <w:bCs/>
          <w:szCs w:val="22"/>
        </w:rPr>
        <w:t>Carbon</w:t>
      </w:r>
      <w:r>
        <w:rPr>
          <w:rFonts w:ascii="Arial" w:hAnsi="Arial" w:cs="Arial"/>
          <w:b/>
          <w:bCs/>
          <w:sz w:val="20"/>
        </w:rPr>
        <w:t xml:space="preserve"> </w:t>
      </w:r>
      <w:r>
        <w:rPr>
          <w:rFonts w:ascii="Arial" w:hAnsi="Arial" w:cs="Arial"/>
          <w:b/>
          <w:bCs/>
          <w:szCs w:val="22"/>
        </w:rPr>
        <w:t>market</w:t>
      </w:r>
    </w:p>
    <w:p w14:paraId="5550FB3A" w14:textId="1D892DC3" w:rsidR="00BA521A" w:rsidRDefault="00BD675F">
      <w:pPr>
        <w:ind w:firstLine="720"/>
        <w:jc w:val="both"/>
        <w:rPr>
          <w:rFonts w:ascii="Arial" w:hAnsi="Arial" w:cs="Arial"/>
        </w:rPr>
      </w:pPr>
      <w:r>
        <w:rPr>
          <w:rFonts w:ascii="Arial" w:hAnsi="Arial" w:cs="Arial"/>
        </w:rPr>
        <w:t xml:space="preserve">Projections of ICRAF suggest that the carbon market may exceed US$1 trillion by 2025 with potential availability of significant funds to finance sustainable rural development and adaptation to climate change (Anonymous, 2009; Kanime, 2013). </w:t>
      </w:r>
      <w:r w:rsidR="00F6557E">
        <w:rPr>
          <w:rFonts w:ascii="Arial" w:hAnsi="Arial" w:cs="Arial"/>
        </w:rPr>
        <w:t>“</w:t>
      </w:r>
      <w:r>
        <w:rPr>
          <w:rFonts w:ascii="Arial" w:hAnsi="Arial" w:cs="Arial"/>
        </w:rPr>
        <w:t>The net long term CO</w:t>
      </w:r>
      <w:r>
        <w:rPr>
          <w:rFonts w:ascii="Arial" w:hAnsi="Arial" w:cs="Arial"/>
          <w:vertAlign w:val="subscript"/>
        </w:rPr>
        <w:t>2</w:t>
      </w:r>
      <w:r>
        <w:rPr>
          <w:rFonts w:ascii="Arial" w:hAnsi="Arial" w:cs="Arial"/>
        </w:rPr>
        <w:t xml:space="preserve"> source/sink dynamics of forests change through time as trees grow, die and decay. Quantification of carbon emissions or avoided emissions requires information on the rate of deforestation and the carbon stocks at a given time</w:t>
      </w:r>
      <w:r w:rsidR="00F6557E">
        <w:rPr>
          <w:rFonts w:ascii="Arial" w:hAnsi="Arial" w:cs="Arial"/>
        </w:rPr>
        <w:t>”</w:t>
      </w:r>
      <w:r>
        <w:rPr>
          <w:rFonts w:ascii="Arial" w:hAnsi="Arial" w:cs="Arial"/>
        </w:rPr>
        <w:t xml:space="preserve"> (Gibbs </w:t>
      </w:r>
      <w:r>
        <w:rPr>
          <w:rFonts w:ascii="Arial" w:hAnsi="Arial" w:cs="Arial"/>
          <w:i/>
          <w:iCs/>
        </w:rPr>
        <w:t>et al.,</w:t>
      </w:r>
      <w:r>
        <w:rPr>
          <w:rFonts w:ascii="Arial" w:hAnsi="Arial" w:cs="Arial"/>
        </w:rPr>
        <w:t xml:space="preserve"> 2007). </w:t>
      </w:r>
      <w:r w:rsidR="00F6557E">
        <w:rPr>
          <w:rFonts w:ascii="Arial" w:hAnsi="Arial" w:cs="Arial"/>
        </w:rPr>
        <w:t>“</w:t>
      </w:r>
      <w:r>
        <w:rPr>
          <w:rFonts w:ascii="Arial" w:hAnsi="Arial" w:cs="Arial"/>
        </w:rPr>
        <w:t>Measurable parameters like diameter at breast height (DBH), height and</w:t>
      </w:r>
      <w:r w:rsidR="002E4257" w:rsidRPr="002E4257">
        <w:rPr>
          <w:rFonts w:cs="Helvetica"/>
          <w:color w:val="141414"/>
          <w:sz w:val="27"/>
          <w:szCs w:val="27"/>
          <w:shd w:val="clear" w:color="auto" w:fill="FFFFFF"/>
        </w:rPr>
        <w:t xml:space="preserve"> </w:t>
      </w:r>
      <w:r w:rsidR="00840157">
        <w:rPr>
          <w:rFonts w:ascii="Arial" w:hAnsi="Arial" w:cs="Arial"/>
        </w:rPr>
        <w:t>W</w:t>
      </w:r>
      <w:r w:rsidR="002E4257" w:rsidRPr="002E4257">
        <w:rPr>
          <w:rFonts w:ascii="Arial" w:hAnsi="Arial" w:cs="Arial"/>
        </w:rPr>
        <w:t xml:space="preserve">ood </w:t>
      </w:r>
      <w:r w:rsidR="00840157">
        <w:rPr>
          <w:rFonts w:ascii="Arial" w:hAnsi="Arial" w:cs="Arial"/>
        </w:rPr>
        <w:t>S</w:t>
      </w:r>
      <w:r w:rsidR="002E4257" w:rsidRPr="002E4257">
        <w:rPr>
          <w:rFonts w:ascii="Arial" w:hAnsi="Arial" w:cs="Arial"/>
        </w:rPr>
        <w:t xml:space="preserve">pecific </w:t>
      </w:r>
      <w:r w:rsidR="00840157">
        <w:rPr>
          <w:rFonts w:ascii="Arial" w:hAnsi="Arial" w:cs="Arial"/>
        </w:rPr>
        <w:t>G</w:t>
      </w:r>
      <w:r w:rsidR="002E4257" w:rsidRPr="002E4257">
        <w:rPr>
          <w:rFonts w:ascii="Arial" w:hAnsi="Arial" w:cs="Arial"/>
        </w:rPr>
        <w:t>ravity</w:t>
      </w:r>
      <w:r w:rsidR="00840157">
        <w:rPr>
          <w:rFonts w:ascii="Arial" w:hAnsi="Arial" w:cs="Arial"/>
        </w:rPr>
        <w:t xml:space="preserve"> </w:t>
      </w:r>
      <w:r w:rsidR="003D3664">
        <w:rPr>
          <w:rFonts w:ascii="Arial" w:hAnsi="Arial" w:cs="Arial"/>
        </w:rPr>
        <w:t>(WSG</w:t>
      </w:r>
      <w:r w:rsidR="002E4257">
        <w:rPr>
          <w:rFonts w:ascii="Arial" w:hAnsi="Arial" w:cs="Arial"/>
        </w:rPr>
        <w:t>)</w:t>
      </w:r>
      <w:r>
        <w:rPr>
          <w:rFonts w:ascii="Arial" w:hAnsi="Arial" w:cs="Arial"/>
        </w:rPr>
        <w:t xml:space="preserve"> are the common variables that individually or in combination explain biomass</w:t>
      </w:r>
      <w:r w:rsidR="00F6557E">
        <w:rPr>
          <w:rFonts w:ascii="Arial" w:hAnsi="Arial" w:cs="Arial"/>
        </w:rPr>
        <w:t>”</w:t>
      </w:r>
      <w:r>
        <w:rPr>
          <w:rFonts w:ascii="Arial" w:hAnsi="Arial" w:cs="Arial"/>
        </w:rPr>
        <w:t xml:space="preserve"> (</w:t>
      </w:r>
      <w:proofErr w:type="spellStart"/>
      <w:r>
        <w:rPr>
          <w:rFonts w:ascii="Arial" w:hAnsi="Arial" w:cs="Arial"/>
        </w:rPr>
        <w:t>Chave</w:t>
      </w:r>
      <w:proofErr w:type="spellEnd"/>
      <w:r>
        <w:rPr>
          <w:rFonts w:ascii="Arial" w:hAnsi="Arial" w:cs="Arial"/>
        </w:rPr>
        <w:t xml:space="preserve"> </w:t>
      </w:r>
      <w:r>
        <w:rPr>
          <w:rFonts w:ascii="Arial" w:hAnsi="Arial" w:cs="Arial"/>
          <w:i/>
          <w:iCs/>
        </w:rPr>
        <w:t>et al.,</w:t>
      </w:r>
      <w:r>
        <w:rPr>
          <w:rFonts w:ascii="Arial" w:hAnsi="Arial" w:cs="Arial"/>
        </w:rPr>
        <w:t xml:space="preserve"> 2005). </w:t>
      </w:r>
      <w:r w:rsidR="00F6557E">
        <w:rPr>
          <w:rFonts w:ascii="Arial" w:hAnsi="Arial" w:cs="Arial"/>
        </w:rPr>
        <w:t>“</w:t>
      </w:r>
      <w:r>
        <w:rPr>
          <w:rFonts w:ascii="Arial" w:hAnsi="Arial" w:cs="Arial"/>
        </w:rPr>
        <w:t>WSG is a direct reflection of the amount of carbon present in the forest as biomass</w:t>
      </w:r>
      <w:r w:rsidR="00F6557E">
        <w:rPr>
          <w:rFonts w:ascii="Arial" w:hAnsi="Arial" w:cs="Arial"/>
        </w:rPr>
        <w:t>”</w:t>
      </w:r>
      <w:r>
        <w:rPr>
          <w:rFonts w:ascii="Arial" w:hAnsi="Arial" w:cs="Arial"/>
        </w:rPr>
        <w:t xml:space="preserve"> (Woodcock and Shier, 2003) and </w:t>
      </w:r>
      <w:r w:rsidR="00F6557E">
        <w:rPr>
          <w:rFonts w:ascii="Arial" w:hAnsi="Arial" w:cs="Arial"/>
        </w:rPr>
        <w:t>“</w:t>
      </w:r>
      <w:r>
        <w:rPr>
          <w:rFonts w:ascii="Arial" w:hAnsi="Arial" w:cs="Arial"/>
        </w:rPr>
        <w:t>it is strongly correlated with carbon density per unit volume</w:t>
      </w:r>
      <w:r w:rsidR="00F6557E">
        <w:rPr>
          <w:rFonts w:ascii="Arial" w:hAnsi="Arial" w:cs="Arial"/>
        </w:rPr>
        <w:t>”</w:t>
      </w:r>
      <w:r>
        <w:rPr>
          <w:rFonts w:ascii="Arial" w:hAnsi="Arial" w:cs="Arial"/>
        </w:rPr>
        <w:t xml:space="preserve"> (</w:t>
      </w:r>
      <w:proofErr w:type="spellStart"/>
      <w:r>
        <w:rPr>
          <w:rFonts w:ascii="Arial" w:hAnsi="Arial" w:cs="Arial"/>
        </w:rPr>
        <w:t>Fearnside</w:t>
      </w:r>
      <w:proofErr w:type="spellEnd"/>
      <w:r>
        <w:rPr>
          <w:rFonts w:ascii="Arial" w:hAnsi="Arial" w:cs="Arial"/>
        </w:rPr>
        <w:t xml:space="preserve">, 1997; Mani and Parthasarathy, 2007; Pati </w:t>
      </w:r>
      <w:r>
        <w:rPr>
          <w:rFonts w:ascii="Arial" w:hAnsi="Arial" w:cs="Arial"/>
          <w:i/>
          <w:iCs/>
        </w:rPr>
        <w:t>et al.,</w:t>
      </w:r>
      <w:r>
        <w:rPr>
          <w:rFonts w:ascii="Arial" w:hAnsi="Arial" w:cs="Arial"/>
        </w:rPr>
        <w:t xml:space="preserve"> 2022)</w:t>
      </w:r>
    </w:p>
    <w:p w14:paraId="1EC2B138" w14:textId="77777777" w:rsidR="00BA521A" w:rsidRDefault="00BD675F">
      <w:pPr>
        <w:pStyle w:val="ListParagraph"/>
        <w:numPr>
          <w:ilvl w:val="1"/>
          <w:numId w:val="2"/>
        </w:numPr>
        <w:spacing w:before="240" w:after="0" w:line="240" w:lineRule="auto"/>
        <w:ind w:left="450" w:hanging="450"/>
        <w:jc w:val="both"/>
        <w:rPr>
          <w:rFonts w:ascii="Arial" w:hAnsi="Arial" w:cs="Arial"/>
          <w:b/>
          <w:bCs/>
          <w:color w:val="000000" w:themeColor="text1"/>
          <w:sz w:val="20"/>
        </w:rPr>
      </w:pPr>
      <w:r>
        <w:rPr>
          <w:rFonts w:ascii="Arial" w:hAnsi="Arial" w:cs="Arial"/>
          <w:b/>
          <w:bCs/>
          <w:color w:val="000000" w:themeColor="text1"/>
          <w:sz w:val="20"/>
        </w:rPr>
        <w:t xml:space="preserve"> </w:t>
      </w:r>
      <w:r>
        <w:rPr>
          <w:rFonts w:ascii="Arial" w:hAnsi="Arial" w:cs="Arial"/>
          <w:b/>
          <w:bCs/>
          <w:szCs w:val="22"/>
        </w:rPr>
        <w:t>Carbon</w:t>
      </w:r>
      <w:r>
        <w:rPr>
          <w:rFonts w:ascii="Arial" w:hAnsi="Arial" w:cs="Arial"/>
          <w:b/>
          <w:bCs/>
          <w:color w:val="000000" w:themeColor="text1"/>
          <w:sz w:val="20"/>
        </w:rPr>
        <w:t xml:space="preserve"> </w:t>
      </w:r>
      <w:r>
        <w:rPr>
          <w:rFonts w:ascii="Arial" w:hAnsi="Arial" w:cs="Arial"/>
          <w:b/>
          <w:bCs/>
          <w:color w:val="000000" w:themeColor="text1"/>
          <w:szCs w:val="22"/>
        </w:rPr>
        <w:t>sequestration</w:t>
      </w:r>
    </w:p>
    <w:p w14:paraId="2E158052" w14:textId="1616A9E9" w:rsidR="00BA521A" w:rsidRDefault="00BD675F">
      <w:pPr>
        <w:ind w:firstLine="720"/>
        <w:jc w:val="both"/>
        <w:rPr>
          <w:rFonts w:ascii="Arial" w:hAnsi="Arial" w:cs="Arial"/>
          <w:color w:val="000000" w:themeColor="text1"/>
          <w:lang w:val="en-IN"/>
        </w:rPr>
      </w:pPr>
      <w:r>
        <w:rPr>
          <w:rFonts w:ascii="Arial" w:hAnsi="Arial" w:cs="Arial"/>
          <w:color w:val="000000" w:themeColor="text1"/>
          <w:lang w:val="en-IN"/>
        </w:rPr>
        <w:t xml:space="preserve">To provide a sustainable source of timber and fuelwood while simultaneously expanding green cover on degraded land for carbon sequestration, intensive maintenance of tree plantations using fast-growing single or mixed species should be adopted (Berry </w:t>
      </w:r>
      <w:r>
        <w:rPr>
          <w:rFonts w:ascii="Arial" w:hAnsi="Arial" w:cs="Arial"/>
          <w:i/>
          <w:iCs/>
          <w:color w:val="000000" w:themeColor="text1"/>
          <w:lang w:val="en-IN"/>
        </w:rPr>
        <w:t>et al.</w:t>
      </w:r>
      <w:r>
        <w:rPr>
          <w:rFonts w:ascii="Arial" w:hAnsi="Arial" w:cs="Arial"/>
          <w:color w:val="000000" w:themeColor="text1"/>
          <w:lang w:val="en-IN"/>
        </w:rPr>
        <w:t xml:space="preserve">, 2022). </w:t>
      </w:r>
      <w:r w:rsidR="00F6557E">
        <w:rPr>
          <w:rFonts w:ascii="Arial" w:hAnsi="Arial" w:cs="Arial"/>
          <w:color w:val="000000" w:themeColor="text1"/>
          <w:lang w:val="en-IN"/>
        </w:rPr>
        <w:t>“</w:t>
      </w:r>
      <w:r>
        <w:rPr>
          <w:rFonts w:ascii="Arial" w:hAnsi="Arial" w:cs="Arial"/>
          <w:color w:val="000000" w:themeColor="text1"/>
        </w:rPr>
        <w:t>Species-specific carbon sequestration potential studies have provided entirely different estimates depending upon various factors like weather conditions, location and management activities</w:t>
      </w:r>
      <w:r w:rsidR="00F6557E">
        <w:rPr>
          <w:rFonts w:ascii="Arial" w:hAnsi="Arial" w:cs="Arial"/>
          <w:color w:val="000000" w:themeColor="text1"/>
        </w:rPr>
        <w:t>”</w:t>
      </w:r>
      <w:bookmarkStart w:id="1" w:name="_GoBack"/>
      <w:bookmarkEnd w:id="1"/>
      <w:r>
        <w:rPr>
          <w:rFonts w:ascii="Arial" w:hAnsi="Arial" w:cs="Arial"/>
          <w:color w:val="000000" w:themeColor="text1"/>
        </w:rPr>
        <w:t xml:space="preserve"> (Singh, 2003; Kumar </w:t>
      </w:r>
      <w:r>
        <w:rPr>
          <w:rFonts w:ascii="Arial" w:hAnsi="Arial" w:cs="Arial"/>
          <w:i/>
          <w:iCs/>
          <w:color w:val="000000" w:themeColor="text1"/>
        </w:rPr>
        <w:t>et al.</w:t>
      </w:r>
      <w:r>
        <w:rPr>
          <w:rFonts w:ascii="Arial" w:hAnsi="Arial" w:cs="Arial"/>
          <w:color w:val="000000" w:themeColor="text1"/>
        </w:rPr>
        <w:t>, 2016). Quantifying carbon stocks associated with tree growth at different spatial and temporal scales is a complex task, influenced by factors like planting geometry on farmlands, soil conditions, local climate, tree management practices, and genetic parameters. According to the Fourth Assessment Report of the Intergovernmental Panel on Climate Change, there is limited information available regarding the biomass, carbon stock, and sequestration potential of both natural forests and trees outside forests at the national and regional levels.</w:t>
      </w:r>
    </w:p>
    <w:p w14:paraId="77D7971F" w14:textId="33C55899" w:rsidR="00BA521A" w:rsidRDefault="00F6557E">
      <w:pPr>
        <w:ind w:firstLine="720"/>
        <w:jc w:val="both"/>
        <w:rPr>
          <w:rFonts w:ascii="Arial" w:hAnsi="Arial" w:cs="Arial"/>
        </w:rPr>
      </w:pPr>
      <w:r>
        <w:rPr>
          <w:rFonts w:ascii="Arial" w:hAnsi="Arial" w:cs="Arial"/>
        </w:rPr>
        <w:t>“</w:t>
      </w:r>
      <w:r w:rsidR="00BD675F">
        <w:rPr>
          <w:rFonts w:ascii="Arial" w:hAnsi="Arial" w:cs="Arial"/>
        </w:rPr>
        <w:t xml:space="preserve">Soil being a major contributor to the carbon mitigation technology but had various constrains such as soil salinity and </w:t>
      </w:r>
      <w:proofErr w:type="spellStart"/>
      <w:r w:rsidR="00BD675F">
        <w:rPr>
          <w:rFonts w:ascii="Arial" w:hAnsi="Arial" w:cs="Arial"/>
        </w:rPr>
        <w:t>sodicity</w:t>
      </w:r>
      <w:proofErr w:type="spellEnd"/>
      <w:r>
        <w:rPr>
          <w:rFonts w:ascii="Arial" w:hAnsi="Arial" w:cs="Arial"/>
        </w:rPr>
        <w:t>”</w:t>
      </w:r>
      <w:r w:rsidR="00BD675F">
        <w:rPr>
          <w:rFonts w:ascii="Arial" w:hAnsi="Arial" w:cs="Arial"/>
        </w:rPr>
        <w:t xml:space="preserve"> (Felker </w:t>
      </w:r>
      <w:r w:rsidR="00BD675F">
        <w:rPr>
          <w:rFonts w:ascii="Arial" w:hAnsi="Arial" w:cs="Arial"/>
          <w:i/>
          <w:iCs/>
        </w:rPr>
        <w:t>et al.,</w:t>
      </w:r>
      <w:r w:rsidR="00BD675F">
        <w:rPr>
          <w:rFonts w:ascii="Arial" w:hAnsi="Arial" w:cs="Arial"/>
        </w:rPr>
        <w:t xml:space="preserve"> 2009; Kumar </w:t>
      </w:r>
      <w:r w:rsidR="00BD675F">
        <w:rPr>
          <w:rFonts w:ascii="Arial" w:hAnsi="Arial" w:cs="Arial"/>
          <w:i/>
          <w:iCs/>
        </w:rPr>
        <w:t>et al.,</w:t>
      </w:r>
      <w:r w:rsidR="00BD675F">
        <w:rPr>
          <w:rFonts w:ascii="Arial" w:hAnsi="Arial" w:cs="Arial"/>
        </w:rPr>
        <w:t xml:space="preserve"> 2014). Studies indicated that </w:t>
      </w:r>
      <w:r>
        <w:rPr>
          <w:rFonts w:ascii="Arial" w:hAnsi="Arial" w:cs="Arial"/>
        </w:rPr>
        <w:t>“</w:t>
      </w:r>
      <w:r w:rsidR="00BD675F">
        <w:rPr>
          <w:rFonts w:ascii="Arial" w:hAnsi="Arial" w:cs="Arial"/>
        </w:rPr>
        <w:t>changes in some soil properties were influenced by tree species</w:t>
      </w:r>
      <w:r>
        <w:rPr>
          <w:rFonts w:ascii="Arial" w:hAnsi="Arial" w:cs="Arial"/>
        </w:rPr>
        <w:t>”</w:t>
      </w:r>
      <w:r w:rsidR="00BD675F">
        <w:rPr>
          <w:rFonts w:ascii="Arial" w:hAnsi="Arial" w:cs="Arial"/>
        </w:rPr>
        <w:t xml:space="preserve"> (Lemma, 2006; Chaudhari </w:t>
      </w:r>
      <w:r w:rsidR="00BD675F">
        <w:rPr>
          <w:rFonts w:ascii="Arial" w:hAnsi="Arial" w:cs="Arial"/>
          <w:i/>
          <w:iCs/>
        </w:rPr>
        <w:t>et al.,</w:t>
      </w:r>
      <w:r w:rsidR="00BD675F">
        <w:rPr>
          <w:rFonts w:ascii="Arial" w:hAnsi="Arial" w:cs="Arial"/>
        </w:rPr>
        <w:t xml:space="preserve"> 2014),</w:t>
      </w:r>
    </w:p>
    <w:p w14:paraId="7947D840" w14:textId="77777777" w:rsidR="00BA521A" w:rsidRDefault="00BD675F">
      <w:pPr>
        <w:pStyle w:val="AbstHead"/>
        <w:spacing w:before="240" w:after="0"/>
        <w:jc w:val="both"/>
        <w:rPr>
          <w:rFonts w:ascii="Arial" w:hAnsi="Arial" w:cs="Arial"/>
        </w:rPr>
      </w:pPr>
      <w:r>
        <w:rPr>
          <w:rFonts w:ascii="Arial" w:hAnsi="Arial" w:cs="Arial"/>
        </w:rPr>
        <w:t xml:space="preserve">2. material and methods </w:t>
      </w:r>
    </w:p>
    <w:p w14:paraId="3835B6D9" w14:textId="7073C67E" w:rsidR="00BA521A" w:rsidRDefault="00BD675F">
      <w:pPr>
        <w:spacing w:before="240" w:line="276" w:lineRule="auto"/>
        <w:ind w:firstLine="720"/>
        <w:jc w:val="both"/>
        <w:rPr>
          <w:rFonts w:ascii="Arial" w:hAnsi="Arial" w:cs="Arial"/>
          <w:color w:val="000000" w:themeColor="text1"/>
          <w:lang w:val="en-IN"/>
        </w:rPr>
      </w:pPr>
      <w:r>
        <w:rPr>
          <w:rFonts w:ascii="Arial" w:hAnsi="Arial" w:cs="Arial"/>
          <w:color w:val="000000" w:themeColor="text1"/>
          <w:lang w:val="en-IN"/>
        </w:rPr>
        <w:t xml:space="preserve">Survey was conducted through snowball sampling method in the Maharashtra state and 36 </w:t>
      </w:r>
      <w:r w:rsidR="005E4EC4">
        <w:rPr>
          <w:rFonts w:ascii="Arial" w:hAnsi="Arial" w:cs="Arial"/>
          <w:color w:val="000000" w:themeColor="text1"/>
          <w:lang w:val="en-IN"/>
        </w:rPr>
        <w:t>Sandalwood</w:t>
      </w:r>
      <w:r>
        <w:rPr>
          <w:rFonts w:ascii="Arial" w:hAnsi="Arial" w:cs="Arial"/>
          <w:color w:val="000000" w:themeColor="text1"/>
          <w:lang w:val="en-IN"/>
        </w:rPr>
        <w:t xml:space="preserve"> plantations were identified. The study was conducted in 202</w:t>
      </w:r>
      <w:r w:rsidR="00B55365">
        <w:rPr>
          <w:rFonts w:ascii="Arial" w:hAnsi="Arial" w:cs="Arial"/>
          <w:color w:val="000000" w:themeColor="text1"/>
          <w:lang w:val="en-IN"/>
        </w:rPr>
        <w:t>3</w:t>
      </w:r>
      <w:r>
        <w:rPr>
          <w:rFonts w:ascii="Arial" w:hAnsi="Arial" w:cs="Arial"/>
          <w:color w:val="000000" w:themeColor="text1"/>
          <w:lang w:val="en-IN"/>
        </w:rPr>
        <w:t>. The site is located at 15° 35' N to 22° 02' N latitude and 72° 36' E to 80° 54' E longitude and at an altitude of 346 m ASL. The rainfall starts normally in the first week of June. July is the wettest month in Maharashtra. The annual rainfall of less than 750 mm is unstable, unevenly distributed and of erratic nature.</w:t>
      </w:r>
      <w:r w:rsidR="00840157">
        <w:rPr>
          <w:rFonts w:ascii="Arial" w:hAnsi="Arial" w:cs="Arial"/>
          <w:color w:val="000000" w:themeColor="text1"/>
          <w:lang w:val="en-IN"/>
        </w:rPr>
        <w:t xml:space="preserve"> </w:t>
      </w:r>
      <w:r>
        <w:rPr>
          <w:rFonts w:ascii="Arial" w:hAnsi="Arial" w:cs="Arial"/>
          <w:color w:val="000000" w:themeColor="text1"/>
          <w:lang w:val="en-IN"/>
        </w:rPr>
        <w:t>Temperature rise from 12</w:t>
      </w:r>
      <w:r>
        <w:rPr>
          <w:rFonts w:ascii="Arial" w:hAnsi="Arial" w:cs="Arial"/>
          <w:color w:val="000000" w:themeColor="text1"/>
        </w:rPr>
        <w:t xml:space="preserve"> </w:t>
      </w:r>
      <w:r>
        <w:rPr>
          <w:rFonts w:ascii="Arial" w:hAnsi="Arial" w:cs="Arial"/>
          <w:color w:val="000000" w:themeColor="text1"/>
          <w:lang w:val="en-IN"/>
        </w:rPr>
        <w:t xml:space="preserve">°C to 34°C during this season. </w:t>
      </w:r>
      <w:proofErr w:type="gramStart"/>
      <w:r>
        <w:rPr>
          <w:rFonts w:ascii="Arial" w:hAnsi="Arial" w:cs="Arial"/>
          <w:color w:val="000000" w:themeColor="text1"/>
          <w:lang w:val="en-IN"/>
        </w:rPr>
        <w:t>.The</w:t>
      </w:r>
      <w:proofErr w:type="gramEnd"/>
      <w:r>
        <w:rPr>
          <w:rFonts w:ascii="Arial" w:hAnsi="Arial" w:cs="Arial"/>
          <w:color w:val="000000" w:themeColor="text1"/>
          <w:lang w:val="en-IN"/>
        </w:rPr>
        <w:t xml:space="preserve"> daily average minimum temperature in the coldest month varies from 9</w:t>
      </w:r>
      <w:r w:rsidR="00840157">
        <w:rPr>
          <w:rFonts w:ascii="Arial" w:hAnsi="Arial" w:cs="Arial"/>
          <w:color w:val="000000" w:themeColor="text1"/>
          <w:lang w:val="en-IN"/>
        </w:rPr>
        <w:t xml:space="preserve"> °</w:t>
      </w:r>
      <w:r>
        <w:rPr>
          <w:rFonts w:ascii="Arial" w:hAnsi="Arial" w:cs="Arial"/>
          <w:color w:val="000000" w:themeColor="text1"/>
          <w:lang w:val="en-IN"/>
        </w:rPr>
        <w:t xml:space="preserve">C to 10 </w:t>
      </w:r>
      <w:r w:rsidR="00840157">
        <w:rPr>
          <w:rFonts w:ascii="Arial" w:hAnsi="Arial" w:cs="Arial"/>
          <w:color w:val="000000" w:themeColor="text1"/>
          <w:lang w:val="en-IN"/>
        </w:rPr>
        <w:t>°</w:t>
      </w:r>
      <w:r>
        <w:rPr>
          <w:rFonts w:ascii="Arial" w:hAnsi="Arial" w:cs="Arial"/>
          <w:color w:val="000000" w:themeColor="text1"/>
          <w:lang w:val="en-IN"/>
        </w:rPr>
        <w:t xml:space="preserve">C, while during summer the maximum temperature varies from 30 </w:t>
      </w:r>
      <w:r w:rsidR="00840157">
        <w:rPr>
          <w:rFonts w:ascii="Arial" w:hAnsi="Arial" w:cs="Arial"/>
          <w:color w:val="000000" w:themeColor="text1"/>
          <w:lang w:val="en-IN"/>
        </w:rPr>
        <w:t>°</w:t>
      </w:r>
      <w:r>
        <w:rPr>
          <w:rFonts w:ascii="Arial" w:hAnsi="Arial" w:cs="Arial"/>
          <w:color w:val="000000" w:themeColor="text1"/>
          <w:lang w:val="en-IN"/>
        </w:rPr>
        <w:t xml:space="preserve">C to 40 </w:t>
      </w:r>
      <w:r w:rsidR="00840157">
        <w:rPr>
          <w:rFonts w:ascii="Arial" w:hAnsi="Arial" w:cs="Arial"/>
          <w:color w:val="000000" w:themeColor="text1"/>
          <w:lang w:val="en-IN"/>
        </w:rPr>
        <w:t>°</w:t>
      </w:r>
      <w:r>
        <w:rPr>
          <w:rFonts w:ascii="Arial" w:hAnsi="Arial" w:cs="Arial"/>
          <w:color w:val="000000" w:themeColor="text1"/>
          <w:lang w:val="en-IN"/>
        </w:rPr>
        <w:t>C. The soils of the Tarai region are developed from calcareous, medium to moderately coarse materials under the predominant influence of tall vegetation and moderate to well-drained conditions</w:t>
      </w:r>
    </w:p>
    <w:p w14:paraId="7FB47DA4" w14:textId="2B2B2AA5" w:rsidR="00BA521A" w:rsidRDefault="00BD675F">
      <w:pPr>
        <w:spacing w:before="240" w:line="276" w:lineRule="auto"/>
        <w:ind w:firstLine="720"/>
        <w:jc w:val="both"/>
        <w:rPr>
          <w:rFonts w:ascii="Arial" w:hAnsi="Arial" w:cs="Arial"/>
          <w:color w:val="000000" w:themeColor="text1"/>
          <w:lang w:val="en-IN"/>
        </w:rPr>
      </w:pPr>
      <w:r>
        <w:rPr>
          <w:rFonts w:ascii="Arial" w:hAnsi="Arial" w:cs="Arial"/>
          <w:color w:val="000000" w:themeColor="text1"/>
          <w:lang w:val="en-IN"/>
        </w:rPr>
        <w:lastRenderedPageBreak/>
        <w:t xml:space="preserve">To quantify the Biomass production of </w:t>
      </w:r>
      <w:r w:rsidR="005E4EC4">
        <w:rPr>
          <w:rFonts w:ascii="Arial" w:hAnsi="Arial" w:cs="Arial"/>
          <w:color w:val="000000" w:themeColor="text1"/>
          <w:lang w:val="en-IN"/>
        </w:rPr>
        <w:t>Sandalwood</w:t>
      </w:r>
      <w:r>
        <w:rPr>
          <w:rFonts w:ascii="Arial" w:hAnsi="Arial" w:cs="Arial"/>
          <w:color w:val="000000" w:themeColor="text1"/>
          <w:lang w:val="en-IN"/>
        </w:rPr>
        <w:t>, the plantations were categorized into 5 different types of Stand Density. Experiment was laid out in Randomized Block Design (RBD) manner with 5 Treatments of Stand Density (5 types of spacing) with 3 replications each having 1</w:t>
      </w:r>
      <w:r w:rsidR="00B21160">
        <w:rPr>
          <w:rFonts w:ascii="Arial" w:hAnsi="Arial" w:cs="Arial"/>
          <w:color w:val="000000" w:themeColor="text1"/>
          <w:lang w:val="en-IN"/>
        </w:rPr>
        <w:t>0</w:t>
      </w:r>
      <w:r>
        <w:rPr>
          <w:rFonts w:ascii="Arial" w:hAnsi="Arial" w:cs="Arial"/>
          <w:color w:val="000000" w:themeColor="text1"/>
          <w:lang w:val="en-IN"/>
        </w:rPr>
        <w:t xml:space="preserve"> plots. The Treatments can be denoted as of following,</w:t>
      </w:r>
    </w:p>
    <w:p w14:paraId="4A45027A" w14:textId="77777777" w:rsidR="00BA521A" w:rsidRDefault="00BD675F">
      <w:pPr>
        <w:spacing w:line="276" w:lineRule="auto"/>
        <w:jc w:val="both"/>
        <w:rPr>
          <w:rFonts w:ascii="Arial" w:hAnsi="Arial" w:cs="Arial"/>
          <w:color w:val="000000" w:themeColor="text1"/>
          <w:lang w:val="en-IN"/>
        </w:rPr>
      </w:pPr>
      <w:r>
        <w:rPr>
          <w:rFonts w:ascii="Arial" w:hAnsi="Arial" w:cs="Arial"/>
          <w:color w:val="000000" w:themeColor="text1"/>
          <w:lang w:val="en-IN"/>
        </w:rPr>
        <w:t>T1 (3m × 3m), T2 (3.5m × 3.5m), T3 (4.5m × 4.5m), T4 (5.5m × 5.5m) &amp; T5 (6m × 6m)</w:t>
      </w:r>
    </w:p>
    <w:p w14:paraId="547CCC93" w14:textId="77777777" w:rsidR="00BA521A" w:rsidRDefault="00BD675F">
      <w:pPr>
        <w:spacing w:before="240" w:line="276" w:lineRule="auto"/>
        <w:jc w:val="both"/>
        <w:rPr>
          <w:rFonts w:ascii="Arial" w:hAnsi="Arial" w:cs="Arial"/>
          <w:b/>
          <w:bCs/>
          <w:color w:val="000000" w:themeColor="text1"/>
          <w:sz w:val="22"/>
          <w:szCs w:val="22"/>
          <w:lang w:val="en-IN"/>
        </w:rPr>
      </w:pPr>
      <w:r>
        <w:rPr>
          <w:rFonts w:ascii="Arial" w:hAnsi="Arial" w:cs="Arial"/>
          <w:b/>
          <w:bCs/>
          <w:color w:val="000000" w:themeColor="text1"/>
          <w:sz w:val="22"/>
          <w:szCs w:val="22"/>
          <w:lang w:val="en-IN"/>
        </w:rPr>
        <w:t xml:space="preserve">Statistical analysis </w:t>
      </w:r>
    </w:p>
    <w:p w14:paraId="3689DEE3" w14:textId="77777777" w:rsidR="00BA521A" w:rsidRDefault="00BD675F">
      <w:pPr>
        <w:spacing w:line="276" w:lineRule="auto"/>
        <w:ind w:firstLine="720"/>
        <w:jc w:val="both"/>
        <w:rPr>
          <w:rFonts w:ascii="Arial" w:hAnsi="Arial" w:cs="Arial"/>
          <w:color w:val="000000" w:themeColor="text1"/>
          <w:lang w:val="en-IN"/>
        </w:rPr>
      </w:pPr>
      <w:r>
        <w:rPr>
          <w:rFonts w:ascii="Arial" w:hAnsi="Arial" w:cs="Arial"/>
          <w:color w:val="000000" w:themeColor="text1"/>
          <w:lang w:val="en-IN"/>
        </w:rPr>
        <w:t xml:space="preserve">The experimental databases collected were statistically </w:t>
      </w:r>
      <w:proofErr w:type="spellStart"/>
      <w:r>
        <w:rPr>
          <w:rFonts w:ascii="Arial" w:hAnsi="Arial" w:cs="Arial"/>
          <w:color w:val="000000" w:themeColor="text1"/>
          <w:lang w:val="en-IN"/>
        </w:rPr>
        <w:t>analyzed</w:t>
      </w:r>
      <w:proofErr w:type="spellEnd"/>
      <w:r>
        <w:rPr>
          <w:rFonts w:ascii="Arial" w:hAnsi="Arial" w:cs="Arial"/>
          <w:color w:val="000000" w:themeColor="text1"/>
          <w:lang w:val="en-IN"/>
        </w:rPr>
        <w:t xml:space="preserve"> under Randomized Block design. One-way analyses of variance (ANOVA) were used to determine the statistical significance for differences in growth rates, aboveground biomass and carbon sequestration within the Planting density. Whereas the treatment results were significant, the critical differences were worked out at five per cent probability level (p&lt; 0.05).</w:t>
      </w:r>
    </w:p>
    <w:p w14:paraId="6C4D891E" w14:textId="77777777" w:rsidR="00BA521A" w:rsidRDefault="00BD675F">
      <w:pPr>
        <w:spacing w:before="240" w:line="276" w:lineRule="auto"/>
        <w:jc w:val="both"/>
        <w:rPr>
          <w:rFonts w:ascii="Arial" w:hAnsi="Arial" w:cs="Arial"/>
          <w:b/>
          <w:bCs/>
          <w:sz w:val="22"/>
          <w:szCs w:val="22"/>
        </w:rPr>
      </w:pPr>
      <w:r>
        <w:rPr>
          <w:rFonts w:ascii="Arial" w:hAnsi="Arial" w:cs="Arial"/>
          <w:b/>
          <w:bCs/>
          <w:sz w:val="22"/>
          <w:szCs w:val="22"/>
        </w:rPr>
        <w:t>2.1 Collection of data.</w:t>
      </w:r>
    </w:p>
    <w:p w14:paraId="75922A3F" w14:textId="77777777" w:rsidR="00BA521A" w:rsidRDefault="00BD675F">
      <w:pPr>
        <w:pStyle w:val="ListParagraph"/>
        <w:numPr>
          <w:ilvl w:val="0"/>
          <w:numId w:val="3"/>
        </w:numPr>
        <w:spacing w:after="0" w:line="276" w:lineRule="auto"/>
        <w:ind w:left="284" w:hanging="284"/>
        <w:jc w:val="both"/>
        <w:rPr>
          <w:rFonts w:ascii="Arial" w:hAnsi="Arial" w:cs="Arial"/>
          <w:b/>
          <w:bCs/>
          <w:szCs w:val="22"/>
        </w:rPr>
      </w:pPr>
      <w:r>
        <w:rPr>
          <w:rFonts w:ascii="Arial" w:hAnsi="Arial" w:cs="Arial"/>
          <w:b/>
          <w:bCs/>
          <w:szCs w:val="22"/>
        </w:rPr>
        <w:t xml:space="preserve">Estimation of Tree Biomass, Carbon Stock and Carbon Sequestration: </w:t>
      </w:r>
    </w:p>
    <w:p w14:paraId="036BB7E3" w14:textId="77777777" w:rsidR="00BA521A" w:rsidRDefault="00BD675F">
      <w:pPr>
        <w:spacing w:line="276" w:lineRule="auto"/>
        <w:jc w:val="both"/>
        <w:rPr>
          <w:rFonts w:ascii="Arial" w:hAnsi="Arial" w:cs="Arial"/>
          <w:szCs w:val="18"/>
        </w:rPr>
      </w:pPr>
      <w:proofErr w:type="spellStart"/>
      <w:r>
        <w:rPr>
          <w:rFonts w:ascii="Arial" w:hAnsi="Arial" w:cs="Arial"/>
          <w:b/>
          <w:bCs/>
          <w:sz w:val="22"/>
          <w:szCs w:val="22"/>
        </w:rPr>
        <w:t>i</w:t>
      </w:r>
      <w:proofErr w:type="spellEnd"/>
      <w:r>
        <w:rPr>
          <w:rFonts w:ascii="Arial" w:hAnsi="Arial" w:cs="Arial"/>
          <w:b/>
          <w:bCs/>
          <w:sz w:val="22"/>
          <w:szCs w:val="22"/>
        </w:rPr>
        <w:t>. Volume of the tree</w:t>
      </w:r>
      <w:r>
        <w:rPr>
          <w:rFonts w:ascii="Arial" w:hAnsi="Arial" w:cs="Arial"/>
          <w:b/>
          <w:bCs/>
          <w:sz w:val="22"/>
        </w:rPr>
        <w:t>:</w:t>
      </w:r>
      <w:r>
        <w:rPr>
          <w:rFonts w:ascii="Times New Roman" w:hAnsi="Times New Roman"/>
          <w:sz w:val="22"/>
        </w:rPr>
        <w:t xml:space="preserve"> </w:t>
      </w:r>
      <w:r>
        <w:rPr>
          <w:rFonts w:ascii="Arial" w:hAnsi="Arial" w:cs="Arial"/>
          <w:szCs w:val="18"/>
        </w:rPr>
        <w:t>Cylindrical volume of the tree has been calculated by using formula given below (</w:t>
      </w:r>
      <w:r>
        <w:rPr>
          <w:rFonts w:ascii="Arial" w:hAnsi="Arial" w:cs="Arial"/>
        </w:rPr>
        <w:t xml:space="preserve">Chaturvedi &amp; Khanna, 1982): </w:t>
      </w:r>
    </w:p>
    <w:p w14:paraId="567A42D3" w14:textId="77777777" w:rsidR="00BA521A" w:rsidRDefault="00BD675F">
      <w:pPr>
        <w:jc w:val="center"/>
        <w:rPr>
          <w:rFonts w:ascii="Arial" w:eastAsiaTheme="minorEastAsia" w:hAnsi="Arial" w:cs="Arial"/>
          <w:b/>
        </w:rPr>
      </w:pPr>
      <w:r>
        <w:rPr>
          <w:rFonts w:ascii="Arial" w:hAnsi="Arial" w:cs="Arial"/>
          <w:b/>
          <w:bCs/>
        </w:rPr>
        <w:t>V</w:t>
      </w:r>
      <m:oMath>
        <m:r>
          <m:rPr>
            <m:sty m:val="bi"/>
          </m:rPr>
          <w:rPr>
            <w:rFonts w:ascii="Cambria Math" w:hAnsi="Cambria Math" w:cs="Arial"/>
          </w:rPr>
          <m:t>=π(</m:t>
        </m:r>
        <m:sSup>
          <m:sSupPr>
            <m:ctrlPr>
              <w:rPr>
                <w:rFonts w:ascii="Cambria Math" w:hAnsi="Cambria Math" w:cs="Arial"/>
                <w:b/>
                <w:bCs/>
              </w:rPr>
            </m:ctrlPr>
          </m:sSupPr>
          <m:e>
            <m:r>
              <m:rPr>
                <m:sty m:val="b"/>
              </m:rPr>
              <w:rPr>
                <w:rFonts w:ascii="Cambria Math" w:hAnsi="Cambria Math" w:cs="Arial"/>
              </w:rPr>
              <m:t>D/2)</m:t>
            </m:r>
          </m:e>
          <m:sup>
            <m:r>
              <m:rPr>
                <m:sty m:val="bi"/>
              </m:rPr>
              <w:rPr>
                <w:rFonts w:ascii="Cambria Math" w:hAnsi="Cambria Math" w:cs="Arial"/>
              </w:rPr>
              <m:t>2</m:t>
            </m:r>
          </m:sup>
        </m:sSup>
        <m:r>
          <m:rPr>
            <m:sty m:val="b"/>
          </m:rPr>
          <w:rPr>
            <w:rFonts w:ascii="Cambria Math" w:hAnsi="Cambria Math" w:cs="Arial"/>
          </w:rPr>
          <m:t xml:space="preserve"> x H</m:t>
        </m:r>
      </m:oMath>
    </w:p>
    <w:p w14:paraId="2B627DCF" w14:textId="77777777" w:rsidR="00BA521A" w:rsidRDefault="00BD675F">
      <w:pPr>
        <w:spacing w:line="276" w:lineRule="auto"/>
        <w:jc w:val="both"/>
        <w:rPr>
          <w:rFonts w:ascii="Arial" w:hAnsi="Arial" w:cs="Arial"/>
          <w:szCs w:val="18"/>
        </w:rPr>
      </w:pPr>
      <w:r>
        <w:rPr>
          <w:rFonts w:ascii="Arial" w:hAnsi="Arial" w:cs="Arial"/>
          <w:szCs w:val="18"/>
        </w:rPr>
        <w:t>Where, V= Volume of tree (m</w:t>
      </w:r>
      <w:r>
        <w:rPr>
          <w:rFonts w:ascii="Arial" w:hAnsi="Arial" w:cs="Arial"/>
          <w:szCs w:val="18"/>
          <w:vertAlign w:val="superscript"/>
        </w:rPr>
        <w:t>3</w:t>
      </w:r>
      <w:r>
        <w:rPr>
          <w:rFonts w:ascii="Arial" w:hAnsi="Arial" w:cs="Arial"/>
          <w:szCs w:val="18"/>
        </w:rPr>
        <w:t xml:space="preserve">) </w:t>
      </w:r>
    </w:p>
    <w:p w14:paraId="7C8129EA" w14:textId="77777777" w:rsidR="00BA521A" w:rsidRDefault="00BD675F">
      <w:pPr>
        <w:spacing w:line="276" w:lineRule="auto"/>
        <w:ind w:left="810"/>
        <w:jc w:val="both"/>
        <w:rPr>
          <w:rFonts w:ascii="Arial" w:hAnsi="Arial" w:cs="Arial"/>
          <w:szCs w:val="18"/>
        </w:rPr>
      </w:pPr>
      <w:r>
        <w:rPr>
          <w:rFonts w:ascii="Arial" w:hAnsi="Arial" w:cs="Arial"/>
          <w:szCs w:val="18"/>
        </w:rPr>
        <w:t xml:space="preserve">D= Diameter at breast height (m) </w:t>
      </w:r>
    </w:p>
    <w:p w14:paraId="0231ED4C" w14:textId="77777777" w:rsidR="00BA521A" w:rsidRDefault="00BD675F">
      <w:pPr>
        <w:spacing w:line="276" w:lineRule="auto"/>
        <w:ind w:left="810"/>
        <w:jc w:val="both"/>
        <w:rPr>
          <w:rFonts w:ascii="Arial" w:hAnsi="Arial" w:cs="Arial"/>
          <w:szCs w:val="18"/>
        </w:rPr>
      </w:pPr>
      <w:r>
        <w:rPr>
          <w:rFonts w:ascii="Arial" w:hAnsi="Arial" w:cs="Arial"/>
          <w:szCs w:val="18"/>
        </w:rPr>
        <w:t xml:space="preserve">H= Height of the tree (m) </w:t>
      </w:r>
    </w:p>
    <w:p w14:paraId="506936AE" w14:textId="77777777" w:rsidR="00BA521A" w:rsidRDefault="00BA521A">
      <w:pPr>
        <w:spacing w:line="276" w:lineRule="auto"/>
        <w:ind w:left="810"/>
        <w:jc w:val="both"/>
        <w:rPr>
          <w:rFonts w:ascii="Times New Roman" w:hAnsi="Times New Roman"/>
          <w:sz w:val="24"/>
          <w:szCs w:val="22"/>
        </w:rPr>
      </w:pPr>
    </w:p>
    <w:p w14:paraId="6F638248" w14:textId="77777777" w:rsidR="00BA521A" w:rsidRDefault="00BD675F">
      <w:pPr>
        <w:spacing w:line="276" w:lineRule="auto"/>
        <w:jc w:val="both"/>
        <w:rPr>
          <w:rFonts w:ascii="Arial" w:eastAsia="SimSun" w:hAnsi="Arial" w:cs="Arial"/>
          <w:sz w:val="22"/>
          <w:szCs w:val="22"/>
        </w:rPr>
      </w:pPr>
      <w:r>
        <w:rPr>
          <w:rFonts w:ascii="Arial" w:eastAsia="SimSun" w:hAnsi="Arial" w:cs="Arial"/>
          <w:b/>
          <w:bCs/>
          <w:sz w:val="22"/>
          <w:szCs w:val="22"/>
        </w:rPr>
        <w:t xml:space="preserve">ii. Above ground biomass (AGB): </w:t>
      </w:r>
      <w:r>
        <w:rPr>
          <w:rFonts w:ascii="Arial" w:hAnsi="Arial" w:cs="Arial"/>
          <w:szCs w:val="18"/>
        </w:rPr>
        <w:t>The above ground biomass was estimated by non-destructive method using the following formula</w:t>
      </w:r>
      <w:r>
        <w:rPr>
          <w:rFonts w:ascii="Arial" w:eastAsia="SimSun" w:hAnsi="Arial" w:cs="Arial"/>
          <w:sz w:val="22"/>
          <w:szCs w:val="22"/>
        </w:rPr>
        <w:t>: -</w:t>
      </w:r>
    </w:p>
    <w:p w14:paraId="5D1DACB5" w14:textId="77777777" w:rsidR="00BA521A" w:rsidRDefault="00BA521A">
      <w:pPr>
        <w:spacing w:line="276" w:lineRule="auto"/>
        <w:jc w:val="both"/>
        <w:rPr>
          <w:rFonts w:ascii="Arial" w:eastAsia="SimSun" w:hAnsi="Arial" w:cs="Arial"/>
          <w:sz w:val="22"/>
          <w:szCs w:val="22"/>
        </w:rPr>
      </w:pPr>
    </w:p>
    <w:p w14:paraId="578A0987" w14:textId="77777777" w:rsidR="00BA521A" w:rsidRDefault="00BD675F">
      <w:pPr>
        <w:spacing w:line="276" w:lineRule="auto"/>
        <w:jc w:val="center"/>
        <w:rPr>
          <w:rFonts w:ascii="Arial" w:eastAsia="SimSun" w:hAnsi="Arial" w:cs="Arial"/>
          <w:b/>
          <w:bCs/>
          <w:sz w:val="22"/>
          <w:szCs w:val="22"/>
        </w:rPr>
      </w:pPr>
      <w:r>
        <w:rPr>
          <w:rFonts w:ascii="Arial" w:eastAsia="SimSun" w:hAnsi="Arial" w:cs="Arial"/>
          <w:b/>
          <w:bCs/>
          <w:sz w:val="22"/>
          <w:szCs w:val="22"/>
        </w:rPr>
        <w:t>Above Ground Biomass (Mg ha</w:t>
      </w:r>
      <w:r>
        <w:rPr>
          <w:rFonts w:ascii="Arial" w:eastAsia="SimSun" w:hAnsi="Arial" w:cs="Arial"/>
          <w:b/>
          <w:bCs/>
          <w:sz w:val="22"/>
          <w:szCs w:val="22"/>
          <w:vertAlign w:val="superscript"/>
        </w:rPr>
        <w:t>-1</w:t>
      </w:r>
      <w:r>
        <w:rPr>
          <w:rFonts w:ascii="Arial" w:eastAsia="SimSun" w:hAnsi="Arial" w:cs="Arial"/>
          <w:b/>
          <w:bCs/>
          <w:sz w:val="22"/>
          <w:szCs w:val="22"/>
        </w:rPr>
        <w:t>) = Volume of tree × Species specific gravity</w:t>
      </w:r>
    </w:p>
    <w:p w14:paraId="659C662B" w14:textId="77777777" w:rsidR="00BA521A" w:rsidRDefault="00BA521A">
      <w:pPr>
        <w:spacing w:line="276" w:lineRule="auto"/>
        <w:jc w:val="both"/>
        <w:rPr>
          <w:rFonts w:ascii="Arial" w:eastAsia="SimSun" w:hAnsi="Arial" w:cs="Arial"/>
          <w:sz w:val="22"/>
          <w:szCs w:val="22"/>
        </w:rPr>
      </w:pPr>
    </w:p>
    <w:p w14:paraId="2AACCF64"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iii. Below Ground Biomass (BGB):</w:t>
      </w:r>
      <w:r>
        <w:rPr>
          <w:rFonts w:ascii="Arial" w:eastAsia="SimSun" w:hAnsi="Arial" w:cs="Arial"/>
          <w:sz w:val="22"/>
          <w:szCs w:val="22"/>
        </w:rPr>
        <w:t xml:space="preserve"> </w:t>
      </w:r>
      <w:r>
        <w:rPr>
          <w:rFonts w:ascii="Arial" w:eastAsia="SimSun" w:hAnsi="Arial" w:cs="Arial"/>
        </w:rPr>
        <w:t>It is calculated by multiplying the above ground biomass by 0.26 factor as the root shoot ratio (</w:t>
      </w:r>
      <w:proofErr w:type="spellStart"/>
      <w:r>
        <w:rPr>
          <w:rFonts w:ascii="Arial" w:eastAsia="SimSun" w:hAnsi="Arial" w:cs="Arial"/>
        </w:rPr>
        <w:t>Hangarge</w:t>
      </w:r>
      <w:proofErr w:type="spellEnd"/>
      <w:r>
        <w:rPr>
          <w:rFonts w:ascii="Arial" w:eastAsia="SimSun" w:hAnsi="Arial" w:cs="Arial"/>
        </w:rPr>
        <w:t xml:space="preserve"> </w:t>
      </w:r>
      <w:r>
        <w:rPr>
          <w:rFonts w:ascii="Arial" w:eastAsia="SimSun" w:hAnsi="Arial" w:cs="Arial"/>
          <w:i/>
          <w:iCs/>
        </w:rPr>
        <w:t>et al</w:t>
      </w:r>
      <w:r>
        <w:rPr>
          <w:rFonts w:ascii="Arial" w:eastAsia="SimSun" w:hAnsi="Arial" w:cs="Arial"/>
        </w:rPr>
        <w:t>., 2012)</w:t>
      </w:r>
    </w:p>
    <w:p w14:paraId="6D7410F8" w14:textId="77777777" w:rsidR="00BA521A" w:rsidRDefault="00BA521A">
      <w:pPr>
        <w:spacing w:line="276" w:lineRule="auto"/>
        <w:jc w:val="both"/>
        <w:rPr>
          <w:rFonts w:ascii="Arial" w:eastAsia="SimSun" w:hAnsi="Arial" w:cs="Arial"/>
          <w:sz w:val="22"/>
          <w:szCs w:val="22"/>
        </w:rPr>
      </w:pPr>
    </w:p>
    <w:p w14:paraId="429CEE45" w14:textId="77777777" w:rsidR="00BA521A" w:rsidRDefault="00BD675F">
      <w:pPr>
        <w:spacing w:line="276" w:lineRule="auto"/>
        <w:jc w:val="center"/>
        <w:rPr>
          <w:rFonts w:ascii="Arial" w:eastAsia="SimSun" w:hAnsi="Arial" w:cs="Arial"/>
          <w:b/>
          <w:bCs/>
          <w:sz w:val="22"/>
          <w:szCs w:val="22"/>
        </w:rPr>
      </w:pPr>
      <w:r>
        <w:rPr>
          <w:rFonts w:ascii="Arial" w:eastAsia="SimSun" w:hAnsi="Arial" w:cs="Arial"/>
          <w:b/>
          <w:bCs/>
          <w:sz w:val="22"/>
          <w:szCs w:val="22"/>
        </w:rPr>
        <w:t>Below Ground Biomass</w:t>
      </w:r>
      <w:r>
        <w:rPr>
          <w:rFonts w:ascii="Arial" w:eastAsia="SimSun" w:hAnsi="Arial" w:cs="Arial"/>
          <w:sz w:val="22"/>
          <w:szCs w:val="22"/>
        </w:rPr>
        <w:t xml:space="preserve"> </w:t>
      </w:r>
      <w:r>
        <w:rPr>
          <w:rFonts w:ascii="Arial" w:eastAsia="SimSun" w:hAnsi="Arial" w:cs="Arial"/>
          <w:b/>
          <w:bCs/>
          <w:sz w:val="22"/>
          <w:szCs w:val="22"/>
        </w:rPr>
        <w:t>(Mg ha</w:t>
      </w:r>
      <w:r>
        <w:rPr>
          <w:rFonts w:ascii="Arial" w:eastAsia="SimSun" w:hAnsi="Arial" w:cs="Arial"/>
          <w:b/>
          <w:bCs/>
          <w:sz w:val="22"/>
          <w:szCs w:val="22"/>
          <w:vertAlign w:val="superscript"/>
        </w:rPr>
        <w:t>-1</w:t>
      </w:r>
      <w:r>
        <w:rPr>
          <w:rFonts w:ascii="Arial" w:eastAsia="SimSun" w:hAnsi="Arial" w:cs="Arial"/>
          <w:b/>
          <w:bCs/>
          <w:sz w:val="22"/>
          <w:szCs w:val="22"/>
        </w:rPr>
        <w:t>) = AGB x 0.26</w:t>
      </w:r>
    </w:p>
    <w:p w14:paraId="196D96B9" w14:textId="77777777" w:rsidR="00BA521A" w:rsidRDefault="00BA521A">
      <w:pPr>
        <w:spacing w:line="276" w:lineRule="auto"/>
        <w:jc w:val="center"/>
        <w:rPr>
          <w:rFonts w:ascii="Arial" w:eastAsia="SimSun" w:hAnsi="Arial" w:cs="Arial"/>
          <w:sz w:val="22"/>
          <w:szCs w:val="22"/>
        </w:rPr>
      </w:pPr>
    </w:p>
    <w:p w14:paraId="1C3BFFE4"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 xml:space="preserve">iv. Total Biomass: </w:t>
      </w:r>
      <w:r>
        <w:rPr>
          <w:rFonts w:ascii="Arial" w:eastAsia="SimSun" w:hAnsi="Arial" w:cs="Arial"/>
        </w:rPr>
        <w:t xml:space="preserve">It is the sum of above ground biomass and below ground biomass (Sheikh </w:t>
      </w:r>
      <w:r>
        <w:rPr>
          <w:rFonts w:ascii="Arial" w:eastAsia="SimSun" w:hAnsi="Arial" w:cs="Arial"/>
          <w:i/>
          <w:iCs/>
        </w:rPr>
        <w:t>et al</w:t>
      </w:r>
      <w:r>
        <w:rPr>
          <w:rFonts w:ascii="Arial" w:eastAsia="SimSun" w:hAnsi="Arial" w:cs="Arial"/>
        </w:rPr>
        <w:t>., 2011)</w:t>
      </w:r>
    </w:p>
    <w:p w14:paraId="44D488A6" w14:textId="77777777" w:rsidR="00BA521A" w:rsidRDefault="00BD675F">
      <w:pPr>
        <w:spacing w:line="276" w:lineRule="auto"/>
        <w:jc w:val="center"/>
        <w:rPr>
          <w:rFonts w:ascii="Arial" w:eastAsia="SimSun" w:hAnsi="Arial" w:cs="Arial"/>
          <w:b/>
          <w:bCs/>
          <w:sz w:val="22"/>
          <w:szCs w:val="22"/>
        </w:rPr>
      </w:pPr>
      <w:r>
        <w:rPr>
          <w:rFonts w:ascii="Arial" w:eastAsia="SimSun" w:hAnsi="Arial" w:cs="Arial"/>
          <w:b/>
          <w:bCs/>
          <w:sz w:val="22"/>
          <w:szCs w:val="22"/>
        </w:rPr>
        <w:t>Total Biomass</w:t>
      </w:r>
      <w:r>
        <w:rPr>
          <w:rFonts w:ascii="Arial" w:eastAsia="SimSun" w:hAnsi="Arial" w:cs="Arial"/>
          <w:sz w:val="22"/>
          <w:szCs w:val="22"/>
        </w:rPr>
        <w:t xml:space="preserve"> </w:t>
      </w:r>
      <w:r>
        <w:rPr>
          <w:rFonts w:ascii="Arial" w:eastAsia="SimSun" w:hAnsi="Arial" w:cs="Arial"/>
          <w:b/>
          <w:bCs/>
          <w:sz w:val="22"/>
          <w:szCs w:val="22"/>
        </w:rPr>
        <w:t>(Mg ha</w:t>
      </w:r>
      <w:r>
        <w:rPr>
          <w:rFonts w:ascii="Arial" w:eastAsia="SimSun" w:hAnsi="Arial" w:cs="Arial"/>
          <w:b/>
          <w:bCs/>
          <w:sz w:val="22"/>
          <w:szCs w:val="22"/>
          <w:vertAlign w:val="superscript"/>
        </w:rPr>
        <w:t>-1</w:t>
      </w:r>
      <w:r>
        <w:rPr>
          <w:rFonts w:ascii="Arial" w:eastAsia="SimSun" w:hAnsi="Arial" w:cs="Arial"/>
          <w:b/>
          <w:bCs/>
          <w:sz w:val="22"/>
          <w:szCs w:val="22"/>
        </w:rPr>
        <w:t>) = AGB + BGB</w:t>
      </w:r>
    </w:p>
    <w:p w14:paraId="288B1256" w14:textId="77777777" w:rsidR="00BA521A" w:rsidRDefault="00BA521A">
      <w:pPr>
        <w:spacing w:line="276" w:lineRule="auto"/>
        <w:jc w:val="center"/>
        <w:rPr>
          <w:rFonts w:ascii="Arial" w:eastAsia="SimSun" w:hAnsi="Arial" w:cs="Arial"/>
          <w:b/>
          <w:bCs/>
          <w:sz w:val="22"/>
          <w:szCs w:val="22"/>
        </w:rPr>
      </w:pPr>
    </w:p>
    <w:p w14:paraId="7A4B3266" w14:textId="77777777" w:rsidR="00BA521A" w:rsidRDefault="00BD675F">
      <w:pPr>
        <w:spacing w:line="276" w:lineRule="auto"/>
        <w:jc w:val="both"/>
        <w:rPr>
          <w:rFonts w:ascii="Arial" w:hAnsi="Arial" w:cs="Arial"/>
          <w:b/>
          <w:bCs/>
          <w:szCs w:val="18"/>
        </w:rPr>
      </w:pPr>
      <w:r>
        <w:rPr>
          <w:rFonts w:ascii="Arial" w:hAnsi="Arial" w:cs="Arial"/>
          <w:b/>
          <w:bCs/>
          <w:sz w:val="22"/>
        </w:rPr>
        <w:t xml:space="preserve">v. </w:t>
      </w:r>
      <w:r>
        <w:rPr>
          <w:rFonts w:ascii="Arial" w:hAnsi="Arial" w:cs="Arial"/>
          <w:szCs w:val="18"/>
        </w:rPr>
        <w:t xml:space="preserve">The proportion of </w:t>
      </w:r>
      <w:proofErr w:type="spellStart"/>
      <w:r>
        <w:rPr>
          <w:rFonts w:ascii="Arial" w:hAnsi="Arial" w:cs="Arial"/>
          <w:szCs w:val="18"/>
        </w:rPr>
        <w:t>stemwood</w:t>
      </w:r>
      <w:proofErr w:type="spellEnd"/>
      <w:r>
        <w:rPr>
          <w:rFonts w:ascii="Arial" w:hAnsi="Arial" w:cs="Arial"/>
          <w:szCs w:val="18"/>
        </w:rPr>
        <w:t xml:space="preserve"> used for long-lived products is estimated to be 42% (Wang and Feng, 1995). Therefore, </w:t>
      </w:r>
    </w:p>
    <w:p w14:paraId="31D965FF" w14:textId="77777777" w:rsidR="00BA521A" w:rsidRDefault="00BD675F">
      <w:pPr>
        <w:spacing w:line="276" w:lineRule="auto"/>
        <w:jc w:val="center"/>
        <w:rPr>
          <w:rFonts w:ascii="Arial" w:hAnsi="Arial" w:cs="Arial"/>
          <w:b/>
          <w:bCs/>
          <w:sz w:val="22"/>
        </w:rPr>
      </w:pPr>
      <w:r>
        <w:rPr>
          <w:rFonts w:ascii="Arial" w:hAnsi="Arial" w:cs="Arial"/>
          <w:b/>
          <w:bCs/>
          <w:sz w:val="22"/>
        </w:rPr>
        <w:t xml:space="preserve">Long-lived carbon storage = carbon mass in </w:t>
      </w:r>
      <w:proofErr w:type="spellStart"/>
      <w:r>
        <w:rPr>
          <w:rFonts w:ascii="Arial" w:hAnsi="Arial" w:cs="Arial"/>
          <w:b/>
          <w:bCs/>
          <w:sz w:val="22"/>
        </w:rPr>
        <w:t>stemwood</w:t>
      </w:r>
      <w:proofErr w:type="spellEnd"/>
      <w:r>
        <w:rPr>
          <w:rFonts w:ascii="Arial" w:hAnsi="Arial" w:cs="Arial"/>
          <w:b/>
          <w:bCs/>
          <w:sz w:val="22"/>
        </w:rPr>
        <w:t xml:space="preserve"> × 42%</w:t>
      </w:r>
    </w:p>
    <w:p w14:paraId="0D3C4ECB" w14:textId="77777777" w:rsidR="00BA521A" w:rsidRDefault="00BD675F">
      <w:pPr>
        <w:spacing w:line="276" w:lineRule="auto"/>
        <w:jc w:val="both"/>
        <w:rPr>
          <w:rFonts w:ascii="Arial" w:hAnsi="Arial" w:cs="Arial"/>
          <w:szCs w:val="18"/>
        </w:rPr>
      </w:pPr>
      <w:r>
        <w:rPr>
          <w:rFonts w:ascii="Arial" w:hAnsi="Arial" w:cs="Arial"/>
          <w:b/>
          <w:bCs/>
          <w:sz w:val="22"/>
        </w:rPr>
        <w:t>vi.</w:t>
      </w:r>
      <w:r>
        <w:rPr>
          <w:rFonts w:ascii="Arial" w:hAnsi="Arial" w:cs="Arial"/>
          <w:sz w:val="22"/>
        </w:rPr>
        <w:t xml:space="preserve"> </w:t>
      </w:r>
      <w:r>
        <w:rPr>
          <w:rFonts w:ascii="Arial" w:hAnsi="Arial" w:cs="Arial"/>
          <w:szCs w:val="18"/>
        </w:rPr>
        <w:t xml:space="preserve">It is assumed that short-lived biomass (branches) can be used as fuel. The weight of biomass fuel equals the total biomass weight minus the long-lived </w:t>
      </w:r>
      <w:proofErr w:type="spellStart"/>
      <w:r>
        <w:rPr>
          <w:rFonts w:ascii="Arial" w:hAnsi="Arial" w:cs="Arial"/>
          <w:szCs w:val="18"/>
        </w:rPr>
        <w:t>stemwood</w:t>
      </w:r>
      <w:proofErr w:type="spellEnd"/>
      <w:r>
        <w:rPr>
          <w:rFonts w:ascii="Arial" w:hAnsi="Arial" w:cs="Arial"/>
          <w:szCs w:val="18"/>
        </w:rPr>
        <w:t xml:space="preserve"> weight. Since the heat released per unit weight of biomass is taken as 18 × l0</w:t>
      </w:r>
      <w:r>
        <w:rPr>
          <w:rFonts w:ascii="Arial" w:hAnsi="Arial" w:cs="Arial"/>
          <w:szCs w:val="18"/>
          <w:vertAlign w:val="superscript"/>
        </w:rPr>
        <w:t>9</w:t>
      </w:r>
      <w:r>
        <w:rPr>
          <w:rFonts w:ascii="Arial" w:hAnsi="Arial" w:cs="Arial"/>
          <w:szCs w:val="18"/>
        </w:rPr>
        <w:t xml:space="preserve"> J ton</w:t>
      </w:r>
      <w:r>
        <w:rPr>
          <w:rFonts w:ascii="Arial" w:hAnsi="Arial" w:cs="Arial"/>
          <w:szCs w:val="18"/>
          <w:vertAlign w:val="superscript"/>
        </w:rPr>
        <w:t>-1</w:t>
      </w:r>
      <w:r>
        <w:rPr>
          <w:rFonts w:ascii="Arial" w:hAnsi="Arial" w:cs="Arial"/>
          <w:szCs w:val="18"/>
        </w:rPr>
        <w:t xml:space="preserve">, therefore </w:t>
      </w:r>
    </w:p>
    <w:p w14:paraId="2D47BBB2" w14:textId="77777777" w:rsidR="00BA521A" w:rsidRDefault="00BA521A">
      <w:pPr>
        <w:spacing w:line="276" w:lineRule="auto"/>
        <w:jc w:val="both"/>
        <w:rPr>
          <w:rFonts w:ascii="Arial" w:hAnsi="Arial" w:cs="Arial"/>
          <w:sz w:val="22"/>
        </w:rPr>
      </w:pPr>
    </w:p>
    <w:p w14:paraId="5DA76BEE" w14:textId="77777777" w:rsidR="00BA521A" w:rsidRDefault="00BD675F">
      <w:pPr>
        <w:spacing w:line="276" w:lineRule="auto"/>
        <w:jc w:val="center"/>
        <w:rPr>
          <w:rFonts w:ascii="Arial" w:hAnsi="Arial" w:cs="Arial"/>
          <w:b/>
          <w:bCs/>
          <w:szCs w:val="18"/>
          <w:vertAlign w:val="superscript"/>
        </w:rPr>
      </w:pPr>
      <w:r>
        <w:rPr>
          <w:rFonts w:ascii="Arial" w:hAnsi="Arial" w:cs="Arial"/>
          <w:b/>
          <w:bCs/>
          <w:szCs w:val="18"/>
        </w:rPr>
        <w:t>Heat from biomass combustion = {biomass - (stem wood weight × 0.42)} × 18 × 10</w:t>
      </w:r>
      <w:r>
        <w:rPr>
          <w:rFonts w:ascii="Arial" w:hAnsi="Arial" w:cs="Arial"/>
          <w:b/>
          <w:bCs/>
          <w:szCs w:val="18"/>
          <w:vertAlign w:val="superscript"/>
        </w:rPr>
        <w:t>9</w:t>
      </w:r>
    </w:p>
    <w:p w14:paraId="7AE46D69" w14:textId="77777777" w:rsidR="00BA521A" w:rsidRDefault="00BA521A">
      <w:pPr>
        <w:spacing w:line="276" w:lineRule="auto"/>
        <w:jc w:val="center"/>
        <w:rPr>
          <w:rFonts w:ascii="Arial" w:hAnsi="Arial" w:cs="Arial"/>
          <w:b/>
          <w:bCs/>
          <w:sz w:val="22"/>
        </w:rPr>
      </w:pPr>
    </w:p>
    <w:p w14:paraId="16871413" w14:textId="77777777" w:rsidR="00BA521A" w:rsidRDefault="00BD675F">
      <w:pPr>
        <w:spacing w:line="276" w:lineRule="auto"/>
        <w:jc w:val="both"/>
        <w:rPr>
          <w:rFonts w:ascii="Arial" w:hAnsi="Arial" w:cs="Arial"/>
          <w:szCs w:val="18"/>
        </w:rPr>
      </w:pPr>
      <w:r>
        <w:rPr>
          <w:rFonts w:ascii="Arial" w:hAnsi="Arial" w:cs="Arial"/>
          <w:b/>
          <w:bCs/>
          <w:sz w:val="22"/>
        </w:rPr>
        <w:t xml:space="preserve">vii. </w:t>
      </w:r>
      <w:r>
        <w:rPr>
          <w:rFonts w:ascii="Arial" w:hAnsi="Arial" w:cs="Arial"/>
          <w:szCs w:val="18"/>
        </w:rPr>
        <w:t>The thermal efficiency of biomass combustion is only 60% of that achieved with fossil fuels. If the heat released from combustion of unit weight of coal is taken as 25 × l0</w:t>
      </w:r>
      <w:r>
        <w:rPr>
          <w:rFonts w:ascii="Arial" w:hAnsi="Arial" w:cs="Arial"/>
          <w:szCs w:val="18"/>
          <w:vertAlign w:val="superscript"/>
        </w:rPr>
        <w:t>6</w:t>
      </w:r>
      <w:r>
        <w:rPr>
          <w:rFonts w:ascii="Arial" w:hAnsi="Arial" w:cs="Arial"/>
          <w:szCs w:val="18"/>
        </w:rPr>
        <w:t xml:space="preserve"> J ton</w:t>
      </w:r>
      <w:r>
        <w:rPr>
          <w:rFonts w:ascii="Arial" w:hAnsi="Arial" w:cs="Arial"/>
          <w:szCs w:val="18"/>
          <w:vertAlign w:val="superscript"/>
        </w:rPr>
        <w:t>-1</w:t>
      </w:r>
      <w:r>
        <w:rPr>
          <w:rFonts w:ascii="Arial" w:hAnsi="Arial" w:cs="Arial"/>
          <w:szCs w:val="18"/>
        </w:rPr>
        <w:t xml:space="preserve"> and the carbon content of coal is 70%, then,</w:t>
      </w:r>
    </w:p>
    <w:p w14:paraId="28466130" w14:textId="77777777" w:rsidR="00BA521A" w:rsidRDefault="00BD675F">
      <w:pPr>
        <w:spacing w:line="276" w:lineRule="auto"/>
        <w:jc w:val="both"/>
        <w:rPr>
          <w:rFonts w:ascii="Arial" w:hAnsi="Arial" w:cs="Arial"/>
          <w:sz w:val="22"/>
        </w:rPr>
      </w:pPr>
      <w:r>
        <w:rPr>
          <w:rFonts w:ascii="Arial" w:hAnsi="Arial" w:cs="Arial"/>
          <w:sz w:val="22"/>
        </w:rPr>
        <w:t xml:space="preserve"> </w:t>
      </w:r>
    </w:p>
    <w:p w14:paraId="0A2CFD5E" w14:textId="77777777" w:rsidR="00BA521A" w:rsidRDefault="00BD675F">
      <w:pPr>
        <w:spacing w:line="276" w:lineRule="auto"/>
        <w:ind w:left="6120" w:right="-563" w:hanging="6120"/>
        <w:jc w:val="both"/>
        <w:rPr>
          <w:rFonts w:ascii="Arial" w:hAnsi="Arial" w:cs="Arial"/>
          <w:b/>
          <w:bCs/>
          <w:szCs w:val="18"/>
        </w:rPr>
      </w:pPr>
      <w:r>
        <w:rPr>
          <w:rFonts w:ascii="Arial" w:hAnsi="Arial" w:cs="Arial"/>
          <w:b/>
          <w:bCs/>
          <w:szCs w:val="18"/>
        </w:rPr>
        <w:t xml:space="preserve">Carbon storage from coal combustion = (heat of biomass combustion × 0.60 × 0.70)/ </w:t>
      </w:r>
    </w:p>
    <w:p w14:paraId="2F0B34A6" w14:textId="77777777" w:rsidR="00BA521A" w:rsidRDefault="00BD675F">
      <w:pPr>
        <w:spacing w:line="276" w:lineRule="auto"/>
        <w:ind w:left="6120" w:right="-563" w:firstLine="990"/>
        <w:jc w:val="both"/>
        <w:rPr>
          <w:rFonts w:ascii="Arial" w:hAnsi="Arial" w:cs="Arial"/>
          <w:b/>
          <w:bCs/>
          <w:szCs w:val="18"/>
        </w:rPr>
      </w:pPr>
      <w:r>
        <w:rPr>
          <w:rFonts w:ascii="Arial" w:hAnsi="Arial" w:cs="Arial"/>
          <w:b/>
          <w:bCs/>
          <w:szCs w:val="18"/>
        </w:rPr>
        <w:t>(25 × 10</w:t>
      </w:r>
      <w:r>
        <w:rPr>
          <w:rFonts w:ascii="Arial" w:hAnsi="Arial" w:cs="Arial"/>
          <w:b/>
          <w:bCs/>
          <w:szCs w:val="18"/>
          <w:vertAlign w:val="superscript"/>
        </w:rPr>
        <w:t>9</w:t>
      </w:r>
      <w:r>
        <w:rPr>
          <w:rFonts w:ascii="Arial" w:hAnsi="Arial" w:cs="Arial"/>
          <w:b/>
          <w:bCs/>
          <w:szCs w:val="18"/>
        </w:rPr>
        <w:t>)</w:t>
      </w:r>
    </w:p>
    <w:p w14:paraId="5BEF7F59" w14:textId="77777777" w:rsidR="00BA521A" w:rsidRDefault="00BA521A">
      <w:pPr>
        <w:spacing w:line="276" w:lineRule="auto"/>
        <w:ind w:right="-563"/>
        <w:jc w:val="both"/>
        <w:rPr>
          <w:rFonts w:ascii="Arial" w:hAnsi="Arial" w:cs="Arial"/>
          <w:b/>
          <w:bCs/>
          <w:sz w:val="22"/>
        </w:rPr>
      </w:pPr>
    </w:p>
    <w:p w14:paraId="0DF55845"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viii. Total Carbon stock:</w:t>
      </w:r>
      <w:r>
        <w:rPr>
          <w:rFonts w:ascii="Arial" w:eastAsia="SimSun" w:hAnsi="Arial" w:cs="Arial"/>
          <w:sz w:val="22"/>
          <w:szCs w:val="22"/>
        </w:rPr>
        <w:t xml:space="preserve"> </w:t>
      </w:r>
      <w:r>
        <w:rPr>
          <w:rFonts w:ascii="Arial" w:eastAsia="SimSun" w:hAnsi="Arial" w:cs="Arial"/>
        </w:rPr>
        <w:t xml:space="preserve">Carbon stock was estimated from the total biomass by multiplying with IPCC default carbon fraction of 0.50 quoted by Ravindranath </w:t>
      </w:r>
      <w:r>
        <w:rPr>
          <w:rFonts w:ascii="Arial" w:eastAsia="SimSun" w:hAnsi="Arial" w:cs="Arial"/>
          <w:i/>
          <w:iCs/>
        </w:rPr>
        <w:t>et al</w:t>
      </w:r>
      <w:r>
        <w:rPr>
          <w:rFonts w:ascii="Arial" w:eastAsia="SimSun" w:hAnsi="Arial" w:cs="Arial"/>
        </w:rPr>
        <w:t>. (1997) as follows.</w:t>
      </w:r>
    </w:p>
    <w:p w14:paraId="184807DD" w14:textId="77777777" w:rsidR="00BA521A" w:rsidRDefault="00BD675F">
      <w:pPr>
        <w:spacing w:line="276" w:lineRule="auto"/>
        <w:ind w:left="1440"/>
        <w:jc w:val="both"/>
        <w:rPr>
          <w:rFonts w:ascii="Arial" w:hAnsi="Arial" w:cs="Arial"/>
          <w:b/>
          <w:bCs/>
        </w:rPr>
      </w:pPr>
      <w:r>
        <w:rPr>
          <w:rFonts w:ascii="Arial" w:hAnsi="Arial" w:cs="Arial"/>
          <w:b/>
          <w:bCs/>
        </w:rPr>
        <w:t xml:space="preserve">Carbon stock (Mg C </w:t>
      </w:r>
      <w:r>
        <w:rPr>
          <w:rFonts w:ascii="Arial" w:eastAsia="SimSun" w:hAnsi="Arial" w:cs="Arial"/>
          <w:b/>
          <w:bCs/>
        </w:rPr>
        <w:t>ha</w:t>
      </w:r>
      <w:r>
        <w:rPr>
          <w:rFonts w:ascii="Arial" w:eastAsia="SimSun" w:hAnsi="Arial" w:cs="Arial"/>
          <w:b/>
          <w:bCs/>
          <w:vertAlign w:val="superscript"/>
        </w:rPr>
        <w:t>-1</w:t>
      </w:r>
      <w:r>
        <w:rPr>
          <w:rFonts w:ascii="Arial" w:hAnsi="Arial" w:cs="Arial"/>
          <w:b/>
          <w:bCs/>
        </w:rPr>
        <w:t>) = Total Biomass (Mg C ha</w:t>
      </w:r>
      <w:r>
        <w:rPr>
          <w:rFonts w:ascii="Arial" w:hAnsi="Arial" w:cs="Arial"/>
          <w:b/>
          <w:bCs/>
          <w:vertAlign w:val="superscript"/>
        </w:rPr>
        <w:t>-1</w:t>
      </w:r>
      <w:r>
        <w:rPr>
          <w:rFonts w:ascii="Arial" w:hAnsi="Arial" w:cs="Arial"/>
          <w:b/>
          <w:bCs/>
        </w:rPr>
        <w:t>) × 0.50</w:t>
      </w:r>
    </w:p>
    <w:p w14:paraId="1E6276FD" w14:textId="77777777" w:rsidR="00BA521A" w:rsidRDefault="00BA521A">
      <w:pPr>
        <w:spacing w:line="276" w:lineRule="auto"/>
        <w:ind w:left="1440" w:firstLine="720"/>
        <w:jc w:val="both"/>
        <w:rPr>
          <w:rFonts w:ascii="Arial" w:eastAsia="SimSun" w:hAnsi="Arial" w:cs="Arial"/>
          <w:sz w:val="22"/>
          <w:szCs w:val="22"/>
        </w:rPr>
      </w:pPr>
    </w:p>
    <w:p w14:paraId="427B893F"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 xml:space="preserve">ix. Total Carbon dioxide sequestered: </w:t>
      </w:r>
      <w:r>
        <w:rPr>
          <w:rFonts w:ascii="Arial" w:hAnsi="Arial" w:cs="Arial"/>
          <w:szCs w:val="18"/>
        </w:rPr>
        <w:t>The estimated carbon stocks were converted into CO</w:t>
      </w:r>
      <w:r>
        <w:rPr>
          <w:rFonts w:ascii="Arial" w:hAnsi="Arial" w:cs="Arial"/>
          <w:szCs w:val="18"/>
          <w:vertAlign w:val="subscript"/>
        </w:rPr>
        <w:t>2</w:t>
      </w:r>
      <w:r>
        <w:rPr>
          <w:rFonts w:ascii="Arial" w:hAnsi="Arial" w:cs="Arial"/>
          <w:szCs w:val="18"/>
        </w:rPr>
        <w:t xml:space="preserve"> equivalents (quantity of C </w:t>
      </w:r>
      <w:r>
        <w:rPr>
          <w:rFonts w:ascii="Arial" w:hAnsi="Arial" w:cs="Arial"/>
          <w:b/>
          <w:bCs/>
          <w:szCs w:val="18"/>
        </w:rPr>
        <w:t>×</w:t>
      </w:r>
      <w:r>
        <w:rPr>
          <w:rFonts w:ascii="Arial" w:hAnsi="Arial" w:cs="Arial"/>
          <w:szCs w:val="18"/>
        </w:rPr>
        <w:t xml:space="preserve"> 44/12) for calculating CO</w:t>
      </w:r>
      <w:r>
        <w:rPr>
          <w:rFonts w:ascii="Arial" w:hAnsi="Arial" w:cs="Arial"/>
          <w:szCs w:val="18"/>
          <w:vertAlign w:val="subscript"/>
        </w:rPr>
        <w:t xml:space="preserve">2 </w:t>
      </w:r>
      <w:r>
        <w:rPr>
          <w:rFonts w:ascii="Arial" w:hAnsi="Arial" w:cs="Arial"/>
          <w:szCs w:val="18"/>
        </w:rPr>
        <w:t xml:space="preserve">assimilation by biomass of trees. </w:t>
      </w:r>
      <w:r>
        <w:rPr>
          <w:rFonts w:ascii="Arial" w:eastAsia="SimSun" w:hAnsi="Arial" w:cs="Arial"/>
        </w:rPr>
        <w:t>Therefore, to determine the weight of carbon dioxide sequestered in the tree, multiply the weight of carbon in the tree by 3.67 (Johnson and Coburn, 2010).</w:t>
      </w:r>
    </w:p>
    <w:p w14:paraId="712D4F24" w14:textId="77777777" w:rsidR="00BA521A" w:rsidRDefault="00BA521A">
      <w:pPr>
        <w:spacing w:line="276" w:lineRule="auto"/>
        <w:jc w:val="both"/>
        <w:rPr>
          <w:rFonts w:ascii="Arial" w:hAnsi="Arial" w:cs="Arial"/>
          <w:szCs w:val="18"/>
        </w:rPr>
      </w:pPr>
    </w:p>
    <w:p w14:paraId="184D1EB7" w14:textId="77777777" w:rsidR="00BA521A" w:rsidRDefault="00BD675F">
      <w:pPr>
        <w:spacing w:line="276" w:lineRule="auto"/>
        <w:jc w:val="center"/>
        <w:rPr>
          <w:rFonts w:ascii="Arial" w:eastAsia="SimSun" w:hAnsi="Arial" w:cs="Arial"/>
          <w:b/>
          <w:bCs/>
        </w:rPr>
      </w:pPr>
      <w:r>
        <w:rPr>
          <w:rFonts w:ascii="Arial" w:eastAsia="SimSun" w:hAnsi="Arial" w:cs="Arial"/>
          <w:b/>
          <w:bCs/>
        </w:rPr>
        <w:t>Carbon dioxide sequestered (Mg C ha</w:t>
      </w:r>
      <w:r>
        <w:rPr>
          <w:rFonts w:ascii="Arial" w:eastAsia="SimSun" w:hAnsi="Arial" w:cs="Arial"/>
          <w:b/>
          <w:bCs/>
          <w:vertAlign w:val="superscript"/>
        </w:rPr>
        <w:t>-1</w:t>
      </w:r>
      <w:r>
        <w:rPr>
          <w:rFonts w:ascii="Arial" w:eastAsia="SimSun" w:hAnsi="Arial" w:cs="Arial"/>
          <w:b/>
          <w:bCs/>
        </w:rPr>
        <w:t xml:space="preserve">) = </w:t>
      </w:r>
      <w:r>
        <w:rPr>
          <w:rFonts w:ascii="Arial" w:hAnsi="Arial" w:cs="Arial"/>
          <w:b/>
          <w:bCs/>
        </w:rPr>
        <w:t>Carbon stock</w:t>
      </w:r>
      <w:r>
        <w:rPr>
          <w:rFonts w:ascii="Arial" w:eastAsia="SimSun" w:hAnsi="Arial" w:cs="Arial"/>
          <w:b/>
          <w:bCs/>
        </w:rPr>
        <w:t xml:space="preserve"> × 3.67</w:t>
      </w:r>
    </w:p>
    <w:p w14:paraId="61A00A60" w14:textId="77777777" w:rsidR="00BA521A" w:rsidRDefault="00BA521A">
      <w:pPr>
        <w:spacing w:line="276" w:lineRule="auto"/>
        <w:jc w:val="center"/>
        <w:rPr>
          <w:rFonts w:ascii="Arial" w:eastAsia="SimSun" w:hAnsi="Arial" w:cs="Arial"/>
          <w:b/>
          <w:bCs/>
          <w:sz w:val="22"/>
          <w:szCs w:val="22"/>
        </w:rPr>
      </w:pPr>
    </w:p>
    <w:p w14:paraId="53BAF20B" w14:textId="77777777" w:rsidR="00BA521A" w:rsidRDefault="00BD675F">
      <w:pPr>
        <w:spacing w:line="276" w:lineRule="auto"/>
        <w:jc w:val="both"/>
        <w:rPr>
          <w:rFonts w:ascii="Arial" w:hAnsi="Arial" w:cs="Arial"/>
          <w:szCs w:val="18"/>
        </w:rPr>
      </w:pPr>
      <w:r>
        <w:rPr>
          <w:rFonts w:ascii="Arial" w:hAnsi="Arial" w:cs="Arial"/>
          <w:b/>
          <w:bCs/>
          <w:sz w:val="22"/>
        </w:rPr>
        <w:t>x.</w:t>
      </w:r>
      <w:r>
        <w:rPr>
          <w:rFonts w:ascii="Arial" w:hAnsi="Arial" w:cs="Arial"/>
          <w:sz w:val="22"/>
        </w:rPr>
        <w:t xml:space="preserve"> </w:t>
      </w:r>
      <w:r>
        <w:rPr>
          <w:rFonts w:ascii="Arial" w:hAnsi="Arial" w:cs="Arial"/>
          <w:szCs w:val="18"/>
        </w:rPr>
        <w:t>Soil organic carbon, texture and bulk density were determined according to Walkley and Black (1934). Soil carbon stocks were considered up to 30 cm soil depth only as per the guidelines of IPCC. Soil carbon stock was computed by multiplying the soil organic carbon (g kg</w:t>
      </w:r>
      <w:r>
        <w:rPr>
          <w:rFonts w:ascii="Arial" w:hAnsi="Arial" w:cs="Arial"/>
          <w:szCs w:val="18"/>
          <w:vertAlign w:val="superscript"/>
        </w:rPr>
        <w:t>-1</w:t>
      </w:r>
      <w:r>
        <w:rPr>
          <w:rFonts w:ascii="Arial" w:hAnsi="Arial" w:cs="Arial"/>
          <w:szCs w:val="18"/>
        </w:rPr>
        <w:t>) by bulk density (g cm</w:t>
      </w:r>
      <w:r>
        <w:rPr>
          <w:rFonts w:ascii="Arial" w:hAnsi="Arial" w:cs="Arial"/>
          <w:szCs w:val="18"/>
          <w:vertAlign w:val="superscript"/>
        </w:rPr>
        <w:t>-3</w:t>
      </w:r>
      <w:r>
        <w:rPr>
          <w:rFonts w:ascii="Arial" w:hAnsi="Arial" w:cs="Arial"/>
          <w:szCs w:val="18"/>
        </w:rPr>
        <w:t>) and depth (cm) and is expressed in Mg ha</w:t>
      </w:r>
      <w:r>
        <w:rPr>
          <w:rFonts w:ascii="Arial" w:hAnsi="Arial" w:cs="Arial"/>
          <w:szCs w:val="18"/>
          <w:vertAlign w:val="superscript"/>
        </w:rPr>
        <w:t>-1</w:t>
      </w:r>
      <w:r>
        <w:rPr>
          <w:rFonts w:ascii="Arial" w:hAnsi="Arial" w:cs="Arial"/>
          <w:szCs w:val="18"/>
        </w:rPr>
        <w:t>.</w:t>
      </w:r>
    </w:p>
    <w:p w14:paraId="3C74DA35" w14:textId="77777777" w:rsidR="00BA521A" w:rsidRDefault="00BA521A">
      <w:pPr>
        <w:spacing w:line="276" w:lineRule="auto"/>
        <w:jc w:val="both"/>
        <w:rPr>
          <w:rFonts w:ascii="Arial" w:hAnsi="Arial" w:cs="Arial"/>
          <w:sz w:val="22"/>
        </w:rPr>
      </w:pPr>
    </w:p>
    <w:p w14:paraId="45E482C9" w14:textId="77777777" w:rsidR="00BA521A" w:rsidRDefault="00BD675F">
      <w:pPr>
        <w:spacing w:line="276" w:lineRule="auto"/>
        <w:jc w:val="center"/>
        <w:rPr>
          <w:rFonts w:ascii="Arial" w:hAnsi="Arial" w:cs="Arial"/>
          <w:b/>
          <w:bCs/>
          <w:szCs w:val="18"/>
        </w:rPr>
      </w:pPr>
      <w:proofErr w:type="spellStart"/>
      <w:r>
        <w:rPr>
          <w:rFonts w:ascii="Arial" w:hAnsi="Arial" w:cs="Arial"/>
          <w:b/>
          <w:bCs/>
          <w:szCs w:val="18"/>
        </w:rPr>
        <w:t>SOC</w:t>
      </w:r>
      <w:r>
        <w:rPr>
          <w:rFonts w:ascii="Arial" w:hAnsi="Arial" w:cs="Arial"/>
          <w:b/>
          <w:bCs/>
          <w:szCs w:val="18"/>
          <w:vertAlign w:val="subscript"/>
        </w:rPr>
        <w:t>Stock</w:t>
      </w:r>
      <w:proofErr w:type="spellEnd"/>
      <w:r>
        <w:rPr>
          <w:rFonts w:ascii="Arial" w:hAnsi="Arial" w:cs="Arial"/>
          <w:b/>
          <w:bCs/>
          <w:szCs w:val="18"/>
        </w:rPr>
        <w:t xml:space="preserve"> = BD × D × SOC</w:t>
      </w:r>
    </w:p>
    <w:p w14:paraId="6A7A3D59" w14:textId="77777777" w:rsidR="00BA521A" w:rsidRDefault="00BD675F">
      <w:pPr>
        <w:spacing w:line="276" w:lineRule="auto"/>
        <w:ind w:left="851"/>
        <w:rPr>
          <w:rFonts w:ascii="Arial" w:hAnsi="Arial" w:cs="Arial"/>
          <w:color w:val="222222"/>
          <w:shd w:val="clear" w:color="auto" w:fill="FFFFFF"/>
        </w:rPr>
      </w:pPr>
      <w:r>
        <w:rPr>
          <w:rFonts w:ascii="Arial" w:hAnsi="Arial" w:cs="Arial"/>
          <w:i/>
          <w:iCs/>
          <w:color w:val="222222"/>
          <w:shd w:val="clear" w:color="auto" w:fill="FFFFFF"/>
        </w:rPr>
        <w:t xml:space="preserve">                                                        D</w:t>
      </w:r>
      <w:r>
        <w:rPr>
          <w:rFonts w:ascii="Arial" w:hAnsi="Arial" w:cs="Arial"/>
          <w:color w:val="222222"/>
          <w:shd w:val="clear" w:color="auto" w:fill="FFFFFF"/>
        </w:rPr>
        <w:t> is soil depth</w:t>
      </w:r>
    </w:p>
    <w:p w14:paraId="6E90617C" w14:textId="77777777" w:rsidR="00BA521A" w:rsidRDefault="00BA521A">
      <w:pPr>
        <w:spacing w:line="276" w:lineRule="auto"/>
        <w:ind w:left="851"/>
        <w:rPr>
          <w:rFonts w:ascii="Arial" w:hAnsi="Arial" w:cs="Arial"/>
          <w:sz w:val="24"/>
          <w:szCs w:val="22"/>
        </w:rPr>
      </w:pPr>
    </w:p>
    <w:p w14:paraId="33F8D04D" w14:textId="77777777" w:rsidR="00BA521A" w:rsidRDefault="00BD675F">
      <w:pPr>
        <w:spacing w:before="240" w:line="276" w:lineRule="auto"/>
        <w:jc w:val="both"/>
        <w:rPr>
          <w:rFonts w:ascii="Arial" w:hAnsi="Arial" w:cs="Arial"/>
          <w:b/>
          <w:bCs/>
          <w:sz w:val="22"/>
          <w:szCs w:val="22"/>
        </w:rPr>
      </w:pPr>
      <w:r>
        <w:rPr>
          <w:rFonts w:ascii="Arial" w:hAnsi="Arial" w:cs="Arial"/>
          <w:b/>
          <w:bCs/>
          <w:sz w:val="22"/>
          <w:szCs w:val="22"/>
        </w:rPr>
        <w:t xml:space="preserve">2.2 Statistical analysis </w:t>
      </w:r>
    </w:p>
    <w:p w14:paraId="6B5BF65B" w14:textId="77777777" w:rsidR="00BA521A" w:rsidRDefault="00BD675F">
      <w:pPr>
        <w:spacing w:line="276" w:lineRule="auto"/>
        <w:ind w:firstLine="720"/>
        <w:jc w:val="both"/>
        <w:rPr>
          <w:rFonts w:ascii="Arial" w:hAnsi="Arial" w:cs="Arial"/>
        </w:rPr>
      </w:pPr>
      <w:r>
        <w:rPr>
          <w:rFonts w:ascii="Arial" w:hAnsi="Arial" w:cs="Arial"/>
        </w:rPr>
        <w:t>The collected data were statistically analyzed using the Randomized Block Design (RBD). Significant treatment results were further analyzed with critical differences at a 5% probability level (p &lt; 0.05) (Gupta, 2002).</w:t>
      </w:r>
    </w:p>
    <w:p w14:paraId="23302783" w14:textId="77777777" w:rsidR="00BA521A" w:rsidRDefault="00BA521A">
      <w:pPr>
        <w:pStyle w:val="Body"/>
        <w:spacing w:after="0"/>
        <w:rPr>
          <w:rFonts w:ascii="Arial" w:hAnsi="Arial" w:cs="Arial"/>
        </w:rPr>
      </w:pPr>
    </w:p>
    <w:p w14:paraId="09689FC4" w14:textId="77777777" w:rsidR="00BA521A" w:rsidRDefault="00BD675F">
      <w:pPr>
        <w:pStyle w:val="Head1"/>
        <w:spacing w:after="0"/>
        <w:jc w:val="both"/>
        <w:rPr>
          <w:rFonts w:ascii="Arial" w:hAnsi="Arial" w:cs="Arial"/>
        </w:rPr>
      </w:pPr>
      <w:r>
        <w:rPr>
          <w:rFonts w:ascii="Arial" w:hAnsi="Arial" w:cs="Arial"/>
        </w:rPr>
        <w:t xml:space="preserve">3. results </w:t>
      </w:r>
    </w:p>
    <w:p w14:paraId="1ADB82A9" w14:textId="320FB9D5" w:rsidR="00BA521A" w:rsidRDefault="00BD675F">
      <w:pPr>
        <w:spacing w:line="276" w:lineRule="auto"/>
        <w:jc w:val="both"/>
        <w:rPr>
          <w:rFonts w:ascii="Arial" w:hAnsi="Arial" w:cs="Arial"/>
          <w:b/>
          <w:bCs/>
          <w:sz w:val="22"/>
          <w:szCs w:val="22"/>
        </w:rPr>
      </w:pPr>
      <w:r>
        <w:rPr>
          <w:rFonts w:ascii="Arial" w:hAnsi="Arial" w:cs="Arial"/>
          <w:b/>
          <w:bCs/>
          <w:sz w:val="22"/>
          <w:szCs w:val="22"/>
        </w:rPr>
        <w:t xml:space="preserve">3.1 Growth performance of </w:t>
      </w:r>
      <w:r w:rsidR="005E4EC4">
        <w:rPr>
          <w:rFonts w:ascii="Arial" w:hAnsi="Arial" w:cs="Arial"/>
          <w:b/>
          <w:bCs/>
          <w:sz w:val="22"/>
          <w:szCs w:val="22"/>
        </w:rPr>
        <w:t>Sandalwood</w:t>
      </w:r>
      <w:r>
        <w:rPr>
          <w:rFonts w:ascii="Arial" w:hAnsi="Arial" w:cs="Arial"/>
          <w:b/>
          <w:bCs/>
          <w:sz w:val="22"/>
          <w:szCs w:val="22"/>
        </w:rPr>
        <w:t xml:space="preserve"> under different planting densities</w:t>
      </w:r>
    </w:p>
    <w:p w14:paraId="72304CB5" w14:textId="2058FB92"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 xml:space="preserve">The present study evaluated the growth and yield performance of </w:t>
      </w:r>
      <w:r w:rsidR="005E4EC4">
        <w:rPr>
          <w:rFonts w:ascii="Arial" w:hAnsi="Arial" w:cs="Arial"/>
          <w:color w:val="000000" w:themeColor="text1"/>
        </w:rPr>
        <w:t>Sandalwood</w:t>
      </w:r>
      <w:r>
        <w:rPr>
          <w:rFonts w:ascii="Arial" w:hAnsi="Arial" w:cs="Arial"/>
          <w:color w:val="000000" w:themeColor="text1"/>
        </w:rPr>
        <w:t xml:space="preserve"> </w:t>
      </w:r>
      <w:r>
        <w:rPr>
          <w:rFonts w:ascii="Arial" w:hAnsi="Arial" w:cs="Arial"/>
          <w:i/>
          <w:iCs/>
          <w:color w:val="000000" w:themeColor="text1"/>
        </w:rPr>
        <w:t>(Santalum album)</w:t>
      </w:r>
      <w:r>
        <w:rPr>
          <w:rFonts w:ascii="Arial" w:hAnsi="Arial" w:cs="Arial"/>
          <w:color w:val="000000" w:themeColor="text1"/>
        </w:rPr>
        <w:t xml:space="preserve"> under five different planting densities, ranging from 1111 to 277 trees per hectare, by altering the spacings from 3.0 × 3.0 m to 6.0 × 6.0 m (Table-1). The growth parameters assessed included average height, diameter, and total volume per hectare.</w:t>
      </w:r>
    </w:p>
    <w:p w14:paraId="70155B76" w14:textId="10B7C5B1" w:rsidR="00BA521A" w:rsidRDefault="00BD675F">
      <w:pPr>
        <w:spacing w:line="276" w:lineRule="auto"/>
        <w:ind w:left="900" w:hanging="900"/>
        <w:jc w:val="both"/>
        <w:rPr>
          <w:rFonts w:ascii="Arial" w:hAnsi="Arial" w:cs="Arial"/>
          <w:b/>
          <w:bCs/>
          <w:sz w:val="22"/>
          <w:szCs w:val="22"/>
        </w:rPr>
      </w:pPr>
      <w:r>
        <w:rPr>
          <w:rFonts w:ascii="Arial" w:hAnsi="Arial" w:cs="Arial"/>
          <w:b/>
          <w:bCs/>
          <w:sz w:val="22"/>
          <w:szCs w:val="22"/>
        </w:rPr>
        <w:t xml:space="preserve">Table: 1. Growth statistics of </w:t>
      </w:r>
      <w:r w:rsidR="005E4EC4">
        <w:rPr>
          <w:rFonts w:ascii="Arial" w:hAnsi="Arial" w:cs="Arial"/>
          <w:b/>
          <w:bCs/>
          <w:sz w:val="22"/>
          <w:szCs w:val="22"/>
        </w:rPr>
        <w:t>Sandalwood</w:t>
      </w:r>
      <w:r>
        <w:rPr>
          <w:rFonts w:ascii="Arial" w:hAnsi="Arial" w:cs="Arial"/>
          <w:b/>
          <w:bCs/>
          <w:sz w:val="22"/>
          <w:szCs w:val="22"/>
        </w:rPr>
        <w:t xml:space="preserve"> species under different density wise plantation.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72"/>
        <w:gridCol w:w="1392"/>
        <w:gridCol w:w="986"/>
        <w:gridCol w:w="1097"/>
        <w:gridCol w:w="1573"/>
      </w:tblGrid>
      <w:tr w:rsidR="00BA521A" w14:paraId="7DB3FAE5" w14:textId="77777777">
        <w:trPr>
          <w:trHeight w:val="20"/>
          <w:jc w:val="center"/>
        </w:trPr>
        <w:tc>
          <w:tcPr>
            <w:tcW w:w="0" w:type="auto"/>
            <w:noWrap/>
            <w:vAlign w:val="center"/>
          </w:tcPr>
          <w:p w14:paraId="7E62C303" w14:textId="77777777" w:rsidR="00BA521A" w:rsidRDefault="00BD675F">
            <w:pPr>
              <w:jc w:val="center"/>
              <w:rPr>
                <w:rFonts w:ascii="Arial" w:hAnsi="Arial" w:cs="Arial"/>
                <w:b/>
                <w:bCs/>
                <w:sz w:val="22"/>
                <w:szCs w:val="22"/>
              </w:rPr>
            </w:pPr>
            <w:r>
              <w:rPr>
                <w:rFonts w:ascii="Arial" w:hAnsi="Arial" w:cs="Arial"/>
                <w:b/>
                <w:bCs/>
                <w:sz w:val="22"/>
                <w:szCs w:val="22"/>
              </w:rPr>
              <w:t>Sl. No.</w:t>
            </w:r>
          </w:p>
        </w:tc>
        <w:tc>
          <w:tcPr>
            <w:tcW w:w="0" w:type="auto"/>
            <w:noWrap/>
            <w:vAlign w:val="center"/>
          </w:tcPr>
          <w:p w14:paraId="2DE041C0" w14:textId="77777777" w:rsidR="00BA521A" w:rsidRDefault="00BD675F">
            <w:pPr>
              <w:jc w:val="center"/>
              <w:rPr>
                <w:rFonts w:ascii="Arial" w:hAnsi="Arial" w:cs="Arial"/>
                <w:b/>
                <w:bCs/>
                <w:sz w:val="22"/>
                <w:szCs w:val="22"/>
              </w:rPr>
            </w:pPr>
            <w:r>
              <w:rPr>
                <w:rFonts w:ascii="Arial" w:hAnsi="Arial" w:cs="Arial"/>
                <w:b/>
                <w:bCs/>
                <w:sz w:val="22"/>
                <w:szCs w:val="22"/>
              </w:rPr>
              <w:t>Spacing</w:t>
            </w:r>
          </w:p>
        </w:tc>
        <w:tc>
          <w:tcPr>
            <w:tcW w:w="0" w:type="auto"/>
            <w:noWrap/>
            <w:vAlign w:val="center"/>
          </w:tcPr>
          <w:p w14:paraId="0F473FBD" w14:textId="77777777" w:rsidR="00BA521A" w:rsidRDefault="00BD675F">
            <w:pPr>
              <w:ind w:left="900" w:hanging="900"/>
              <w:jc w:val="center"/>
              <w:rPr>
                <w:rFonts w:ascii="Arial" w:hAnsi="Arial" w:cs="Arial"/>
                <w:b/>
                <w:bCs/>
                <w:sz w:val="22"/>
                <w:szCs w:val="22"/>
              </w:rPr>
            </w:pPr>
            <w:r>
              <w:rPr>
                <w:rFonts w:ascii="Arial" w:hAnsi="Arial" w:cs="Arial"/>
                <w:b/>
                <w:bCs/>
                <w:sz w:val="22"/>
                <w:szCs w:val="22"/>
              </w:rPr>
              <w:t>Density</w:t>
            </w:r>
          </w:p>
          <w:p w14:paraId="3B64F919" w14:textId="77777777" w:rsidR="00BA521A" w:rsidRDefault="00BD675F">
            <w:pPr>
              <w:ind w:left="900" w:hanging="900"/>
              <w:jc w:val="center"/>
              <w:rPr>
                <w:rFonts w:ascii="Arial" w:hAnsi="Arial" w:cs="Arial"/>
                <w:b/>
                <w:bCs/>
                <w:sz w:val="22"/>
                <w:szCs w:val="22"/>
              </w:rPr>
            </w:pPr>
            <w:r>
              <w:rPr>
                <w:rFonts w:ascii="Arial" w:hAnsi="Arial" w:cs="Arial"/>
                <w:b/>
                <w:bCs/>
                <w:sz w:val="22"/>
                <w:szCs w:val="22"/>
              </w:rPr>
              <w:t>(Trees ha</w:t>
            </w:r>
            <w:r>
              <w:rPr>
                <w:rFonts w:ascii="Arial" w:hAnsi="Arial" w:cs="Arial"/>
                <w:b/>
                <w:bCs/>
                <w:sz w:val="22"/>
                <w:szCs w:val="22"/>
                <w:vertAlign w:val="superscript"/>
              </w:rPr>
              <w:t>-1</w:t>
            </w:r>
            <w:r>
              <w:rPr>
                <w:rFonts w:ascii="Arial" w:hAnsi="Arial" w:cs="Arial"/>
                <w:b/>
                <w:bCs/>
                <w:sz w:val="22"/>
                <w:szCs w:val="22"/>
              </w:rPr>
              <w:t>)</w:t>
            </w:r>
          </w:p>
        </w:tc>
        <w:tc>
          <w:tcPr>
            <w:tcW w:w="0" w:type="auto"/>
            <w:noWrap/>
            <w:vAlign w:val="center"/>
          </w:tcPr>
          <w:p w14:paraId="2BB4F9D8" w14:textId="77777777" w:rsidR="00BA521A" w:rsidRDefault="00BD675F">
            <w:pPr>
              <w:ind w:left="900" w:hanging="900"/>
              <w:jc w:val="center"/>
              <w:rPr>
                <w:rFonts w:ascii="Arial" w:hAnsi="Arial" w:cs="Arial"/>
                <w:b/>
                <w:bCs/>
                <w:sz w:val="22"/>
                <w:szCs w:val="22"/>
              </w:rPr>
            </w:pPr>
            <w:r>
              <w:rPr>
                <w:rFonts w:ascii="Arial" w:hAnsi="Arial" w:cs="Arial"/>
                <w:b/>
                <w:bCs/>
                <w:sz w:val="22"/>
                <w:szCs w:val="22"/>
              </w:rPr>
              <w:t>Avg Ht.</w:t>
            </w:r>
          </w:p>
          <w:p w14:paraId="58E18B10" w14:textId="77777777" w:rsidR="00BA521A" w:rsidRDefault="00BD675F">
            <w:pPr>
              <w:ind w:left="900" w:hanging="900"/>
              <w:jc w:val="center"/>
              <w:rPr>
                <w:rFonts w:ascii="Arial" w:hAnsi="Arial" w:cs="Arial"/>
                <w:b/>
                <w:bCs/>
                <w:sz w:val="22"/>
                <w:szCs w:val="22"/>
              </w:rPr>
            </w:pPr>
            <w:r>
              <w:rPr>
                <w:rFonts w:ascii="Arial" w:hAnsi="Arial" w:cs="Arial"/>
                <w:b/>
                <w:bCs/>
                <w:sz w:val="22"/>
                <w:szCs w:val="22"/>
              </w:rPr>
              <w:t>(m)</w:t>
            </w:r>
          </w:p>
        </w:tc>
        <w:tc>
          <w:tcPr>
            <w:tcW w:w="0" w:type="auto"/>
            <w:noWrap/>
            <w:vAlign w:val="center"/>
          </w:tcPr>
          <w:p w14:paraId="5FA0DC79" w14:textId="77777777" w:rsidR="00BA521A" w:rsidRDefault="00BD675F">
            <w:pPr>
              <w:ind w:left="900" w:hanging="900"/>
              <w:jc w:val="center"/>
              <w:rPr>
                <w:rFonts w:ascii="Arial" w:hAnsi="Arial" w:cs="Arial"/>
                <w:b/>
                <w:bCs/>
                <w:sz w:val="22"/>
                <w:szCs w:val="22"/>
              </w:rPr>
            </w:pPr>
            <w:r>
              <w:rPr>
                <w:rFonts w:ascii="Arial" w:hAnsi="Arial" w:cs="Arial"/>
                <w:b/>
                <w:bCs/>
                <w:sz w:val="22"/>
                <w:szCs w:val="22"/>
              </w:rPr>
              <w:t>Avg. Dia</w:t>
            </w:r>
          </w:p>
          <w:p w14:paraId="3936EADE" w14:textId="77777777" w:rsidR="00BA521A" w:rsidRDefault="00BD675F">
            <w:pPr>
              <w:ind w:left="900" w:hanging="900"/>
              <w:jc w:val="center"/>
              <w:rPr>
                <w:rFonts w:ascii="Arial" w:hAnsi="Arial" w:cs="Arial"/>
                <w:b/>
                <w:bCs/>
                <w:sz w:val="22"/>
                <w:szCs w:val="22"/>
              </w:rPr>
            </w:pPr>
            <w:r>
              <w:rPr>
                <w:rFonts w:ascii="Arial" w:hAnsi="Arial" w:cs="Arial"/>
                <w:b/>
                <w:bCs/>
                <w:sz w:val="22"/>
                <w:szCs w:val="22"/>
              </w:rPr>
              <w:t>(m)</w:t>
            </w:r>
          </w:p>
        </w:tc>
        <w:tc>
          <w:tcPr>
            <w:tcW w:w="0" w:type="auto"/>
            <w:noWrap/>
            <w:vAlign w:val="center"/>
          </w:tcPr>
          <w:p w14:paraId="0ADD297C" w14:textId="77777777" w:rsidR="00BA521A" w:rsidRDefault="00BD675F">
            <w:pPr>
              <w:ind w:left="900" w:hanging="900"/>
              <w:jc w:val="center"/>
              <w:rPr>
                <w:rFonts w:ascii="Arial" w:hAnsi="Arial" w:cs="Arial"/>
                <w:b/>
                <w:bCs/>
                <w:sz w:val="22"/>
                <w:szCs w:val="22"/>
              </w:rPr>
            </w:pPr>
            <w:r>
              <w:rPr>
                <w:rFonts w:ascii="Arial" w:hAnsi="Arial" w:cs="Arial"/>
                <w:b/>
                <w:bCs/>
                <w:sz w:val="22"/>
                <w:szCs w:val="22"/>
              </w:rPr>
              <w:t>Total volume</w:t>
            </w:r>
          </w:p>
          <w:p w14:paraId="618D1D90" w14:textId="77777777" w:rsidR="00BA521A" w:rsidRDefault="00BD675F">
            <w:pPr>
              <w:ind w:left="900" w:hanging="900"/>
              <w:jc w:val="center"/>
              <w:rPr>
                <w:rFonts w:ascii="Arial" w:hAnsi="Arial" w:cs="Arial"/>
                <w:b/>
                <w:bCs/>
                <w:sz w:val="22"/>
                <w:szCs w:val="22"/>
              </w:rPr>
            </w:pPr>
            <w:r>
              <w:rPr>
                <w:rFonts w:ascii="Arial" w:hAnsi="Arial" w:cs="Arial"/>
                <w:b/>
                <w:bCs/>
                <w:sz w:val="22"/>
                <w:szCs w:val="22"/>
              </w:rPr>
              <w:t>(m</w:t>
            </w:r>
            <w:r>
              <w:rPr>
                <w:rFonts w:ascii="Arial" w:hAnsi="Arial" w:cs="Arial"/>
                <w:b/>
                <w:bCs/>
                <w:sz w:val="22"/>
                <w:szCs w:val="22"/>
                <w:vertAlign w:val="superscript"/>
              </w:rPr>
              <w:t>3</w:t>
            </w:r>
            <w:r>
              <w:rPr>
                <w:rFonts w:ascii="Arial" w:hAnsi="Arial" w:cs="Arial"/>
                <w:b/>
                <w:bCs/>
                <w:sz w:val="22"/>
                <w:szCs w:val="22"/>
              </w:rPr>
              <w:t xml:space="preserve"> ha</w:t>
            </w:r>
            <w:r>
              <w:rPr>
                <w:rFonts w:ascii="Arial" w:hAnsi="Arial" w:cs="Arial"/>
                <w:b/>
                <w:bCs/>
                <w:sz w:val="22"/>
                <w:szCs w:val="22"/>
                <w:vertAlign w:val="superscript"/>
              </w:rPr>
              <w:t>-1</w:t>
            </w:r>
            <w:r>
              <w:rPr>
                <w:rFonts w:ascii="Arial" w:hAnsi="Arial" w:cs="Arial"/>
                <w:b/>
                <w:bCs/>
                <w:sz w:val="22"/>
                <w:szCs w:val="22"/>
              </w:rPr>
              <w:t>)</w:t>
            </w:r>
          </w:p>
        </w:tc>
      </w:tr>
      <w:tr w:rsidR="00BA521A" w14:paraId="35291A21" w14:textId="77777777">
        <w:trPr>
          <w:trHeight w:val="20"/>
          <w:jc w:val="center"/>
        </w:trPr>
        <w:tc>
          <w:tcPr>
            <w:tcW w:w="0" w:type="auto"/>
            <w:noWrap/>
            <w:vAlign w:val="bottom"/>
          </w:tcPr>
          <w:p w14:paraId="7CAD1E5F" w14:textId="77777777" w:rsidR="00BA521A" w:rsidRDefault="00BD675F">
            <w:pPr>
              <w:ind w:left="900" w:hanging="900"/>
              <w:jc w:val="center"/>
              <w:rPr>
                <w:rFonts w:ascii="Arial" w:hAnsi="Arial" w:cs="Arial"/>
              </w:rPr>
            </w:pPr>
            <w:r>
              <w:rPr>
                <w:rFonts w:ascii="Arial" w:hAnsi="Arial" w:cs="Arial"/>
              </w:rPr>
              <w:t>1</w:t>
            </w:r>
          </w:p>
        </w:tc>
        <w:tc>
          <w:tcPr>
            <w:tcW w:w="0" w:type="auto"/>
            <w:noWrap/>
            <w:vAlign w:val="center"/>
          </w:tcPr>
          <w:p w14:paraId="18731408" w14:textId="77777777" w:rsidR="00BA521A" w:rsidRDefault="00BD675F">
            <w:pPr>
              <w:ind w:left="900" w:hanging="900"/>
              <w:jc w:val="center"/>
              <w:rPr>
                <w:rFonts w:ascii="Arial" w:hAnsi="Arial" w:cs="Arial"/>
              </w:rPr>
            </w:pPr>
            <w:r>
              <w:rPr>
                <w:rFonts w:ascii="Arial" w:hAnsi="Arial" w:cs="Arial"/>
              </w:rPr>
              <w:t>3.0 X 3.0</w:t>
            </w:r>
          </w:p>
        </w:tc>
        <w:tc>
          <w:tcPr>
            <w:tcW w:w="0" w:type="auto"/>
            <w:noWrap/>
            <w:vAlign w:val="center"/>
          </w:tcPr>
          <w:p w14:paraId="11D43194" w14:textId="77777777" w:rsidR="00BA521A" w:rsidRDefault="00BD675F">
            <w:pPr>
              <w:ind w:left="900" w:hanging="900"/>
              <w:jc w:val="center"/>
              <w:rPr>
                <w:rFonts w:ascii="Arial" w:hAnsi="Arial" w:cs="Arial"/>
              </w:rPr>
            </w:pPr>
            <w:r>
              <w:rPr>
                <w:rFonts w:ascii="Arial" w:hAnsi="Arial" w:cs="Arial"/>
              </w:rPr>
              <w:t>1111</w:t>
            </w:r>
          </w:p>
        </w:tc>
        <w:tc>
          <w:tcPr>
            <w:tcW w:w="0" w:type="auto"/>
            <w:noWrap/>
            <w:vAlign w:val="center"/>
          </w:tcPr>
          <w:p w14:paraId="147EB6DC" w14:textId="77777777" w:rsidR="00BA521A" w:rsidRDefault="00BD675F">
            <w:pPr>
              <w:ind w:left="900" w:hanging="900"/>
              <w:jc w:val="center"/>
              <w:rPr>
                <w:rFonts w:ascii="Arial" w:hAnsi="Arial" w:cs="Arial"/>
              </w:rPr>
            </w:pPr>
            <w:r>
              <w:rPr>
                <w:rFonts w:ascii="Arial" w:hAnsi="Arial" w:cs="Arial"/>
              </w:rPr>
              <w:t>3.51</w:t>
            </w:r>
            <w:r w:rsidRPr="00F957DF">
              <w:rPr>
                <w:rFonts w:ascii="Arial" w:hAnsi="Arial" w:cs="Arial"/>
                <w:vertAlign w:val="superscript"/>
              </w:rPr>
              <w:t>d</w:t>
            </w:r>
          </w:p>
        </w:tc>
        <w:tc>
          <w:tcPr>
            <w:tcW w:w="0" w:type="auto"/>
            <w:noWrap/>
            <w:vAlign w:val="center"/>
          </w:tcPr>
          <w:p w14:paraId="5C39E352" w14:textId="77777777" w:rsidR="00BA521A" w:rsidRDefault="00BD675F">
            <w:pPr>
              <w:ind w:left="900" w:hanging="900"/>
              <w:jc w:val="center"/>
              <w:rPr>
                <w:rFonts w:ascii="Arial" w:hAnsi="Arial" w:cs="Arial"/>
              </w:rPr>
            </w:pPr>
            <w:r>
              <w:rPr>
                <w:rFonts w:ascii="Arial" w:hAnsi="Arial" w:cs="Arial"/>
              </w:rPr>
              <w:t>0.042</w:t>
            </w:r>
            <w:r>
              <w:rPr>
                <w:rFonts w:ascii="Arial" w:hAnsi="Arial" w:cs="Arial"/>
                <w:vertAlign w:val="superscript"/>
              </w:rPr>
              <w:t>e</w:t>
            </w:r>
          </w:p>
        </w:tc>
        <w:tc>
          <w:tcPr>
            <w:tcW w:w="0" w:type="auto"/>
            <w:noWrap/>
            <w:vAlign w:val="center"/>
          </w:tcPr>
          <w:p w14:paraId="33D2B2FB" w14:textId="77777777" w:rsidR="00BA521A" w:rsidRDefault="00BD675F">
            <w:pPr>
              <w:ind w:left="900" w:hanging="900"/>
              <w:jc w:val="center"/>
              <w:rPr>
                <w:rFonts w:ascii="Arial" w:hAnsi="Arial" w:cs="Arial"/>
              </w:rPr>
            </w:pPr>
            <w:r>
              <w:rPr>
                <w:rFonts w:ascii="Arial" w:hAnsi="Arial" w:cs="Arial"/>
              </w:rPr>
              <w:t>5.410</w:t>
            </w:r>
            <w:r>
              <w:rPr>
                <w:rFonts w:ascii="Arial" w:hAnsi="Arial" w:cs="Arial"/>
                <w:vertAlign w:val="superscript"/>
              </w:rPr>
              <w:t>b</w:t>
            </w:r>
          </w:p>
        </w:tc>
      </w:tr>
      <w:tr w:rsidR="00BA521A" w14:paraId="66DE97F8" w14:textId="77777777">
        <w:trPr>
          <w:trHeight w:val="20"/>
          <w:jc w:val="center"/>
        </w:trPr>
        <w:tc>
          <w:tcPr>
            <w:tcW w:w="0" w:type="auto"/>
            <w:noWrap/>
            <w:vAlign w:val="bottom"/>
          </w:tcPr>
          <w:p w14:paraId="04DC40C1" w14:textId="77777777" w:rsidR="00BA521A" w:rsidRDefault="00BD675F">
            <w:pPr>
              <w:ind w:left="900" w:hanging="900"/>
              <w:jc w:val="center"/>
              <w:rPr>
                <w:rFonts w:ascii="Arial" w:hAnsi="Arial" w:cs="Arial"/>
              </w:rPr>
            </w:pPr>
            <w:r>
              <w:rPr>
                <w:rFonts w:ascii="Arial" w:hAnsi="Arial" w:cs="Arial"/>
              </w:rPr>
              <w:lastRenderedPageBreak/>
              <w:t>2</w:t>
            </w:r>
          </w:p>
        </w:tc>
        <w:tc>
          <w:tcPr>
            <w:tcW w:w="0" w:type="auto"/>
            <w:noWrap/>
            <w:vAlign w:val="center"/>
          </w:tcPr>
          <w:p w14:paraId="10ACDAA6" w14:textId="77777777" w:rsidR="00BA521A" w:rsidRDefault="00BD675F">
            <w:pPr>
              <w:ind w:left="900" w:hanging="900"/>
              <w:jc w:val="center"/>
              <w:rPr>
                <w:rFonts w:ascii="Arial" w:hAnsi="Arial" w:cs="Arial"/>
              </w:rPr>
            </w:pPr>
            <w:r>
              <w:rPr>
                <w:rFonts w:ascii="Arial" w:hAnsi="Arial" w:cs="Arial"/>
              </w:rPr>
              <w:t>3.5 X 3.5</w:t>
            </w:r>
          </w:p>
        </w:tc>
        <w:tc>
          <w:tcPr>
            <w:tcW w:w="0" w:type="auto"/>
            <w:noWrap/>
            <w:vAlign w:val="center"/>
          </w:tcPr>
          <w:p w14:paraId="524CBE10" w14:textId="77777777" w:rsidR="00BA521A" w:rsidRDefault="00BD675F">
            <w:pPr>
              <w:ind w:left="900" w:hanging="900"/>
              <w:jc w:val="center"/>
              <w:rPr>
                <w:rFonts w:ascii="Arial" w:hAnsi="Arial" w:cs="Arial"/>
              </w:rPr>
            </w:pPr>
            <w:r>
              <w:rPr>
                <w:rFonts w:ascii="Arial" w:hAnsi="Arial" w:cs="Arial"/>
              </w:rPr>
              <w:t>816</w:t>
            </w:r>
          </w:p>
        </w:tc>
        <w:tc>
          <w:tcPr>
            <w:tcW w:w="0" w:type="auto"/>
            <w:noWrap/>
            <w:vAlign w:val="center"/>
          </w:tcPr>
          <w:p w14:paraId="652448A6" w14:textId="77777777" w:rsidR="00BA521A" w:rsidRDefault="00BD675F">
            <w:pPr>
              <w:ind w:left="900" w:hanging="900"/>
              <w:jc w:val="center"/>
              <w:rPr>
                <w:rFonts w:ascii="Arial" w:hAnsi="Arial" w:cs="Arial"/>
              </w:rPr>
            </w:pPr>
            <w:r>
              <w:rPr>
                <w:rFonts w:ascii="Arial" w:hAnsi="Arial" w:cs="Arial"/>
              </w:rPr>
              <w:t>3.87</w:t>
            </w:r>
            <w:r w:rsidRPr="00F957DF">
              <w:rPr>
                <w:rFonts w:ascii="Arial" w:hAnsi="Arial" w:cs="Arial"/>
                <w:vertAlign w:val="superscript"/>
              </w:rPr>
              <w:t>c</w:t>
            </w:r>
          </w:p>
        </w:tc>
        <w:tc>
          <w:tcPr>
            <w:tcW w:w="0" w:type="auto"/>
            <w:noWrap/>
            <w:vAlign w:val="center"/>
          </w:tcPr>
          <w:p w14:paraId="3C03E42B" w14:textId="77777777" w:rsidR="00BA521A" w:rsidRDefault="00BD675F">
            <w:pPr>
              <w:ind w:left="900" w:hanging="900"/>
              <w:jc w:val="center"/>
              <w:rPr>
                <w:rFonts w:ascii="Arial" w:hAnsi="Arial" w:cs="Arial"/>
              </w:rPr>
            </w:pPr>
            <w:r>
              <w:rPr>
                <w:rFonts w:ascii="Arial" w:hAnsi="Arial" w:cs="Arial"/>
              </w:rPr>
              <w:t>0.047</w:t>
            </w:r>
            <w:r>
              <w:rPr>
                <w:rFonts w:ascii="Arial" w:hAnsi="Arial" w:cs="Arial"/>
                <w:vertAlign w:val="superscript"/>
              </w:rPr>
              <w:t>d</w:t>
            </w:r>
          </w:p>
        </w:tc>
        <w:tc>
          <w:tcPr>
            <w:tcW w:w="0" w:type="auto"/>
            <w:noWrap/>
            <w:vAlign w:val="center"/>
          </w:tcPr>
          <w:p w14:paraId="7C55139E" w14:textId="77777777" w:rsidR="00BA521A" w:rsidRDefault="00BD675F">
            <w:pPr>
              <w:ind w:left="900" w:hanging="900"/>
              <w:jc w:val="center"/>
              <w:rPr>
                <w:rFonts w:ascii="Arial" w:hAnsi="Arial" w:cs="Arial"/>
              </w:rPr>
            </w:pPr>
            <w:r>
              <w:rPr>
                <w:rFonts w:ascii="Arial" w:hAnsi="Arial" w:cs="Arial"/>
              </w:rPr>
              <w:t>5.507</w:t>
            </w:r>
            <w:r>
              <w:rPr>
                <w:rFonts w:ascii="Arial" w:hAnsi="Arial" w:cs="Arial"/>
                <w:vertAlign w:val="superscript"/>
              </w:rPr>
              <w:t>b</w:t>
            </w:r>
          </w:p>
        </w:tc>
      </w:tr>
      <w:tr w:rsidR="00BA521A" w14:paraId="22CF4995" w14:textId="77777777">
        <w:trPr>
          <w:trHeight w:val="20"/>
          <w:jc w:val="center"/>
        </w:trPr>
        <w:tc>
          <w:tcPr>
            <w:tcW w:w="0" w:type="auto"/>
            <w:noWrap/>
            <w:vAlign w:val="bottom"/>
          </w:tcPr>
          <w:p w14:paraId="047903CD" w14:textId="77777777" w:rsidR="00BA521A" w:rsidRDefault="00BD675F">
            <w:pPr>
              <w:ind w:left="900" w:hanging="900"/>
              <w:jc w:val="center"/>
              <w:rPr>
                <w:rFonts w:ascii="Arial" w:hAnsi="Arial" w:cs="Arial"/>
              </w:rPr>
            </w:pPr>
            <w:r>
              <w:rPr>
                <w:rFonts w:ascii="Arial" w:hAnsi="Arial" w:cs="Arial"/>
              </w:rPr>
              <w:t>3</w:t>
            </w:r>
          </w:p>
        </w:tc>
        <w:tc>
          <w:tcPr>
            <w:tcW w:w="0" w:type="auto"/>
            <w:noWrap/>
            <w:vAlign w:val="center"/>
          </w:tcPr>
          <w:p w14:paraId="319388DE" w14:textId="77777777" w:rsidR="00BA521A" w:rsidRDefault="00BD675F">
            <w:pPr>
              <w:ind w:left="900" w:hanging="900"/>
              <w:jc w:val="center"/>
              <w:rPr>
                <w:rFonts w:ascii="Arial" w:hAnsi="Arial" w:cs="Arial"/>
              </w:rPr>
            </w:pPr>
            <w:r>
              <w:rPr>
                <w:rFonts w:ascii="Arial" w:hAnsi="Arial" w:cs="Arial"/>
              </w:rPr>
              <w:t>4.5 X 4.5</w:t>
            </w:r>
          </w:p>
        </w:tc>
        <w:tc>
          <w:tcPr>
            <w:tcW w:w="0" w:type="auto"/>
            <w:noWrap/>
            <w:vAlign w:val="center"/>
          </w:tcPr>
          <w:p w14:paraId="03F68BBD" w14:textId="77777777" w:rsidR="00BA521A" w:rsidRDefault="00BD675F">
            <w:pPr>
              <w:ind w:left="900" w:hanging="900"/>
              <w:jc w:val="center"/>
              <w:rPr>
                <w:rFonts w:ascii="Arial" w:hAnsi="Arial" w:cs="Arial"/>
              </w:rPr>
            </w:pPr>
            <w:r>
              <w:rPr>
                <w:rFonts w:ascii="Arial" w:hAnsi="Arial" w:cs="Arial"/>
              </w:rPr>
              <w:t>493</w:t>
            </w:r>
          </w:p>
        </w:tc>
        <w:tc>
          <w:tcPr>
            <w:tcW w:w="0" w:type="auto"/>
            <w:noWrap/>
            <w:vAlign w:val="center"/>
          </w:tcPr>
          <w:p w14:paraId="245B7208" w14:textId="77777777" w:rsidR="00BA521A" w:rsidRDefault="00BD675F">
            <w:pPr>
              <w:ind w:left="900" w:hanging="900"/>
              <w:jc w:val="center"/>
              <w:rPr>
                <w:rFonts w:ascii="Arial" w:hAnsi="Arial" w:cs="Arial"/>
              </w:rPr>
            </w:pPr>
            <w:r>
              <w:rPr>
                <w:rFonts w:ascii="Arial" w:hAnsi="Arial" w:cs="Arial"/>
              </w:rPr>
              <w:t>4.62</w:t>
            </w:r>
            <w:r w:rsidRPr="00F957DF">
              <w:rPr>
                <w:rFonts w:ascii="Arial" w:hAnsi="Arial" w:cs="Arial"/>
                <w:vertAlign w:val="superscript"/>
              </w:rPr>
              <w:t>a</w:t>
            </w:r>
          </w:p>
        </w:tc>
        <w:tc>
          <w:tcPr>
            <w:tcW w:w="0" w:type="auto"/>
            <w:noWrap/>
            <w:vAlign w:val="center"/>
          </w:tcPr>
          <w:p w14:paraId="6332625D" w14:textId="77777777" w:rsidR="00BA521A" w:rsidRDefault="00BD675F">
            <w:pPr>
              <w:ind w:left="900" w:hanging="900"/>
              <w:jc w:val="center"/>
              <w:rPr>
                <w:rFonts w:ascii="Arial" w:hAnsi="Arial" w:cs="Arial"/>
              </w:rPr>
            </w:pPr>
            <w:r>
              <w:rPr>
                <w:rFonts w:ascii="Arial" w:hAnsi="Arial" w:cs="Arial"/>
              </w:rPr>
              <w:t>0.062</w:t>
            </w:r>
            <w:r>
              <w:rPr>
                <w:rFonts w:ascii="Arial" w:hAnsi="Arial" w:cs="Arial"/>
                <w:b/>
                <w:bCs/>
                <w:vertAlign w:val="superscript"/>
              </w:rPr>
              <w:t>a</w:t>
            </w:r>
          </w:p>
        </w:tc>
        <w:tc>
          <w:tcPr>
            <w:tcW w:w="0" w:type="auto"/>
            <w:noWrap/>
            <w:vAlign w:val="center"/>
          </w:tcPr>
          <w:p w14:paraId="1EF4723D" w14:textId="77777777" w:rsidR="00BA521A" w:rsidRDefault="00BD675F">
            <w:pPr>
              <w:ind w:left="900" w:hanging="900"/>
              <w:jc w:val="center"/>
              <w:rPr>
                <w:rFonts w:ascii="Arial" w:hAnsi="Arial" w:cs="Arial"/>
              </w:rPr>
            </w:pPr>
            <w:r>
              <w:rPr>
                <w:rFonts w:ascii="Arial" w:hAnsi="Arial" w:cs="Arial"/>
              </w:rPr>
              <w:t>6.825</w:t>
            </w:r>
            <w:r>
              <w:rPr>
                <w:rFonts w:ascii="Arial" w:hAnsi="Arial" w:cs="Arial"/>
                <w:b/>
                <w:bCs/>
                <w:vertAlign w:val="superscript"/>
              </w:rPr>
              <w:t>a</w:t>
            </w:r>
          </w:p>
        </w:tc>
      </w:tr>
      <w:tr w:rsidR="00BA521A" w14:paraId="31CDD6C6" w14:textId="77777777">
        <w:trPr>
          <w:trHeight w:val="20"/>
          <w:jc w:val="center"/>
        </w:trPr>
        <w:tc>
          <w:tcPr>
            <w:tcW w:w="0" w:type="auto"/>
            <w:noWrap/>
            <w:vAlign w:val="bottom"/>
          </w:tcPr>
          <w:p w14:paraId="05468E2F" w14:textId="77777777" w:rsidR="00BA521A" w:rsidRDefault="00BD675F">
            <w:pPr>
              <w:ind w:left="900" w:hanging="900"/>
              <w:jc w:val="center"/>
              <w:rPr>
                <w:rFonts w:ascii="Arial" w:hAnsi="Arial" w:cs="Arial"/>
              </w:rPr>
            </w:pPr>
            <w:r>
              <w:rPr>
                <w:rFonts w:ascii="Arial" w:hAnsi="Arial" w:cs="Arial"/>
              </w:rPr>
              <w:t>4</w:t>
            </w:r>
          </w:p>
        </w:tc>
        <w:tc>
          <w:tcPr>
            <w:tcW w:w="0" w:type="auto"/>
            <w:noWrap/>
            <w:vAlign w:val="center"/>
          </w:tcPr>
          <w:p w14:paraId="7EC94543" w14:textId="77777777" w:rsidR="00BA521A" w:rsidRDefault="00BD675F">
            <w:pPr>
              <w:ind w:left="900" w:hanging="900"/>
              <w:jc w:val="center"/>
              <w:rPr>
                <w:rFonts w:ascii="Arial" w:hAnsi="Arial" w:cs="Arial"/>
              </w:rPr>
            </w:pPr>
            <w:r>
              <w:rPr>
                <w:rFonts w:ascii="Arial" w:hAnsi="Arial" w:cs="Arial"/>
              </w:rPr>
              <w:t>5.5 X 5.5</w:t>
            </w:r>
          </w:p>
        </w:tc>
        <w:tc>
          <w:tcPr>
            <w:tcW w:w="0" w:type="auto"/>
            <w:noWrap/>
            <w:vAlign w:val="center"/>
          </w:tcPr>
          <w:p w14:paraId="0A731148" w14:textId="77777777" w:rsidR="00BA521A" w:rsidRDefault="00BD675F">
            <w:pPr>
              <w:ind w:left="900" w:hanging="900"/>
              <w:jc w:val="center"/>
              <w:rPr>
                <w:rFonts w:ascii="Arial" w:hAnsi="Arial" w:cs="Arial"/>
              </w:rPr>
            </w:pPr>
            <w:r>
              <w:rPr>
                <w:rFonts w:ascii="Arial" w:hAnsi="Arial" w:cs="Arial"/>
              </w:rPr>
              <w:t>330</w:t>
            </w:r>
          </w:p>
        </w:tc>
        <w:tc>
          <w:tcPr>
            <w:tcW w:w="0" w:type="auto"/>
            <w:noWrap/>
            <w:vAlign w:val="center"/>
          </w:tcPr>
          <w:p w14:paraId="7B6AA708" w14:textId="77777777" w:rsidR="00BA521A" w:rsidRDefault="00BD675F">
            <w:pPr>
              <w:ind w:left="900" w:hanging="900"/>
              <w:jc w:val="center"/>
              <w:rPr>
                <w:rFonts w:ascii="Arial" w:hAnsi="Arial" w:cs="Arial"/>
              </w:rPr>
            </w:pPr>
            <w:r>
              <w:rPr>
                <w:rFonts w:ascii="Arial" w:hAnsi="Arial" w:cs="Arial"/>
              </w:rPr>
              <w:t>4.28</w:t>
            </w:r>
            <w:r w:rsidRPr="00F957DF">
              <w:rPr>
                <w:rFonts w:ascii="Arial" w:hAnsi="Arial" w:cs="Arial"/>
                <w:vertAlign w:val="superscript"/>
              </w:rPr>
              <w:t>b</w:t>
            </w:r>
          </w:p>
        </w:tc>
        <w:tc>
          <w:tcPr>
            <w:tcW w:w="0" w:type="auto"/>
            <w:noWrap/>
            <w:vAlign w:val="center"/>
          </w:tcPr>
          <w:p w14:paraId="4596E0BB" w14:textId="77777777" w:rsidR="00BA521A" w:rsidRDefault="00BD675F">
            <w:pPr>
              <w:ind w:left="900" w:hanging="900"/>
              <w:jc w:val="center"/>
              <w:rPr>
                <w:rFonts w:ascii="Arial" w:hAnsi="Arial" w:cs="Arial"/>
              </w:rPr>
            </w:pPr>
            <w:r>
              <w:rPr>
                <w:rFonts w:ascii="Arial" w:hAnsi="Arial" w:cs="Arial"/>
              </w:rPr>
              <w:t>0.054</w:t>
            </w:r>
            <w:r>
              <w:rPr>
                <w:rFonts w:ascii="Arial" w:hAnsi="Arial" w:cs="Arial"/>
                <w:vertAlign w:val="superscript"/>
              </w:rPr>
              <w:t>b</w:t>
            </w:r>
          </w:p>
        </w:tc>
        <w:tc>
          <w:tcPr>
            <w:tcW w:w="0" w:type="auto"/>
            <w:noWrap/>
            <w:vAlign w:val="center"/>
          </w:tcPr>
          <w:p w14:paraId="48384578" w14:textId="77777777" w:rsidR="00BA521A" w:rsidRDefault="00BD675F">
            <w:pPr>
              <w:ind w:left="900" w:hanging="900"/>
              <w:jc w:val="center"/>
              <w:rPr>
                <w:rFonts w:ascii="Arial" w:hAnsi="Arial" w:cs="Arial"/>
              </w:rPr>
            </w:pPr>
            <w:r>
              <w:rPr>
                <w:rFonts w:ascii="Arial" w:hAnsi="Arial" w:cs="Arial"/>
              </w:rPr>
              <w:t>3.250</w:t>
            </w:r>
            <w:r>
              <w:rPr>
                <w:rFonts w:ascii="Arial" w:hAnsi="Arial" w:cs="Arial"/>
                <w:vertAlign w:val="superscript"/>
              </w:rPr>
              <w:t>c</w:t>
            </w:r>
          </w:p>
        </w:tc>
      </w:tr>
      <w:tr w:rsidR="00BA521A" w14:paraId="30A42895" w14:textId="77777777">
        <w:trPr>
          <w:trHeight w:val="20"/>
          <w:jc w:val="center"/>
        </w:trPr>
        <w:tc>
          <w:tcPr>
            <w:tcW w:w="0" w:type="auto"/>
            <w:noWrap/>
            <w:vAlign w:val="bottom"/>
          </w:tcPr>
          <w:p w14:paraId="40B53D07" w14:textId="77777777" w:rsidR="00BA521A" w:rsidRDefault="00BD675F">
            <w:pPr>
              <w:ind w:left="900" w:hanging="900"/>
              <w:jc w:val="center"/>
              <w:rPr>
                <w:rFonts w:ascii="Arial" w:hAnsi="Arial" w:cs="Arial"/>
              </w:rPr>
            </w:pPr>
            <w:r>
              <w:rPr>
                <w:rFonts w:ascii="Arial" w:hAnsi="Arial" w:cs="Arial"/>
              </w:rPr>
              <w:t>5</w:t>
            </w:r>
          </w:p>
        </w:tc>
        <w:tc>
          <w:tcPr>
            <w:tcW w:w="0" w:type="auto"/>
            <w:noWrap/>
            <w:vAlign w:val="center"/>
          </w:tcPr>
          <w:p w14:paraId="03F2F9E2" w14:textId="77777777" w:rsidR="00BA521A" w:rsidRDefault="00BD675F">
            <w:pPr>
              <w:ind w:left="900" w:hanging="900"/>
              <w:jc w:val="center"/>
              <w:rPr>
                <w:rFonts w:ascii="Arial" w:hAnsi="Arial" w:cs="Arial"/>
              </w:rPr>
            </w:pPr>
            <w:r>
              <w:rPr>
                <w:rFonts w:ascii="Arial" w:hAnsi="Arial" w:cs="Arial"/>
              </w:rPr>
              <w:t>6 X 6</w:t>
            </w:r>
          </w:p>
        </w:tc>
        <w:tc>
          <w:tcPr>
            <w:tcW w:w="0" w:type="auto"/>
            <w:noWrap/>
            <w:vAlign w:val="center"/>
          </w:tcPr>
          <w:p w14:paraId="1B68F964" w14:textId="77777777" w:rsidR="00BA521A" w:rsidRDefault="00BD675F">
            <w:pPr>
              <w:ind w:left="900" w:hanging="900"/>
              <w:jc w:val="center"/>
              <w:rPr>
                <w:rFonts w:ascii="Arial" w:hAnsi="Arial" w:cs="Arial"/>
              </w:rPr>
            </w:pPr>
            <w:r>
              <w:rPr>
                <w:rFonts w:ascii="Arial" w:hAnsi="Arial" w:cs="Arial"/>
              </w:rPr>
              <w:t>277</w:t>
            </w:r>
          </w:p>
        </w:tc>
        <w:tc>
          <w:tcPr>
            <w:tcW w:w="0" w:type="auto"/>
            <w:noWrap/>
            <w:vAlign w:val="center"/>
          </w:tcPr>
          <w:p w14:paraId="25344433" w14:textId="77777777" w:rsidR="00BA521A" w:rsidRDefault="00BD675F">
            <w:pPr>
              <w:ind w:left="900" w:hanging="900"/>
              <w:jc w:val="center"/>
              <w:rPr>
                <w:rFonts w:ascii="Arial" w:hAnsi="Arial" w:cs="Arial"/>
              </w:rPr>
            </w:pPr>
            <w:r>
              <w:rPr>
                <w:rFonts w:ascii="Arial" w:hAnsi="Arial" w:cs="Arial"/>
              </w:rPr>
              <w:t>4.15</w:t>
            </w:r>
            <w:r w:rsidRPr="00F957DF">
              <w:rPr>
                <w:rFonts w:ascii="Arial" w:hAnsi="Arial" w:cs="Arial"/>
                <w:vertAlign w:val="superscript"/>
              </w:rPr>
              <w:t>b</w:t>
            </w:r>
          </w:p>
        </w:tc>
        <w:tc>
          <w:tcPr>
            <w:tcW w:w="0" w:type="auto"/>
            <w:noWrap/>
            <w:vAlign w:val="center"/>
          </w:tcPr>
          <w:p w14:paraId="61292E52" w14:textId="77777777" w:rsidR="00BA521A" w:rsidRDefault="00BD675F">
            <w:pPr>
              <w:ind w:left="900" w:hanging="900"/>
              <w:jc w:val="center"/>
              <w:rPr>
                <w:rFonts w:ascii="Arial" w:hAnsi="Arial" w:cs="Arial"/>
              </w:rPr>
            </w:pPr>
            <w:r>
              <w:rPr>
                <w:rFonts w:ascii="Arial" w:hAnsi="Arial" w:cs="Arial"/>
              </w:rPr>
              <w:t>0.049</w:t>
            </w:r>
            <w:r>
              <w:rPr>
                <w:rFonts w:ascii="Arial" w:hAnsi="Arial" w:cs="Arial"/>
                <w:vertAlign w:val="superscript"/>
              </w:rPr>
              <w:t>c</w:t>
            </w:r>
          </w:p>
        </w:tc>
        <w:tc>
          <w:tcPr>
            <w:tcW w:w="0" w:type="auto"/>
            <w:noWrap/>
            <w:vAlign w:val="center"/>
          </w:tcPr>
          <w:p w14:paraId="03E2D8CF" w14:textId="77777777" w:rsidR="00BA521A" w:rsidRDefault="00BD675F">
            <w:pPr>
              <w:ind w:left="900" w:hanging="900"/>
              <w:jc w:val="center"/>
              <w:rPr>
                <w:rFonts w:ascii="Arial" w:hAnsi="Arial" w:cs="Arial"/>
              </w:rPr>
            </w:pPr>
            <w:r>
              <w:rPr>
                <w:rFonts w:ascii="Arial" w:hAnsi="Arial" w:cs="Arial"/>
              </w:rPr>
              <w:t>2.171</w:t>
            </w:r>
            <w:r>
              <w:rPr>
                <w:rFonts w:ascii="Arial" w:hAnsi="Arial" w:cs="Arial"/>
                <w:vertAlign w:val="superscript"/>
              </w:rPr>
              <w:t>d</w:t>
            </w:r>
          </w:p>
        </w:tc>
      </w:tr>
      <w:tr w:rsidR="00BA521A" w14:paraId="708DD744" w14:textId="77777777">
        <w:trPr>
          <w:trHeight w:val="20"/>
          <w:jc w:val="center"/>
        </w:trPr>
        <w:tc>
          <w:tcPr>
            <w:tcW w:w="0" w:type="auto"/>
            <w:gridSpan w:val="3"/>
            <w:noWrap/>
            <w:vAlign w:val="bottom"/>
          </w:tcPr>
          <w:p w14:paraId="24B5BC7D" w14:textId="77777777" w:rsidR="00BA521A" w:rsidRDefault="00BD675F">
            <w:pPr>
              <w:ind w:left="900" w:hanging="900"/>
              <w:rPr>
                <w:rFonts w:ascii="Arial" w:hAnsi="Arial" w:cs="Arial"/>
                <w:b/>
                <w:bCs/>
              </w:rPr>
            </w:pPr>
            <w:r>
              <w:rPr>
                <w:rFonts w:ascii="Arial" w:hAnsi="Arial" w:cs="Arial"/>
                <w:b/>
                <w:bCs/>
              </w:rPr>
              <w:t>Mean</w:t>
            </w:r>
          </w:p>
        </w:tc>
        <w:tc>
          <w:tcPr>
            <w:tcW w:w="0" w:type="auto"/>
            <w:noWrap/>
            <w:vAlign w:val="center"/>
          </w:tcPr>
          <w:p w14:paraId="6B0CD183" w14:textId="77777777" w:rsidR="00BA521A" w:rsidRDefault="00BD675F">
            <w:pPr>
              <w:ind w:left="900" w:hanging="900"/>
              <w:jc w:val="center"/>
              <w:rPr>
                <w:rFonts w:ascii="Arial" w:hAnsi="Arial" w:cs="Arial"/>
                <w:b/>
                <w:bCs/>
              </w:rPr>
            </w:pPr>
            <w:r>
              <w:rPr>
                <w:rFonts w:ascii="Arial" w:hAnsi="Arial" w:cs="Arial"/>
                <w:b/>
                <w:bCs/>
              </w:rPr>
              <w:t>4.09</w:t>
            </w:r>
          </w:p>
        </w:tc>
        <w:tc>
          <w:tcPr>
            <w:tcW w:w="0" w:type="auto"/>
            <w:noWrap/>
            <w:vAlign w:val="center"/>
          </w:tcPr>
          <w:p w14:paraId="65CE8114" w14:textId="77777777" w:rsidR="00BA521A" w:rsidRDefault="00BD675F">
            <w:pPr>
              <w:ind w:left="900" w:hanging="900"/>
              <w:jc w:val="center"/>
              <w:rPr>
                <w:rFonts w:ascii="Arial" w:hAnsi="Arial" w:cs="Arial"/>
                <w:b/>
                <w:bCs/>
              </w:rPr>
            </w:pPr>
            <w:r>
              <w:rPr>
                <w:rFonts w:ascii="Arial" w:hAnsi="Arial" w:cs="Arial"/>
                <w:b/>
                <w:bCs/>
              </w:rPr>
              <w:t>0.05</w:t>
            </w:r>
          </w:p>
        </w:tc>
        <w:tc>
          <w:tcPr>
            <w:tcW w:w="0" w:type="auto"/>
            <w:noWrap/>
            <w:vAlign w:val="center"/>
          </w:tcPr>
          <w:p w14:paraId="3E3ACB16" w14:textId="77777777" w:rsidR="00BA521A" w:rsidRDefault="00BD675F">
            <w:pPr>
              <w:ind w:left="900" w:hanging="900"/>
              <w:jc w:val="center"/>
              <w:rPr>
                <w:rFonts w:ascii="Arial" w:hAnsi="Arial" w:cs="Arial"/>
                <w:b/>
                <w:bCs/>
              </w:rPr>
            </w:pPr>
            <w:r>
              <w:rPr>
                <w:rFonts w:ascii="Arial" w:hAnsi="Arial" w:cs="Arial"/>
                <w:b/>
                <w:bCs/>
              </w:rPr>
              <w:t>4.63</w:t>
            </w:r>
          </w:p>
        </w:tc>
      </w:tr>
      <w:tr w:rsidR="00BA521A" w14:paraId="358A3C56" w14:textId="77777777">
        <w:trPr>
          <w:trHeight w:val="20"/>
          <w:jc w:val="center"/>
        </w:trPr>
        <w:tc>
          <w:tcPr>
            <w:tcW w:w="0" w:type="auto"/>
            <w:gridSpan w:val="3"/>
            <w:noWrap/>
            <w:vAlign w:val="bottom"/>
          </w:tcPr>
          <w:p w14:paraId="0C884876" w14:textId="77777777" w:rsidR="00BA521A" w:rsidRDefault="00BD675F">
            <w:pPr>
              <w:ind w:left="900" w:hanging="900"/>
              <w:rPr>
                <w:rFonts w:ascii="Arial" w:hAnsi="Arial" w:cs="Arial"/>
                <w:b/>
                <w:bCs/>
              </w:rPr>
            </w:pPr>
            <w:r>
              <w:rPr>
                <w:rFonts w:ascii="Arial" w:hAnsi="Arial" w:cs="Arial"/>
                <w:b/>
                <w:bCs/>
              </w:rPr>
              <w:t>SE (d) ±</w:t>
            </w:r>
          </w:p>
        </w:tc>
        <w:tc>
          <w:tcPr>
            <w:tcW w:w="0" w:type="auto"/>
            <w:noWrap/>
            <w:vAlign w:val="center"/>
          </w:tcPr>
          <w:p w14:paraId="63509AFA" w14:textId="77777777" w:rsidR="00BA521A" w:rsidRDefault="00BD675F">
            <w:pPr>
              <w:ind w:left="900" w:hanging="900"/>
              <w:jc w:val="center"/>
              <w:rPr>
                <w:rFonts w:ascii="Arial" w:hAnsi="Arial" w:cs="Arial"/>
                <w:b/>
                <w:bCs/>
              </w:rPr>
            </w:pPr>
            <w:r>
              <w:rPr>
                <w:rFonts w:ascii="Arial" w:hAnsi="Arial" w:cs="Arial"/>
                <w:b/>
                <w:bCs/>
              </w:rPr>
              <w:t>0.103</w:t>
            </w:r>
          </w:p>
        </w:tc>
        <w:tc>
          <w:tcPr>
            <w:tcW w:w="0" w:type="auto"/>
            <w:noWrap/>
            <w:vAlign w:val="center"/>
          </w:tcPr>
          <w:p w14:paraId="265646EF" w14:textId="77777777" w:rsidR="00BA521A" w:rsidRDefault="00BD675F">
            <w:pPr>
              <w:ind w:left="900" w:hanging="900"/>
              <w:jc w:val="center"/>
              <w:rPr>
                <w:rFonts w:ascii="Arial" w:hAnsi="Arial" w:cs="Arial"/>
                <w:b/>
                <w:bCs/>
              </w:rPr>
            </w:pPr>
            <w:r>
              <w:rPr>
                <w:rFonts w:ascii="Arial" w:hAnsi="Arial" w:cs="Arial"/>
                <w:b/>
                <w:bCs/>
              </w:rPr>
              <w:t>0.001</w:t>
            </w:r>
          </w:p>
        </w:tc>
        <w:tc>
          <w:tcPr>
            <w:tcW w:w="0" w:type="auto"/>
            <w:noWrap/>
            <w:vAlign w:val="center"/>
          </w:tcPr>
          <w:p w14:paraId="56EBF7B2" w14:textId="77777777" w:rsidR="00BA521A" w:rsidRDefault="00BD675F">
            <w:pPr>
              <w:ind w:left="900" w:hanging="900"/>
              <w:jc w:val="center"/>
              <w:rPr>
                <w:rFonts w:ascii="Arial" w:hAnsi="Arial" w:cs="Arial"/>
                <w:b/>
                <w:bCs/>
              </w:rPr>
            </w:pPr>
            <w:r>
              <w:rPr>
                <w:rFonts w:ascii="Arial" w:hAnsi="Arial" w:cs="Arial"/>
                <w:b/>
                <w:bCs/>
              </w:rPr>
              <w:t>0.063</w:t>
            </w:r>
          </w:p>
        </w:tc>
      </w:tr>
      <w:tr w:rsidR="00BA521A" w14:paraId="39934CE3" w14:textId="77777777">
        <w:trPr>
          <w:trHeight w:val="20"/>
          <w:jc w:val="center"/>
        </w:trPr>
        <w:tc>
          <w:tcPr>
            <w:tcW w:w="0" w:type="auto"/>
            <w:gridSpan w:val="3"/>
            <w:noWrap/>
            <w:vAlign w:val="bottom"/>
          </w:tcPr>
          <w:p w14:paraId="13396C76" w14:textId="77777777" w:rsidR="00BA521A" w:rsidRDefault="00BD675F">
            <w:pPr>
              <w:ind w:left="900" w:hanging="900"/>
              <w:rPr>
                <w:rFonts w:ascii="Arial" w:hAnsi="Arial" w:cs="Arial"/>
                <w:b/>
                <w:bCs/>
              </w:rPr>
            </w:pPr>
            <w:r>
              <w:rPr>
                <w:rFonts w:ascii="Arial" w:hAnsi="Arial" w:cs="Arial"/>
                <w:b/>
                <w:bCs/>
              </w:rPr>
              <w:t>SE (m) ±</w:t>
            </w:r>
          </w:p>
        </w:tc>
        <w:tc>
          <w:tcPr>
            <w:tcW w:w="0" w:type="auto"/>
            <w:noWrap/>
            <w:vAlign w:val="center"/>
          </w:tcPr>
          <w:p w14:paraId="1D02ADB5" w14:textId="77777777" w:rsidR="00BA521A" w:rsidRDefault="00BD675F">
            <w:pPr>
              <w:ind w:left="900" w:hanging="900"/>
              <w:jc w:val="center"/>
              <w:rPr>
                <w:rFonts w:ascii="Arial" w:hAnsi="Arial" w:cs="Arial"/>
                <w:b/>
                <w:bCs/>
              </w:rPr>
            </w:pPr>
            <w:r>
              <w:rPr>
                <w:rFonts w:ascii="Arial" w:hAnsi="Arial" w:cs="Arial"/>
                <w:b/>
                <w:bCs/>
              </w:rPr>
              <w:t>0.073</w:t>
            </w:r>
          </w:p>
        </w:tc>
        <w:tc>
          <w:tcPr>
            <w:tcW w:w="0" w:type="auto"/>
            <w:noWrap/>
            <w:vAlign w:val="center"/>
          </w:tcPr>
          <w:p w14:paraId="0ACEAD22" w14:textId="77777777" w:rsidR="00BA521A" w:rsidRDefault="00BD675F">
            <w:pPr>
              <w:ind w:left="900" w:hanging="900"/>
              <w:jc w:val="center"/>
              <w:rPr>
                <w:rFonts w:ascii="Arial" w:hAnsi="Arial" w:cs="Arial"/>
                <w:b/>
                <w:bCs/>
              </w:rPr>
            </w:pPr>
            <w:r>
              <w:rPr>
                <w:rFonts w:ascii="Arial" w:hAnsi="Arial" w:cs="Arial"/>
                <w:b/>
                <w:bCs/>
              </w:rPr>
              <w:t>0.001</w:t>
            </w:r>
          </w:p>
        </w:tc>
        <w:tc>
          <w:tcPr>
            <w:tcW w:w="0" w:type="auto"/>
            <w:noWrap/>
            <w:vAlign w:val="center"/>
          </w:tcPr>
          <w:p w14:paraId="35D4A38E" w14:textId="77777777" w:rsidR="00BA521A" w:rsidRDefault="00BD675F">
            <w:pPr>
              <w:ind w:left="900" w:hanging="900"/>
              <w:jc w:val="center"/>
              <w:rPr>
                <w:rFonts w:ascii="Arial" w:hAnsi="Arial" w:cs="Arial"/>
                <w:b/>
                <w:bCs/>
              </w:rPr>
            </w:pPr>
            <w:r>
              <w:rPr>
                <w:rFonts w:ascii="Arial" w:hAnsi="Arial" w:cs="Arial"/>
                <w:b/>
                <w:bCs/>
              </w:rPr>
              <w:t>0.045</w:t>
            </w:r>
          </w:p>
        </w:tc>
      </w:tr>
      <w:tr w:rsidR="00BA521A" w14:paraId="19469E53" w14:textId="77777777">
        <w:trPr>
          <w:trHeight w:val="20"/>
          <w:jc w:val="center"/>
        </w:trPr>
        <w:tc>
          <w:tcPr>
            <w:tcW w:w="0" w:type="auto"/>
            <w:gridSpan w:val="3"/>
            <w:noWrap/>
            <w:vAlign w:val="bottom"/>
          </w:tcPr>
          <w:p w14:paraId="62F9732F" w14:textId="77777777" w:rsidR="00BA521A" w:rsidRDefault="00BD675F">
            <w:pPr>
              <w:ind w:left="900" w:hanging="900"/>
              <w:rPr>
                <w:rFonts w:ascii="Arial" w:hAnsi="Arial" w:cs="Arial"/>
                <w:b/>
                <w:bCs/>
              </w:rPr>
            </w:pPr>
            <w:r>
              <w:rPr>
                <w:rFonts w:ascii="Arial" w:hAnsi="Arial" w:cs="Arial"/>
                <w:b/>
                <w:bCs/>
              </w:rPr>
              <w:t>CD (0.05)</w:t>
            </w:r>
          </w:p>
        </w:tc>
        <w:tc>
          <w:tcPr>
            <w:tcW w:w="0" w:type="auto"/>
            <w:noWrap/>
            <w:vAlign w:val="center"/>
          </w:tcPr>
          <w:p w14:paraId="16C4C04C" w14:textId="77777777" w:rsidR="00BA521A" w:rsidRDefault="00BD675F">
            <w:pPr>
              <w:ind w:left="900" w:hanging="900"/>
              <w:jc w:val="center"/>
              <w:rPr>
                <w:rFonts w:ascii="Arial" w:hAnsi="Arial" w:cs="Arial"/>
                <w:b/>
                <w:bCs/>
              </w:rPr>
            </w:pPr>
            <w:r>
              <w:rPr>
                <w:rFonts w:ascii="Arial" w:hAnsi="Arial" w:cs="Arial"/>
                <w:b/>
                <w:bCs/>
              </w:rPr>
              <w:t>0.242</w:t>
            </w:r>
          </w:p>
        </w:tc>
        <w:tc>
          <w:tcPr>
            <w:tcW w:w="0" w:type="auto"/>
            <w:noWrap/>
            <w:vAlign w:val="center"/>
          </w:tcPr>
          <w:p w14:paraId="1511DE82" w14:textId="77777777" w:rsidR="00BA521A" w:rsidRDefault="00BD675F">
            <w:pPr>
              <w:ind w:left="900" w:hanging="900"/>
              <w:jc w:val="center"/>
              <w:rPr>
                <w:rFonts w:ascii="Arial" w:hAnsi="Arial" w:cs="Arial"/>
                <w:b/>
                <w:bCs/>
              </w:rPr>
            </w:pPr>
            <w:r>
              <w:rPr>
                <w:rFonts w:ascii="Arial" w:hAnsi="Arial" w:cs="Arial"/>
                <w:b/>
                <w:bCs/>
              </w:rPr>
              <w:t>0.003</w:t>
            </w:r>
          </w:p>
        </w:tc>
        <w:tc>
          <w:tcPr>
            <w:tcW w:w="0" w:type="auto"/>
            <w:noWrap/>
            <w:vAlign w:val="center"/>
          </w:tcPr>
          <w:p w14:paraId="6991CBDC" w14:textId="77777777" w:rsidR="00BA521A" w:rsidRDefault="00BD675F">
            <w:pPr>
              <w:ind w:left="900" w:hanging="900"/>
              <w:jc w:val="center"/>
              <w:rPr>
                <w:rFonts w:ascii="Arial" w:hAnsi="Arial" w:cs="Arial"/>
                <w:b/>
                <w:bCs/>
              </w:rPr>
            </w:pPr>
            <w:r>
              <w:rPr>
                <w:rFonts w:ascii="Arial" w:hAnsi="Arial" w:cs="Arial"/>
                <w:b/>
                <w:bCs/>
              </w:rPr>
              <w:t>0.145</w:t>
            </w:r>
          </w:p>
        </w:tc>
      </w:tr>
    </w:tbl>
    <w:p w14:paraId="077522D8" w14:textId="77777777" w:rsidR="00BA521A" w:rsidRDefault="00BA521A">
      <w:pPr>
        <w:pStyle w:val="Head1"/>
        <w:spacing w:after="0"/>
        <w:jc w:val="both"/>
        <w:rPr>
          <w:rFonts w:ascii="Arial" w:hAnsi="Arial" w:cs="Arial"/>
        </w:rPr>
      </w:pPr>
    </w:p>
    <w:p w14:paraId="0C2A06DB"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maximum average height (4.62 m) and diameter (0.062 m) were observed at a spacing of 4.5 × 4.5 m (493 trees ha</w:t>
      </w:r>
      <w:r>
        <w:rPr>
          <w:rFonts w:ascii="Arial" w:hAnsi="Arial" w:cs="Arial"/>
          <w:color w:val="000000" w:themeColor="text1"/>
          <w:vertAlign w:val="superscript"/>
        </w:rPr>
        <w:t>-1</w:t>
      </w:r>
      <w:r>
        <w:rPr>
          <w:rFonts w:ascii="Arial" w:hAnsi="Arial" w:cs="Arial"/>
          <w:color w:val="000000" w:themeColor="text1"/>
        </w:rPr>
        <w:t>) followed by 4.28 m height with 0.054m diameter in 330 trees ha</w:t>
      </w:r>
      <w:r>
        <w:rPr>
          <w:rFonts w:ascii="Arial" w:hAnsi="Arial" w:cs="Arial"/>
          <w:color w:val="000000" w:themeColor="text1"/>
          <w:vertAlign w:val="superscript"/>
        </w:rPr>
        <w:t>-1</w:t>
      </w:r>
      <w:r>
        <w:rPr>
          <w:rFonts w:ascii="Arial" w:hAnsi="Arial" w:cs="Arial"/>
          <w:color w:val="000000" w:themeColor="text1"/>
        </w:rPr>
        <w:t xml:space="preserve"> density category. The minimum values were recorded at the highest density (3.0 × 3.0 m; 1111 trees ha</w:t>
      </w:r>
      <w:r>
        <w:rPr>
          <w:rFonts w:ascii="Arial" w:hAnsi="Arial" w:cs="Arial"/>
          <w:color w:val="000000" w:themeColor="text1"/>
          <w:vertAlign w:val="superscript"/>
        </w:rPr>
        <w:t>-1</w:t>
      </w:r>
      <w:r>
        <w:rPr>
          <w:rFonts w:ascii="Arial" w:hAnsi="Arial" w:cs="Arial"/>
          <w:color w:val="000000" w:themeColor="text1"/>
        </w:rPr>
        <w:t>), with 3.51 m height and 0.042 m diameter. The total volume per hectare followed the results of height and diameter as highest at 4.5 × 4.5 m (493 trees ha</w:t>
      </w:r>
      <w:r>
        <w:rPr>
          <w:rFonts w:ascii="Arial" w:hAnsi="Arial" w:cs="Arial"/>
          <w:color w:val="000000" w:themeColor="text1"/>
          <w:vertAlign w:val="superscript"/>
        </w:rPr>
        <w:t>-1</w:t>
      </w:r>
      <w:r>
        <w:rPr>
          <w:rFonts w:ascii="Arial" w:hAnsi="Arial" w:cs="Arial"/>
          <w:color w:val="000000" w:themeColor="text1"/>
        </w:rPr>
        <w:t>) i.e. 6.825 m</w:t>
      </w:r>
      <w:r>
        <w:rPr>
          <w:rFonts w:ascii="Arial" w:hAnsi="Arial" w:cs="Arial"/>
          <w:color w:val="000000" w:themeColor="text1"/>
          <w:vertAlign w:val="superscript"/>
        </w:rPr>
        <w:t xml:space="preserve">3 </w:t>
      </w:r>
      <w:r>
        <w:rPr>
          <w:rFonts w:ascii="Arial" w:hAnsi="Arial" w:cs="Arial"/>
          <w:color w:val="000000" w:themeColor="text1"/>
        </w:rPr>
        <w:t>ha</w:t>
      </w:r>
      <w:r>
        <w:rPr>
          <w:rFonts w:ascii="Arial" w:hAnsi="Arial" w:cs="Arial"/>
          <w:color w:val="000000" w:themeColor="text1"/>
          <w:vertAlign w:val="superscript"/>
        </w:rPr>
        <w:t>-1</w:t>
      </w:r>
      <w:r>
        <w:rPr>
          <w:rFonts w:ascii="Arial" w:hAnsi="Arial" w:cs="Arial"/>
          <w:color w:val="000000" w:themeColor="text1"/>
        </w:rPr>
        <w:t>. This is attributable to the greater number of trees per unit area, which compensates for the reduced size of individual trees. This trend suggests that moderate density favors optimal individual tree growth, likely due to reduced competition for resources such as light, nutrients, and water. However, the total volume dropped significantly to 2.171 m</w:t>
      </w:r>
      <w:r>
        <w:rPr>
          <w:rFonts w:ascii="Arial" w:hAnsi="Arial" w:cs="Arial"/>
          <w:color w:val="000000" w:themeColor="text1"/>
          <w:vertAlign w:val="superscript"/>
        </w:rPr>
        <w:t>3</w:t>
      </w:r>
      <w:r>
        <w:rPr>
          <w:rFonts w:ascii="Arial" w:hAnsi="Arial" w:cs="Arial"/>
          <w:color w:val="000000" w:themeColor="text1"/>
        </w:rPr>
        <w:t xml:space="preserve"> ha</w:t>
      </w:r>
      <w:r>
        <w:rPr>
          <w:rFonts w:ascii="Arial" w:hAnsi="Arial" w:cs="Arial"/>
          <w:color w:val="000000" w:themeColor="text1"/>
          <w:vertAlign w:val="superscript"/>
        </w:rPr>
        <w:t>-1</w:t>
      </w:r>
      <w:r>
        <w:rPr>
          <w:rFonts w:ascii="Arial" w:hAnsi="Arial" w:cs="Arial"/>
          <w:color w:val="000000" w:themeColor="text1"/>
        </w:rPr>
        <w:t xml:space="preserve"> at the widest spacing (6 × 6 m; 277 trees ha</w:t>
      </w:r>
      <w:r>
        <w:rPr>
          <w:rFonts w:ascii="Arial" w:hAnsi="Arial" w:cs="Arial"/>
          <w:color w:val="000000" w:themeColor="text1"/>
          <w:vertAlign w:val="superscript"/>
        </w:rPr>
        <w:t>-1</w:t>
      </w:r>
      <w:r>
        <w:rPr>
          <w:rFonts w:ascii="Arial" w:hAnsi="Arial" w:cs="Arial"/>
          <w:color w:val="000000" w:themeColor="text1"/>
        </w:rPr>
        <w:t>), indicating that beyond a certain point, the reduction in tree number cannot be compensated by increased individual tree growth.</w:t>
      </w:r>
    </w:p>
    <w:p w14:paraId="4355B44F" w14:textId="6FF44335"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 xml:space="preserve">Similar findings have been reported by Harsh </w:t>
      </w:r>
      <w:r>
        <w:rPr>
          <w:rFonts w:ascii="Arial" w:hAnsi="Arial" w:cs="Arial"/>
          <w:i/>
          <w:iCs/>
          <w:color w:val="000000" w:themeColor="text1"/>
        </w:rPr>
        <w:t>et al.</w:t>
      </w:r>
      <w:r>
        <w:rPr>
          <w:rFonts w:ascii="Arial" w:hAnsi="Arial" w:cs="Arial"/>
          <w:color w:val="000000" w:themeColor="text1"/>
        </w:rPr>
        <w:t xml:space="preserve"> (2019), who observed that wider spacings generally enhance individual tree growth in </w:t>
      </w:r>
      <w:r w:rsidR="005E4EC4">
        <w:rPr>
          <w:rFonts w:ascii="Arial" w:hAnsi="Arial" w:cs="Arial"/>
          <w:color w:val="000000" w:themeColor="text1"/>
        </w:rPr>
        <w:t>Sandalwood</w:t>
      </w:r>
      <w:r>
        <w:rPr>
          <w:rFonts w:ascii="Arial" w:hAnsi="Arial" w:cs="Arial"/>
          <w:color w:val="000000" w:themeColor="text1"/>
        </w:rPr>
        <w:t xml:space="preserve"> due to less inter-tree competition. These results are also consistent with the observations of </w:t>
      </w:r>
      <w:proofErr w:type="spellStart"/>
      <w:r>
        <w:rPr>
          <w:rFonts w:ascii="Arial" w:hAnsi="Arial" w:cs="Arial"/>
          <w:color w:val="000000" w:themeColor="text1"/>
        </w:rPr>
        <w:t>Radomiljac</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(1998), who reported that lower densities in </w:t>
      </w:r>
      <w:r w:rsidR="005E4EC4">
        <w:rPr>
          <w:rFonts w:ascii="Arial" w:hAnsi="Arial" w:cs="Arial"/>
          <w:color w:val="000000" w:themeColor="text1"/>
        </w:rPr>
        <w:t>Sandalwood</w:t>
      </w:r>
      <w:r>
        <w:rPr>
          <w:rFonts w:ascii="Arial" w:hAnsi="Arial" w:cs="Arial"/>
          <w:color w:val="000000" w:themeColor="text1"/>
        </w:rPr>
        <w:t xml:space="preserve"> plantations promote greater diameter and height increments per tree. The findings of Nagaveni </w:t>
      </w:r>
      <w:r>
        <w:rPr>
          <w:rFonts w:ascii="Arial" w:hAnsi="Arial" w:cs="Arial"/>
          <w:i/>
          <w:iCs/>
          <w:color w:val="000000" w:themeColor="text1"/>
        </w:rPr>
        <w:t>et al.</w:t>
      </w:r>
      <w:r>
        <w:rPr>
          <w:rFonts w:ascii="Arial" w:hAnsi="Arial" w:cs="Arial"/>
          <w:color w:val="000000" w:themeColor="text1"/>
        </w:rPr>
        <w:t xml:space="preserve"> (2011) noted that intermediate densities optimize both height and diameter growth, leading to the highest per-tree wood volume. These results are in agreement with the findings of Fox </w:t>
      </w:r>
      <w:r>
        <w:rPr>
          <w:rFonts w:ascii="Arial" w:hAnsi="Arial" w:cs="Arial"/>
          <w:i/>
          <w:iCs/>
          <w:color w:val="000000" w:themeColor="text1"/>
        </w:rPr>
        <w:t>et al.</w:t>
      </w:r>
      <w:r>
        <w:rPr>
          <w:rFonts w:ascii="Arial" w:hAnsi="Arial" w:cs="Arial"/>
          <w:color w:val="000000" w:themeColor="text1"/>
        </w:rPr>
        <w:t xml:space="preserve"> (2007) &amp; Nagaveni </w:t>
      </w:r>
      <w:r>
        <w:rPr>
          <w:rFonts w:ascii="Arial" w:hAnsi="Arial" w:cs="Arial"/>
          <w:i/>
          <w:iCs/>
          <w:color w:val="000000" w:themeColor="text1"/>
        </w:rPr>
        <w:t>et al.</w:t>
      </w:r>
      <w:r>
        <w:rPr>
          <w:rFonts w:ascii="Arial" w:hAnsi="Arial" w:cs="Arial"/>
          <w:color w:val="000000" w:themeColor="text1"/>
        </w:rPr>
        <w:t xml:space="preserve"> (2011), who highlighted that higher stand densities often yield greater total wood volume per hectare, albeit with smaller individual trees. The current findings corroborate earlier studies on spacing effects in </w:t>
      </w:r>
      <w:r w:rsidR="005E4EC4">
        <w:rPr>
          <w:rFonts w:ascii="Arial" w:hAnsi="Arial" w:cs="Arial"/>
          <w:color w:val="000000" w:themeColor="text1"/>
        </w:rPr>
        <w:t>Sandalwood</w:t>
      </w:r>
      <w:r>
        <w:rPr>
          <w:rFonts w:ascii="Arial" w:hAnsi="Arial" w:cs="Arial"/>
          <w:color w:val="000000" w:themeColor="text1"/>
        </w:rPr>
        <w:t xml:space="preserve"> and other timber species. For instance, Chandrashekara and Parthasarathy (1995) found that intermediate spacings in teak plantations resulted in optimal stand productivity, balancing individual tree growth and total yield. Similarly, studies by Subasinghe </w:t>
      </w:r>
      <w:r>
        <w:rPr>
          <w:rFonts w:ascii="Arial" w:hAnsi="Arial" w:cs="Arial"/>
          <w:i/>
          <w:iCs/>
          <w:color w:val="000000" w:themeColor="text1"/>
        </w:rPr>
        <w:t>et al.</w:t>
      </w:r>
      <w:r>
        <w:rPr>
          <w:rFonts w:ascii="Arial" w:hAnsi="Arial" w:cs="Arial"/>
          <w:color w:val="000000" w:themeColor="text1"/>
        </w:rPr>
        <w:t xml:space="preserve"> (2013) on </w:t>
      </w:r>
      <w:r w:rsidRPr="00F957DF">
        <w:rPr>
          <w:rFonts w:ascii="Arial" w:hAnsi="Arial" w:cs="Arial"/>
          <w:i/>
          <w:iCs/>
          <w:color w:val="000000" w:themeColor="text1"/>
        </w:rPr>
        <w:t>Santalum album</w:t>
      </w:r>
      <w:r>
        <w:rPr>
          <w:rFonts w:ascii="Arial" w:hAnsi="Arial" w:cs="Arial"/>
          <w:color w:val="000000" w:themeColor="text1"/>
        </w:rPr>
        <w:t xml:space="preserve"> in Sri Lanka reported that moderate densities (400–600 trees ha</w:t>
      </w:r>
      <w:r>
        <w:rPr>
          <w:rFonts w:ascii="Arial" w:hAnsi="Arial" w:cs="Arial"/>
          <w:color w:val="000000" w:themeColor="text1"/>
          <w:vertAlign w:val="superscript"/>
        </w:rPr>
        <w:t>-1</w:t>
      </w:r>
      <w:r>
        <w:rPr>
          <w:rFonts w:ascii="Arial" w:hAnsi="Arial" w:cs="Arial"/>
          <w:color w:val="000000" w:themeColor="text1"/>
        </w:rPr>
        <w:t>) provided the best compromise between individual tree quality and total stand volume.</w:t>
      </w:r>
    </w:p>
    <w:p w14:paraId="25665795" w14:textId="08C32EE9" w:rsidR="00BA521A" w:rsidRDefault="00BD675F">
      <w:pPr>
        <w:spacing w:line="276" w:lineRule="auto"/>
        <w:jc w:val="both"/>
        <w:rPr>
          <w:rFonts w:ascii="Arial" w:hAnsi="Arial" w:cs="Arial"/>
          <w:b/>
          <w:bCs/>
          <w:color w:val="000000" w:themeColor="text1"/>
          <w:sz w:val="22"/>
          <w:szCs w:val="22"/>
        </w:rPr>
      </w:pPr>
      <w:r>
        <w:rPr>
          <w:rFonts w:ascii="Times New Roman" w:hAnsi="Times New Roman"/>
          <w:b/>
          <w:bCs/>
          <w:sz w:val="22"/>
          <w:szCs w:val="22"/>
        </w:rPr>
        <w:t>3</w:t>
      </w:r>
      <w:r>
        <w:rPr>
          <w:rFonts w:ascii="Arial" w:hAnsi="Arial" w:cs="Arial"/>
          <w:b/>
          <w:bCs/>
          <w:color w:val="000000" w:themeColor="text1"/>
          <w:sz w:val="22"/>
          <w:szCs w:val="22"/>
        </w:rPr>
        <w:t xml:space="preserve">.2 Biomass accumulation of </w:t>
      </w:r>
      <w:r w:rsidR="005E4EC4">
        <w:rPr>
          <w:rFonts w:ascii="Arial" w:hAnsi="Arial" w:cs="Arial"/>
          <w:b/>
          <w:bCs/>
          <w:color w:val="000000" w:themeColor="text1"/>
          <w:sz w:val="22"/>
          <w:szCs w:val="22"/>
        </w:rPr>
        <w:t>Sandalwood</w:t>
      </w:r>
      <w:r>
        <w:rPr>
          <w:rFonts w:ascii="Arial" w:hAnsi="Arial" w:cs="Arial"/>
          <w:b/>
          <w:bCs/>
          <w:color w:val="000000" w:themeColor="text1"/>
          <w:sz w:val="22"/>
          <w:szCs w:val="22"/>
        </w:rPr>
        <w:t xml:space="preserve"> under Varying Planting Densities</w:t>
      </w:r>
    </w:p>
    <w:p w14:paraId="623AAF31" w14:textId="42EB4E6D"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 xml:space="preserve">The data presented in Table-2 illustrate the effect of varying stand densities on the total biomass accumulation of </w:t>
      </w:r>
      <w:r w:rsidR="005E4EC4">
        <w:rPr>
          <w:rFonts w:ascii="Arial" w:hAnsi="Arial" w:cs="Arial"/>
          <w:color w:val="000000" w:themeColor="text1"/>
        </w:rPr>
        <w:t>Sandalwood</w:t>
      </w:r>
      <w:r>
        <w:rPr>
          <w:rFonts w:ascii="Arial" w:hAnsi="Arial" w:cs="Arial"/>
          <w:color w:val="000000" w:themeColor="text1"/>
        </w:rPr>
        <w:t xml:space="preserve"> (</w:t>
      </w:r>
      <w:r>
        <w:rPr>
          <w:rFonts w:ascii="Arial" w:hAnsi="Arial" w:cs="Arial"/>
          <w:i/>
          <w:iCs/>
          <w:color w:val="000000" w:themeColor="text1"/>
        </w:rPr>
        <w:t>Santalum album</w:t>
      </w:r>
      <w:r>
        <w:rPr>
          <w:rFonts w:ascii="Arial" w:hAnsi="Arial" w:cs="Arial"/>
          <w:color w:val="000000" w:themeColor="text1"/>
        </w:rPr>
        <w:t xml:space="preserve"> L.). The densities ranged from 277 to 1111 trees per hectare. Both above-ground biomass (AGB) and below-ground biomass (BGB) were measured, and their sum was reported as total biomass.</w:t>
      </w:r>
    </w:p>
    <w:p w14:paraId="10D7A736" w14:textId="77777777" w:rsidR="00BA521A" w:rsidRDefault="00BA521A">
      <w:pPr>
        <w:spacing w:line="276" w:lineRule="auto"/>
        <w:ind w:firstLine="720"/>
        <w:jc w:val="both"/>
        <w:rPr>
          <w:rFonts w:ascii="Arial" w:hAnsi="Arial" w:cs="Arial"/>
          <w:color w:val="000000" w:themeColor="text1"/>
        </w:rPr>
      </w:pPr>
    </w:p>
    <w:p w14:paraId="0A3BFD16" w14:textId="77777777" w:rsidR="00BA521A" w:rsidRDefault="00BA521A">
      <w:pPr>
        <w:spacing w:line="276" w:lineRule="auto"/>
        <w:ind w:firstLine="720"/>
        <w:jc w:val="both"/>
        <w:rPr>
          <w:rFonts w:ascii="Arial" w:hAnsi="Arial" w:cs="Arial"/>
          <w:color w:val="000000" w:themeColor="text1"/>
        </w:rPr>
      </w:pPr>
    </w:p>
    <w:p w14:paraId="457A3C82" w14:textId="582C84C3" w:rsidR="00BA521A" w:rsidRDefault="00BD675F">
      <w:pPr>
        <w:spacing w:line="276" w:lineRule="auto"/>
        <w:jc w:val="both"/>
        <w:rPr>
          <w:rFonts w:ascii="Arial" w:hAnsi="Arial" w:cs="Arial"/>
          <w:b/>
          <w:bCs/>
          <w:sz w:val="22"/>
          <w:szCs w:val="22"/>
        </w:rPr>
      </w:pPr>
      <w:r>
        <w:rPr>
          <w:rFonts w:ascii="Arial" w:hAnsi="Arial" w:cs="Arial"/>
          <w:b/>
          <w:bCs/>
          <w:sz w:val="22"/>
          <w:szCs w:val="22"/>
        </w:rPr>
        <w:t xml:space="preserve">Table: 2. Total biomass under different density of </w:t>
      </w:r>
      <w:r w:rsidR="005E4EC4">
        <w:rPr>
          <w:rFonts w:ascii="Arial" w:hAnsi="Arial" w:cs="Arial"/>
          <w:b/>
          <w:bCs/>
          <w:sz w:val="22"/>
          <w:szCs w:val="22"/>
        </w:rPr>
        <w:t>Sandalwood</w:t>
      </w:r>
      <w:r>
        <w:rPr>
          <w:rFonts w:ascii="Arial" w:hAnsi="Arial" w:cs="Arial"/>
          <w:b/>
          <w:bCs/>
          <w:sz w:val="22"/>
          <w:szCs w:val="22"/>
        </w:rPr>
        <w:t>.</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1418"/>
        <w:gridCol w:w="1417"/>
        <w:gridCol w:w="2268"/>
      </w:tblGrid>
      <w:tr w:rsidR="00BA521A" w14:paraId="09263EE1" w14:textId="77777777">
        <w:trPr>
          <w:trHeight w:val="121"/>
        </w:trPr>
        <w:tc>
          <w:tcPr>
            <w:tcW w:w="851" w:type="dxa"/>
            <w:noWrap/>
            <w:vAlign w:val="center"/>
          </w:tcPr>
          <w:p w14:paraId="7D700F61" w14:textId="77777777" w:rsidR="00BA521A" w:rsidRDefault="00BD675F">
            <w:pPr>
              <w:spacing w:line="276" w:lineRule="auto"/>
              <w:jc w:val="both"/>
              <w:rPr>
                <w:rFonts w:ascii="Arial" w:hAnsi="Arial" w:cs="Arial"/>
                <w:b/>
                <w:bCs/>
              </w:rPr>
            </w:pPr>
            <w:r>
              <w:rPr>
                <w:rFonts w:ascii="Arial" w:hAnsi="Arial" w:cs="Arial"/>
                <w:b/>
                <w:bCs/>
              </w:rPr>
              <w:t>Sl. No.</w:t>
            </w:r>
          </w:p>
        </w:tc>
        <w:tc>
          <w:tcPr>
            <w:tcW w:w="1417" w:type="dxa"/>
            <w:noWrap/>
            <w:vAlign w:val="center"/>
          </w:tcPr>
          <w:p w14:paraId="4F0AF95E" w14:textId="77777777" w:rsidR="00BA521A" w:rsidRDefault="00BD675F">
            <w:pPr>
              <w:spacing w:line="276" w:lineRule="auto"/>
              <w:jc w:val="both"/>
              <w:rPr>
                <w:rFonts w:ascii="Arial" w:hAnsi="Arial" w:cs="Arial"/>
                <w:b/>
                <w:bCs/>
              </w:rPr>
            </w:pPr>
            <w:r>
              <w:rPr>
                <w:rFonts w:ascii="Arial" w:hAnsi="Arial" w:cs="Arial"/>
                <w:b/>
                <w:bCs/>
              </w:rPr>
              <w:t>Density (Trees ha</w:t>
            </w:r>
            <w:r>
              <w:rPr>
                <w:rFonts w:ascii="Arial" w:hAnsi="Arial" w:cs="Arial"/>
                <w:b/>
                <w:bCs/>
                <w:vertAlign w:val="superscript"/>
              </w:rPr>
              <w:t>-1</w:t>
            </w:r>
            <w:r>
              <w:rPr>
                <w:rFonts w:ascii="Arial" w:hAnsi="Arial" w:cs="Arial"/>
                <w:b/>
                <w:bCs/>
              </w:rPr>
              <w:t>)</w:t>
            </w:r>
          </w:p>
        </w:tc>
        <w:tc>
          <w:tcPr>
            <w:tcW w:w="1418" w:type="dxa"/>
            <w:noWrap/>
            <w:vAlign w:val="center"/>
          </w:tcPr>
          <w:p w14:paraId="730D722C" w14:textId="77777777" w:rsidR="00BA521A" w:rsidRDefault="00BD675F">
            <w:pPr>
              <w:spacing w:line="276" w:lineRule="auto"/>
              <w:jc w:val="both"/>
              <w:rPr>
                <w:rFonts w:ascii="Arial" w:hAnsi="Arial" w:cs="Arial"/>
                <w:b/>
                <w:bCs/>
              </w:rPr>
            </w:pPr>
            <w:r>
              <w:rPr>
                <w:rFonts w:ascii="Arial" w:hAnsi="Arial" w:cs="Arial"/>
                <w:b/>
                <w:bCs/>
              </w:rPr>
              <w:t>AGB</w:t>
            </w:r>
          </w:p>
          <w:p w14:paraId="65E1F8D2" w14:textId="77777777" w:rsidR="00BA521A" w:rsidRDefault="00BD675F">
            <w:pPr>
              <w:spacing w:line="276" w:lineRule="auto"/>
              <w:jc w:val="both"/>
              <w:rPr>
                <w:rFonts w:ascii="Arial" w:hAnsi="Arial" w:cs="Arial"/>
                <w:b/>
                <w:bCs/>
              </w:rPr>
            </w:pPr>
            <w:r>
              <w:rPr>
                <w:rFonts w:ascii="Arial" w:hAnsi="Arial" w:cs="Arial"/>
                <w:b/>
                <w:bCs/>
              </w:rPr>
              <w:t>(Mg ha</w:t>
            </w:r>
            <w:r>
              <w:rPr>
                <w:rFonts w:ascii="Arial" w:hAnsi="Arial" w:cs="Arial"/>
                <w:b/>
                <w:bCs/>
                <w:vertAlign w:val="superscript"/>
              </w:rPr>
              <w:t>-1</w:t>
            </w:r>
            <w:r>
              <w:rPr>
                <w:rFonts w:ascii="Arial" w:hAnsi="Arial" w:cs="Arial"/>
                <w:b/>
                <w:bCs/>
              </w:rPr>
              <w:t>)</w:t>
            </w:r>
          </w:p>
        </w:tc>
        <w:tc>
          <w:tcPr>
            <w:tcW w:w="1417" w:type="dxa"/>
            <w:noWrap/>
            <w:vAlign w:val="center"/>
          </w:tcPr>
          <w:p w14:paraId="29136D6D" w14:textId="77777777" w:rsidR="00BA521A" w:rsidRDefault="00BD675F">
            <w:pPr>
              <w:spacing w:line="276" w:lineRule="auto"/>
              <w:jc w:val="both"/>
              <w:rPr>
                <w:rFonts w:ascii="Arial" w:hAnsi="Arial" w:cs="Arial"/>
                <w:b/>
                <w:bCs/>
              </w:rPr>
            </w:pPr>
            <w:r>
              <w:rPr>
                <w:rFonts w:ascii="Arial" w:hAnsi="Arial" w:cs="Arial"/>
                <w:b/>
                <w:bCs/>
              </w:rPr>
              <w:t xml:space="preserve">BGB </w:t>
            </w:r>
          </w:p>
          <w:p w14:paraId="6959BFF8" w14:textId="77777777" w:rsidR="00BA521A" w:rsidRDefault="00BD675F">
            <w:pPr>
              <w:spacing w:line="276" w:lineRule="auto"/>
              <w:jc w:val="both"/>
              <w:rPr>
                <w:rFonts w:ascii="Arial" w:hAnsi="Arial" w:cs="Arial"/>
                <w:b/>
                <w:bCs/>
              </w:rPr>
            </w:pPr>
            <w:r>
              <w:rPr>
                <w:rFonts w:ascii="Arial" w:hAnsi="Arial" w:cs="Arial"/>
                <w:b/>
                <w:bCs/>
              </w:rPr>
              <w:t>(Mg ha</w:t>
            </w:r>
            <w:r>
              <w:rPr>
                <w:rFonts w:ascii="Arial" w:hAnsi="Arial" w:cs="Arial"/>
                <w:b/>
                <w:bCs/>
                <w:vertAlign w:val="superscript"/>
              </w:rPr>
              <w:t>-1</w:t>
            </w:r>
            <w:r>
              <w:rPr>
                <w:rFonts w:ascii="Arial" w:hAnsi="Arial" w:cs="Arial"/>
                <w:b/>
                <w:bCs/>
              </w:rPr>
              <w:t>)</w:t>
            </w:r>
          </w:p>
        </w:tc>
        <w:tc>
          <w:tcPr>
            <w:tcW w:w="2268" w:type="dxa"/>
            <w:noWrap/>
            <w:vAlign w:val="center"/>
          </w:tcPr>
          <w:p w14:paraId="332670F9" w14:textId="77777777" w:rsidR="00BA521A" w:rsidRDefault="00BD675F">
            <w:pPr>
              <w:spacing w:line="276" w:lineRule="auto"/>
              <w:jc w:val="both"/>
              <w:rPr>
                <w:rFonts w:ascii="Arial" w:hAnsi="Arial" w:cs="Arial"/>
                <w:b/>
                <w:bCs/>
              </w:rPr>
            </w:pPr>
            <w:r>
              <w:rPr>
                <w:rFonts w:ascii="Arial" w:hAnsi="Arial" w:cs="Arial"/>
                <w:b/>
                <w:bCs/>
              </w:rPr>
              <w:t xml:space="preserve">Total Biomass </w:t>
            </w:r>
          </w:p>
          <w:p w14:paraId="64C8DF2A" w14:textId="77777777" w:rsidR="00BA521A" w:rsidRDefault="00BD675F">
            <w:pPr>
              <w:spacing w:line="276" w:lineRule="auto"/>
              <w:jc w:val="both"/>
              <w:rPr>
                <w:rFonts w:ascii="Arial" w:hAnsi="Arial" w:cs="Arial"/>
                <w:b/>
                <w:bCs/>
              </w:rPr>
            </w:pPr>
            <w:r>
              <w:rPr>
                <w:rFonts w:ascii="Arial" w:hAnsi="Arial" w:cs="Arial"/>
                <w:b/>
                <w:bCs/>
              </w:rPr>
              <w:t>(Mg ha</w:t>
            </w:r>
            <w:r>
              <w:rPr>
                <w:rFonts w:ascii="Arial" w:hAnsi="Arial" w:cs="Arial"/>
                <w:b/>
                <w:bCs/>
                <w:vertAlign w:val="superscript"/>
              </w:rPr>
              <w:t>-1</w:t>
            </w:r>
            <w:r>
              <w:rPr>
                <w:rFonts w:ascii="Arial" w:hAnsi="Arial" w:cs="Arial"/>
                <w:b/>
                <w:bCs/>
              </w:rPr>
              <w:t>)</w:t>
            </w:r>
          </w:p>
        </w:tc>
      </w:tr>
      <w:tr w:rsidR="00BA521A" w14:paraId="7AC55182" w14:textId="77777777">
        <w:trPr>
          <w:trHeight w:val="121"/>
        </w:trPr>
        <w:tc>
          <w:tcPr>
            <w:tcW w:w="851" w:type="dxa"/>
            <w:noWrap/>
            <w:vAlign w:val="center"/>
          </w:tcPr>
          <w:p w14:paraId="1B46F171" w14:textId="77777777" w:rsidR="00BA521A" w:rsidRDefault="00BD675F">
            <w:pPr>
              <w:spacing w:line="276" w:lineRule="auto"/>
              <w:jc w:val="both"/>
              <w:rPr>
                <w:rFonts w:ascii="Arial" w:hAnsi="Arial" w:cs="Arial"/>
              </w:rPr>
            </w:pPr>
            <w:r>
              <w:rPr>
                <w:rFonts w:ascii="Arial" w:hAnsi="Arial" w:cs="Arial"/>
              </w:rPr>
              <w:t>1</w:t>
            </w:r>
          </w:p>
        </w:tc>
        <w:tc>
          <w:tcPr>
            <w:tcW w:w="1417" w:type="dxa"/>
            <w:noWrap/>
            <w:vAlign w:val="bottom"/>
          </w:tcPr>
          <w:p w14:paraId="0BA93C45" w14:textId="77777777" w:rsidR="00BA521A" w:rsidRDefault="00BD675F">
            <w:pPr>
              <w:spacing w:line="276" w:lineRule="auto"/>
              <w:jc w:val="both"/>
              <w:rPr>
                <w:rFonts w:ascii="Arial" w:hAnsi="Arial" w:cs="Arial"/>
              </w:rPr>
            </w:pPr>
            <w:r>
              <w:rPr>
                <w:rFonts w:ascii="Arial" w:hAnsi="Arial" w:cs="Arial"/>
              </w:rPr>
              <w:t>1111</w:t>
            </w:r>
          </w:p>
        </w:tc>
        <w:tc>
          <w:tcPr>
            <w:tcW w:w="1418" w:type="dxa"/>
            <w:noWrap/>
            <w:vAlign w:val="bottom"/>
          </w:tcPr>
          <w:p w14:paraId="7679C9BA" w14:textId="77777777" w:rsidR="00BA521A" w:rsidRDefault="00BD675F">
            <w:pPr>
              <w:spacing w:line="276" w:lineRule="auto"/>
              <w:jc w:val="both"/>
              <w:rPr>
                <w:rFonts w:ascii="Arial" w:hAnsi="Arial" w:cs="Arial"/>
              </w:rPr>
            </w:pPr>
            <w:r>
              <w:rPr>
                <w:rFonts w:ascii="Arial" w:hAnsi="Arial" w:cs="Arial"/>
              </w:rPr>
              <w:t>5.2475</w:t>
            </w:r>
          </w:p>
        </w:tc>
        <w:tc>
          <w:tcPr>
            <w:tcW w:w="1417" w:type="dxa"/>
            <w:noWrap/>
            <w:vAlign w:val="bottom"/>
          </w:tcPr>
          <w:p w14:paraId="393CDA49" w14:textId="77777777" w:rsidR="00BA521A" w:rsidRDefault="00BD675F">
            <w:pPr>
              <w:spacing w:line="276" w:lineRule="auto"/>
              <w:jc w:val="both"/>
              <w:rPr>
                <w:rFonts w:ascii="Arial" w:hAnsi="Arial" w:cs="Arial"/>
              </w:rPr>
            </w:pPr>
            <w:r>
              <w:rPr>
                <w:rFonts w:ascii="Arial" w:hAnsi="Arial" w:cs="Arial"/>
              </w:rPr>
              <w:t>1.3643</w:t>
            </w:r>
          </w:p>
        </w:tc>
        <w:tc>
          <w:tcPr>
            <w:tcW w:w="2268" w:type="dxa"/>
            <w:noWrap/>
            <w:vAlign w:val="center"/>
          </w:tcPr>
          <w:p w14:paraId="6E8EE3C8" w14:textId="77777777" w:rsidR="00BA521A" w:rsidRDefault="00BD675F">
            <w:pPr>
              <w:spacing w:line="276" w:lineRule="auto"/>
              <w:jc w:val="both"/>
              <w:rPr>
                <w:rFonts w:ascii="Arial" w:hAnsi="Arial" w:cs="Arial"/>
              </w:rPr>
            </w:pPr>
            <w:r>
              <w:rPr>
                <w:rFonts w:ascii="Arial" w:hAnsi="Arial" w:cs="Arial"/>
              </w:rPr>
              <w:t>6.612</w:t>
            </w:r>
            <w:r>
              <w:rPr>
                <w:rFonts w:ascii="Arial" w:hAnsi="Arial" w:cs="Arial"/>
                <w:vertAlign w:val="superscript"/>
              </w:rPr>
              <w:t>b</w:t>
            </w:r>
          </w:p>
        </w:tc>
      </w:tr>
      <w:tr w:rsidR="00BA521A" w14:paraId="642F638F" w14:textId="77777777">
        <w:trPr>
          <w:trHeight w:val="121"/>
        </w:trPr>
        <w:tc>
          <w:tcPr>
            <w:tcW w:w="851" w:type="dxa"/>
            <w:noWrap/>
            <w:vAlign w:val="center"/>
          </w:tcPr>
          <w:p w14:paraId="7ED4F11E" w14:textId="77777777" w:rsidR="00BA521A" w:rsidRDefault="00BD675F">
            <w:pPr>
              <w:spacing w:line="276" w:lineRule="auto"/>
              <w:jc w:val="both"/>
              <w:rPr>
                <w:rFonts w:ascii="Arial" w:hAnsi="Arial" w:cs="Arial"/>
              </w:rPr>
            </w:pPr>
            <w:r>
              <w:rPr>
                <w:rFonts w:ascii="Arial" w:hAnsi="Arial" w:cs="Arial"/>
              </w:rPr>
              <w:t>2</w:t>
            </w:r>
          </w:p>
        </w:tc>
        <w:tc>
          <w:tcPr>
            <w:tcW w:w="1417" w:type="dxa"/>
            <w:noWrap/>
            <w:vAlign w:val="bottom"/>
          </w:tcPr>
          <w:p w14:paraId="4A3306B5" w14:textId="77777777" w:rsidR="00BA521A" w:rsidRDefault="00BD675F">
            <w:pPr>
              <w:spacing w:line="276" w:lineRule="auto"/>
              <w:jc w:val="both"/>
              <w:rPr>
                <w:rFonts w:ascii="Arial" w:hAnsi="Arial" w:cs="Arial"/>
              </w:rPr>
            </w:pPr>
            <w:r>
              <w:rPr>
                <w:rFonts w:ascii="Arial" w:hAnsi="Arial" w:cs="Arial"/>
              </w:rPr>
              <w:t>816</w:t>
            </w:r>
          </w:p>
        </w:tc>
        <w:tc>
          <w:tcPr>
            <w:tcW w:w="1418" w:type="dxa"/>
            <w:noWrap/>
            <w:vAlign w:val="bottom"/>
          </w:tcPr>
          <w:p w14:paraId="22951C81" w14:textId="77777777" w:rsidR="00BA521A" w:rsidRDefault="00BD675F">
            <w:pPr>
              <w:spacing w:line="276" w:lineRule="auto"/>
              <w:jc w:val="both"/>
              <w:rPr>
                <w:rFonts w:ascii="Arial" w:hAnsi="Arial" w:cs="Arial"/>
              </w:rPr>
            </w:pPr>
            <w:r>
              <w:rPr>
                <w:rFonts w:ascii="Arial" w:hAnsi="Arial" w:cs="Arial"/>
              </w:rPr>
              <w:t>5.3420</w:t>
            </w:r>
          </w:p>
        </w:tc>
        <w:tc>
          <w:tcPr>
            <w:tcW w:w="1417" w:type="dxa"/>
            <w:noWrap/>
            <w:vAlign w:val="bottom"/>
          </w:tcPr>
          <w:p w14:paraId="4D735708" w14:textId="77777777" w:rsidR="00BA521A" w:rsidRDefault="00BD675F">
            <w:pPr>
              <w:spacing w:line="276" w:lineRule="auto"/>
              <w:jc w:val="both"/>
              <w:rPr>
                <w:rFonts w:ascii="Arial" w:hAnsi="Arial" w:cs="Arial"/>
              </w:rPr>
            </w:pPr>
            <w:r>
              <w:rPr>
                <w:rFonts w:ascii="Arial" w:hAnsi="Arial" w:cs="Arial"/>
              </w:rPr>
              <w:t>1.3889</w:t>
            </w:r>
          </w:p>
        </w:tc>
        <w:tc>
          <w:tcPr>
            <w:tcW w:w="2268" w:type="dxa"/>
            <w:noWrap/>
            <w:vAlign w:val="center"/>
          </w:tcPr>
          <w:p w14:paraId="5CDEA366" w14:textId="77777777" w:rsidR="00BA521A" w:rsidRDefault="00BD675F">
            <w:pPr>
              <w:spacing w:line="276" w:lineRule="auto"/>
              <w:jc w:val="both"/>
              <w:rPr>
                <w:rFonts w:ascii="Arial" w:hAnsi="Arial" w:cs="Arial"/>
              </w:rPr>
            </w:pPr>
            <w:r>
              <w:rPr>
                <w:rFonts w:ascii="Arial" w:hAnsi="Arial" w:cs="Arial"/>
              </w:rPr>
              <w:t>6.731</w:t>
            </w:r>
            <w:r>
              <w:rPr>
                <w:rFonts w:ascii="Arial" w:hAnsi="Arial" w:cs="Arial"/>
                <w:vertAlign w:val="superscript"/>
              </w:rPr>
              <w:t>b</w:t>
            </w:r>
          </w:p>
        </w:tc>
      </w:tr>
      <w:tr w:rsidR="00BA521A" w14:paraId="22EAB39C" w14:textId="77777777">
        <w:trPr>
          <w:trHeight w:val="121"/>
        </w:trPr>
        <w:tc>
          <w:tcPr>
            <w:tcW w:w="851" w:type="dxa"/>
            <w:noWrap/>
            <w:vAlign w:val="center"/>
          </w:tcPr>
          <w:p w14:paraId="090B472F" w14:textId="77777777" w:rsidR="00BA521A" w:rsidRDefault="00BD675F">
            <w:pPr>
              <w:spacing w:line="276" w:lineRule="auto"/>
              <w:jc w:val="both"/>
              <w:rPr>
                <w:rFonts w:ascii="Arial" w:hAnsi="Arial" w:cs="Arial"/>
              </w:rPr>
            </w:pPr>
            <w:r>
              <w:rPr>
                <w:rFonts w:ascii="Arial" w:hAnsi="Arial" w:cs="Arial"/>
              </w:rPr>
              <w:lastRenderedPageBreak/>
              <w:t>3</w:t>
            </w:r>
          </w:p>
        </w:tc>
        <w:tc>
          <w:tcPr>
            <w:tcW w:w="1417" w:type="dxa"/>
            <w:noWrap/>
            <w:vAlign w:val="bottom"/>
          </w:tcPr>
          <w:p w14:paraId="10B68E93" w14:textId="77777777" w:rsidR="00BA521A" w:rsidRDefault="00BD675F">
            <w:pPr>
              <w:spacing w:line="276" w:lineRule="auto"/>
              <w:jc w:val="both"/>
              <w:rPr>
                <w:rFonts w:ascii="Arial" w:hAnsi="Arial" w:cs="Arial"/>
              </w:rPr>
            </w:pPr>
            <w:r>
              <w:rPr>
                <w:rFonts w:ascii="Arial" w:hAnsi="Arial" w:cs="Arial"/>
              </w:rPr>
              <w:t>493</w:t>
            </w:r>
          </w:p>
        </w:tc>
        <w:tc>
          <w:tcPr>
            <w:tcW w:w="1418" w:type="dxa"/>
            <w:noWrap/>
            <w:vAlign w:val="bottom"/>
          </w:tcPr>
          <w:p w14:paraId="46884F3B" w14:textId="77777777" w:rsidR="00BA521A" w:rsidRDefault="00BD675F">
            <w:pPr>
              <w:spacing w:line="276" w:lineRule="auto"/>
              <w:jc w:val="both"/>
              <w:rPr>
                <w:rFonts w:ascii="Arial" w:hAnsi="Arial" w:cs="Arial"/>
              </w:rPr>
            </w:pPr>
            <w:r>
              <w:rPr>
                <w:rFonts w:ascii="Arial" w:hAnsi="Arial" w:cs="Arial"/>
              </w:rPr>
              <w:t>6.6203</w:t>
            </w:r>
          </w:p>
        </w:tc>
        <w:tc>
          <w:tcPr>
            <w:tcW w:w="1417" w:type="dxa"/>
            <w:noWrap/>
            <w:vAlign w:val="bottom"/>
          </w:tcPr>
          <w:p w14:paraId="76545C41" w14:textId="77777777" w:rsidR="00BA521A" w:rsidRDefault="00BD675F">
            <w:pPr>
              <w:spacing w:line="276" w:lineRule="auto"/>
              <w:jc w:val="both"/>
              <w:rPr>
                <w:rFonts w:ascii="Arial" w:hAnsi="Arial" w:cs="Arial"/>
              </w:rPr>
            </w:pPr>
            <w:r>
              <w:rPr>
                <w:rFonts w:ascii="Arial" w:hAnsi="Arial" w:cs="Arial"/>
              </w:rPr>
              <w:t>1.7213</w:t>
            </w:r>
          </w:p>
        </w:tc>
        <w:tc>
          <w:tcPr>
            <w:tcW w:w="2268" w:type="dxa"/>
            <w:noWrap/>
            <w:vAlign w:val="center"/>
          </w:tcPr>
          <w:p w14:paraId="1D6410F1" w14:textId="77777777" w:rsidR="00BA521A" w:rsidRDefault="00BD675F">
            <w:pPr>
              <w:spacing w:line="276" w:lineRule="auto"/>
              <w:jc w:val="both"/>
              <w:rPr>
                <w:rFonts w:ascii="Arial" w:hAnsi="Arial" w:cs="Arial"/>
              </w:rPr>
            </w:pPr>
            <w:r>
              <w:rPr>
                <w:rFonts w:ascii="Arial" w:hAnsi="Arial" w:cs="Arial"/>
              </w:rPr>
              <w:t>8.342</w:t>
            </w:r>
            <w:r>
              <w:rPr>
                <w:rFonts w:ascii="Arial" w:hAnsi="Arial" w:cs="Arial"/>
                <w:b/>
                <w:bCs/>
                <w:vertAlign w:val="superscript"/>
              </w:rPr>
              <w:t>a</w:t>
            </w:r>
          </w:p>
        </w:tc>
      </w:tr>
      <w:tr w:rsidR="00BA521A" w14:paraId="304F983C" w14:textId="77777777">
        <w:trPr>
          <w:trHeight w:val="121"/>
        </w:trPr>
        <w:tc>
          <w:tcPr>
            <w:tcW w:w="851" w:type="dxa"/>
            <w:noWrap/>
            <w:vAlign w:val="center"/>
          </w:tcPr>
          <w:p w14:paraId="20F93B25" w14:textId="77777777" w:rsidR="00BA521A" w:rsidRDefault="00BD675F">
            <w:pPr>
              <w:spacing w:line="276" w:lineRule="auto"/>
              <w:jc w:val="both"/>
              <w:rPr>
                <w:rFonts w:ascii="Arial" w:hAnsi="Arial" w:cs="Arial"/>
              </w:rPr>
            </w:pPr>
            <w:r>
              <w:rPr>
                <w:rFonts w:ascii="Arial" w:hAnsi="Arial" w:cs="Arial"/>
              </w:rPr>
              <w:t>4</w:t>
            </w:r>
          </w:p>
        </w:tc>
        <w:tc>
          <w:tcPr>
            <w:tcW w:w="1417" w:type="dxa"/>
            <w:noWrap/>
            <w:vAlign w:val="bottom"/>
          </w:tcPr>
          <w:p w14:paraId="145EBB42" w14:textId="77777777" w:rsidR="00BA521A" w:rsidRDefault="00BD675F">
            <w:pPr>
              <w:spacing w:line="276" w:lineRule="auto"/>
              <w:jc w:val="both"/>
              <w:rPr>
                <w:rFonts w:ascii="Arial" w:hAnsi="Arial" w:cs="Arial"/>
              </w:rPr>
            </w:pPr>
            <w:r>
              <w:rPr>
                <w:rFonts w:ascii="Arial" w:hAnsi="Arial" w:cs="Arial"/>
              </w:rPr>
              <w:t>330</w:t>
            </w:r>
          </w:p>
        </w:tc>
        <w:tc>
          <w:tcPr>
            <w:tcW w:w="1418" w:type="dxa"/>
            <w:noWrap/>
            <w:vAlign w:val="bottom"/>
          </w:tcPr>
          <w:p w14:paraId="11428B07" w14:textId="77777777" w:rsidR="00BA521A" w:rsidRDefault="00BD675F">
            <w:pPr>
              <w:spacing w:line="276" w:lineRule="auto"/>
              <w:jc w:val="both"/>
              <w:rPr>
                <w:rFonts w:ascii="Arial" w:hAnsi="Arial" w:cs="Arial"/>
              </w:rPr>
            </w:pPr>
            <w:r>
              <w:rPr>
                <w:rFonts w:ascii="Arial" w:hAnsi="Arial" w:cs="Arial"/>
              </w:rPr>
              <w:t>3.1524</w:t>
            </w:r>
          </w:p>
        </w:tc>
        <w:tc>
          <w:tcPr>
            <w:tcW w:w="1417" w:type="dxa"/>
            <w:noWrap/>
            <w:vAlign w:val="bottom"/>
          </w:tcPr>
          <w:p w14:paraId="40DC39ED" w14:textId="77777777" w:rsidR="00BA521A" w:rsidRDefault="00BD675F">
            <w:pPr>
              <w:spacing w:line="276" w:lineRule="auto"/>
              <w:jc w:val="both"/>
              <w:rPr>
                <w:rFonts w:ascii="Arial" w:hAnsi="Arial" w:cs="Arial"/>
              </w:rPr>
            </w:pPr>
            <w:r>
              <w:rPr>
                <w:rFonts w:ascii="Arial" w:hAnsi="Arial" w:cs="Arial"/>
              </w:rPr>
              <w:t>0.8196</w:t>
            </w:r>
          </w:p>
        </w:tc>
        <w:tc>
          <w:tcPr>
            <w:tcW w:w="2268" w:type="dxa"/>
            <w:noWrap/>
            <w:vAlign w:val="center"/>
          </w:tcPr>
          <w:p w14:paraId="5BA6FD48" w14:textId="77777777" w:rsidR="00BA521A" w:rsidRDefault="00BD675F">
            <w:pPr>
              <w:spacing w:line="276" w:lineRule="auto"/>
              <w:jc w:val="both"/>
              <w:rPr>
                <w:rFonts w:ascii="Arial" w:hAnsi="Arial" w:cs="Arial"/>
              </w:rPr>
            </w:pPr>
            <w:r>
              <w:rPr>
                <w:rFonts w:ascii="Arial" w:hAnsi="Arial" w:cs="Arial"/>
              </w:rPr>
              <w:t>3.972</w:t>
            </w:r>
            <w:r>
              <w:rPr>
                <w:rFonts w:ascii="Arial" w:hAnsi="Arial" w:cs="Arial"/>
                <w:vertAlign w:val="superscript"/>
              </w:rPr>
              <w:t>c</w:t>
            </w:r>
          </w:p>
        </w:tc>
      </w:tr>
      <w:tr w:rsidR="00BA521A" w14:paraId="1C16E499" w14:textId="77777777">
        <w:trPr>
          <w:trHeight w:val="121"/>
        </w:trPr>
        <w:tc>
          <w:tcPr>
            <w:tcW w:w="851" w:type="dxa"/>
            <w:noWrap/>
            <w:vAlign w:val="center"/>
          </w:tcPr>
          <w:p w14:paraId="789010E8" w14:textId="77777777" w:rsidR="00BA521A" w:rsidRDefault="00BD675F">
            <w:pPr>
              <w:spacing w:line="276" w:lineRule="auto"/>
              <w:jc w:val="both"/>
              <w:rPr>
                <w:rFonts w:ascii="Arial" w:hAnsi="Arial" w:cs="Arial"/>
              </w:rPr>
            </w:pPr>
            <w:r>
              <w:rPr>
                <w:rFonts w:ascii="Arial" w:hAnsi="Arial" w:cs="Arial"/>
              </w:rPr>
              <w:t>5</w:t>
            </w:r>
          </w:p>
        </w:tc>
        <w:tc>
          <w:tcPr>
            <w:tcW w:w="1417" w:type="dxa"/>
            <w:noWrap/>
            <w:vAlign w:val="bottom"/>
          </w:tcPr>
          <w:p w14:paraId="49E58FB0" w14:textId="77777777" w:rsidR="00BA521A" w:rsidRDefault="00BD675F">
            <w:pPr>
              <w:spacing w:line="276" w:lineRule="auto"/>
              <w:jc w:val="both"/>
              <w:rPr>
                <w:rFonts w:ascii="Arial" w:hAnsi="Arial" w:cs="Arial"/>
              </w:rPr>
            </w:pPr>
            <w:r>
              <w:rPr>
                <w:rFonts w:ascii="Arial" w:hAnsi="Arial" w:cs="Arial"/>
              </w:rPr>
              <w:t>277</w:t>
            </w:r>
          </w:p>
        </w:tc>
        <w:tc>
          <w:tcPr>
            <w:tcW w:w="1418" w:type="dxa"/>
            <w:noWrap/>
            <w:vAlign w:val="bottom"/>
          </w:tcPr>
          <w:p w14:paraId="06C63313" w14:textId="77777777" w:rsidR="00BA521A" w:rsidRDefault="00BD675F">
            <w:pPr>
              <w:spacing w:line="276" w:lineRule="auto"/>
              <w:jc w:val="both"/>
              <w:rPr>
                <w:rFonts w:ascii="Arial" w:hAnsi="Arial" w:cs="Arial"/>
              </w:rPr>
            </w:pPr>
            <w:r>
              <w:rPr>
                <w:rFonts w:ascii="Arial" w:hAnsi="Arial" w:cs="Arial"/>
              </w:rPr>
              <w:t>2.1055</w:t>
            </w:r>
          </w:p>
        </w:tc>
        <w:tc>
          <w:tcPr>
            <w:tcW w:w="1417" w:type="dxa"/>
            <w:noWrap/>
            <w:vAlign w:val="bottom"/>
          </w:tcPr>
          <w:p w14:paraId="7CA21519" w14:textId="77777777" w:rsidR="00BA521A" w:rsidRDefault="00BD675F">
            <w:pPr>
              <w:spacing w:line="276" w:lineRule="auto"/>
              <w:jc w:val="both"/>
              <w:rPr>
                <w:rFonts w:ascii="Arial" w:hAnsi="Arial" w:cs="Arial"/>
              </w:rPr>
            </w:pPr>
            <w:r>
              <w:rPr>
                <w:rFonts w:ascii="Arial" w:hAnsi="Arial" w:cs="Arial"/>
              </w:rPr>
              <w:t>0.5474</w:t>
            </w:r>
          </w:p>
        </w:tc>
        <w:tc>
          <w:tcPr>
            <w:tcW w:w="2268" w:type="dxa"/>
            <w:noWrap/>
            <w:vAlign w:val="center"/>
          </w:tcPr>
          <w:p w14:paraId="71105EEF" w14:textId="77777777" w:rsidR="00BA521A" w:rsidRDefault="00BD675F">
            <w:pPr>
              <w:spacing w:line="276" w:lineRule="auto"/>
              <w:jc w:val="both"/>
              <w:rPr>
                <w:rFonts w:ascii="Arial" w:hAnsi="Arial" w:cs="Arial"/>
              </w:rPr>
            </w:pPr>
            <w:r>
              <w:rPr>
                <w:rFonts w:ascii="Arial" w:hAnsi="Arial" w:cs="Arial"/>
              </w:rPr>
              <w:t>2.653</w:t>
            </w:r>
            <w:r>
              <w:rPr>
                <w:rFonts w:ascii="Arial" w:hAnsi="Arial" w:cs="Arial"/>
                <w:vertAlign w:val="superscript"/>
              </w:rPr>
              <w:t>d</w:t>
            </w:r>
          </w:p>
        </w:tc>
      </w:tr>
      <w:tr w:rsidR="00BA521A" w14:paraId="5E2656DE" w14:textId="77777777">
        <w:trPr>
          <w:trHeight w:val="121"/>
        </w:trPr>
        <w:tc>
          <w:tcPr>
            <w:tcW w:w="2268" w:type="dxa"/>
            <w:gridSpan w:val="2"/>
            <w:noWrap/>
            <w:vAlign w:val="bottom"/>
          </w:tcPr>
          <w:p w14:paraId="354C791B" w14:textId="77777777" w:rsidR="00BA521A" w:rsidRDefault="00BD675F">
            <w:pPr>
              <w:spacing w:line="276" w:lineRule="auto"/>
              <w:jc w:val="both"/>
              <w:rPr>
                <w:rFonts w:ascii="Arial" w:hAnsi="Arial" w:cs="Arial"/>
                <w:b/>
                <w:bCs/>
              </w:rPr>
            </w:pPr>
            <w:r>
              <w:rPr>
                <w:rFonts w:ascii="Arial" w:hAnsi="Arial" w:cs="Arial"/>
                <w:b/>
                <w:bCs/>
              </w:rPr>
              <w:t>Mean</w:t>
            </w:r>
          </w:p>
        </w:tc>
        <w:tc>
          <w:tcPr>
            <w:tcW w:w="1418" w:type="dxa"/>
            <w:noWrap/>
            <w:vAlign w:val="bottom"/>
          </w:tcPr>
          <w:p w14:paraId="51CECB23" w14:textId="77777777" w:rsidR="00BA521A" w:rsidRDefault="00BD675F">
            <w:pPr>
              <w:spacing w:line="276" w:lineRule="auto"/>
              <w:jc w:val="both"/>
              <w:rPr>
                <w:rFonts w:ascii="Arial" w:hAnsi="Arial" w:cs="Arial"/>
                <w:b/>
                <w:bCs/>
              </w:rPr>
            </w:pPr>
            <w:r>
              <w:rPr>
                <w:rFonts w:ascii="Arial" w:hAnsi="Arial" w:cs="Arial"/>
                <w:b/>
                <w:bCs/>
              </w:rPr>
              <w:t>4.49</w:t>
            </w:r>
          </w:p>
        </w:tc>
        <w:tc>
          <w:tcPr>
            <w:tcW w:w="1417" w:type="dxa"/>
            <w:noWrap/>
            <w:vAlign w:val="bottom"/>
          </w:tcPr>
          <w:p w14:paraId="0553DEC0" w14:textId="77777777" w:rsidR="00BA521A" w:rsidRDefault="00BD675F">
            <w:pPr>
              <w:spacing w:line="276" w:lineRule="auto"/>
              <w:jc w:val="both"/>
              <w:rPr>
                <w:rFonts w:ascii="Arial" w:hAnsi="Arial" w:cs="Arial"/>
                <w:b/>
                <w:bCs/>
              </w:rPr>
            </w:pPr>
            <w:r>
              <w:rPr>
                <w:rFonts w:ascii="Arial" w:hAnsi="Arial" w:cs="Arial"/>
                <w:b/>
                <w:bCs/>
              </w:rPr>
              <w:t>1.17</w:t>
            </w:r>
          </w:p>
        </w:tc>
        <w:tc>
          <w:tcPr>
            <w:tcW w:w="2268" w:type="dxa"/>
            <w:noWrap/>
            <w:vAlign w:val="center"/>
          </w:tcPr>
          <w:p w14:paraId="7D9527D7" w14:textId="77777777" w:rsidR="00BA521A" w:rsidRDefault="00BD675F">
            <w:pPr>
              <w:spacing w:line="276" w:lineRule="auto"/>
              <w:jc w:val="both"/>
              <w:rPr>
                <w:rFonts w:ascii="Arial" w:hAnsi="Arial" w:cs="Arial"/>
                <w:b/>
                <w:bCs/>
              </w:rPr>
            </w:pPr>
            <w:r>
              <w:rPr>
                <w:rFonts w:ascii="Arial" w:hAnsi="Arial" w:cs="Arial"/>
                <w:b/>
                <w:bCs/>
              </w:rPr>
              <w:t>5.66</w:t>
            </w:r>
          </w:p>
        </w:tc>
      </w:tr>
      <w:tr w:rsidR="00BA521A" w14:paraId="036A4C61" w14:textId="77777777">
        <w:trPr>
          <w:trHeight w:val="121"/>
        </w:trPr>
        <w:tc>
          <w:tcPr>
            <w:tcW w:w="5103" w:type="dxa"/>
            <w:gridSpan w:val="4"/>
            <w:noWrap/>
            <w:vAlign w:val="bottom"/>
          </w:tcPr>
          <w:p w14:paraId="7FDF74E9" w14:textId="77777777" w:rsidR="00BA521A" w:rsidRDefault="00BD675F">
            <w:pPr>
              <w:spacing w:line="276" w:lineRule="auto"/>
              <w:jc w:val="both"/>
              <w:rPr>
                <w:rFonts w:ascii="Arial" w:hAnsi="Arial" w:cs="Arial"/>
                <w:b/>
                <w:bCs/>
              </w:rPr>
            </w:pPr>
            <w:r>
              <w:rPr>
                <w:rFonts w:ascii="Arial" w:hAnsi="Arial" w:cs="Arial"/>
                <w:b/>
                <w:bCs/>
              </w:rPr>
              <w:t>SE (d)±</w:t>
            </w:r>
          </w:p>
        </w:tc>
        <w:tc>
          <w:tcPr>
            <w:tcW w:w="2268" w:type="dxa"/>
            <w:noWrap/>
            <w:vAlign w:val="center"/>
          </w:tcPr>
          <w:p w14:paraId="3A950EEC" w14:textId="77777777" w:rsidR="00BA521A" w:rsidRDefault="00BD675F">
            <w:pPr>
              <w:spacing w:line="276" w:lineRule="auto"/>
              <w:jc w:val="both"/>
              <w:rPr>
                <w:rFonts w:ascii="Arial" w:hAnsi="Arial" w:cs="Arial"/>
                <w:b/>
                <w:bCs/>
              </w:rPr>
            </w:pPr>
            <w:r>
              <w:rPr>
                <w:rFonts w:ascii="Arial" w:hAnsi="Arial" w:cs="Arial"/>
                <w:b/>
                <w:bCs/>
              </w:rPr>
              <w:t>0.155</w:t>
            </w:r>
          </w:p>
        </w:tc>
      </w:tr>
      <w:tr w:rsidR="00BA521A" w14:paraId="133F943B" w14:textId="77777777">
        <w:trPr>
          <w:trHeight w:val="121"/>
        </w:trPr>
        <w:tc>
          <w:tcPr>
            <w:tcW w:w="5103" w:type="dxa"/>
            <w:gridSpan w:val="4"/>
            <w:noWrap/>
            <w:vAlign w:val="bottom"/>
          </w:tcPr>
          <w:p w14:paraId="2000D425" w14:textId="77777777" w:rsidR="00BA521A" w:rsidRDefault="00BD675F">
            <w:pPr>
              <w:spacing w:line="276" w:lineRule="auto"/>
              <w:jc w:val="both"/>
              <w:rPr>
                <w:rFonts w:ascii="Arial" w:hAnsi="Arial" w:cs="Arial"/>
                <w:b/>
                <w:bCs/>
              </w:rPr>
            </w:pPr>
            <w:r>
              <w:rPr>
                <w:rFonts w:ascii="Arial" w:hAnsi="Arial" w:cs="Arial"/>
                <w:b/>
                <w:bCs/>
              </w:rPr>
              <w:t>SE (m)±</w:t>
            </w:r>
          </w:p>
        </w:tc>
        <w:tc>
          <w:tcPr>
            <w:tcW w:w="2268" w:type="dxa"/>
            <w:noWrap/>
            <w:vAlign w:val="center"/>
          </w:tcPr>
          <w:p w14:paraId="5AD75E0A" w14:textId="77777777" w:rsidR="00BA521A" w:rsidRDefault="00BD675F">
            <w:pPr>
              <w:spacing w:line="276" w:lineRule="auto"/>
              <w:jc w:val="both"/>
              <w:rPr>
                <w:rFonts w:ascii="Arial" w:hAnsi="Arial" w:cs="Arial"/>
                <w:b/>
                <w:bCs/>
              </w:rPr>
            </w:pPr>
            <w:r>
              <w:rPr>
                <w:rFonts w:ascii="Arial" w:hAnsi="Arial" w:cs="Arial"/>
                <w:b/>
                <w:bCs/>
              </w:rPr>
              <w:t>0.110</w:t>
            </w:r>
          </w:p>
        </w:tc>
      </w:tr>
      <w:tr w:rsidR="00BA521A" w14:paraId="204F0922" w14:textId="77777777">
        <w:trPr>
          <w:trHeight w:val="121"/>
        </w:trPr>
        <w:tc>
          <w:tcPr>
            <w:tcW w:w="5103" w:type="dxa"/>
            <w:gridSpan w:val="4"/>
            <w:noWrap/>
            <w:vAlign w:val="bottom"/>
          </w:tcPr>
          <w:p w14:paraId="092652CF" w14:textId="77777777" w:rsidR="00BA521A" w:rsidRDefault="00BD675F">
            <w:pPr>
              <w:spacing w:line="276" w:lineRule="auto"/>
              <w:jc w:val="both"/>
              <w:rPr>
                <w:rFonts w:ascii="Arial" w:hAnsi="Arial" w:cs="Arial"/>
                <w:b/>
                <w:bCs/>
              </w:rPr>
            </w:pPr>
            <w:r>
              <w:rPr>
                <w:rFonts w:ascii="Arial" w:hAnsi="Arial" w:cs="Arial"/>
                <w:b/>
                <w:bCs/>
              </w:rPr>
              <w:t>CD (0.05)</w:t>
            </w:r>
          </w:p>
        </w:tc>
        <w:tc>
          <w:tcPr>
            <w:tcW w:w="2268" w:type="dxa"/>
            <w:noWrap/>
            <w:vAlign w:val="center"/>
          </w:tcPr>
          <w:p w14:paraId="1E438B98" w14:textId="77777777" w:rsidR="00BA521A" w:rsidRDefault="00BD675F">
            <w:pPr>
              <w:spacing w:line="276" w:lineRule="auto"/>
              <w:jc w:val="both"/>
              <w:rPr>
                <w:rFonts w:ascii="Arial" w:hAnsi="Arial" w:cs="Arial"/>
                <w:b/>
                <w:bCs/>
              </w:rPr>
            </w:pPr>
            <w:r>
              <w:rPr>
                <w:rFonts w:ascii="Arial" w:hAnsi="Arial" w:cs="Arial"/>
                <w:b/>
                <w:bCs/>
              </w:rPr>
              <w:t>0.363</w:t>
            </w:r>
          </w:p>
        </w:tc>
      </w:tr>
    </w:tbl>
    <w:p w14:paraId="58FC493B" w14:textId="77777777" w:rsidR="00BA521A" w:rsidRDefault="00BA521A">
      <w:pPr>
        <w:spacing w:line="276" w:lineRule="auto"/>
        <w:ind w:firstLine="720"/>
        <w:jc w:val="both"/>
        <w:rPr>
          <w:rFonts w:ascii="Arial" w:hAnsi="Arial" w:cs="Arial"/>
          <w:color w:val="000000" w:themeColor="text1"/>
        </w:rPr>
      </w:pPr>
    </w:p>
    <w:p w14:paraId="06F7EDA0"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maximum total biomass (8.342 Mg ha</w:t>
      </w:r>
      <w:r>
        <w:rPr>
          <w:rFonts w:ascii="Arial" w:hAnsi="Arial" w:cs="Arial"/>
          <w:color w:val="000000" w:themeColor="text1"/>
          <w:vertAlign w:val="superscript"/>
        </w:rPr>
        <w:t>-1</w:t>
      </w:r>
      <w:r>
        <w:rPr>
          <w:rFonts w:ascii="Arial" w:hAnsi="Arial" w:cs="Arial"/>
          <w:color w:val="000000" w:themeColor="text1"/>
        </w:rPr>
        <w:t>) was recorded at a density of 493 trees ha</w:t>
      </w:r>
      <w:r>
        <w:rPr>
          <w:rFonts w:ascii="Arial" w:hAnsi="Arial" w:cs="Arial"/>
          <w:color w:val="000000" w:themeColor="text1"/>
          <w:vertAlign w:val="superscript"/>
        </w:rPr>
        <w:t>-1</w:t>
      </w:r>
      <w:r>
        <w:rPr>
          <w:rFonts w:ascii="Arial" w:hAnsi="Arial" w:cs="Arial"/>
          <w:color w:val="000000" w:themeColor="text1"/>
        </w:rPr>
        <w:t>, which was significantly higher than all other treatments. Densities of 816 and 1111 trees ha</w:t>
      </w:r>
      <w:r>
        <w:rPr>
          <w:rFonts w:ascii="Arial" w:hAnsi="Arial" w:cs="Arial"/>
          <w:color w:val="000000" w:themeColor="text1"/>
          <w:vertAlign w:val="superscript"/>
        </w:rPr>
        <w:t>-1</w:t>
      </w:r>
      <w:r>
        <w:rPr>
          <w:rFonts w:ascii="Arial" w:hAnsi="Arial" w:cs="Arial"/>
          <w:color w:val="000000" w:themeColor="text1"/>
        </w:rPr>
        <w:t xml:space="preserve"> yielded statistically similar total biomass values (6.731 and 6.612 Mg ha</w:t>
      </w:r>
      <w:r>
        <w:rPr>
          <w:rFonts w:ascii="Arial" w:hAnsi="Arial" w:cs="Arial"/>
          <w:color w:val="000000" w:themeColor="text1"/>
          <w:vertAlign w:val="superscript"/>
        </w:rPr>
        <w:t>-1</w:t>
      </w:r>
      <w:r>
        <w:rPr>
          <w:rFonts w:ascii="Arial" w:hAnsi="Arial" w:cs="Arial"/>
          <w:color w:val="000000" w:themeColor="text1"/>
        </w:rPr>
        <w:t>, respectively), while the minimum density (277 trees ha-1) produced the least biomass (2.653 Mg ha</w:t>
      </w:r>
      <w:r>
        <w:rPr>
          <w:rFonts w:ascii="Arial" w:hAnsi="Arial" w:cs="Arial"/>
          <w:color w:val="000000" w:themeColor="text1"/>
          <w:vertAlign w:val="superscript"/>
        </w:rPr>
        <w:t>-1</w:t>
      </w:r>
      <w:r>
        <w:rPr>
          <w:rFonts w:ascii="Arial" w:hAnsi="Arial" w:cs="Arial"/>
          <w:color w:val="000000" w:themeColor="text1"/>
        </w:rPr>
        <w:t>). The mean total biomass across all treatments was 5.66 Mg ha</w:t>
      </w:r>
      <w:r>
        <w:rPr>
          <w:rFonts w:ascii="Arial" w:hAnsi="Arial" w:cs="Arial"/>
          <w:color w:val="000000" w:themeColor="text1"/>
          <w:vertAlign w:val="superscript"/>
        </w:rPr>
        <w:t>-1</w:t>
      </w:r>
      <w:r>
        <w:rPr>
          <w:rFonts w:ascii="Arial" w:hAnsi="Arial" w:cs="Arial"/>
          <w:color w:val="000000" w:themeColor="text1"/>
        </w:rPr>
        <w:t>. The results demonstrate a clear density-dependent response in total biomass production. Intermediate density (493 trees ha</w:t>
      </w:r>
      <w:r>
        <w:rPr>
          <w:rFonts w:ascii="Arial" w:hAnsi="Arial" w:cs="Arial"/>
          <w:color w:val="000000" w:themeColor="text1"/>
          <w:vertAlign w:val="superscript"/>
        </w:rPr>
        <w:t>-1</w:t>
      </w:r>
      <w:r>
        <w:rPr>
          <w:rFonts w:ascii="Arial" w:hAnsi="Arial" w:cs="Arial"/>
          <w:color w:val="000000" w:themeColor="text1"/>
        </w:rPr>
        <w:t>) maximized biomass yield, while both higher and lower densities resulted in reduced biomass accumulation. At very high densities (816 and 1111 trees ha</w:t>
      </w:r>
      <w:r>
        <w:rPr>
          <w:rFonts w:ascii="Arial" w:hAnsi="Arial" w:cs="Arial"/>
          <w:color w:val="000000" w:themeColor="text1"/>
          <w:vertAlign w:val="superscript"/>
        </w:rPr>
        <w:t>-1</w:t>
      </w:r>
      <w:r>
        <w:rPr>
          <w:rFonts w:ascii="Arial" w:hAnsi="Arial" w:cs="Arial"/>
          <w:color w:val="000000" w:themeColor="text1"/>
        </w:rPr>
        <w:t xml:space="preserve">), although total biomass was relatively high, it did not surpass the intermediate density. </w:t>
      </w:r>
    </w:p>
    <w:p w14:paraId="7063C852" w14:textId="3EEE0C86"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 xml:space="preserve">This suggests that excessive competition for light, water, and nutrients at higher densities may have limited individual tree growth, thus constraining total biomass (Zhang </w:t>
      </w:r>
      <w:r>
        <w:rPr>
          <w:rFonts w:ascii="Arial" w:hAnsi="Arial" w:cs="Arial"/>
          <w:i/>
          <w:iCs/>
          <w:color w:val="000000" w:themeColor="text1"/>
        </w:rPr>
        <w:t>et al.</w:t>
      </w:r>
      <w:r>
        <w:rPr>
          <w:rFonts w:ascii="Arial" w:hAnsi="Arial" w:cs="Arial"/>
          <w:color w:val="000000" w:themeColor="text1"/>
        </w:rPr>
        <w:t>, 2012). Conversely, at low densities (330 and 277 trees ha</w:t>
      </w:r>
      <w:r>
        <w:rPr>
          <w:rFonts w:ascii="Arial" w:hAnsi="Arial" w:cs="Arial"/>
          <w:color w:val="000000" w:themeColor="text1"/>
          <w:vertAlign w:val="superscript"/>
        </w:rPr>
        <w:t>-1</w:t>
      </w:r>
      <w:r>
        <w:rPr>
          <w:rFonts w:ascii="Arial" w:hAnsi="Arial" w:cs="Arial"/>
          <w:color w:val="000000" w:themeColor="text1"/>
        </w:rPr>
        <w:t xml:space="preserve">), the underutilization of site resources likely led to lower overall productivity, as observed in other forest systems (Forrester </w:t>
      </w:r>
      <w:r>
        <w:rPr>
          <w:rFonts w:ascii="Arial" w:hAnsi="Arial" w:cs="Arial"/>
          <w:i/>
          <w:iCs/>
          <w:color w:val="000000" w:themeColor="text1"/>
        </w:rPr>
        <w:t>et al.</w:t>
      </w:r>
      <w:r>
        <w:rPr>
          <w:rFonts w:ascii="Arial" w:hAnsi="Arial" w:cs="Arial"/>
          <w:color w:val="000000" w:themeColor="text1"/>
        </w:rPr>
        <w:t xml:space="preserve">, 2004; Paul </w:t>
      </w:r>
      <w:r>
        <w:rPr>
          <w:rFonts w:ascii="Arial" w:hAnsi="Arial" w:cs="Arial"/>
          <w:i/>
          <w:iCs/>
          <w:color w:val="000000" w:themeColor="text1"/>
        </w:rPr>
        <w:t>et al</w:t>
      </w:r>
      <w:r>
        <w:rPr>
          <w:rFonts w:ascii="Arial" w:hAnsi="Arial" w:cs="Arial"/>
          <w:color w:val="000000" w:themeColor="text1"/>
        </w:rPr>
        <w:t>., 2013). This pattern is consistent with the principle that optimal stand density balances inter-tree competition and resource availability, maximizing productivity (</w:t>
      </w:r>
      <w:proofErr w:type="spellStart"/>
      <w:r>
        <w:rPr>
          <w:rFonts w:ascii="Arial" w:hAnsi="Arial" w:cs="Arial"/>
          <w:color w:val="000000" w:themeColor="text1"/>
        </w:rPr>
        <w:t>Pretzsch</w:t>
      </w:r>
      <w:proofErr w:type="spellEnd"/>
      <w:r>
        <w:rPr>
          <w:rFonts w:ascii="Arial" w:hAnsi="Arial" w:cs="Arial"/>
          <w:color w:val="000000" w:themeColor="text1"/>
        </w:rPr>
        <w:t xml:space="preserve">, 2005). Similar density-dependent trends have been reported in other studies on </w:t>
      </w:r>
      <w:r w:rsidR="005E4EC4">
        <w:rPr>
          <w:rFonts w:ascii="Arial" w:hAnsi="Arial" w:cs="Arial"/>
          <w:color w:val="000000" w:themeColor="text1"/>
        </w:rPr>
        <w:t>Sandalwood</w:t>
      </w:r>
      <w:r>
        <w:rPr>
          <w:rFonts w:ascii="Arial" w:hAnsi="Arial" w:cs="Arial"/>
          <w:color w:val="000000" w:themeColor="text1"/>
        </w:rPr>
        <w:t xml:space="preserve"> and related species. </w:t>
      </w:r>
      <w:proofErr w:type="spellStart"/>
      <w:r>
        <w:rPr>
          <w:rFonts w:ascii="Arial" w:hAnsi="Arial" w:cs="Arial"/>
          <w:color w:val="000000" w:themeColor="text1"/>
        </w:rPr>
        <w:t>Radomiljac</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(1998) found that intermediate planting densities optimized growth and biomass accumulation in Santalum spicatum. Likewise, studies on Santalum album by Haripriya </w:t>
      </w:r>
      <w:r>
        <w:rPr>
          <w:rFonts w:ascii="Arial" w:hAnsi="Arial" w:cs="Arial"/>
          <w:i/>
          <w:iCs/>
          <w:color w:val="000000" w:themeColor="text1"/>
        </w:rPr>
        <w:t>et al.</w:t>
      </w:r>
      <w:r>
        <w:rPr>
          <w:rFonts w:ascii="Arial" w:hAnsi="Arial" w:cs="Arial"/>
          <w:color w:val="000000" w:themeColor="text1"/>
        </w:rPr>
        <w:t xml:space="preserve"> (2007) and Sridhar </w:t>
      </w:r>
      <w:r>
        <w:rPr>
          <w:rFonts w:ascii="Arial" w:hAnsi="Arial" w:cs="Arial"/>
          <w:i/>
          <w:iCs/>
          <w:color w:val="000000" w:themeColor="text1"/>
        </w:rPr>
        <w:t>et al.</w:t>
      </w:r>
      <w:r>
        <w:rPr>
          <w:rFonts w:ascii="Arial" w:hAnsi="Arial" w:cs="Arial"/>
          <w:color w:val="000000" w:themeColor="text1"/>
        </w:rPr>
        <w:t xml:space="preserve"> (2013) reported that moderate densities favored higher biomass yield and tree vigor compared to very high or low densities. </w:t>
      </w:r>
    </w:p>
    <w:p w14:paraId="306610DA" w14:textId="4D6348CB" w:rsidR="00BA521A" w:rsidRDefault="00BD675F">
      <w:pPr>
        <w:spacing w:line="276" w:lineRule="auto"/>
        <w:jc w:val="both"/>
        <w:rPr>
          <w:rFonts w:ascii="Times New Roman" w:hAnsi="Times New Roman"/>
          <w:b/>
          <w:bCs/>
          <w:sz w:val="24"/>
          <w:szCs w:val="22"/>
        </w:rPr>
      </w:pPr>
      <w:r>
        <w:rPr>
          <w:rFonts w:ascii="Arial" w:hAnsi="Arial" w:cs="Arial"/>
          <w:b/>
          <w:bCs/>
          <w:sz w:val="24"/>
          <w:szCs w:val="22"/>
        </w:rPr>
        <w:t>3</w:t>
      </w:r>
      <w:r>
        <w:rPr>
          <w:rFonts w:ascii="Arial" w:hAnsi="Arial" w:cs="Arial"/>
          <w:b/>
          <w:bCs/>
          <w:color w:val="000000" w:themeColor="text1"/>
          <w:sz w:val="22"/>
          <w:szCs w:val="22"/>
        </w:rPr>
        <w:t xml:space="preserve">.2 Biomass accumulation of </w:t>
      </w:r>
      <w:r w:rsidR="005E4EC4">
        <w:rPr>
          <w:rFonts w:ascii="Arial" w:hAnsi="Arial" w:cs="Arial"/>
          <w:b/>
          <w:bCs/>
          <w:color w:val="000000" w:themeColor="text1"/>
          <w:sz w:val="22"/>
          <w:szCs w:val="22"/>
        </w:rPr>
        <w:t>Sandalwood</w:t>
      </w:r>
      <w:r>
        <w:rPr>
          <w:rFonts w:ascii="Arial" w:hAnsi="Arial" w:cs="Arial"/>
          <w:b/>
          <w:bCs/>
          <w:color w:val="000000" w:themeColor="text1"/>
          <w:sz w:val="22"/>
          <w:szCs w:val="22"/>
        </w:rPr>
        <w:t xml:space="preserve"> under Varying Planting Densities</w:t>
      </w:r>
    </w:p>
    <w:p w14:paraId="56A13BB5"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data presented in Table-3 estimated carbon stocks and sequestration rates across five varying tree densities (1111, 816, 493, 330, and 277 trees ha</w:t>
      </w:r>
      <w:r>
        <w:rPr>
          <w:rFonts w:ascii="Arial" w:hAnsi="Arial" w:cs="Arial"/>
          <w:color w:val="000000" w:themeColor="text1"/>
          <w:vertAlign w:val="superscript"/>
        </w:rPr>
        <w:t>-1</w:t>
      </w:r>
      <w:r>
        <w:rPr>
          <w:rFonts w:ascii="Arial" w:hAnsi="Arial" w:cs="Arial"/>
          <w:color w:val="000000" w:themeColor="text1"/>
        </w:rPr>
        <w:t>) (Fig.1). The key findings are,</w:t>
      </w:r>
    </w:p>
    <w:p w14:paraId="027C77A8"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 xml:space="preserve">Long-lived Carbon Storage:  </w:t>
      </w:r>
    </w:p>
    <w:p w14:paraId="7C0726E5"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highest long-lived carbon storage (2.781 Mg C ha</w:t>
      </w:r>
      <w:r>
        <w:rPr>
          <w:rFonts w:ascii="Arial" w:hAnsi="Arial" w:cs="Arial"/>
          <w:color w:val="000000" w:themeColor="text1"/>
          <w:vertAlign w:val="superscript"/>
        </w:rPr>
        <w:t>-1</w:t>
      </w:r>
      <w:r>
        <w:rPr>
          <w:rFonts w:ascii="Arial" w:hAnsi="Arial" w:cs="Arial"/>
          <w:color w:val="000000" w:themeColor="text1"/>
        </w:rPr>
        <w:t>) was observed in the stand with 493 trees/ha, while the lowest (0.884 Mg C ha</w:t>
      </w:r>
      <w:r>
        <w:rPr>
          <w:rFonts w:ascii="Arial" w:hAnsi="Arial" w:cs="Arial"/>
          <w:color w:val="000000" w:themeColor="text1"/>
          <w:vertAlign w:val="superscript"/>
        </w:rPr>
        <w:t>-1</w:t>
      </w:r>
      <w:r>
        <w:rPr>
          <w:rFonts w:ascii="Arial" w:hAnsi="Arial" w:cs="Arial"/>
          <w:color w:val="000000" w:themeColor="text1"/>
        </w:rPr>
        <w:t>) was recorded at 277 trees ha</w:t>
      </w:r>
      <w:r>
        <w:rPr>
          <w:rFonts w:ascii="Arial" w:hAnsi="Arial" w:cs="Arial"/>
          <w:color w:val="000000" w:themeColor="text1"/>
          <w:vertAlign w:val="superscript"/>
        </w:rPr>
        <w:t>-1</w:t>
      </w:r>
      <w:r>
        <w:rPr>
          <w:rFonts w:ascii="Arial" w:hAnsi="Arial" w:cs="Arial"/>
          <w:color w:val="000000" w:themeColor="text1"/>
        </w:rPr>
        <w:t xml:space="preserve">. This suggests that moderate-density stands may optimize carbon retention in long-lived woody biomass compared to very high or low-density stands. </w:t>
      </w:r>
    </w:p>
    <w:p w14:paraId="396C083E"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Heat from Biomass Combustion and Carbon Storage from Coal Substitution:</w:t>
      </w:r>
    </w:p>
    <w:p w14:paraId="00851668"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Heat from biomass combustion ranged from 31.835 Mg C ha</w:t>
      </w:r>
      <w:r>
        <w:rPr>
          <w:rFonts w:ascii="Arial" w:hAnsi="Arial" w:cs="Arial"/>
          <w:color w:val="000000" w:themeColor="text1"/>
          <w:vertAlign w:val="superscript"/>
        </w:rPr>
        <w:t>-1</w:t>
      </w:r>
      <w:r>
        <w:rPr>
          <w:rFonts w:ascii="Arial" w:hAnsi="Arial" w:cs="Arial"/>
          <w:color w:val="000000" w:themeColor="text1"/>
        </w:rPr>
        <w:t xml:space="preserve"> (277 trees ha</w:t>
      </w:r>
      <w:r>
        <w:rPr>
          <w:rFonts w:ascii="Arial" w:hAnsi="Arial" w:cs="Arial"/>
          <w:color w:val="000000" w:themeColor="text1"/>
          <w:vertAlign w:val="superscript"/>
        </w:rPr>
        <w:t>-1</w:t>
      </w:r>
      <w:r>
        <w:rPr>
          <w:rFonts w:ascii="Arial" w:hAnsi="Arial" w:cs="Arial"/>
          <w:color w:val="000000" w:themeColor="text1"/>
        </w:rPr>
        <w:t>) to 100.098 Mg C ha</w:t>
      </w:r>
      <w:r>
        <w:rPr>
          <w:rFonts w:ascii="Arial" w:hAnsi="Arial" w:cs="Arial"/>
          <w:color w:val="000000" w:themeColor="text1"/>
          <w:vertAlign w:val="superscript"/>
        </w:rPr>
        <w:t>-1</w:t>
      </w:r>
      <w:r>
        <w:rPr>
          <w:rFonts w:ascii="Arial" w:hAnsi="Arial" w:cs="Arial"/>
          <w:color w:val="000000" w:themeColor="text1"/>
        </w:rPr>
        <w:t xml:space="preserve"> (493 trees ha</w:t>
      </w:r>
      <w:r>
        <w:rPr>
          <w:rFonts w:ascii="Arial" w:hAnsi="Arial" w:cs="Arial"/>
          <w:color w:val="000000" w:themeColor="text1"/>
          <w:vertAlign w:val="superscript"/>
        </w:rPr>
        <w:t>-1</w:t>
      </w:r>
      <w:r>
        <w:rPr>
          <w:rFonts w:ascii="Arial" w:hAnsi="Arial" w:cs="Arial"/>
          <w:color w:val="000000" w:themeColor="text1"/>
        </w:rPr>
        <w:t>). Carbon storage from coal substitution varied between 0.535 Mg C ha</w:t>
      </w:r>
      <w:r>
        <w:rPr>
          <w:rFonts w:ascii="Arial" w:hAnsi="Arial" w:cs="Arial"/>
          <w:color w:val="000000" w:themeColor="text1"/>
          <w:vertAlign w:val="superscript"/>
        </w:rPr>
        <w:t>-1</w:t>
      </w:r>
      <w:r>
        <w:rPr>
          <w:rFonts w:ascii="Arial" w:hAnsi="Arial" w:cs="Arial"/>
          <w:color w:val="000000" w:themeColor="text1"/>
        </w:rPr>
        <w:t xml:space="preserve"> being lowest and 1.682 Mg C ha</w:t>
      </w:r>
      <w:r>
        <w:rPr>
          <w:rFonts w:ascii="Arial" w:hAnsi="Arial" w:cs="Arial"/>
          <w:color w:val="000000" w:themeColor="text1"/>
          <w:vertAlign w:val="superscript"/>
        </w:rPr>
        <w:t>-1</w:t>
      </w:r>
      <w:r>
        <w:rPr>
          <w:rFonts w:ascii="Arial" w:hAnsi="Arial" w:cs="Arial"/>
          <w:color w:val="000000" w:themeColor="text1"/>
        </w:rPr>
        <w:t xml:space="preserve"> at maximum. Sites with higher biomass combustion heat, such as Site 2 (101.731 Mg C ha</w:t>
      </w:r>
      <w:r>
        <w:rPr>
          <w:rFonts w:ascii="Arial" w:hAnsi="Arial" w:cs="Arial"/>
          <w:color w:val="000000" w:themeColor="text1"/>
          <w:vertAlign w:val="superscript"/>
        </w:rPr>
        <w:t>-1</w:t>
      </w:r>
      <w:r>
        <w:rPr>
          <w:rFonts w:ascii="Arial" w:hAnsi="Arial" w:cs="Arial"/>
          <w:color w:val="000000" w:themeColor="text1"/>
        </w:rPr>
        <w:t>), did not necessarily correlate with higher carbon sequestration rates, as seen with Site 4 (34.380 Mg C ha</w:t>
      </w:r>
      <w:r>
        <w:rPr>
          <w:rFonts w:ascii="Arial" w:hAnsi="Arial" w:cs="Arial"/>
          <w:color w:val="000000" w:themeColor="text1"/>
          <w:vertAlign w:val="superscript"/>
        </w:rPr>
        <w:t>-1</w:t>
      </w:r>
      <w:r>
        <w:rPr>
          <w:rFonts w:ascii="Arial" w:hAnsi="Arial" w:cs="Arial"/>
          <w:color w:val="000000" w:themeColor="text1"/>
        </w:rPr>
        <w:t>).</w:t>
      </w:r>
    </w:p>
    <w:p w14:paraId="0CB94C21"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 xml:space="preserve">Soil Carbon Stock:  </w:t>
      </w:r>
    </w:p>
    <w:p w14:paraId="3BAA583E"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lastRenderedPageBreak/>
        <w:t>Soil carbon varied between 27.495 and 32.4 Mg C ha</w:t>
      </w:r>
      <w:r>
        <w:rPr>
          <w:rFonts w:ascii="Arial" w:hAnsi="Arial" w:cs="Arial"/>
          <w:color w:val="000000" w:themeColor="text1"/>
          <w:vertAlign w:val="superscript"/>
        </w:rPr>
        <w:t>-1</w:t>
      </w:r>
      <w:r>
        <w:rPr>
          <w:rFonts w:ascii="Arial" w:hAnsi="Arial" w:cs="Arial"/>
          <w:color w:val="000000" w:themeColor="text1"/>
        </w:rPr>
        <w:t xml:space="preserve">, with no clear trend linked to stand density. This suggests that soil carbon is influenced more by site history and microbial activity than by current stand structure. </w:t>
      </w:r>
    </w:p>
    <w:p w14:paraId="11082818"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Total Carbon Stock and potential Carbon sequestration:</w:t>
      </w:r>
    </w:p>
    <w:p w14:paraId="00F6C92F"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total carbon stock was highest (36.571 Mg C ha</w:t>
      </w:r>
      <w:r>
        <w:rPr>
          <w:rFonts w:ascii="Arial" w:hAnsi="Arial" w:cs="Arial"/>
          <w:color w:val="000000" w:themeColor="text1"/>
          <w:vertAlign w:val="superscript"/>
        </w:rPr>
        <w:t>-1</w:t>
      </w:r>
      <w:r>
        <w:rPr>
          <w:rFonts w:ascii="Arial" w:hAnsi="Arial" w:cs="Arial"/>
          <w:color w:val="000000" w:themeColor="text1"/>
        </w:rPr>
        <w:t>) at 493 trees ha</w:t>
      </w:r>
      <w:r>
        <w:rPr>
          <w:rFonts w:ascii="Arial" w:hAnsi="Arial" w:cs="Arial"/>
          <w:color w:val="000000" w:themeColor="text1"/>
          <w:vertAlign w:val="superscript"/>
        </w:rPr>
        <w:t>-1</w:t>
      </w:r>
      <w:r>
        <w:rPr>
          <w:rFonts w:ascii="Arial" w:hAnsi="Arial" w:cs="Arial"/>
          <w:color w:val="000000" w:themeColor="text1"/>
        </w:rPr>
        <w:t xml:space="preserve"> and lowest (31.425 Mg C ha</w:t>
      </w:r>
      <w:r>
        <w:rPr>
          <w:rFonts w:ascii="Arial" w:hAnsi="Arial" w:cs="Arial"/>
          <w:color w:val="000000" w:themeColor="text1"/>
          <w:vertAlign w:val="superscript"/>
        </w:rPr>
        <w:t>-1</w:t>
      </w:r>
      <w:r>
        <w:rPr>
          <w:rFonts w:ascii="Arial" w:hAnsi="Arial" w:cs="Arial"/>
          <w:color w:val="000000" w:themeColor="text1"/>
        </w:rPr>
        <w:t>) at 277 trees ha</w:t>
      </w:r>
      <w:r>
        <w:rPr>
          <w:rFonts w:ascii="Arial" w:hAnsi="Arial" w:cs="Arial"/>
          <w:color w:val="000000" w:themeColor="text1"/>
          <w:vertAlign w:val="superscript"/>
        </w:rPr>
        <w:t>-1</w:t>
      </w:r>
      <w:r>
        <w:rPr>
          <w:rFonts w:ascii="Arial" w:hAnsi="Arial" w:cs="Arial"/>
          <w:color w:val="000000" w:themeColor="text1"/>
        </w:rPr>
        <w:t xml:space="preserve"> which is also depicted in case of Carbon sequestration potential i.e.  134.215 Mg C ha</w:t>
      </w:r>
      <w:r>
        <w:rPr>
          <w:rFonts w:ascii="Arial" w:hAnsi="Arial" w:cs="Arial"/>
          <w:color w:val="000000" w:themeColor="text1"/>
          <w:vertAlign w:val="superscript"/>
        </w:rPr>
        <w:t>-1</w:t>
      </w:r>
      <w:r>
        <w:rPr>
          <w:rFonts w:ascii="Arial" w:hAnsi="Arial" w:cs="Arial"/>
          <w:color w:val="000000" w:themeColor="text1"/>
        </w:rPr>
        <w:t xml:space="preserve"> being highest at moderate density plantation. </w:t>
      </w:r>
    </w:p>
    <w:p w14:paraId="1690C6DA"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standard error (SE) and critical difference (CD at 0.05) values confirm that differences in sequestration rates are statistically significant, reinforcing the impact of stand density on carbon dynamics.</w:t>
      </w:r>
    </w:p>
    <w:p w14:paraId="68E187DE" w14:textId="74EC84F6" w:rsidR="00BA521A" w:rsidRDefault="00BD675F">
      <w:pPr>
        <w:jc w:val="both"/>
        <w:rPr>
          <w:rFonts w:ascii="Arial" w:eastAsiaTheme="minorHAnsi" w:hAnsi="Arial" w:cs="Arial"/>
          <w:b/>
          <w:bCs/>
          <w:kern w:val="2"/>
          <w:sz w:val="22"/>
          <w:lang w:bidi="hi-IN"/>
        </w:rPr>
      </w:pPr>
      <w:r>
        <w:rPr>
          <w:rFonts w:ascii="Arial" w:eastAsiaTheme="minorHAnsi" w:hAnsi="Arial" w:cs="Arial"/>
          <w:b/>
          <w:bCs/>
          <w:kern w:val="2"/>
          <w:sz w:val="22"/>
          <w:lang w:bidi="hi-IN"/>
        </w:rPr>
        <w:t xml:space="preserve">Table: 3 Estimated carbon stocks and carbon sequestration rates across different Stand density of </w:t>
      </w:r>
      <w:r w:rsidR="005E4EC4">
        <w:rPr>
          <w:rFonts w:ascii="Arial" w:eastAsiaTheme="minorHAnsi" w:hAnsi="Arial" w:cs="Arial"/>
          <w:b/>
          <w:bCs/>
          <w:kern w:val="2"/>
          <w:sz w:val="22"/>
          <w:lang w:bidi="hi-IN"/>
        </w:rPr>
        <w:t>Sandalwood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0"/>
        <w:gridCol w:w="1080"/>
        <w:gridCol w:w="1080"/>
        <w:gridCol w:w="1080"/>
        <w:gridCol w:w="720"/>
        <w:gridCol w:w="720"/>
        <w:gridCol w:w="900"/>
        <w:gridCol w:w="1170"/>
      </w:tblGrid>
      <w:tr w:rsidR="00BA521A" w14:paraId="3F46ACE3" w14:textId="77777777">
        <w:trPr>
          <w:trHeight w:val="516"/>
        </w:trPr>
        <w:tc>
          <w:tcPr>
            <w:tcW w:w="540" w:type="dxa"/>
            <w:noWrap/>
          </w:tcPr>
          <w:p w14:paraId="2F2640A4" w14:textId="77777777" w:rsidR="00BA521A" w:rsidRDefault="00BD675F">
            <w:pPr>
              <w:rPr>
                <w:rFonts w:ascii="Arial" w:hAnsi="Arial" w:cs="Arial"/>
                <w:b/>
                <w:bCs/>
              </w:rPr>
            </w:pPr>
            <w:r>
              <w:rPr>
                <w:rFonts w:ascii="Arial" w:hAnsi="Arial" w:cs="Arial"/>
                <w:b/>
                <w:bCs/>
              </w:rPr>
              <w:t>Sl. No.</w:t>
            </w:r>
          </w:p>
        </w:tc>
        <w:tc>
          <w:tcPr>
            <w:tcW w:w="990" w:type="dxa"/>
            <w:noWrap/>
          </w:tcPr>
          <w:p w14:paraId="698AAA1E" w14:textId="77777777" w:rsidR="00BA521A" w:rsidRDefault="00BD675F">
            <w:pPr>
              <w:rPr>
                <w:rFonts w:ascii="Arial" w:hAnsi="Arial" w:cs="Arial"/>
                <w:b/>
                <w:bCs/>
              </w:rPr>
            </w:pPr>
            <w:r>
              <w:rPr>
                <w:rFonts w:ascii="Arial" w:hAnsi="Arial" w:cs="Arial"/>
                <w:b/>
                <w:bCs/>
              </w:rPr>
              <w:t>Density</w:t>
            </w:r>
          </w:p>
        </w:tc>
        <w:tc>
          <w:tcPr>
            <w:tcW w:w="1080" w:type="dxa"/>
            <w:noWrap/>
          </w:tcPr>
          <w:p w14:paraId="07AD393D" w14:textId="77777777" w:rsidR="00BA521A" w:rsidRDefault="00BD675F">
            <w:pPr>
              <w:jc w:val="center"/>
              <w:rPr>
                <w:rFonts w:ascii="Arial" w:hAnsi="Arial" w:cs="Arial"/>
                <w:b/>
                <w:bCs/>
              </w:rPr>
            </w:pPr>
            <w:r>
              <w:rPr>
                <w:rFonts w:ascii="Arial" w:hAnsi="Arial" w:cs="Arial"/>
                <w:b/>
                <w:bCs/>
              </w:rPr>
              <w:t>Long-lived C storage (Mg C ha</w:t>
            </w:r>
            <w:r>
              <w:rPr>
                <w:rFonts w:ascii="Arial" w:hAnsi="Arial" w:cs="Arial"/>
                <w:b/>
                <w:bCs/>
                <w:vertAlign w:val="superscript"/>
              </w:rPr>
              <w:t>-1</w:t>
            </w:r>
            <w:r>
              <w:rPr>
                <w:rFonts w:ascii="Arial" w:hAnsi="Arial" w:cs="Arial"/>
                <w:b/>
                <w:bCs/>
              </w:rPr>
              <w:t>)</w:t>
            </w:r>
          </w:p>
        </w:tc>
        <w:tc>
          <w:tcPr>
            <w:tcW w:w="1080" w:type="dxa"/>
            <w:noWrap/>
          </w:tcPr>
          <w:p w14:paraId="1B7981B3" w14:textId="77777777" w:rsidR="00BA521A" w:rsidRDefault="00BD675F">
            <w:pPr>
              <w:jc w:val="center"/>
              <w:rPr>
                <w:rFonts w:ascii="Arial" w:hAnsi="Arial" w:cs="Arial"/>
                <w:b/>
                <w:bCs/>
              </w:rPr>
            </w:pPr>
            <w:r>
              <w:rPr>
                <w:rFonts w:ascii="Arial" w:hAnsi="Arial" w:cs="Arial"/>
                <w:b/>
                <w:bCs/>
              </w:rPr>
              <w:t>Heat from biomass combustion (×10</w:t>
            </w:r>
            <w:r>
              <w:rPr>
                <w:rFonts w:ascii="Arial" w:hAnsi="Arial" w:cs="Arial"/>
                <w:b/>
                <w:bCs/>
                <w:vertAlign w:val="superscript"/>
              </w:rPr>
              <w:t>9</w:t>
            </w:r>
            <w:r>
              <w:rPr>
                <w:rFonts w:ascii="Arial" w:hAnsi="Arial" w:cs="Arial"/>
                <w:b/>
                <w:bCs/>
              </w:rPr>
              <w:t>)</w:t>
            </w:r>
          </w:p>
        </w:tc>
        <w:tc>
          <w:tcPr>
            <w:tcW w:w="1080" w:type="dxa"/>
            <w:noWrap/>
          </w:tcPr>
          <w:p w14:paraId="1F716DC5" w14:textId="77777777" w:rsidR="00BA521A" w:rsidRDefault="00BD675F">
            <w:pPr>
              <w:jc w:val="center"/>
              <w:rPr>
                <w:rFonts w:ascii="Arial" w:hAnsi="Arial" w:cs="Arial"/>
                <w:b/>
                <w:bCs/>
              </w:rPr>
            </w:pPr>
            <w:r>
              <w:rPr>
                <w:rFonts w:ascii="Arial" w:hAnsi="Arial" w:cs="Arial"/>
                <w:b/>
                <w:bCs/>
              </w:rPr>
              <w:t>Carbon storage from coal substitution (Mg C ha</w:t>
            </w:r>
            <w:r>
              <w:rPr>
                <w:rFonts w:ascii="Arial" w:hAnsi="Arial" w:cs="Arial"/>
                <w:b/>
                <w:bCs/>
                <w:vertAlign w:val="superscript"/>
              </w:rPr>
              <w:t>-1</w:t>
            </w:r>
            <w:r>
              <w:rPr>
                <w:rFonts w:ascii="Arial" w:hAnsi="Arial" w:cs="Arial"/>
                <w:b/>
                <w:bCs/>
              </w:rPr>
              <w:t>)</w:t>
            </w:r>
          </w:p>
        </w:tc>
        <w:tc>
          <w:tcPr>
            <w:tcW w:w="720" w:type="dxa"/>
            <w:noWrap/>
          </w:tcPr>
          <w:p w14:paraId="5D8CEBD1" w14:textId="77777777" w:rsidR="00BA521A" w:rsidRDefault="00BD675F">
            <w:pPr>
              <w:jc w:val="center"/>
              <w:rPr>
                <w:rFonts w:ascii="Arial" w:hAnsi="Arial" w:cs="Arial"/>
                <w:b/>
                <w:bCs/>
              </w:rPr>
            </w:pPr>
            <w:r>
              <w:rPr>
                <w:rFonts w:ascii="Arial" w:hAnsi="Arial" w:cs="Arial"/>
                <w:b/>
                <w:bCs/>
              </w:rPr>
              <w:t>Carbon stock</w:t>
            </w:r>
          </w:p>
          <w:p w14:paraId="023F952F" w14:textId="77777777" w:rsidR="00BA521A" w:rsidRDefault="00BD675F">
            <w:pPr>
              <w:jc w:val="center"/>
              <w:rPr>
                <w:rFonts w:ascii="Arial" w:hAnsi="Arial" w:cs="Arial"/>
                <w:b/>
                <w:bCs/>
              </w:rPr>
            </w:pPr>
            <w:r>
              <w:rPr>
                <w:rFonts w:ascii="Arial" w:hAnsi="Arial" w:cs="Arial"/>
                <w:b/>
                <w:bCs/>
              </w:rPr>
              <w:t>(Mg C ha</w:t>
            </w:r>
            <w:r>
              <w:rPr>
                <w:rFonts w:ascii="Arial" w:hAnsi="Arial" w:cs="Arial"/>
                <w:b/>
                <w:bCs/>
                <w:vertAlign w:val="superscript"/>
              </w:rPr>
              <w:t>-1</w:t>
            </w:r>
            <w:r>
              <w:rPr>
                <w:rFonts w:ascii="Arial" w:hAnsi="Arial" w:cs="Arial"/>
                <w:b/>
                <w:bCs/>
              </w:rPr>
              <w:t>)</w:t>
            </w:r>
          </w:p>
        </w:tc>
        <w:tc>
          <w:tcPr>
            <w:tcW w:w="720" w:type="dxa"/>
            <w:noWrap/>
          </w:tcPr>
          <w:p w14:paraId="5C4AE0E6" w14:textId="77777777" w:rsidR="00BA521A" w:rsidRDefault="00BD675F">
            <w:pPr>
              <w:jc w:val="center"/>
              <w:rPr>
                <w:rFonts w:ascii="Arial" w:hAnsi="Arial" w:cs="Arial"/>
                <w:b/>
                <w:bCs/>
              </w:rPr>
            </w:pPr>
            <w:r>
              <w:rPr>
                <w:rFonts w:ascii="Arial" w:hAnsi="Arial" w:cs="Arial"/>
                <w:b/>
                <w:bCs/>
              </w:rPr>
              <w:t>Soil C stock (Mg C ha</w:t>
            </w:r>
            <w:r>
              <w:rPr>
                <w:rFonts w:ascii="Arial" w:hAnsi="Arial" w:cs="Arial"/>
                <w:b/>
                <w:bCs/>
                <w:vertAlign w:val="superscript"/>
              </w:rPr>
              <w:t>-1</w:t>
            </w:r>
            <w:r>
              <w:rPr>
                <w:rFonts w:ascii="Arial" w:hAnsi="Arial" w:cs="Arial"/>
                <w:b/>
                <w:bCs/>
              </w:rPr>
              <w:t>)</w:t>
            </w:r>
          </w:p>
        </w:tc>
        <w:tc>
          <w:tcPr>
            <w:tcW w:w="900" w:type="dxa"/>
            <w:noWrap/>
          </w:tcPr>
          <w:p w14:paraId="3FA2B392" w14:textId="77777777" w:rsidR="00BA521A" w:rsidRDefault="00BD675F">
            <w:pPr>
              <w:jc w:val="center"/>
              <w:rPr>
                <w:rFonts w:ascii="Arial" w:hAnsi="Arial" w:cs="Arial"/>
                <w:b/>
                <w:bCs/>
              </w:rPr>
            </w:pPr>
            <w:r>
              <w:rPr>
                <w:rFonts w:ascii="Arial" w:hAnsi="Arial" w:cs="Arial"/>
                <w:b/>
                <w:bCs/>
              </w:rPr>
              <w:t>Total Stock (Mg C ha</w:t>
            </w:r>
            <w:r>
              <w:rPr>
                <w:rFonts w:ascii="Arial" w:hAnsi="Arial" w:cs="Arial"/>
                <w:b/>
                <w:bCs/>
                <w:vertAlign w:val="superscript"/>
              </w:rPr>
              <w:t>-1</w:t>
            </w:r>
            <w:r>
              <w:rPr>
                <w:rFonts w:ascii="Arial" w:hAnsi="Arial" w:cs="Arial"/>
                <w:b/>
                <w:bCs/>
              </w:rPr>
              <w:t>)</w:t>
            </w:r>
          </w:p>
        </w:tc>
        <w:tc>
          <w:tcPr>
            <w:tcW w:w="1170" w:type="dxa"/>
            <w:noWrap/>
          </w:tcPr>
          <w:p w14:paraId="5FCFB49D" w14:textId="77777777" w:rsidR="00BA521A" w:rsidRDefault="00BD675F">
            <w:pPr>
              <w:jc w:val="center"/>
              <w:rPr>
                <w:rFonts w:ascii="Arial" w:hAnsi="Arial" w:cs="Arial"/>
                <w:b/>
                <w:bCs/>
              </w:rPr>
            </w:pPr>
            <w:r>
              <w:rPr>
                <w:rFonts w:ascii="Arial" w:hAnsi="Arial" w:cs="Arial"/>
                <w:b/>
                <w:bCs/>
              </w:rPr>
              <w:t>Carbon sequestration</w:t>
            </w:r>
          </w:p>
          <w:p w14:paraId="3E50DD4D" w14:textId="77777777" w:rsidR="00BA521A" w:rsidRDefault="00BD675F">
            <w:pPr>
              <w:jc w:val="center"/>
              <w:rPr>
                <w:rFonts w:ascii="Arial" w:hAnsi="Arial" w:cs="Arial"/>
                <w:b/>
                <w:bCs/>
              </w:rPr>
            </w:pPr>
            <w:r>
              <w:rPr>
                <w:rFonts w:ascii="Arial" w:hAnsi="Arial" w:cs="Arial"/>
                <w:b/>
                <w:bCs/>
              </w:rPr>
              <w:t>(Mg C ha</w:t>
            </w:r>
            <w:r>
              <w:rPr>
                <w:rFonts w:ascii="Arial" w:hAnsi="Arial" w:cs="Arial"/>
                <w:b/>
                <w:bCs/>
                <w:vertAlign w:val="superscript"/>
              </w:rPr>
              <w:t>-1</w:t>
            </w:r>
            <w:r>
              <w:rPr>
                <w:rFonts w:ascii="Arial" w:hAnsi="Arial" w:cs="Arial"/>
                <w:b/>
                <w:bCs/>
              </w:rPr>
              <w:t>)</w:t>
            </w:r>
          </w:p>
        </w:tc>
      </w:tr>
      <w:tr w:rsidR="00BA521A" w14:paraId="595CF527" w14:textId="77777777">
        <w:trPr>
          <w:trHeight w:val="516"/>
        </w:trPr>
        <w:tc>
          <w:tcPr>
            <w:tcW w:w="540" w:type="dxa"/>
            <w:noWrap/>
            <w:vAlign w:val="bottom"/>
          </w:tcPr>
          <w:p w14:paraId="1563591C" w14:textId="77777777" w:rsidR="00BA521A" w:rsidRDefault="00BD675F">
            <w:pPr>
              <w:jc w:val="both"/>
              <w:rPr>
                <w:rFonts w:ascii="Arial" w:hAnsi="Arial" w:cs="Arial"/>
                <w:b/>
                <w:bCs/>
              </w:rPr>
            </w:pPr>
            <w:r>
              <w:rPr>
                <w:rFonts w:ascii="Arial" w:hAnsi="Arial" w:cs="Arial"/>
                <w:b/>
                <w:bCs/>
              </w:rPr>
              <w:t>1</w:t>
            </w:r>
          </w:p>
        </w:tc>
        <w:tc>
          <w:tcPr>
            <w:tcW w:w="990" w:type="dxa"/>
            <w:noWrap/>
            <w:vAlign w:val="bottom"/>
          </w:tcPr>
          <w:p w14:paraId="1F5E3614" w14:textId="77777777" w:rsidR="00BA521A" w:rsidRDefault="00BD675F">
            <w:pPr>
              <w:jc w:val="both"/>
              <w:rPr>
                <w:rFonts w:ascii="Arial" w:hAnsi="Arial" w:cs="Arial"/>
              </w:rPr>
            </w:pPr>
            <w:r>
              <w:rPr>
                <w:rFonts w:ascii="Arial" w:hAnsi="Arial" w:cs="Arial"/>
              </w:rPr>
              <w:t>1111</w:t>
            </w:r>
          </w:p>
        </w:tc>
        <w:tc>
          <w:tcPr>
            <w:tcW w:w="1080" w:type="dxa"/>
            <w:noWrap/>
            <w:vAlign w:val="bottom"/>
          </w:tcPr>
          <w:p w14:paraId="7C4D6BDD" w14:textId="77777777" w:rsidR="00BA521A" w:rsidRDefault="00BD675F">
            <w:pPr>
              <w:jc w:val="both"/>
              <w:rPr>
                <w:rFonts w:ascii="Arial" w:hAnsi="Arial" w:cs="Arial"/>
              </w:rPr>
            </w:pPr>
            <w:r>
              <w:rPr>
                <w:rFonts w:ascii="Arial" w:hAnsi="Arial" w:cs="Arial"/>
              </w:rPr>
              <w:t>2.204</w:t>
            </w:r>
          </w:p>
        </w:tc>
        <w:tc>
          <w:tcPr>
            <w:tcW w:w="1080" w:type="dxa"/>
            <w:noWrap/>
            <w:vAlign w:val="bottom"/>
          </w:tcPr>
          <w:p w14:paraId="412FEBE1" w14:textId="77777777" w:rsidR="00BA521A" w:rsidRDefault="00BD675F">
            <w:pPr>
              <w:jc w:val="both"/>
              <w:rPr>
                <w:rFonts w:ascii="Arial" w:hAnsi="Arial" w:cs="Arial"/>
              </w:rPr>
            </w:pPr>
            <w:r>
              <w:rPr>
                <w:rFonts w:ascii="Arial" w:hAnsi="Arial" w:cs="Arial"/>
              </w:rPr>
              <w:t>79.342</w:t>
            </w:r>
          </w:p>
        </w:tc>
        <w:tc>
          <w:tcPr>
            <w:tcW w:w="1080" w:type="dxa"/>
            <w:noWrap/>
            <w:vAlign w:val="bottom"/>
          </w:tcPr>
          <w:p w14:paraId="6678F479" w14:textId="77777777" w:rsidR="00BA521A" w:rsidRDefault="00BD675F">
            <w:pPr>
              <w:jc w:val="both"/>
              <w:rPr>
                <w:rFonts w:ascii="Arial" w:hAnsi="Arial" w:cs="Arial"/>
              </w:rPr>
            </w:pPr>
            <w:r>
              <w:rPr>
                <w:rFonts w:ascii="Arial" w:hAnsi="Arial" w:cs="Arial"/>
              </w:rPr>
              <w:t>1.333</w:t>
            </w:r>
          </w:p>
        </w:tc>
        <w:tc>
          <w:tcPr>
            <w:tcW w:w="720" w:type="dxa"/>
            <w:noWrap/>
            <w:vAlign w:val="bottom"/>
          </w:tcPr>
          <w:p w14:paraId="4947A8B6" w14:textId="77777777" w:rsidR="00BA521A" w:rsidRDefault="00BD675F">
            <w:pPr>
              <w:jc w:val="both"/>
              <w:rPr>
                <w:rFonts w:ascii="Arial" w:hAnsi="Arial" w:cs="Arial"/>
              </w:rPr>
            </w:pPr>
            <w:r>
              <w:rPr>
                <w:rFonts w:ascii="Arial" w:hAnsi="Arial" w:cs="Arial"/>
              </w:rPr>
              <w:t>3.306</w:t>
            </w:r>
          </w:p>
        </w:tc>
        <w:tc>
          <w:tcPr>
            <w:tcW w:w="720" w:type="dxa"/>
            <w:noWrap/>
            <w:vAlign w:val="bottom"/>
          </w:tcPr>
          <w:p w14:paraId="5D203764" w14:textId="77777777" w:rsidR="00BA521A" w:rsidRDefault="00BD675F">
            <w:pPr>
              <w:jc w:val="both"/>
              <w:rPr>
                <w:rFonts w:ascii="Arial" w:hAnsi="Arial" w:cs="Arial"/>
              </w:rPr>
            </w:pPr>
            <w:r>
              <w:rPr>
                <w:rFonts w:ascii="Arial" w:hAnsi="Arial" w:cs="Arial"/>
              </w:rPr>
              <w:t>29.580</w:t>
            </w:r>
          </w:p>
        </w:tc>
        <w:tc>
          <w:tcPr>
            <w:tcW w:w="900" w:type="dxa"/>
            <w:noWrap/>
            <w:vAlign w:val="bottom"/>
          </w:tcPr>
          <w:p w14:paraId="37F9D909" w14:textId="77777777" w:rsidR="00BA521A" w:rsidRDefault="00BD675F">
            <w:pPr>
              <w:jc w:val="both"/>
              <w:rPr>
                <w:rFonts w:ascii="Arial" w:hAnsi="Arial" w:cs="Arial"/>
              </w:rPr>
            </w:pPr>
            <w:r>
              <w:rPr>
                <w:rFonts w:ascii="Arial" w:hAnsi="Arial" w:cs="Arial"/>
              </w:rPr>
              <w:t>32.886</w:t>
            </w:r>
          </w:p>
        </w:tc>
        <w:tc>
          <w:tcPr>
            <w:tcW w:w="1170" w:type="dxa"/>
            <w:noWrap/>
            <w:vAlign w:val="bottom"/>
          </w:tcPr>
          <w:p w14:paraId="070802B8" w14:textId="77777777" w:rsidR="00BA521A" w:rsidRDefault="00BD675F">
            <w:pPr>
              <w:jc w:val="center"/>
              <w:rPr>
                <w:rFonts w:ascii="Arial" w:hAnsi="Arial" w:cs="Arial"/>
              </w:rPr>
            </w:pPr>
            <w:r>
              <w:rPr>
                <w:rFonts w:ascii="Arial" w:hAnsi="Arial" w:cs="Arial"/>
              </w:rPr>
              <w:t>120.691</w:t>
            </w:r>
            <w:r>
              <w:rPr>
                <w:rFonts w:ascii="Arial" w:hAnsi="Arial" w:cs="Arial"/>
                <w:vertAlign w:val="superscript"/>
              </w:rPr>
              <w:t>b</w:t>
            </w:r>
          </w:p>
        </w:tc>
      </w:tr>
      <w:tr w:rsidR="00BA521A" w14:paraId="59AFFA71" w14:textId="77777777">
        <w:trPr>
          <w:trHeight w:val="516"/>
        </w:trPr>
        <w:tc>
          <w:tcPr>
            <w:tcW w:w="540" w:type="dxa"/>
            <w:noWrap/>
            <w:vAlign w:val="bottom"/>
          </w:tcPr>
          <w:p w14:paraId="5E35CEBB" w14:textId="77777777" w:rsidR="00BA521A" w:rsidRDefault="00BD675F">
            <w:pPr>
              <w:jc w:val="both"/>
              <w:rPr>
                <w:rFonts w:ascii="Arial" w:hAnsi="Arial" w:cs="Arial"/>
                <w:b/>
                <w:bCs/>
              </w:rPr>
            </w:pPr>
            <w:r>
              <w:rPr>
                <w:rFonts w:ascii="Arial" w:hAnsi="Arial" w:cs="Arial"/>
                <w:b/>
                <w:bCs/>
              </w:rPr>
              <w:t>2</w:t>
            </w:r>
          </w:p>
        </w:tc>
        <w:tc>
          <w:tcPr>
            <w:tcW w:w="990" w:type="dxa"/>
            <w:noWrap/>
            <w:vAlign w:val="bottom"/>
          </w:tcPr>
          <w:p w14:paraId="5148B58C" w14:textId="77777777" w:rsidR="00BA521A" w:rsidRDefault="00BD675F">
            <w:pPr>
              <w:jc w:val="both"/>
              <w:rPr>
                <w:rFonts w:ascii="Arial" w:hAnsi="Arial" w:cs="Arial"/>
              </w:rPr>
            </w:pPr>
            <w:r>
              <w:rPr>
                <w:rFonts w:ascii="Arial" w:hAnsi="Arial" w:cs="Arial"/>
              </w:rPr>
              <w:t>816</w:t>
            </w:r>
          </w:p>
        </w:tc>
        <w:tc>
          <w:tcPr>
            <w:tcW w:w="1080" w:type="dxa"/>
            <w:noWrap/>
            <w:vAlign w:val="bottom"/>
          </w:tcPr>
          <w:p w14:paraId="6D699EFD" w14:textId="77777777" w:rsidR="00BA521A" w:rsidRDefault="00BD675F">
            <w:pPr>
              <w:jc w:val="both"/>
              <w:rPr>
                <w:rFonts w:ascii="Arial" w:hAnsi="Arial" w:cs="Arial"/>
              </w:rPr>
            </w:pPr>
            <w:r>
              <w:rPr>
                <w:rFonts w:ascii="Arial" w:hAnsi="Arial" w:cs="Arial"/>
              </w:rPr>
              <w:t>2.244</w:t>
            </w:r>
          </w:p>
        </w:tc>
        <w:tc>
          <w:tcPr>
            <w:tcW w:w="1080" w:type="dxa"/>
            <w:noWrap/>
            <w:vAlign w:val="bottom"/>
          </w:tcPr>
          <w:p w14:paraId="080535AB" w14:textId="77777777" w:rsidR="00BA521A" w:rsidRDefault="00BD675F">
            <w:pPr>
              <w:jc w:val="both"/>
              <w:rPr>
                <w:rFonts w:ascii="Arial" w:hAnsi="Arial" w:cs="Arial"/>
              </w:rPr>
            </w:pPr>
            <w:r>
              <w:rPr>
                <w:rFonts w:ascii="Arial" w:hAnsi="Arial" w:cs="Arial"/>
              </w:rPr>
              <w:t>80.772</w:t>
            </w:r>
          </w:p>
        </w:tc>
        <w:tc>
          <w:tcPr>
            <w:tcW w:w="1080" w:type="dxa"/>
            <w:noWrap/>
            <w:vAlign w:val="bottom"/>
          </w:tcPr>
          <w:p w14:paraId="4AE88802" w14:textId="77777777" w:rsidR="00BA521A" w:rsidRDefault="00BD675F">
            <w:pPr>
              <w:jc w:val="both"/>
              <w:rPr>
                <w:rFonts w:ascii="Arial" w:hAnsi="Arial" w:cs="Arial"/>
              </w:rPr>
            </w:pPr>
            <w:r>
              <w:rPr>
                <w:rFonts w:ascii="Arial" w:hAnsi="Arial" w:cs="Arial"/>
              </w:rPr>
              <w:t>1.357</w:t>
            </w:r>
          </w:p>
        </w:tc>
        <w:tc>
          <w:tcPr>
            <w:tcW w:w="720" w:type="dxa"/>
            <w:noWrap/>
            <w:vAlign w:val="bottom"/>
          </w:tcPr>
          <w:p w14:paraId="55B698FB" w14:textId="77777777" w:rsidR="00BA521A" w:rsidRDefault="00BD675F">
            <w:pPr>
              <w:jc w:val="both"/>
              <w:rPr>
                <w:rFonts w:ascii="Arial" w:hAnsi="Arial" w:cs="Arial"/>
              </w:rPr>
            </w:pPr>
            <w:r>
              <w:rPr>
                <w:rFonts w:ascii="Arial" w:hAnsi="Arial" w:cs="Arial"/>
              </w:rPr>
              <w:t>3.365</w:t>
            </w:r>
          </w:p>
        </w:tc>
        <w:tc>
          <w:tcPr>
            <w:tcW w:w="720" w:type="dxa"/>
            <w:noWrap/>
            <w:vAlign w:val="bottom"/>
          </w:tcPr>
          <w:p w14:paraId="5917B05F" w14:textId="77777777" w:rsidR="00BA521A" w:rsidRDefault="00BD675F">
            <w:pPr>
              <w:jc w:val="both"/>
              <w:rPr>
                <w:rFonts w:ascii="Arial" w:hAnsi="Arial" w:cs="Arial"/>
              </w:rPr>
            </w:pPr>
            <w:r>
              <w:rPr>
                <w:rFonts w:ascii="Arial" w:hAnsi="Arial" w:cs="Arial"/>
              </w:rPr>
              <w:t>27.495</w:t>
            </w:r>
          </w:p>
        </w:tc>
        <w:tc>
          <w:tcPr>
            <w:tcW w:w="900" w:type="dxa"/>
            <w:noWrap/>
            <w:vAlign w:val="bottom"/>
          </w:tcPr>
          <w:p w14:paraId="7CD60885" w14:textId="77777777" w:rsidR="00BA521A" w:rsidRDefault="00BD675F">
            <w:pPr>
              <w:jc w:val="both"/>
              <w:rPr>
                <w:rFonts w:ascii="Arial" w:hAnsi="Arial" w:cs="Arial"/>
              </w:rPr>
            </w:pPr>
            <w:r>
              <w:rPr>
                <w:rFonts w:ascii="Arial" w:hAnsi="Arial" w:cs="Arial"/>
              </w:rPr>
              <w:t>30.860</w:t>
            </w:r>
          </w:p>
        </w:tc>
        <w:tc>
          <w:tcPr>
            <w:tcW w:w="1170" w:type="dxa"/>
            <w:noWrap/>
            <w:vAlign w:val="bottom"/>
          </w:tcPr>
          <w:p w14:paraId="3A11D89E" w14:textId="77777777" w:rsidR="00BA521A" w:rsidRDefault="00BD675F">
            <w:pPr>
              <w:jc w:val="center"/>
              <w:rPr>
                <w:rFonts w:ascii="Arial" w:hAnsi="Arial" w:cs="Arial"/>
              </w:rPr>
            </w:pPr>
            <w:r>
              <w:rPr>
                <w:rFonts w:ascii="Arial" w:hAnsi="Arial" w:cs="Arial"/>
              </w:rPr>
              <w:t>113.258</w:t>
            </w:r>
            <w:r>
              <w:rPr>
                <w:rFonts w:ascii="Arial" w:hAnsi="Arial" w:cs="Arial"/>
                <w:vertAlign w:val="superscript"/>
              </w:rPr>
              <w:t>b</w:t>
            </w:r>
          </w:p>
        </w:tc>
      </w:tr>
      <w:tr w:rsidR="00BA521A" w14:paraId="57E1E45E" w14:textId="77777777">
        <w:trPr>
          <w:trHeight w:val="516"/>
        </w:trPr>
        <w:tc>
          <w:tcPr>
            <w:tcW w:w="540" w:type="dxa"/>
            <w:noWrap/>
            <w:vAlign w:val="bottom"/>
          </w:tcPr>
          <w:p w14:paraId="4F27A11C" w14:textId="77777777" w:rsidR="00BA521A" w:rsidRDefault="00BD675F">
            <w:pPr>
              <w:jc w:val="both"/>
              <w:rPr>
                <w:rFonts w:ascii="Arial" w:hAnsi="Arial" w:cs="Arial"/>
                <w:b/>
                <w:bCs/>
              </w:rPr>
            </w:pPr>
            <w:r>
              <w:rPr>
                <w:rFonts w:ascii="Arial" w:hAnsi="Arial" w:cs="Arial"/>
                <w:b/>
                <w:bCs/>
              </w:rPr>
              <w:t>3</w:t>
            </w:r>
          </w:p>
        </w:tc>
        <w:tc>
          <w:tcPr>
            <w:tcW w:w="990" w:type="dxa"/>
            <w:noWrap/>
            <w:vAlign w:val="bottom"/>
          </w:tcPr>
          <w:p w14:paraId="3E5C83C4" w14:textId="77777777" w:rsidR="00BA521A" w:rsidRDefault="00BD675F">
            <w:pPr>
              <w:jc w:val="both"/>
              <w:rPr>
                <w:rFonts w:ascii="Arial" w:hAnsi="Arial" w:cs="Arial"/>
              </w:rPr>
            </w:pPr>
            <w:r>
              <w:rPr>
                <w:rFonts w:ascii="Arial" w:hAnsi="Arial" w:cs="Arial"/>
              </w:rPr>
              <w:t>493</w:t>
            </w:r>
          </w:p>
        </w:tc>
        <w:tc>
          <w:tcPr>
            <w:tcW w:w="1080" w:type="dxa"/>
            <w:noWrap/>
            <w:vAlign w:val="bottom"/>
          </w:tcPr>
          <w:p w14:paraId="7E37D2D0" w14:textId="77777777" w:rsidR="00BA521A" w:rsidRDefault="00BD675F">
            <w:pPr>
              <w:jc w:val="both"/>
              <w:rPr>
                <w:rFonts w:ascii="Arial" w:hAnsi="Arial" w:cs="Arial"/>
              </w:rPr>
            </w:pPr>
            <w:r>
              <w:rPr>
                <w:rFonts w:ascii="Arial" w:hAnsi="Arial" w:cs="Arial"/>
              </w:rPr>
              <w:t>2.781</w:t>
            </w:r>
          </w:p>
        </w:tc>
        <w:tc>
          <w:tcPr>
            <w:tcW w:w="1080" w:type="dxa"/>
            <w:noWrap/>
            <w:vAlign w:val="bottom"/>
          </w:tcPr>
          <w:p w14:paraId="3E9F62E2" w14:textId="77777777" w:rsidR="00BA521A" w:rsidRDefault="00BD675F">
            <w:pPr>
              <w:jc w:val="both"/>
              <w:rPr>
                <w:rFonts w:ascii="Arial" w:hAnsi="Arial" w:cs="Arial"/>
              </w:rPr>
            </w:pPr>
            <w:r>
              <w:rPr>
                <w:rFonts w:ascii="Arial" w:hAnsi="Arial" w:cs="Arial"/>
              </w:rPr>
              <w:t>100.098</w:t>
            </w:r>
          </w:p>
        </w:tc>
        <w:tc>
          <w:tcPr>
            <w:tcW w:w="1080" w:type="dxa"/>
            <w:noWrap/>
            <w:vAlign w:val="bottom"/>
          </w:tcPr>
          <w:p w14:paraId="03A1528B" w14:textId="77777777" w:rsidR="00BA521A" w:rsidRDefault="00BD675F">
            <w:pPr>
              <w:jc w:val="both"/>
              <w:rPr>
                <w:rFonts w:ascii="Arial" w:hAnsi="Arial" w:cs="Arial"/>
              </w:rPr>
            </w:pPr>
            <w:r>
              <w:rPr>
                <w:rFonts w:ascii="Arial" w:hAnsi="Arial" w:cs="Arial"/>
              </w:rPr>
              <w:t>1.682</w:t>
            </w:r>
          </w:p>
        </w:tc>
        <w:tc>
          <w:tcPr>
            <w:tcW w:w="720" w:type="dxa"/>
            <w:noWrap/>
            <w:vAlign w:val="bottom"/>
          </w:tcPr>
          <w:p w14:paraId="5EE85B30" w14:textId="77777777" w:rsidR="00BA521A" w:rsidRDefault="00BD675F">
            <w:pPr>
              <w:jc w:val="both"/>
              <w:rPr>
                <w:rFonts w:ascii="Arial" w:hAnsi="Arial" w:cs="Arial"/>
              </w:rPr>
            </w:pPr>
            <w:r>
              <w:rPr>
                <w:rFonts w:ascii="Arial" w:hAnsi="Arial" w:cs="Arial"/>
              </w:rPr>
              <w:t>4.171</w:t>
            </w:r>
          </w:p>
        </w:tc>
        <w:tc>
          <w:tcPr>
            <w:tcW w:w="720" w:type="dxa"/>
            <w:noWrap/>
            <w:vAlign w:val="bottom"/>
          </w:tcPr>
          <w:p w14:paraId="12FF1F3A" w14:textId="77777777" w:rsidR="00BA521A" w:rsidRDefault="00BD675F">
            <w:pPr>
              <w:jc w:val="both"/>
              <w:rPr>
                <w:rFonts w:ascii="Arial" w:hAnsi="Arial" w:cs="Arial"/>
              </w:rPr>
            </w:pPr>
            <w:r>
              <w:rPr>
                <w:rFonts w:ascii="Arial" w:hAnsi="Arial" w:cs="Arial"/>
              </w:rPr>
              <w:t>32.401</w:t>
            </w:r>
          </w:p>
        </w:tc>
        <w:tc>
          <w:tcPr>
            <w:tcW w:w="900" w:type="dxa"/>
            <w:noWrap/>
            <w:vAlign w:val="bottom"/>
          </w:tcPr>
          <w:p w14:paraId="605D9EED" w14:textId="77777777" w:rsidR="00BA521A" w:rsidRDefault="00BD675F">
            <w:pPr>
              <w:jc w:val="both"/>
              <w:rPr>
                <w:rFonts w:ascii="Arial" w:hAnsi="Arial" w:cs="Arial"/>
              </w:rPr>
            </w:pPr>
            <w:r>
              <w:rPr>
                <w:rFonts w:ascii="Arial" w:hAnsi="Arial" w:cs="Arial"/>
              </w:rPr>
              <w:t>36.571</w:t>
            </w:r>
          </w:p>
        </w:tc>
        <w:tc>
          <w:tcPr>
            <w:tcW w:w="1170" w:type="dxa"/>
            <w:noWrap/>
            <w:vAlign w:val="bottom"/>
          </w:tcPr>
          <w:p w14:paraId="02A6E668" w14:textId="77777777" w:rsidR="00BA521A" w:rsidRDefault="00BD675F">
            <w:pPr>
              <w:jc w:val="center"/>
              <w:rPr>
                <w:rFonts w:ascii="Arial" w:hAnsi="Arial" w:cs="Arial"/>
              </w:rPr>
            </w:pPr>
            <w:r>
              <w:rPr>
                <w:rFonts w:ascii="Arial" w:hAnsi="Arial" w:cs="Arial"/>
              </w:rPr>
              <w:t>134.215</w:t>
            </w:r>
            <w:r>
              <w:rPr>
                <w:rFonts w:ascii="Arial" w:hAnsi="Arial" w:cs="Arial"/>
                <w:b/>
                <w:bCs/>
                <w:vertAlign w:val="superscript"/>
              </w:rPr>
              <w:t>a</w:t>
            </w:r>
          </w:p>
        </w:tc>
      </w:tr>
      <w:tr w:rsidR="00BA521A" w14:paraId="4849A6EA" w14:textId="77777777">
        <w:trPr>
          <w:trHeight w:val="516"/>
        </w:trPr>
        <w:tc>
          <w:tcPr>
            <w:tcW w:w="540" w:type="dxa"/>
            <w:noWrap/>
            <w:vAlign w:val="bottom"/>
          </w:tcPr>
          <w:p w14:paraId="1002DA06" w14:textId="77777777" w:rsidR="00BA521A" w:rsidRDefault="00BD675F">
            <w:pPr>
              <w:jc w:val="both"/>
              <w:rPr>
                <w:rFonts w:ascii="Arial" w:hAnsi="Arial" w:cs="Arial"/>
                <w:b/>
                <w:bCs/>
              </w:rPr>
            </w:pPr>
            <w:r>
              <w:rPr>
                <w:rFonts w:ascii="Arial" w:hAnsi="Arial" w:cs="Arial"/>
                <w:b/>
                <w:bCs/>
              </w:rPr>
              <w:t>4</w:t>
            </w:r>
          </w:p>
        </w:tc>
        <w:tc>
          <w:tcPr>
            <w:tcW w:w="990" w:type="dxa"/>
            <w:noWrap/>
            <w:vAlign w:val="bottom"/>
          </w:tcPr>
          <w:p w14:paraId="5872C390" w14:textId="77777777" w:rsidR="00BA521A" w:rsidRDefault="00BD675F">
            <w:pPr>
              <w:jc w:val="both"/>
              <w:rPr>
                <w:rFonts w:ascii="Arial" w:hAnsi="Arial" w:cs="Arial"/>
              </w:rPr>
            </w:pPr>
            <w:r>
              <w:rPr>
                <w:rFonts w:ascii="Arial" w:hAnsi="Arial" w:cs="Arial"/>
              </w:rPr>
              <w:t>330</w:t>
            </w:r>
          </w:p>
        </w:tc>
        <w:tc>
          <w:tcPr>
            <w:tcW w:w="1080" w:type="dxa"/>
            <w:noWrap/>
            <w:vAlign w:val="bottom"/>
          </w:tcPr>
          <w:p w14:paraId="45C54BAC" w14:textId="77777777" w:rsidR="00BA521A" w:rsidRDefault="00BD675F">
            <w:pPr>
              <w:jc w:val="both"/>
              <w:rPr>
                <w:rFonts w:ascii="Arial" w:hAnsi="Arial" w:cs="Arial"/>
              </w:rPr>
            </w:pPr>
            <w:r>
              <w:rPr>
                <w:rFonts w:ascii="Arial" w:hAnsi="Arial" w:cs="Arial"/>
              </w:rPr>
              <w:t>1.324</w:t>
            </w:r>
          </w:p>
        </w:tc>
        <w:tc>
          <w:tcPr>
            <w:tcW w:w="1080" w:type="dxa"/>
            <w:noWrap/>
            <w:vAlign w:val="bottom"/>
          </w:tcPr>
          <w:p w14:paraId="3CF4CF97" w14:textId="77777777" w:rsidR="00BA521A" w:rsidRDefault="00BD675F">
            <w:pPr>
              <w:jc w:val="both"/>
              <w:rPr>
                <w:rFonts w:ascii="Arial" w:hAnsi="Arial" w:cs="Arial"/>
              </w:rPr>
            </w:pPr>
            <w:r>
              <w:rPr>
                <w:rFonts w:ascii="Arial" w:hAnsi="Arial" w:cs="Arial"/>
              </w:rPr>
              <w:t>47.664</w:t>
            </w:r>
          </w:p>
        </w:tc>
        <w:tc>
          <w:tcPr>
            <w:tcW w:w="1080" w:type="dxa"/>
            <w:noWrap/>
            <w:vAlign w:val="bottom"/>
          </w:tcPr>
          <w:p w14:paraId="16CC9FFC" w14:textId="77777777" w:rsidR="00BA521A" w:rsidRDefault="00BD675F">
            <w:pPr>
              <w:jc w:val="both"/>
              <w:rPr>
                <w:rFonts w:ascii="Arial" w:hAnsi="Arial" w:cs="Arial"/>
              </w:rPr>
            </w:pPr>
            <w:r>
              <w:rPr>
                <w:rFonts w:ascii="Arial" w:hAnsi="Arial" w:cs="Arial"/>
              </w:rPr>
              <w:t>0.801</w:t>
            </w:r>
          </w:p>
        </w:tc>
        <w:tc>
          <w:tcPr>
            <w:tcW w:w="720" w:type="dxa"/>
            <w:noWrap/>
            <w:vAlign w:val="bottom"/>
          </w:tcPr>
          <w:p w14:paraId="43224F01" w14:textId="77777777" w:rsidR="00BA521A" w:rsidRDefault="00BD675F">
            <w:pPr>
              <w:jc w:val="both"/>
              <w:rPr>
                <w:rFonts w:ascii="Arial" w:hAnsi="Arial" w:cs="Arial"/>
              </w:rPr>
            </w:pPr>
            <w:r>
              <w:rPr>
                <w:rFonts w:ascii="Arial" w:hAnsi="Arial" w:cs="Arial"/>
              </w:rPr>
              <w:t>1.986</w:t>
            </w:r>
          </w:p>
        </w:tc>
        <w:tc>
          <w:tcPr>
            <w:tcW w:w="720" w:type="dxa"/>
            <w:noWrap/>
            <w:vAlign w:val="bottom"/>
          </w:tcPr>
          <w:p w14:paraId="163DA5A5" w14:textId="77777777" w:rsidR="00BA521A" w:rsidRDefault="00BD675F">
            <w:pPr>
              <w:jc w:val="both"/>
              <w:rPr>
                <w:rFonts w:ascii="Arial" w:hAnsi="Arial" w:cs="Arial"/>
              </w:rPr>
            </w:pPr>
            <w:r>
              <w:rPr>
                <w:rFonts w:ascii="Arial" w:hAnsi="Arial" w:cs="Arial"/>
              </w:rPr>
              <w:t>32.319</w:t>
            </w:r>
          </w:p>
        </w:tc>
        <w:tc>
          <w:tcPr>
            <w:tcW w:w="900" w:type="dxa"/>
            <w:noWrap/>
            <w:vAlign w:val="bottom"/>
          </w:tcPr>
          <w:p w14:paraId="56085AF8" w14:textId="77777777" w:rsidR="00BA521A" w:rsidRDefault="00BD675F">
            <w:pPr>
              <w:jc w:val="both"/>
              <w:rPr>
                <w:rFonts w:ascii="Arial" w:hAnsi="Arial" w:cs="Arial"/>
              </w:rPr>
            </w:pPr>
            <w:r>
              <w:rPr>
                <w:rFonts w:ascii="Arial" w:hAnsi="Arial" w:cs="Arial"/>
              </w:rPr>
              <w:t>34.305</w:t>
            </w:r>
          </w:p>
        </w:tc>
        <w:tc>
          <w:tcPr>
            <w:tcW w:w="1170" w:type="dxa"/>
            <w:noWrap/>
            <w:vAlign w:val="bottom"/>
          </w:tcPr>
          <w:p w14:paraId="1996C67F" w14:textId="77777777" w:rsidR="00BA521A" w:rsidRDefault="00BD675F">
            <w:pPr>
              <w:jc w:val="center"/>
              <w:rPr>
                <w:rFonts w:ascii="Arial" w:hAnsi="Arial" w:cs="Arial"/>
              </w:rPr>
            </w:pPr>
            <w:r>
              <w:rPr>
                <w:rFonts w:ascii="Arial" w:hAnsi="Arial" w:cs="Arial"/>
              </w:rPr>
              <w:t>125.899</w:t>
            </w:r>
            <w:r>
              <w:rPr>
                <w:rFonts w:ascii="Arial" w:hAnsi="Arial" w:cs="Arial"/>
                <w:b/>
                <w:bCs/>
                <w:vertAlign w:val="superscript"/>
              </w:rPr>
              <w:t>a</w:t>
            </w:r>
          </w:p>
        </w:tc>
      </w:tr>
      <w:tr w:rsidR="00BA521A" w14:paraId="25F76E22" w14:textId="77777777">
        <w:trPr>
          <w:trHeight w:val="516"/>
        </w:trPr>
        <w:tc>
          <w:tcPr>
            <w:tcW w:w="540" w:type="dxa"/>
            <w:noWrap/>
            <w:vAlign w:val="bottom"/>
          </w:tcPr>
          <w:p w14:paraId="4C95425D" w14:textId="77777777" w:rsidR="00BA521A" w:rsidRDefault="00BD675F">
            <w:pPr>
              <w:jc w:val="both"/>
              <w:rPr>
                <w:rFonts w:ascii="Arial" w:hAnsi="Arial" w:cs="Arial"/>
                <w:b/>
                <w:bCs/>
              </w:rPr>
            </w:pPr>
            <w:r>
              <w:rPr>
                <w:rFonts w:ascii="Arial" w:hAnsi="Arial" w:cs="Arial"/>
                <w:b/>
                <w:bCs/>
              </w:rPr>
              <w:t>5</w:t>
            </w:r>
          </w:p>
        </w:tc>
        <w:tc>
          <w:tcPr>
            <w:tcW w:w="990" w:type="dxa"/>
            <w:noWrap/>
            <w:vAlign w:val="bottom"/>
          </w:tcPr>
          <w:p w14:paraId="151FBE15" w14:textId="77777777" w:rsidR="00BA521A" w:rsidRDefault="00BD675F">
            <w:pPr>
              <w:jc w:val="both"/>
              <w:rPr>
                <w:rFonts w:ascii="Arial" w:hAnsi="Arial" w:cs="Arial"/>
              </w:rPr>
            </w:pPr>
            <w:r>
              <w:rPr>
                <w:rFonts w:ascii="Arial" w:hAnsi="Arial" w:cs="Arial"/>
              </w:rPr>
              <w:t>277</w:t>
            </w:r>
          </w:p>
        </w:tc>
        <w:tc>
          <w:tcPr>
            <w:tcW w:w="1080" w:type="dxa"/>
            <w:noWrap/>
            <w:vAlign w:val="bottom"/>
          </w:tcPr>
          <w:p w14:paraId="7DCBEC5D" w14:textId="77777777" w:rsidR="00BA521A" w:rsidRDefault="00BD675F">
            <w:pPr>
              <w:jc w:val="both"/>
              <w:rPr>
                <w:rFonts w:ascii="Arial" w:hAnsi="Arial" w:cs="Arial"/>
              </w:rPr>
            </w:pPr>
            <w:r>
              <w:rPr>
                <w:rFonts w:ascii="Arial" w:hAnsi="Arial" w:cs="Arial"/>
              </w:rPr>
              <w:t>0.884</w:t>
            </w:r>
          </w:p>
        </w:tc>
        <w:tc>
          <w:tcPr>
            <w:tcW w:w="1080" w:type="dxa"/>
            <w:noWrap/>
            <w:vAlign w:val="bottom"/>
          </w:tcPr>
          <w:p w14:paraId="1337A998" w14:textId="77777777" w:rsidR="00BA521A" w:rsidRDefault="00BD675F">
            <w:pPr>
              <w:jc w:val="both"/>
              <w:rPr>
                <w:rFonts w:ascii="Arial" w:hAnsi="Arial" w:cs="Arial"/>
              </w:rPr>
            </w:pPr>
            <w:r>
              <w:rPr>
                <w:rFonts w:ascii="Arial" w:hAnsi="Arial" w:cs="Arial"/>
              </w:rPr>
              <w:t>31.835</w:t>
            </w:r>
          </w:p>
        </w:tc>
        <w:tc>
          <w:tcPr>
            <w:tcW w:w="1080" w:type="dxa"/>
            <w:noWrap/>
            <w:vAlign w:val="bottom"/>
          </w:tcPr>
          <w:p w14:paraId="5971DECB" w14:textId="77777777" w:rsidR="00BA521A" w:rsidRDefault="00BD675F">
            <w:pPr>
              <w:jc w:val="both"/>
              <w:rPr>
                <w:rFonts w:ascii="Arial" w:hAnsi="Arial" w:cs="Arial"/>
              </w:rPr>
            </w:pPr>
            <w:r>
              <w:rPr>
                <w:rFonts w:ascii="Arial" w:hAnsi="Arial" w:cs="Arial"/>
              </w:rPr>
              <w:t>0.535</w:t>
            </w:r>
          </w:p>
        </w:tc>
        <w:tc>
          <w:tcPr>
            <w:tcW w:w="720" w:type="dxa"/>
            <w:noWrap/>
            <w:vAlign w:val="bottom"/>
          </w:tcPr>
          <w:p w14:paraId="007D02E4" w14:textId="77777777" w:rsidR="00BA521A" w:rsidRDefault="00BD675F">
            <w:pPr>
              <w:jc w:val="both"/>
              <w:rPr>
                <w:rFonts w:ascii="Arial" w:hAnsi="Arial" w:cs="Arial"/>
              </w:rPr>
            </w:pPr>
            <w:r>
              <w:rPr>
                <w:rFonts w:ascii="Arial" w:hAnsi="Arial" w:cs="Arial"/>
              </w:rPr>
              <w:t>1.326</w:t>
            </w:r>
          </w:p>
        </w:tc>
        <w:tc>
          <w:tcPr>
            <w:tcW w:w="720" w:type="dxa"/>
            <w:noWrap/>
            <w:vAlign w:val="bottom"/>
          </w:tcPr>
          <w:p w14:paraId="56E4A2F1" w14:textId="77777777" w:rsidR="00BA521A" w:rsidRDefault="00BD675F">
            <w:pPr>
              <w:jc w:val="both"/>
              <w:rPr>
                <w:rFonts w:ascii="Arial" w:hAnsi="Arial" w:cs="Arial"/>
              </w:rPr>
            </w:pPr>
            <w:r>
              <w:rPr>
                <w:rFonts w:ascii="Arial" w:hAnsi="Arial" w:cs="Arial"/>
              </w:rPr>
              <w:t>30.099</w:t>
            </w:r>
          </w:p>
        </w:tc>
        <w:tc>
          <w:tcPr>
            <w:tcW w:w="900" w:type="dxa"/>
            <w:noWrap/>
            <w:vAlign w:val="bottom"/>
          </w:tcPr>
          <w:p w14:paraId="1C4BE7A6" w14:textId="77777777" w:rsidR="00BA521A" w:rsidRDefault="00BD675F">
            <w:pPr>
              <w:jc w:val="both"/>
              <w:rPr>
                <w:rFonts w:ascii="Arial" w:hAnsi="Arial" w:cs="Arial"/>
              </w:rPr>
            </w:pPr>
            <w:r>
              <w:rPr>
                <w:rFonts w:ascii="Arial" w:hAnsi="Arial" w:cs="Arial"/>
              </w:rPr>
              <w:t>31.425</w:t>
            </w:r>
          </w:p>
        </w:tc>
        <w:tc>
          <w:tcPr>
            <w:tcW w:w="1170" w:type="dxa"/>
            <w:noWrap/>
            <w:vAlign w:val="bottom"/>
          </w:tcPr>
          <w:p w14:paraId="2702800E" w14:textId="77777777" w:rsidR="00BA521A" w:rsidRDefault="00BD675F">
            <w:pPr>
              <w:jc w:val="center"/>
              <w:rPr>
                <w:rFonts w:ascii="Arial" w:hAnsi="Arial" w:cs="Arial"/>
              </w:rPr>
            </w:pPr>
            <w:r>
              <w:rPr>
                <w:rFonts w:ascii="Arial" w:hAnsi="Arial" w:cs="Arial"/>
              </w:rPr>
              <w:t>115.331</w:t>
            </w:r>
            <w:r>
              <w:rPr>
                <w:rFonts w:ascii="Arial" w:hAnsi="Arial" w:cs="Arial"/>
                <w:vertAlign w:val="superscript"/>
              </w:rPr>
              <w:t>b</w:t>
            </w:r>
          </w:p>
        </w:tc>
      </w:tr>
      <w:tr w:rsidR="00BA521A" w14:paraId="680E9540" w14:textId="77777777">
        <w:trPr>
          <w:trHeight w:val="516"/>
        </w:trPr>
        <w:tc>
          <w:tcPr>
            <w:tcW w:w="7110" w:type="dxa"/>
            <w:gridSpan w:val="8"/>
            <w:noWrap/>
            <w:vAlign w:val="bottom"/>
          </w:tcPr>
          <w:p w14:paraId="2048C80C" w14:textId="77777777" w:rsidR="00BA521A" w:rsidRDefault="00BD675F">
            <w:pPr>
              <w:jc w:val="right"/>
              <w:rPr>
                <w:rFonts w:ascii="Arial" w:hAnsi="Arial" w:cs="Arial"/>
                <w:b/>
                <w:bCs/>
              </w:rPr>
            </w:pPr>
            <w:r>
              <w:rPr>
                <w:rFonts w:ascii="Arial" w:hAnsi="Arial" w:cs="Arial"/>
                <w:b/>
                <w:bCs/>
              </w:rPr>
              <w:t>SE (d)±</w:t>
            </w:r>
          </w:p>
        </w:tc>
        <w:tc>
          <w:tcPr>
            <w:tcW w:w="1170" w:type="dxa"/>
            <w:noWrap/>
            <w:vAlign w:val="bottom"/>
          </w:tcPr>
          <w:p w14:paraId="232F48F5" w14:textId="77777777" w:rsidR="00BA521A" w:rsidRDefault="00BD675F">
            <w:pPr>
              <w:jc w:val="center"/>
              <w:rPr>
                <w:rFonts w:ascii="Arial" w:hAnsi="Arial" w:cs="Arial"/>
                <w:b/>
                <w:bCs/>
              </w:rPr>
            </w:pPr>
            <w:r>
              <w:rPr>
                <w:rFonts w:ascii="Arial" w:hAnsi="Arial" w:cs="Arial"/>
                <w:b/>
                <w:bCs/>
              </w:rPr>
              <w:t>4.041</w:t>
            </w:r>
          </w:p>
        </w:tc>
      </w:tr>
      <w:tr w:rsidR="00BA521A" w14:paraId="3A4EC781" w14:textId="77777777">
        <w:trPr>
          <w:trHeight w:val="516"/>
        </w:trPr>
        <w:tc>
          <w:tcPr>
            <w:tcW w:w="7110" w:type="dxa"/>
            <w:gridSpan w:val="8"/>
            <w:noWrap/>
            <w:vAlign w:val="bottom"/>
          </w:tcPr>
          <w:p w14:paraId="1280A593" w14:textId="77777777" w:rsidR="00BA521A" w:rsidRDefault="00BD675F">
            <w:pPr>
              <w:jc w:val="right"/>
              <w:rPr>
                <w:rFonts w:ascii="Arial" w:hAnsi="Arial" w:cs="Arial"/>
                <w:b/>
                <w:bCs/>
              </w:rPr>
            </w:pPr>
            <w:r>
              <w:rPr>
                <w:rFonts w:ascii="Arial" w:hAnsi="Arial" w:cs="Arial"/>
                <w:b/>
                <w:bCs/>
              </w:rPr>
              <w:t>SE (m)±</w:t>
            </w:r>
          </w:p>
        </w:tc>
        <w:tc>
          <w:tcPr>
            <w:tcW w:w="1170" w:type="dxa"/>
            <w:noWrap/>
            <w:vAlign w:val="bottom"/>
          </w:tcPr>
          <w:p w14:paraId="6C5CAC66" w14:textId="77777777" w:rsidR="00BA521A" w:rsidRDefault="00BD675F">
            <w:pPr>
              <w:jc w:val="center"/>
              <w:rPr>
                <w:rFonts w:ascii="Arial" w:hAnsi="Arial" w:cs="Arial"/>
                <w:b/>
                <w:bCs/>
              </w:rPr>
            </w:pPr>
            <w:r>
              <w:rPr>
                <w:rFonts w:ascii="Arial" w:hAnsi="Arial" w:cs="Arial"/>
                <w:b/>
                <w:bCs/>
              </w:rPr>
              <w:t>2.858</w:t>
            </w:r>
          </w:p>
        </w:tc>
      </w:tr>
      <w:tr w:rsidR="00BA521A" w14:paraId="027075DE" w14:textId="77777777">
        <w:trPr>
          <w:trHeight w:val="516"/>
        </w:trPr>
        <w:tc>
          <w:tcPr>
            <w:tcW w:w="7110" w:type="dxa"/>
            <w:gridSpan w:val="8"/>
            <w:noWrap/>
            <w:vAlign w:val="bottom"/>
          </w:tcPr>
          <w:p w14:paraId="7B4882D7" w14:textId="77777777" w:rsidR="00BA521A" w:rsidRDefault="00BD675F">
            <w:pPr>
              <w:jc w:val="right"/>
              <w:rPr>
                <w:rFonts w:ascii="Arial" w:hAnsi="Arial" w:cs="Arial"/>
                <w:b/>
                <w:bCs/>
              </w:rPr>
            </w:pPr>
            <w:r>
              <w:rPr>
                <w:rFonts w:ascii="Arial" w:hAnsi="Arial" w:cs="Arial"/>
                <w:b/>
                <w:bCs/>
              </w:rPr>
              <w:t>CD (0.05)</w:t>
            </w:r>
          </w:p>
        </w:tc>
        <w:tc>
          <w:tcPr>
            <w:tcW w:w="1170" w:type="dxa"/>
            <w:noWrap/>
            <w:vAlign w:val="bottom"/>
          </w:tcPr>
          <w:p w14:paraId="27D07049" w14:textId="77777777" w:rsidR="00BA521A" w:rsidRDefault="00BD675F">
            <w:pPr>
              <w:jc w:val="center"/>
              <w:rPr>
                <w:rFonts w:ascii="Arial" w:hAnsi="Arial" w:cs="Arial"/>
                <w:b/>
                <w:bCs/>
              </w:rPr>
            </w:pPr>
            <w:r>
              <w:rPr>
                <w:rFonts w:ascii="Arial" w:hAnsi="Arial" w:cs="Arial"/>
                <w:b/>
                <w:bCs/>
              </w:rPr>
              <w:t>9.464</w:t>
            </w:r>
          </w:p>
        </w:tc>
      </w:tr>
    </w:tbl>
    <w:p w14:paraId="535036C3" w14:textId="77777777" w:rsidR="00BA521A" w:rsidRDefault="00BA521A">
      <w:pPr>
        <w:spacing w:line="276" w:lineRule="auto"/>
        <w:ind w:firstLine="720"/>
        <w:jc w:val="both"/>
        <w:rPr>
          <w:rFonts w:ascii="Arial" w:hAnsi="Arial" w:cs="Arial"/>
          <w:color w:val="000000" w:themeColor="text1"/>
        </w:rPr>
      </w:pPr>
    </w:p>
    <w:p w14:paraId="56B7896C" w14:textId="77777777" w:rsidR="00BA521A" w:rsidRDefault="00BA521A">
      <w:pPr>
        <w:spacing w:line="276" w:lineRule="auto"/>
        <w:ind w:firstLine="720"/>
        <w:jc w:val="both"/>
        <w:rPr>
          <w:rFonts w:ascii="Arial" w:hAnsi="Arial" w:cs="Arial"/>
          <w:color w:val="000000" w:themeColor="text1"/>
        </w:rPr>
      </w:pPr>
    </w:p>
    <w:p w14:paraId="6B1F028F" w14:textId="77777777" w:rsidR="00BA521A" w:rsidRDefault="00BA521A">
      <w:pPr>
        <w:spacing w:line="276" w:lineRule="auto"/>
        <w:ind w:firstLine="720"/>
        <w:jc w:val="both"/>
        <w:rPr>
          <w:rFonts w:ascii="Arial" w:hAnsi="Arial" w:cs="Arial"/>
          <w:color w:val="000000" w:themeColor="text1"/>
        </w:rPr>
      </w:pPr>
    </w:p>
    <w:p w14:paraId="6F3A33C7" w14:textId="77777777" w:rsidR="007205F7" w:rsidRDefault="007205F7">
      <w:pPr>
        <w:spacing w:line="276" w:lineRule="auto"/>
        <w:ind w:firstLine="720"/>
        <w:jc w:val="both"/>
        <w:rPr>
          <w:rFonts w:ascii="Arial" w:hAnsi="Arial" w:cs="Arial"/>
          <w:color w:val="000000" w:themeColor="text1"/>
        </w:rPr>
      </w:pPr>
    </w:p>
    <w:p w14:paraId="1A518AA2" w14:textId="77777777" w:rsidR="007205F7" w:rsidRDefault="007205F7">
      <w:pPr>
        <w:spacing w:line="276" w:lineRule="auto"/>
        <w:ind w:firstLine="720"/>
        <w:jc w:val="both"/>
        <w:rPr>
          <w:rFonts w:ascii="Arial" w:hAnsi="Arial" w:cs="Arial"/>
          <w:color w:val="000000" w:themeColor="text1"/>
        </w:rPr>
      </w:pPr>
    </w:p>
    <w:p w14:paraId="4E754C2A" w14:textId="77777777" w:rsidR="007205F7" w:rsidRDefault="007205F7">
      <w:pPr>
        <w:spacing w:line="276" w:lineRule="auto"/>
        <w:ind w:firstLine="720"/>
        <w:jc w:val="both"/>
        <w:rPr>
          <w:rFonts w:ascii="Arial" w:hAnsi="Arial" w:cs="Arial"/>
          <w:color w:val="000000" w:themeColor="text1"/>
        </w:rPr>
      </w:pPr>
    </w:p>
    <w:p w14:paraId="385B23E3" w14:textId="77777777" w:rsidR="007205F7" w:rsidRDefault="007205F7">
      <w:pPr>
        <w:spacing w:line="276" w:lineRule="auto"/>
        <w:ind w:firstLine="720"/>
        <w:jc w:val="both"/>
        <w:rPr>
          <w:rFonts w:ascii="Arial" w:hAnsi="Arial" w:cs="Arial"/>
          <w:color w:val="000000" w:themeColor="text1"/>
        </w:rPr>
      </w:pPr>
    </w:p>
    <w:p w14:paraId="1B9FFCAF" w14:textId="77777777" w:rsidR="007205F7" w:rsidRDefault="007205F7">
      <w:pPr>
        <w:spacing w:line="276" w:lineRule="auto"/>
        <w:ind w:firstLine="720"/>
        <w:jc w:val="both"/>
        <w:rPr>
          <w:rFonts w:ascii="Arial" w:hAnsi="Arial" w:cs="Arial"/>
          <w:color w:val="000000" w:themeColor="text1"/>
        </w:rPr>
      </w:pPr>
    </w:p>
    <w:p w14:paraId="5AD7FA6E" w14:textId="77777777" w:rsidR="007205F7" w:rsidRDefault="007205F7">
      <w:pPr>
        <w:spacing w:line="276" w:lineRule="auto"/>
        <w:ind w:firstLine="720"/>
        <w:jc w:val="both"/>
        <w:rPr>
          <w:rFonts w:ascii="Arial" w:hAnsi="Arial" w:cs="Arial"/>
          <w:color w:val="000000" w:themeColor="text1"/>
        </w:rPr>
      </w:pPr>
    </w:p>
    <w:p w14:paraId="5CCD6456" w14:textId="77777777" w:rsidR="007205F7" w:rsidRDefault="007205F7">
      <w:pPr>
        <w:spacing w:line="276" w:lineRule="auto"/>
        <w:ind w:firstLine="720"/>
        <w:jc w:val="both"/>
        <w:rPr>
          <w:rFonts w:ascii="Arial" w:hAnsi="Arial" w:cs="Arial"/>
          <w:color w:val="000000" w:themeColor="text1"/>
        </w:rPr>
      </w:pPr>
    </w:p>
    <w:p w14:paraId="4A1C4CF0" w14:textId="77777777" w:rsidR="007205F7" w:rsidRDefault="007205F7">
      <w:pPr>
        <w:spacing w:line="276" w:lineRule="auto"/>
        <w:ind w:firstLine="720"/>
        <w:jc w:val="both"/>
        <w:rPr>
          <w:rFonts w:ascii="Arial" w:hAnsi="Arial" w:cs="Arial"/>
          <w:color w:val="000000" w:themeColor="text1"/>
        </w:rPr>
      </w:pPr>
    </w:p>
    <w:p w14:paraId="1F3434E3" w14:textId="77777777" w:rsidR="007205F7" w:rsidRDefault="007205F7">
      <w:pPr>
        <w:spacing w:line="276" w:lineRule="auto"/>
        <w:ind w:firstLine="720"/>
        <w:jc w:val="both"/>
        <w:rPr>
          <w:rFonts w:ascii="Arial" w:hAnsi="Arial" w:cs="Arial"/>
          <w:color w:val="000000" w:themeColor="text1"/>
        </w:rPr>
      </w:pPr>
    </w:p>
    <w:p w14:paraId="4635B296" w14:textId="77777777" w:rsidR="00BA521A" w:rsidRDefault="00BA521A">
      <w:pPr>
        <w:spacing w:line="276" w:lineRule="auto"/>
        <w:ind w:firstLine="720"/>
        <w:jc w:val="both"/>
        <w:rPr>
          <w:rFonts w:ascii="Arial" w:hAnsi="Arial" w:cs="Arial"/>
          <w:color w:val="000000" w:themeColor="text1"/>
        </w:rPr>
      </w:pPr>
    </w:p>
    <w:p w14:paraId="2098D059" w14:textId="77777777" w:rsidR="00BA521A" w:rsidRDefault="00BA521A">
      <w:pPr>
        <w:spacing w:line="276" w:lineRule="auto"/>
        <w:ind w:firstLine="720"/>
        <w:jc w:val="both"/>
        <w:rPr>
          <w:rFonts w:ascii="Arial" w:hAnsi="Arial" w:cs="Arial"/>
          <w:color w:val="000000" w:themeColor="text1"/>
        </w:rPr>
      </w:pPr>
    </w:p>
    <w:p w14:paraId="1EB93107" w14:textId="77777777" w:rsidR="00BA521A" w:rsidRDefault="00BA521A">
      <w:pPr>
        <w:spacing w:line="276" w:lineRule="auto"/>
        <w:ind w:firstLine="720"/>
        <w:jc w:val="both"/>
        <w:rPr>
          <w:rFonts w:ascii="Arial" w:hAnsi="Arial" w:cs="Arial"/>
          <w:color w:val="000000" w:themeColor="text1"/>
        </w:rPr>
      </w:pPr>
    </w:p>
    <w:p w14:paraId="23F26314" w14:textId="77777777" w:rsidR="00BA521A" w:rsidRDefault="00BD675F">
      <w:pPr>
        <w:pStyle w:val="Body"/>
        <w:spacing w:after="0"/>
        <w:rPr>
          <w:rFonts w:ascii="Arial" w:hAnsi="Arial" w:cs="Arial"/>
        </w:rPr>
      </w:pPr>
      <w:r>
        <w:rPr>
          <w:noProof/>
        </w:rPr>
        <w:drawing>
          <wp:anchor distT="0" distB="0" distL="114300" distR="114300" simplePos="0" relativeHeight="251658240" behindDoc="0" locked="0" layoutInCell="1" allowOverlap="1" wp14:anchorId="2B4B0E4F" wp14:editId="7970C230">
            <wp:simplePos x="0" y="0"/>
            <wp:positionH relativeFrom="column">
              <wp:posOffset>0</wp:posOffset>
            </wp:positionH>
            <wp:positionV relativeFrom="paragraph">
              <wp:posOffset>0</wp:posOffset>
            </wp:positionV>
            <wp:extent cx="5981700" cy="3628390"/>
            <wp:effectExtent l="0" t="0" r="0" b="0"/>
            <wp:wrapNone/>
            <wp:docPr id="5884459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4CFB19C" w14:textId="77777777" w:rsidR="00BA521A" w:rsidRDefault="00BA521A">
      <w:pPr>
        <w:pStyle w:val="Body"/>
        <w:spacing w:after="0"/>
        <w:rPr>
          <w:rFonts w:ascii="Arial" w:hAnsi="Arial" w:cs="Arial"/>
        </w:rPr>
      </w:pPr>
    </w:p>
    <w:p w14:paraId="4EDD821E" w14:textId="77777777" w:rsidR="00BA521A" w:rsidRDefault="00BA521A">
      <w:pPr>
        <w:autoSpaceDE w:val="0"/>
        <w:autoSpaceDN w:val="0"/>
        <w:adjustRightInd w:val="0"/>
        <w:jc w:val="both"/>
        <w:rPr>
          <w:rFonts w:ascii="Arial" w:hAnsi="Arial" w:cs="Arial"/>
          <w:b/>
          <w:bCs/>
          <w:sz w:val="22"/>
          <w:szCs w:val="22"/>
        </w:rPr>
      </w:pPr>
    </w:p>
    <w:p w14:paraId="22D58793" w14:textId="77777777" w:rsidR="00BA521A" w:rsidRDefault="00BA521A">
      <w:pPr>
        <w:autoSpaceDE w:val="0"/>
        <w:autoSpaceDN w:val="0"/>
        <w:adjustRightInd w:val="0"/>
        <w:jc w:val="both"/>
        <w:rPr>
          <w:rFonts w:ascii="Arial" w:hAnsi="Arial" w:cs="Arial"/>
          <w:b/>
          <w:bCs/>
          <w:szCs w:val="22"/>
        </w:rPr>
      </w:pPr>
    </w:p>
    <w:p w14:paraId="47646C17" w14:textId="77777777" w:rsidR="00BA521A" w:rsidRDefault="00BA521A">
      <w:pPr>
        <w:autoSpaceDE w:val="0"/>
        <w:autoSpaceDN w:val="0"/>
        <w:adjustRightInd w:val="0"/>
        <w:jc w:val="both"/>
        <w:rPr>
          <w:rFonts w:ascii="Arial" w:hAnsi="Arial" w:cs="Arial"/>
          <w:b/>
          <w:bCs/>
          <w:szCs w:val="22"/>
        </w:rPr>
      </w:pPr>
    </w:p>
    <w:p w14:paraId="59BA5097" w14:textId="77777777" w:rsidR="00BA521A" w:rsidRDefault="00BA521A">
      <w:pPr>
        <w:autoSpaceDE w:val="0"/>
        <w:autoSpaceDN w:val="0"/>
        <w:adjustRightInd w:val="0"/>
        <w:jc w:val="both"/>
        <w:rPr>
          <w:rFonts w:ascii="Arial" w:hAnsi="Arial" w:cs="Arial"/>
          <w:b/>
          <w:bCs/>
          <w:szCs w:val="22"/>
        </w:rPr>
      </w:pPr>
    </w:p>
    <w:p w14:paraId="7B53EB85" w14:textId="77777777" w:rsidR="00BA521A" w:rsidRDefault="00BA521A">
      <w:pPr>
        <w:autoSpaceDE w:val="0"/>
        <w:autoSpaceDN w:val="0"/>
        <w:adjustRightInd w:val="0"/>
        <w:jc w:val="both"/>
        <w:rPr>
          <w:rFonts w:ascii="Arial" w:hAnsi="Arial" w:cs="Arial"/>
          <w:b/>
          <w:bCs/>
          <w:szCs w:val="22"/>
        </w:rPr>
      </w:pPr>
    </w:p>
    <w:p w14:paraId="481E64A9" w14:textId="77777777" w:rsidR="00BA521A" w:rsidRDefault="00BA521A">
      <w:pPr>
        <w:autoSpaceDE w:val="0"/>
        <w:autoSpaceDN w:val="0"/>
        <w:adjustRightInd w:val="0"/>
        <w:jc w:val="both"/>
        <w:rPr>
          <w:rFonts w:ascii="Arial" w:hAnsi="Arial" w:cs="Arial"/>
          <w:b/>
          <w:bCs/>
          <w:szCs w:val="22"/>
        </w:rPr>
      </w:pPr>
    </w:p>
    <w:p w14:paraId="4B32E259" w14:textId="77777777" w:rsidR="00BA521A" w:rsidRDefault="00BA521A">
      <w:pPr>
        <w:autoSpaceDE w:val="0"/>
        <w:autoSpaceDN w:val="0"/>
        <w:adjustRightInd w:val="0"/>
        <w:jc w:val="both"/>
        <w:rPr>
          <w:rFonts w:ascii="Arial" w:hAnsi="Arial" w:cs="Arial"/>
          <w:b/>
          <w:bCs/>
          <w:szCs w:val="22"/>
        </w:rPr>
      </w:pPr>
    </w:p>
    <w:p w14:paraId="1C5F3955" w14:textId="77777777" w:rsidR="00BA521A" w:rsidRDefault="00BA521A">
      <w:pPr>
        <w:autoSpaceDE w:val="0"/>
        <w:autoSpaceDN w:val="0"/>
        <w:adjustRightInd w:val="0"/>
        <w:jc w:val="both"/>
        <w:rPr>
          <w:rFonts w:ascii="Arial" w:hAnsi="Arial" w:cs="Arial"/>
          <w:b/>
          <w:bCs/>
          <w:szCs w:val="22"/>
        </w:rPr>
      </w:pPr>
    </w:p>
    <w:p w14:paraId="1559ACF7" w14:textId="77777777" w:rsidR="00BA521A" w:rsidRDefault="00BA521A">
      <w:pPr>
        <w:autoSpaceDE w:val="0"/>
        <w:autoSpaceDN w:val="0"/>
        <w:adjustRightInd w:val="0"/>
        <w:jc w:val="both"/>
        <w:rPr>
          <w:rFonts w:ascii="Arial" w:hAnsi="Arial" w:cs="Arial"/>
          <w:b/>
          <w:bCs/>
          <w:szCs w:val="22"/>
        </w:rPr>
      </w:pPr>
    </w:p>
    <w:p w14:paraId="25132F40" w14:textId="77777777" w:rsidR="00BA521A" w:rsidRDefault="00BA521A">
      <w:pPr>
        <w:autoSpaceDE w:val="0"/>
        <w:autoSpaceDN w:val="0"/>
        <w:adjustRightInd w:val="0"/>
        <w:jc w:val="both"/>
        <w:rPr>
          <w:rFonts w:ascii="Arial" w:hAnsi="Arial" w:cs="Arial"/>
          <w:b/>
          <w:bCs/>
          <w:szCs w:val="22"/>
        </w:rPr>
      </w:pPr>
    </w:p>
    <w:p w14:paraId="794089A2" w14:textId="77777777" w:rsidR="00BA521A" w:rsidRDefault="00BA521A">
      <w:pPr>
        <w:autoSpaceDE w:val="0"/>
        <w:autoSpaceDN w:val="0"/>
        <w:adjustRightInd w:val="0"/>
        <w:jc w:val="both"/>
        <w:rPr>
          <w:rFonts w:ascii="Arial" w:hAnsi="Arial" w:cs="Arial"/>
          <w:b/>
          <w:bCs/>
          <w:szCs w:val="22"/>
        </w:rPr>
      </w:pPr>
    </w:p>
    <w:p w14:paraId="0445D2A9" w14:textId="77777777" w:rsidR="00BA521A" w:rsidRDefault="00BA521A">
      <w:pPr>
        <w:autoSpaceDE w:val="0"/>
        <w:autoSpaceDN w:val="0"/>
        <w:adjustRightInd w:val="0"/>
        <w:jc w:val="both"/>
        <w:rPr>
          <w:rFonts w:ascii="Arial" w:hAnsi="Arial" w:cs="Arial"/>
          <w:b/>
          <w:bCs/>
          <w:szCs w:val="22"/>
        </w:rPr>
      </w:pPr>
    </w:p>
    <w:p w14:paraId="33ACDABB" w14:textId="77777777" w:rsidR="00BA521A" w:rsidRDefault="00BA521A">
      <w:pPr>
        <w:autoSpaceDE w:val="0"/>
        <w:autoSpaceDN w:val="0"/>
        <w:adjustRightInd w:val="0"/>
        <w:jc w:val="both"/>
        <w:rPr>
          <w:rFonts w:ascii="Arial" w:hAnsi="Arial" w:cs="Arial"/>
          <w:b/>
          <w:bCs/>
          <w:szCs w:val="22"/>
        </w:rPr>
      </w:pPr>
    </w:p>
    <w:p w14:paraId="7A65B5A1" w14:textId="77777777" w:rsidR="00BA521A" w:rsidRDefault="00BA521A">
      <w:pPr>
        <w:autoSpaceDE w:val="0"/>
        <w:autoSpaceDN w:val="0"/>
        <w:adjustRightInd w:val="0"/>
        <w:jc w:val="both"/>
        <w:rPr>
          <w:rFonts w:ascii="Arial" w:hAnsi="Arial" w:cs="Arial"/>
          <w:b/>
          <w:bCs/>
          <w:szCs w:val="22"/>
        </w:rPr>
      </w:pPr>
    </w:p>
    <w:p w14:paraId="38CB052D" w14:textId="77777777" w:rsidR="00BA521A" w:rsidRDefault="00BA521A">
      <w:pPr>
        <w:autoSpaceDE w:val="0"/>
        <w:autoSpaceDN w:val="0"/>
        <w:adjustRightInd w:val="0"/>
        <w:jc w:val="both"/>
        <w:rPr>
          <w:rFonts w:ascii="Arial" w:hAnsi="Arial" w:cs="Arial"/>
          <w:b/>
          <w:bCs/>
          <w:szCs w:val="22"/>
        </w:rPr>
      </w:pPr>
    </w:p>
    <w:p w14:paraId="2E52C3C6" w14:textId="77777777" w:rsidR="00BA521A" w:rsidRDefault="00BA521A">
      <w:pPr>
        <w:autoSpaceDE w:val="0"/>
        <w:autoSpaceDN w:val="0"/>
        <w:adjustRightInd w:val="0"/>
        <w:jc w:val="both"/>
        <w:rPr>
          <w:rFonts w:ascii="Arial" w:hAnsi="Arial" w:cs="Arial"/>
          <w:b/>
          <w:bCs/>
          <w:szCs w:val="22"/>
        </w:rPr>
      </w:pPr>
    </w:p>
    <w:p w14:paraId="54700E45" w14:textId="77777777" w:rsidR="00BA521A" w:rsidRDefault="00BA521A">
      <w:pPr>
        <w:autoSpaceDE w:val="0"/>
        <w:autoSpaceDN w:val="0"/>
        <w:adjustRightInd w:val="0"/>
        <w:jc w:val="both"/>
        <w:rPr>
          <w:rFonts w:ascii="Arial" w:hAnsi="Arial" w:cs="Arial"/>
          <w:b/>
          <w:bCs/>
          <w:szCs w:val="22"/>
        </w:rPr>
      </w:pPr>
    </w:p>
    <w:p w14:paraId="651DC5A4" w14:textId="77777777" w:rsidR="00BA521A" w:rsidRDefault="00BA521A">
      <w:pPr>
        <w:autoSpaceDE w:val="0"/>
        <w:autoSpaceDN w:val="0"/>
        <w:adjustRightInd w:val="0"/>
        <w:jc w:val="both"/>
        <w:rPr>
          <w:rFonts w:ascii="Arial" w:hAnsi="Arial" w:cs="Arial"/>
          <w:b/>
          <w:bCs/>
          <w:szCs w:val="22"/>
        </w:rPr>
      </w:pPr>
    </w:p>
    <w:p w14:paraId="67344A4A" w14:textId="77777777" w:rsidR="00BA521A" w:rsidRDefault="00BA521A">
      <w:pPr>
        <w:autoSpaceDE w:val="0"/>
        <w:autoSpaceDN w:val="0"/>
        <w:adjustRightInd w:val="0"/>
        <w:jc w:val="both"/>
        <w:rPr>
          <w:rFonts w:ascii="Arial" w:hAnsi="Arial" w:cs="Arial"/>
          <w:b/>
          <w:bCs/>
          <w:szCs w:val="22"/>
        </w:rPr>
      </w:pPr>
    </w:p>
    <w:p w14:paraId="027E9853" w14:textId="77777777" w:rsidR="00BA521A" w:rsidRDefault="00BA521A">
      <w:pPr>
        <w:autoSpaceDE w:val="0"/>
        <w:autoSpaceDN w:val="0"/>
        <w:adjustRightInd w:val="0"/>
        <w:jc w:val="both"/>
        <w:rPr>
          <w:rFonts w:ascii="Arial" w:hAnsi="Arial" w:cs="Arial"/>
          <w:b/>
          <w:bCs/>
          <w:szCs w:val="22"/>
        </w:rPr>
      </w:pPr>
    </w:p>
    <w:p w14:paraId="0005EA4E" w14:textId="77777777" w:rsidR="00BA521A" w:rsidRDefault="00BA521A">
      <w:pPr>
        <w:autoSpaceDE w:val="0"/>
        <w:autoSpaceDN w:val="0"/>
        <w:adjustRightInd w:val="0"/>
        <w:jc w:val="both"/>
        <w:rPr>
          <w:rFonts w:ascii="Arial" w:hAnsi="Arial" w:cs="Arial"/>
          <w:b/>
          <w:bCs/>
          <w:szCs w:val="22"/>
        </w:rPr>
      </w:pPr>
    </w:p>
    <w:p w14:paraId="320AA3A8" w14:textId="77777777" w:rsidR="00BA521A" w:rsidRDefault="00BA521A">
      <w:pPr>
        <w:autoSpaceDE w:val="0"/>
        <w:autoSpaceDN w:val="0"/>
        <w:adjustRightInd w:val="0"/>
        <w:jc w:val="both"/>
        <w:rPr>
          <w:rFonts w:ascii="Arial" w:hAnsi="Arial" w:cs="Arial"/>
          <w:b/>
          <w:bCs/>
          <w:szCs w:val="22"/>
        </w:rPr>
      </w:pPr>
    </w:p>
    <w:p w14:paraId="0F9DC008" w14:textId="77777777" w:rsidR="00BA521A" w:rsidRDefault="00BA521A">
      <w:pPr>
        <w:autoSpaceDE w:val="0"/>
        <w:autoSpaceDN w:val="0"/>
        <w:adjustRightInd w:val="0"/>
        <w:jc w:val="both"/>
        <w:rPr>
          <w:rFonts w:ascii="Arial" w:hAnsi="Arial" w:cs="Arial"/>
          <w:b/>
          <w:bCs/>
          <w:szCs w:val="22"/>
        </w:rPr>
      </w:pPr>
    </w:p>
    <w:p w14:paraId="27AD59F1" w14:textId="77777777" w:rsidR="00BA521A" w:rsidRDefault="00BA521A">
      <w:pPr>
        <w:autoSpaceDE w:val="0"/>
        <w:autoSpaceDN w:val="0"/>
        <w:adjustRightInd w:val="0"/>
        <w:jc w:val="both"/>
        <w:rPr>
          <w:rFonts w:ascii="Arial" w:hAnsi="Arial" w:cs="Arial"/>
          <w:b/>
          <w:bCs/>
          <w:szCs w:val="22"/>
        </w:rPr>
      </w:pPr>
    </w:p>
    <w:p w14:paraId="390B29B3" w14:textId="77777777" w:rsidR="00BA521A" w:rsidRDefault="00BA521A">
      <w:pPr>
        <w:pStyle w:val="Body"/>
        <w:spacing w:after="0"/>
        <w:rPr>
          <w:rFonts w:ascii="Arial" w:hAnsi="Arial" w:cs="Arial"/>
        </w:rPr>
      </w:pPr>
    </w:p>
    <w:p w14:paraId="4C73AE44" w14:textId="77777777" w:rsidR="00BA521A" w:rsidRDefault="00BD675F">
      <w:pPr>
        <w:spacing w:line="276" w:lineRule="auto"/>
        <w:ind w:firstLine="720"/>
        <w:jc w:val="center"/>
        <w:rPr>
          <w:rFonts w:ascii="Arial" w:hAnsi="Arial" w:cs="Arial"/>
          <w:szCs w:val="18"/>
        </w:rPr>
      </w:pPr>
      <w:r>
        <w:rPr>
          <w:rFonts w:ascii="Arial" w:hAnsi="Arial" w:cs="Arial"/>
          <w:szCs w:val="18"/>
        </w:rPr>
        <w:t>Fig. 1. Comparative graph showing varying Total Volume, Total Carbon stock and Carbon sequestration potential within different planting density</w:t>
      </w:r>
    </w:p>
    <w:p w14:paraId="05082392" w14:textId="77777777" w:rsidR="00BA521A" w:rsidRDefault="00BA521A">
      <w:pPr>
        <w:pStyle w:val="AcknHead"/>
        <w:spacing w:after="0"/>
        <w:jc w:val="both"/>
        <w:rPr>
          <w:rFonts w:ascii="Arial" w:hAnsi="Arial" w:cs="Arial"/>
        </w:rPr>
      </w:pPr>
    </w:p>
    <w:p w14:paraId="097ACB93" w14:textId="30B5BCD1" w:rsidR="00BA521A" w:rsidRDefault="00BD675F">
      <w:pPr>
        <w:spacing w:line="276" w:lineRule="auto"/>
        <w:ind w:firstLine="720"/>
        <w:jc w:val="both"/>
        <w:rPr>
          <w:rFonts w:ascii="Arial" w:hAnsi="Arial" w:cs="Arial"/>
          <w:szCs w:val="18"/>
        </w:rPr>
      </w:pPr>
      <w:r>
        <w:rPr>
          <w:rFonts w:ascii="Arial" w:hAnsi="Arial" w:cs="Arial"/>
          <w:szCs w:val="18"/>
        </w:rPr>
        <w:t xml:space="preserve">The analysis of the provided data indicates a positive correlation between the age of </w:t>
      </w:r>
      <w:r w:rsidR="005E4EC4">
        <w:rPr>
          <w:rFonts w:ascii="Arial" w:hAnsi="Arial" w:cs="Arial"/>
          <w:szCs w:val="18"/>
        </w:rPr>
        <w:t>Sandalwood</w:t>
      </w:r>
      <w:r>
        <w:rPr>
          <w:rFonts w:ascii="Arial" w:hAnsi="Arial" w:cs="Arial"/>
          <w:szCs w:val="18"/>
        </w:rPr>
        <w:t xml:space="preserve"> (</w:t>
      </w:r>
      <w:r>
        <w:rPr>
          <w:rFonts w:ascii="Arial" w:hAnsi="Arial" w:cs="Arial"/>
          <w:i/>
          <w:iCs/>
          <w:szCs w:val="18"/>
        </w:rPr>
        <w:t>Santalum album</w:t>
      </w:r>
      <w:r>
        <w:rPr>
          <w:rFonts w:ascii="Arial" w:hAnsi="Arial" w:cs="Arial"/>
          <w:szCs w:val="18"/>
        </w:rPr>
        <w:t xml:space="preserve">) plantations and their biomass accumulation and carbon sequestration potential. As the plantations mature, there is a notable increase in both aboveground and belowground biomass, contributing significantly to carbon storage. </w:t>
      </w:r>
    </w:p>
    <w:p w14:paraId="46E08B1D" w14:textId="33C46F11" w:rsidR="00BA521A" w:rsidRDefault="00BD675F">
      <w:pPr>
        <w:spacing w:line="276" w:lineRule="auto"/>
        <w:ind w:firstLine="720"/>
        <w:jc w:val="both"/>
        <w:rPr>
          <w:rFonts w:ascii="Arial" w:hAnsi="Arial" w:cs="Arial"/>
          <w:szCs w:val="18"/>
        </w:rPr>
      </w:pPr>
      <w:r>
        <w:rPr>
          <w:rFonts w:ascii="Arial" w:hAnsi="Arial" w:cs="Arial"/>
          <w:szCs w:val="18"/>
        </w:rPr>
        <w:t xml:space="preserve">When compared to other tree species, </w:t>
      </w:r>
      <w:r w:rsidR="005E4EC4">
        <w:rPr>
          <w:rFonts w:ascii="Arial" w:hAnsi="Arial" w:cs="Arial"/>
          <w:szCs w:val="18"/>
        </w:rPr>
        <w:t>Sandalwood</w:t>
      </w:r>
      <w:r>
        <w:rPr>
          <w:rFonts w:ascii="Arial" w:hAnsi="Arial" w:cs="Arial"/>
          <w:szCs w:val="18"/>
        </w:rPr>
        <w:t xml:space="preserve"> exhibits moderate carbon sequestration potential.  For instance, a study in the Tarai region of Uttarakhand evaluated the carbon stock of Dalbergia latifolia and Melia composita plantations, reporting carbon stocks ranging from 68.94 Mg C ha</w:t>
      </w:r>
      <w:r>
        <w:rPr>
          <w:rFonts w:ascii="Cambria Math" w:hAnsi="Cambria Math" w:cs="Cambria Math"/>
          <w:szCs w:val="18"/>
        </w:rPr>
        <w:t>⁻</w:t>
      </w:r>
      <w:r>
        <w:rPr>
          <w:rFonts w:ascii="Arial" w:hAnsi="Arial" w:cs="Arial"/>
          <w:szCs w:val="18"/>
        </w:rPr>
        <w:t>¹ to 145.14 Mg C ha</w:t>
      </w:r>
      <w:r>
        <w:rPr>
          <w:rFonts w:ascii="Cambria Math" w:hAnsi="Cambria Math" w:cs="Cambria Math"/>
          <w:szCs w:val="18"/>
        </w:rPr>
        <w:t>⁻</w:t>
      </w:r>
      <w:r>
        <w:rPr>
          <w:rFonts w:ascii="Arial" w:hAnsi="Arial" w:cs="Arial"/>
          <w:szCs w:val="18"/>
        </w:rPr>
        <w:t xml:space="preserve">¹. While these values are higher than those reported for </w:t>
      </w:r>
      <w:r w:rsidR="005E4EC4">
        <w:rPr>
          <w:rFonts w:ascii="Arial" w:hAnsi="Arial" w:cs="Arial"/>
          <w:szCs w:val="18"/>
        </w:rPr>
        <w:t>Sandalwood</w:t>
      </w:r>
      <w:r>
        <w:rPr>
          <w:rFonts w:ascii="Arial" w:hAnsi="Arial" w:cs="Arial"/>
          <w:szCs w:val="18"/>
        </w:rPr>
        <w:t xml:space="preserve">, it's important to consider the economic value of </w:t>
      </w:r>
      <w:r w:rsidR="005E4EC4">
        <w:rPr>
          <w:rFonts w:ascii="Arial" w:hAnsi="Arial" w:cs="Arial"/>
          <w:szCs w:val="18"/>
        </w:rPr>
        <w:t>Sandalwood</w:t>
      </w:r>
      <w:r>
        <w:rPr>
          <w:rFonts w:ascii="Arial" w:hAnsi="Arial" w:cs="Arial"/>
          <w:szCs w:val="18"/>
        </w:rPr>
        <w:t xml:space="preserve"> heartwood and oil, which adds to its desirability despite the comparatively lower carbon sequestration.</w:t>
      </w:r>
    </w:p>
    <w:p w14:paraId="2F45A0AB" w14:textId="77777777" w:rsidR="00BA521A" w:rsidRDefault="00BA521A">
      <w:pPr>
        <w:spacing w:line="276" w:lineRule="auto"/>
        <w:jc w:val="both"/>
        <w:rPr>
          <w:rFonts w:ascii="Times New Roman" w:hAnsi="Times New Roman"/>
          <w:b/>
          <w:bCs/>
          <w:sz w:val="24"/>
          <w:szCs w:val="22"/>
        </w:rPr>
      </w:pPr>
    </w:p>
    <w:p w14:paraId="1D317E64" w14:textId="77777777" w:rsidR="00BA521A" w:rsidRDefault="00BD675F">
      <w:pPr>
        <w:spacing w:line="276" w:lineRule="auto"/>
        <w:jc w:val="both"/>
        <w:rPr>
          <w:rFonts w:ascii="Arial" w:hAnsi="Arial" w:cs="Arial"/>
          <w:b/>
          <w:bCs/>
          <w:sz w:val="22"/>
        </w:rPr>
      </w:pPr>
      <w:r>
        <w:rPr>
          <w:rFonts w:ascii="Arial" w:hAnsi="Arial" w:cs="Arial"/>
          <w:b/>
          <w:bCs/>
          <w:sz w:val="22"/>
        </w:rPr>
        <w:t>4. Discussion</w:t>
      </w:r>
    </w:p>
    <w:p w14:paraId="0ECA73A2" w14:textId="11E5BC17" w:rsidR="00BA521A" w:rsidRDefault="00BD675F">
      <w:pPr>
        <w:pStyle w:val="ListParagraph"/>
        <w:numPr>
          <w:ilvl w:val="0"/>
          <w:numId w:val="3"/>
        </w:numPr>
        <w:spacing w:after="0" w:line="276" w:lineRule="auto"/>
        <w:jc w:val="both"/>
        <w:rPr>
          <w:rFonts w:ascii="Arial" w:hAnsi="Arial" w:cs="Arial"/>
          <w:b/>
          <w:bCs/>
        </w:rPr>
      </w:pPr>
      <w:r>
        <w:rPr>
          <w:rFonts w:ascii="Arial" w:hAnsi="Arial" w:cs="Arial"/>
          <w:b/>
          <w:bCs/>
        </w:rPr>
        <w:t xml:space="preserve">Relation between Stand Density and Carbon Storage of </w:t>
      </w:r>
      <w:r w:rsidR="005E4EC4">
        <w:rPr>
          <w:rFonts w:ascii="Arial" w:hAnsi="Arial" w:cs="Arial"/>
          <w:b/>
          <w:bCs/>
        </w:rPr>
        <w:t>Sandalwood</w:t>
      </w:r>
    </w:p>
    <w:p w14:paraId="07C2D543" w14:textId="5F02D452" w:rsidR="00BA521A" w:rsidRDefault="00BD675F">
      <w:pPr>
        <w:spacing w:line="276" w:lineRule="auto"/>
        <w:ind w:firstLine="720"/>
        <w:jc w:val="both"/>
        <w:rPr>
          <w:rFonts w:ascii="Arial" w:hAnsi="Arial" w:cs="Arial"/>
          <w:szCs w:val="18"/>
        </w:rPr>
      </w:pPr>
      <w:r>
        <w:rPr>
          <w:rFonts w:ascii="Arial" w:hAnsi="Arial" w:cs="Arial"/>
          <w:szCs w:val="18"/>
        </w:rPr>
        <w:t>The results indicate that carbon storage is not linearly correlated with stand density. The highest long-lived carbon storage at 493 trees ha</w:t>
      </w:r>
      <w:r>
        <w:rPr>
          <w:rFonts w:ascii="Arial" w:hAnsi="Arial" w:cs="Arial"/>
          <w:szCs w:val="18"/>
          <w:vertAlign w:val="superscript"/>
        </w:rPr>
        <w:t>-1</w:t>
      </w:r>
      <w:r>
        <w:rPr>
          <w:rFonts w:ascii="Arial" w:hAnsi="Arial" w:cs="Arial"/>
          <w:szCs w:val="18"/>
        </w:rPr>
        <w:t xml:space="preserve"> suggests that excessively high </w:t>
      </w:r>
      <w:r>
        <w:rPr>
          <w:rFonts w:ascii="Arial" w:hAnsi="Arial" w:cs="Arial"/>
          <w:szCs w:val="18"/>
        </w:rPr>
        <w:lastRenderedPageBreak/>
        <w:t>densities (e.g., 1111 trees ha</w:t>
      </w:r>
      <w:r>
        <w:rPr>
          <w:rFonts w:ascii="Arial" w:hAnsi="Arial" w:cs="Arial"/>
          <w:szCs w:val="18"/>
          <w:vertAlign w:val="superscript"/>
        </w:rPr>
        <w:t>-1</w:t>
      </w:r>
      <w:r>
        <w:rPr>
          <w:rFonts w:ascii="Arial" w:hAnsi="Arial" w:cs="Arial"/>
          <w:szCs w:val="18"/>
        </w:rPr>
        <w:t xml:space="preserve">) may lead to competition-induced mortality, reducing carbon retention (Forrester, 2019; Luo </w:t>
      </w:r>
      <w:r>
        <w:rPr>
          <w:rFonts w:ascii="Arial" w:hAnsi="Arial" w:cs="Arial"/>
          <w:i/>
          <w:iCs/>
          <w:szCs w:val="18"/>
        </w:rPr>
        <w:t>et al.,</w:t>
      </w:r>
      <w:r>
        <w:rPr>
          <w:rFonts w:ascii="Arial" w:hAnsi="Arial" w:cs="Arial"/>
          <w:szCs w:val="18"/>
        </w:rPr>
        <w:t xml:space="preserve"> 2019).). Conversely, low-density stands (277 trees ha</w:t>
      </w:r>
      <w:r>
        <w:rPr>
          <w:rFonts w:ascii="Arial" w:hAnsi="Arial" w:cs="Arial"/>
          <w:szCs w:val="18"/>
          <w:vertAlign w:val="superscript"/>
        </w:rPr>
        <w:t>-1</w:t>
      </w:r>
      <w:r>
        <w:rPr>
          <w:rFonts w:ascii="Arial" w:hAnsi="Arial" w:cs="Arial"/>
          <w:szCs w:val="18"/>
        </w:rPr>
        <w:t>) exhibit reduced carbon stocks, likely due to lower biomass accumulation (</w:t>
      </w:r>
      <w:proofErr w:type="spellStart"/>
      <w:r>
        <w:rPr>
          <w:rFonts w:ascii="Arial" w:hAnsi="Arial" w:cs="Arial"/>
          <w:szCs w:val="18"/>
        </w:rPr>
        <w:t>Pretzsch</w:t>
      </w:r>
      <w:proofErr w:type="spellEnd"/>
      <w:r>
        <w:rPr>
          <w:rFonts w:ascii="Arial" w:hAnsi="Arial" w:cs="Arial"/>
          <w:szCs w:val="18"/>
        </w:rPr>
        <w:t xml:space="preserve"> </w:t>
      </w:r>
      <w:r>
        <w:rPr>
          <w:rFonts w:ascii="Arial" w:hAnsi="Arial" w:cs="Arial"/>
          <w:i/>
          <w:iCs/>
          <w:szCs w:val="18"/>
        </w:rPr>
        <w:t>et al.,</w:t>
      </w:r>
      <w:r>
        <w:rPr>
          <w:rFonts w:ascii="Arial" w:hAnsi="Arial" w:cs="Arial"/>
          <w:szCs w:val="18"/>
        </w:rPr>
        <w:t xml:space="preserve"> 2015). </w:t>
      </w:r>
      <w:r w:rsidR="00B27DCB">
        <w:rPr>
          <w:rFonts w:ascii="Arial" w:hAnsi="Arial" w:cs="Arial"/>
          <w:szCs w:val="18"/>
        </w:rPr>
        <w:t>L</w:t>
      </w:r>
      <w:r w:rsidR="00B27DCB" w:rsidRPr="00B27DCB">
        <w:rPr>
          <w:rFonts w:ascii="Arial" w:hAnsi="Arial" w:cs="Arial"/>
          <w:szCs w:val="18"/>
        </w:rPr>
        <w:t>ow densities provided ample space for individual trees but limited canopy closure and site occupancy, resulting in underutilization of light, lower total leaf area, and greater weed competition, thereby reducing stand-level productivity</w:t>
      </w:r>
      <w:r w:rsidR="00B27DCB" w:rsidRPr="00B27DCB">
        <w:rPr>
          <w:rFonts w:ascii="Arial" w:hAnsi="Arial" w:cs="Arial"/>
          <w:color w:val="222222"/>
          <w:shd w:val="clear" w:color="auto" w:fill="FFFFFF"/>
        </w:rPr>
        <w:t xml:space="preserve"> </w:t>
      </w:r>
      <w:r w:rsidR="00B27DCB">
        <w:rPr>
          <w:rFonts w:ascii="Arial" w:hAnsi="Arial" w:cs="Arial"/>
          <w:color w:val="222222"/>
          <w:shd w:val="clear" w:color="auto" w:fill="FFFFFF"/>
        </w:rPr>
        <w:t>(</w:t>
      </w:r>
      <w:proofErr w:type="spellStart"/>
      <w:r w:rsidR="00B27DCB" w:rsidRPr="00B27DCB">
        <w:rPr>
          <w:rFonts w:ascii="Arial" w:hAnsi="Arial" w:cs="Arial"/>
          <w:color w:val="222222"/>
          <w:shd w:val="clear" w:color="auto" w:fill="FFFFFF"/>
        </w:rPr>
        <w:t>Zeide</w:t>
      </w:r>
      <w:proofErr w:type="spellEnd"/>
      <w:r w:rsidR="00B27DCB" w:rsidRPr="00B27DCB">
        <w:rPr>
          <w:rFonts w:ascii="Arial" w:hAnsi="Arial" w:cs="Arial"/>
          <w:color w:val="222222"/>
          <w:shd w:val="clear" w:color="auto" w:fill="FFFFFF"/>
        </w:rPr>
        <w:t>,</w:t>
      </w:r>
      <w:r w:rsidR="00B27DCB">
        <w:rPr>
          <w:rFonts w:ascii="Arial" w:hAnsi="Arial" w:cs="Arial"/>
          <w:color w:val="222222"/>
          <w:shd w:val="clear" w:color="auto" w:fill="FFFFFF"/>
        </w:rPr>
        <w:t xml:space="preserve"> </w:t>
      </w:r>
      <w:r w:rsidR="00B27DCB" w:rsidRPr="00B27DCB">
        <w:rPr>
          <w:rFonts w:ascii="Arial" w:hAnsi="Arial" w:cs="Arial"/>
          <w:color w:val="222222"/>
          <w:shd w:val="clear" w:color="auto" w:fill="FFFFFF"/>
        </w:rPr>
        <w:t>2001)</w:t>
      </w:r>
      <w:r w:rsidR="00B27DCB" w:rsidRPr="00B27DCB">
        <w:rPr>
          <w:rFonts w:ascii="Arial" w:hAnsi="Arial" w:cs="Arial"/>
          <w:szCs w:val="18"/>
        </w:rPr>
        <w:t>.</w:t>
      </w:r>
      <w:r w:rsidR="00B27DCB">
        <w:rPr>
          <w:rFonts w:ascii="Arial" w:hAnsi="Arial" w:cs="Arial"/>
          <w:szCs w:val="18"/>
        </w:rPr>
        <w:t xml:space="preserve"> </w:t>
      </w:r>
      <w:r>
        <w:rPr>
          <w:rFonts w:ascii="Arial" w:hAnsi="Arial" w:cs="Arial"/>
          <w:szCs w:val="18"/>
        </w:rPr>
        <w:t>This aligns with the "intermediate disturbance hypothesis," where moderate densities balance growth and mortality for optimal carbon storage (Connell, 1978).</w:t>
      </w:r>
    </w:p>
    <w:p w14:paraId="587C22C9" w14:textId="77777777" w:rsidR="00BA521A" w:rsidRDefault="00BD675F">
      <w:pPr>
        <w:pStyle w:val="ListParagraph"/>
        <w:numPr>
          <w:ilvl w:val="0"/>
          <w:numId w:val="3"/>
        </w:numPr>
        <w:spacing w:before="240" w:after="0" w:line="276" w:lineRule="auto"/>
        <w:jc w:val="both"/>
        <w:rPr>
          <w:rFonts w:ascii="Arial" w:hAnsi="Arial" w:cs="Arial"/>
          <w:b/>
          <w:bCs/>
        </w:rPr>
      </w:pPr>
      <w:r>
        <w:rPr>
          <w:rFonts w:ascii="Arial" w:hAnsi="Arial" w:cs="Arial"/>
          <w:b/>
          <w:bCs/>
        </w:rPr>
        <w:t>Soil Carbon Dynamics</w:t>
      </w:r>
    </w:p>
    <w:p w14:paraId="2D4F62BF" w14:textId="77777777" w:rsidR="00BA521A" w:rsidRDefault="00BD675F">
      <w:pPr>
        <w:spacing w:line="276" w:lineRule="auto"/>
        <w:ind w:firstLine="720"/>
        <w:jc w:val="both"/>
        <w:rPr>
          <w:rFonts w:ascii="Arial" w:hAnsi="Arial" w:cs="Arial"/>
          <w:szCs w:val="18"/>
        </w:rPr>
      </w:pPr>
      <w:r>
        <w:rPr>
          <w:rFonts w:ascii="Arial" w:hAnsi="Arial" w:cs="Arial"/>
          <w:szCs w:val="18"/>
        </w:rPr>
        <w:t xml:space="preserve">Soil carbon stocks showed minimal variation across densities, consistent with findings that soil organic carbon is more stable and influenced by long-term decomposition rates rather than immediate stand structure (Schlesinger &amp; Bernhardt, 2013; Jandl </w:t>
      </w:r>
      <w:r>
        <w:rPr>
          <w:rFonts w:ascii="Arial" w:hAnsi="Arial" w:cs="Arial"/>
          <w:i/>
          <w:iCs/>
          <w:szCs w:val="18"/>
        </w:rPr>
        <w:t>et al.,</w:t>
      </w:r>
      <w:r>
        <w:rPr>
          <w:rFonts w:ascii="Arial" w:hAnsi="Arial" w:cs="Arial"/>
          <w:szCs w:val="18"/>
        </w:rPr>
        <w:t xml:space="preserve"> 2014)). However, the slightly higher soil carbon at 493 trees ha-1 may reflect enhanced litter input from balanced growth and turnover (Prescott, 2010).</w:t>
      </w:r>
    </w:p>
    <w:p w14:paraId="598BF82D" w14:textId="77777777" w:rsidR="00BA521A" w:rsidRDefault="00BD675F">
      <w:pPr>
        <w:pStyle w:val="ListParagraph"/>
        <w:numPr>
          <w:ilvl w:val="0"/>
          <w:numId w:val="3"/>
        </w:numPr>
        <w:spacing w:before="240" w:after="0" w:line="276" w:lineRule="auto"/>
        <w:jc w:val="both"/>
        <w:rPr>
          <w:rFonts w:ascii="Times New Roman" w:hAnsi="Times New Roman" w:cs="Times New Roman"/>
          <w:b/>
          <w:bCs/>
          <w:sz w:val="24"/>
          <w:szCs w:val="22"/>
        </w:rPr>
      </w:pPr>
      <w:r>
        <w:rPr>
          <w:rFonts w:ascii="Arial" w:hAnsi="Arial" w:cs="Arial"/>
          <w:b/>
          <w:bCs/>
        </w:rPr>
        <w:t>Carbon</w:t>
      </w:r>
      <w:r>
        <w:rPr>
          <w:rFonts w:ascii="Times New Roman" w:hAnsi="Times New Roman" w:cs="Times New Roman"/>
          <w:b/>
          <w:bCs/>
          <w:sz w:val="24"/>
          <w:szCs w:val="22"/>
        </w:rPr>
        <w:t xml:space="preserve"> </w:t>
      </w:r>
      <w:r>
        <w:rPr>
          <w:rFonts w:ascii="Arial" w:hAnsi="Arial" w:cs="Arial"/>
          <w:b/>
          <w:bCs/>
        </w:rPr>
        <w:t>Sequestration Efficiency</w:t>
      </w:r>
      <w:r>
        <w:rPr>
          <w:rFonts w:ascii="Times New Roman" w:hAnsi="Times New Roman" w:cs="Times New Roman"/>
          <w:b/>
          <w:bCs/>
          <w:sz w:val="24"/>
          <w:szCs w:val="22"/>
        </w:rPr>
        <w:t xml:space="preserve"> </w:t>
      </w:r>
    </w:p>
    <w:p w14:paraId="07FC24E3" w14:textId="77777777" w:rsidR="00BA521A" w:rsidRDefault="00BD675F">
      <w:pPr>
        <w:spacing w:line="276" w:lineRule="auto"/>
        <w:ind w:firstLine="720"/>
        <w:jc w:val="both"/>
        <w:rPr>
          <w:rFonts w:ascii="Arial" w:hAnsi="Arial" w:cs="Arial"/>
          <w:szCs w:val="18"/>
        </w:rPr>
      </w:pPr>
      <w:r>
        <w:rPr>
          <w:rFonts w:ascii="Arial" w:hAnsi="Arial" w:cs="Arial"/>
          <w:szCs w:val="18"/>
        </w:rPr>
        <w:t>The significantly higher sequestration rate at 493 trees ha</w:t>
      </w:r>
      <w:r>
        <w:rPr>
          <w:rFonts w:ascii="Arial" w:hAnsi="Arial" w:cs="Arial"/>
          <w:szCs w:val="18"/>
          <w:vertAlign w:val="superscript"/>
        </w:rPr>
        <w:t>-1</w:t>
      </w:r>
      <w:r>
        <w:rPr>
          <w:rFonts w:ascii="Arial" w:hAnsi="Arial" w:cs="Arial"/>
          <w:szCs w:val="18"/>
        </w:rPr>
        <w:t xml:space="preserve"> suggests that moderate densities optimize photosynthetic efficiency and biomass allocation (Gower </w:t>
      </w:r>
      <w:r>
        <w:rPr>
          <w:rFonts w:ascii="Arial" w:hAnsi="Arial" w:cs="Arial"/>
          <w:i/>
          <w:iCs/>
          <w:szCs w:val="18"/>
        </w:rPr>
        <w:t>et al.,</w:t>
      </w:r>
      <w:r>
        <w:rPr>
          <w:rFonts w:ascii="Arial" w:hAnsi="Arial" w:cs="Arial"/>
          <w:szCs w:val="18"/>
        </w:rPr>
        <w:t xml:space="preserve"> 1996; Ryan </w:t>
      </w:r>
      <w:r>
        <w:rPr>
          <w:rFonts w:ascii="Arial" w:hAnsi="Arial" w:cs="Arial"/>
          <w:i/>
          <w:iCs/>
          <w:szCs w:val="18"/>
        </w:rPr>
        <w:t>et al.,</w:t>
      </w:r>
      <w:r>
        <w:rPr>
          <w:rFonts w:ascii="Arial" w:hAnsi="Arial" w:cs="Arial"/>
          <w:szCs w:val="18"/>
        </w:rPr>
        <w:t xml:space="preserve"> 2010; </w:t>
      </w:r>
      <w:proofErr w:type="spellStart"/>
      <w:r>
        <w:rPr>
          <w:rFonts w:ascii="Arial" w:hAnsi="Arial" w:cs="Arial"/>
          <w:szCs w:val="18"/>
        </w:rPr>
        <w:t>Poorter</w:t>
      </w:r>
      <w:proofErr w:type="spellEnd"/>
      <w:r>
        <w:rPr>
          <w:rFonts w:ascii="Arial" w:hAnsi="Arial" w:cs="Arial"/>
          <w:szCs w:val="18"/>
        </w:rPr>
        <w:t xml:space="preserve"> </w:t>
      </w:r>
      <w:r>
        <w:rPr>
          <w:rFonts w:ascii="Arial" w:hAnsi="Arial" w:cs="Arial"/>
          <w:i/>
          <w:iCs/>
          <w:szCs w:val="18"/>
        </w:rPr>
        <w:t>et al.,</w:t>
      </w:r>
      <w:r>
        <w:rPr>
          <w:rFonts w:ascii="Arial" w:hAnsi="Arial" w:cs="Arial"/>
          <w:szCs w:val="18"/>
        </w:rPr>
        <w:t xml:space="preserve"> 2015). This contrasts with high-density stands, where self-thinning may reduce net productivity (Oliver &amp; Larson, 1996). The findings support forest management strategies that avoid extreme densities to maximize carbon sequestration (IPCC, 2019).</w:t>
      </w:r>
    </w:p>
    <w:p w14:paraId="6F1FD288" w14:textId="77777777" w:rsidR="00BA521A" w:rsidRDefault="00BD675F">
      <w:pPr>
        <w:pStyle w:val="ListParagraph"/>
        <w:numPr>
          <w:ilvl w:val="0"/>
          <w:numId w:val="3"/>
        </w:numPr>
        <w:spacing w:before="240" w:after="0" w:line="276" w:lineRule="auto"/>
        <w:jc w:val="both"/>
        <w:rPr>
          <w:rFonts w:ascii="Arial" w:hAnsi="Arial" w:cs="Arial"/>
          <w:b/>
          <w:bCs/>
        </w:rPr>
      </w:pPr>
      <w:r>
        <w:rPr>
          <w:rFonts w:ascii="Arial" w:hAnsi="Arial" w:cs="Arial"/>
          <w:b/>
          <w:bCs/>
        </w:rPr>
        <w:t>Comparison with Previous Studies</w:t>
      </w:r>
    </w:p>
    <w:p w14:paraId="32DCA2D8" w14:textId="77777777" w:rsidR="00BA521A" w:rsidRDefault="00BD675F">
      <w:pPr>
        <w:spacing w:line="276" w:lineRule="auto"/>
        <w:ind w:firstLine="720"/>
        <w:jc w:val="both"/>
        <w:rPr>
          <w:rFonts w:ascii="Arial" w:hAnsi="Arial" w:cs="Arial"/>
          <w:szCs w:val="18"/>
        </w:rPr>
      </w:pPr>
      <w:r>
        <w:rPr>
          <w:rFonts w:ascii="Arial" w:hAnsi="Arial" w:cs="Arial"/>
          <w:szCs w:val="18"/>
        </w:rPr>
        <w:t>High-Density Stands: The lower sequestration in high-density stands (1111 trees ha</w:t>
      </w:r>
      <w:r>
        <w:rPr>
          <w:rFonts w:ascii="Arial" w:hAnsi="Arial" w:cs="Arial"/>
          <w:szCs w:val="18"/>
          <w:vertAlign w:val="superscript"/>
        </w:rPr>
        <w:t>-1</w:t>
      </w:r>
      <w:r>
        <w:rPr>
          <w:rFonts w:ascii="Arial" w:hAnsi="Arial" w:cs="Arial"/>
          <w:szCs w:val="18"/>
        </w:rPr>
        <w:t xml:space="preserve">) matches observations by Zhang </w:t>
      </w:r>
      <w:r>
        <w:rPr>
          <w:rFonts w:ascii="Arial" w:hAnsi="Arial" w:cs="Arial"/>
          <w:i/>
          <w:iCs/>
          <w:szCs w:val="18"/>
        </w:rPr>
        <w:t>et al.</w:t>
      </w:r>
      <w:r>
        <w:rPr>
          <w:rFonts w:ascii="Arial" w:hAnsi="Arial" w:cs="Arial"/>
          <w:szCs w:val="18"/>
        </w:rPr>
        <w:t xml:space="preserve"> (2020), where overcrowding reduced individual tree growth. Low-Density Stands: The poor performance of low-density stands aligns with studies showing that sparse stands underutilize site potential (Liang </w:t>
      </w:r>
      <w:r>
        <w:rPr>
          <w:rFonts w:ascii="Arial" w:hAnsi="Arial" w:cs="Arial"/>
          <w:i/>
          <w:iCs/>
          <w:szCs w:val="18"/>
        </w:rPr>
        <w:t>et al.,</w:t>
      </w:r>
      <w:r>
        <w:rPr>
          <w:rFonts w:ascii="Arial" w:hAnsi="Arial" w:cs="Arial"/>
          <w:szCs w:val="18"/>
        </w:rPr>
        <w:t xml:space="preserve"> 2016). Optimal Density: The peak sequestration at 493 trees ha</w:t>
      </w:r>
      <w:r>
        <w:rPr>
          <w:rFonts w:ascii="Arial" w:hAnsi="Arial" w:cs="Arial"/>
          <w:szCs w:val="18"/>
          <w:vertAlign w:val="superscript"/>
        </w:rPr>
        <w:t>-1</w:t>
      </w:r>
      <w:r>
        <w:rPr>
          <w:rFonts w:ascii="Arial" w:hAnsi="Arial" w:cs="Arial"/>
          <w:szCs w:val="18"/>
        </w:rPr>
        <w:t xml:space="preserve"> is consistent with meta-analyses indicating that mid-range densities maximize ecosystem services (Guo </w:t>
      </w:r>
      <w:r>
        <w:rPr>
          <w:rFonts w:ascii="Arial" w:hAnsi="Arial" w:cs="Arial"/>
          <w:i/>
          <w:iCs/>
          <w:szCs w:val="18"/>
        </w:rPr>
        <w:t>et al.,</w:t>
      </w:r>
      <w:r>
        <w:rPr>
          <w:rFonts w:ascii="Arial" w:hAnsi="Arial" w:cs="Arial"/>
          <w:szCs w:val="18"/>
        </w:rPr>
        <w:t xml:space="preserve"> 2024).</w:t>
      </w:r>
    </w:p>
    <w:p w14:paraId="556000A0" w14:textId="77777777" w:rsidR="00BA521A" w:rsidRDefault="00BD675F">
      <w:pPr>
        <w:spacing w:line="276" w:lineRule="auto"/>
        <w:jc w:val="both"/>
        <w:rPr>
          <w:rFonts w:ascii="Times New Roman" w:hAnsi="Times New Roman"/>
          <w:sz w:val="24"/>
          <w:szCs w:val="22"/>
        </w:rPr>
      </w:pPr>
      <w:r>
        <w:rPr>
          <w:rFonts w:ascii="Times New Roman" w:hAnsi="Times New Roman"/>
          <w:sz w:val="24"/>
          <w:szCs w:val="22"/>
        </w:rPr>
        <w:t xml:space="preserve">   </w:t>
      </w:r>
    </w:p>
    <w:p w14:paraId="5F04D0E4" w14:textId="356D7AD3" w:rsidR="00BA521A" w:rsidRDefault="00BD675F">
      <w:pPr>
        <w:spacing w:line="276" w:lineRule="auto"/>
        <w:jc w:val="both"/>
        <w:rPr>
          <w:rFonts w:ascii="Times New Roman" w:hAnsi="Times New Roman"/>
          <w:b/>
          <w:bCs/>
          <w:sz w:val="24"/>
          <w:szCs w:val="22"/>
        </w:rPr>
      </w:pPr>
      <w:r>
        <w:rPr>
          <w:rFonts w:ascii="Arial" w:hAnsi="Arial" w:cs="Arial"/>
          <w:b/>
          <w:bCs/>
          <w:sz w:val="22"/>
        </w:rPr>
        <w:t>5.</w:t>
      </w:r>
      <w:r>
        <w:rPr>
          <w:rFonts w:ascii="Times New Roman" w:hAnsi="Times New Roman"/>
          <w:b/>
          <w:bCs/>
          <w:sz w:val="24"/>
          <w:szCs w:val="22"/>
        </w:rPr>
        <w:t xml:space="preserve"> </w:t>
      </w:r>
      <w:r>
        <w:rPr>
          <w:rFonts w:ascii="Arial" w:eastAsiaTheme="minorHAnsi" w:hAnsi="Arial" w:cs="Arial"/>
          <w:b/>
          <w:bCs/>
          <w:kern w:val="2"/>
          <w:sz w:val="22"/>
          <w:lang w:bidi="hi-IN"/>
        </w:rPr>
        <w:t xml:space="preserve">Implications for </w:t>
      </w:r>
      <w:r w:rsidR="005E4EC4">
        <w:rPr>
          <w:rFonts w:ascii="Arial" w:eastAsiaTheme="minorHAnsi" w:hAnsi="Arial" w:cs="Arial"/>
          <w:b/>
          <w:bCs/>
          <w:kern w:val="2"/>
          <w:sz w:val="22"/>
          <w:lang w:bidi="hi-IN"/>
        </w:rPr>
        <w:t>Sandalwood</w:t>
      </w:r>
      <w:r>
        <w:rPr>
          <w:rFonts w:ascii="Arial" w:eastAsiaTheme="minorHAnsi" w:hAnsi="Arial" w:cs="Arial"/>
          <w:b/>
          <w:bCs/>
          <w:kern w:val="2"/>
          <w:sz w:val="22"/>
          <w:lang w:bidi="hi-IN"/>
        </w:rPr>
        <w:t xml:space="preserve"> Plantation Management</w:t>
      </w:r>
    </w:p>
    <w:p w14:paraId="56CEA1B4" w14:textId="440DBA88" w:rsidR="00BA521A" w:rsidRDefault="00BD675F">
      <w:pPr>
        <w:spacing w:line="276" w:lineRule="auto"/>
        <w:ind w:firstLine="720"/>
        <w:jc w:val="both"/>
        <w:rPr>
          <w:rFonts w:ascii="Arial" w:hAnsi="Arial" w:cs="Arial"/>
          <w:szCs w:val="18"/>
        </w:rPr>
      </w:pPr>
      <w:r>
        <w:rPr>
          <w:rFonts w:ascii="Arial" w:hAnsi="Arial" w:cs="Arial"/>
          <w:szCs w:val="18"/>
        </w:rPr>
        <w:t xml:space="preserve">The present findings indicate that managing </w:t>
      </w:r>
      <w:r w:rsidR="005E4EC4">
        <w:rPr>
          <w:rFonts w:ascii="Arial" w:hAnsi="Arial" w:cs="Arial"/>
          <w:szCs w:val="18"/>
        </w:rPr>
        <w:t>Sandalwood</w:t>
      </w:r>
      <w:r>
        <w:rPr>
          <w:rFonts w:ascii="Arial" w:hAnsi="Arial" w:cs="Arial"/>
          <w:szCs w:val="18"/>
        </w:rPr>
        <w:t xml:space="preserve"> plantations at intermediate densities (around 493 trees ha</w:t>
      </w:r>
      <w:r>
        <w:rPr>
          <w:rFonts w:ascii="Arial" w:hAnsi="Arial" w:cs="Arial"/>
          <w:szCs w:val="18"/>
          <w:vertAlign w:val="superscript"/>
        </w:rPr>
        <w:t>-1</w:t>
      </w:r>
      <w:r>
        <w:rPr>
          <w:rFonts w:ascii="Arial" w:hAnsi="Arial" w:cs="Arial"/>
          <w:szCs w:val="18"/>
        </w:rPr>
        <w:t>) can maximize biomass production, which is critical for both economic returns and carbon sequestration. Overcrowding should be avoided to reduce competition, while excessively wide spacing may lead to inefficient resource use and lower productivity.</w:t>
      </w:r>
    </w:p>
    <w:p w14:paraId="501E5F4A" w14:textId="7FFFE4DE" w:rsidR="00BA521A" w:rsidRDefault="00BD675F">
      <w:pPr>
        <w:spacing w:line="276" w:lineRule="auto"/>
        <w:ind w:firstLine="720"/>
        <w:jc w:val="both"/>
        <w:rPr>
          <w:rFonts w:ascii="Arial" w:hAnsi="Arial" w:cs="Arial"/>
          <w:szCs w:val="18"/>
        </w:rPr>
      </w:pPr>
      <w:r>
        <w:rPr>
          <w:rFonts w:ascii="Arial" w:hAnsi="Arial" w:cs="Arial"/>
          <w:szCs w:val="18"/>
        </w:rPr>
        <w:t xml:space="preserve">The findings underscore the potential of </w:t>
      </w:r>
      <w:r w:rsidR="005E4EC4">
        <w:rPr>
          <w:rFonts w:ascii="Arial" w:hAnsi="Arial" w:cs="Arial"/>
          <w:szCs w:val="18"/>
        </w:rPr>
        <w:t>Sandalwood</w:t>
      </w:r>
      <w:r>
        <w:rPr>
          <w:rFonts w:ascii="Arial" w:hAnsi="Arial" w:cs="Arial"/>
          <w:szCs w:val="18"/>
        </w:rPr>
        <w:t xml:space="preserve"> plantations in contributing to carbon sequestration efforts and sustainable forestry practices.  By selecting appropriate host species and implementing effective management strategies, the biomass and carbon storage capacity of </w:t>
      </w:r>
      <w:r w:rsidR="005E4EC4">
        <w:rPr>
          <w:rFonts w:ascii="Arial" w:hAnsi="Arial" w:cs="Arial"/>
          <w:szCs w:val="18"/>
        </w:rPr>
        <w:t>Sandalwood</w:t>
      </w:r>
      <w:r>
        <w:rPr>
          <w:rFonts w:ascii="Arial" w:hAnsi="Arial" w:cs="Arial"/>
          <w:szCs w:val="18"/>
        </w:rPr>
        <w:t xml:space="preserve"> plantations can be optimized.  Furthermore, integrating </w:t>
      </w:r>
      <w:r w:rsidR="005E4EC4">
        <w:rPr>
          <w:rFonts w:ascii="Arial" w:hAnsi="Arial" w:cs="Arial"/>
          <w:szCs w:val="18"/>
        </w:rPr>
        <w:t>Sandalwood</w:t>
      </w:r>
      <w:r>
        <w:rPr>
          <w:rFonts w:ascii="Arial" w:hAnsi="Arial" w:cs="Arial"/>
          <w:szCs w:val="18"/>
        </w:rPr>
        <w:t xml:space="preserve"> into agroforestry systems can enhance soil carbon levels, contributing to overall ecosystem health. Forest managers should aim for moderate densities (~500 trees ha</w:t>
      </w:r>
      <w:r>
        <w:rPr>
          <w:rFonts w:ascii="Arial" w:hAnsi="Arial" w:cs="Arial"/>
          <w:szCs w:val="18"/>
          <w:vertAlign w:val="superscript"/>
        </w:rPr>
        <w:t>-1</w:t>
      </w:r>
      <w:r>
        <w:rPr>
          <w:rFonts w:ascii="Arial" w:hAnsi="Arial" w:cs="Arial"/>
          <w:szCs w:val="18"/>
        </w:rPr>
        <w:t xml:space="preserve">) to enhance carbon sequestration. Thinning overly dense stands and underplanting sparse ones </w:t>
      </w:r>
      <w:r>
        <w:rPr>
          <w:rFonts w:ascii="Arial" w:hAnsi="Arial" w:cs="Arial"/>
          <w:szCs w:val="18"/>
        </w:rPr>
        <w:lastRenderedPageBreak/>
        <w:t>could optimize carbon storage (FAO, 2020). Further research should explore species-specific responses to refine density recommendations.</w:t>
      </w:r>
    </w:p>
    <w:p w14:paraId="425EC566" w14:textId="77777777" w:rsidR="00BA521A" w:rsidRDefault="00BA521A">
      <w:pPr>
        <w:pStyle w:val="AcknHead"/>
        <w:spacing w:after="0"/>
        <w:jc w:val="both"/>
        <w:rPr>
          <w:rFonts w:ascii="Arial" w:hAnsi="Arial" w:cs="Arial"/>
        </w:rPr>
      </w:pPr>
    </w:p>
    <w:p w14:paraId="03A8BAD6" w14:textId="77777777" w:rsidR="00BA521A" w:rsidRDefault="00BD675F">
      <w:pPr>
        <w:spacing w:line="276" w:lineRule="auto"/>
        <w:jc w:val="both"/>
        <w:rPr>
          <w:rFonts w:ascii="Arial" w:hAnsi="Arial" w:cs="Arial"/>
          <w:b/>
          <w:bCs/>
          <w:sz w:val="22"/>
        </w:rPr>
      </w:pPr>
      <w:r>
        <w:rPr>
          <w:rFonts w:ascii="Arial" w:hAnsi="Arial" w:cs="Arial"/>
          <w:b/>
          <w:bCs/>
          <w:sz w:val="22"/>
        </w:rPr>
        <w:t>6. Conclusion</w:t>
      </w:r>
    </w:p>
    <w:p w14:paraId="7B144CCD" w14:textId="616348BB" w:rsidR="00BA521A" w:rsidRDefault="00BD675F">
      <w:pPr>
        <w:spacing w:line="276" w:lineRule="auto"/>
        <w:ind w:firstLine="720"/>
        <w:jc w:val="both"/>
        <w:rPr>
          <w:rFonts w:ascii="Arial" w:hAnsi="Arial" w:cs="Arial"/>
          <w:szCs w:val="18"/>
        </w:rPr>
      </w:pPr>
      <w:r>
        <w:rPr>
          <w:rFonts w:ascii="Arial" w:hAnsi="Arial" w:cs="Arial"/>
          <w:szCs w:val="18"/>
        </w:rPr>
        <w:t xml:space="preserve">This study confirms that stand density significantly influences total biomass accumulation in </w:t>
      </w:r>
      <w:r w:rsidR="005E4EC4">
        <w:rPr>
          <w:rFonts w:ascii="Arial" w:hAnsi="Arial" w:cs="Arial"/>
          <w:szCs w:val="18"/>
        </w:rPr>
        <w:t>Sandalwood</w:t>
      </w:r>
      <w:r>
        <w:rPr>
          <w:rFonts w:ascii="Arial" w:hAnsi="Arial" w:cs="Arial"/>
          <w:szCs w:val="18"/>
        </w:rPr>
        <w:t xml:space="preserve"> plantations, with intermediate densities yielding the highest biomass. These findings </w:t>
      </w:r>
      <w:proofErr w:type="gramStart"/>
      <w:r>
        <w:rPr>
          <w:rFonts w:ascii="Arial" w:hAnsi="Arial" w:cs="Arial"/>
          <w:szCs w:val="18"/>
        </w:rPr>
        <w:t>are in agreement</w:t>
      </w:r>
      <w:proofErr w:type="gramEnd"/>
      <w:r>
        <w:rPr>
          <w:rFonts w:ascii="Arial" w:hAnsi="Arial" w:cs="Arial"/>
          <w:szCs w:val="18"/>
        </w:rPr>
        <w:t xml:space="preserve"> with previous research on </w:t>
      </w:r>
      <w:r w:rsidR="005E4EC4">
        <w:rPr>
          <w:rFonts w:ascii="Arial" w:hAnsi="Arial" w:cs="Arial"/>
          <w:szCs w:val="18"/>
        </w:rPr>
        <w:t>Sandalwood</w:t>
      </w:r>
      <w:r>
        <w:rPr>
          <w:rFonts w:ascii="Arial" w:hAnsi="Arial" w:cs="Arial"/>
          <w:szCs w:val="18"/>
        </w:rPr>
        <w:t xml:space="preserve"> along with other tree species, reinforcing the importance of optimizing planting density for sustainable and productive plantation management.</w:t>
      </w:r>
    </w:p>
    <w:p w14:paraId="54D342FE" w14:textId="47DA3F88" w:rsidR="00BA521A" w:rsidRDefault="005E4EC4">
      <w:pPr>
        <w:spacing w:line="276" w:lineRule="auto"/>
        <w:ind w:firstLine="720"/>
        <w:jc w:val="both"/>
        <w:rPr>
          <w:rFonts w:ascii="Arial" w:hAnsi="Arial" w:cs="Arial"/>
          <w:szCs w:val="18"/>
        </w:rPr>
      </w:pPr>
      <w:r>
        <w:rPr>
          <w:rFonts w:ascii="Arial" w:hAnsi="Arial" w:cs="Arial"/>
          <w:szCs w:val="18"/>
        </w:rPr>
        <w:t>Sandalwood</w:t>
      </w:r>
      <w:r w:rsidR="00BD675F">
        <w:rPr>
          <w:rFonts w:ascii="Arial" w:hAnsi="Arial" w:cs="Arial"/>
          <w:szCs w:val="18"/>
        </w:rPr>
        <w:t xml:space="preserve"> plantations, particularly as they mature, play a significant role in biomass accumulation and carbon sequestration.  The choice of host species and plantation management practices are determining factors influencing the outcomes.  While </w:t>
      </w:r>
      <w:r>
        <w:rPr>
          <w:rFonts w:ascii="Arial" w:hAnsi="Arial" w:cs="Arial"/>
          <w:szCs w:val="18"/>
        </w:rPr>
        <w:t>Sandalwood</w:t>
      </w:r>
      <w:r w:rsidR="00BD675F">
        <w:rPr>
          <w:rFonts w:ascii="Arial" w:hAnsi="Arial" w:cs="Arial"/>
          <w:szCs w:val="18"/>
        </w:rPr>
        <w:t xml:space="preserve"> may not match the carbon sequestration rates of some other tree species, its high economic value and contribution to soil carbon dynamics make it a valuable component of sustainable forestry and climate change mitigation strategies</w:t>
      </w:r>
      <w:r w:rsidR="003F162C">
        <w:rPr>
          <w:rFonts w:ascii="Arial" w:hAnsi="Arial" w:cs="Arial"/>
          <w:szCs w:val="18"/>
        </w:rPr>
        <w:br/>
      </w:r>
    </w:p>
    <w:p w14:paraId="71F49C47" w14:textId="77777777" w:rsidR="003F162C" w:rsidRPr="003F162C" w:rsidRDefault="003F162C" w:rsidP="003F162C">
      <w:pPr>
        <w:spacing w:line="276" w:lineRule="auto"/>
        <w:ind w:firstLine="720"/>
        <w:jc w:val="both"/>
        <w:rPr>
          <w:rFonts w:ascii="Times New Roman" w:hAnsi="Times New Roman"/>
          <w:b/>
          <w:sz w:val="24"/>
          <w:szCs w:val="22"/>
        </w:rPr>
      </w:pPr>
      <w:r w:rsidRPr="003F162C">
        <w:rPr>
          <w:rFonts w:ascii="Times New Roman" w:hAnsi="Times New Roman"/>
          <w:b/>
          <w:sz w:val="24"/>
          <w:szCs w:val="22"/>
        </w:rPr>
        <w:t>Disclaimer (Artificial intelligence)</w:t>
      </w:r>
    </w:p>
    <w:p w14:paraId="501C32EC"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 xml:space="preserve">Option 1: </w:t>
      </w:r>
    </w:p>
    <w:p w14:paraId="64DA6D8F"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Author(s) hereby declare that NO generative AI technologies such as Large Language Models (</w:t>
      </w:r>
      <w:proofErr w:type="spellStart"/>
      <w:r w:rsidRPr="003F162C">
        <w:rPr>
          <w:rFonts w:ascii="Times New Roman" w:hAnsi="Times New Roman"/>
          <w:sz w:val="24"/>
          <w:szCs w:val="22"/>
        </w:rPr>
        <w:t>ChatGPT</w:t>
      </w:r>
      <w:proofErr w:type="spellEnd"/>
      <w:r w:rsidRPr="003F162C">
        <w:rPr>
          <w:rFonts w:ascii="Times New Roman" w:hAnsi="Times New Roman"/>
          <w:sz w:val="24"/>
          <w:szCs w:val="22"/>
        </w:rPr>
        <w:t xml:space="preserve">, COPILOT, etc.) and text-to-image generators have been used during the writing or editing of this manuscript. </w:t>
      </w:r>
    </w:p>
    <w:p w14:paraId="2AAA0162"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 xml:space="preserve">Option 2: </w:t>
      </w:r>
    </w:p>
    <w:p w14:paraId="5703DECC"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871BEA"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Details of the AI usage are given below:</w:t>
      </w:r>
    </w:p>
    <w:p w14:paraId="3C46B7C0"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1.</w:t>
      </w:r>
    </w:p>
    <w:p w14:paraId="00040F21" w14:textId="77777777" w:rsidR="003F162C" w:rsidRP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2.</w:t>
      </w:r>
    </w:p>
    <w:p w14:paraId="1AC41CAD" w14:textId="36C51851" w:rsidR="003F162C" w:rsidRDefault="003F162C" w:rsidP="003F162C">
      <w:pPr>
        <w:spacing w:line="276" w:lineRule="auto"/>
        <w:ind w:firstLine="720"/>
        <w:jc w:val="both"/>
        <w:rPr>
          <w:rFonts w:ascii="Times New Roman" w:hAnsi="Times New Roman"/>
          <w:sz w:val="24"/>
          <w:szCs w:val="22"/>
        </w:rPr>
      </w:pPr>
      <w:r w:rsidRPr="003F162C">
        <w:rPr>
          <w:rFonts w:ascii="Times New Roman" w:hAnsi="Times New Roman"/>
          <w:sz w:val="24"/>
          <w:szCs w:val="22"/>
        </w:rPr>
        <w:t>3.</w:t>
      </w:r>
    </w:p>
    <w:p w14:paraId="11BE0A62" w14:textId="77777777" w:rsidR="00BA521A" w:rsidRDefault="00BA521A">
      <w:pPr>
        <w:pStyle w:val="AcknHead"/>
        <w:spacing w:after="0"/>
        <w:jc w:val="both"/>
        <w:rPr>
          <w:rFonts w:ascii="Arial" w:hAnsi="Arial" w:cs="Arial"/>
        </w:rPr>
      </w:pPr>
    </w:p>
    <w:p w14:paraId="5AFAF9C5" w14:textId="77777777" w:rsidR="00BA521A" w:rsidRDefault="00BA521A">
      <w:pPr>
        <w:pStyle w:val="ReferHead"/>
        <w:spacing w:after="0"/>
        <w:jc w:val="both"/>
        <w:rPr>
          <w:rFonts w:ascii="Arial" w:hAnsi="Arial" w:cs="Arial"/>
        </w:rPr>
      </w:pPr>
    </w:p>
    <w:p w14:paraId="2E40710C" w14:textId="77777777" w:rsidR="00BA521A" w:rsidRDefault="00BD675F">
      <w:pPr>
        <w:pStyle w:val="ReferHead"/>
        <w:spacing w:after="0"/>
        <w:jc w:val="both"/>
        <w:rPr>
          <w:rFonts w:ascii="Arial" w:hAnsi="Arial" w:cs="Arial"/>
        </w:rPr>
      </w:pPr>
      <w:r>
        <w:rPr>
          <w:rFonts w:ascii="Arial" w:hAnsi="Arial" w:cs="Arial"/>
        </w:rPr>
        <w:t>References</w:t>
      </w:r>
    </w:p>
    <w:p w14:paraId="3FB29AE4"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Anonymous. (2009). Medium Term Plan 2010– 2012. Transforming lives and landscapes through agroforestry science. Nairobi, Kenya: World Agroforestry Centre (ICRAF); 36 p.</w:t>
      </w:r>
    </w:p>
    <w:p w14:paraId="41ECF2D9" w14:textId="705F91AC"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Berry, N., Rai, N., &amp; Shukla, A. (2022). Carbon pool assessment in Gmelina arborea under agroforestry system at Jabalpur district of Madhya Pradesh. Indian </w:t>
      </w:r>
      <w:r>
        <w:rPr>
          <w:rFonts w:ascii="Arial" w:hAnsi="Arial" w:cs="Arial"/>
          <w:i/>
          <w:iCs/>
          <w:color w:val="222222"/>
          <w:shd w:val="clear" w:color="auto" w:fill="FFFFFF"/>
        </w:rPr>
        <w:t>Journal of Agroforestry</w:t>
      </w:r>
      <w:r w:rsidR="000E4CF2">
        <w:rPr>
          <w:rFonts w:ascii="Arial" w:hAnsi="Arial" w:cs="Arial"/>
          <w:color w:val="222222"/>
          <w:shd w:val="clear" w:color="auto" w:fill="FFFFFF"/>
        </w:rPr>
        <w:t>,</w:t>
      </w:r>
      <w:r>
        <w:rPr>
          <w:rFonts w:ascii="Arial" w:hAnsi="Arial" w:cs="Arial"/>
          <w:color w:val="222222"/>
          <w:shd w:val="clear" w:color="auto" w:fill="FFFFFF"/>
        </w:rPr>
        <w:t> 24(2)</w:t>
      </w:r>
      <w:r w:rsidR="000E4CF2">
        <w:rPr>
          <w:rFonts w:ascii="Arial" w:hAnsi="Arial" w:cs="Arial"/>
          <w:color w:val="222222"/>
          <w:shd w:val="clear" w:color="auto" w:fill="FFFFFF"/>
        </w:rPr>
        <w:t>:</w:t>
      </w:r>
      <w:r>
        <w:rPr>
          <w:rFonts w:ascii="Arial" w:hAnsi="Arial" w:cs="Arial"/>
          <w:color w:val="222222"/>
          <w:shd w:val="clear" w:color="auto" w:fill="FFFFFF"/>
        </w:rPr>
        <w:t xml:space="preserve"> 13-18.</w:t>
      </w:r>
    </w:p>
    <w:p w14:paraId="3A2D3664"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Chandrashekara, U. M. and Parthasarathy, M. D. (1995). "Effect of spacing on growth and yield of </w:t>
      </w:r>
      <w:proofErr w:type="spellStart"/>
      <w:r>
        <w:rPr>
          <w:rFonts w:ascii="Arial" w:hAnsi="Arial" w:cs="Arial"/>
          <w:color w:val="222222"/>
          <w:shd w:val="clear" w:color="auto" w:fill="FFFFFF"/>
        </w:rPr>
        <w:t>teak</w:t>
      </w:r>
      <w:proofErr w:type="spellEnd"/>
      <w:r>
        <w:rPr>
          <w:rFonts w:ascii="Arial" w:hAnsi="Arial" w:cs="Arial"/>
          <w:color w:val="222222"/>
          <w:shd w:val="clear" w:color="auto" w:fill="FFFFFF"/>
        </w:rPr>
        <w:t xml:space="preserve"> plantations." </w:t>
      </w:r>
      <w:r>
        <w:rPr>
          <w:rFonts w:ascii="Arial" w:hAnsi="Arial" w:cs="Arial"/>
          <w:i/>
          <w:iCs/>
          <w:color w:val="222222"/>
          <w:shd w:val="clear" w:color="auto" w:fill="FFFFFF"/>
        </w:rPr>
        <w:t>Indian Forester</w:t>
      </w:r>
      <w:r>
        <w:rPr>
          <w:rFonts w:ascii="Arial" w:hAnsi="Arial" w:cs="Arial"/>
          <w:color w:val="222222"/>
          <w:shd w:val="clear" w:color="auto" w:fill="FFFFFF"/>
        </w:rPr>
        <w:t>. 121(9), 833-838.</w:t>
      </w:r>
    </w:p>
    <w:p w14:paraId="738C5FB5"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Chaturvedi, A. N. and Khanna, L. S. (1982). Forest Mensuration. International Book Distributors, Dehra Dun.</w:t>
      </w:r>
    </w:p>
    <w:p w14:paraId="6B40AA99" w14:textId="1D646A06"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lastRenderedPageBreak/>
        <w:t xml:space="preserve">Chaudhari, S. K., Kumar, P., Singh, K., Mishra, A. K., Rai, P., Singh. R. and Sharma. D. K. (2014). Aggregate fractions and organic carbon dynamics in partially reclaimed sodic soils growing </w:t>
      </w:r>
      <w:r>
        <w:rPr>
          <w:rFonts w:ascii="Arial" w:hAnsi="Arial" w:cs="Arial"/>
          <w:i/>
          <w:iCs/>
          <w:color w:val="222222"/>
          <w:shd w:val="clear" w:color="auto" w:fill="FFFFFF"/>
        </w:rPr>
        <w:t xml:space="preserve">Eucalyptus </w:t>
      </w:r>
      <w:proofErr w:type="spellStart"/>
      <w:r>
        <w:rPr>
          <w:rFonts w:ascii="Arial" w:hAnsi="Arial" w:cs="Arial"/>
          <w:i/>
          <w:iCs/>
          <w:color w:val="222222"/>
          <w:shd w:val="clear" w:color="auto" w:fill="FFFFFF"/>
        </w:rPr>
        <w:t>tereticornis</w:t>
      </w:r>
      <w:proofErr w:type="spellEnd"/>
      <w:r>
        <w:rPr>
          <w:rFonts w:ascii="Arial" w:hAnsi="Arial" w:cs="Arial"/>
          <w:color w:val="222222"/>
          <w:shd w:val="clear" w:color="auto" w:fill="FFFFFF"/>
        </w:rPr>
        <w:t xml:space="preserve">. </w:t>
      </w:r>
      <w:r>
        <w:rPr>
          <w:rFonts w:ascii="Arial" w:hAnsi="Arial" w:cs="Arial"/>
          <w:i/>
          <w:iCs/>
          <w:color w:val="222222"/>
          <w:shd w:val="clear" w:color="auto" w:fill="FFFFFF"/>
        </w:rPr>
        <w:t>Journal of Soil Salinity and Water Quality</w:t>
      </w:r>
      <w:r w:rsidR="000E4CF2">
        <w:rPr>
          <w:rFonts w:ascii="Arial" w:hAnsi="Arial" w:cs="Arial"/>
          <w:color w:val="222222"/>
          <w:shd w:val="clear" w:color="auto" w:fill="FFFFFF"/>
        </w:rPr>
        <w:t>,</w:t>
      </w:r>
      <w:r>
        <w:rPr>
          <w:rFonts w:ascii="Arial" w:hAnsi="Arial" w:cs="Arial"/>
          <w:color w:val="222222"/>
          <w:shd w:val="clear" w:color="auto" w:fill="FFFFFF"/>
        </w:rPr>
        <w:t xml:space="preserve"> 6(2): 96-100.</w:t>
      </w:r>
    </w:p>
    <w:p w14:paraId="2ADD9590"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Chave, J., </w:t>
      </w:r>
      <w:proofErr w:type="spellStart"/>
      <w:r>
        <w:rPr>
          <w:rFonts w:ascii="Arial" w:hAnsi="Arial" w:cs="Arial"/>
          <w:color w:val="222222"/>
          <w:shd w:val="clear" w:color="auto" w:fill="FFFFFF"/>
        </w:rPr>
        <w:t>Andalo</w:t>
      </w:r>
      <w:proofErr w:type="spellEnd"/>
      <w:r>
        <w:rPr>
          <w:rFonts w:ascii="Arial" w:hAnsi="Arial" w:cs="Arial"/>
          <w:color w:val="222222"/>
          <w:shd w:val="clear" w:color="auto" w:fill="FFFFFF"/>
        </w:rPr>
        <w:t xml:space="preserve">, C., Brown, S., Cairns, M., Chambers, J.Q., Eamus, D., Folster, H., </w:t>
      </w:r>
      <w:proofErr w:type="spellStart"/>
      <w:r>
        <w:rPr>
          <w:rFonts w:ascii="Arial" w:hAnsi="Arial" w:cs="Arial"/>
          <w:color w:val="222222"/>
          <w:shd w:val="clear" w:color="auto" w:fill="FFFFFF"/>
        </w:rPr>
        <w:t>Fromard</w:t>
      </w:r>
      <w:proofErr w:type="spellEnd"/>
      <w:r>
        <w:rPr>
          <w:rFonts w:ascii="Arial" w:hAnsi="Arial" w:cs="Arial"/>
          <w:color w:val="222222"/>
          <w:shd w:val="clear" w:color="auto" w:fill="FFFFFF"/>
        </w:rPr>
        <w:t xml:space="preserve">, F., Higuchi, N., Kira, T., Lescure, J.P., Nelson, B.W., Ogawa, H., Puig, H., Riera, B., </w:t>
      </w:r>
      <w:proofErr w:type="spellStart"/>
      <w:r>
        <w:rPr>
          <w:rFonts w:ascii="Arial" w:hAnsi="Arial" w:cs="Arial"/>
          <w:color w:val="222222"/>
          <w:shd w:val="clear" w:color="auto" w:fill="FFFFFF"/>
        </w:rPr>
        <w:t>Yamakura</w:t>
      </w:r>
      <w:proofErr w:type="spellEnd"/>
      <w:r>
        <w:rPr>
          <w:rFonts w:ascii="Arial" w:hAnsi="Arial" w:cs="Arial"/>
          <w:color w:val="222222"/>
          <w:shd w:val="clear" w:color="auto" w:fill="FFFFFF"/>
        </w:rPr>
        <w:t xml:space="preserve">, T., (2005). Tree allometry and improved estimation of carbon stocks and balance in tropical forests. </w:t>
      </w:r>
      <w:proofErr w:type="spellStart"/>
      <w:r>
        <w:rPr>
          <w:rFonts w:ascii="Arial" w:hAnsi="Arial" w:cs="Arial"/>
          <w:i/>
          <w:iCs/>
          <w:color w:val="222222"/>
          <w:shd w:val="clear" w:color="auto" w:fill="FFFFFF"/>
        </w:rPr>
        <w:t>Oecologia</w:t>
      </w:r>
      <w:proofErr w:type="spellEnd"/>
      <w:r>
        <w:rPr>
          <w:rFonts w:ascii="Arial" w:hAnsi="Arial" w:cs="Arial"/>
          <w:color w:val="222222"/>
          <w:shd w:val="clear" w:color="auto" w:fill="FFFFFF"/>
        </w:rPr>
        <w:t xml:space="preserve"> 145, 87–99.</w:t>
      </w:r>
    </w:p>
    <w:p w14:paraId="11BF710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Connell, J. H. (1978). Diversity in tropical rain forests and coral reefs. </w:t>
      </w:r>
      <w:r>
        <w:rPr>
          <w:rFonts w:ascii="Arial" w:hAnsi="Arial" w:cs="Arial"/>
          <w:i/>
          <w:iCs/>
          <w:color w:val="222222"/>
          <w:shd w:val="clear" w:color="auto" w:fill="FFFFFF"/>
        </w:rPr>
        <w:t>Science,</w:t>
      </w:r>
      <w:r>
        <w:rPr>
          <w:rFonts w:ascii="Arial" w:hAnsi="Arial" w:cs="Arial"/>
          <w:color w:val="222222"/>
          <w:shd w:val="clear" w:color="auto" w:fill="FFFFFF"/>
        </w:rPr>
        <w:t xml:space="preserve"> 199(4335): 1302-1310.  </w:t>
      </w:r>
    </w:p>
    <w:p w14:paraId="786010D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FAO. (2020). Global Forest Resources Assessment 2020. Food and Agriculture Organization.</w:t>
      </w:r>
    </w:p>
    <w:p w14:paraId="18727573" w14:textId="30442972"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Fearnside, P. M. (1997). Wood density for estimating forest biomass in Brazilian Amazonia. </w:t>
      </w:r>
      <w:r>
        <w:rPr>
          <w:rFonts w:ascii="Arial" w:hAnsi="Arial" w:cs="Arial"/>
          <w:i/>
          <w:iCs/>
          <w:color w:val="222222"/>
          <w:shd w:val="clear" w:color="auto" w:fill="FFFFFF"/>
        </w:rPr>
        <w:t xml:space="preserve">For. Ecol. </w:t>
      </w:r>
      <w:proofErr w:type="spellStart"/>
      <w:r>
        <w:rPr>
          <w:rFonts w:ascii="Arial" w:hAnsi="Arial" w:cs="Arial"/>
          <w:i/>
          <w:iCs/>
          <w:color w:val="222222"/>
          <w:shd w:val="clear" w:color="auto" w:fill="FFFFFF"/>
        </w:rPr>
        <w:t>Manag</w:t>
      </w:r>
      <w:proofErr w:type="spellEnd"/>
      <w:r w:rsidR="000E4CF2">
        <w:rPr>
          <w:rFonts w:ascii="Arial" w:hAnsi="Arial" w:cs="Arial"/>
          <w:color w:val="222222"/>
          <w:shd w:val="clear" w:color="auto" w:fill="FFFFFF"/>
        </w:rPr>
        <w:t>.,</w:t>
      </w:r>
      <w:r>
        <w:rPr>
          <w:rFonts w:ascii="Arial" w:hAnsi="Arial" w:cs="Arial"/>
          <w:color w:val="222222"/>
          <w:shd w:val="clear" w:color="auto" w:fill="FFFFFF"/>
        </w:rPr>
        <w:t xml:space="preserve"> 90: 59–87.</w:t>
      </w:r>
    </w:p>
    <w:p w14:paraId="7A108DEC" w14:textId="41F6B5E8"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Felker, P., Faria, J., </w:t>
      </w:r>
      <w:proofErr w:type="spellStart"/>
      <w:r>
        <w:rPr>
          <w:rFonts w:ascii="Arial" w:hAnsi="Arial" w:cs="Arial"/>
          <w:color w:val="222222"/>
          <w:shd w:val="clear" w:color="auto" w:fill="FFFFFF"/>
        </w:rPr>
        <w:t>Cervinka</w:t>
      </w:r>
      <w:proofErr w:type="spellEnd"/>
      <w:r>
        <w:rPr>
          <w:rFonts w:ascii="Arial" w:hAnsi="Arial" w:cs="Arial"/>
          <w:color w:val="222222"/>
          <w:shd w:val="clear" w:color="auto" w:fill="FFFFFF"/>
        </w:rPr>
        <w:t xml:space="preserve">, V., Finch, C. and Ewens, M. (2009). Genus Prosopis for livelihood security in salt affected dry areas. </w:t>
      </w:r>
      <w:r>
        <w:rPr>
          <w:rFonts w:ascii="Arial" w:hAnsi="Arial" w:cs="Arial"/>
          <w:i/>
          <w:iCs/>
          <w:color w:val="222222"/>
          <w:shd w:val="clear" w:color="auto" w:fill="FFFFFF"/>
        </w:rPr>
        <w:t>Journal of Soil Salinity and Water Quality</w:t>
      </w:r>
      <w:r w:rsidR="000E4CF2">
        <w:rPr>
          <w:rFonts w:ascii="Arial" w:hAnsi="Arial" w:cs="Arial"/>
          <w:color w:val="222222"/>
          <w:shd w:val="clear" w:color="auto" w:fill="FFFFFF"/>
        </w:rPr>
        <w:t>,</w:t>
      </w:r>
      <w:r>
        <w:rPr>
          <w:rFonts w:ascii="Arial" w:hAnsi="Arial" w:cs="Arial"/>
          <w:color w:val="222222"/>
          <w:shd w:val="clear" w:color="auto" w:fill="FFFFFF"/>
        </w:rPr>
        <w:t xml:space="preserve"> 1:50-54.</w:t>
      </w:r>
    </w:p>
    <w:p w14:paraId="68218C12"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Food and Agriculture Organization. (2020). Global Forest Resources Assessment. Rome. </w:t>
      </w:r>
    </w:p>
    <w:p w14:paraId="6A0779C2"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Forrester, D. I. (2019). Linking forest growth with stand structure: Tree size inequality, tree growth, and mortality. </w:t>
      </w:r>
      <w:r>
        <w:rPr>
          <w:rFonts w:ascii="Arial" w:hAnsi="Arial" w:cs="Arial"/>
          <w:i/>
          <w:iCs/>
          <w:color w:val="222222"/>
          <w:shd w:val="clear" w:color="auto" w:fill="FFFFFF"/>
        </w:rPr>
        <w:t>Forest Ecology and Management</w:t>
      </w:r>
      <w:r>
        <w:rPr>
          <w:rFonts w:ascii="Arial" w:hAnsi="Arial" w:cs="Arial"/>
          <w:color w:val="222222"/>
          <w:shd w:val="clear" w:color="auto" w:fill="FFFFFF"/>
        </w:rPr>
        <w:t xml:space="preserve">, 435: 1-8.  </w:t>
      </w:r>
    </w:p>
    <w:p w14:paraId="3BD704E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Forrester, D. I., </w:t>
      </w:r>
      <w:proofErr w:type="spellStart"/>
      <w:r>
        <w:rPr>
          <w:rFonts w:ascii="Arial" w:hAnsi="Arial" w:cs="Arial"/>
          <w:color w:val="222222"/>
          <w:shd w:val="clear" w:color="auto" w:fill="FFFFFF"/>
        </w:rPr>
        <w:t>Bauhus</w:t>
      </w:r>
      <w:proofErr w:type="spellEnd"/>
      <w:r>
        <w:rPr>
          <w:rFonts w:ascii="Arial" w:hAnsi="Arial" w:cs="Arial"/>
          <w:color w:val="222222"/>
          <w:shd w:val="clear" w:color="auto" w:fill="FFFFFF"/>
        </w:rPr>
        <w:t xml:space="preserve">, J. and Cowie, A. L. (2004). Growth and water use of Eucalyptus plantations with mixtures of nitrogen-fixing trees. </w:t>
      </w:r>
      <w:r>
        <w:rPr>
          <w:rFonts w:ascii="Arial" w:hAnsi="Arial" w:cs="Arial"/>
          <w:i/>
          <w:iCs/>
          <w:color w:val="222222"/>
          <w:shd w:val="clear" w:color="auto" w:fill="FFFFFF"/>
        </w:rPr>
        <w:t>Forest Ecology and Management</w:t>
      </w:r>
      <w:r>
        <w:rPr>
          <w:rFonts w:ascii="Arial" w:hAnsi="Arial" w:cs="Arial"/>
          <w:color w:val="222222"/>
          <w:shd w:val="clear" w:color="auto" w:fill="FFFFFF"/>
        </w:rPr>
        <w:t>, 193(1-2): 143-160.</w:t>
      </w:r>
    </w:p>
    <w:p w14:paraId="42E414AB"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Fox, T. R., Jokela, E. J. and Allen, H. L. (2007). Plantation density and productivity in forest trees. </w:t>
      </w:r>
      <w:r>
        <w:rPr>
          <w:rFonts w:ascii="Arial" w:hAnsi="Arial" w:cs="Arial"/>
          <w:i/>
          <w:iCs/>
          <w:color w:val="222222"/>
          <w:shd w:val="clear" w:color="auto" w:fill="FFFFFF"/>
        </w:rPr>
        <w:t>Forest Ecology and Management</w:t>
      </w:r>
      <w:r>
        <w:rPr>
          <w:rFonts w:ascii="Arial" w:hAnsi="Arial" w:cs="Arial"/>
          <w:color w:val="222222"/>
          <w:shd w:val="clear" w:color="auto" w:fill="FFFFFF"/>
        </w:rPr>
        <w:t>. 252(1-3): 1-13.</w:t>
      </w:r>
    </w:p>
    <w:p w14:paraId="42F9BC8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Gibbs, H. K., Brown, S., Niles, J. O., Foley, A. J. (2007). Monitoring and estimating tropical forest carbon stocks: making REDD a reality. </w:t>
      </w:r>
      <w:r>
        <w:rPr>
          <w:rFonts w:ascii="Arial" w:hAnsi="Arial" w:cs="Arial"/>
          <w:i/>
          <w:iCs/>
          <w:color w:val="222222"/>
          <w:shd w:val="clear" w:color="auto" w:fill="FFFFFF"/>
        </w:rPr>
        <w:t>Environ. Res. Lett</w:t>
      </w:r>
      <w:r>
        <w:rPr>
          <w:rFonts w:ascii="Arial" w:hAnsi="Arial" w:cs="Arial"/>
          <w:color w:val="222222"/>
          <w:shd w:val="clear" w:color="auto" w:fill="FFFFFF"/>
        </w:rPr>
        <w:t>. 2, 1–13.</w:t>
      </w:r>
    </w:p>
    <w:p w14:paraId="01C2BA80"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Gower, S. T., </w:t>
      </w:r>
      <w:proofErr w:type="spellStart"/>
      <w:r>
        <w:rPr>
          <w:rFonts w:ascii="Arial" w:hAnsi="Arial" w:cs="Arial"/>
          <w:color w:val="222222"/>
          <w:shd w:val="clear" w:color="auto" w:fill="FFFFFF"/>
        </w:rPr>
        <w:t>Isebrands</w:t>
      </w:r>
      <w:proofErr w:type="spellEnd"/>
      <w:r>
        <w:rPr>
          <w:rFonts w:ascii="Arial" w:hAnsi="Arial" w:cs="Arial"/>
          <w:color w:val="222222"/>
          <w:shd w:val="clear" w:color="auto" w:fill="FFFFFF"/>
        </w:rPr>
        <w:t xml:space="preserve">, J. G. and Sheriff, D. W. (1996). Carbon allocation and accumulation in conifers. Tree Physiology, 16(1-2), 101-108.IPCC. (2019). Refinement to the 2006 IPCC Guidelines for National Greenhouse Gas Inventories.  </w:t>
      </w:r>
    </w:p>
    <w:p w14:paraId="2679751A"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Guo, Z., Zhang, S., Zhang, L., Xiang, Y., &amp; Wu, J. (2024). A meta</w:t>
      </w:r>
      <w:r>
        <w:rPr>
          <w:rFonts w:ascii="Cambria Math" w:hAnsi="Cambria Math" w:cs="Cambria Math"/>
          <w:color w:val="222222"/>
          <w:shd w:val="clear" w:color="auto" w:fill="FFFFFF"/>
        </w:rPr>
        <w:t>‐</w:t>
      </w:r>
      <w:r>
        <w:rPr>
          <w:rFonts w:ascii="Arial" w:hAnsi="Arial" w:cs="Arial"/>
          <w:color w:val="222222"/>
          <w:shd w:val="clear" w:color="auto" w:fill="FFFFFF"/>
        </w:rPr>
        <w:t>analysis reveals increases in soil organic carbon following the restoration and recovery of croplands in Southwest China. </w:t>
      </w:r>
      <w:r>
        <w:rPr>
          <w:rFonts w:ascii="Arial" w:hAnsi="Arial" w:cs="Arial"/>
          <w:i/>
          <w:iCs/>
          <w:color w:val="222222"/>
          <w:shd w:val="clear" w:color="auto" w:fill="FFFFFF"/>
        </w:rPr>
        <w:t>Ecological Applications</w:t>
      </w:r>
      <w:r>
        <w:rPr>
          <w:rFonts w:ascii="Arial" w:hAnsi="Arial" w:cs="Arial"/>
          <w:color w:val="222222"/>
          <w:shd w:val="clear" w:color="auto" w:fill="FFFFFF"/>
        </w:rPr>
        <w:t>, 34(3). </w:t>
      </w:r>
    </w:p>
    <w:p w14:paraId="1C8E2D8F"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Gupta, S. (2002). Research Methodology Abd Statistical Techniques. Deep and Deep Publications.</w:t>
      </w:r>
    </w:p>
    <w:p w14:paraId="15767987" w14:textId="2E826C59"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Hangarge</w:t>
      </w:r>
      <w:proofErr w:type="spellEnd"/>
      <w:r>
        <w:rPr>
          <w:rFonts w:ascii="Arial" w:hAnsi="Arial" w:cs="Arial"/>
          <w:color w:val="222222"/>
          <w:shd w:val="clear" w:color="auto" w:fill="FFFFFF"/>
        </w:rPr>
        <w:t xml:space="preserve">, L. M., Kulkarni, D. K., Gaikwad, V. B., Mahajan, D. M. and Chaudhari, N. (2012). Carbon Sequestration potential of tree species in </w:t>
      </w:r>
      <w:proofErr w:type="spellStart"/>
      <w:r>
        <w:rPr>
          <w:rFonts w:ascii="Arial" w:hAnsi="Arial" w:cs="Arial"/>
          <w:color w:val="222222"/>
          <w:shd w:val="clear" w:color="auto" w:fill="FFFFFF"/>
        </w:rPr>
        <w:t>Somjaichi</w:t>
      </w:r>
      <w:proofErr w:type="spellEnd"/>
      <w:r>
        <w:rPr>
          <w:rFonts w:ascii="Arial" w:hAnsi="Arial" w:cs="Arial"/>
          <w:color w:val="222222"/>
          <w:shd w:val="clear" w:color="auto" w:fill="FFFFFF"/>
        </w:rPr>
        <w:t xml:space="preserve"> Rai (Sacred grove) at </w:t>
      </w:r>
      <w:proofErr w:type="spellStart"/>
      <w:r>
        <w:rPr>
          <w:rFonts w:ascii="Arial" w:hAnsi="Arial" w:cs="Arial"/>
          <w:color w:val="222222"/>
          <w:shd w:val="clear" w:color="auto" w:fill="FFFFFF"/>
        </w:rPr>
        <w:t>Nandghur</w:t>
      </w:r>
      <w:proofErr w:type="spellEnd"/>
      <w:r>
        <w:rPr>
          <w:rFonts w:ascii="Arial" w:hAnsi="Arial" w:cs="Arial"/>
          <w:color w:val="222222"/>
          <w:shd w:val="clear" w:color="auto" w:fill="FFFFFF"/>
        </w:rPr>
        <w:t xml:space="preserve"> village, in </w:t>
      </w:r>
      <w:proofErr w:type="spellStart"/>
      <w:r>
        <w:rPr>
          <w:rFonts w:ascii="Arial" w:hAnsi="Arial" w:cs="Arial"/>
          <w:color w:val="222222"/>
          <w:shd w:val="clear" w:color="auto" w:fill="FFFFFF"/>
        </w:rPr>
        <w:t>Bhor</w:t>
      </w:r>
      <w:proofErr w:type="spellEnd"/>
      <w:r>
        <w:rPr>
          <w:rFonts w:ascii="Arial" w:hAnsi="Arial" w:cs="Arial"/>
          <w:color w:val="222222"/>
          <w:shd w:val="clear" w:color="auto" w:fill="FFFFFF"/>
        </w:rPr>
        <w:t xml:space="preserve"> region of Pune District, Maharashtra State, India</w:t>
      </w:r>
      <w:r>
        <w:rPr>
          <w:rFonts w:ascii="Arial" w:hAnsi="Arial" w:cs="Arial"/>
          <w:i/>
          <w:iCs/>
          <w:color w:val="222222"/>
          <w:shd w:val="clear" w:color="auto" w:fill="FFFFFF"/>
        </w:rPr>
        <w:t>. Annals of Biological Research</w:t>
      </w:r>
      <w:r>
        <w:rPr>
          <w:rFonts w:ascii="Arial" w:hAnsi="Arial" w:cs="Arial"/>
          <w:color w:val="222222"/>
          <w:shd w:val="clear" w:color="auto" w:fill="FFFFFF"/>
        </w:rPr>
        <w:t>, 3(7):</w:t>
      </w:r>
      <w:r w:rsidR="000E4CF2">
        <w:rPr>
          <w:rFonts w:ascii="Arial" w:hAnsi="Arial" w:cs="Arial"/>
          <w:color w:val="222222"/>
          <w:shd w:val="clear" w:color="auto" w:fill="FFFFFF"/>
        </w:rPr>
        <w:t xml:space="preserve"> </w:t>
      </w:r>
      <w:r>
        <w:rPr>
          <w:rFonts w:ascii="Arial" w:hAnsi="Arial" w:cs="Arial"/>
          <w:color w:val="222222"/>
          <w:shd w:val="clear" w:color="auto" w:fill="FFFFFF"/>
        </w:rPr>
        <w:t>3426-3429.</w:t>
      </w:r>
    </w:p>
    <w:p w14:paraId="7D20FAD1"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Haripriya, G. S., Ramasamy, S. and Ravindranath, N. H. (2007). Biomass and carbon stock estimation in </w:t>
      </w:r>
      <w:r>
        <w:rPr>
          <w:rFonts w:ascii="Arial" w:hAnsi="Arial" w:cs="Arial"/>
          <w:i/>
          <w:iCs/>
          <w:color w:val="222222"/>
          <w:shd w:val="clear" w:color="auto" w:fill="FFFFFF"/>
        </w:rPr>
        <w:t>Santalum album</w:t>
      </w:r>
      <w:r>
        <w:rPr>
          <w:rFonts w:ascii="Arial" w:hAnsi="Arial" w:cs="Arial"/>
          <w:color w:val="222222"/>
          <w:shd w:val="clear" w:color="auto" w:fill="FFFFFF"/>
        </w:rPr>
        <w:t xml:space="preserve"> plantations of Karnataka, India. </w:t>
      </w:r>
      <w:r>
        <w:rPr>
          <w:rFonts w:ascii="Arial" w:hAnsi="Arial" w:cs="Arial"/>
          <w:i/>
          <w:iCs/>
          <w:color w:val="222222"/>
          <w:shd w:val="clear" w:color="auto" w:fill="FFFFFF"/>
        </w:rPr>
        <w:t>Current Science</w:t>
      </w:r>
      <w:r>
        <w:rPr>
          <w:rFonts w:ascii="Arial" w:hAnsi="Arial" w:cs="Arial"/>
          <w:color w:val="222222"/>
          <w:shd w:val="clear" w:color="auto" w:fill="FFFFFF"/>
        </w:rPr>
        <w:t>, 92(3): 323-329.</w:t>
      </w:r>
    </w:p>
    <w:p w14:paraId="75432EC4" w14:textId="30AD67AA"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Harsh, L. N., et al. (2019). "Effect of spacing on growth of sandalwood (</w:t>
      </w:r>
      <w:r>
        <w:rPr>
          <w:rFonts w:ascii="Arial" w:hAnsi="Arial" w:cs="Arial"/>
          <w:i/>
          <w:iCs/>
          <w:color w:val="222222"/>
          <w:shd w:val="clear" w:color="auto" w:fill="FFFFFF"/>
        </w:rPr>
        <w:t>Santalum album</w:t>
      </w:r>
      <w:r>
        <w:rPr>
          <w:rFonts w:ascii="Arial" w:hAnsi="Arial" w:cs="Arial"/>
          <w:color w:val="222222"/>
          <w:shd w:val="clear" w:color="auto" w:fill="FFFFFF"/>
        </w:rPr>
        <w:t xml:space="preserve">) in plantation." </w:t>
      </w:r>
      <w:r>
        <w:rPr>
          <w:rFonts w:ascii="Arial" w:hAnsi="Arial" w:cs="Arial"/>
          <w:i/>
          <w:iCs/>
          <w:color w:val="222222"/>
          <w:shd w:val="clear" w:color="auto" w:fill="FFFFFF"/>
        </w:rPr>
        <w:t>Indian Journal of Agroforestry</w:t>
      </w:r>
      <w:r>
        <w:rPr>
          <w:rFonts w:ascii="Arial" w:hAnsi="Arial" w:cs="Arial"/>
          <w:color w:val="222222"/>
          <w:shd w:val="clear" w:color="auto" w:fill="FFFFFF"/>
        </w:rPr>
        <w:t>, 21(1)</w:t>
      </w:r>
      <w:r w:rsidR="000E4CF2">
        <w:rPr>
          <w:rFonts w:ascii="Arial" w:hAnsi="Arial" w:cs="Arial"/>
          <w:color w:val="222222"/>
          <w:shd w:val="clear" w:color="auto" w:fill="FFFFFF"/>
        </w:rPr>
        <w:t>:</w:t>
      </w:r>
      <w:r>
        <w:rPr>
          <w:rFonts w:ascii="Arial" w:hAnsi="Arial" w:cs="Arial"/>
          <w:color w:val="222222"/>
          <w:shd w:val="clear" w:color="auto" w:fill="FFFFFF"/>
        </w:rPr>
        <w:t xml:space="preserve"> 45-51.</w:t>
      </w:r>
    </w:p>
    <w:p w14:paraId="2D66055F"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IPCC. (2019). Refinement to the 2006 IPCC Guidelines for National Greenhouse Gas Inventories.</w:t>
      </w:r>
    </w:p>
    <w:p w14:paraId="3DE8E434"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lastRenderedPageBreak/>
        <w:t xml:space="preserve">Jandl, R., Rodeghiero, M., Martinez, C., </w:t>
      </w:r>
      <w:proofErr w:type="spellStart"/>
      <w:r>
        <w:rPr>
          <w:rFonts w:ascii="Arial" w:hAnsi="Arial" w:cs="Arial"/>
          <w:color w:val="222222"/>
          <w:shd w:val="clear" w:color="auto" w:fill="FFFFFF"/>
        </w:rPr>
        <w:t>Cotrufo</w:t>
      </w:r>
      <w:proofErr w:type="spellEnd"/>
      <w:r>
        <w:rPr>
          <w:rFonts w:ascii="Arial" w:hAnsi="Arial" w:cs="Arial"/>
          <w:color w:val="222222"/>
          <w:shd w:val="clear" w:color="auto" w:fill="FFFFFF"/>
        </w:rPr>
        <w:t xml:space="preserve">, M. F., </w:t>
      </w:r>
      <w:proofErr w:type="spellStart"/>
      <w:r>
        <w:rPr>
          <w:rFonts w:ascii="Arial" w:hAnsi="Arial" w:cs="Arial"/>
          <w:color w:val="222222"/>
          <w:shd w:val="clear" w:color="auto" w:fill="FFFFFF"/>
        </w:rPr>
        <w:t>Bampa</w:t>
      </w:r>
      <w:proofErr w:type="spellEnd"/>
      <w:r>
        <w:rPr>
          <w:rFonts w:ascii="Arial" w:hAnsi="Arial" w:cs="Arial"/>
          <w:color w:val="222222"/>
          <w:shd w:val="clear" w:color="auto" w:fill="FFFFFF"/>
        </w:rPr>
        <w:t xml:space="preserve">, F., van </w:t>
      </w:r>
      <w:proofErr w:type="spellStart"/>
      <w:r>
        <w:rPr>
          <w:rFonts w:ascii="Arial" w:hAnsi="Arial" w:cs="Arial"/>
          <w:color w:val="222222"/>
          <w:shd w:val="clear" w:color="auto" w:fill="FFFFFF"/>
        </w:rPr>
        <w:t>Wesemael</w:t>
      </w:r>
      <w:proofErr w:type="spellEnd"/>
      <w:r>
        <w:rPr>
          <w:rFonts w:ascii="Arial" w:hAnsi="Arial" w:cs="Arial"/>
          <w:color w:val="222222"/>
          <w:shd w:val="clear" w:color="auto" w:fill="FFFFFF"/>
        </w:rPr>
        <w:t>, B., Harrison, R. B., Guerrini, I. A., Richter, D. d. B. and Rustad, L. (2014). Current status, uncertainty and future needs in soil organic carbon monitoring. </w:t>
      </w:r>
      <w:r>
        <w:rPr>
          <w:rFonts w:ascii="Arial" w:hAnsi="Arial" w:cs="Arial"/>
          <w:i/>
          <w:iCs/>
          <w:color w:val="222222"/>
          <w:shd w:val="clear" w:color="auto" w:fill="FFFFFF"/>
        </w:rPr>
        <w:t>Science of the Total Environment,</w:t>
      </w:r>
      <w:r>
        <w:rPr>
          <w:rFonts w:ascii="Arial" w:hAnsi="Arial" w:cs="Arial"/>
          <w:color w:val="222222"/>
          <w:shd w:val="clear" w:color="auto" w:fill="FFFFFF"/>
        </w:rPr>
        <w:t> 468:376-383.</w:t>
      </w:r>
    </w:p>
    <w:p w14:paraId="2A877ECD"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Johnson, I. and Coburn, R. (2010). Trees for carbon sequestration. Prime Facts, for profitable, adaptive and sustainable primary industries, job no. 9811, Pub 10/2 pp. 1-6.</w:t>
      </w:r>
    </w:p>
    <w:p w14:paraId="2B184522" w14:textId="076EAB32"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Kanime, N., Kaushal, R., Tewari, S. K., Raverkar, K. P., Chaturvedi, S. and Chaturvedi, O. P. (2013). Biomass production and carbon sequestration in different tree-based systems of Central Himalayan Tarai region. </w:t>
      </w:r>
      <w:r>
        <w:rPr>
          <w:rFonts w:ascii="Arial" w:hAnsi="Arial" w:cs="Arial"/>
          <w:i/>
          <w:iCs/>
          <w:color w:val="222222"/>
          <w:shd w:val="clear" w:color="auto" w:fill="FFFFFF"/>
        </w:rPr>
        <w:t>Forests, Trees and Livelihoods</w:t>
      </w:r>
      <w:r w:rsidR="000E4CF2">
        <w:rPr>
          <w:rFonts w:ascii="Arial" w:hAnsi="Arial" w:cs="Arial"/>
          <w:color w:val="222222"/>
          <w:shd w:val="clear" w:color="auto" w:fill="FFFFFF"/>
        </w:rPr>
        <w:t>,</w:t>
      </w:r>
      <w:r>
        <w:rPr>
          <w:rFonts w:ascii="Arial" w:hAnsi="Arial" w:cs="Arial"/>
          <w:color w:val="222222"/>
          <w:shd w:val="clear" w:color="auto" w:fill="FFFFFF"/>
        </w:rPr>
        <w:t xml:space="preserve"> 22:</w:t>
      </w:r>
      <w:r w:rsidR="000E4CF2">
        <w:rPr>
          <w:rFonts w:ascii="Arial" w:hAnsi="Arial" w:cs="Arial"/>
          <w:color w:val="222222"/>
          <w:shd w:val="clear" w:color="auto" w:fill="FFFFFF"/>
        </w:rPr>
        <w:t xml:space="preserve"> </w:t>
      </w:r>
      <w:r>
        <w:rPr>
          <w:rFonts w:ascii="Arial" w:hAnsi="Arial" w:cs="Arial"/>
          <w:color w:val="222222"/>
          <w:shd w:val="clear" w:color="auto" w:fill="FFFFFF"/>
        </w:rPr>
        <w:t>1, 38-50,</w:t>
      </w:r>
    </w:p>
    <w:p w14:paraId="5D20E7D7"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Kongsager, R., Napier, J. and Mertz, O. (2013). The carbon sequestration potential of tree crop plantations. Mitigation and Adaptation Strategies for Global Change. 18:1197-1213.</w:t>
      </w:r>
    </w:p>
    <w:p w14:paraId="526B0FAD" w14:textId="3BAA46C0"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Kumar, P., Chaudhari, S. K., Mishra, A. K., Singh, K., Rai, P., Singh, R. and Sharma, D. K. (2014) Labile carbon dynamics and soil amelioration in six-year old </w:t>
      </w:r>
      <w:r>
        <w:rPr>
          <w:rFonts w:ascii="Arial" w:hAnsi="Arial" w:cs="Arial"/>
          <w:i/>
          <w:iCs/>
          <w:color w:val="222222"/>
          <w:shd w:val="clear" w:color="auto" w:fill="FFFFFF"/>
        </w:rPr>
        <w:t xml:space="preserve">Eucalyptus </w:t>
      </w:r>
      <w:proofErr w:type="spellStart"/>
      <w:r>
        <w:rPr>
          <w:rFonts w:ascii="Arial" w:hAnsi="Arial" w:cs="Arial"/>
          <w:i/>
          <w:iCs/>
          <w:color w:val="222222"/>
          <w:shd w:val="clear" w:color="auto" w:fill="FFFFFF"/>
        </w:rPr>
        <w:t>tereticornis</w:t>
      </w:r>
      <w:proofErr w:type="spellEnd"/>
      <w:r>
        <w:rPr>
          <w:rFonts w:ascii="Arial" w:hAnsi="Arial" w:cs="Arial"/>
          <w:color w:val="222222"/>
          <w:shd w:val="clear" w:color="auto" w:fill="FFFFFF"/>
        </w:rPr>
        <w:t xml:space="preserve"> plantation in sodic soils. </w:t>
      </w:r>
      <w:r>
        <w:rPr>
          <w:rFonts w:ascii="Arial" w:hAnsi="Arial" w:cs="Arial"/>
          <w:i/>
          <w:iCs/>
          <w:color w:val="222222"/>
          <w:shd w:val="clear" w:color="auto" w:fill="FFFFFF"/>
        </w:rPr>
        <w:t>Journal of Soil Salinity and Water Quality</w:t>
      </w:r>
      <w:r w:rsidR="000E4CF2">
        <w:rPr>
          <w:rFonts w:ascii="Arial" w:hAnsi="Arial" w:cs="Arial"/>
          <w:color w:val="222222"/>
          <w:shd w:val="clear" w:color="auto" w:fill="FFFFFF"/>
        </w:rPr>
        <w:t>,</w:t>
      </w:r>
      <w:r>
        <w:rPr>
          <w:rFonts w:ascii="Arial" w:hAnsi="Arial" w:cs="Arial"/>
          <w:color w:val="222222"/>
          <w:shd w:val="clear" w:color="auto" w:fill="FFFFFF"/>
        </w:rPr>
        <w:t xml:space="preserve"> 6(2): 91-95.</w:t>
      </w:r>
    </w:p>
    <w:p w14:paraId="70454140" w14:textId="6E245812"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Kumar, P., Mishra, A. K., Chaudhari, S. K., Singh, R., Singh, K., Rai, P., Pandey, C. B. and Sharma, D. K. (2016). Biomass Estimation and Carbon Sequestration in </w:t>
      </w:r>
      <w:r>
        <w:rPr>
          <w:rFonts w:ascii="Arial" w:hAnsi="Arial" w:cs="Arial"/>
          <w:i/>
          <w:iCs/>
          <w:color w:val="222222"/>
          <w:shd w:val="clear" w:color="auto" w:fill="FFFFFF"/>
        </w:rPr>
        <w:t>Populus deltoides</w:t>
      </w:r>
      <w:r>
        <w:rPr>
          <w:rFonts w:ascii="Arial" w:hAnsi="Arial" w:cs="Arial"/>
          <w:color w:val="222222"/>
          <w:shd w:val="clear" w:color="auto" w:fill="FFFFFF"/>
        </w:rPr>
        <w:t xml:space="preserve"> Plantations in India. </w:t>
      </w:r>
      <w:r>
        <w:rPr>
          <w:rFonts w:ascii="Arial" w:hAnsi="Arial" w:cs="Arial"/>
          <w:i/>
          <w:iCs/>
          <w:color w:val="222222"/>
          <w:shd w:val="clear" w:color="auto" w:fill="FFFFFF"/>
        </w:rPr>
        <w:t>Journal of Soil Salinity and Water Quality</w:t>
      </w:r>
      <w:r w:rsidR="000E4CF2">
        <w:rPr>
          <w:rFonts w:ascii="Arial" w:hAnsi="Arial" w:cs="Arial"/>
          <w:color w:val="222222"/>
          <w:shd w:val="clear" w:color="auto" w:fill="FFFFFF"/>
        </w:rPr>
        <w:t>,</w:t>
      </w:r>
      <w:r>
        <w:rPr>
          <w:rFonts w:ascii="Arial" w:hAnsi="Arial" w:cs="Arial"/>
          <w:color w:val="222222"/>
          <w:shd w:val="clear" w:color="auto" w:fill="FFFFFF"/>
        </w:rPr>
        <w:t xml:space="preserve"> 8(1)</w:t>
      </w:r>
      <w:r w:rsidR="000E4CF2">
        <w:rPr>
          <w:rFonts w:ascii="Arial" w:hAnsi="Arial" w:cs="Arial"/>
          <w:color w:val="222222"/>
          <w:shd w:val="clear" w:color="auto" w:fill="FFFFFF"/>
        </w:rPr>
        <w:t>:</w:t>
      </w:r>
      <w:r>
        <w:rPr>
          <w:rFonts w:ascii="Arial" w:hAnsi="Arial" w:cs="Arial"/>
          <w:color w:val="222222"/>
          <w:shd w:val="clear" w:color="auto" w:fill="FFFFFF"/>
        </w:rPr>
        <w:t xml:space="preserve"> 25-29. </w:t>
      </w:r>
    </w:p>
    <w:p w14:paraId="2BE5398D"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Lemma, B. (2006). Impact of exotic tree plantations on carbon and nutrient dynamics in abandoned farmland soils of south-western Ethiopia. </w:t>
      </w:r>
      <w:proofErr w:type="spellStart"/>
      <w:r>
        <w:rPr>
          <w:rFonts w:ascii="Arial" w:hAnsi="Arial" w:cs="Arial"/>
          <w:color w:val="222222"/>
          <w:shd w:val="clear" w:color="auto" w:fill="FFFFFF"/>
        </w:rPr>
        <w:t>Ph.D</w:t>
      </w:r>
      <w:proofErr w:type="spellEnd"/>
      <w:r>
        <w:rPr>
          <w:rFonts w:ascii="Arial" w:hAnsi="Arial" w:cs="Arial"/>
          <w:color w:val="222222"/>
          <w:shd w:val="clear" w:color="auto" w:fill="FFFFFF"/>
        </w:rPr>
        <w:t xml:space="preserve"> dissertation, Swedish University of Agricultural Sciences, Faculty of Natural Resources and Agricultural Sciences. Uppsala: SLU Service/Report:42.</w:t>
      </w:r>
    </w:p>
    <w:p w14:paraId="13DD8F1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Liang, J., Crowther, T. W., Picard, N., Wiser, S., Zhou, M., Alberti, G., ...and Reich, P. B. (2016). Positive biodiversity-productivity relationship predominant in global forests. </w:t>
      </w:r>
      <w:r>
        <w:rPr>
          <w:rFonts w:ascii="Arial" w:hAnsi="Arial" w:cs="Arial"/>
          <w:i/>
          <w:iCs/>
          <w:color w:val="222222"/>
          <w:shd w:val="clear" w:color="auto" w:fill="FFFFFF"/>
        </w:rPr>
        <w:t>Science</w:t>
      </w:r>
      <w:r>
        <w:rPr>
          <w:rFonts w:ascii="Arial" w:hAnsi="Arial" w:cs="Arial"/>
          <w:color w:val="222222"/>
          <w:shd w:val="clear" w:color="auto" w:fill="FFFFFF"/>
        </w:rPr>
        <w:t>, 354(6309).</w:t>
      </w:r>
    </w:p>
    <w:p w14:paraId="35C7606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Luo, Y., Jia, X., Ma, H., Liu, Y., Zhao, Y. and Li, R. (2019). Optimal stand density for carbon storage in subtropical forests. </w:t>
      </w:r>
      <w:r>
        <w:rPr>
          <w:rFonts w:ascii="Arial" w:hAnsi="Arial" w:cs="Arial"/>
          <w:i/>
          <w:iCs/>
          <w:color w:val="222222"/>
          <w:shd w:val="clear" w:color="auto" w:fill="FFFFFF"/>
        </w:rPr>
        <w:t>Forest Ecology and Management</w:t>
      </w:r>
      <w:r>
        <w:rPr>
          <w:rFonts w:ascii="Arial" w:hAnsi="Arial" w:cs="Arial"/>
          <w:color w:val="222222"/>
          <w:shd w:val="clear" w:color="auto" w:fill="FFFFFF"/>
        </w:rPr>
        <w:t>, 446, 87-95.</w:t>
      </w:r>
    </w:p>
    <w:p w14:paraId="3CC9998C" w14:textId="427ACB8F"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Mani, S. and Parthasarathy, N. (2007). Above-ground biomass estimation in ten tropical dry evergreen forest sites of peninsular India. </w:t>
      </w:r>
      <w:r>
        <w:rPr>
          <w:rFonts w:ascii="Arial" w:hAnsi="Arial" w:cs="Arial"/>
          <w:i/>
          <w:iCs/>
          <w:color w:val="222222"/>
          <w:shd w:val="clear" w:color="auto" w:fill="FFFFFF"/>
        </w:rPr>
        <w:t>Biomass Bioenergy</w:t>
      </w:r>
      <w:r w:rsidR="000E4CF2">
        <w:rPr>
          <w:rFonts w:ascii="Arial" w:hAnsi="Arial" w:cs="Arial"/>
          <w:i/>
          <w:iCs/>
          <w:color w:val="222222"/>
          <w:shd w:val="clear" w:color="auto" w:fill="FFFFFF"/>
        </w:rPr>
        <w:t>,</w:t>
      </w:r>
      <w:r>
        <w:rPr>
          <w:rFonts w:ascii="Arial" w:hAnsi="Arial" w:cs="Arial"/>
          <w:color w:val="222222"/>
          <w:shd w:val="clear" w:color="auto" w:fill="FFFFFF"/>
        </w:rPr>
        <w:t xml:space="preserve"> 31, 284–290.</w:t>
      </w:r>
    </w:p>
    <w:p w14:paraId="1D1452B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Nagaveni, H. C., Vijayalakshmi, G., </w:t>
      </w:r>
      <w:proofErr w:type="spellStart"/>
      <w:r>
        <w:rPr>
          <w:rFonts w:ascii="Arial" w:hAnsi="Arial" w:cs="Arial"/>
          <w:color w:val="222222"/>
          <w:shd w:val="clear" w:color="auto" w:fill="FFFFFF"/>
        </w:rPr>
        <w:t>Venmalar</w:t>
      </w:r>
      <w:proofErr w:type="spellEnd"/>
      <w:r>
        <w:rPr>
          <w:rFonts w:ascii="Arial" w:hAnsi="Arial" w:cs="Arial"/>
          <w:color w:val="222222"/>
          <w:shd w:val="clear" w:color="auto" w:fill="FFFFFF"/>
        </w:rPr>
        <w:t xml:space="preserve">, D. and K Remadevi, O. (2011). Durability of timber of Grevillea robusta (A. </w:t>
      </w:r>
      <w:proofErr w:type="spellStart"/>
      <w:r>
        <w:rPr>
          <w:rFonts w:ascii="Arial" w:hAnsi="Arial" w:cs="Arial"/>
          <w:color w:val="222222"/>
          <w:shd w:val="clear" w:color="auto" w:fill="FFFFFF"/>
        </w:rPr>
        <w:t>Cunn</w:t>
      </w:r>
      <w:proofErr w:type="spellEnd"/>
      <w:r>
        <w:rPr>
          <w:rFonts w:ascii="Arial" w:hAnsi="Arial" w:cs="Arial"/>
          <w:color w:val="222222"/>
          <w:shd w:val="clear" w:color="auto" w:fill="FFFFFF"/>
        </w:rPr>
        <w:t>. ex R. Br.) at different ages, grown in dry and wet regions of Karnataka. </w:t>
      </w:r>
      <w:r>
        <w:rPr>
          <w:rFonts w:ascii="Arial" w:hAnsi="Arial" w:cs="Arial"/>
          <w:i/>
          <w:iCs/>
          <w:color w:val="222222"/>
          <w:shd w:val="clear" w:color="auto" w:fill="FFFFFF"/>
        </w:rPr>
        <w:t>Journal of the Indian Academy of Wood Science</w:t>
      </w:r>
      <w:r>
        <w:rPr>
          <w:rFonts w:ascii="Arial" w:hAnsi="Arial" w:cs="Arial"/>
          <w:color w:val="222222"/>
          <w:shd w:val="clear" w:color="auto" w:fill="FFFFFF"/>
        </w:rPr>
        <w:t>, 8(2), 173-176.</w:t>
      </w:r>
    </w:p>
    <w:p w14:paraId="2FB55167"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Oliver, C. D. and Larson, B. C. (1996). Forest Stand Dynamics (Updated ed.). John Wiley &amp; Sons.</w:t>
      </w:r>
    </w:p>
    <w:p w14:paraId="5A00B4FB"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Pati, P. K., Kaushik, P., Khan, M. L. and Khare, P. K. (2022). Allometric Equations for Biomass and Carbon Stock Estimation of Small Diameter Woody Species from Tropical Dry Deciduous Forests: Support to REDD+. Trees, Forests and People, 9. </w:t>
      </w:r>
    </w:p>
    <w:p w14:paraId="682BF5D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Paul, K. I., Polglase, P. J., </w:t>
      </w:r>
      <w:proofErr w:type="spellStart"/>
      <w:r>
        <w:rPr>
          <w:rFonts w:ascii="Arial" w:hAnsi="Arial" w:cs="Arial"/>
          <w:color w:val="222222"/>
          <w:shd w:val="clear" w:color="auto" w:fill="FFFFFF"/>
        </w:rPr>
        <w:t>Nyakuengama</w:t>
      </w:r>
      <w:proofErr w:type="spellEnd"/>
      <w:r>
        <w:rPr>
          <w:rFonts w:ascii="Arial" w:hAnsi="Arial" w:cs="Arial"/>
          <w:color w:val="222222"/>
          <w:shd w:val="clear" w:color="auto" w:fill="FFFFFF"/>
        </w:rPr>
        <w:t xml:space="preserve">, J. G. and Khanna, P. K. (2013). Change in soil carbon following afforestation. </w:t>
      </w:r>
      <w:r>
        <w:rPr>
          <w:rFonts w:ascii="Arial" w:hAnsi="Arial" w:cs="Arial"/>
          <w:i/>
          <w:iCs/>
          <w:color w:val="222222"/>
          <w:shd w:val="clear" w:color="auto" w:fill="FFFFFF"/>
        </w:rPr>
        <w:t>Forest Ecology and Management</w:t>
      </w:r>
      <w:r>
        <w:rPr>
          <w:rFonts w:ascii="Arial" w:hAnsi="Arial" w:cs="Arial"/>
          <w:color w:val="222222"/>
          <w:shd w:val="clear" w:color="auto" w:fill="FFFFFF"/>
        </w:rPr>
        <w:t>, 168(1-3): 241-257.</w:t>
      </w:r>
    </w:p>
    <w:p w14:paraId="7983588D" w14:textId="0353940B"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Poorter</w:t>
      </w:r>
      <w:proofErr w:type="spellEnd"/>
      <w:r>
        <w:rPr>
          <w:rFonts w:ascii="Arial" w:hAnsi="Arial" w:cs="Arial"/>
          <w:color w:val="222222"/>
          <w:shd w:val="clear" w:color="auto" w:fill="FFFFFF"/>
        </w:rPr>
        <w:t xml:space="preserve">, L. and Bongers, F. (2006). Leaf traits are good predictors of plant performance across 53 rain forest species. </w:t>
      </w:r>
      <w:r>
        <w:rPr>
          <w:rFonts w:ascii="Arial" w:hAnsi="Arial" w:cs="Arial"/>
          <w:i/>
          <w:iCs/>
          <w:color w:val="222222"/>
          <w:shd w:val="clear" w:color="auto" w:fill="FFFFFF"/>
        </w:rPr>
        <w:t>Ecology</w:t>
      </w:r>
      <w:r w:rsidR="000E4CF2">
        <w:rPr>
          <w:rFonts w:ascii="Arial" w:hAnsi="Arial" w:cs="Arial"/>
          <w:color w:val="222222"/>
          <w:shd w:val="clear" w:color="auto" w:fill="FFFFFF"/>
        </w:rPr>
        <w:t>,</w:t>
      </w:r>
      <w:r>
        <w:rPr>
          <w:rFonts w:ascii="Arial" w:hAnsi="Arial" w:cs="Arial"/>
          <w:color w:val="222222"/>
          <w:shd w:val="clear" w:color="auto" w:fill="FFFFFF"/>
        </w:rPr>
        <w:t xml:space="preserve"> 87:</w:t>
      </w:r>
      <w:r w:rsidR="000E4CF2">
        <w:rPr>
          <w:rFonts w:ascii="Arial" w:hAnsi="Arial" w:cs="Arial"/>
          <w:color w:val="222222"/>
          <w:shd w:val="clear" w:color="auto" w:fill="FFFFFF"/>
        </w:rPr>
        <w:t xml:space="preserve"> </w:t>
      </w:r>
      <w:r>
        <w:rPr>
          <w:rFonts w:ascii="Arial" w:hAnsi="Arial" w:cs="Arial"/>
          <w:color w:val="222222"/>
          <w:shd w:val="clear" w:color="auto" w:fill="FFFFFF"/>
        </w:rPr>
        <w:t xml:space="preserve">1733– 1743.  </w:t>
      </w:r>
    </w:p>
    <w:p w14:paraId="3EE90771"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lastRenderedPageBreak/>
        <w:t>Poorter</w:t>
      </w:r>
      <w:proofErr w:type="spellEnd"/>
      <w:r>
        <w:rPr>
          <w:rFonts w:ascii="Arial" w:hAnsi="Arial" w:cs="Arial"/>
          <w:color w:val="222222"/>
          <w:shd w:val="clear" w:color="auto" w:fill="FFFFFF"/>
        </w:rPr>
        <w:t xml:space="preserve">, L., van der Sande, M. T., Thompson, J., </w:t>
      </w:r>
      <w:proofErr w:type="spellStart"/>
      <w:r>
        <w:rPr>
          <w:rFonts w:ascii="Arial" w:hAnsi="Arial" w:cs="Arial"/>
          <w:color w:val="222222"/>
          <w:shd w:val="clear" w:color="auto" w:fill="FFFFFF"/>
        </w:rPr>
        <w:t>Arets</w:t>
      </w:r>
      <w:proofErr w:type="spellEnd"/>
      <w:r>
        <w:rPr>
          <w:rFonts w:ascii="Arial" w:hAnsi="Arial" w:cs="Arial"/>
          <w:color w:val="222222"/>
          <w:shd w:val="clear" w:color="auto" w:fill="FFFFFF"/>
        </w:rPr>
        <w:t xml:space="preserve">, E. J. M. M., Alarcón, A., Álvarez-Sánchez, J., Ascarrunz, N., Balvanera, P., Barajas-Guzmán, G., Boit, A., Bongers, F., Carvalho, F. A., </w:t>
      </w:r>
      <w:proofErr w:type="spellStart"/>
      <w:r>
        <w:rPr>
          <w:rFonts w:ascii="Arial" w:hAnsi="Arial" w:cs="Arial"/>
          <w:color w:val="222222"/>
          <w:shd w:val="clear" w:color="auto" w:fill="FFFFFF"/>
        </w:rPr>
        <w:t>Casanoves</w:t>
      </w:r>
      <w:proofErr w:type="spellEnd"/>
      <w:r>
        <w:rPr>
          <w:rFonts w:ascii="Arial" w:hAnsi="Arial" w:cs="Arial"/>
          <w:color w:val="222222"/>
          <w:shd w:val="clear" w:color="auto" w:fill="FFFFFF"/>
        </w:rPr>
        <w:t xml:space="preserve">, F., Cornejo-Tenorio, G., Costa, F. R. C., de Castilho, C. V., </w:t>
      </w:r>
      <w:proofErr w:type="spellStart"/>
      <w:r>
        <w:rPr>
          <w:rFonts w:ascii="Arial" w:hAnsi="Arial" w:cs="Arial"/>
          <w:color w:val="222222"/>
          <w:shd w:val="clear" w:color="auto" w:fill="FFFFFF"/>
        </w:rPr>
        <w:t>Duivenvoorden</w:t>
      </w:r>
      <w:proofErr w:type="spellEnd"/>
      <w:r>
        <w:rPr>
          <w:rFonts w:ascii="Arial" w:hAnsi="Arial" w:cs="Arial"/>
          <w:color w:val="222222"/>
          <w:shd w:val="clear" w:color="auto" w:fill="FFFFFF"/>
        </w:rPr>
        <w:t xml:space="preserve">, J. F., </w:t>
      </w:r>
      <w:proofErr w:type="spellStart"/>
      <w:r>
        <w:rPr>
          <w:rFonts w:ascii="Arial" w:hAnsi="Arial" w:cs="Arial"/>
          <w:color w:val="222222"/>
          <w:shd w:val="clear" w:color="auto" w:fill="FFFFFF"/>
        </w:rPr>
        <w:t>Dutrieux</w:t>
      </w:r>
      <w:proofErr w:type="spellEnd"/>
      <w:r>
        <w:rPr>
          <w:rFonts w:ascii="Arial" w:hAnsi="Arial" w:cs="Arial"/>
          <w:color w:val="222222"/>
          <w:shd w:val="clear" w:color="auto" w:fill="FFFFFF"/>
        </w:rPr>
        <w:t>, L. P., Enquist, B. J., Fernández-Méndez, F., Peña-Claros, M. (2015). Diversity enhances carbon storage in tropical forests. </w:t>
      </w:r>
      <w:r>
        <w:rPr>
          <w:rFonts w:ascii="Arial" w:hAnsi="Arial" w:cs="Arial"/>
          <w:i/>
          <w:iCs/>
          <w:color w:val="222222"/>
          <w:shd w:val="clear" w:color="auto" w:fill="FFFFFF"/>
        </w:rPr>
        <w:t>Global Ecology and Biogeography</w:t>
      </w:r>
      <w:r>
        <w:rPr>
          <w:rFonts w:ascii="Arial" w:hAnsi="Arial" w:cs="Arial"/>
          <w:color w:val="222222"/>
          <w:shd w:val="clear" w:color="auto" w:fill="FFFFFF"/>
        </w:rPr>
        <w:t>, 24(11): 1314-1328.</w:t>
      </w:r>
    </w:p>
    <w:p w14:paraId="0CCF5B6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Prescott, C. E. (2010). Litter decomposition: What controls it and how can we alter it to sequester more carbon in forest soils? </w:t>
      </w:r>
      <w:r>
        <w:rPr>
          <w:rFonts w:ascii="Arial" w:hAnsi="Arial" w:cs="Arial"/>
          <w:i/>
          <w:iCs/>
          <w:color w:val="222222"/>
          <w:shd w:val="clear" w:color="auto" w:fill="FFFFFF"/>
        </w:rPr>
        <w:t>Canadian Journal of Soil Science</w:t>
      </w:r>
      <w:r>
        <w:rPr>
          <w:rFonts w:ascii="Arial" w:hAnsi="Arial" w:cs="Arial"/>
          <w:color w:val="222222"/>
          <w:shd w:val="clear" w:color="auto" w:fill="FFFFFF"/>
        </w:rPr>
        <w:t>, 90(5): 455-467.</w:t>
      </w:r>
    </w:p>
    <w:p w14:paraId="09F19692"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Pretzsch</w:t>
      </w:r>
      <w:proofErr w:type="spellEnd"/>
      <w:r>
        <w:rPr>
          <w:rFonts w:ascii="Arial" w:hAnsi="Arial" w:cs="Arial"/>
          <w:color w:val="222222"/>
          <w:shd w:val="clear" w:color="auto" w:fill="FFFFFF"/>
        </w:rPr>
        <w:t xml:space="preserve">, H. (2005). Stand density and growth of Norway spruce (Picea abies [L.] Karst.) and European beech (Fagus sylvatica L.): evidence from long-term experimental plots. </w:t>
      </w:r>
      <w:r>
        <w:rPr>
          <w:rFonts w:ascii="Arial" w:hAnsi="Arial" w:cs="Arial"/>
          <w:i/>
          <w:iCs/>
          <w:color w:val="222222"/>
          <w:shd w:val="clear" w:color="auto" w:fill="FFFFFF"/>
        </w:rPr>
        <w:t>European Journal of Forest Research</w:t>
      </w:r>
      <w:r>
        <w:rPr>
          <w:rFonts w:ascii="Arial" w:hAnsi="Arial" w:cs="Arial"/>
          <w:color w:val="222222"/>
          <w:shd w:val="clear" w:color="auto" w:fill="FFFFFF"/>
        </w:rPr>
        <w:t>, 124(3): 193-205.</w:t>
      </w:r>
    </w:p>
    <w:p w14:paraId="142A1BF5"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Pretzsch</w:t>
      </w:r>
      <w:proofErr w:type="spellEnd"/>
      <w:r>
        <w:rPr>
          <w:rFonts w:ascii="Arial" w:hAnsi="Arial" w:cs="Arial"/>
          <w:color w:val="222222"/>
          <w:shd w:val="clear" w:color="auto" w:fill="FFFFFF"/>
        </w:rPr>
        <w:t>, H., Biber, P., Schütze, G., Kemmerer, J. and Uhl, E. (2015). Influence of stand structure on forest productivity. </w:t>
      </w:r>
      <w:r>
        <w:rPr>
          <w:rFonts w:ascii="Arial" w:hAnsi="Arial" w:cs="Arial"/>
          <w:i/>
          <w:iCs/>
          <w:color w:val="222222"/>
          <w:shd w:val="clear" w:color="auto" w:fill="FFFFFF"/>
        </w:rPr>
        <w:t>Forest Ecology and Management</w:t>
      </w:r>
      <w:r>
        <w:rPr>
          <w:rFonts w:ascii="Arial" w:hAnsi="Arial" w:cs="Arial"/>
          <w:color w:val="222222"/>
          <w:shd w:val="clear" w:color="auto" w:fill="FFFFFF"/>
        </w:rPr>
        <w:t>, 355, 1-10.</w:t>
      </w:r>
    </w:p>
    <w:p w14:paraId="2E7F5355"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Radomiljac</w:t>
      </w:r>
      <w:proofErr w:type="spellEnd"/>
      <w:r>
        <w:rPr>
          <w:rFonts w:ascii="Arial" w:hAnsi="Arial" w:cs="Arial"/>
          <w:color w:val="222222"/>
          <w:shd w:val="clear" w:color="auto" w:fill="FFFFFF"/>
        </w:rPr>
        <w:t>, A. M., Ananthapadmanabha, H. S. and Welbourn, R. M. (Eds.) (1998). Sandal and its products: proceedings of an international seminar, 18-19 Dec. 1997, Bangalore, India. ICIMOD Library Catalogue. ISBN 978-1-86320-226-8.</w:t>
      </w:r>
    </w:p>
    <w:p w14:paraId="65ACA8BC"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Radomiljac</w:t>
      </w:r>
      <w:proofErr w:type="spellEnd"/>
      <w:r>
        <w:rPr>
          <w:rFonts w:ascii="Arial" w:hAnsi="Arial" w:cs="Arial"/>
          <w:color w:val="222222"/>
          <w:shd w:val="clear" w:color="auto" w:fill="FFFFFF"/>
        </w:rPr>
        <w:t xml:space="preserve">, A. M., McComb, J. A. and Shea, S. R. (1998). The effects of host species and planting density on the growth of </w:t>
      </w:r>
      <w:r>
        <w:rPr>
          <w:rFonts w:ascii="Arial" w:hAnsi="Arial" w:cs="Arial"/>
          <w:i/>
          <w:iCs/>
          <w:color w:val="222222"/>
          <w:shd w:val="clear" w:color="auto" w:fill="FFFFFF"/>
        </w:rPr>
        <w:t>Santalum spicatum</w:t>
      </w:r>
      <w:r>
        <w:rPr>
          <w:rFonts w:ascii="Arial" w:hAnsi="Arial" w:cs="Arial"/>
          <w:color w:val="222222"/>
          <w:shd w:val="clear" w:color="auto" w:fill="FFFFFF"/>
        </w:rPr>
        <w:t xml:space="preserve"> (R. Br.) seedlings. </w:t>
      </w:r>
      <w:r>
        <w:rPr>
          <w:rFonts w:ascii="Arial" w:hAnsi="Arial" w:cs="Arial"/>
          <w:i/>
          <w:iCs/>
          <w:color w:val="222222"/>
          <w:shd w:val="clear" w:color="auto" w:fill="FFFFFF"/>
        </w:rPr>
        <w:t>Forest Ecology and Management,</w:t>
      </w:r>
      <w:r>
        <w:rPr>
          <w:rFonts w:ascii="Arial" w:hAnsi="Arial" w:cs="Arial"/>
          <w:color w:val="222222"/>
          <w:shd w:val="clear" w:color="auto" w:fill="FFFFFF"/>
        </w:rPr>
        <w:t xml:space="preserve"> 111(2-3): 107-118.</w:t>
      </w:r>
    </w:p>
    <w:p w14:paraId="2BD231BA"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Ravindranath, N. H., Somashekhar, B. S. and Gadgil, M. (1997). Carbon flow in Indian forests. </w:t>
      </w:r>
      <w:r>
        <w:rPr>
          <w:rFonts w:ascii="Arial" w:hAnsi="Arial" w:cs="Arial"/>
          <w:i/>
          <w:iCs/>
          <w:color w:val="222222"/>
          <w:shd w:val="clear" w:color="auto" w:fill="FFFFFF"/>
        </w:rPr>
        <w:t>Climatic change</w:t>
      </w:r>
      <w:r>
        <w:rPr>
          <w:rFonts w:ascii="Arial" w:hAnsi="Arial" w:cs="Arial"/>
          <w:color w:val="222222"/>
          <w:shd w:val="clear" w:color="auto" w:fill="FFFFFF"/>
        </w:rPr>
        <w:t>, 35 (3): 297-320.</w:t>
      </w:r>
    </w:p>
    <w:p w14:paraId="39CA88F5"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Ryan, M. G., DeLucia, E. H., Westra, P. W. and Smith, W. K. (2010). Forest carbon use efficiency: Is respiration a constant fraction of gross primary production? </w:t>
      </w:r>
      <w:r w:rsidRPr="00F957DF">
        <w:rPr>
          <w:rFonts w:ascii="Arial" w:hAnsi="Arial" w:cs="Arial"/>
          <w:i/>
          <w:iCs/>
          <w:color w:val="222222"/>
          <w:shd w:val="clear" w:color="auto" w:fill="FFFFFF"/>
        </w:rPr>
        <w:t>Global Change Biology</w:t>
      </w:r>
      <w:r>
        <w:rPr>
          <w:rFonts w:ascii="Arial" w:hAnsi="Arial" w:cs="Arial"/>
          <w:color w:val="222222"/>
          <w:shd w:val="clear" w:color="auto" w:fill="FFFFFF"/>
        </w:rPr>
        <w:t>, 16(1): 174-185. </w:t>
      </w:r>
    </w:p>
    <w:p w14:paraId="29F4F76C"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Schlesinger, W. H. and Bernhardt, E. S. (2013). Biogeochemistry: An Analysis of Global Change. Academic Press.  </w:t>
      </w:r>
    </w:p>
    <w:p w14:paraId="35C4AA9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Sheikh Mehraj, A., Munesh, K., Raine, B. and Wand </w:t>
      </w:r>
      <w:proofErr w:type="spellStart"/>
      <w:r>
        <w:rPr>
          <w:rFonts w:ascii="Arial" w:hAnsi="Arial" w:cs="Arial"/>
          <w:color w:val="222222"/>
          <w:shd w:val="clear" w:color="auto" w:fill="FFFFFF"/>
        </w:rPr>
        <w:t>Todaria</w:t>
      </w:r>
      <w:proofErr w:type="spellEnd"/>
      <w:r>
        <w:rPr>
          <w:rFonts w:ascii="Arial" w:hAnsi="Arial" w:cs="Arial"/>
          <w:color w:val="222222"/>
          <w:shd w:val="clear" w:color="auto" w:fill="FFFFFF"/>
        </w:rPr>
        <w:t xml:space="preserve">, N. P. (2011). </w:t>
      </w:r>
      <w:r>
        <w:rPr>
          <w:rFonts w:ascii="Arial" w:hAnsi="Arial" w:cs="Arial"/>
          <w:i/>
          <w:iCs/>
          <w:color w:val="222222"/>
          <w:shd w:val="clear" w:color="auto" w:fill="FFFFFF"/>
        </w:rPr>
        <w:t>Carbon Balance and Management</w:t>
      </w:r>
      <w:r>
        <w:rPr>
          <w:rFonts w:ascii="Arial" w:hAnsi="Arial" w:cs="Arial"/>
          <w:color w:val="222222"/>
          <w:shd w:val="clear" w:color="auto" w:fill="FFFFFF"/>
        </w:rPr>
        <w:t xml:space="preserve">. </w:t>
      </w:r>
    </w:p>
    <w:p w14:paraId="54D18A8B" w14:textId="4BFE8D2F"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Shukla, P., Singh, B., Saini, A., Haldar, S. and Singh, J. (2016). A new population of </w:t>
      </w:r>
      <w:r w:rsidRPr="00F957DF">
        <w:rPr>
          <w:rFonts w:ascii="Arial" w:hAnsi="Arial" w:cs="Arial"/>
          <w:i/>
          <w:iCs/>
          <w:color w:val="222222"/>
          <w:shd w:val="clear" w:color="auto" w:fill="FFFFFF"/>
        </w:rPr>
        <w:t>Santalum album</w:t>
      </w:r>
      <w:r>
        <w:rPr>
          <w:rFonts w:ascii="Arial" w:hAnsi="Arial" w:cs="Arial"/>
          <w:color w:val="222222"/>
          <w:shd w:val="clear" w:color="auto" w:fill="FFFFFF"/>
        </w:rPr>
        <w:t xml:space="preserve"> L. (sandalwood) from Agali Forest Range, Kerala, India. </w:t>
      </w:r>
      <w:r>
        <w:rPr>
          <w:rFonts w:ascii="Arial" w:hAnsi="Arial" w:cs="Arial"/>
          <w:i/>
          <w:iCs/>
          <w:color w:val="222222"/>
          <w:shd w:val="clear" w:color="auto" w:fill="FFFFFF"/>
        </w:rPr>
        <w:t>Current Science</w:t>
      </w:r>
      <w:r w:rsidR="000E4CF2">
        <w:rPr>
          <w:rFonts w:ascii="Arial" w:hAnsi="Arial" w:cs="Arial"/>
          <w:color w:val="222222"/>
          <w:shd w:val="clear" w:color="auto" w:fill="FFFFFF"/>
        </w:rPr>
        <w:t>,</w:t>
      </w:r>
      <w:r>
        <w:rPr>
          <w:rFonts w:ascii="Arial" w:hAnsi="Arial" w:cs="Arial"/>
          <w:color w:val="222222"/>
          <w:shd w:val="clear" w:color="auto" w:fill="FFFFFF"/>
        </w:rPr>
        <w:t xml:space="preserve"> 25;110(2):148. </w:t>
      </w:r>
    </w:p>
    <w:p w14:paraId="05BCE3F8" w14:textId="7F7B2ADF"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Singh, T. P. (2003). Potential of farm forestry in carbon sequestration. </w:t>
      </w:r>
      <w:r>
        <w:rPr>
          <w:rFonts w:ascii="Arial" w:hAnsi="Arial" w:cs="Arial"/>
          <w:i/>
          <w:iCs/>
          <w:color w:val="222222"/>
          <w:shd w:val="clear" w:color="auto" w:fill="FFFFFF"/>
        </w:rPr>
        <w:t>The Indian Forester</w:t>
      </w:r>
      <w:r w:rsidR="000E4CF2">
        <w:rPr>
          <w:rFonts w:ascii="Arial" w:hAnsi="Arial" w:cs="Arial"/>
          <w:color w:val="222222"/>
          <w:shd w:val="clear" w:color="auto" w:fill="FFFFFF"/>
        </w:rPr>
        <w:t xml:space="preserve">, </w:t>
      </w:r>
      <w:r>
        <w:rPr>
          <w:rFonts w:ascii="Arial" w:hAnsi="Arial" w:cs="Arial"/>
          <w:color w:val="222222"/>
          <w:shd w:val="clear" w:color="auto" w:fill="FFFFFF"/>
        </w:rPr>
        <w:t>129: 839-843.</w:t>
      </w:r>
    </w:p>
    <w:p w14:paraId="3A82630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Sridhar, K. B., Srinivasa, Y. B. and Ramesh, K. (2013). Growth and yield of </w:t>
      </w:r>
      <w:r>
        <w:rPr>
          <w:rFonts w:ascii="Arial" w:hAnsi="Arial" w:cs="Arial"/>
          <w:i/>
          <w:iCs/>
          <w:color w:val="222222"/>
          <w:shd w:val="clear" w:color="auto" w:fill="FFFFFF"/>
        </w:rPr>
        <w:t>Santalum album</w:t>
      </w:r>
      <w:r>
        <w:rPr>
          <w:rFonts w:ascii="Arial" w:hAnsi="Arial" w:cs="Arial"/>
          <w:color w:val="222222"/>
          <w:shd w:val="clear" w:color="auto" w:fill="FFFFFF"/>
        </w:rPr>
        <w:t xml:space="preserve"> under different host plants and spacing. </w:t>
      </w:r>
      <w:r>
        <w:rPr>
          <w:rFonts w:ascii="Arial" w:hAnsi="Arial" w:cs="Arial"/>
          <w:i/>
          <w:iCs/>
          <w:color w:val="222222"/>
          <w:shd w:val="clear" w:color="auto" w:fill="FFFFFF"/>
        </w:rPr>
        <w:t>Indian Journal of Agroforestry</w:t>
      </w:r>
      <w:r>
        <w:rPr>
          <w:rFonts w:ascii="Arial" w:hAnsi="Arial" w:cs="Arial"/>
          <w:color w:val="222222"/>
          <w:shd w:val="clear" w:color="auto" w:fill="FFFFFF"/>
        </w:rPr>
        <w:t>, 15(1): 42-47.</w:t>
      </w:r>
    </w:p>
    <w:p w14:paraId="371DFDC0" w14:textId="3328B54F"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Subasinghe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Upul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Manuri</w:t>
      </w:r>
      <w:proofErr w:type="spellEnd"/>
      <w:r>
        <w:rPr>
          <w:rFonts w:ascii="Arial" w:hAnsi="Arial" w:cs="Arial"/>
          <w:color w:val="222222"/>
          <w:shd w:val="clear" w:color="auto" w:fill="FFFFFF"/>
        </w:rPr>
        <w:t xml:space="preserve"> Gamage, and D. S. Hettiarachchi. (2013). "Essential oil content and composition of Indian sandalwood (</w:t>
      </w:r>
      <w:r w:rsidRPr="00F957DF">
        <w:rPr>
          <w:rFonts w:ascii="Arial" w:hAnsi="Arial" w:cs="Arial"/>
          <w:i/>
          <w:iCs/>
          <w:color w:val="222222"/>
          <w:shd w:val="clear" w:color="auto" w:fill="FFFFFF"/>
        </w:rPr>
        <w:t>Santalum album</w:t>
      </w:r>
      <w:r>
        <w:rPr>
          <w:rFonts w:ascii="Arial" w:hAnsi="Arial" w:cs="Arial"/>
          <w:color w:val="222222"/>
          <w:shd w:val="clear" w:color="auto" w:fill="FFFFFF"/>
        </w:rPr>
        <w:t>) in Sri Lanka." </w:t>
      </w:r>
      <w:r>
        <w:rPr>
          <w:rFonts w:ascii="Arial" w:hAnsi="Arial" w:cs="Arial"/>
          <w:i/>
          <w:iCs/>
          <w:color w:val="222222"/>
          <w:shd w:val="clear" w:color="auto" w:fill="FFFFFF"/>
        </w:rPr>
        <w:t>Journal of Forestry Research</w:t>
      </w:r>
      <w:r w:rsidR="000E4CF2">
        <w:rPr>
          <w:rFonts w:ascii="Arial" w:hAnsi="Arial" w:cs="Arial"/>
          <w:color w:val="222222"/>
          <w:shd w:val="clear" w:color="auto" w:fill="FFFFFF"/>
        </w:rPr>
        <w:t>,</w:t>
      </w:r>
      <w:r>
        <w:rPr>
          <w:rFonts w:ascii="Arial" w:hAnsi="Arial" w:cs="Arial"/>
          <w:color w:val="222222"/>
          <w:shd w:val="clear" w:color="auto" w:fill="FFFFFF"/>
        </w:rPr>
        <w:t> 24, 1:</w:t>
      </w:r>
      <w:r w:rsidR="000E4CF2">
        <w:rPr>
          <w:rFonts w:ascii="Arial" w:hAnsi="Arial" w:cs="Arial"/>
          <w:color w:val="222222"/>
          <w:shd w:val="clear" w:color="auto" w:fill="FFFFFF"/>
        </w:rPr>
        <w:t xml:space="preserve"> </w:t>
      </w:r>
      <w:r>
        <w:rPr>
          <w:rFonts w:ascii="Arial" w:hAnsi="Arial" w:cs="Arial"/>
          <w:color w:val="222222"/>
          <w:shd w:val="clear" w:color="auto" w:fill="FFFFFF"/>
        </w:rPr>
        <w:t>127-130.</w:t>
      </w:r>
    </w:p>
    <w:p w14:paraId="149C926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Thomson, L. A. J. (2020). Looking ahead - global sandalwood production and markets in 2040 and implications for Pacific Island producers. (4): 245-254.</w:t>
      </w:r>
    </w:p>
    <w:p w14:paraId="55A96996"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Venkatesh, L., </w:t>
      </w:r>
      <w:proofErr w:type="spellStart"/>
      <w:r>
        <w:rPr>
          <w:rFonts w:ascii="Arial" w:hAnsi="Arial" w:cs="Arial"/>
          <w:color w:val="222222"/>
          <w:shd w:val="clear" w:color="auto" w:fill="FFFFFF"/>
        </w:rPr>
        <w:t>Maheshnaik</w:t>
      </w:r>
      <w:proofErr w:type="spellEnd"/>
      <w:r>
        <w:rPr>
          <w:rFonts w:ascii="Arial" w:hAnsi="Arial" w:cs="Arial"/>
          <w:color w:val="222222"/>
          <w:shd w:val="clear" w:color="auto" w:fill="FFFFFF"/>
        </w:rPr>
        <w:t xml:space="preserve">, B. L. and Rathod, R. (2023). Studies on Sandalwood Tree (L.) Based </w:t>
      </w:r>
      <w:r>
        <w:rPr>
          <w:rFonts w:ascii="Arial" w:hAnsi="Arial" w:cs="Arial"/>
          <w:i/>
          <w:iCs/>
          <w:color w:val="222222"/>
          <w:shd w:val="clear" w:color="auto" w:fill="FFFFFF"/>
        </w:rPr>
        <w:t>Santalum album</w:t>
      </w:r>
      <w:r>
        <w:rPr>
          <w:rFonts w:ascii="Arial" w:hAnsi="Arial" w:cs="Arial"/>
          <w:color w:val="222222"/>
          <w:shd w:val="clear" w:color="auto" w:fill="FFFFFF"/>
        </w:rPr>
        <w:t xml:space="preserve"> Agroforestry System in Haveri District of Karnataka, India. </w:t>
      </w:r>
      <w:r>
        <w:rPr>
          <w:rFonts w:ascii="Arial" w:hAnsi="Arial" w:cs="Arial"/>
          <w:i/>
          <w:iCs/>
          <w:color w:val="222222"/>
          <w:shd w:val="clear" w:color="auto" w:fill="FFFFFF"/>
        </w:rPr>
        <w:t>Indian Journal of Ecology</w:t>
      </w:r>
      <w:r>
        <w:rPr>
          <w:rFonts w:ascii="Arial" w:hAnsi="Arial" w:cs="Arial"/>
          <w:color w:val="222222"/>
          <w:shd w:val="clear" w:color="auto" w:fill="FFFFFF"/>
        </w:rPr>
        <w:t>. 50(5) (SI): 1602-1607.</w:t>
      </w:r>
    </w:p>
    <w:p w14:paraId="5F44761C"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Vignesh, M., Sivaprakash, M., Balasubramanian, A., Tilak, M., Radhakrishnan, S., Hari Prasath, C. N., Anjali, K. S. and Navaneetha Krishnan, S. (2022). Effect of spacing on </w:t>
      </w:r>
      <w:r>
        <w:rPr>
          <w:rFonts w:ascii="Arial" w:hAnsi="Arial" w:cs="Arial"/>
          <w:color w:val="222222"/>
          <w:shd w:val="clear" w:color="auto" w:fill="FFFFFF"/>
        </w:rPr>
        <w:lastRenderedPageBreak/>
        <w:t>the growth of sandalwood (</w:t>
      </w:r>
      <w:r>
        <w:rPr>
          <w:rFonts w:ascii="Arial" w:hAnsi="Arial" w:cs="Arial"/>
          <w:i/>
          <w:iCs/>
          <w:color w:val="222222"/>
          <w:shd w:val="clear" w:color="auto" w:fill="FFFFFF"/>
        </w:rPr>
        <w:t>Santalum album</w:t>
      </w:r>
      <w:r>
        <w:rPr>
          <w:rFonts w:ascii="Arial" w:hAnsi="Arial" w:cs="Arial"/>
          <w:color w:val="222222"/>
          <w:shd w:val="clear" w:color="auto" w:fill="FFFFFF"/>
        </w:rPr>
        <w:t xml:space="preserve"> L.) trees under farm conditions in Tamil Nadu, India. </w:t>
      </w:r>
      <w:r>
        <w:rPr>
          <w:rFonts w:ascii="Arial" w:hAnsi="Arial" w:cs="Arial"/>
          <w:i/>
          <w:iCs/>
          <w:color w:val="222222"/>
          <w:shd w:val="clear" w:color="auto" w:fill="FFFFFF"/>
        </w:rPr>
        <w:t>The Pharma Innovation Journal</w:t>
      </w:r>
      <w:r>
        <w:rPr>
          <w:rFonts w:ascii="Arial" w:hAnsi="Arial" w:cs="Arial"/>
          <w:color w:val="222222"/>
          <w:shd w:val="clear" w:color="auto" w:fill="FFFFFF"/>
        </w:rPr>
        <w:t>; 11(7): 785-787.</w:t>
      </w:r>
    </w:p>
    <w:p w14:paraId="6073E91C"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Viswanath, S. and Chakraborty, S. (2022). Indian Sandalwood Cultivation Prospects in India. In Indian Sandalwood. </w:t>
      </w:r>
      <w:r>
        <w:rPr>
          <w:rFonts w:ascii="Arial" w:hAnsi="Arial" w:cs="Arial"/>
          <w:i/>
          <w:iCs/>
          <w:color w:val="222222"/>
          <w:shd w:val="clear" w:color="auto" w:fill="FFFFFF"/>
        </w:rPr>
        <w:t xml:space="preserve">Springer, </w:t>
      </w:r>
      <w:r>
        <w:rPr>
          <w:rFonts w:ascii="Arial" w:hAnsi="Arial" w:cs="Arial"/>
          <w:color w:val="222222"/>
          <w:shd w:val="clear" w:color="auto" w:fill="FFFFFF"/>
        </w:rPr>
        <w:t xml:space="preserve">Singapore, 281-292. </w:t>
      </w:r>
    </w:p>
    <w:p w14:paraId="59C2C850" w14:textId="07550ADB"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Walkey, A. and Black, C.A. (1934). An Examination for </w:t>
      </w:r>
      <w:proofErr w:type="spellStart"/>
      <w:r>
        <w:rPr>
          <w:rFonts w:ascii="Arial" w:hAnsi="Arial" w:cs="Arial"/>
          <w:color w:val="222222"/>
          <w:shd w:val="clear" w:color="auto" w:fill="FFFFFF"/>
        </w:rPr>
        <w:t>Degt-Jreff</w:t>
      </w:r>
      <w:proofErr w:type="spellEnd"/>
      <w:r>
        <w:rPr>
          <w:rFonts w:ascii="Arial" w:hAnsi="Arial" w:cs="Arial"/>
          <w:color w:val="222222"/>
          <w:shd w:val="clear" w:color="auto" w:fill="FFFFFF"/>
        </w:rPr>
        <w:t xml:space="preserve"> method for determination soil organic matter and proposal for modification of the chromic acid titration method. </w:t>
      </w:r>
      <w:r>
        <w:rPr>
          <w:rFonts w:ascii="Arial" w:hAnsi="Arial" w:cs="Arial"/>
          <w:i/>
          <w:iCs/>
          <w:color w:val="222222"/>
          <w:shd w:val="clear" w:color="auto" w:fill="FFFFFF"/>
        </w:rPr>
        <w:t>Soil Sci.</w:t>
      </w:r>
      <w:r w:rsidR="000E4CF2">
        <w:rPr>
          <w:rFonts w:ascii="Arial" w:hAnsi="Arial" w:cs="Arial"/>
          <w:i/>
          <w:iCs/>
          <w:color w:val="222222"/>
          <w:shd w:val="clear" w:color="auto" w:fill="FFFFFF"/>
        </w:rPr>
        <w:t>,</w:t>
      </w:r>
      <w:r>
        <w:rPr>
          <w:rFonts w:ascii="Arial" w:hAnsi="Arial" w:cs="Arial"/>
          <w:color w:val="222222"/>
          <w:shd w:val="clear" w:color="auto" w:fill="FFFFFF"/>
        </w:rPr>
        <w:t xml:space="preserve"> 37: 29-38.</w:t>
      </w:r>
    </w:p>
    <w:p w14:paraId="208B898B" w14:textId="3BC05AC3"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Wang, X. and Feng, Z. (1995). Atmospheric carbon sequestration through agroforestry in China. </w:t>
      </w:r>
      <w:r>
        <w:rPr>
          <w:rFonts w:ascii="Arial" w:hAnsi="Arial" w:cs="Arial"/>
          <w:i/>
          <w:iCs/>
          <w:color w:val="222222"/>
          <w:shd w:val="clear" w:color="auto" w:fill="FFFFFF"/>
        </w:rPr>
        <w:t>Energy</w:t>
      </w:r>
      <w:r>
        <w:rPr>
          <w:rFonts w:ascii="Arial" w:hAnsi="Arial" w:cs="Arial"/>
          <w:color w:val="222222"/>
          <w:shd w:val="clear" w:color="auto" w:fill="FFFFFF"/>
        </w:rPr>
        <w:t>, 20(2)</w:t>
      </w:r>
      <w:r w:rsidR="000E4CF2">
        <w:rPr>
          <w:rFonts w:ascii="Arial" w:hAnsi="Arial" w:cs="Arial"/>
          <w:color w:val="222222"/>
          <w:shd w:val="clear" w:color="auto" w:fill="FFFFFF"/>
        </w:rPr>
        <w:t>:</w:t>
      </w:r>
      <w:r>
        <w:rPr>
          <w:rFonts w:ascii="Arial" w:hAnsi="Arial" w:cs="Arial"/>
          <w:color w:val="222222"/>
          <w:shd w:val="clear" w:color="auto" w:fill="FFFFFF"/>
        </w:rPr>
        <w:t xml:space="preserve"> 117-121.</w:t>
      </w:r>
    </w:p>
    <w:p w14:paraId="2428633A" w14:textId="4F6FA4D6"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Woodcock, D. W. and Shier, A. D. (2003). Does canopy position affect wood specific gravity in temperate forest trees? </w:t>
      </w:r>
      <w:r>
        <w:rPr>
          <w:rFonts w:ascii="Arial" w:hAnsi="Arial" w:cs="Arial"/>
          <w:i/>
          <w:iCs/>
          <w:color w:val="222222"/>
          <w:shd w:val="clear" w:color="auto" w:fill="FFFFFF"/>
        </w:rPr>
        <w:t>Ann. Bot</w:t>
      </w:r>
      <w:r>
        <w:rPr>
          <w:rFonts w:ascii="Arial" w:hAnsi="Arial" w:cs="Arial"/>
          <w:color w:val="222222"/>
          <w:shd w:val="clear" w:color="auto" w:fill="FFFFFF"/>
        </w:rPr>
        <w:t>.</w:t>
      </w:r>
      <w:r w:rsidR="000E4CF2">
        <w:rPr>
          <w:rFonts w:ascii="Arial" w:hAnsi="Arial" w:cs="Arial"/>
          <w:color w:val="222222"/>
          <w:shd w:val="clear" w:color="auto" w:fill="FFFFFF"/>
        </w:rPr>
        <w:t>,</w:t>
      </w:r>
      <w:r>
        <w:rPr>
          <w:rFonts w:ascii="Arial" w:hAnsi="Arial" w:cs="Arial"/>
          <w:color w:val="222222"/>
          <w:shd w:val="clear" w:color="auto" w:fill="FFFFFF"/>
        </w:rPr>
        <w:t xml:space="preserve"> 91, 529–537.</w:t>
      </w:r>
    </w:p>
    <w:p w14:paraId="3C7377B8" w14:textId="5D66B41E"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Wright, S. J., Kitajima, K., Kraft, N. J. B. (2010). Functional traits and the growth-mortality trade-off in tropical trees. </w:t>
      </w:r>
      <w:r>
        <w:rPr>
          <w:rFonts w:ascii="Arial" w:hAnsi="Arial" w:cs="Arial"/>
          <w:i/>
          <w:iCs/>
          <w:color w:val="222222"/>
          <w:shd w:val="clear" w:color="auto" w:fill="FFFFFF"/>
        </w:rPr>
        <w:t>Ecology</w:t>
      </w:r>
      <w:r w:rsidR="000E4CF2">
        <w:rPr>
          <w:rFonts w:ascii="Arial" w:hAnsi="Arial" w:cs="Arial"/>
          <w:color w:val="222222"/>
          <w:shd w:val="clear" w:color="auto" w:fill="FFFFFF"/>
        </w:rPr>
        <w:t>,</w:t>
      </w:r>
      <w:r>
        <w:rPr>
          <w:rFonts w:ascii="Arial" w:hAnsi="Arial" w:cs="Arial"/>
          <w:color w:val="222222"/>
          <w:shd w:val="clear" w:color="auto" w:fill="FFFFFF"/>
        </w:rPr>
        <w:t xml:space="preserve"> 91:3664-3674.</w:t>
      </w:r>
    </w:p>
    <w:p w14:paraId="223E9DEF" w14:textId="73DC06B8" w:rsidR="00B27DCB" w:rsidRDefault="00B27DCB">
      <w:pPr>
        <w:spacing w:line="276" w:lineRule="auto"/>
        <w:ind w:left="630" w:hanging="630"/>
        <w:jc w:val="both"/>
        <w:rPr>
          <w:rFonts w:ascii="Arial" w:hAnsi="Arial" w:cs="Arial"/>
          <w:color w:val="222222"/>
          <w:shd w:val="clear" w:color="auto" w:fill="FFFFFF"/>
        </w:rPr>
      </w:pPr>
      <w:proofErr w:type="spellStart"/>
      <w:r w:rsidRPr="00B27DCB">
        <w:rPr>
          <w:rFonts w:ascii="Arial" w:hAnsi="Arial" w:cs="Arial"/>
          <w:color w:val="222222"/>
          <w:shd w:val="clear" w:color="auto" w:fill="FFFFFF"/>
        </w:rPr>
        <w:t>Zeide</w:t>
      </w:r>
      <w:proofErr w:type="spellEnd"/>
      <w:r w:rsidRPr="00B27DCB">
        <w:rPr>
          <w:rFonts w:ascii="Arial" w:hAnsi="Arial" w:cs="Arial"/>
          <w:color w:val="222222"/>
          <w:shd w:val="clear" w:color="auto" w:fill="FFFFFF"/>
        </w:rPr>
        <w:t xml:space="preserve">, B. (2001). Thinning and growth: a full turnaround. </w:t>
      </w:r>
      <w:r w:rsidRPr="00B27DCB">
        <w:rPr>
          <w:rFonts w:ascii="Arial" w:hAnsi="Arial" w:cs="Arial"/>
          <w:i/>
          <w:iCs/>
          <w:color w:val="222222"/>
          <w:shd w:val="clear" w:color="auto" w:fill="FFFFFF"/>
        </w:rPr>
        <w:t>Journal of Forestry</w:t>
      </w:r>
      <w:r w:rsidRPr="00B27DCB">
        <w:rPr>
          <w:rFonts w:ascii="Arial" w:hAnsi="Arial" w:cs="Arial"/>
          <w:color w:val="222222"/>
          <w:shd w:val="clear" w:color="auto" w:fill="FFFFFF"/>
        </w:rPr>
        <w:t>, 99(1)</w:t>
      </w:r>
      <w:r>
        <w:rPr>
          <w:rFonts w:ascii="Arial" w:hAnsi="Arial" w:cs="Arial"/>
          <w:color w:val="222222"/>
          <w:shd w:val="clear" w:color="auto" w:fill="FFFFFF"/>
        </w:rPr>
        <w:t>:</w:t>
      </w:r>
      <w:r w:rsidRPr="00B27DCB">
        <w:rPr>
          <w:rFonts w:ascii="Arial" w:hAnsi="Arial" w:cs="Arial"/>
          <w:color w:val="222222"/>
          <w:shd w:val="clear" w:color="auto" w:fill="FFFFFF"/>
        </w:rPr>
        <w:t xml:space="preserve"> 20–25.</w:t>
      </w:r>
    </w:p>
    <w:p w14:paraId="34C4AAE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Zhang, X., Liang, X., Crowther, T. W., de-Miguel, S., Lu, H., Ma, Z. and Piao, S. (2020). Density-dependent mortality and carbon storage in forests. </w:t>
      </w:r>
      <w:r>
        <w:rPr>
          <w:rFonts w:ascii="Arial" w:hAnsi="Arial" w:cs="Arial"/>
          <w:i/>
          <w:iCs/>
          <w:color w:val="222222"/>
          <w:shd w:val="clear" w:color="auto" w:fill="FFFFFF"/>
        </w:rPr>
        <w:t>Nature Communications</w:t>
      </w:r>
      <w:r>
        <w:rPr>
          <w:rFonts w:ascii="Arial" w:hAnsi="Arial" w:cs="Arial"/>
          <w:color w:val="222222"/>
          <w:shd w:val="clear" w:color="auto" w:fill="FFFFFF"/>
        </w:rPr>
        <w:t>, 11(1): 1-9.</w:t>
      </w:r>
    </w:p>
    <w:p w14:paraId="77DD50AF" w14:textId="4818D5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Zhang, Y., Chen, H. Y. H. and Reich, P. B. (2012). Forest productivity increases with evenness, species richness and trait variation: a global meta-analysis. </w:t>
      </w:r>
      <w:r>
        <w:rPr>
          <w:rFonts w:ascii="Arial" w:hAnsi="Arial" w:cs="Arial"/>
          <w:i/>
          <w:iCs/>
          <w:color w:val="222222"/>
          <w:shd w:val="clear" w:color="auto" w:fill="FFFFFF"/>
        </w:rPr>
        <w:t>Journal of Ecology</w:t>
      </w:r>
      <w:r w:rsidR="000E4CF2">
        <w:rPr>
          <w:rFonts w:ascii="Arial" w:hAnsi="Arial" w:cs="Arial"/>
          <w:color w:val="222222"/>
          <w:shd w:val="clear" w:color="auto" w:fill="FFFFFF"/>
        </w:rPr>
        <w:t>,</w:t>
      </w:r>
      <w:r>
        <w:rPr>
          <w:rFonts w:ascii="Arial" w:hAnsi="Arial" w:cs="Arial"/>
          <w:color w:val="222222"/>
          <w:shd w:val="clear" w:color="auto" w:fill="FFFFFF"/>
        </w:rPr>
        <w:t xml:space="preserve"> 100(3), 742-749.</w:t>
      </w:r>
    </w:p>
    <w:p w14:paraId="1DB85A12" w14:textId="77777777" w:rsidR="00BA521A" w:rsidRDefault="00BA521A">
      <w:pPr>
        <w:pStyle w:val="Appendix"/>
        <w:spacing w:after="0"/>
        <w:jc w:val="both"/>
        <w:rPr>
          <w:rFonts w:ascii="Arial" w:hAnsi="Arial" w:cs="Arial"/>
          <w:b w:val="0"/>
        </w:rPr>
        <w:sectPr w:rsidR="00BA521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8ED8AE2" w14:textId="77777777" w:rsidR="00BA521A" w:rsidRDefault="00BA521A">
      <w:pPr>
        <w:pStyle w:val="Appendix"/>
        <w:spacing w:after="0"/>
        <w:jc w:val="both"/>
        <w:rPr>
          <w:rFonts w:ascii="Arial" w:hAnsi="Arial" w:cs="Arial"/>
          <w:b w:val="0"/>
        </w:rPr>
      </w:pPr>
    </w:p>
    <w:sectPr w:rsidR="00BA521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C261A6" w16cex:dateUtc="2025-09-18T10:28:00Z"/>
  <w16cex:commentExtensible w16cex:durableId="7881F020" w16cex:dateUtc="2025-09-18T10:26:00Z"/>
  <w16cex:commentExtensible w16cex:durableId="08EEBA9B" w16cex:dateUtc="2025-09-18T10:26:00Z"/>
  <w16cex:commentExtensible w16cex:durableId="4A6DD0C4" w16cex:dateUtc="2025-09-18T10:30:00Z"/>
  <w16cex:commentExtensible w16cex:durableId="082DA497" w16cex:dateUtc="2025-09-18T10:31:00Z"/>
  <w16cex:commentExtensible w16cex:durableId="51BBE278" w16cex:dateUtc="2025-09-18T10:31:00Z"/>
  <w16cex:commentExtensible w16cex:durableId="7262DA24" w16cex:dateUtc="2025-09-18T10:32:00Z"/>
  <w16cex:commentExtensible w16cex:durableId="3096E4F7" w16cex:dateUtc="2025-09-18T10:34:00Z"/>
  <w16cex:commentExtensible w16cex:durableId="425BB408" w16cex:dateUtc="2025-09-18T10:42:00Z"/>
  <w16cex:commentExtensible w16cex:durableId="54B495D3" w16cex:dateUtc="2025-09-18T11:05:00Z"/>
  <w16cex:commentExtensible w16cex:durableId="26278420" w16cex:dateUtc="2025-09-18T11:00:00Z"/>
  <w16cex:commentExtensible w16cex:durableId="632DDC6F" w16cex:dateUtc="2025-09-18T1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5CB3" w14:textId="77777777" w:rsidR="00E1317F" w:rsidRDefault="00E1317F">
      <w:r>
        <w:separator/>
      </w:r>
    </w:p>
  </w:endnote>
  <w:endnote w:type="continuationSeparator" w:id="0">
    <w:p w14:paraId="6922753B" w14:textId="77777777" w:rsidR="00E1317F" w:rsidRDefault="00E1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34F0" w14:textId="77777777" w:rsidR="00BA521A" w:rsidRDefault="00BA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60EA" w14:textId="77777777" w:rsidR="00BA521A" w:rsidRDefault="00BA5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067C" w14:textId="77777777" w:rsidR="00BA521A" w:rsidRDefault="00BA5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2B31" w14:textId="77777777" w:rsidR="00BA521A" w:rsidRDefault="00BA5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A29A" w14:textId="77777777" w:rsidR="00E1317F" w:rsidRDefault="00E1317F">
      <w:r>
        <w:separator/>
      </w:r>
    </w:p>
  </w:footnote>
  <w:footnote w:type="continuationSeparator" w:id="0">
    <w:p w14:paraId="444298EB" w14:textId="77777777" w:rsidR="00E1317F" w:rsidRDefault="00E1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6F5" w14:textId="77777777" w:rsidR="00BA521A" w:rsidRDefault="00E1317F">
    <w:pPr>
      <w:pStyle w:val="Header"/>
    </w:pPr>
    <w:r>
      <w:pict w14:anchorId="04A6D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1"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1F86" w14:textId="77777777" w:rsidR="00BA521A" w:rsidRDefault="00E1317F">
    <w:pPr>
      <w:pStyle w:val="Header"/>
    </w:pPr>
    <w:r>
      <w:pict w14:anchorId="5328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2"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5547" w14:textId="77777777" w:rsidR="00BA521A" w:rsidRDefault="00E1317F">
    <w:pPr>
      <w:ind w:left="2160"/>
      <w:jc w:val="center"/>
      <w:rPr>
        <w:rFonts w:ascii="Times New Roman" w:eastAsia="Calibri" w:hAnsi="Times New Roman"/>
        <w:i/>
        <w:sz w:val="18"/>
        <w:szCs w:val="22"/>
      </w:rPr>
    </w:pPr>
    <w:r>
      <w:pict w14:anchorId="35E70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0"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2D096274" w14:textId="77777777" w:rsidR="00BA521A" w:rsidRDefault="00BD675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C12D7ED" w14:textId="77777777" w:rsidR="00BA521A" w:rsidRDefault="00BD675F">
    <w:pPr>
      <w:jc w:val="center"/>
      <w:rPr>
        <w:rFonts w:ascii="Times New Roman" w:eastAsia="Calibri" w:hAnsi="Times New Roman"/>
        <w:i/>
        <w:sz w:val="18"/>
        <w:szCs w:val="22"/>
      </w:rPr>
    </w:pPr>
    <w:r>
      <w:rPr>
        <w:rFonts w:ascii="Times New Roman" w:eastAsia="Calibri" w:hAnsi="Times New Roman"/>
        <w:i/>
        <w:sz w:val="18"/>
        <w:szCs w:val="22"/>
      </w:rPr>
      <w:t>.</w:t>
    </w:r>
  </w:p>
  <w:p w14:paraId="59F28C7E" w14:textId="77777777" w:rsidR="00BA521A" w:rsidRDefault="00BD675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9049F1B" w14:textId="77777777" w:rsidR="00BA521A" w:rsidRDefault="00BD675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158A6C6" w14:textId="77777777" w:rsidR="00BA521A" w:rsidRDefault="00BD675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02DD35" w14:textId="77777777" w:rsidR="00BA521A" w:rsidRDefault="00BD675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DF81" w14:textId="77777777" w:rsidR="00BA521A" w:rsidRDefault="00E1317F">
    <w:pPr>
      <w:pStyle w:val="Header"/>
    </w:pPr>
    <w:r>
      <w:pict w14:anchorId="4241E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4"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B086" w14:textId="77777777" w:rsidR="00BA521A" w:rsidRDefault="00E1317F">
    <w:pPr>
      <w:pStyle w:val="Header"/>
    </w:pPr>
    <w:r>
      <w:pict w14:anchorId="258AE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5"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6D5F" w14:textId="77777777" w:rsidR="00BA521A" w:rsidRDefault="00E1317F">
    <w:pPr>
      <w:pStyle w:val="Header"/>
    </w:pPr>
    <w:r>
      <w:pict w14:anchorId="1B2B6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3"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CAC"/>
    <w:multiLevelType w:val="multilevel"/>
    <w:tmpl w:val="13817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FA84AC6"/>
    <w:multiLevelType w:val="multilevel"/>
    <w:tmpl w:val="3FA84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547700"/>
    <w:multiLevelType w:val="multilevel"/>
    <w:tmpl w:val="6A5477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06D8"/>
    <w:rsid w:val="00055312"/>
    <w:rsid w:val="0009082C"/>
    <w:rsid w:val="000A47FA"/>
    <w:rsid w:val="000A65D3"/>
    <w:rsid w:val="000A736F"/>
    <w:rsid w:val="000B1E33"/>
    <w:rsid w:val="000D689F"/>
    <w:rsid w:val="000E4CF2"/>
    <w:rsid w:val="000E7B7B"/>
    <w:rsid w:val="000E7D62"/>
    <w:rsid w:val="000F343C"/>
    <w:rsid w:val="00103357"/>
    <w:rsid w:val="00123C9F"/>
    <w:rsid w:val="00126190"/>
    <w:rsid w:val="00130F17"/>
    <w:rsid w:val="001320BF"/>
    <w:rsid w:val="00163BC4"/>
    <w:rsid w:val="001707C9"/>
    <w:rsid w:val="00191062"/>
    <w:rsid w:val="00192B72"/>
    <w:rsid w:val="001A29D8"/>
    <w:rsid w:val="001A49BA"/>
    <w:rsid w:val="001A5CAA"/>
    <w:rsid w:val="001B0427"/>
    <w:rsid w:val="001C3AE5"/>
    <w:rsid w:val="001D3A51"/>
    <w:rsid w:val="001E10D2"/>
    <w:rsid w:val="001E25B4"/>
    <w:rsid w:val="001E44FE"/>
    <w:rsid w:val="001E4B54"/>
    <w:rsid w:val="0020021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563"/>
    <w:rsid w:val="002E0D56"/>
    <w:rsid w:val="002E4257"/>
    <w:rsid w:val="00315186"/>
    <w:rsid w:val="0033343E"/>
    <w:rsid w:val="003512C2"/>
    <w:rsid w:val="0036337B"/>
    <w:rsid w:val="003719DA"/>
    <w:rsid w:val="00371FB6"/>
    <w:rsid w:val="003763C1"/>
    <w:rsid w:val="00376BBE"/>
    <w:rsid w:val="0039224F"/>
    <w:rsid w:val="003953CC"/>
    <w:rsid w:val="003A43A4"/>
    <w:rsid w:val="003A7E18"/>
    <w:rsid w:val="003C4C86"/>
    <w:rsid w:val="003C6258"/>
    <w:rsid w:val="003D3664"/>
    <w:rsid w:val="003E2904"/>
    <w:rsid w:val="003E50B5"/>
    <w:rsid w:val="003F162C"/>
    <w:rsid w:val="00401927"/>
    <w:rsid w:val="0041027F"/>
    <w:rsid w:val="00412475"/>
    <w:rsid w:val="00423789"/>
    <w:rsid w:val="00440718"/>
    <w:rsid w:val="00440F43"/>
    <w:rsid w:val="00441B6F"/>
    <w:rsid w:val="00446221"/>
    <w:rsid w:val="00450E62"/>
    <w:rsid w:val="004539DB"/>
    <w:rsid w:val="00455226"/>
    <w:rsid w:val="00471A80"/>
    <w:rsid w:val="0048291C"/>
    <w:rsid w:val="004C2CD6"/>
    <w:rsid w:val="004D305E"/>
    <w:rsid w:val="004D4277"/>
    <w:rsid w:val="00502516"/>
    <w:rsid w:val="00505F06"/>
    <w:rsid w:val="00506828"/>
    <w:rsid w:val="0053056E"/>
    <w:rsid w:val="00554FDA"/>
    <w:rsid w:val="005C784C"/>
    <w:rsid w:val="005D17F6"/>
    <w:rsid w:val="005E4EC4"/>
    <w:rsid w:val="005E5539"/>
    <w:rsid w:val="00602BF5"/>
    <w:rsid w:val="00617FDD"/>
    <w:rsid w:val="00633380"/>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1DF"/>
    <w:rsid w:val="0070082C"/>
    <w:rsid w:val="00703B25"/>
    <w:rsid w:val="00714059"/>
    <w:rsid w:val="007205F7"/>
    <w:rsid w:val="0073287C"/>
    <w:rsid w:val="00734282"/>
    <w:rsid w:val="007369E6"/>
    <w:rsid w:val="00746E59"/>
    <w:rsid w:val="00754C9A"/>
    <w:rsid w:val="0075599A"/>
    <w:rsid w:val="00761D52"/>
    <w:rsid w:val="0077337B"/>
    <w:rsid w:val="0077749E"/>
    <w:rsid w:val="00790ADA"/>
    <w:rsid w:val="007D2288"/>
    <w:rsid w:val="007E088F"/>
    <w:rsid w:val="007F1152"/>
    <w:rsid w:val="007F7B32"/>
    <w:rsid w:val="00804BC2"/>
    <w:rsid w:val="0081431A"/>
    <w:rsid w:val="00827057"/>
    <w:rsid w:val="0083216F"/>
    <w:rsid w:val="00840157"/>
    <w:rsid w:val="0085788B"/>
    <w:rsid w:val="00860000"/>
    <w:rsid w:val="00863BD3"/>
    <w:rsid w:val="008641ED"/>
    <w:rsid w:val="00866D66"/>
    <w:rsid w:val="008671C6"/>
    <w:rsid w:val="00875803"/>
    <w:rsid w:val="008B459E"/>
    <w:rsid w:val="008B54D6"/>
    <w:rsid w:val="008C3D27"/>
    <w:rsid w:val="008C6FAD"/>
    <w:rsid w:val="008E13AE"/>
    <w:rsid w:val="008E1506"/>
    <w:rsid w:val="008E710C"/>
    <w:rsid w:val="008F69D6"/>
    <w:rsid w:val="00902823"/>
    <w:rsid w:val="00915CA6"/>
    <w:rsid w:val="00927834"/>
    <w:rsid w:val="009500A6"/>
    <w:rsid w:val="00957C18"/>
    <w:rsid w:val="00962A8F"/>
    <w:rsid w:val="009659BA"/>
    <w:rsid w:val="00983040"/>
    <w:rsid w:val="009A7875"/>
    <w:rsid w:val="009B3FB9"/>
    <w:rsid w:val="009C2465"/>
    <w:rsid w:val="009D35A0"/>
    <w:rsid w:val="009D6870"/>
    <w:rsid w:val="009D7EB7"/>
    <w:rsid w:val="009E048A"/>
    <w:rsid w:val="009E08E9"/>
    <w:rsid w:val="009E3DB9"/>
    <w:rsid w:val="009E6E35"/>
    <w:rsid w:val="009F0EDA"/>
    <w:rsid w:val="00A03B96"/>
    <w:rsid w:val="00A05B19"/>
    <w:rsid w:val="00A1134E"/>
    <w:rsid w:val="00A24E7E"/>
    <w:rsid w:val="00A25085"/>
    <w:rsid w:val="00A258C3"/>
    <w:rsid w:val="00A347C0"/>
    <w:rsid w:val="00A41C5D"/>
    <w:rsid w:val="00A51431"/>
    <w:rsid w:val="00A539AD"/>
    <w:rsid w:val="00A61954"/>
    <w:rsid w:val="00A6339F"/>
    <w:rsid w:val="00A94063"/>
    <w:rsid w:val="00AA6219"/>
    <w:rsid w:val="00AA74E0"/>
    <w:rsid w:val="00AB703F"/>
    <w:rsid w:val="00AC52D4"/>
    <w:rsid w:val="00AC6BB8"/>
    <w:rsid w:val="00AE008F"/>
    <w:rsid w:val="00B01FCD"/>
    <w:rsid w:val="00B1776C"/>
    <w:rsid w:val="00B21160"/>
    <w:rsid w:val="00B27DCB"/>
    <w:rsid w:val="00B52583"/>
    <w:rsid w:val="00B52896"/>
    <w:rsid w:val="00B535C7"/>
    <w:rsid w:val="00B55365"/>
    <w:rsid w:val="00B664FF"/>
    <w:rsid w:val="00B95236"/>
    <w:rsid w:val="00B96BD9"/>
    <w:rsid w:val="00BA1B01"/>
    <w:rsid w:val="00BA2641"/>
    <w:rsid w:val="00BA521A"/>
    <w:rsid w:val="00BB37AA"/>
    <w:rsid w:val="00BC53A0"/>
    <w:rsid w:val="00BD675F"/>
    <w:rsid w:val="00BE62AD"/>
    <w:rsid w:val="00BF121F"/>
    <w:rsid w:val="00BF1F80"/>
    <w:rsid w:val="00C13B76"/>
    <w:rsid w:val="00C166EF"/>
    <w:rsid w:val="00C17EB0"/>
    <w:rsid w:val="00C27F5F"/>
    <w:rsid w:val="00C30A0F"/>
    <w:rsid w:val="00C37E61"/>
    <w:rsid w:val="00C70F1B"/>
    <w:rsid w:val="00C70FC2"/>
    <w:rsid w:val="00C71A47"/>
    <w:rsid w:val="00C7464C"/>
    <w:rsid w:val="00C85588"/>
    <w:rsid w:val="00CC7430"/>
    <w:rsid w:val="00CD6755"/>
    <w:rsid w:val="00CD6856"/>
    <w:rsid w:val="00CE0089"/>
    <w:rsid w:val="00CE793C"/>
    <w:rsid w:val="00CF193C"/>
    <w:rsid w:val="00CF1A02"/>
    <w:rsid w:val="00D17124"/>
    <w:rsid w:val="00D173F1"/>
    <w:rsid w:val="00D3528B"/>
    <w:rsid w:val="00D518C4"/>
    <w:rsid w:val="00D55D2A"/>
    <w:rsid w:val="00D74CB0"/>
    <w:rsid w:val="00D8295D"/>
    <w:rsid w:val="00DC2A65"/>
    <w:rsid w:val="00DE15F0"/>
    <w:rsid w:val="00DE5663"/>
    <w:rsid w:val="00DE78AA"/>
    <w:rsid w:val="00E01384"/>
    <w:rsid w:val="00E053D0"/>
    <w:rsid w:val="00E12EDE"/>
    <w:rsid w:val="00E1317F"/>
    <w:rsid w:val="00E15994"/>
    <w:rsid w:val="00E21ECD"/>
    <w:rsid w:val="00E3114E"/>
    <w:rsid w:val="00E3151B"/>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A05"/>
    <w:rsid w:val="00F31413"/>
    <w:rsid w:val="00F469F0"/>
    <w:rsid w:val="00F53273"/>
    <w:rsid w:val="00F56D8D"/>
    <w:rsid w:val="00F6557E"/>
    <w:rsid w:val="00F755E4"/>
    <w:rsid w:val="00F77D02"/>
    <w:rsid w:val="00F957DF"/>
    <w:rsid w:val="00FB3A86"/>
    <w:rsid w:val="00FD36C8"/>
    <w:rsid w:val="44A60922"/>
    <w:rsid w:val="6A910C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275DDC"/>
  <w15:docId w15:val="{E40AA5F3-535F-40F3-A710-8EA02A2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Mangal"/>
      <w:kern w:val="2"/>
      <w:sz w:val="22"/>
      <w:lang w:bidi="hi-IN"/>
    </w:rPr>
  </w:style>
  <w:style w:type="paragraph" w:styleId="Revision">
    <w:name w:val="Revision"/>
    <w:hidden/>
    <w:uiPriority w:val="99"/>
    <w:semiHidden/>
    <w:rsid w:val="002E4257"/>
    <w:rPr>
      <w:rFonts w:ascii="Helvetica" w:hAnsi="Helvetica"/>
    </w:rPr>
  </w:style>
  <w:style w:type="paragraph" w:styleId="CommentSubject">
    <w:name w:val="annotation subject"/>
    <w:basedOn w:val="CommentText"/>
    <w:next w:val="CommentText"/>
    <w:link w:val="CommentSubjectChar"/>
    <w:semiHidden/>
    <w:unhideWhenUsed/>
    <w:rsid w:val="00840157"/>
    <w:rPr>
      <w:rFonts w:ascii="Helvetica" w:hAnsi="Helvetica"/>
      <w:b/>
      <w:bCs/>
      <w:lang w:val="en-US" w:eastAsia="en-US"/>
    </w:rPr>
  </w:style>
  <w:style w:type="character" w:customStyle="1" w:styleId="CommentSubjectChar">
    <w:name w:val="Comment Subject Char"/>
    <w:basedOn w:val="CommentTextChar"/>
    <w:link w:val="CommentSubject"/>
    <w:semiHidden/>
    <w:rsid w:val="0084015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Maharashtra\Jalna%20research%20paper\New%20Microsoft%20Excel%20Worksheet%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Volume (m</a:t>
            </a:r>
            <a:r>
              <a:rPr lang="en-US" sz="1000" b="1" baseline="30000">
                <a:latin typeface="Times New Roman" panose="02020603050405020304" charset="0"/>
                <a:cs typeface="Times New Roman" panose="02020603050405020304" charset="0"/>
              </a:rPr>
              <a:t>3</a:t>
            </a:r>
            <a:r>
              <a:rPr lang="en-US" sz="1000" b="1">
                <a:latin typeface="Times New Roman" panose="02020603050405020304" charset="0"/>
                <a:cs typeface="Times New Roman" panose="02020603050405020304" charset="0"/>
              </a:rPr>
              <a:t>/ha)</a:t>
            </a:r>
          </a:p>
        </c:rich>
      </c:tx>
      <c:layout>
        <c:manualLayout>
          <c:xMode val="edge"/>
          <c:yMode val="edge"/>
          <c:x val="0.40355263738212699"/>
          <c:y val="1.06347672032712E-2"/>
        </c:manualLayout>
      </c:layout>
      <c:overlay val="0"/>
      <c:spPr>
        <a:noFill/>
        <a:ln>
          <a:noFill/>
        </a:ln>
        <a:effectLst/>
      </c:spPr>
      <c:txPr>
        <a:bodyPr rot="0" spcFirstLastPara="1" vertOverflow="ellipsis" vert="horz" wrap="square" anchor="ctr" anchorCtr="1"/>
        <a:lstStyle/>
        <a:p>
          <a:pPr>
            <a:defRPr lang="en-US"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304058146578"/>
          <c:y val="0.116982439235983"/>
          <c:w val="0.83182599771182497"/>
          <c:h val="0.70405759633605802"/>
        </c:manualLayout>
      </c:layout>
      <c:barChart>
        <c:barDir val="col"/>
        <c:grouping val="clustered"/>
        <c:varyColors val="0"/>
        <c:ser>
          <c:idx val="1"/>
          <c:order val="1"/>
          <c:tx>
            <c:strRef>
              <c:f>correction!$O$40</c:f>
              <c:strCache>
                <c:ptCount val="1"/>
                <c:pt idx="0">
                  <c:v>Total Stock (Mg C/ha)</c:v>
                </c:pt>
              </c:strCache>
            </c:strRef>
          </c:tx>
          <c:spPr>
            <a:pattFill prst="lgCheck">
              <a:fgClr>
                <a:schemeClr val="tx1"/>
              </a:fgClr>
              <a:bgClr>
                <a:schemeClr val="bg1"/>
              </a:bgClr>
            </a:pattFill>
            <a:ln w="3175">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correction!$M$41:$M$45</c:f>
              <c:strCache>
                <c:ptCount val="5"/>
                <c:pt idx="0">
                  <c:v>1111 trees/ha</c:v>
                </c:pt>
                <c:pt idx="1">
                  <c:v>816 trees/ha</c:v>
                </c:pt>
                <c:pt idx="2">
                  <c:v>493 trees/ha</c:v>
                </c:pt>
                <c:pt idx="3">
                  <c:v>330 trees/ha</c:v>
                </c:pt>
                <c:pt idx="4">
                  <c:v>277 trees/ha</c:v>
                </c:pt>
              </c:strCache>
            </c:strRef>
          </c:cat>
          <c:val>
            <c:numRef>
              <c:f>correction!$O$41:$O$45</c:f>
              <c:numCache>
                <c:formatCode>0.000</c:formatCode>
                <c:ptCount val="5"/>
                <c:pt idx="0">
                  <c:v>32.8859149932726</c:v>
                </c:pt>
                <c:pt idx="1">
                  <c:v>30.860481432519698</c:v>
                </c:pt>
                <c:pt idx="2">
                  <c:v>36.570758072176403</c:v>
                </c:pt>
                <c:pt idx="3">
                  <c:v>34.304995206687899</c:v>
                </c:pt>
                <c:pt idx="4">
                  <c:v>31.4254532610334</c:v>
                </c:pt>
              </c:numCache>
            </c:numRef>
          </c:val>
          <c:extLst>
            <c:ext xmlns:c16="http://schemas.microsoft.com/office/drawing/2014/chart" uri="{C3380CC4-5D6E-409C-BE32-E72D297353CC}">
              <c16:uniqueId val="{00000000-5ACF-42A4-A5EF-BD97561F2351}"/>
            </c:ext>
          </c:extLst>
        </c:ser>
        <c:ser>
          <c:idx val="2"/>
          <c:order val="2"/>
          <c:tx>
            <c:strRef>
              <c:f>correction!$P$40</c:f>
              <c:strCache>
                <c:ptCount val="1"/>
                <c:pt idx="0">
                  <c:v>Carbon sequestration (Mg C/ha)</c:v>
                </c:pt>
              </c:strCache>
            </c:strRef>
          </c:tx>
          <c:spPr>
            <a:pattFill prst="pct20">
              <a:fgClr>
                <a:schemeClr val="tx1"/>
              </a:fgClr>
              <a:bgClr>
                <a:schemeClr val="bg1"/>
              </a:bgClr>
            </a:pattFill>
            <a:ln w="12700" cap="rnd">
              <a:solidFill>
                <a:schemeClr val="tx1">
                  <a:alpha val="98000"/>
                </a:schemeClr>
              </a:solidFill>
              <a:beve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correction!$M$41:$M$45</c:f>
              <c:strCache>
                <c:ptCount val="5"/>
                <c:pt idx="0">
                  <c:v>1111 trees/ha</c:v>
                </c:pt>
                <c:pt idx="1">
                  <c:v>816 trees/ha</c:v>
                </c:pt>
                <c:pt idx="2">
                  <c:v>493 trees/ha</c:v>
                </c:pt>
                <c:pt idx="3">
                  <c:v>330 trees/ha</c:v>
                </c:pt>
                <c:pt idx="4">
                  <c:v>277 trees/ha</c:v>
                </c:pt>
              </c:strCache>
            </c:strRef>
          </c:cat>
          <c:val>
            <c:numRef>
              <c:f>correction!$P$41:$P$45</c:f>
              <c:numCache>
                <c:formatCode>0.000</c:formatCode>
                <c:ptCount val="5"/>
                <c:pt idx="0">
                  <c:v>120.69130802530999</c:v>
                </c:pt>
                <c:pt idx="1">
                  <c:v>113.257966857347</c:v>
                </c:pt>
                <c:pt idx="2">
                  <c:v>134.21468212488799</c:v>
                </c:pt>
                <c:pt idx="3">
                  <c:v>125.89933240854501</c:v>
                </c:pt>
                <c:pt idx="4">
                  <c:v>115.331413467993</c:v>
                </c:pt>
              </c:numCache>
            </c:numRef>
          </c:val>
          <c:extLst>
            <c:ext xmlns:c16="http://schemas.microsoft.com/office/drawing/2014/chart" uri="{C3380CC4-5D6E-409C-BE32-E72D297353CC}">
              <c16:uniqueId val="{00000001-5ACF-42A4-A5EF-BD97561F2351}"/>
            </c:ext>
          </c:extLst>
        </c:ser>
        <c:dLbls>
          <c:showLegendKey val="0"/>
          <c:showVal val="0"/>
          <c:showCatName val="0"/>
          <c:showSerName val="0"/>
          <c:showPercent val="0"/>
          <c:showBubbleSize val="0"/>
        </c:dLbls>
        <c:gapWidth val="219"/>
        <c:axId val="238581743"/>
        <c:axId val="238578383"/>
      </c:barChart>
      <c:scatterChart>
        <c:scatterStyle val="smoothMarker"/>
        <c:varyColors val="0"/>
        <c:ser>
          <c:idx val="0"/>
          <c:order val="0"/>
          <c:tx>
            <c:strRef>
              <c:f>correction!$N$40</c:f>
              <c:strCache>
                <c:ptCount val="1"/>
                <c:pt idx="0">
                  <c:v>Total volume (m3 /ha)</c:v>
                </c:pt>
              </c:strCache>
            </c:strRef>
          </c:tx>
          <c:spPr>
            <a:ln w="28575" cap="rnd">
              <a:gradFill>
                <a:gsLst>
                  <a:gs pos="0">
                    <a:schemeClr val="tx1"/>
                  </a:gs>
                  <a:gs pos="37000">
                    <a:schemeClr val="tx1">
                      <a:alpha val="48000"/>
                    </a:schemeClr>
                  </a:gs>
                  <a:gs pos="62000">
                    <a:schemeClr val="tx1">
                      <a:alpha val="26000"/>
                    </a:schemeClr>
                  </a:gs>
                </a:gsLst>
                <a:lin ang="5400000" scaled="1"/>
              </a:gradFill>
              <a:round/>
            </a:ln>
            <a:effectLst/>
          </c:spPr>
          <c:marker>
            <c:symbol val="none"/>
          </c:marker>
          <c:xVal>
            <c:strRef>
              <c:f>correction!$M$41:$M$45</c:f>
              <c:strCache>
                <c:ptCount val="5"/>
                <c:pt idx="0">
                  <c:v>1111 trees/ha</c:v>
                </c:pt>
                <c:pt idx="1">
                  <c:v>816 trees/ha</c:v>
                </c:pt>
                <c:pt idx="2">
                  <c:v>493 trees/ha</c:v>
                </c:pt>
                <c:pt idx="3">
                  <c:v>330 trees/ha</c:v>
                </c:pt>
                <c:pt idx="4">
                  <c:v>277 trees/ha</c:v>
                </c:pt>
              </c:strCache>
            </c:strRef>
          </c:xVal>
          <c:yVal>
            <c:numRef>
              <c:f>correction!$N$41:$N$45</c:f>
              <c:numCache>
                <c:formatCode>0.000</c:formatCode>
                <c:ptCount val="5"/>
                <c:pt idx="0">
                  <c:v>5.4097774394904397</c:v>
                </c:pt>
                <c:pt idx="1">
                  <c:v>5.5072515668789803</c:v>
                </c:pt>
                <c:pt idx="2">
                  <c:v>6.82500093630573</c:v>
                </c:pt>
                <c:pt idx="3">
                  <c:v>3.24986942675159</c:v>
                </c:pt>
                <c:pt idx="4">
                  <c:v>2.1705993471337601</c:v>
                </c:pt>
              </c:numCache>
            </c:numRef>
          </c:yVal>
          <c:smooth val="1"/>
          <c:extLst>
            <c:ext xmlns:c16="http://schemas.microsoft.com/office/drawing/2014/chart" uri="{C3380CC4-5D6E-409C-BE32-E72D297353CC}">
              <c16:uniqueId val="{00000002-5ACF-42A4-A5EF-BD97561F2351}"/>
            </c:ext>
          </c:extLst>
        </c:ser>
        <c:dLbls>
          <c:showLegendKey val="0"/>
          <c:showVal val="0"/>
          <c:showCatName val="0"/>
          <c:showSerName val="0"/>
          <c:showPercent val="0"/>
          <c:showBubbleSize val="0"/>
        </c:dLbls>
        <c:axId val="387196511"/>
        <c:axId val="387198431"/>
      </c:scatterChart>
      <c:catAx>
        <c:axId val="238581743"/>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Stand</a:t>
                </a:r>
                <a:r>
                  <a:rPr lang="en-US" b="1" baseline="0">
                    <a:latin typeface="Times New Roman" panose="02020603050405020304" charset="0"/>
                    <a:cs typeface="Times New Roman" panose="02020603050405020304" charset="0"/>
                  </a:rPr>
                  <a:t> Density</a:t>
                </a:r>
                <a:endParaRPr lang="en-US"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578383"/>
        <c:crosses val="autoZero"/>
        <c:auto val="1"/>
        <c:lblAlgn val="ctr"/>
        <c:lblOffset val="100"/>
        <c:noMultiLvlLbl val="0"/>
      </c:catAx>
      <c:valAx>
        <c:axId val="238578383"/>
        <c:scaling>
          <c:orientation val="minMax"/>
          <c:max val="150"/>
          <c:min val="0"/>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Carbon</a:t>
                </a:r>
                <a:r>
                  <a:rPr lang="en-US" b="1" baseline="0">
                    <a:latin typeface="Times New Roman" panose="02020603050405020304" charset="0"/>
                    <a:cs typeface="Times New Roman" panose="02020603050405020304" charset="0"/>
                  </a:rPr>
                  <a:t> Stock &amp; Carbon Sequestrartion </a:t>
                </a:r>
              </a:p>
              <a:p>
                <a:pPr>
                  <a:defRPr b="1"/>
                </a:pPr>
                <a:r>
                  <a:rPr lang="en-US" b="1" baseline="0">
                    <a:latin typeface="Times New Roman" panose="02020603050405020304" charset="0"/>
                    <a:cs typeface="Times New Roman" panose="02020603050405020304" charset="0"/>
                  </a:rPr>
                  <a:t>(Mg C/ha)</a:t>
                </a:r>
                <a:endParaRPr lang="en-US"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cross"/>
        <c:minorTickMark val="in"/>
        <c:tickLblPos val="nextTo"/>
        <c:spPr>
          <a:noFill/>
          <a:ln>
            <a:solidFill>
              <a:srgbClr val="002060"/>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581743"/>
        <c:crosses val="autoZero"/>
        <c:crossBetween val="between"/>
        <c:majorUnit val="30"/>
        <c:minorUnit val="4"/>
      </c:valAx>
      <c:valAx>
        <c:axId val="387196511"/>
        <c:scaling>
          <c:orientation val="minMax"/>
        </c:scaling>
        <c:delete val="0"/>
        <c:axPos val="b"/>
        <c:numFmt formatCode="General" sourceLinked="1"/>
        <c:majorTickMark val="out"/>
        <c:minorTickMark val="none"/>
        <c:tickLblPos val="high"/>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7198431"/>
        <c:crossesAt val="8"/>
        <c:crossBetween val="midCat"/>
      </c:valAx>
      <c:valAx>
        <c:axId val="387198431"/>
        <c:scaling>
          <c:orientation val="minMax"/>
          <c:min val="0"/>
        </c:scaling>
        <c:delete val="0"/>
        <c:axPos val="r"/>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bg1"/>
                </a:solidFill>
                <a:latin typeface="+mn-lt"/>
                <a:ea typeface="+mn-ea"/>
                <a:cs typeface="+mn-cs"/>
              </a:defRPr>
            </a:pPr>
            <a:endParaRPr lang="en-US"/>
          </a:p>
        </c:txPr>
        <c:crossAx val="387196511"/>
        <c:crosses val="max"/>
        <c:crossBetween val="midCat"/>
      </c:valAx>
      <c:spPr>
        <a:noFill/>
        <a:ln>
          <a:noFill/>
        </a:ln>
        <a:effectLst/>
      </c:spPr>
    </c:plotArea>
    <c:legend>
      <c:legendPos val="b"/>
      <c:layout>
        <c:manualLayout>
          <c:xMode val="edge"/>
          <c:yMode val="edge"/>
          <c:x val="0.128511872309372"/>
          <c:y val="0.93155117709567004"/>
          <c:w val="0.74297609898350803"/>
          <c:h val="5.6400216954276702E-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a14e005-a5e2-430c-9525-6944a5570ef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86ABA-B421-4EFD-A881-41705650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363</TotalTime>
  <Pages>14</Pages>
  <Words>5495</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57</cp:revision>
  <cp:lastPrinted>1999-07-06T11:00:00Z</cp:lastPrinted>
  <dcterms:created xsi:type="dcterms:W3CDTF">2014-10-25T14:34:00Z</dcterms:created>
  <dcterms:modified xsi:type="dcterms:W3CDTF">2025-09-19T12:07:00Z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61D733EC08EB4D1A957ADA6351DA0FD1_12</vt:lpwstr>
  </property>
</Properties>
</file>