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303AD" w14:textId="77777777" w:rsidR="001060A1" w:rsidRDefault="00294ECA" w:rsidP="00396E58">
      <w:pPr>
        <w:spacing w:after="0" w:line="360" w:lineRule="auto"/>
        <w:jc w:val="center"/>
        <w:outlineLvl w:val="3"/>
        <w:rPr>
          <w:rFonts w:ascii="Times New Roman" w:eastAsia="Times New Roman" w:hAnsi="Times New Roman" w:cs="Times New Roman"/>
          <w:b/>
          <w:bCs/>
          <w:sz w:val="28"/>
          <w:szCs w:val="28"/>
        </w:rPr>
      </w:pPr>
      <w:r w:rsidRPr="00396E58">
        <w:rPr>
          <w:rFonts w:ascii="Times New Roman" w:eastAsia="Times New Roman" w:hAnsi="Times New Roman" w:cs="Times New Roman"/>
          <w:b/>
          <w:bCs/>
          <w:sz w:val="28"/>
          <w:szCs w:val="28"/>
        </w:rPr>
        <w:t>Digital Innovations and ICT Tools in Teaching Applied Entomology: A Review</w:t>
      </w:r>
    </w:p>
    <w:p w14:paraId="3CB00ADF" w14:textId="2415708B" w:rsidR="00C66508" w:rsidRDefault="00C66508" w:rsidP="007047CD">
      <w:pPr>
        <w:spacing w:after="0" w:line="360" w:lineRule="auto"/>
        <w:jc w:val="right"/>
        <w:outlineLvl w:val="3"/>
        <w:rPr>
          <w:rFonts w:ascii="Times New Roman" w:eastAsia="Times New Roman" w:hAnsi="Times New Roman" w:cs="Times New Roman"/>
          <w:b/>
          <w:bCs/>
          <w:sz w:val="28"/>
          <w:szCs w:val="28"/>
        </w:rPr>
      </w:pPr>
    </w:p>
    <w:p w14:paraId="658B478E" w14:textId="77777777" w:rsidR="00A66F48" w:rsidRPr="00396E58" w:rsidRDefault="00A66F48" w:rsidP="007047CD">
      <w:pPr>
        <w:spacing w:after="0" w:line="360" w:lineRule="auto"/>
        <w:jc w:val="right"/>
        <w:outlineLvl w:val="3"/>
        <w:rPr>
          <w:rFonts w:ascii="Times New Roman" w:eastAsia="Times New Roman" w:hAnsi="Times New Roman" w:cs="Times New Roman"/>
          <w:b/>
          <w:bCs/>
          <w:sz w:val="28"/>
          <w:szCs w:val="28"/>
        </w:rPr>
      </w:pPr>
    </w:p>
    <w:p w14:paraId="23BFF4F3" w14:textId="10C91BED" w:rsidR="0000324B" w:rsidRPr="00396E58" w:rsidRDefault="0000324B" w:rsidP="00396E58">
      <w:pPr>
        <w:pStyle w:val="NormalWeb"/>
        <w:spacing w:before="0" w:beforeAutospacing="0" w:after="0" w:afterAutospacing="0" w:line="360" w:lineRule="auto"/>
        <w:jc w:val="both"/>
      </w:pPr>
      <w:r w:rsidRPr="00396E58">
        <w:rPr>
          <w:rStyle w:val="Strong"/>
        </w:rPr>
        <w:t>Abstract</w:t>
      </w:r>
      <w:r w:rsidRPr="00396E58">
        <w:br/>
      </w:r>
      <w:r w:rsidR="00396E58">
        <w:tab/>
      </w:r>
      <w:r w:rsidRPr="00396E58">
        <w:t>In the digital age, education has rapidly transformed through the integration of Information and Communication Technologies (ICTs). This transformation is highly evident in the teaching of applied entomology, a domain traditionally reliant on hands-on fieldwork, microscopy and taxonomic expertise. This review synthesizes recent innovations in digital pedagogy and ICT tools</w:t>
      </w:r>
      <w:r w:rsidR="00396E58">
        <w:t xml:space="preserve"> </w:t>
      </w:r>
      <w:r w:rsidRPr="00396E58">
        <w:t>such as e-learning platforms, mobile applications, simulation software, virtual microscopy, 3D modeling, augmented reality (AR), virtual reality (VR), MOOCs and interactive taxonomic keys</w:t>
      </w:r>
      <w:r w:rsidR="00396E58">
        <w:t xml:space="preserve"> </w:t>
      </w:r>
      <w:r w:rsidRPr="00396E58">
        <w:t>and evaluates their impact on teaching applied entomology. With a focus on accessibility, learner engagement and knowledge retention, the paper provides insights into the global adoption of these tools, highlighting case studies and citing relevant literature. The review concludes with a forward-looking perspective on emerging digital strategies and the need for collaborative, open-source development of entomology-specific educational resources.</w:t>
      </w:r>
    </w:p>
    <w:p w14:paraId="1624C3B4" w14:textId="77777777" w:rsidR="00F04993" w:rsidRDefault="00F04993" w:rsidP="00396E58">
      <w:pPr>
        <w:pStyle w:val="NormalWeb"/>
        <w:spacing w:before="0" w:beforeAutospacing="0" w:after="0" w:afterAutospacing="0" w:line="360" w:lineRule="auto"/>
        <w:jc w:val="both"/>
        <w:rPr>
          <w:rStyle w:val="Strong"/>
        </w:rPr>
      </w:pPr>
      <w:r>
        <w:rPr>
          <w:rStyle w:val="Strong"/>
        </w:rPr>
        <w:t>Keywords:</w:t>
      </w:r>
      <w:r w:rsidRPr="00F04993">
        <w:t xml:space="preserve"> </w:t>
      </w:r>
      <w:r w:rsidRPr="00396E58">
        <w:t>3D modeling, augmented reality</w:t>
      </w:r>
      <w:r>
        <w:t xml:space="preserve">, </w:t>
      </w:r>
      <w:r w:rsidRPr="00396E58">
        <w:t>virtual reality</w:t>
      </w:r>
      <w:r>
        <w:t xml:space="preserve">, </w:t>
      </w:r>
      <w:r w:rsidRPr="00396E58">
        <w:t>MOOCs and interactive taxonomic keys</w:t>
      </w:r>
      <w:r>
        <w:t>.</w:t>
      </w:r>
    </w:p>
    <w:p w14:paraId="1B74976D"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1. Introduction</w:t>
      </w:r>
    </w:p>
    <w:p w14:paraId="62E1EB90" w14:textId="1DFDCB45" w:rsidR="0000324B"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Applied entomology, dealing with the practical aspects of insect science in agriculture, public health, and biodiversity, demands comprehensive understanding and identification skills. The growing complexity of insect-pest interactions, resistance mechanisms and ecological modeling calls for innovative teaching approaches. ICT and digital innovations have brought significant shifts in pedagogy, enabling learners to access, visualize and interact with entomological data in unprecedented ways (Seymour </w:t>
      </w:r>
      <w:r w:rsidR="0000324B" w:rsidRPr="00F04993">
        <w:rPr>
          <w:i/>
          <w:iCs/>
        </w:rPr>
        <w:t>et al.,</w:t>
      </w:r>
      <w:r w:rsidR="0000324B" w:rsidRPr="00396E58">
        <w:t xml:space="preserve"> 2018; D'Costa </w:t>
      </w:r>
      <w:r w:rsidR="0000324B" w:rsidRPr="00F04993">
        <w:rPr>
          <w:i/>
          <w:iCs/>
        </w:rPr>
        <w:t>et al.,</w:t>
      </w:r>
      <w:r w:rsidR="0000324B" w:rsidRPr="00396E58">
        <w:t xml:space="preserve"> 2021). With the proliferation of e-content and open educational resources (OERs), instructors can now design blended and hybrid courses that facilitate active learning, field simulation and continuous assessment. The integration of digital innovations and Information and Communication Technologies (ICTs) in teaching applied entomology has significantly transformed the educational landscape, enabling a shift from passive to active, learner-centered pedagogies. </w:t>
      </w:r>
      <w:r w:rsidR="0000324B" w:rsidRPr="00396E58">
        <w:lastRenderedPageBreak/>
        <w:t xml:space="preserve">These tools include a wide array of platforms such as virtual labs, digital microscopy, interactive simulations, augmented and virtual reality (AR/VR), mobile applications, MOOCs (Massive Open Online Courses) and AI-driven image recognition systems that collectively enhance the delivery and understanding of insect biology, behavior, taxonomy and pest management. Virtual microscopy, for instance, allows entomology students to examine detailed anatomical features of insects at high magnification without the constraints of traditional equipment (Miller </w:t>
      </w:r>
      <w:r w:rsidR="0000324B" w:rsidRPr="00F04993">
        <w:rPr>
          <w:i/>
          <w:iCs/>
        </w:rPr>
        <w:t>et al.,</w:t>
      </w:r>
      <w:r w:rsidR="0000324B" w:rsidRPr="00396E58">
        <w:t xml:space="preserve"> 2020). Similarly, AR and VR platforms enable immersive experiences where students can interact with lifelike insect models and practice dissection skills in a risk-free digital environment (</w:t>
      </w:r>
      <w:proofErr w:type="spellStart"/>
      <w:r w:rsidR="0000324B" w:rsidRPr="00396E58">
        <w:t>Makransky</w:t>
      </w:r>
      <w:proofErr w:type="spellEnd"/>
      <w:r w:rsidR="0000324B" w:rsidRPr="00396E58">
        <w:t xml:space="preserve"> </w:t>
      </w:r>
      <w:r w:rsidR="0000324B" w:rsidRPr="00F04993">
        <w:rPr>
          <w:i/>
          <w:iCs/>
        </w:rPr>
        <w:t>et al.,</w:t>
      </w:r>
      <w:r w:rsidR="0000324B" w:rsidRPr="00396E58">
        <w:t xml:space="preserve"> 2019). Digital tools</w:t>
      </w:r>
      <w:r w:rsidR="00070E2F">
        <w:t xml:space="preserve"> like </w:t>
      </w:r>
      <w:proofErr w:type="spellStart"/>
      <w:r w:rsidR="00070E2F">
        <w:t>iNaturalist</w:t>
      </w:r>
      <w:proofErr w:type="spellEnd"/>
      <w:r w:rsidR="00070E2F">
        <w:t xml:space="preserve">, </w:t>
      </w:r>
      <w:proofErr w:type="spellStart"/>
      <w:r w:rsidR="00070E2F">
        <w:t>Lucidcentral</w:t>
      </w:r>
      <w:proofErr w:type="spellEnd"/>
      <w:r w:rsidR="0000324B" w:rsidRPr="00396E58">
        <w:t xml:space="preserve"> and </w:t>
      </w:r>
      <w:proofErr w:type="spellStart"/>
      <w:r w:rsidR="0000324B" w:rsidRPr="00396E58">
        <w:t>BugGuide.net</w:t>
      </w:r>
      <w:proofErr w:type="spellEnd"/>
      <w:r w:rsidR="0000324B" w:rsidRPr="00396E58">
        <w:t xml:space="preserve"> offer crowd-sourced identification, taxonomy resources, and ecological data, effectively bridging formal and informal learning environments (Silvertown, 2009; Smith </w:t>
      </w:r>
      <w:r w:rsidR="0000324B" w:rsidRPr="00F04993">
        <w:rPr>
          <w:i/>
          <w:iCs/>
        </w:rPr>
        <w:t>et al.,</w:t>
      </w:r>
      <w:r w:rsidR="0000324B" w:rsidRPr="00396E58">
        <w:t xml:space="preserve"> 2013). ICT-enabled Learning Management Systems (LMS) such as Moodle and Google Classroom are increasingly used to deliver structured entomology content, assessments and multimedia resources, thereby fostering asynchronous and blended learning (Al-</w:t>
      </w:r>
      <w:proofErr w:type="spellStart"/>
      <w:r w:rsidR="0000324B" w:rsidRPr="00396E58">
        <w:t>Azawei</w:t>
      </w:r>
      <w:proofErr w:type="spellEnd"/>
      <w:r w:rsidR="0000324B" w:rsidRPr="00396E58">
        <w:t xml:space="preserve"> </w:t>
      </w:r>
      <w:r w:rsidR="0000324B" w:rsidRPr="00F04993">
        <w:rPr>
          <w:i/>
          <w:iCs/>
        </w:rPr>
        <w:t>et al.,</w:t>
      </w:r>
      <w:r w:rsidR="0000324B" w:rsidRPr="00396E58">
        <w:t xml:space="preserve"> 2017). Moreover, mobile apps such as "Insect ID" and "Picture Insect" leverage machine learning to assist in real-time insect recognition, which is particularly useful for extension education and field-based learning (Bhattacharya </w:t>
      </w:r>
      <w:r w:rsidR="0000324B" w:rsidRPr="00F04993">
        <w:rPr>
          <w:i/>
          <w:iCs/>
        </w:rPr>
        <w:t>et al.,</w:t>
      </w:r>
      <w:r w:rsidR="0000324B" w:rsidRPr="00396E58">
        <w:t xml:space="preserve"> 2021). MOOCs hosted on platforms like Coursera and edX are also expanding access to entomology education, offering specialized modules on pest management, vector biology, and insect physiology to a global audience (</w:t>
      </w:r>
      <w:proofErr w:type="spellStart"/>
      <w:r w:rsidR="0000324B" w:rsidRPr="00396E58">
        <w:t>Liyanagunawardena</w:t>
      </w:r>
      <w:proofErr w:type="spellEnd"/>
      <w:r w:rsidR="0000324B" w:rsidRPr="00396E58">
        <w:t xml:space="preserve"> </w:t>
      </w:r>
      <w:r w:rsidR="0000324B" w:rsidRPr="00F04993">
        <w:rPr>
          <w:i/>
          <w:iCs/>
        </w:rPr>
        <w:t>et al.,</w:t>
      </w:r>
      <w:r w:rsidR="0000324B" w:rsidRPr="00396E58">
        <w:t xml:space="preserve"> 2013). Collectively, these ICT tools not only enhance knowledge acquisition but also improve practical skills, increase access to entomological resources and encourage collaborative learning across geographical boundaries. Importantly, these digital approaches cater to diverse learning styles and can help overcome infrastructural barriers faced by institutions in resource-limited regions, thereby contributing to the democratization of science education (</w:t>
      </w:r>
      <w:proofErr w:type="spellStart"/>
      <w:r w:rsidR="0000324B" w:rsidRPr="00396E58">
        <w:t>Guri-Rosenblit</w:t>
      </w:r>
      <w:proofErr w:type="spellEnd"/>
      <w:r w:rsidR="0000324B" w:rsidRPr="00396E58">
        <w:t>, 2005; Mishra, 2020). As the field of applied entomology continues to intersect with agriculture, public health and biodiversity conservation, leveraging ICTs offers unprecedented opportunities to modernize curriculum delivery, promote data-driven research and prepare students for emerging challenges in pest diagnostics, biosecurity and sustainable pest management strategies.</w:t>
      </w:r>
    </w:p>
    <w:p w14:paraId="2C6BCF2A" w14:textId="77777777" w:rsidR="00070E2F" w:rsidRDefault="00070E2F" w:rsidP="00396E58">
      <w:pPr>
        <w:pStyle w:val="NormalWeb"/>
        <w:spacing w:before="0" w:beforeAutospacing="0" w:after="0" w:afterAutospacing="0" w:line="360" w:lineRule="auto"/>
        <w:jc w:val="both"/>
        <w:rPr>
          <w:rStyle w:val="Strong"/>
        </w:rPr>
      </w:pPr>
    </w:p>
    <w:p w14:paraId="3EF74178" w14:textId="77777777" w:rsidR="00070E2F" w:rsidRDefault="00070E2F" w:rsidP="00396E58">
      <w:pPr>
        <w:pStyle w:val="NormalWeb"/>
        <w:spacing w:before="0" w:beforeAutospacing="0" w:after="0" w:afterAutospacing="0" w:line="360" w:lineRule="auto"/>
        <w:jc w:val="both"/>
        <w:rPr>
          <w:rStyle w:val="Strong"/>
        </w:rPr>
      </w:pPr>
    </w:p>
    <w:p w14:paraId="1016F1A5"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lastRenderedPageBreak/>
        <w:t>2. E-Learning Platforms and LMS Integration</w:t>
      </w:r>
    </w:p>
    <w:p w14:paraId="5B4103DB" w14:textId="4B83BC56" w:rsidR="0000324B" w:rsidRPr="00396E58" w:rsidRDefault="00F04993" w:rsidP="00396E58">
      <w:pPr>
        <w:pStyle w:val="NormalWeb"/>
        <w:spacing w:before="0" w:beforeAutospacing="0" w:after="0" w:afterAutospacing="0" w:line="360" w:lineRule="auto"/>
        <w:jc w:val="both"/>
      </w:pPr>
      <w:r>
        <w:tab/>
      </w:r>
      <w:r w:rsidR="0000324B" w:rsidRPr="00396E58">
        <w:t xml:space="preserve">Learning Management Systems (LMS) such as Moodle, Canvas and Blackboard have revolutionized the delivery of entomology courses by enabling asynchronous learning, online quizzes, digital specimen sharing and integration of multimedia content (Reyes </w:t>
      </w:r>
      <w:r w:rsidR="0000324B" w:rsidRPr="00F04993">
        <w:rPr>
          <w:i/>
          <w:iCs/>
        </w:rPr>
        <w:t>et al.,</w:t>
      </w:r>
      <w:r w:rsidR="0000324B" w:rsidRPr="00396E58">
        <w:t xml:space="preserve"> 2019). These platforms support real-time discussions, assignment tracking and collaborative learning, critical for developing taxonomic and analytical skills in students. The integration of e-learning platforms and Learning Management Systems (LMS) has transformed the educational landscape by offering dynamic, interactive and learner-centric pedagogies, especially in specialized fields like entomology. LMS such as </w:t>
      </w:r>
      <w:r w:rsidR="0000324B" w:rsidRPr="00F04993">
        <w:rPr>
          <w:rStyle w:val="Strong"/>
          <w:b w:val="0"/>
          <w:bCs w:val="0"/>
        </w:rPr>
        <w:t>Moodle</w:t>
      </w:r>
      <w:r w:rsidR="0000324B" w:rsidRPr="00F04993">
        <w:rPr>
          <w:b/>
          <w:bCs/>
        </w:rPr>
        <w:t xml:space="preserve">, </w:t>
      </w:r>
      <w:r w:rsidR="0000324B" w:rsidRPr="00F04993">
        <w:rPr>
          <w:rStyle w:val="Strong"/>
          <w:b w:val="0"/>
          <w:bCs w:val="0"/>
        </w:rPr>
        <w:t>Blackboard</w:t>
      </w:r>
      <w:r w:rsidR="0000324B" w:rsidRPr="00F04993">
        <w:rPr>
          <w:b/>
          <w:bCs/>
        </w:rPr>
        <w:t xml:space="preserve">, </w:t>
      </w:r>
      <w:r w:rsidR="0000324B" w:rsidRPr="00F04993">
        <w:rPr>
          <w:rStyle w:val="Strong"/>
          <w:b w:val="0"/>
          <w:bCs w:val="0"/>
        </w:rPr>
        <w:t>Canvas</w:t>
      </w:r>
      <w:r w:rsidR="0000324B" w:rsidRPr="00396E58">
        <w:t xml:space="preserve"> and </w:t>
      </w:r>
      <w:r w:rsidR="0000324B" w:rsidRPr="00F04993">
        <w:rPr>
          <w:rStyle w:val="Strong"/>
          <w:b w:val="0"/>
          <w:bCs w:val="0"/>
        </w:rPr>
        <w:t>Google Classroom</w:t>
      </w:r>
      <w:r w:rsidR="0000324B" w:rsidRPr="00396E58">
        <w:t xml:space="preserve"> have become central to managing, delivering and tracking educational content. These platforms allow seamless delivery of digital lectures, quizzes, assignments and discussion forums while facilitating blended and flipped learning models (</w:t>
      </w:r>
      <w:proofErr w:type="spellStart"/>
      <w:r w:rsidR="0000324B" w:rsidRPr="00396E58">
        <w:t>Aljeraiwi</w:t>
      </w:r>
      <w:proofErr w:type="spellEnd"/>
      <w:r w:rsidR="0000324B" w:rsidRPr="00396E58">
        <w:t xml:space="preserve">, 2021). For instance, in entomology education, platforms such as Moodle have been used to organize taxonomy databases, share high-resolution insect images, embed virtual microscope slides, and link external </w:t>
      </w:r>
      <w:proofErr w:type="spellStart"/>
      <w:r w:rsidR="0000324B" w:rsidRPr="00396E58">
        <w:t>OERs</w:t>
      </w:r>
      <w:proofErr w:type="spellEnd"/>
      <w:r w:rsidR="0000324B" w:rsidRPr="00396E58">
        <w:t xml:space="preserve"> like </w:t>
      </w:r>
      <w:proofErr w:type="spellStart"/>
      <w:r w:rsidR="0000324B" w:rsidRPr="00F04993">
        <w:rPr>
          <w:rStyle w:val="Strong"/>
          <w:b w:val="0"/>
          <w:bCs w:val="0"/>
        </w:rPr>
        <w:t>iNaturalist</w:t>
      </w:r>
      <w:proofErr w:type="spellEnd"/>
      <w:r w:rsidR="0000324B" w:rsidRPr="00F04993">
        <w:rPr>
          <w:b/>
          <w:bCs/>
        </w:rPr>
        <w:t xml:space="preserve">, </w:t>
      </w:r>
      <w:r w:rsidR="0000324B" w:rsidRPr="00F04993">
        <w:rPr>
          <w:rStyle w:val="Strong"/>
          <w:b w:val="0"/>
          <w:bCs w:val="0"/>
        </w:rPr>
        <w:t>Lucid Keys</w:t>
      </w:r>
      <w:r w:rsidR="0000324B" w:rsidRPr="00396E58">
        <w:t xml:space="preserve"> and </w:t>
      </w:r>
      <w:r w:rsidR="0000324B" w:rsidRPr="00070E2F">
        <w:rPr>
          <w:rStyle w:val="Strong"/>
          <w:b w:val="0"/>
          <w:bCs w:val="0"/>
          <w:i/>
          <w:iCs/>
        </w:rPr>
        <w:t>Biodiversity Heritage Library</w:t>
      </w:r>
      <w:r w:rsidR="0000324B" w:rsidRPr="00396E58">
        <w:t xml:space="preserve"> (Ratnayake </w:t>
      </w:r>
      <w:r w:rsidR="0000324B" w:rsidRPr="00F04993">
        <w:rPr>
          <w:i/>
          <w:iCs/>
        </w:rPr>
        <w:t>et al.,</w:t>
      </w:r>
      <w:r w:rsidR="0000324B" w:rsidRPr="00396E58">
        <w:t xml:space="preserve"> 2022). These platforms also support the incorporation of multimedia content like insect dissection videos, AR/VR </w:t>
      </w:r>
      <w:r w:rsidR="00070E2F">
        <w:t>simulations for insect behavior</w:t>
      </w:r>
      <w:r w:rsidR="0000324B" w:rsidRPr="00396E58">
        <w:t xml:space="preserve"> and real-time field data uploads using mobile extensions (Liu </w:t>
      </w:r>
      <w:r w:rsidR="0000324B" w:rsidRPr="00070E2F">
        <w:rPr>
          <w:i/>
          <w:iCs/>
        </w:rPr>
        <w:t>et al.,</w:t>
      </w:r>
      <w:r w:rsidR="0000324B" w:rsidRPr="00396E58">
        <w:t xml:space="preserve"> 2020). Furthermore, LMSs support adaptive learning strategies that adjust content delivery based on student performance, an essential feature in handling the complexity and diversity of topics in insect morphology and taxonomy (Wen &amp; Zhang, 2023). The integration of LMS with Massive Open Online Courses (MOOCs) like </w:t>
      </w:r>
      <w:r w:rsidR="0000324B" w:rsidRPr="00F04993">
        <w:rPr>
          <w:rStyle w:val="Strong"/>
          <w:b w:val="0"/>
          <w:bCs w:val="0"/>
        </w:rPr>
        <w:t>SWAYAM</w:t>
      </w:r>
      <w:r w:rsidR="0000324B" w:rsidRPr="00F04993">
        <w:rPr>
          <w:b/>
          <w:bCs/>
        </w:rPr>
        <w:t xml:space="preserve">, </w:t>
      </w:r>
      <w:r w:rsidR="0000324B" w:rsidRPr="00F04993">
        <w:rPr>
          <w:rStyle w:val="Strong"/>
          <w:b w:val="0"/>
          <w:bCs w:val="0"/>
        </w:rPr>
        <w:t>Coursera</w:t>
      </w:r>
      <w:r w:rsidR="0000324B" w:rsidRPr="00396E58">
        <w:t xml:space="preserve"> and </w:t>
      </w:r>
      <w:r w:rsidR="0000324B" w:rsidRPr="00F04993">
        <w:rPr>
          <w:rStyle w:val="Strong"/>
          <w:b w:val="0"/>
          <w:bCs w:val="0"/>
        </w:rPr>
        <w:t>edX</w:t>
      </w:r>
      <w:r w:rsidR="0000324B" w:rsidRPr="00396E58">
        <w:t xml:space="preserve"> further widens access to curated entomology content and specialized certificate courses (Kumar &amp; Panda, 2021). LMS-based analytics also offer educators valuable insights into learner engagement, performance gaps and the effectiveness of digital pedagogy strategies (González-González </w:t>
      </w:r>
      <w:r w:rsidR="0000324B" w:rsidRPr="00F04993">
        <w:rPr>
          <w:i/>
          <w:iCs/>
        </w:rPr>
        <w:t>et al.,</w:t>
      </w:r>
      <w:r w:rsidR="0000324B" w:rsidRPr="00396E58">
        <w:t xml:space="preserve"> 2020). These analytical capabilities are particularly valuable in applied biological sciences, enabling continuous improvement in instructional design. Hence, e-learning platforms and LMS integration not only enhance accessibility and interactivity in entomology education but also personalize learning while maintaining scalability and pedagogical rigor.</w:t>
      </w:r>
    </w:p>
    <w:p w14:paraId="683DDC3F"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3. MOOCs and Open Access Learning</w:t>
      </w:r>
    </w:p>
    <w:p w14:paraId="2837481C" w14:textId="1E652BAF" w:rsidR="0000324B" w:rsidRPr="00396E58" w:rsidRDefault="00F04993" w:rsidP="00396E58">
      <w:pPr>
        <w:pStyle w:val="NormalWeb"/>
        <w:spacing w:before="0" w:beforeAutospacing="0" w:after="0" w:afterAutospacing="0" w:line="360" w:lineRule="auto"/>
        <w:jc w:val="both"/>
      </w:pPr>
      <w:r>
        <w:tab/>
      </w:r>
      <w:r w:rsidR="0000324B" w:rsidRPr="00396E58">
        <w:t xml:space="preserve">Massive Open Online Courses (MOOCs), such as those on Coursera and edX, offer structured courses in insect biology, pest management and vector ecology. Notable examples </w:t>
      </w:r>
      <w:r w:rsidR="0000324B" w:rsidRPr="00396E58">
        <w:lastRenderedPageBreak/>
        <w:t xml:space="preserve">include "Insect Pest Management" by Wageningen University and "Biodiversity and Taxonomy of Insects" by NPTEL (Kumar &amp; Varghese, 2020). MOOCs enhance accessibility, allowing global learners to acquire professional knowledge in applied entomology. Massive Open Online Courses (MOOCs) and open access learning resources have emerged as pivotal innovations in democratizing education, especially in niche scientific disciplines like entomology where access to physical laboratories and specimen collections can be limited. MOOCs, offered by platforms such as </w:t>
      </w:r>
      <w:proofErr w:type="spellStart"/>
      <w:r w:rsidR="0000324B" w:rsidRPr="00F04993">
        <w:rPr>
          <w:rStyle w:val="Strong"/>
          <w:b w:val="0"/>
          <w:bCs w:val="0"/>
        </w:rPr>
        <w:t>SWAYAM</w:t>
      </w:r>
      <w:proofErr w:type="spellEnd"/>
      <w:r w:rsidR="0000324B" w:rsidRPr="00F04993">
        <w:rPr>
          <w:b/>
          <w:bCs/>
        </w:rPr>
        <w:t xml:space="preserve">, </w:t>
      </w:r>
      <w:proofErr w:type="spellStart"/>
      <w:r w:rsidR="0000324B" w:rsidRPr="00F04993">
        <w:rPr>
          <w:rStyle w:val="Strong"/>
          <w:b w:val="0"/>
          <w:bCs w:val="0"/>
        </w:rPr>
        <w:t>Coursera</w:t>
      </w:r>
      <w:proofErr w:type="spellEnd"/>
      <w:r w:rsidR="0000324B" w:rsidRPr="00F04993">
        <w:rPr>
          <w:b/>
          <w:bCs/>
        </w:rPr>
        <w:t xml:space="preserve">, </w:t>
      </w:r>
      <w:proofErr w:type="spellStart"/>
      <w:r w:rsidR="0000324B" w:rsidRPr="00F04993">
        <w:rPr>
          <w:rStyle w:val="Strong"/>
          <w:b w:val="0"/>
          <w:bCs w:val="0"/>
        </w:rPr>
        <w:t>edX</w:t>
      </w:r>
      <w:proofErr w:type="spellEnd"/>
      <w:r w:rsidR="0000324B" w:rsidRPr="00F04993">
        <w:rPr>
          <w:b/>
          <w:bCs/>
        </w:rPr>
        <w:t xml:space="preserve">, </w:t>
      </w:r>
      <w:proofErr w:type="spellStart"/>
      <w:r w:rsidR="0000324B" w:rsidRPr="00F04993">
        <w:rPr>
          <w:rStyle w:val="Strong"/>
          <w:b w:val="0"/>
          <w:bCs w:val="0"/>
        </w:rPr>
        <w:t>FutureLearn</w:t>
      </w:r>
      <w:proofErr w:type="spellEnd"/>
      <w:r w:rsidR="0000324B" w:rsidRPr="00396E58">
        <w:t xml:space="preserve"> and </w:t>
      </w:r>
      <w:proofErr w:type="spellStart"/>
      <w:r w:rsidR="0000324B" w:rsidRPr="00F04993">
        <w:rPr>
          <w:rStyle w:val="Strong"/>
          <w:b w:val="0"/>
          <w:bCs w:val="0"/>
        </w:rPr>
        <w:t>Udemy</w:t>
      </w:r>
      <w:proofErr w:type="spellEnd"/>
      <w:r w:rsidR="0000324B" w:rsidRPr="00396E58">
        <w:t>, provide free or low-cost, high-quality educational content from globally reputed institutions and experts. These platforms have proven instrumental in delivering structured entomology courses that include modules on insect morphology, taxonomy, integrated pest manag</w:t>
      </w:r>
      <w:r w:rsidR="00070E2F">
        <w:t>ement (IPM), pollinator ecology</w:t>
      </w:r>
      <w:r w:rsidR="0000324B" w:rsidRPr="00396E58">
        <w:t xml:space="preserve"> and biocontrol agents (Perryman &amp; Coughlan, 2014). For instance, the Indian Government’s </w:t>
      </w:r>
      <w:r w:rsidR="0000324B" w:rsidRPr="00F04993">
        <w:rPr>
          <w:rStyle w:val="Strong"/>
          <w:b w:val="0"/>
          <w:bCs w:val="0"/>
        </w:rPr>
        <w:t>SWAYAM</w:t>
      </w:r>
      <w:r w:rsidR="0000324B" w:rsidRPr="00396E58">
        <w:t xml:space="preserve"> platform hosts several agriculture and life science courses, enabling students from remote rural regions to access standardized university-level content (Mitra &amp; Mishra, 2020). Similarly, Coursera offers entomology-relevant MOOCs such as “Ecology: Ecosystem Dynamics and Conservation” by the American Museum of Natural History and “Bugs 101” by the University of Alberta, which attract a global audience and promote interdisciplinary learning (Deshpande &amp; Chavan, 2021). These courses typically include video lectures, readings, quizzes, peer-reviewed assignments, and interactive forums, facilitating collaborative learning and global networking among students and professionals (</w:t>
      </w:r>
      <w:proofErr w:type="spellStart"/>
      <w:r w:rsidR="0000324B" w:rsidRPr="00396E58">
        <w:t>Hollands</w:t>
      </w:r>
      <w:proofErr w:type="spellEnd"/>
      <w:r w:rsidR="0000324B" w:rsidRPr="00396E58">
        <w:t xml:space="preserve"> &amp; </w:t>
      </w:r>
      <w:proofErr w:type="spellStart"/>
      <w:r w:rsidR="0000324B" w:rsidRPr="00396E58">
        <w:t>Tirthali</w:t>
      </w:r>
      <w:proofErr w:type="spellEnd"/>
      <w:r w:rsidR="0000324B" w:rsidRPr="00396E58">
        <w:t xml:space="preserve">, 2014). Moreover, the open access nature of many MOOCs aligns well with the principles of the Open Educational Resources (OER) movement, promoting equity and inclusivity by removing financial and geographical barriers (Yuan &amp; Powell, 2013). In the context of entomology, MOOCs have enabled widespread dissemination of digital insect </w:t>
      </w:r>
      <w:r w:rsidR="00070E2F">
        <w:t>collections, taxonomy databases</w:t>
      </w:r>
      <w:r w:rsidR="0000324B" w:rsidRPr="00396E58">
        <w:t xml:space="preserve"> and ecological modeling tools, which can otherwise be restricted to institutional repositories. Furthermore, integration with mobile apps and multilingual support has enhanced the reach of MOOCs, making entomological content accessible to non-English speakers and field workers (</w:t>
      </w:r>
      <w:proofErr w:type="spellStart"/>
      <w:r w:rsidR="0000324B" w:rsidRPr="00396E58">
        <w:t>Liyanagunawardena</w:t>
      </w:r>
      <w:proofErr w:type="spellEnd"/>
      <w:r w:rsidR="0000324B" w:rsidRPr="00396E58">
        <w:t xml:space="preserve"> </w:t>
      </w:r>
      <w:r w:rsidR="0000324B" w:rsidRPr="00F04993">
        <w:rPr>
          <w:i/>
          <w:iCs/>
        </w:rPr>
        <w:t>et al.,</w:t>
      </w:r>
      <w:r w:rsidR="0000324B" w:rsidRPr="00396E58">
        <w:t xml:space="preserve"> 2013). Despite challenges such as high dropout rates and limited hands-on experience, MOOCs have revolutionized entomology education by offering scalable, flexible and learner-driven alternatives to traditional classroom formats, fostering a globally connected community of learners and educators.</w:t>
      </w:r>
    </w:p>
    <w:p w14:paraId="2A49A288" w14:textId="77777777" w:rsidR="00070E2F" w:rsidRDefault="00070E2F" w:rsidP="00396E58">
      <w:pPr>
        <w:pStyle w:val="NormalWeb"/>
        <w:spacing w:before="0" w:beforeAutospacing="0" w:after="0" w:afterAutospacing="0" w:line="360" w:lineRule="auto"/>
        <w:jc w:val="both"/>
        <w:rPr>
          <w:rStyle w:val="Strong"/>
        </w:rPr>
      </w:pPr>
    </w:p>
    <w:p w14:paraId="6BD6313C"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lastRenderedPageBreak/>
        <w:t>4. Virtual Microscopy and Slide Repositories</w:t>
      </w:r>
    </w:p>
    <w:p w14:paraId="132BCD8D" w14:textId="4F303347" w:rsidR="0000324B"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Virtual microscopy enables students to examine insect anatomy and microscopic features without needing physical lab access. Digital platforms like Virtual Microscope (University of Illinois) and </w:t>
      </w:r>
      <w:proofErr w:type="spellStart"/>
      <w:r w:rsidR="0000324B" w:rsidRPr="00396E58">
        <w:t>SlideAtlas</w:t>
      </w:r>
      <w:proofErr w:type="spellEnd"/>
      <w:r w:rsidR="0000324B" w:rsidRPr="00396E58">
        <w:t xml:space="preserve"> provide high-resolution images and annotations for instructional use (Tsang </w:t>
      </w:r>
      <w:r w:rsidR="0000324B" w:rsidRPr="00F04993">
        <w:rPr>
          <w:i/>
          <w:iCs/>
        </w:rPr>
        <w:t>et al.,</w:t>
      </w:r>
      <w:r w:rsidR="0000324B" w:rsidRPr="00396E58">
        <w:t xml:space="preserve"> 2020). These tools reduce dependency on lab infrastructure and allow remote skill development. Virtual microscopy and digital slide repositories have revolutionized the way entomological structures are studied and taught, offering unprecedented access to high-resolution, interactive visualizations of insect anatomy without the limitations of physical lab infrastructure. These platforms simulate the experience of using a real microscope, allowing users to zoom, pan and annotate specimen slides in fine detail. In the context of entomology, this technology has been pivotal for the study of minute morphological features such as antennae segments, wing venation, compound eye structure, and genitalia</w:t>
      </w:r>
      <w:r>
        <w:t xml:space="preserve"> </w:t>
      </w:r>
      <w:r w:rsidR="0000324B" w:rsidRPr="00396E58">
        <w:t xml:space="preserve">structures that are critical for insect taxonomy and species identification (Ziegler </w:t>
      </w:r>
      <w:r w:rsidR="0000324B" w:rsidRPr="00070E2F">
        <w:rPr>
          <w:i/>
          <w:iCs/>
        </w:rPr>
        <w:t>et al.,</w:t>
      </w:r>
      <w:r w:rsidR="0000324B" w:rsidRPr="00396E58">
        <w:t xml:space="preserve"> 2011). Virtual slide systems such as </w:t>
      </w:r>
      <w:proofErr w:type="spellStart"/>
      <w:r w:rsidR="0000324B" w:rsidRPr="00F04993">
        <w:rPr>
          <w:rStyle w:val="Strong"/>
          <w:b w:val="0"/>
          <w:bCs w:val="0"/>
        </w:rPr>
        <w:t>Aperio</w:t>
      </w:r>
      <w:proofErr w:type="spellEnd"/>
      <w:r w:rsidR="0000324B" w:rsidRPr="00396E58">
        <w:t xml:space="preserve">, </w:t>
      </w:r>
      <w:proofErr w:type="spellStart"/>
      <w:r w:rsidR="0000324B" w:rsidRPr="00F04993">
        <w:rPr>
          <w:rStyle w:val="Strong"/>
          <w:b w:val="0"/>
          <w:bCs w:val="0"/>
        </w:rPr>
        <w:t>PathXL</w:t>
      </w:r>
      <w:proofErr w:type="spellEnd"/>
      <w:r w:rsidR="0000324B" w:rsidRPr="00396E58">
        <w:t xml:space="preserve"> and </w:t>
      </w:r>
      <w:proofErr w:type="spellStart"/>
      <w:r w:rsidR="0000324B" w:rsidRPr="00F04993">
        <w:rPr>
          <w:rStyle w:val="Strong"/>
          <w:b w:val="0"/>
          <w:bCs w:val="0"/>
        </w:rPr>
        <w:t>SlideAtlas</w:t>
      </w:r>
      <w:proofErr w:type="spellEnd"/>
      <w:r w:rsidR="0000324B" w:rsidRPr="00396E58">
        <w:t xml:space="preserve">, along with discipline-specific repositories like the </w:t>
      </w:r>
      <w:r w:rsidR="0000324B" w:rsidRPr="00F04993">
        <w:rPr>
          <w:rStyle w:val="Strong"/>
          <w:b w:val="0"/>
          <w:bCs w:val="0"/>
        </w:rPr>
        <w:t>Virtual Microscopy Database (VMD)</w:t>
      </w:r>
      <w:r w:rsidR="0000324B" w:rsidRPr="00396E58">
        <w:t xml:space="preserve"> and the </w:t>
      </w:r>
      <w:r w:rsidR="0000324B" w:rsidRPr="00F04993">
        <w:rPr>
          <w:rStyle w:val="Strong"/>
          <w:b w:val="0"/>
          <w:bCs w:val="0"/>
        </w:rPr>
        <w:t>Global Biodiversity Information Facility (GBIF)</w:t>
      </w:r>
      <w:r w:rsidR="0000324B" w:rsidRPr="00F04993">
        <w:t>,</w:t>
      </w:r>
      <w:r w:rsidR="0000324B" w:rsidRPr="00396E58">
        <w:t xml:space="preserve"> have facilitated large-scale sharing of entomological slides and micrographs for academic and research use (Gurcan </w:t>
      </w:r>
      <w:r w:rsidR="0000324B" w:rsidRPr="00F04993">
        <w:rPr>
          <w:i/>
          <w:iCs/>
        </w:rPr>
        <w:t>et al.,</w:t>
      </w:r>
      <w:r w:rsidR="0000324B" w:rsidRPr="00396E58">
        <w:t xml:space="preserve"> 2009; Patterson </w:t>
      </w:r>
      <w:r w:rsidR="0000324B" w:rsidRPr="00F04993">
        <w:rPr>
          <w:i/>
          <w:iCs/>
        </w:rPr>
        <w:t>et al.,</w:t>
      </w:r>
      <w:r w:rsidR="0000324B" w:rsidRPr="00396E58">
        <w:t xml:space="preserve"> 2010). These tools are particularly effective for teaching taxonomy, histology and pathology of insect vectors of disease, as they provide access to rare and well-preserved digital specimens that are often unavailable locally due to geographic or financial constraints (Hanna </w:t>
      </w:r>
      <w:r w:rsidR="0000324B" w:rsidRPr="00F04993">
        <w:rPr>
          <w:i/>
          <w:iCs/>
        </w:rPr>
        <w:t>et al.,</w:t>
      </w:r>
      <w:r w:rsidR="0000324B" w:rsidRPr="00396E58">
        <w:t xml:space="preserve"> 2015). Moreover, virtual microscopy supports asynchronous and distance learning models, enabling students from diverse regions to examine and interpret insect slides without needing a physical laboratory, thus fostering inclusivity and equity in entomological education (Eccles </w:t>
      </w:r>
      <w:r w:rsidR="0000324B" w:rsidRPr="00F04993">
        <w:rPr>
          <w:i/>
          <w:iCs/>
        </w:rPr>
        <w:t>et al.,</w:t>
      </w:r>
      <w:r w:rsidR="0000324B" w:rsidRPr="00396E58">
        <w:t xml:space="preserve"> 2013). Advanced virtual microscopy platforms also incorporate AI-powered image recognition and metadata tagging to assist students in identifying and differentiating species based on diagnostic characteristics (Vesal </w:t>
      </w:r>
      <w:r w:rsidR="0000324B" w:rsidRPr="00F04993">
        <w:rPr>
          <w:i/>
          <w:iCs/>
        </w:rPr>
        <w:t>et al.,</w:t>
      </w:r>
      <w:r w:rsidR="0000324B" w:rsidRPr="00396E58">
        <w:t xml:space="preserve"> 2018). Instructors benefit by embedding these slides into Learning Management Systems (LMS) such as Moodle or Canvas, creating integrated assessments and interactive annotations to deepen student engagement. The ability to archive, annotate, and share these virtual slides globally supports collaborative research and citizen science initiatives, linking taxonomy education with field-based ecological monitoring. Thus, the use of virtual microscopy and digital slide repositories </w:t>
      </w:r>
      <w:r w:rsidR="0000324B" w:rsidRPr="00396E58">
        <w:lastRenderedPageBreak/>
        <w:t>not only enhances the pedagogical effectiveness of entomology education but also bridges the gap between traditional microscopy and modern digital learning environments.</w:t>
      </w:r>
    </w:p>
    <w:p w14:paraId="12794C5A"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5. 3D Insect Models and Morphological Simulators</w:t>
      </w:r>
    </w:p>
    <w:p w14:paraId="5272E007" w14:textId="5BF890F8"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Three-dimensional insect models developed using software like Blender, </w:t>
      </w:r>
      <w:proofErr w:type="spellStart"/>
      <w:r w:rsidR="0000324B" w:rsidRPr="00396E58">
        <w:t>Sketchfab</w:t>
      </w:r>
      <w:proofErr w:type="spellEnd"/>
      <w:r w:rsidR="0000324B" w:rsidRPr="00396E58">
        <w:t xml:space="preserve"> and Unity provide interactive views of insect morphology. Such tools are particularly useful for understanding complex anatomical structures and are widely adopted in entomology teaching modules (Hernandez </w:t>
      </w:r>
      <w:r w:rsidR="0000324B" w:rsidRPr="00F04993">
        <w:rPr>
          <w:i/>
          <w:iCs/>
        </w:rPr>
        <w:t>et al.,</w:t>
      </w:r>
      <w:r w:rsidR="0000324B" w:rsidRPr="00396E58">
        <w:t xml:space="preserve"> 2017).</w:t>
      </w:r>
      <w:r w:rsidR="00396E58" w:rsidRPr="00396E58">
        <w:t xml:space="preserve"> The integration of 3D insect models and morphological simulators into entomology education has significantly enhanced the visualization, comprehension and interactivity of complex anatomical features that are otherwise difficult to study using traditional methods. These tools enable students and researchers to explore insect morphology in a fully immersive, manipulatable, and scalable environment, thereby facilitating a deeper understanding of insect form and function. Platforms such as </w:t>
      </w:r>
      <w:proofErr w:type="spellStart"/>
      <w:r w:rsidR="00396E58" w:rsidRPr="00F04993">
        <w:t>Sketchfab</w:t>
      </w:r>
      <w:proofErr w:type="spellEnd"/>
      <w:r w:rsidR="00396E58" w:rsidRPr="00F04993">
        <w:t xml:space="preserve">, </w:t>
      </w:r>
      <w:proofErr w:type="spellStart"/>
      <w:r w:rsidR="00396E58" w:rsidRPr="00F04993">
        <w:t>MorphoSource</w:t>
      </w:r>
      <w:proofErr w:type="spellEnd"/>
      <w:r w:rsidR="00396E58" w:rsidRPr="00396E58">
        <w:t xml:space="preserve">, </w:t>
      </w:r>
      <w:proofErr w:type="spellStart"/>
      <w:r w:rsidR="00396E58" w:rsidRPr="00F04993">
        <w:t>BioDigital</w:t>
      </w:r>
      <w:proofErr w:type="spellEnd"/>
      <w:r w:rsidR="00396E58" w:rsidRPr="00F04993">
        <w:t xml:space="preserve"> Human</w:t>
      </w:r>
      <w:r w:rsidR="00396E58" w:rsidRPr="00396E58">
        <w:t xml:space="preserve"> and </w:t>
      </w:r>
      <w:r w:rsidR="00396E58" w:rsidRPr="00F04993">
        <w:t>Insect3D</w:t>
      </w:r>
      <w:r w:rsidR="00396E58" w:rsidRPr="00396E58">
        <w:t xml:space="preserve"> provide open-access 3D reconstructions of insect exoskeletons, genitalia, wings, and internal organs, created using high-resolution scanning techniques like micro-computed tomography (micro-CT), photogrammetry and laser scanning (</w:t>
      </w:r>
      <w:proofErr w:type="spellStart"/>
      <w:r w:rsidR="00396E58" w:rsidRPr="00396E58">
        <w:t>Faulwetter</w:t>
      </w:r>
      <w:proofErr w:type="spellEnd"/>
      <w:r w:rsidR="00396E58" w:rsidRPr="00396E58">
        <w:t xml:space="preserve"> </w:t>
      </w:r>
      <w:r w:rsidR="00396E58" w:rsidRPr="00F04993">
        <w:rPr>
          <w:i/>
          <w:iCs/>
        </w:rPr>
        <w:t>et al.,</w:t>
      </w:r>
      <w:r w:rsidR="00396E58" w:rsidRPr="00396E58">
        <w:t xml:space="preserve"> 2013; Sombke </w:t>
      </w:r>
      <w:r w:rsidR="00396E58" w:rsidRPr="00F04993">
        <w:rPr>
          <w:i/>
          <w:iCs/>
        </w:rPr>
        <w:t>et al.,</w:t>
      </w:r>
      <w:r w:rsidR="00396E58" w:rsidRPr="00396E58">
        <w:t xml:space="preserve"> 2015). These 3D models can be rotated, dissected, zoomed and labeled interactively, which is especially beneficial for studying minute structures such as sensilla, wing venation, and mandibular articulation, which are crucial for taxonomic classification and ecological interpretation (Greco </w:t>
      </w:r>
      <w:r w:rsidR="00396E58" w:rsidRPr="00F04993">
        <w:rPr>
          <w:i/>
          <w:iCs/>
        </w:rPr>
        <w:t>et al.,</w:t>
      </w:r>
      <w:r w:rsidR="00396E58" w:rsidRPr="00396E58">
        <w:t xml:space="preserve"> 2020).</w:t>
      </w:r>
    </w:p>
    <w:p w14:paraId="1C094363" w14:textId="69DE73DA"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In educational contexts, 3D insect morphology simulators are embedded into e-learning modules, LMS platforms, and augmented reality (AR) environments to facilitate experiential learning. For instance, tools like </w:t>
      </w:r>
      <w:r w:rsidR="00396E58" w:rsidRPr="00F04993">
        <w:rPr>
          <w:rFonts w:ascii="Times New Roman" w:eastAsia="Times New Roman" w:hAnsi="Times New Roman" w:cs="Times New Roman"/>
          <w:sz w:val="24"/>
          <w:szCs w:val="24"/>
        </w:rPr>
        <w:t>3D Atlas of Insect Anatomy</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Virtual Insect Dissection Labs</w:t>
      </w:r>
      <w:r w:rsidR="00396E58" w:rsidRPr="00396E58">
        <w:rPr>
          <w:rFonts w:ascii="Times New Roman" w:eastAsia="Times New Roman" w:hAnsi="Times New Roman" w:cs="Times New Roman"/>
          <w:sz w:val="24"/>
          <w:szCs w:val="24"/>
        </w:rPr>
        <w:t xml:space="preserve"> allow learners to virtually dissect and reassemble insects, simulating real-world entomological lab practices in a risk-free and repeatable digital setting (Young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2016). These models also support accessibility by enabling students with limited access to physical specimens or microscopy equipment</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such as those in remote or underfunded institutions</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to engage in high-fidelity morphological learning (</w:t>
      </w:r>
      <w:proofErr w:type="spellStart"/>
      <w:r w:rsidR="00396E58" w:rsidRPr="00396E58">
        <w:rPr>
          <w:rFonts w:ascii="Times New Roman" w:eastAsia="Times New Roman" w:hAnsi="Times New Roman" w:cs="Times New Roman"/>
          <w:sz w:val="24"/>
          <w:szCs w:val="24"/>
        </w:rPr>
        <w:t>Tait</w:t>
      </w:r>
      <w:proofErr w:type="spellEnd"/>
      <w:r w:rsidR="00396E58" w:rsidRPr="00396E58">
        <w:rPr>
          <w:rFonts w:ascii="Times New Roman" w:eastAsia="Times New Roman" w:hAnsi="Times New Roman" w:cs="Times New Roman"/>
          <w:sz w:val="24"/>
          <w:szCs w:val="24"/>
        </w:rPr>
        <w:t xml:space="preserve"> &amp; </w:t>
      </w:r>
      <w:proofErr w:type="spellStart"/>
      <w:r w:rsidR="00396E58" w:rsidRPr="00396E58">
        <w:rPr>
          <w:rFonts w:ascii="Times New Roman" w:eastAsia="Times New Roman" w:hAnsi="Times New Roman" w:cs="Times New Roman"/>
          <w:sz w:val="24"/>
          <w:szCs w:val="24"/>
        </w:rPr>
        <w:t>Stutchbury</w:t>
      </w:r>
      <w:proofErr w:type="spellEnd"/>
      <w:r w:rsidR="00396E58" w:rsidRPr="00396E58">
        <w:rPr>
          <w:rFonts w:ascii="Times New Roman" w:eastAsia="Times New Roman" w:hAnsi="Times New Roman" w:cs="Times New Roman"/>
          <w:sz w:val="24"/>
          <w:szCs w:val="24"/>
        </w:rPr>
        <w:t xml:space="preserve">, 2019). Moreover, when integrated with </w:t>
      </w:r>
      <w:r w:rsidR="00396E58" w:rsidRPr="00F04993">
        <w:rPr>
          <w:rFonts w:ascii="Times New Roman" w:eastAsia="Times New Roman" w:hAnsi="Times New Roman" w:cs="Times New Roman"/>
          <w:sz w:val="24"/>
          <w:szCs w:val="24"/>
        </w:rPr>
        <w:t>gamified learning</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AR/VR tools</w:t>
      </w:r>
      <w:r w:rsidR="00396E58" w:rsidRPr="00396E58">
        <w:rPr>
          <w:rFonts w:ascii="Times New Roman" w:eastAsia="Times New Roman" w:hAnsi="Times New Roman" w:cs="Times New Roman"/>
          <w:sz w:val="24"/>
          <w:szCs w:val="24"/>
        </w:rPr>
        <w:t>, these simulators enhance student engagement, retention and cognitive performance in comparative morphology and functional anatomy (</w:t>
      </w:r>
      <w:proofErr w:type="spellStart"/>
      <w:r w:rsidR="00396E58" w:rsidRPr="00396E58">
        <w:rPr>
          <w:rFonts w:ascii="Times New Roman" w:eastAsia="Times New Roman" w:hAnsi="Times New Roman" w:cs="Times New Roman"/>
          <w:sz w:val="24"/>
          <w:szCs w:val="24"/>
        </w:rPr>
        <w:t>Radianti</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2020). Recent advancements in </w:t>
      </w:r>
      <w:r w:rsidR="00396E58" w:rsidRPr="00F04993">
        <w:rPr>
          <w:rFonts w:ascii="Times New Roman" w:eastAsia="Times New Roman" w:hAnsi="Times New Roman" w:cs="Times New Roman"/>
          <w:sz w:val="24"/>
          <w:szCs w:val="24"/>
        </w:rPr>
        <w:t>interactive web-based 3D model repositories</w:t>
      </w:r>
      <w:r w:rsidR="00396E58" w:rsidRPr="00396E58">
        <w:rPr>
          <w:rFonts w:ascii="Times New Roman" w:eastAsia="Times New Roman" w:hAnsi="Times New Roman" w:cs="Times New Roman"/>
          <w:sz w:val="24"/>
          <w:szCs w:val="24"/>
        </w:rPr>
        <w:t xml:space="preserve"> have also enabled </w:t>
      </w:r>
      <w:r w:rsidR="00396E58" w:rsidRPr="00396E58">
        <w:rPr>
          <w:rFonts w:ascii="Times New Roman" w:eastAsia="Times New Roman" w:hAnsi="Times New Roman" w:cs="Times New Roman"/>
          <w:sz w:val="24"/>
          <w:szCs w:val="24"/>
        </w:rPr>
        <w:lastRenderedPageBreak/>
        <w:t xml:space="preserve">collaborative annotation and crowdsourced taxonomy, bridging the gap between digital pedagogy and participatory research (Riedel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2013).</w:t>
      </w:r>
    </w:p>
    <w:p w14:paraId="2A6AF473"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In addition to academic instruction, 3D insect models are now extensively used in museum displays, citizen science platforms, and scientific illustration, further broadening their educational and communicational value. Thus, 3D modeling and morphological simulation are not only revolutionizing how insect anatomy is taught but are also redefining the standards of digital education, enabling scalable, inclusive and cutting-edge pedagogy in entomology.</w:t>
      </w:r>
    </w:p>
    <w:p w14:paraId="64309E31"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6. Mobile Applications in Field Entomology</w:t>
      </w:r>
    </w:p>
    <w:p w14:paraId="3831A368" w14:textId="67A26102" w:rsidR="00396E58" w:rsidRPr="00396E58" w:rsidRDefault="00F04993" w:rsidP="00396E58">
      <w:pPr>
        <w:pStyle w:val="NormalWeb"/>
        <w:spacing w:before="0" w:beforeAutospacing="0" w:after="0" w:afterAutospacing="0" w:line="360" w:lineRule="auto"/>
        <w:jc w:val="both"/>
      </w:pPr>
      <w:r>
        <w:rPr>
          <w:rStyle w:val="Strong"/>
        </w:rPr>
        <w:tab/>
      </w:r>
      <w:proofErr w:type="spellStart"/>
      <w:proofErr w:type="gramStart"/>
      <w:r w:rsidR="0000324B" w:rsidRPr="00396E58">
        <w:t>iNaturalist</w:t>
      </w:r>
      <w:proofErr w:type="spellEnd"/>
      <w:proofErr w:type="gramEnd"/>
      <w:r w:rsidR="0000324B" w:rsidRPr="00396E58">
        <w:t xml:space="preserve">, </w:t>
      </w:r>
      <w:proofErr w:type="spellStart"/>
      <w:r w:rsidR="0000324B" w:rsidRPr="00396E58">
        <w:t>AgriFutures</w:t>
      </w:r>
      <w:proofErr w:type="spellEnd"/>
      <w:r w:rsidR="0000324B" w:rsidRPr="00396E58">
        <w:t xml:space="preserve"> Pest Identification Tool and Insect Identifier are mobile apps enabling field data collection, species recognition and crowd-sourced validation (Silva </w:t>
      </w:r>
      <w:r w:rsidR="0000324B" w:rsidRPr="00F04993">
        <w:rPr>
          <w:i/>
          <w:iCs/>
        </w:rPr>
        <w:t>et al.,</w:t>
      </w:r>
      <w:r w:rsidR="0000324B" w:rsidRPr="00396E58">
        <w:t xml:space="preserve"> 2021). These apps assist students in real-time insect identification and geotagging of pest outbreaks, contributing to practical learning and citizen science.</w:t>
      </w:r>
      <w:r w:rsidR="00396E58" w:rsidRPr="00396E58">
        <w:t xml:space="preserve"> Mobile applications have emerged as transformative tools in the field of entomology, significantly enhancing data collection, species identification, geotagging, ecological monitoring and participatory research. Their portability, ease of use and real-time data sharing capabilities make them especially valuable for field entomologists, students, citizen scientists and agricultural practitioners who operate outside the traditional laboratory setting. One of the most widely used mobile apps is </w:t>
      </w:r>
      <w:proofErr w:type="spellStart"/>
      <w:r w:rsidR="00396E58" w:rsidRPr="00F04993">
        <w:t>iNaturalist</w:t>
      </w:r>
      <w:proofErr w:type="spellEnd"/>
      <w:r w:rsidR="00396E58" w:rsidRPr="00396E58">
        <w:t xml:space="preserve">, a joint initiative of the California Academy of Sciences and the National Geographic Society, which allows users to photograph, identify and upload insect observations with automatic species suggestions based on AI algorithms and community validation (Seltzer </w:t>
      </w:r>
      <w:r w:rsidR="00396E58" w:rsidRPr="00F04993">
        <w:rPr>
          <w:i/>
          <w:iCs/>
        </w:rPr>
        <w:t>et al.,</w:t>
      </w:r>
      <w:r w:rsidR="00396E58" w:rsidRPr="00396E58">
        <w:t xml:space="preserve"> 2020). This platform has created an extensive global repository of insect biodiversity and has been widely integrated into field entomology coursework and citizen science programs. Similarly, </w:t>
      </w:r>
      <w:r w:rsidR="00396E58" w:rsidRPr="00F04993">
        <w:t xml:space="preserve">Seek by </w:t>
      </w:r>
      <w:proofErr w:type="spellStart"/>
      <w:r w:rsidR="00396E58" w:rsidRPr="00F04993">
        <w:t>iNaturalist</w:t>
      </w:r>
      <w:proofErr w:type="spellEnd"/>
      <w:r w:rsidR="00396E58" w:rsidRPr="00396E58">
        <w:t xml:space="preserve">, designed for younger learners and offline functionality, </w:t>
      </w:r>
      <w:proofErr w:type="gramStart"/>
      <w:r w:rsidR="00396E58" w:rsidRPr="00396E58">
        <w:t>has</w:t>
      </w:r>
      <w:proofErr w:type="gramEnd"/>
      <w:r w:rsidR="00396E58" w:rsidRPr="00396E58">
        <w:t xml:space="preserve"> proven useful in school-based insect diversity surveys and ecological awareness programs (Tonkin </w:t>
      </w:r>
      <w:r w:rsidR="00396E58" w:rsidRPr="00F04993">
        <w:rPr>
          <w:i/>
          <w:iCs/>
        </w:rPr>
        <w:t>et al.,</w:t>
      </w:r>
      <w:r w:rsidR="00396E58" w:rsidRPr="00396E58">
        <w:t xml:space="preserve"> 2022).</w:t>
      </w:r>
    </w:p>
    <w:p w14:paraId="63568BF2" w14:textId="5B70837C"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Another major advancement includes </w:t>
      </w:r>
      <w:proofErr w:type="spellStart"/>
      <w:r w:rsidR="00396E58" w:rsidRPr="00F04993">
        <w:rPr>
          <w:rFonts w:ascii="Times New Roman" w:eastAsia="Times New Roman" w:hAnsi="Times New Roman" w:cs="Times New Roman"/>
          <w:sz w:val="24"/>
          <w:szCs w:val="24"/>
        </w:rPr>
        <w:t>AgriApp</w:t>
      </w:r>
      <w:proofErr w:type="spellEnd"/>
      <w:r w:rsidR="00396E58" w:rsidRPr="00396E58">
        <w:rPr>
          <w:rFonts w:ascii="Times New Roman" w:eastAsia="Times New Roman" w:hAnsi="Times New Roman" w:cs="Times New Roman"/>
          <w:sz w:val="24"/>
          <w:szCs w:val="24"/>
        </w:rPr>
        <w:t xml:space="preserve">, </w:t>
      </w:r>
      <w:proofErr w:type="spellStart"/>
      <w:r w:rsidR="00396E58" w:rsidRPr="00F04993">
        <w:rPr>
          <w:rFonts w:ascii="Times New Roman" w:eastAsia="Times New Roman" w:hAnsi="Times New Roman" w:cs="Times New Roman"/>
          <w:sz w:val="24"/>
          <w:szCs w:val="24"/>
        </w:rPr>
        <w:t>Plantix</w:t>
      </w:r>
      <w:proofErr w:type="spellEnd"/>
      <w:r w:rsidR="00396E58" w:rsidRPr="00396E58">
        <w:rPr>
          <w:rFonts w:ascii="Times New Roman" w:eastAsia="Times New Roman" w:hAnsi="Times New Roman" w:cs="Times New Roman"/>
          <w:sz w:val="24"/>
          <w:szCs w:val="24"/>
        </w:rPr>
        <w:t xml:space="preserve"> and </w:t>
      </w:r>
      <w:proofErr w:type="spellStart"/>
      <w:r w:rsidR="00396E58" w:rsidRPr="00F04993">
        <w:rPr>
          <w:rFonts w:ascii="Times New Roman" w:eastAsia="Times New Roman" w:hAnsi="Times New Roman" w:cs="Times New Roman"/>
          <w:sz w:val="24"/>
          <w:szCs w:val="24"/>
        </w:rPr>
        <w:t>PestObserver</w:t>
      </w:r>
      <w:proofErr w:type="spellEnd"/>
      <w:r w:rsidR="00396E58" w:rsidRPr="00396E58">
        <w:rPr>
          <w:rFonts w:ascii="Times New Roman" w:eastAsia="Times New Roman" w:hAnsi="Times New Roman" w:cs="Times New Roman"/>
          <w:sz w:val="24"/>
          <w:szCs w:val="24"/>
        </w:rPr>
        <w:t>, which are tailored for agricultural entomology, allowing users</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especially farmers and extension workers</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 xml:space="preserve">to identify insect pests and beneficial insects in real-time using image-based diagnostic tools and receive management recommendations based on Integrated Pest Management (IPM) protocols (Nakasone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2019). The </w:t>
      </w:r>
      <w:r w:rsidR="00396E58" w:rsidRPr="00F04993">
        <w:rPr>
          <w:rFonts w:ascii="Times New Roman" w:eastAsia="Times New Roman" w:hAnsi="Times New Roman" w:cs="Times New Roman"/>
          <w:sz w:val="24"/>
          <w:szCs w:val="24"/>
        </w:rPr>
        <w:t>Lucid Mobile Keys</w:t>
      </w:r>
      <w:r w:rsidR="00396E58" w:rsidRPr="00396E58">
        <w:rPr>
          <w:rFonts w:ascii="Times New Roman" w:eastAsia="Times New Roman" w:hAnsi="Times New Roman" w:cs="Times New Roman"/>
          <w:sz w:val="24"/>
          <w:szCs w:val="24"/>
        </w:rPr>
        <w:t xml:space="preserve"> app provides interactive identification keys for various insect orders and families, simplifying taxonomy for both novices and experts in the </w:t>
      </w:r>
      <w:r w:rsidR="00396E58" w:rsidRPr="00396E58">
        <w:rPr>
          <w:rFonts w:ascii="Times New Roman" w:eastAsia="Times New Roman" w:hAnsi="Times New Roman" w:cs="Times New Roman"/>
          <w:sz w:val="24"/>
          <w:szCs w:val="24"/>
        </w:rPr>
        <w:lastRenderedPageBreak/>
        <w:t xml:space="preserve">field. For more technical users, </w:t>
      </w:r>
      <w:proofErr w:type="spellStart"/>
      <w:r w:rsidR="00396E58" w:rsidRPr="00F04993">
        <w:rPr>
          <w:rFonts w:ascii="Times New Roman" w:eastAsia="Times New Roman" w:hAnsi="Times New Roman" w:cs="Times New Roman"/>
          <w:sz w:val="24"/>
          <w:szCs w:val="24"/>
        </w:rPr>
        <w:t>GeoTag</w:t>
      </w:r>
      <w:proofErr w:type="spellEnd"/>
      <w:r w:rsidR="00396E58" w:rsidRPr="00F04993">
        <w:rPr>
          <w:rFonts w:ascii="Times New Roman" w:eastAsia="Times New Roman" w:hAnsi="Times New Roman" w:cs="Times New Roman"/>
          <w:sz w:val="24"/>
          <w:szCs w:val="24"/>
        </w:rPr>
        <w:t>-X</w:t>
      </w:r>
      <w:r w:rsidR="00396E58" w:rsidRPr="00396E58">
        <w:rPr>
          <w:rFonts w:ascii="Times New Roman" w:eastAsia="Times New Roman" w:hAnsi="Times New Roman" w:cs="Times New Roman"/>
          <w:sz w:val="24"/>
          <w:szCs w:val="24"/>
        </w:rPr>
        <w:t xml:space="preserve"> and </w:t>
      </w:r>
      <w:proofErr w:type="spellStart"/>
      <w:r w:rsidR="00396E58" w:rsidRPr="00F04993">
        <w:rPr>
          <w:rFonts w:ascii="Times New Roman" w:eastAsia="Times New Roman" w:hAnsi="Times New Roman" w:cs="Times New Roman"/>
          <w:sz w:val="24"/>
          <w:szCs w:val="24"/>
        </w:rPr>
        <w:t>Epicollect5</w:t>
      </w:r>
      <w:proofErr w:type="spellEnd"/>
      <w:r w:rsidR="00396E58" w:rsidRPr="00396E58">
        <w:rPr>
          <w:rFonts w:ascii="Times New Roman" w:eastAsia="Times New Roman" w:hAnsi="Times New Roman" w:cs="Times New Roman"/>
          <w:sz w:val="24"/>
          <w:szCs w:val="24"/>
        </w:rPr>
        <w:t xml:space="preserve"> offer mobile-based forms for systematic insect sampling, georeferencing, and temporal tracking of insect outbreaks or biodiversity indices (Lehmann </w:t>
      </w:r>
      <w:r w:rsidR="00396E58" w:rsidRPr="00070E2F">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2021). These tools often synchronize with centralized cloud databases, enabling collaborative research, remote supervision, and seamless data integration with platforms like GBIF (Global Biodiversity Information Facility).</w:t>
      </w:r>
    </w:p>
    <w:p w14:paraId="0A43A17A" w14:textId="06710C42"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The educational impact of mobile applications in field entomology is profound, as they allow real-time, inquiry-based, and contextual learning. Mobile apps with AR features, such as </w:t>
      </w:r>
      <w:r w:rsidR="00396E58" w:rsidRPr="00F04993">
        <w:rPr>
          <w:rFonts w:ascii="Times New Roman" w:eastAsia="Times New Roman" w:hAnsi="Times New Roman" w:cs="Times New Roman"/>
          <w:sz w:val="24"/>
          <w:szCs w:val="24"/>
        </w:rPr>
        <w:t>Bug Hunt AR</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InsectaAR</w:t>
      </w:r>
      <w:r w:rsidR="00396E58" w:rsidRPr="00396E58">
        <w:rPr>
          <w:rFonts w:ascii="Times New Roman" w:eastAsia="Times New Roman" w:hAnsi="Times New Roman" w:cs="Times New Roman"/>
          <w:sz w:val="24"/>
          <w:szCs w:val="24"/>
        </w:rPr>
        <w:t>, bring virtual insects into the real world, enabling users to study insect anatomy and behavior without harming living organisms</w:t>
      </w:r>
      <w:r>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aligning with ethical and sustainable science education practices (</w:t>
      </w:r>
      <w:proofErr w:type="spellStart"/>
      <w:r w:rsidR="00396E58" w:rsidRPr="00396E58">
        <w:rPr>
          <w:rFonts w:ascii="Times New Roman" w:eastAsia="Times New Roman" w:hAnsi="Times New Roman" w:cs="Times New Roman"/>
          <w:sz w:val="24"/>
          <w:szCs w:val="24"/>
        </w:rPr>
        <w:t>Radianti</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2020). Furthermore, these apps often include multilingual support, offline access and low-bandwidth optimization, making them particularly effective in remote rural areas where traditional tools and internet connectivity are limited (Bansal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2021). Additionally, the use of such apps fosters data-driven decision-making and promotes the development of digital literacy and field observation skills among learners.</w:t>
      </w:r>
    </w:p>
    <w:p w14:paraId="5F9681A3" w14:textId="39EFFC25"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Thus, mobile applications are not just tools for convenience; they represent a paradigm shift in how insect science is conducted, taught, and disseminated. By bridging the gap between field and classroom, expert and novice and data and action, mobile applications have become indispensable in the contemporary landscape of field entomology education and research.</w:t>
      </w:r>
    </w:p>
    <w:p w14:paraId="2BF82C86"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7. Digital Taxonomic Keys and Interactive Identification Tools</w:t>
      </w:r>
    </w:p>
    <w:p w14:paraId="6AD0D024" w14:textId="053FF464"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Lucid Keys and Delta </w:t>
      </w:r>
      <w:proofErr w:type="spellStart"/>
      <w:r w:rsidR="0000324B" w:rsidRPr="00396E58">
        <w:t>IntKey</w:t>
      </w:r>
      <w:proofErr w:type="spellEnd"/>
      <w:r w:rsidR="0000324B" w:rsidRPr="00396E58">
        <w:t xml:space="preserve"> allow flexible, user-friendly identification of insect taxa using visual and morphological characters (</w:t>
      </w:r>
      <w:proofErr w:type="spellStart"/>
      <w:r w:rsidR="0000324B" w:rsidRPr="00396E58">
        <w:t>Dallwitz</w:t>
      </w:r>
      <w:proofErr w:type="spellEnd"/>
      <w:r w:rsidR="0000324B" w:rsidRPr="00396E58">
        <w:t xml:space="preserve"> </w:t>
      </w:r>
      <w:r w:rsidR="0000324B" w:rsidRPr="00F04993">
        <w:rPr>
          <w:i/>
          <w:iCs/>
        </w:rPr>
        <w:t>et al.,</w:t>
      </w:r>
      <w:r w:rsidR="0000324B" w:rsidRPr="00396E58">
        <w:t xml:space="preserve"> 2000). Their use in classrooms facilitates understanding of diagnostic features, variability and phylogenetic relationships.</w:t>
      </w:r>
      <w:r w:rsidR="00396E58" w:rsidRPr="00396E58">
        <w:t xml:space="preserve"> Digital taxonomic keys and interactive identification tools have revolutionized the study and teaching of insect systematics by offering a more intuitive, accessible and dynamic alternative to traditional dichotomous keys. These tools integrate multimedia elements such as high-resolution images, videos, diagnostic descriptions, distribution maps and even 3D models to aid users in accurately identifying insect taxa based on morphological and ecological traits. Unlike printed keys that require a linear and often rigid progression, digital keys are often multi-access (also known as </w:t>
      </w:r>
      <w:proofErr w:type="spellStart"/>
      <w:r w:rsidR="00396E58" w:rsidRPr="00396E58">
        <w:t>polyclave</w:t>
      </w:r>
      <w:proofErr w:type="spellEnd"/>
      <w:r w:rsidR="00396E58" w:rsidRPr="00396E58">
        <w:t xml:space="preserve"> or matrix keys), allowing users to input any obser</w:t>
      </w:r>
      <w:r>
        <w:t xml:space="preserve">vable character in any sequence </w:t>
      </w:r>
      <w:r w:rsidR="00396E58" w:rsidRPr="00396E58">
        <w:t xml:space="preserve">thereby accommodating incomplete or damaged specimens, which are common in field </w:t>
      </w:r>
      <w:r w:rsidR="00396E58" w:rsidRPr="00396E58">
        <w:lastRenderedPageBreak/>
        <w:t xml:space="preserve">entomology (Walter &amp; Winterton, 2007). One of the most prominent platforms is </w:t>
      </w:r>
      <w:r w:rsidR="00396E58" w:rsidRPr="00F04993">
        <w:t>Lucid Keys,</w:t>
      </w:r>
      <w:r w:rsidR="00396E58" w:rsidRPr="00396E58">
        <w:t xml:space="preserve"> developed by the Centre for Biological Information Technology (CBIT) at the University of Queensland, which provides interactive keys for a wide range of insect groups such as </w:t>
      </w:r>
      <w:proofErr w:type="spellStart"/>
      <w:r w:rsidR="00396E58" w:rsidRPr="00396E58">
        <w:t>Hemiptera</w:t>
      </w:r>
      <w:proofErr w:type="spellEnd"/>
      <w:r w:rsidR="00396E58" w:rsidRPr="00396E58">
        <w:t xml:space="preserve">, </w:t>
      </w:r>
      <w:proofErr w:type="spellStart"/>
      <w:r w:rsidR="00396E58" w:rsidRPr="00396E58">
        <w:t>Coleoptera</w:t>
      </w:r>
      <w:proofErr w:type="spellEnd"/>
      <w:r w:rsidR="00396E58" w:rsidRPr="00396E58">
        <w:t xml:space="preserve">, </w:t>
      </w:r>
      <w:proofErr w:type="spellStart"/>
      <w:r w:rsidR="00396E58" w:rsidRPr="00396E58">
        <w:t>Diptera</w:t>
      </w:r>
      <w:proofErr w:type="spellEnd"/>
      <w:r w:rsidR="00396E58" w:rsidRPr="00396E58">
        <w:t xml:space="preserve"> and Lepidoptera. Lucid keys are widely used in university curricula and agricultural diagnostics, offering user-friendly interfaces and character-based navigation supported by rich visual content (Cranston </w:t>
      </w:r>
      <w:r w:rsidR="00396E58" w:rsidRPr="00F04993">
        <w:rPr>
          <w:i/>
          <w:iCs/>
        </w:rPr>
        <w:t>et al.,</w:t>
      </w:r>
      <w:r w:rsidR="00396E58" w:rsidRPr="00396E58">
        <w:t xml:space="preserve"> 2012).</w:t>
      </w:r>
    </w:p>
    <w:p w14:paraId="67CDEF82"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Another widely adopted system is </w:t>
      </w:r>
      <w:r w:rsidR="00396E58" w:rsidRPr="00F04993">
        <w:rPr>
          <w:rFonts w:ascii="Times New Roman" w:eastAsia="Times New Roman" w:hAnsi="Times New Roman" w:cs="Times New Roman"/>
          <w:sz w:val="24"/>
          <w:szCs w:val="24"/>
        </w:rPr>
        <w:t>DELTA (</w:t>
      </w:r>
      <w:proofErr w:type="spellStart"/>
      <w:r w:rsidR="00396E58" w:rsidRPr="00F04993">
        <w:rPr>
          <w:rFonts w:ascii="Times New Roman" w:eastAsia="Times New Roman" w:hAnsi="Times New Roman" w:cs="Times New Roman"/>
          <w:sz w:val="24"/>
          <w:szCs w:val="24"/>
        </w:rPr>
        <w:t>DEscription</w:t>
      </w:r>
      <w:proofErr w:type="spellEnd"/>
      <w:r w:rsidR="00396E58" w:rsidRPr="00F04993">
        <w:rPr>
          <w:rFonts w:ascii="Times New Roman" w:eastAsia="Times New Roman" w:hAnsi="Times New Roman" w:cs="Times New Roman"/>
          <w:sz w:val="24"/>
          <w:szCs w:val="24"/>
        </w:rPr>
        <w:t xml:space="preserve"> Language for </w:t>
      </w:r>
      <w:proofErr w:type="spellStart"/>
      <w:r w:rsidR="00396E58" w:rsidRPr="00F04993">
        <w:rPr>
          <w:rFonts w:ascii="Times New Roman" w:eastAsia="Times New Roman" w:hAnsi="Times New Roman" w:cs="Times New Roman"/>
          <w:sz w:val="24"/>
          <w:szCs w:val="24"/>
        </w:rPr>
        <w:t>TAxonomy</w:t>
      </w:r>
      <w:proofErr w:type="spellEnd"/>
      <w:r w:rsidR="00396E58" w:rsidRPr="00F04993">
        <w:rPr>
          <w:rFonts w:ascii="Times New Roman" w:eastAsia="Times New Roman" w:hAnsi="Times New Roman" w:cs="Times New Roman"/>
          <w:sz w:val="24"/>
          <w:szCs w:val="24"/>
        </w:rPr>
        <w:t>)</w:t>
      </w:r>
      <w:r w:rsidR="00396E58" w:rsidRPr="00396E58">
        <w:rPr>
          <w:rFonts w:ascii="Times New Roman" w:eastAsia="Times New Roman" w:hAnsi="Times New Roman" w:cs="Times New Roman"/>
          <w:sz w:val="24"/>
          <w:szCs w:val="24"/>
        </w:rPr>
        <w:t xml:space="preserve">, which has been used to generate detailed character matrices and produce both printable and digital interactive keys. More recent platforms like </w:t>
      </w:r>
      <w:r w:rsidR="00396E58" w:rsidRPr="00F04993">
        <w:rPr>
          <w:rFonts w:ascii="Times New Roman" w:eastAsia="Times New Roman" w:hAnsi="Times New Roman" w:cs="Times New Roman"/>
          <w:sz w:val="24"/>
          <w:szCs w:val="24"/>
        </w:rPr>
        <w:t>Xper3</w:t>
      </w:r>
      <w:r w:rsidR="00396E58" w:rsidRPr="00396E58">
        <w:rPr>
          <w:rFonts w:ascii="Times New Roman" w:eastAsia="Times New Roman" w:hAnsi="Times New Roman" w:cs="Times New Roman"/>
          <w:sz w:val="24"/>
          <w:szCs w:val="24"/>
        </w:rPr>
        <w:t>, developed by the French Natio</w:t>
      </w:r>
      <w:r>
        <w:rPr>
          <w:rFonts w:ascii="Times New Roman" w:eastAsia="Times New Roman" w:hAnsi="Times New Roman" w:cs="Times New Roman"/>
          <w:sz w:val="24"/>
          <w:szCs w:val="24"/>
        </w:rPr>
        <w:t>nal Museum of Natural History</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Identification.org</w:t>
      </w:r>
      <w:r w:rsidR="00396E58" w:rsidRPr="00396E58">
        <w:rPr>
          <w:rFonts w:ascii="Times New Roman" w:eastAsia="Times New Roman" w:hAnsi="Times New Roman" w:cs="Times New Roman"/>
          <w:sz w:val="24"/>
          <w:szCs w:val="24"/>
        </w:rPr>
        <w:t>, support collaborative key development and web-based deployment, allowing entomologists worldwide to contribute to, modify, and validate taxonomic datasets in real time (</w:t>
      </w:r>
      <w:proofErr w:type="spellStart"/>
      <w:r w:rsidR="00396E58" w:rsidRPr="00396E58">
        <w:rPr>
          <w:rFonts w:ascii="Times New Roman" w:eastAsia="Times New Roman" w:hAnsi="Times New Roman" w:cs="Times New Roman"/>
          <w:sz w:val="24"/>
          <w:szCs w:val="24"/>
        </w:rPr>
        <w:t>Vignes-Lebbe</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2016). These tools are also being linked with biodiversity databases such as </w:t>
      </w:r>
      <w:r w:rsidR="00396E58" w:rsidRPr="00F04993">
        <w:rPr>
          <w:rFonts w:ascii="Times New Roman" w:eastAsia="Times New Roman" w:hAnsi="Times New Roman" w:cs="Times New Roman"/>
          <w:sz w:val="24"/>
          <w:szCs w:val="24"/>
        </w:rPr>
        <w:t>GBIF</w:t>
      </w:r>
      <w:r w:rsidR="00396E58" w:rsidRPr="00396E58">
        <w:rPr>
          <w:rFonts w:ascii="Times New Roman" w:eastAsia="Times New Roman" w:hAnsi="Times New Roman" w:cs="Times New Roman"/>
          <w:sz w:val="24"/>
          <w:szCs w:val="24"/>
        </w:rPr>
        <w:t xml:space="preserve">, </w:t>
      </w:r>
      <w:r w:rsidR="00396E58" w:rsidRPr="00F04993">
        <w:rPr>
          <w:rFonts w:ascii="Times New Roman" w:eastAsia="Times New Roman" w:hAnsi="Times New Roman" w:cs="Times New Roman"/>
          <w:sz w:val="24"/>
          <w:szCs w:val="24"/>
        </w:rPr>
        <w:t>Barcode of Life Data Systems (BOLD)</w:t>
      </w:r>
      <w:r w:rsidR="00396E58" w:rsidRPr="00396E58">
        <w:rPr>
          <w:rFonts w:ascii="Times New Roman" w:eastAsia="Times New Roman" w:hAnsi="Times New Roman" w:cs="Times New Roman"/>
          <w:sz w:val="24"/>
          <w:szCs w:val="24"/>
        </w:rPr>
        <w:t xml:space="preserve"> and </w:t>
      </w:r>
      <w:proofErr w:type="spellStart"/>
      <w:r w:rsidR="00396E58" w:rsidRPr="00F04993">
        <w:rPr>
          <w:rFonts w:ascii="Times New Roman" w:eastAsia="Times New Roman" w:hAnsi="Times New Roman" w:cs="Times New Roman"/>
          <w:sz w:val="24"/>
          <w:szCs w:val="24"/>
        </w:rPr>
        <w:t>iNaturalist</w:t>
      </w:r>
      <w:proofErr w:type="spellEnd"/>
      <w:r w:rsidR="00396E58" w:rsidRPr="00396E58">
        <w:rPr>
          <w:rFonts w:ascii="Times New Roman" w:eastAsia="Times New Roman" w:hAnsi="Times New Roman" w:cs="Times New Roman"/>
          <w:sz w:val="24"/>
          <w:szCs w:val="24"/>
        </w:rPr>
        <w:t>, thereby integrating morphological identification with genetic and ecological data to support integrative taxonomy and biodiversity informatics (</w:t>
      </w:r>
      <w:proofErr w:type="spellStart"/>
      <w:r w:rsidR="00396E58" w:rsidRPr="00396E58">
        <w:rPr>
          <w:rFonts w:ascii="Times New Roman" w:eastAsia="Times New Roman" w:hAnsi="Times New Roman" w:cs="Times New Roman"/>
          <w:sz w:val="24"/>
          <w:szCs w:val="24"/>
        </w:rPr>
        <w:t>Ratnasingham</w:t>
      </w:r>
      <w:proofErr w:type="spellEnd"/>
      <w:r w:rsidR="00396E58" w:rsidRPr="00396E58">
        <w:rPr>
          <w:rFonts w:ascii="Times New Roman" w:eastAsia="Times New Roman" w:hAnsi="Times New Roman" w:cs="Times New Roman"/>
          <w:sz w:val="24"/>
          <w:szCs w:val="24"/>
        </w:rPr>
        <w:t xml:space="preserve"> &amp; Hebert, 2007). Some platforms also support the inclusion of AI-powered image recognition and machine learning algorithms, as seen in tools like </w:t>
      </w:r>
      <w:proofErr w:type="spellStart"/>
      <w:r w:rsidR="00396E58" w:rsidRPr="00F04993">
        <w:rPr>
          <w:rFonts w:ascii="Times New Roman" w:eastAsia="Times New Roman" w:hAnsi="Times New Roman" w:cs="Times New Roman"/>
          <w:sz w:val="24"/>
          <w:szCs w:val="24"/>
        </w:rPr>
        <w:t>Pl@ntNet</w:t>
      </w:r>
      <w:proofErr w:type="spellEnd"/>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Deep Insect</w:t>
      </w:r>
      <w:r w:rsidR="00396E58" w:rsidRPr="00396E58">
        <w:rPr>
          <w:rFonts w:ascii="Times New Roman" w:eastAsia="Times New Roman" w:hAnsi="Times New Roman" w:cs="Times New Roman"/>
          <w:sz w:val="24"/>
          <w:szCs w:val="24"/>
        </w:rPr>
        <w:t xml:space="preserve">, which are currently being piloted for automated insect identification from user-submitted images (Valan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2019).</w:t>
      </w:r>
    </w:p>
    <w:p w14:paraId="626A46EF"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In educational settings, digital keys are increasingly embedded into e-learning modules and field training programs, providing students with a hands-on approach to insect identification using tablets and smartphones. These tools facilitate active learning and critical thinking by allowing learners to test hypotheses about insect identity using multiple lines of evidence, while receiving immediate feedback. For instance, undergraduate entomology courses now frequently use Lucid Mobile Keys to enable field-based taxonomy assignments where students collect, photograph, and identify insects in real time (</w:t>
      </w:r>
      <w:proofErr w:type="spellStart"/>
      <w:r w:rsidR="00396E58" w:rsidRPr="00396E58">
        <w:rPr>
          <w:rFonts w:ascii="Times New Roman" w:eastAsia="Times New Roman" w:hAnsi="Times New Roman" w:cs="Times New Roman"/>
          <w:sz w:val="24"/>
          <w:szCs w:val="24"/>
        </w:rPr>
        <w:t>Blagoderov</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2012). Moreover, such digital platforms also enhance accessibility for non-specialists, including agricultural extension officers, school students, and citizen scientists, thereby broadening the reach and impact of entomological literacy.</w:t>
      </w:r>
    </w:p>
    <w:p w14:paraId="22303091"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8. Augmented and Virtual Reality in Entomology Education</w:t>
      </w:r>
    </w:p>
    <w:p w14:paraId="2DC3FA2D" w14:textId="77777777"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AR and VR tools such as </w:t>
      </w:r>
      <w:proofErr w:type="spellStart"/>
      <w:r w:rsidR="0000324B" w:rsidRPr="00396E58">
        <w:t>InsectVR</w:t>
      </w:r>
      <w:proofErr w:type="spellEnd"/>
      <w:r w:rsidR="0000324B" w:rsidRPr="00396E58">
        <w:t xml:space="preserve"> and </w:t>
      </w:r>
      <w:proofErr w:type="spellStart"/>
      <w:r w:rsidR="0000324B" w:rsidRPr="00396E58">
        <w:t>EntoLab</w:t>
      </w:r>
      <w:proofErr w:type="spellEnd"/>
      <w:r w:rsidR="0000324B" w:rsidRPr="00396E58">
        <w:t xml:space="preserve"> simulate insect behavior, anatomy, and ecological interactions, providing immersive learning experiences (Zhang </w:t>
      </w:r>
      <w:r w:rsidR="0000324B" w:rsidRPr="00F04993">
        <w:rPr>
          <w:i/>
          <w:iCs/>
        </w:rPr>
        <w:t>et al.,</w:t>
      </w:r>
      <w:r w:rsidR="0000324B" w:rsidRPr="00396E58">
        <w:t xml:space="preserve"> 2022). These </w:t>
      </w:r>
      <w:r w:rsidR="0000324B" w:rsidRPr="00396E58">
        <w:lastRenderedPageBreak/>
        <w:t>technologies support experiential learning and increase engagement in otherwise abstract concepts.</w:t>
      </w:r>
      <w:r w:rsidR="00396E58" w:rsidRPr="00396E58">
        <w:t xml:space="preserve"> Augmented Reality (AR) and Virtual Reality (VR) technologies are redefining the landscape of entomology education by offering immersive, interactive, and multisensory learning experiences that bridge the gap between theoretical concepts and real-world observations. These technologies enable students to explore complex insect structures, behaviors, and ecological interactions in three-dimensional, simulated environments that replicate or enhance natural settings. In AR applications, virtual insect models are superimposed onto real-world surroundings using mobile devices or AR glasses, allowing learners to observe lifelike insect behaviors, such as pollination, predation, or metamorphosis, right in their classroom or home environment. VR, on the other hand, offers fully immersive environments where learne</w:t>
      </w:r>
      <w:r>
        <w:t xml:space="preserve">rs can "enter" virtual habitats </w:t>
      </w:r>
      <w:r w:rsidR="00396E58" w:rsidRPr="00396E58">
        <w:t>such as tropical fo</w:t>
      </w:r>
      <w:r>
        <w:t xml:space="preserve">rests, wetlands, or crop fields </w:t>
      </w:r>
      <w:r w:rsidR="00396E58" w:rsidRPr="00396E58">
        <w:t>and interact with diverse insect taxa, conduct digital dissections, or simulate pest management practices (</w:t>
      </w:r>
      <w:proofErr w:type="spellStart"/>
      <w:r w:rsidR="00396E58" w:rsidRPr="00396E58">
        <w:t>Radianti</w:t>
      </w:r>
      <w:proofErr w:type="spellEnd"/>
      <w:r w:rsidR="00396E58" w:rsidRPr="00396E58">
        <w:t xml:space="preserve"> </w:t>
      </w:r>
      <w:r w:rsidR="00396E58" w:rsidRPr="00F04993">
        <w:rPr>
          <w:i/>
          <w:iCs/>
        </w:rPr>
        <w:t>et al.,</w:t>
      </w:r>
      <w:r w:rsidR="00396E58" w:rsidRPr="00396E58">
        <w:t xml:space="preserve"> 2020; </w:t>
      </w:r>
      <w:proofErr w:type="spellStart"/>
      <w:r w:rsidR="00396E58" w:rsidRPr="00396E58">
        <w:t>Wojciechowski</w:t>
      </w:r>
      <w:proofErr w:type="spellEnd"/>
      <w:r w:rsidR="00396E58" w:rsidRPr="00396E58">
        <w:t xml:space="preserve"> &amp; </w:t>
      </w:r>
      <w:proofErr w:type="spellStart"/>
      <w:r w:rsidR="00396E58" w:rsidRPr="00396E58">
        <w:t>Cellary</w:t>
      </w:r>
      <w:proofErr w:type="spellEnd"/>
      <w:r w:rsidR="00396E58" w:rsidRPr="00396E58">
        <w:t>, 2013).</w:t>
      </w:r>
    </w:p>
    <w:p w14:paraId="52615F79" w14:textId="0E866CF5"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For example, platforms like </w:t>
      </w:r>
      <w:proofErr w:type="spellStart"/>
      <w:r w:rsidR="00396E58" w:rsidRPr="00F04993">
        <w:rPr>
          <w:rFonts w:ascii="Times New Roman" w:eastAsia="Times New Roman" w:hAnsi="Times New Roman" w:cs="Times New Roman"/>
          <w:sz w:val="24"/>
          <w:szCs w:val="24"/>
        </w:rPr>
        <w:t>InsectaVR</w:t>
      </w:r>
      <w:proofErr w:type="spellEnd"/>
      <w:r w:rsidR="00396E58" w:rsidRPr="00396E58">
        <w:rPr>
          <w:rFonts w:ascii="Times New Roman" w:eastAsia="Times New Roman" w:hAnsi="Times New Roman" w:cs="Times New Roman"/>
          <w:sz w:val="24"/>
          <w:szCs w:val="24"/>
        </w:rPr>
        <w:t xml:space="preserve">, </w:t>
      </w:r>
      <w:r w:rsidR="00396E58" w:rsidRPr="00F04993">
        <w:rPr>
          <w:rFonts w:ascii="Times New Roman" w:eastAsia="Times New Roman" w:hAnsi="Times New Roman" w:cs="Times New Roman"/>
          <w:sz w:val="24"/>
          <w:szCs w:val="24"/>
        </w:rPr>
        <w:t>Insects 360</w:t>
      </w:r>
      <w:r w:rsidR="00396E58" w:rsidRPr="00396E58">
        <w:rPr>
          <w:rFonts w:ascii="Times New Roman" w:eastAsia="Times New Roman" w:hAnsi="Times New Roman" w:cs="Times New Roman"/>
          <w:sz w:val="24"/>
          <w:szCs w:val="24"/>
        </w:rPr>
        <w:t xml:space="preserve"> and </w:t>
      </w:r>
      <w:proofErr w:type="spellStart"/>
      <w:r w:rsidR="00396E58" w:rsidRPr="00F04993">
        <w:rPr>
          <w:rFonts w:ascii="Times New Roman" w:eastAsia="Times New Roman" w:hAnsi="Times New Roman" w:cs="Times New Roman"/>
          <w:sz w:val="24"/>
          <w:szCs w:val="24"/>
        </w:rPr>
        <w:t>BioVR</w:t>
      </w:r>
      <w:proofErr w:type="spellEnd"/>
      <w:r w:rsidR="00396E58" w:rsidRPr="00396E58">
        <w:rPr>
          <w:rFonts w:ascii="Times New Roman" w:eastAsia="Times New Roman" w:hAnsi="Times New Roman" w:cs="Times New Roman"/>
          <w:sz w:val="24"/>
          <w:szCs w:val="24"/>
        </w:rPr>
        <w:t xml:space="preserve"> allow users to closely examine anatomical features such as insect mouthpar</w:t>
      </w:r>
      <w:r w:rsidR="00070E2F">
        <w:rPr>
          <w:rFonts w:ascii="Times New Roman" w:eastAsia="Times New Roman" w:hAnsi="Times New Roman" w:cs="Times New Roman"/>
          <w:sz w:val="24"/>
          <w:szCs w:val="24"/>
        </w:rPr>
        <w:t>ts, wings, antennae</w:t>
      </w:r>
      <w:r w:rsidR="00396E58" w:rsidRPr="00396E58">
        <w:rPr>
          <w:rFonts w:ascii="Times New Roman" w:eastAsia="Times New Roman" w:hAnsi="Times New Roman" w:cs="Times New Roman"/>
          <w:sz w:val="24"/>
          <w:szCs w:val="24"/>
        </w:rPr>
        <w:t xml:space="preserve"> or reproductive structures with high fidelity, which would otherwise require access to costly lab equipment or rare specimens (</w:t>
      </w:r>
      <w:proofErr w:type="spellStart"/>
      <w:r w:rsidR="00396E58" w:rsidRPr="00396E58">
        <w:rPr>
          <w:rFonts w:ascii="Times New Roman" w:eastAsia="Times New Roman" w:hAnsi="Times New Roman" w:cs="Times New Roman"/>
          <w:sz w:val="24"/>
          <w:szCs w:val="24"/>
        </w:rPr>
        <w:t>Sholihah</w:t>
      </w:r>
      <w:proofErr w:type="spellEnd"/>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2022). AR-based apps such as </w:t>
      </w:r>
      <w:r w:rsidR="00396E58" w:rsidRPr="00F04993">
        <w:rPr>
          <w:rFonts w:ascii="Times New Roman" w:eastAsia="Times New Roman" w:hAnsi="Times New Roman" w:cs="Times New Roman"/>
          <w:sz w:val="24"/>
          <w:szCs w:val="24"/>
        </w:rPr>
        <w:t>Bug Hunt AR</w:t>
      </w:r>
      <w:r w:rsidR="00396E58" w:rsidRPr="00396E58">
        <w:rPr>
          <w:rFonts w:ascii="Times New Roman" w:eastAsia="Times New Roman" w:hAnsi="Times New Roman" w:cs="Times New Roman"/>
          <w:sz w:val="24"/>
          <w:szCs w:val="24"/>
        </w:rPr>
        <w:t xml:space="preserve">, </w:t>
      </w:r>
      <w:proofErr w:type="spellStart"/>
      <w:r w:rsidR="00396E58" w:rsidRPr="00F04993">
        <w:rPr>
          <w:rFonts w:ascii="Times New Roman" w:eastAsia="Times New Roman" w:hAnsi="Times New Roman" w:cs="Times New Roman"/>
          <w:sz w:val="24"/>
          <w:szCs w:val="24"/>
        </w:rPr>
        <w:t>Zookazam</w:t>
      </w:r>
      <w:proofErr w:type="spellEnd"/>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AR Biology</w:t>
      </w:r>
      <w:r w:rsidR="00396E58" w:rsidRPr="00396E58">
        <w:rPr>
          <w:rFonts w:ascii="Times New Roman" w:eastAsia="Times New Roman" w:hAnsi="Times New Roman" w:cs="Times New Roman"/>
          <w:sz w:val="24"/>
          <w:szCs w:val="24"/>
        </w:rPr>
        <w:t xml:space="preserve"> help learners visualize 3D insect models over printed textbooks, enhancing engagement and retention by combining print and digital interactivity (Lee, 2012). These tools not only support inquiry-based and constructivist learning approaches but also foster inclusive education by enabling students with physical disabilities or visual impairments to engage with tactile, auditory and visual elements simultaneously (Bacca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2014). Moreover, entomological simulations in VR environments can replicate field scenarios such as identifying pest outbreaks, sampling insect </w:t>
      </w:r>
      <w:r>
        <w:rPr>
          <w:rFonts w:ascii="Times New Roman" w:eastAsia="Times New Roman" w:hAnsi="Times New Roman" w:cs="Times New Roman"/>
          <w:sz w:val="24"/>
          <w:szCs w:val="24"/>
        </w:rPr>
        <w:t xml:space="preserve">populations or deploying traps </w:t>
      </w:r>
      <w:r w:rsidR="00396E58" w:rsidRPr="00396E58">
        <w:rPr>
          <w:rFonts w:ascii="Times New Roman" w:eastAsia="Times New Roman" w:hAnsi="Times New Roman" w:cs="Times New Roman"/>
          <w:sz w:val="24"/>
          <w:szCs w:val="24"/>
        </w:rPr>
        <w:t xml:space="preserve">an invaluable feature for training students and agricultural workers in safe, repeatable and cost-effective settings (Merchant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2014).</w:t>
      </w:r>
    </w:p>
    <w:p w14:paraId="7C987799" w14:textId="77777777"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Educational institutions and museums worldwide are adopting AR/VR solutions to modernize entomology instruction. For instance, the </w:t>
      </w:r>
      <w:r w:rsidR="00396E58" w:rsidRPr="00F04993">
        <w:rPr>
          <w:rFonts w:ascii="Times New Roman" w:eastAsia="Times New Roman" w:hAnsi="Times New Roman" w:cs="Times New Roman"/>
          <w:sz w:val="24"/>
          <w:szCs w:val="24"/>
        </w:rPr>
        <w:t>Natural History Museum, London</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Smithsonian Institution</w:t>
      </w:r>
      <w:r w:rsidR="00396E58" w:rsidRPr="00396E58">
        <w:rPr>
          <w:rFonts w:ascii="Times New Roman" w:eastAsia="Times New Roman" w:hAnsi="Times New Roman" w:cs="Times New Roman"/>
          <w:sz w:val="24"/>
          <w:szCs w:val="24"/>
        </w:rPr>
        <w:t xml:space="preserve"> have developed AR-enabled insect exhibits and virtual tours that provide interactive learning for both academic and public audiences (Sundar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2020). Integration of AR/VR tools into Learning Management Systems (LMS) and e-learning platforms allows educators to embed immersive modules, quizzes, and virtual labs, enhancing digital pedagogy </w:t>
      </w:r>
      <w:r w:rsidR="00396E58" w:rsidRPr="00396E58">
        <w:rPr>
          <w:rFonts w:ascii="Times New Roman" w:eastAsia="Times New Roman" w:hAnsi="Times New Roman" w:cs="Times New Roman"/>
          <w:sz w:val="24"/>
          <w:szCs w:val="24"/>
        </w:rPr>
        <w:lastRenderedPageBreak/>
        <w:t xml:space="preserve">and learner engagement. In research contexts, VR-based simulations are also being used to model insect flight mechanics, swarm behavior, and ecological network interactions, thereby advancing both education and scientific discovery (Jones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2017). Despite challenges such as high development costs and limited technical accessibility in some regions, AR/VR technologies offer immense promise in making entomology education more experiential, scalable and globally inclusive.</w:t>
      </w:r>
    </w:p>
    <w:p w14:paraId="00313633"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9. Simulation Software for Pest Dynamics and IPM</w:t>
      </w:r>
    </w:p>
    <w:p w14:paraId="7AF901B0" w14:textId="0972C4AC"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Simulations such as DSSAT-Pest and Insect Life Cycle Simulators (ILCS) model pest outbreaks, population dynamics and integrated pest management (IPM) strategies. These tools help students visualize complex biological processes and make informed management decisions (Brown &amp; Jacobsen, 2018).</w:t>
      </w:r>
      <w:r w:rsidR="00396E58" w:rsidRPr="00396E58">
        <w:t xml:space="preserve"> Simulation software for modeling pest dynamics and Integrated Pest Management (IPM) has become an invaluable asset in entomology education, allowing learners to explore complex interactions between pests, crops and the environment in a virtual setting. These tools provide dynamic, interactive platforms for understanding population ecology, economic thresholds, pest forecasting, and control strategy optimization under varying climatic and ecological conditions (Dent, 2000; Pedigo &amp; Rice, 2014). Educational simulators like </w:t>
      </w:r>
      <w:r w:rsidR="00396E58" w:rsidRPr="00F04993">
        <w:t>CROPSYST, DSSAT</w:t>
      </w:r>
      <w:r w:rsidR="00396E58" w:rsidRPr="00396E58">
        <w:t xml:space="preserve"> and </w:t>
      </w:r>
      <w:r w:rsidR="00396E58" w:rsidRPr="00F04993">
        <w:t>EXPERT-N</w:t>
      </w:r>
      <w:r w:rsidR="00396E58" w:rsidRPr="00396E58">
        <w:t xml:space="preserve"> enable modeling of pest outbreaks in conjunction with agronomic and climatic variables, promoting a holistic understanding of pest-crop-environment interactions. Similarly, tools like </w:t>
      </w:r>
      <w:proofErr w:type="spellStart"/>
      <w:r w:rsidR="00396E58" w:rsidRPr="00F04993">
        <w:t>TUTA</w:t>
      </w:r>
      <w:proofErr w:type="spellEnd"/>
      <w:r w:rsidR="00396E58" w:rsidRPr="00F04993">
        <w:t xml:space="preserve"> </w:t>
      </w:r>
      <w:proofErr w:type="spellStart"/>
      <w:r w:rsidR="00396E58" w:rsidRPr="00F04993">
        <w:t>SIM</w:t>
      </w:r>
      <w:proofErr w:type="spellEnd"/>
      <w:r w:rsidR="00396E58" w:rsidRPr="00396E58">
        <w:t xml:space="preserve"> (</w:t>
      </w:r>
      <w:proofErr w:type="spellStart"/>
      <w:r w:rsidR="00396E58" w:rsidRPr="00396E58">
        <w:rPr>
          <w:i/>
          <w:iCs/>
        </w:rPr>
        <w:t>Tuta</w:t>
      </w:r>
      <w:proofErr w:type="spellEnd"/>
      <w:r w:rsidR="00396E58" w:rsidRPr="00396E58">
        <w:rPr>
          <w:i/>
          <w:iCs/>
        </w:rPr>
        <w:t xml:space="preserve"> </w:t>
      </w:r>
      <w:proofErr w:type="spellStart"/>
      <w:r w:rsidR="00396E58" w:rsidRPr="00396E58">
        <w:rPr>
          <w:i/>
          <w:iCs/>
        </w:rPr>
        <w:t>absoluta</w:t>
      </w:r>
      <w:proofErr w:type="spellEnd"/>
      <w:r w:rsidR="00396E58" w:rsidRPr="00396E58">
        <w:t xml:space="preserve">) and </w:t>
      </w:r>
      <w:proofErr w:type="spellStart"/>
      <w:r w:rsidR="00396E58" w:rsidRPr="00F04993">
        <w:t>RICEWORM</w:t>
      </w:r>
      <w:proofErr w:type="spellEnd"/>
      <w:r w:rsidR="00396E58" w:rsidRPr="00F04993">
        <w:t xml:space="preserve"> </w:t>
      </w:r>
      <w:proofErr w:type="spellStart"/>
      <w:r w:rsidR="00396E58" w:rsidRPr="00F04993">
        <w:t>SIM</w:t>
      </w:r>
      <w:proofErr w:type="spellEnd"/>
      <w:r w:rsidR="00396E58" w:rsidRPr="00396E58">
        <w:t xml:space="preserve"> (rice pests) have been designed to visualize the development and impact of key pests across crop phenology and regional variability (Fand </w:t>
      </w:r>
      <w:r w:rsidR="00396E58" w:rsidRPr="00070E2F">
        <w:rPr>
          <w:i/>
          <w:iCs/>
        </w:rPr>
        <w:t>et al.,</w:t>
      </w:r>
      <w:r w:rsidR="00396E58" w:rsidRPr="00396E58">
        <w:t xml:space="preserve"> 2015). Through such platforms, students can simulate scenarios involving natural enemies, chemical interventions, and biological control agents, thereby grasping the trade-offs involved in various IPM tactics. Moreover, </w:t>
      </w:r>
      <w:r w:rsidR="00396E58" w:rsidRPr="00F04993">
        <w:t>INSECTICIDE DECISION SUPPORT SYSTEMS (IDSS)</w:t>
      </w:r>
      <w:r w:rsidR="00396E58" w:rsidRPr="00396E58">
        <w:t xml:space="preserve"> incorporate economic injury levels (EILs) and pesticide risk indices, training students in evidence-based decision-making while minimizing ecological harm (Kogan, 1998; Flint &amp; Gouveia, 2001).</w:t>
      </w:r>
    </w:p>
    <w:p w14:paraId="3DC2C1DD" w14:textId="12EF9EAE"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The pedagogical effectiveness of these simulators is amplified when integrated with Learning Management Systems (LMS) and field data collection apps, enabling students to input real-time pest surveillance data and assess the outcomes of different management strategies virtually. For instance, </w:t>
      </w:r>
      <w:r w:rsidR="00396E58" w:rsidRPr="00F04993">
        <w:rPr>
          <w:rFonts w:ascii="Times New Roman" w:eastAsia="Times New Roman" w:hAnsi="Times New Roman" w:cs="Times New Roman"/>
          <w:sz w:val="24"/>
          <w:szCs w:val="24"/>
        </w:rPr>
        <w:t>TOMCAST</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ZARPAST</w:t>
      </w:r>
      <w:r w:rsidR="00396E58" w:rsidRPr="00396E58">
        <w:rPr>
          <w:rFonts w:ascii="Times New Roman" w:eastAsia="Times New Roman" w:hAnsi="Times New Roman" w:cs="Times New Roman"/>
          <w:sz w:val="24"/>
          <w:szCs w:val="24"/>
        </w:rPr>
        <w:t xml:space="preserve"> integrate disease and pest forecasting algorithms with spatial GIS tools, supporting classroom exercises in regional pest risk mapping </w:t>
      </w:r>
      <w:r w:rsidR="00396E58" w:rsidRPr="00396E58">
        <w:rPr>
          <w:rFonts w:ascii="Times New Roman" w:eastAsia="Times New Roman" w:hAnsi="Times New Roman" w:cs="Times New Roman"/>
          <w:sz w:val="24"/>
          <w:szCs w:val="24"/>
        </w:rPr>
        <w:lastRenderedPageBreak/>
        <w:t xml:space="preserve">and preventive planning (Magarey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2005). Simulation-based learning nurtures systems thinking, empowering students to understand feedback loops, time delays and non-</w:t>
      </w:r>
      <w:proofErr w:type="spellStart"/>
      <w:r w:rsidR="00396E58" w:rsidRPr="00396E58">
        <w:rPr>
          <w:rFonts w:ascii="Times New Roman" w:eastAsia="Times New Roman" w:hAnsi="Times New Roman" w:cs="Times New Roman"/>
          <w:sz w:val="24"/>
          <w:szCs w:val="24"/>
        </w:rPr>
        <w:t>linearities</w:t>
      </w:r>
      <w:proofErr w:type="spellEnd"/>
      <w:r w:rsidR="00396E58" w:rsidRPr="00396E58">
        <w:rPr>
          <w:rFonts w:ascii="Times New Roman" w:eastAsia="Times New Roman" w:hAnsi="Times New Roman" w:cs="Times New Roman"/>
          <w:sz w:val="24"/>
          <w:szCs w:val="24"/>
        </w:rPr>
        <w:t xml:space="preserve"> typical of agro-ecosystems. Furthermore, these tools contribute to participatory learning by allowing group-based scenario planning, critical analysis, and interactive role-plays as farmers, extension agents, or policy-makers. Importantly, modern simulation software often comes with open access licensing or institutional subscriptions, making them accessible for classroom, research, and extension purposes. The synergy of biological modeling and digital pedagogy thus provides an experiential, inquiry-based framework for cultivating IPM competencies among entomology learners.</w:t>
      </w:r>
    </w:p>
    <w:p w14:paraId="739405FC"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10. Cloud-Based Databases and Entomological Repositories</w:t>
      </w:r>
    </w:p>
    <w:p w14:paraId="10B6986D" w14:textId="3DB5E80A"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 xml:space="preserve">Databases like GBIF (Global Biodiversity Information Facility), BOLD (Barcode of Life Data System), and CABI’s Invasive Species Compendium serve as rich resources for specimen records, distribution data, and molecular barcoding (Hebert </w:t>
      </w:r>
      <w:r w:rsidR="0000324B" w:rsidRPr="00F04993">
        <w:rPr>
          <w:i/>
          <w:iCs/>
        </w:rPr>
        <w:t>et al.,</w:t>
      </w:r>
      <w:r w:rsidR="0000324B" w:rsidRPr="00396E58">
        <w:t xml:space="preserve"> 2016). Integration of these into teaching allows students to work with real-world data.</w:t>
      </w:r>
      <w:r w:rsidR="00396E58" w:rsidRPr="00396E58">
        <w:t xml:space="preserve"> Cloud-based databases and entomological repositories have transformed the landscape of insect taxonomy, biodiversity monitoring, and educational resource sharing by offering decentralized, scalable and globally accessible platforms. These systems enable researchers, students, and citizen scientists to upload, retrieve, and analyze entomological data, including taxonomic records, morphological images, geotagged specimen locations, genetic barcodes and ecological metadata, all in real time (Johnson </w:t>
      </w:r>
      <w:r w:rsidR="00396E58" w:rsidRPr="00F04993">
        <w:rPr>
          <w:i/>
          <w:iCs/>
        </w:rPr>
        <w:t>et al.,</w:t>
      </w:r>
      <w:r w:rsidR="00396E58" w:rsidRPr="00396E58">
        <w:t xml:space="preserve"> 2008; Smith </w:t>
      </w:r>
      <w:r w:rsidR="00396E58" w:rsidRPr="00F04993">
        <w:rPr>
          <w:i/>
          <w:iCs/>
        </w:rPr>
        <w:t>et al.,</w:t>
      </w:r>
      <w:r w:rsidR="00396E58" w:rsidRPr="00396E58">
        <w:t xml:space="preserve"> 2009). Platforms like </w:t>
      </w:r>
      <w:r w:rsidR="00396E58" w:rsidRPr="00F04993">
        <w:t>Global Biodiversity Information Facility (GBIF)</w:t>
      </w:r>
      <w:r w:rsidR="00396E58" w:rsidRPr="00396E58">
        <w:t xml:space="preserve"> and </w:t>
      </w:r>
      <w:r w:rsidR="00396E58" w:rsidRPr="00F04993">
        <w:t xml:space="preserve">Integrated Digitized </w:t>
      </w:r>
      <w:proofErr w:type="spellStart"/>
      <w:r w:rsidR="00396E58" w:rsidRPr="00F04993">
        <w:t>Biocollections</w:t>
      </w:r>
      <w:proofErr w:type="spellEnd"/>
      <w:r w:rsidR="00396E58" w:rsidRPr="00F04993">
        <w:t xml:space="preserve"> (</w:t>
      </w:r>
      <w:proofErr w:type="spellStart"/>
      <w:r w:rsidR="00396E58" w:rsidRPr="00F04993">
        <w:t>iDigBio</w:t>
      </w:r>
      <w:proofErr w:type="spellEnd"/>
      <w:r w:rsidR="00396E58" w:rsidRPr="00F04993">
        <w:t>)</w:t>
      </w:r>
      <w:r w:rsidR="00396E58" w:rsidRPr="00396E58">
        <w:t xml:space="preserve"> serve as flagship examples, hosting millions of curated insect records contributed by museums, academic institutions, and individual collectors (Page </w:t>
      </w:r>
      <w:r w:rsidR="00396E58" w:rsidRPr="00F04993">
        <w:rPr>
          <w:i/>
          <w:iCs/>
        </w:rPr>
        <w:t>et al.,</w:t>
      </w:r>
      <w:r w:rsidR="00396E58" w:rsidRPr="00396E58">
        <w:t xml:space="preserve"> 2015). These cloud-based infrastructures support API integration, advanced search functions and visualization tools that facilitate pattern recognition in insect distributions, climate-linked phenological shifts and hotspot identification</w:t>
      </w:r>
      <w:r>
        <w:t xml:space="preserve"> </w:t>
      </w:r>
      <w:r w:rsidR="00396E58" w:rsidRPr="00396E58">
        <w:t>all of which are crucial for both teaching and conservation research (Hardisty &amp; Roberts, 2013).</w:t>
      </w:r>
    </w:p>
    <w:p w14:paraId="48023516" w14:textId="6ECA9045"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In educational contexts, cloud repositories have enabled the development of virtual collections where students can interact with high-resolution, 3D-rotatable insect models, metadata-tagged specimen images, and taxonomic keys without needing access to physical collections. Platforms such as </w:t>
      </w:r>
      <w:proofErr w:type="spellStart"/>
      <w:r w:rsidR="00396E58" w:rsidRPr="00F04993">
        <w:rPr>
          <w:rFonts w:ascii="Times New Roman" w:eastAsia="Times New Roman" w:hAnsi="Times New Roman" w:cs="Times New Roman"/>
          <w:sz w:val="24"/>
          <w:szCs w:val="24"/>
        </w:rPr>
        <w:t>MorphBank</w:t>
      </w:r>
      <w:proofErr w:type="spellEnd"/>
      <w:r w:rsidR="00396E58" w:rsidRPr="00396E58">
        <w:rPr>
          <w:rFonts w:ascii="Times New Roman" w:eastAsia="Times New Roman" w:hAnsi="Times New Roman" w:cs="Times New Roman"/>
          <w:sz w:val="24"/>
          <w:szCs w:val="24"/>
        </w:rPr>
        <w:t xml:space="preserve">, </w:t>
      </w:r>
      <w:r w:rsidR="00396E58" w:rsidRPr="00F04993">
        <w:rPr>
          <w:rFonts w:ascii="Times New Roman" w:eastAsia="Times New Roman" w:hAnsi="Times New Roman" w:cs="Times New Roman"/>
          <w:sz w:val="24"/>
          <w:szCs w:val="24"/>
        </w:rPr>
        <w:t>Encyclopedia of Life (EOL)</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BOLD Systems</w:t>
      </w:r>
      <w:r w:rsidR="00396E58" w:rsidRPr="00396E58">
        <w:rPr>
          <w:rFonts w:ascii="Times New Roman" w:eastAsia="Times New Roman" w:hAnsi="Times New Roman" w:cs="Times New Roman"/>
          <w:sz w:val="24"/>
          <w:szCs w:val="24"/>
        </w:rPr>
        <w:t xml:space="preserve"> (Barcode of Life Data Systems) further integrate genomic, ecological, and photographic data, </w:t>
      </w:r>
      <w:r w:rsidR="00396E58" w:rsidRPr="00396E58">
        <w:rPr>
          <w:rFonts w:ascii="Times New Roman" w:eastAsia="Times New Roman" w:hAnsi="Times New Roman" w:cs="Times New Roman"/>
          <w:sz w:val="24"/>
          <w:szCs w:val="24"/>
        </w:rPr>
        <w:lastRenderedPageBreak/>
        <w:t>allowing learners to study intra and inter</w:t>
      </w:r>
      <w:r w:rsidR="00070E2F">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sz w:val="24"/>
          <w:szCs w:val="24"/>
        </w:rPr>
        <w:t>species variability with digital precision (</w:t>
      </w:r>
      <w:proofErr w:type="spellStart"/>
      <w:r w:rsidR="00396E58" w:rsidRPr="00396E58">
        <w:rPr>
          <w:rFonts w:ascii="Times New Roman" w:eastAsia="Times New Roman" w:hAnsi="Times New Roman" w:cs="Times New Roman"/>
          <w:sz w:val="24"/>
          <w:szCs w:val="24"/>
        </w:rPr>
        <w:t>Ratnasingham</w:t>
      </w:r>
      <w:proofErr w:type="spellEnd"/>
      <w:r w:rsidR="00396E58" w:rsidRPr="00396E58">
        <w:rPr>
          <w:rFonts w:ascii="Times New Roman" w:eastAsia="Times New Roman" w:hAnsi="Times New Roman" w:cs="Times New Roman"/>
          <w:sz w:val="24"/>
          <w:szCs w:val="24"/>
        </w:rPr>
        <w:t xml:space="preserve"> &amp; Hebert, 2007). Many of these resources are open-access and support community-based annotations and feedback, which fosters participatory learning and collaborative taxonomy. Additionally, regional repositories like </w:t>
      </w:r>
      <w:r w:rsidR="00396E58" w:rsidRPr="00F04993">
        <w:rPr>
          <w:rFonts w:ascii="Times New Roman" w:eastAsia="Times New Roman" w:hAnsi="Times New Roman" w:cs="Times New Roman"/>
          <w:sz w:val="24"/>
          <w:szCs w:val="24"/>
        </w:rPr>
        <w:t>India Biodiversity Portal (IBP)</w:t>
      </w:r>
      <w:r w:rsidR="00396E58" w:rsidRPr="00396E58">
        <w:rPr>
          <w:rFonts w:ascii="Times New Roman" w:eastAsia="Times New Roman" w:hAnsi="Times New Roman" w:cs="Times New Roman"/>
          <w:sz w:val="24"/>
          <w:szCs w:val="24"/>
        </w:rPr>
        <w:t xml:space="preserve"> and </w:t>
      </w:r>
      <w:r w:rsidR="00396E58" w:rsidRPr="00F04993">
        <w:rPr>
          <w:rFonts w:ascii="Times New Roman" w:eastAsia="Times New Roman" w:hAnsi="Times New Roman" w:cs="Times New Roman"/>
          <w:sz w:val="24"/>
          <w:szCs w:val="24"/>
        </w:rPr>
        <w:t>Asian Insect Databases</w:t>
      </w:r>
      <w:r w:rsidR="00396E58" w:rsidRPr="00396E58">
        <w:rPr>
          <w:rFonts w:ascii="Times New Roman" w:eastAsia="Times New Roman" w:hAnsi="Times New Roman" w:cs="Times New Roman"/>
          <w:sz w:val="24"/>
          <w:szCs w:val="24"/>
        </w:rPr>
        <w:t xml:space="preserve"> enable locally-relevant education in entomology, incorporating vernacular names, folk ecological knowledge and citizen-science contributions (Aravind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2015).</w:t>
      </w:r>
    </w:p>
    <w:p w14:paraId="17BB5C45" w14:textId="615B64E2"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Furthermore, these platforms are instrumental for environmental modeling, ecological forecasting, and species risk assessments by linking entomological data with remote sensing and GIS layers. With cloud-based access, users can dynamically explore spatial distributions of invasive species, track pollinator populations or visualize pest outbreak zones over time (</w:t>
      </w:r>
      <w:proofErr w:type="spellStart"/>
      <w:r w:rsidR="00396E58" w:rsidRPr="00396E58">
        <w:rPr>
          <w:rFonts w:ascii="Times New Roman" w:eastAsia="Times New Roman" w:hAnsi="Times New Roman" w:cs="Times New Roman"/>
          <w:sz w:val="24"/>
          <w:szCs w:val="24"/>
        </w:rPr>
        <w:t>Soberón</w:t>
      </w:r>
      <w:proofErr w:type="spellEnd"/>
      <w:r w:rsidR="00396E58" w:rsidRPr="00396E58">
        <w:rPr>
          <w:rFonts w:ascii="Times New Roman" w:eastAsia="Times New Roman" w:hAnsi="Times New Roman" w:cs="Times New Roman"/>
          <w:sz w:val="24"/>
          <w:szCs w:val="24"/>
        </w:rPr>
        <w:t xml:space="preserve"> &amp; Peterson, 2004). Through seamless integration with Learning Management Systems (LMS) and virtual labs, such repositories allow students to practice data curation, species identification, and ecological inference in a real-world framework, thereby enhancing data literacy and scientific reasoning. As cloud computing continues to expand, its synergy with entomology holds vast potential for democratizing insect science, supporting conservation policy and transforming digital pedagogy.</w:t>
      </w:r>
    </w:p>
    <w:p w14:paraId="09CF7D4A" w14:textId="77777777" w:rsidR="00F04993" w:rsidRDefault="0000324B" w:rsidP="00396E58">
      <w:pPr>
        <w:pStyle w:val="NormalWeb"/>
        <w:spacing w:before="0" w:beforeAutospacing="0" w:after="0" w:afterAutospacing="0" w:line="360" w:lineRule="auto"/>
        <w:jc w:val="both"/>
        <w:rPr>
          <w:rStyle w:val="Strong"/>
        </w:rPr>
      </w:pPr>
      <w:r w:rsidRPr="00396E58">
        <w:rPr>
          <w:rStyle w:val="Strong"/>
        </w:rPr>
        <w:t>11. ICT-Enabled Collaborative Learning and Gamification</w:t>
      </w:r>
    </w:p>
    <w:p w14:paraId="78063887" w14:textId="5F8A4E6A" w:rsidR="00396E58" w:rsidRPr="00396E58" w:rsidRDefault="00F04993" w:rsidP="00396E58">
      <w:pPr>
        <w:pStyle w:val="NormalWeb"/>
        <w:spacing w:before="0" w:beforeAutospacing="0" w:after="0" w:afterAutospacing="0" w:line="360" w:lineRule="auto"/>
        <w:jc w:val="both"/>
      </w:pPr>
      <w:r>
        <w:rPr>
          <w:rStyle w:val="Strong"/>
        </w:rPr>
        <w:tab/>
      </w:r>
      <w:r w:rsidR="0000324B" w:rsidRPr="00396E58">
        <w:t>Digital entomology games (</w:t>
      </w:r>
      <w:r w:rsidR="0000324B" w:rsidRPr="00070E2F">
        <w:rPr>
          <w:i/>
          <w:iCs/>
        </w:rPr>
        <w:t>e.g.,</w:t>
      </w:r>
      <w:r w:rsidR="0000324B" w:rsidRPr="00396E58">
        <w:t xml:space="preserve"> </w:t>
      </w:r>
      <w:proofErr w:type="spellStart"/>
      <w:r w:rsidR="0000324B" w:rsidRPr="00396E58">
        <w:t>BugMatch</w:t>
      </w:r>
      <w:proofErr w:type="spellEnd"/>
      <w:r w:rsidR="0000324B" w:rsidRPr="00396E58">
        <w:t>) and collaborative platforms (</w:t>
      </w:r>
      <w:r w:rsidR="0000324B" w:rsidRPr="00070E2F">
        <w:rPr>
          <w:i/>
          <w:iCs/>
        </w:rPr>
        <w:t>e.g.,</w:t>
      </w:r>
      <w:r w:rsidR="0000324B" w:rsidRPr="00396E58">
        <w:t xml:space="preserve"> </w:t>
      </w:r>
      <w:proofErr w:type="spellStart"/>
      <w:r w:rsidR="0000324B" w:rsidRPr="00396E58">
        <w:t>Padlet</w:t>
      </w:r>
      <w:proofErr w:type="spellEnd"/>
      <w:r w:rsidR="0000324B" w:rsidRPr="00396E58">
        <w:t xml:space="preserve">, Google </w:t>
      </w:r>
      <w:proofErr w:type="spellStart"/>
      <w:r w:rsidR="0000324B" w:rsidRPr="00396E58">
        <w:t>Jamboard</w:t>
      </w:r>
      <w:proofErr w:type="spellEnd"/>
      <w:r w:rsidR="0000324B" w:rsidRPr="00396E58">
        <w:t xml:space="preserve">) foster team-based learning and enhance concept retention. Gamification and peer-interaction lead to improved motivation and active engagement (Cheng </w:t>
      </w:r>
      <w:r w:rsidR="0000324B" w:rsidRPr="00F04993">
        <w:rPr>
          <w:i/>
          <w:iCs/>
        </w:rPr>
        <w:t>et al.,</w:t>
      </w:r>
      <w:r w:rsidR="0000324B" w:rsidRPr="00396E58">
        <w:t xml:space="preserve"> 2021).</w:t>
      </w:r>
      <w:r w:rsidR="00396E58" w:rsidRPr="00396E58">
        <w:t xml:space="preserve"> The integration of ICT-enabled collaborative learning and gamification in entomology education has significantly enhanced student engagement, motivation and knowledge retention by transforming traditional content delivery into interactive, socially constructed experiences. Collaborative learning facilitated through digital platforms enables geographically dispersed students and educators to work together synchronously or asynchronously on entomology-based projects such as insect identification, pest forecasting, ecological modeling, and biodiversity mapping. Tools such as </w:t>
      </w:r>
      <w:r w:rsidR="00396E58" w:rsidRPr="00F04993">
        <w:t>Google Workspace, Padlet, Microsoft Teams</w:t>
      </w:r>
      <w:r w:rsidR="00396E58" w:rsidRPr="00396E58">
        <w:t xml:space="preserve"> and </w:t>
      </w:r>
      <w:r w:rsidR="00396E58" w:rsidRPr="00F04993">
        <w:t>Edmodo</w:t>
      </w:r>
      <w:r w:rsidR="00396E58" w:rsidRPr="00396E58">
        <w:t xml:space="preserve"> have become popular in enabling group-based tasks, real-time feedback, discussion forums and peer evaluation in entomology coursework (Bower, 2011; Al-</w:t>
      </w:r>
      <w:proofErr w:type="spellStart"/>
      <w:r w:rsidR="00396E58" w:rsidRPr="00396E58">
        <w:t>Samarraie</w:t>
      </w:r>
      <w:proofErr w:type="spellEnd"/>
      <w:r w:rsidR="00396E58" w:rsidRPr="00396E58">
        <w:t xml:space="preserve"> &amp; </w:t>
      </w:r>
      <w:proofErr w:type="spellStart"/>
      <w:r w:rsidR="00396E58" w:rsidRPr="00396E58">
        <w:t>Saeed</w:t>
      </w:r>
      <w:proofErr w:type="spellEnd"/>
      <w:r w:rsidR="00396E58" w:rsidRPr="00396E58">
        <w:t xml:space="preserve">, 2018). These tools promote the development of higher-order cognitive skills, critical thinking and co-construction of knowledge </w:t>
      </w:r>
      <w:r w:rsidR="00396E58" w:rsidRPr="00396E58">
        <w:lastRenderedPageBreak/>
        <w:t>by fostering dialogue and reflection on complex entomological issues like integrated pest management (IPM), insect behavior, or taxonomy.</w:t>
      </w:r>
    </w:p>
    <w:p w14:paraId="21B3792C" w14:textId="7988F4B3" w:rsidR="00396E58" w:rsidRPr="00396E58" w:rsidRDefault="00F04993"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Gamification </w:t>
      </w:r>
      <w:r w:rsidR="00396E58" w:rsidRPr="00396E58">
        <w:rPr>
          <w:rFonts w:ascii="Times New Roman" w:eastAsia="Times New Roman" w:hAnsi="Times New Roman" w:cs="Times New Roman"/>
          <w:sz w:val="24"/>
          <w:szCs w:val="24"/>
        </w:rPr>
        <w:t>the application of game-design elements like points, l</w:t>
      </w:r>
      <w:r>
        <w:rPr>
          <w:rFonts w:ascii="Times New Roman" w:eastAsia="Times New Roman" w:hAnsi="Times New Roman" w:cs="Times New Roman"/>
          <w:sz w:val="24"/>
          <w:szCs w:val="24"/>
        </w:rPr>
        <w:t xml:space="preserve">evels, badges and leaderboards </w:t>
      </w:r>
      <w:r w:rsidR="00396E58" w:rsidRPr="00396E58">
        <w:rPr>
          <w:rFonts w:ascii="Times New Roman" w:eastAsia="Times New Roman" w:hAnsi="Times New Roman" w:cs="Times New Roman"/>
          <w:sz w:val="24"/>
          <w:szCs w:val="24"/>
        </w:rPr>
        <w:t xml:space="preserve">further augments this digital pedagogy by introducing elements of competition, achievement, and reward. Educational platforms like </w:t>
      </w:r>
      <w:proofErr w:type="spellStart"/>
      <w:r w:rsidR="00396E58" w:rsidRPr="0066363B">
        <w:rPr>
          <w:rFonts w:ascii="Times New Roman" w:eastAsia="Times New Roman" w:hAnsi="Times New Roman" w:cs="Times New Roman"/>
          <w:sz w:val="24"/>
          <w:szCs w:val="24"/>
        </w:rPr>
        <w:t>Kahoot</w:t>
      </w:r>
      <w:proofErr w:type="spellEnd"/>
      <w:r w:rsidR="00396E58" w:rsidRPr="00396E58">
        <w:rPr>
          <w:rFonts w:ascii="Times New Roman" w:eastAsia="Times New Roman" w:hAnsi="Times New Roman" w:cs="Times New Roman"/>
          <w:sz w:val="24"/>
          <w:szCs w:val="24"/>
        </w:rPr>
        <w:t xml:space="preserve">, </w:t>
      </w:r>
      <w:proofErr w:type="spellStart"/>
      <w:r w:rsidR="00396E58" w:rsidRPr="0066363B">
        <w:rPr>
          <w:rFonts w:ascii="Times New Roman" w:eastAsia="Times New Roman" w:hAnsi="Times New Roman" w:cs="Times New Roman"/>
          <w:sz w:val="24"/>
          <w:szCs w:val="24"/>
        </w:rPr>
        <w:t>Quizizz</w:t>
      </w:r>
      <w:proofErr w:type="spellEnd"/>
      <w:r w:rsidR="00396E58" w:rsidRPr="00396E58">
        <w:rPr>
          <w:rFonts w:ascii="Times New Roman" w:eastAsia="Times New Roman" w:hAnsi="Times New Roman" w:cs="Times New Roman"/>
          <w:sz w:val="24"/>
          <w:szCs w:val="24"/>
        </w:rPr>
        <w:t xml:space="preserve">, </w:t>
      </w:r>
      <w:proofErr w:type="spellStart"/>
      <w:r w:rsidR="00396E58" w:rsidRPr="0066363B">
        <w:rPr>
          <w:rFonts w:ascii="Times New Roman" w:eastAsia="Times New Roman" w:hAnsi="Times New Roman" w:cs="Times New Roman"/>
          <w:sz w:val="24"/>
          <w:szCs w:val="24"/>
        </w:rPr>
        <w:t>Classcraft</w:t>
      </w:r>
      <w:proofErr w:type="spellEnd"/>
      <w:r w:rsidR="00396E58" w:rsidRPr="00396E58">
        <w:rPr>
          <w:rFonts w:ascii="Times New Roman" w:eastAsia="Times New Roman" w:hAnsi="Times New Roman" w:cs="Times New Roman"/>
          <w:sz w:val="24"/>
          <w:szCs w:val="24"/>
        </w:rPr>
        <w:t xml:space="preserve"> and </w:t>
      </w:r>
      <w:proofErr w:type="spellStart"/>
      <w:r w:rsidR="00396E58" w:rsidRPr="0066363B">
        <w:rPr>
          <w:rFonts w:ascii="Times New Roman" w:eastAsia="Times New Roman" w:hAnsi="Times New Roman" w:cs="Times New Roman"/>
          <w:sz w:val="24"/>
          <w:szCs w:val="24"/>
        </w:rPr>
        <w:t>Socrative</w:t>
      </w:r>
      <w:proofErr w:type="spellEnd"/>
      <w:r w:rsidR="00396E58" w:rsidRPr="00396E58">
        <w:rPr>
          <w:rFonts w:ascii="Times New Roman" w:eastAsia="Times New Roman" w:hAnsi="Times New Roman" w:cs="Times New Roman"/>
          <w:sz w:val="24"/>
          <w:szCs w:val="24"/>
        </w:rPr>
        <w:t xml:space="preserve"> have been used to gamify entomology quizzes, insect morphology identification challenges and taxonomy-based revision exercises, resulting in improved motivation and academic performance (Deterding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2011; Hamari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2014). In the context of entomology, custom-designed games such as </w:t>
      </w:r>
      <w:r w:rsidR="00396E58" w:rsidRPr="00396E58">
        <w:rPr>
          <w:rFonts w:ascii="Times New Roman" w:eastAsia="Times New Roman" w:hAnsi="Times New Roman" w:cs="Times New Roman"/>
          <w:i/>
          <w:iCs/>
          <w:sz w:val="24"/>
          <w:szCs w:val="24"/>
        </w:rPr>
        <w:t>“Insect Quest”</w:t>
      </w:r>
      <w:r w:rsidR="00396E58" w:rsidRPr="00396E58">
        <w:rPr>
          <w:rFonts w:ascii="Times New Roman" w:eastAsia="Times New Roman" w:hAnsi="Times New Roman" w:cs="Times New Roman"/>
          <w:sz w:val="24"/>
          <w:szCs w:val="24"/>
        </w:rPr>
        <w:t xml:space="preserve">, </w:t>
      </w:r>
      <w:r w:rsidR="00396E58" w:rsidRPr="00396E58">
        <w:rPr>
          <w:rFonts w:ascii="Times New Roman" w:eastAsia="Times New Roman" w:hAnsi="Times New Roman" w:cs="Times New Roman"/>
          <w:i/>
          <w:iCs/>
          <w:sz w:val="24"/>
          <w:szCs w:val="24"/>
        </w:rPr>
        <w:t>“Pollinator Match”</w:t>
      </w:r>
      <w:r w:rsidR="00396E58" w:rsidRPr="00396E58">
        <w:rPr>
          <w:rFonts w:ascii="Times New Roman" w:eastAsia="Times New Roman" w:hAnsi="Times New Roman" w:cs="Times New Roman"/>
          <w:sz w:val="24"/>
          <w:szCs w:val="24"/>
        </w:rPr>
        <w:t xml:space="preserve"> and simulation-based activities on pest-crop interactions have allowed students to assume roles of entomologists, field researchers or extension officers, thereby connecting textbook knowledge to real-world scenarios (Bressler &amp; Bodzin, 2013). These interactive tasks enhance experiential learning by promoting decision-making, hypothesis testing and collaborative problem-solving.</w:t>
      </w:r>
    </w:p>
    <w:p w14:paraId="7D3C56A3" w14:textId="77777777" w:rsidR="00396E58" w:rsidRPr="00396E58" w:rsidRDefault="0066363B"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Gamified platforms also provide instant feedback and adaptive difficulty levels, which cater to individual learning paces, an essential feature for addressing diverse student backgrounds in entomology programs. Moreover, the social dimension of gamification fosters cooperative learning as students often form teams to complete insect-related challenges or compete in virtual taxonomy tournaments (Domínguez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2013). The rise of serious games and educat</w:t>
      </w:r>
      <w:r>
        <w:rPr>
          <w:rFonts w:ascii="Times New Roman" w:eastAsia="Times New Roman" w:hAnsi="Times New Roman" w:cs="Times New Roman"/>
          <w:sz w:val="24"/>
          <w:szCs w:val="24"/>
        </w:rPr>
        <w:t xml:space="preserve">ional simulations in entomology </w:t>
      </w:r>
      <w:r w:rsidR="00396E58" w:rsidRPr="00396E58">
        <w:rPr>
          <w:rFonts w:ascii="Times New Roman" w:eastAsia="Times New Roman" w:hAnsi="Times New Roman" w:cs="Times New Roman"/>
          <w:sz w:val="24"/>
          <w:szCs w:val="24"/>
        </w:rPr>
        <w:t>such as those modeling pest dynamics or pollinati</w:t>
      </w:r>
      <w:r>
        <w:rPr>
          <w:rFonts w:ascii="Times New Roman" w:eastAsia="Times New Roman" w:hAnsi="Times New Roman" w:cs="Times New Roman"/>
          <w:sz w:val="24"/>
          <w:szCs w:val="24"/>
        </w:rPr>
        <w:t xml:space="preserve">on ecology </w:t>
      </w:r>
      <w:r w:rsidR="00396E58" w:rsidRPr="00396E58">
        <w:rPr>
          <w:rFonts w:ascii="Times New Roman" w:eastAsia="Times New Roman" w:hAnsi="Times New Roman" w:cs="Times New Roman"/>
          <w:sz w:val="24"/>
          <w:szCs w:val="24"/>
        </w:rPr>
        <w:t>further blurs the boundary between play and pedagogy. These tools are especially effective in teaching abstract or spatial concepts such as insect metamorphosis, predator-prey dynamics, or ecological niches.</w:t>
      </w:r>
    </w:p>
    <w:p w14:paraId="0ED49A43" w14:textId="16207582" w:rsidR="00396E58" w:rsidRPr="00396E58" w:rsidRDefault="0066363B"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Importantly, research indicates that the integration of gamified, collaborative digital tools leads to significant improvement in learning outcomes, student satisfaction and long-term retention in science education domains (Subhash &amp; Cudney, 2018; Hew </w:t>
      </w:r>
      <w:r w:rsidR="00396E58" w:rsidRPr="00396E58">
        <w:rPr>
          <w:rFonts w:ascii="Times New Roman" w:eastAsia="Times New Roman" w:hAnsi="Times New Roman" w:cs="Times New Roman"/>
          <w:i/>
          <w:iCs/>
          <w:sz w:val="24"/>
          <w:szCs w:val="24"/>
        </w:rPr>
        <w:t>et al.,</w:t>
      </w:r>
      <w:r w:rsidR="00396E58" w:rsidRPr="00396E58">
        <w:rPr>
          <w:rFonts w:ascii="Times New Roman" w:eastAsia="Times New Roman" w:hAnsi="Times New Roman" w:cs="Times New Roman"/>
          <w:sz w:val="24"/>
          <w:szCs w:val="24"/>
        </w:rPr>
        <w:t xml:space="preserve"> 2020). In entomology, where field-based learning is often constrained by seasonality, terrain, or institutional resources, gamification and ICT-based collaboration offer an inclusive and scalable alternative. They democratize access to entomological knowledge and support constructivist, student-centered pedagogy aligned with modern education standards.</w:t>
      </w:r>
    </w:p>
    <w:p w14:paraId="7648C714" w14:textId="77777777" w:rsidR="00070E2F" w:rsidRDefault="00070E2F" w:rsidP="00396E58">
      <w:pPr>
        <w:pStyle w:val="NormalWeb"/>
        <w:spacing w:before="0" w:beforeAutospacing="0" w:after="0" w:afterAutospacing="0" w:line="360" w:lineRule="auto"/>
        <w:jc w:val="both"/>
        <w:rPr>
          <w:rStyle w:val="Strong"/>
        </w:rPr>
      </w:pPr>
    </w:p>
    <w:p w14:paraId="610A35B6" w14:textId="77777777" w:rsidR="00070E2F" w:rsidRDefault="00070E2F" w:rsidP="00396E58">
      <w:pPr>
        <w:pStyle w:val="NormalWeb"/>
        <w:spacing w:before="0" w:beforeAutospacing="0" w:after="0" w:afterAutospacing="0" w:line="360" w:lineRule="auto"/>
        <w:jc w:val="both"/>
        <w:rPr>
          <w:rStyle w:val="Strong"/>
        </w:rPr>
      </w:pPr>
    </w:p>
    <w:p w14:paraId="0D2EB750" w14:textId="77777777" w:rsidR="0066363B" w:rsidRDefault="0000324B" w:rsidP="00396E58">
      <w:pPr>
        <w:pStyle w:val="NormalWeb"/>
        <w:spacing w:before="0" w:beforeAutospacing="0" w:after="0" w:afterAutospacing="0" w:line="360" w:lineRule="auto"/>
        <w:jc w:val="both"/>
        <w:rPr>
          <w:rStyle w:val="Strong"/>
        </w:rPr>
      </w:pPr>
      <w:r w:rsidRPr="00396E58">
        <w:rPr>
          <w:rStyle w:val="Strong"/>
        </w:rPr>
        <w:lastRenderedPageBreak/>
        <w:t>12. Challenges in Digital Entomology Education</w:t>
      </w:r>
    </w:p>
    <w:p w14:paraId="543B29AA" w14:textId="2340F9DD" w:rsidR="00396E58" w:rsidRPr="00396E58" w:rsidRDefault="0066363B" w:rsidP="00396E58">
      <w:pPr>
        <w:pStyle w:val="NormalWeb"/>
        <w:spacing w:before="0" w:beforeAutospacing="0" w:after="0" w:afterAutospacing="0" w:line="360" w:lineRule="auto"/>
        <w:jc w:val="both"/>
      </w:pPr>
      <w:r>
        <w:rPr>
          <w:rStyle w:val="Strong"/>
        </w:rPr>
        <w:tab/>
      </w:r>
      <w:r w:rsidR="0000324B" w:rsidRPr="00396E58">
        <w:t>Despite numerous benefits, challenges such as digital divide, limited content in local languages, lack of training for educators, and resistance to technology adoption persist (Ghosh &amp; Rao, 2023). Ensuring accessibility, inclusivity, and content standardization is essential.</w:t>
      </w:r>
      <w:r w:rsidR="00396E58" w:rsidRPr="00396E58">
        <w:t xml:space="preserve"> Despite the transformative impact of digital tools in entomology education, the integration of these technologies faces several pedagogical, infrastructural and disciplinary challenges. One of the foremost issues is </w:t>
      </w:r>
      <w:r w:rsidR="00396E58" w:rsidRPr="0066363B">
        <w:t>limited digital infrastructure,</w:t>
      </w:r>
      <w:r w:rsidR="00396E58" w:rsidRPr="00396E58">
        <w:t xml:space="preserve"> especially in rural or under-resourced institutions where internet connectivity, access to </w:t>
      </w:r>
      <w:r w:rsidR="00070E2F">
        <w:t>high-performance computers</w:t>
      </w:r>
      <w:r w:rsidR="00396E58" w:rsidRPr="00396E58">
        <w:t xml:space="preserve"> and availability of digital microscopes or AR/VR setups remain inadequate (Beetham &amp; Sharpe, 2013; UNESCO, 2021). </w:t>
      </w:r>
      <w:r>
        <w:tab/>
      </w:r>
      <w:r w:rsidR="00396E58" w:rsidRPr="00396E58">
        <w:t xml:space="preserve">The </w:t>
      </w:r>
      <w:r w:rsidR="00396E58" w:rsidRPr="0066363B">
        <w:t>digital divide</w:t>
      </w:r>
      <w:r w:rsidR="00396E58" w:rsidRPr="00396E58">
        <w:t xml:space="preserve"> exacerbates educational inequities, restricting participation of students from marginalized backgrounds in accessing high-quality virtual entomological content. Moreover, </w:t>
      </w:r>
      <w:r w:rsidR="00396E58" w:rsidRPr="0066363B">
        <w:t>faculty preparedness and pedagogical adaptation</w:t>
      </w:r>
      <w:r w:rsidR="00396E58" w:rsidRPr="00396E58">
        <w:t xml:space="preserve"> are significant concerns. Many instructors, particularly in traditional academic systems, may lack training in using ICT tools like simulation software, digital taxonomic keys or LMS-integrated gamified content, thereby affecting effective delivery and learner engagement (Mishra </w:t>
      </w:r>
      <w:r w:rsidR="00396E58" w:rsidRPr="0066363B">
        <w:rPr>
          <w:i/>
          <w:iCs/>
        </w:rPr>
        <w:t>et al.,</w:t>
      </w:r>
      <w:r w:rsidR="00396E58" w:rsidRPr="00396E58">
        <w:t xml:space="preserve"> 2009; Bates &amp; </w:t>
      </w:r>
      <w:proofErr w:type="spellStart"/>
      <w:r w:rsidR="00396E58" w:rsidRPr="00396E58">
        <w:t>Sangrà</w:t>
      </w:r>
      <w:proofErr w:type="spellEnd"/>
      <w:r w:rsidR="00396E58" w:rsidRPr="00396E58">
        <w:t>, 2011).</w:t>
      </w:r>
    </w:p>
    <w:p w14:paraId="7CBA4209" w14:textId="77777777" w:rsidR="00396E58" w:rsidRPr="00396E58" w:rsidRDefault="00396E58" w:rsidP="00396E58">
      <w:pPr>
        <w:spacing w:after="0" w:line="360" w:lineRule="auto"/>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Entomology, being a </w:t>
      </w:r>
      <w:r w:rsidRPr="0066363B">
        <w:rPr>
          <w:rFonts w:ascii="Times New Roman" w:eastAsia="Times New Roman" w:hAnsi="Times New Roman" w:cs="Times New Roman"/>
          <w:sz w:val="24"/>
          <w:szCs w:val="24"/>
        </w:rPr>
        <w:t>highly field- and lab-intensive discipline</w:t>
      </w:r>
      <w:r w:rsidRPr="00396E58">
        <w:rPr>
          <w:rFonts w:ascii="Times New Roman" w:eastAsia="Times New Roman" w:hAnsi="Times New Roman" w:cs="Times New Roman"/>
          <w:sz w:val="24"/>
          <w:szCs w:val="24"/>
        </w:rPr>
        <w:t xml:space="preserve">, poses unique constraints for digitization. Practical skills such as dissection, insect pinning, mounting, trap handling, and field survey techniques are difficult to replicate authentically through virtual platforms. Although digital surrogates like virtual microscopy and 3D insect models offer partial substitution, they often fail to provide the tactile and context-specific experiences essential for skill mastery (Trelease, 2008). Furthermore, many </w:t>
      </w:r>
      <w:r w:rsidRPr="0066363B">
        <w:rPr>
          <w:rFonts w:ascii="Times New Roman" w:eastAsia="Times New Roman" w:hAnsi="Times New Roman" w:cs="Times New Roman"/>
          <w:sz w:val="24"/>
          <w:szCs w:val="24"/>
        </w:rPr>
        <w:t>e-resources lack regional specificity</w:t>
      </w:r>
      <w:r w:rsidRPr="00396E58">
        <w:rPr>
          <w:rFonts w:ascii="Times New Roman" w:eastAsia="Times New Roman" w:hAnsi="Times New Roman" w:cs="Times New Roman"/>
          <w:sz w:val="24"/>
          <w:szCs w:val="24"/>
        </w:rPr>
        <w:t xml:space="preserve">, as global repositories like </w:t>
      </w:r>
      <w:proofErr w:type="spellStart"/>
      <w:r w:rsidRPr="00396E58">
        <w:rPr>
          <w:rFonts w:ascii="Times New Roman" w:eastAsia="Times New Roman" w:hAnsi="Times New Roman" w:cs="Times New Roman"/>
          <w:sz w:val="24"/>
          <w:szCs w:val="24"/>
        </w:rPr>
        <w:t>iNaturalist</w:t>
      </w:r>
      <w:proofErr w:type="spellEnd"/>
      <w:r w:rsidRPr="00396E58">
        <w:rPr>
          <w:rFonts w:ascii="Times New Roman" w:eastAsia="Times New Roman" w:hAnsi="Times New Roman" w:cs="Times New Roman"/>
          <w:sz w:val="24"/>
          <w:szCs w:val="24"/>
        </w:rPr>
        <w:t xml:space="preserve"> or </w:t>
      </w:r>
      <w:proofErr w:type="spellStart"/>
      <w:r w:rsidRPr="00396E58">
        <w:rPr>
          <w:rFonts w:ascii="Times New Roman" w:eastAsia="Times New Roman" w:hAnsi="Times New Roman" w:cs="Times New Roman"/>
          <w:sz w:val="24"/>
          <w:szCs w:val="24"/>
        </w:rPr>
        <w:t>Morphbank</w:t>
      </w:r>
      <w:proofErr w:type="spellEnd"/>
      <w:r w:rsidRPr="00396E58">
        <w:rPr>
          <w:rFonts w:ascii="Times New Roman" w:eastAsia="Times New Roman" w:hAnsi="Times New Roman" w:cs="Times New Roman"/>
          <w:sz w:val="24"/>
          <w:szCs w:val="24"/>
        </w:rPr>
        <w:t xml:space="preserve"> may not adequately represent local insect fauna, leading to gaps in contextual learning for students from biodiversity-rich countries like India (Hebert </w:t>
      </w:r>
      <w:r w:rsidRPr="00396E58">
        <w:rPr>
          <w:rFonts w:ascii="Times New Roman" w:eastAsia="Times New Roman" w:hAnsi="Times New Roman" w:cs="Times New Roman"/>
          <w:i/>
          <w:iCs/>
          <w:sz w:val="24"/>
          <w:szCs w:val="24"/>
        </w:rPr>
        <w:t>et al.,</w:t>
      </w:r>
      <w:r w:rsidRPr="00396E58">
        <w:rPr>
          <w:rFonts w:ascii="Times New Roman" w:eastAsia="Times New Roman" w:hAnsi="Times New Roman" w:cs="Times New Roman"/>
          <w:sz w:val="24"/>
          <w:szCs w:val="24"/>
        </w:rPr>
        <w:t xml:space="preserve"> 2016). Another critical challenge is </w:t>
      </w:r>
      <w:r w:rsidRPr="0066363B">
        <w:rPr>
          <w:rFonts w:ascii="Times New Roman" w:eastAsia="Times New Roman" w:hAnsi="Times New Roman" w:cs="Times New Roman"/>
          <w:sz w:val="24"/>
          <w:szCs w:val="24"/>
        </w:rPr>
        <w:t>data overload and cognitive fatigue</w:t>
      </w:r>
      <w:r w:rsidRPr="00396E58">
        <w:rPr>
          <w:rFonts w:ascii="Times New Roman" w:eastAsia="Times New Roman" w:hAnsi="Times New Roman" w:cs="Times New Roman"/>
          <w:sz w:val="24"/>
          <w:szCs w:val="24"/>
        </w:rPr>
        <w:t>, as students often encounter vast repositories of digital content without structured guidance, causing disengagement and reduced retention (Mayer, 2009).</w:t>
      </w:r>
    </w:p>
    <w:p w14:paraId="108446F6" w14:textId="76E85035" w:rsidR="00396E58" w:rsidRPr="00396E58" w:rsidRDefault="0066363B"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 xml:space="preserve">From a content development perspective, the creation of high-quality, interactive, and linguistically diverse digital materials requires significant </w:t>
      </w:r>
      <w:r w:rsidR="00396E58" w:rsidRPr="0066363B">
        <w:rPr>
          <w:rFonts w:ascii="Times New Roman" w:eastAsia="Times New Roman" w:hAnsi="Times New Roman" w:cs="Times New Roman"/>
          <w:sz w:val="24"/>
          <w:szCs w:val="24"/>
        </w:rPr>
        <w:t>time, expertise and financial investment</w:t>
      </w:r>
      <w:r w:rsidR="00396E58" w:rsidRPr="00396E58">
        <w:rPr>
          <w:rFonts w:ascii="Times New Roman" w:eastAsia="Times New Roman" w:hAnsi="Times New Roman" w:cs="Times New Roman"/>
          <w:sz w:val="24"/>
          <w:szCs w:val="24"/>
        </w:rPr>
        <w:t xml:space="preserve">, which may be unavailable to entomology departments operating under conventional curricula and limited funding (Jung, 2005). Intellectual property concerns and licensing issues also arise when using or developing Open Educational Resources (OERs) for entomological </w:t>
      </w:r>
      <w:r w:rsidR="00396E58" w:rsidRPr="00396E58">
        <w:rPr>
          <w:rFonts w:ascii="Times New Roman" w:eastAsia="Times New Roman" w:hAnsi="Times New Roman" w:cs="Times New Roman"/>
          <w:sz w:val="24"/>
          <w:szCs w:val="24"/>
        </w:rPr>
        <w:lastRenderedPageBreak/>
        <w:t xml:space="preserve">education. Moreover, </w:t>
      </w:r>
      <w:r w:rsidR="00396E58" w:rsidRPr="0066363B">
        <w:rPr>
          <w:rFonts w:ascii="Times New Roman" w:eastAsia="Times New Roman" w:hAnsi="Times New Roman" w:cs="Times New Roman"/>
          <w:sz w:val="24"/>
          <w:szCs w:val="24"/>
        </w:rPr>
        <w:t>evaluation and assessment strategies</w:t>
      </w:r>
      <w:r w:rsidR="00396E58" w:rsidRPr="00396E58">
        <w:rPr>
          <w:rFonts w:ascii="Times New Roman" w:eastAsia="Times New Roman" w:hAnsi="Times New Roman" w:cs="Times New Roman"/>
          <w:sz w:val="24"/>
          <w:szCs w:val="24"/>
        </w:rPr>
        <w:t xml:space="preserve"> for digital learning environments remain underdeveloped in entomology; traditional examination patterns may not effectively measure conceptual understanding gained through simulations, collaborative games or virtual labs (</w:t>
      </w:r>
      <w:proofErr w:type="spellStart"/>
      <w:r w:rsidR="00396E58" w:rsidRPr="00396E58">
        <w:rPr>
          <w:rFonts w:ascii="Times New Roman" w:eastAsia="Times New Roman" w:hAnsi="Times New Roman" w:cs="Times New Roman"/>
          <w:sz w:val="24"/>
          <w:szCs w:val="24"/>
        </w:rPr>
        <w:t>Laurillard</w:t>
      </w:r>
      <w:proofErr w:type="spellEnd"/>
      <w:r w:rsidR="00396E58" w:rsidRPr="00396E58">
        <w:rPr>
          <w:rFonts w:ascii="Times New Roman" w:eastAsia="Times New Roman" w:hAnsi="Times New Roman" w:cs="Times New Roman"/>
          <w:sz w:val="24"/>
          <w:szCs w:val="24"/>
        </w:rPr>
        <w:t xml:space="preserve">, 2012). Finally, </w:t>
      </w:r>
      <w:r w:rsidR="00396E58" w:rsidRPr="0066363B">
        <w:rPr>
          <w:rFonts w:ascii="Times New Roman" w:eastAsia="Times New Roman" w:hAnsi="Times New Roman" w:cs="Times New Roman"/>
          <w:sz w:val="24"/>
          <w:szCs w:val="24"/>
        </w:rPr>
        <w:t>cybersecurity and data privacy</w:t>
      </w:r>
      <w:r w:rsidR="00396E58" w:rsidRPr="00396E58">
        <w:rPr>
          <w:rFonts w:ascii="Times New Roman" w:eastAsia="Times New Roman" w:hAnsi="Times New Roman" w:cs="Times New Roman"/>
          <w:sz w:val="24"/>
          <w:szCs w:val="24"/>
        </w:rPr>
        <w:t xml:space="preserve"> concerns arise when using cloud-based tools, especially in collaborative citizen science projects involving location tagging and specimen photography.</w:t>
      </w:r>
    </w:p>
    <w:p w14:paraId="3DA3103A" w14:textId="77777777" w:rsidR="00396E58" w:rsidRPr="00396E58" w:rsidRDefault="0066363B" w:rsidP="00396E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6E58" w:rsidRPr="00396E58">
        <w:rPr>
          <w:rFonts w:ascii="Times New Roman" w:eastAsia="Times New Roman" w:hAnsi="Times New Roman" w:cs="Times New Roman"/>
          <w:sz w:val="24"/>
          <w:szCs w:val="24"/>
        </w:rPr>
        <w:t>To overcome these multifaceted challenges, institutions must adopt a blended approach that synergizes digital innovations with hands-on learning, localizes content, invests in faculty training and fosters inclusive policy frameworks for ICT integration in biological education. With strategic implementation, digital ent</w:t>
      </w:r>
      <w:r w:rsidR="005D50EF">
        <w:rPr>
          <w:rFonts w:ascii="Times New Roman" w:eastAsia="Times New Roman" w:hAnsi="Times New Roman" w:cs="Times New Roman"/>
          <w:sz w:val="24"/>
          <w:szCs w:val="24"/>
        </w:rPr>
        <w:t xml:space="preserve">omology can enhance not replace </w:t>
      </w:r>
      <w:r w:rsidR="00396E58" w:rsidRPr="00396E58">
        <w:rPr>
          <w:rFonts w:ascii="Times New Roman" w:eastAsia="Times New Roman" w:hAnsi="Times New Roman" w:cs="Times New Roman"/>
          <w:sz w:val="24"/>
          <w:szCs w:val="24"/>
        </w:rPr>
        <w:t>the richness of experiential field-based pedagogy.</w:t>
      </w:r>
    </w:p>
    <w:p w14:paraId="33B25823" w14:textId="77777777" w:rsidR="005D50EF" w:rsidRDefault="0000324B" w:rsidP="00396E58">
      <w:pPr>
        <w:pStyle w:val="NormalWeb"/>
        <w:spacing w:before="0" w:beforeAutospacing="0" w:after="0" w:afterAutospacing="0" w:line="360" w:lineRule="auto"/>
        <w:jc w:val="both"/>
        <w:rPr>
          <w:rStyle w:val="Strong"/>
        </w:rPr>
      </w:pPr>
      <w:r w:rsidRPr="00396E58">
        <w:rPr>
          <w:rStyle w:val="Strong"/>
        </w:rPr>
        <w:t>13. Future Prospects and Recommendations</w:t>
      </w:r>
    </w:p>
    <w:p w14:paraId="5BEC131A" w14:textId="4959F83D" w:rsidR="005D50EF" w:rsidRDefault="005D50EF" w:rsidP="00396E58">
      <w:pPr>
        <w:pStyle w:val="NormalWeb"/>
        <w:spacing w:before="0" w:beforeAutospacing="0" w:after="0" w:afterAutospacing="0" w:line="360" w:lineRule="auto"/>
        <w:jc w:val="both"/>
        <w:rPr>
          <w:rStyle w:val="Strong"/>
        </w:rPr>
      </w:pPr>
      <w:r>
        <w:rPr>
          <w:rStyle w:val="Strong"/>
        </w:rPr>
        <w:tab/>
      </w:r>
      <w:r w:rsidR="00396E58" w:rsidRPr="00396E58">
        <w:t xml:space="preserve">The future of digital innovations and ICT tools in teaching applied entomology is poised to revolutionize both pedagogical methodology and learner engagement, making entomological education more accessible, interactive, and contextually relevant. Emerging technologies such as </w:t>
      </w:r>
      <w:r w:rsidR="00396E58" w:rsidRPr="005D50EF">
        <w:rPr>
          <w:rStyle w:val="Strong"/>
          <w:b w:val="0"/>
          <w:bCs w:val="0"/>
        </w:rPr>
        <w:t>Augmented Reality (AR)</w:t>
      </w:r>
      <w:r w:rsidR="00396E58" w:rsidRPr="005D50EF">
        <w:rPr>
          <w:b/>
          <w:bCs/>
        </w:rPr>
        <w:t xml:space="preserve">, </w:t>
      </w:r>
      <w:r w:rsidR="00396E58" w:rsidRPr="005D50EF">
        <w:rPr>
          <w:rStyle w:val="Strong"/>
          <w:b w:val="0"/>
          <w:bCs w:val="0"/>
        </w:rPr>
        <w:t>Virtual Reality (VR)</w:t>
      </w:r>
      <w:r w:rsidR="00396E58" w:rsidRPr="005D50EF">
        <w:rPr>
          <w:b/>
          <w:bCs/>
        </w:rPr>
        <w:t xml:space="preserve">, </w:t>
      </w:r>
      <w:r w:rsidR="00396E58" w:rsidRPr="005D50EF">
        <w:rPr>
          <w:rStyle w:val="Strong"/>
          <w:b w:val="0"/>
          <w:bCs w:val="0"/>
        </w:rPr>
        <w:t>Artificial Intelligence (AI)</w:t>
      </w:r>
      <w:r w:rsidR="00396E58" w:rsidRPr="005D50EF">
        <w:t xml:space="preserve"> and</w:t>
      </w:r>
      <w:r w:rsidR="00396E58" w:rsidRPr="005D50EF">
        <w:rPr>
          <w:b/>
          <w:bCs/>
        </w:rPr>
        <w:t xml:space="preserve"> </w:t>
      </w:r>
      <w:r w:rsidR="00396E58" w:rsidRPr="005D50EF">
        <w:rPr>
          <w:rStyle w:val="Strong"/>
          <w:b w:val="0"/>
          <w:bCs w:val="0"/>
        </w:rPr>
        <w:t>Machine Learning (ML)</w:t>
      </w:r>
      <w:r w:rsidR="00396E58" w:rsidRPr="00396E58">
        <w:t xml:space="preserve"> offer unprecedented opportunities to simulate insect behavior, visualize complex anatomical structures, and predict pest outbreaks through dynamic modeling. Tools like AI-enabled pest identification apps, drone-assisted field surveillance, and blockchain-based traceability in insect-based biocontrol can be integrated into curricula to expose students to cutting-edge practices in real-world entomology. Furthermore, the creation of </w:t>
      </w:r>
      <w:r w:rsidR="00396E58" w:rsidRPr="005D50EF">
        <w:rPr>
          <w:rStyle w:val="Strong"/>
          <w:b w:val="0"/>
          <w:bCs w:val="0"/>
        </w:rPr>
        <w:t>multilingual Open Educational Resources (OERs)</w:t>
      </w:r>
      <w:r w:rsidR="00396E58" w:rsidRPr="005D50EF">
        <w:rPr>
          <w:b/>
          <w:bCs/>
        </w:rPr>
        <w:t xml:space="preserve">, </w:t>
      </w:r>
      <w:r w:rsidR="00396E58" w:rsidRPr="005D50EF">
        <w:rPr>
          <w:rStyle w:val="Strong"/>
          <w:b w:val="0"/>
          <w:bCs w:val="0"/>
        </w:rPr>
        <w:t>cloud-based insect biodiversity repositories</w:t>
      </w:r>
      <w:r w:rsidR="00396E58" w:rsidRPr="00396E58">
        <w:t xml:space="preserve"> and </w:t>
      </w:r>
      <w:r w:rsidR="00396E58" w:rsidRPr="005D50EF">
        <w:rPr>
          <w:rStyle w:val="Strong"/>
          <w:b w:val="0"/>
          <w:bCs w:val="0"/>
        </w:rPr>
        <w:t>interactive gamified platforms</w:t>
      </w:r>
      <w:r w:rsidR="00396E58" w:rsidRPr="00396E58">
        <w:t xml:space="preserve"> holds the potential to democratize entomology education across linguistic, geographic and socio-economic divides. Future directions must also prioritize </w:t>
      </w:r>
      <w:r w:rsidR="00396E58" w:rsidRPr="005D50EF">
        <w:rPr>
          <w:rStyle w:val="Strong"/>
          <w:b w:val="0"/>
          <w:bCs w:val="0"/>
        </w:rPr>
        <w:t>inclusive and blended learning frameworks</w:t>
      </w:r>
      <w:r w:rsidR="00396E58" w:rsidRPr="005D50EF">
        <w:t>,</w:t>
      </w:r>
      <w:r w:rsidR="00396E58" w:rsidRPr="00396E58">
        <w:t xml:space="preserve"> where hands-on field experience is combined with virtual simulations and mobile learning apps for a holistic understanding. Policy makers and educational institutions should invest in </w:t>
      </w:r>
      <w:r w:rsidR="00396E58" w:rsidRPr="005D50EF">
        <w:rPr>
          <w:rStyle w:val="Strong"/>
          <w:b w:val="0"/>
          <w:bCs w:val="0"/>
        </w:rPr>
        <w:t>faculty training programs</w:t>
      </w:r>
      <w:r w:rsidR="00396E58" w:rsidRPr="005D50EF">
        <w:rPr>
          <w:b/>
          <w:bCs/>
        </w:rPr>
        <w:t xml:space="preserve">, </w:t>
      </w:r>
      <w:r w:rsidR="00396E58" w:rsidRPr="005D50EF">
        <w:rPr>
          <w:rStyle w:val="Strong"/>
          <w:b w:val="0"/>
          <w:bCs w:val="0"/>
        </w:rPr>
        <w:t>digital content co-creation</w:t>
      </w:r>
      <w:r w:rsidR="00396E58" w:rsidRPr="00396E58">
        <w:t xml:space="preserve"> and </w:t>
      </w:r>
      <w:r w:rsidR="00396E58" w:rsidRPr="005D50EF">
        <w:rPr>
          <w:rStyle w:val="Strong"/>
          <w:b w:val="0"/>
          <w:bCs w:val="0"/>
        </w:rPr>
        <w:t>industry-academia collaborations</w:t>
      </w:r>
      <w:r w:rsidR="00396E58" w:rsidRPr="00396E58">
        <w:t xml:space="preserve"> to keep pace with technological advancements. Incorporating </w:t>
      </w:r>
      <w:r w:rsidR="00396E58" w:rsidRPr="005D50EF">
        <w:rPr>
          <w:rStyle w:val="Strong"/>
          <w:b w:val="0"/>
          <w:bCs w:val="0"/>
        </w:rPr>
        <w:t>citizen science platforms</w:t>
      </w:r>
      <w:r w:rsidR="00396E58" w:rsidRPr="005D50EF">
        <w:rPr>
          <w:b/>
          <w:bCs/>
        </w:rPr>
        <w:t xml:space="preserve">, </w:t>
      </w:r>
      <w:r w:rsidR="00396E58" w:rsidRPr="005D50EF">
        <w:rPr>
          <w:rStyle w:val="Strong"/>
          <w:b w:val="0"/>
          <w:bCs w:val="0"/>
        </w:rPr>
        <w:t>remote sensing</w:t>
      </w:r>
      <w:r w:rsidR="00396E58" w:rsidRPr="005D50EF">
        <w:t xml:space="preserve"> and</w:t>
      </w:r>
      <w:r w:rsidR="00396E58" w:rsidRPr="005D50EF">
        <w:rPr>
          <w:b/>
          <w:bCs/>
        </w:rPr>
        <w:t xml:space="preserve"> </w:t>
      </w:r>
      <w:r w:rsidR="00396E58" w:rsidRPr="005D50EF">
        <w:rPr>
          <w:rStyle w:val="Strong"/>
          <w:b w:val="0"/>
          <w:bCs w:val="0"/>
        </w:rPr>
        <w:t>real-time ecological data analytics</w:t>
      </w:r>
      <w:r w:rsidR="00396E58" w:rsidRPr="00396E58">
        <w:t xml:space="preserve"> into classroom teaching can enrich applied learning and research orientation among students. It is recommended that standardized curricula include ICT modules, interactive assessment techniques, and exposure to </w:t>
      </w:r>
      <w:r w:rsidR="00396E58" w:rsidRPr="00396E58">
        <w:lastRenderedPageBreak/>
        <w:t>data-driven entomology tools to foster a digitally literate and professionally agile generation of entomologists. With strategic implementation and sustained investment, digital innovations will not only enhance the quality and reach of applied entomology education but also empower learners to address contemporary challenges in pest management, pollinator conservation, and insect-based sustainable solutions.</w:t>
      </w:r>
      <w:r w:rsidR="00396E58" w:rsidRPr="00396E58">
        <w:rPr>
          <w:rStyle w:val="Strong"/>
        </w:rPr>
        <w:t xml:space="preserve"> </w:t>
      </w:r>
    </w:p>
    <w:p w14:paraId="2FD721F2" w14:textId="482514D4" w:rsidR="0098486B" w:rsidRDefault="0098486B" w:rsidP="00396E58">
      <w:pPr>
        <w:pStyle w:val="NormalWeb"/>
        <w:spacing w:before="0" w:beforeAutospacing="0" w:after="0" w:afterAutospacing="0" w:line="360" w:lineRule="auto"/>
        <w:jc w:val="both"/>
        <w:rPr>
          <w:rStyle w:val="Strong"/>
        </w:rPr>
      </w:pPr>
      <w:r>
        <w:rPr>
          <w:rStyle w:val="Strong"/>
        </w:rPr>
        <w:t xml:space="preserve">14. </w:t>
      </w:r>
      <w:r w:rsidR="0000324B" w:rsidRPr="00396E58">
        <w:rPr>
          <w:rStyle w:val="Strong"/>
        </w:rPr>
        <w:t>Conclusion</w:t>
      </w:r>
      <w:r w:rsidR="007047CD">
        <w:rPr>
          <w:rStyle w:val="Strong"/>
        </w:rPr>
        <w:t>s</w:t>
      </w:r>
    </w:p>
    <w:p w14:paraId="0AA5A4DD" w14:textId="6D669488" w:rsidR="00396E58" w:rsidRDefault="005D50EF" w:rsidP="00396E58">
      <w:pPr>
        <w:pStyle w:val="NormalWeb"/>
        <w:spacing w:before="0" w:beforeAutospacing="0" w:after="0" w:afterAutospacing="0" w:line="360" w:lineRule="auto"/>
        <w:jc w:val="both"/>
        <w:rPr>
          <w:rStyle w:val="Strong"/>
        </w:rPr>
      </w:pPr>
      <w:r>
        <w:tab/>
      </w:r>
      <w:r w:rsidR="00396E58" w:rsidRPr="00396E58">
        <w:t>Digital innovations and ICT tools have significantly transformed the landscape of teaching applied entomology, bridging the gap between theoretical knowledge and practical application through immersive, interactive and accessible learning experiences. From mobile applications for field identification to advanced virtual microscopy, simulation software, augmented and virtual reality and cloud-based repositories, these technologies have empowered educators and students alike to engage with entomological concepts in dynamic and data-driven ways. Such tools not only enhance visualization and comprehension of insect morphology, taxonomy and behavior but also foster critical thinking, collaborative learning and real-time problem-solving skills. However, for these innovations to reach their full potential, challenges related to infrastructure, faculty training, digital literacy, and equitable access must be systematically addressed. The integration of digital pedagogy in applied entomology must be guided by inclusive educational policies, interdisciplinary collaboration and continuous technological adaptation to ensure its sustainability and relevance. Ultimately, embracing ICT in entomology education is not merely an enhancement</w:t>
      </w:r>
      <w:r>
        <w:t xml:space="preserve"> </w:t>
      </w:r>
      <w:r w:rsidR="00396E58" w:rsidRPr="00396E58">
        <w:t>it is a necessity for preparing future-ready entomologists capable of addressing complex ecological and agricultural challenges with innovative, evidence-based solutions.</w:t>
      </w:r>
      <w:r w:rsidR="00396E58" w:rsidRPr="00396E58">
        <w:rPr>
          <w:rStyle w:val="Strong"/>
        </w:rPr>
        <w:t xml:space="preserve"> </w:t>
      </w:r>
    </w:p>
    <w:p w14:paraId="536504E0" w14:textId="77777777" w:rsidR="00265D31" w:rsidRPr="00265D31" w:rsidRDefault="00265D31" w:rsidP="00265D31">
      <w:pPr>
        <w:jc w:val="both"/>
        <w:outlineLvl w:val="0"/>
        <w:rPr>
          <w:rFonts w:ascii="Arial" w:eastAsia="Times New Roman" w:hAnsi="Arial" w:cs="Arial"/>
          <w:szCs w:val="22"/>
          <w:lang w:val="en-GB" w:eastAsia="en-GB" w:bidi="ar-SA"/>
        </w:rPr>
      </w:pPr>
      <w:r w:rsidRPr="00265D31">
        <w:rPr>
          <w:rFonts w:ascii="Arial" w:eastAsia="Times New Roman" w:hAnsi="Arial" w:cs="Arial"/>
          <w:b/>
          <w:bCs/>
          <w:szCs w:val="22"/>
          <w:lang w:val="en-GB" w:eastAsia="en-GB" w:bidi="ar-SA"/>
        </w:rPr>
        <w:t>COMPETING INTERESTS DISCLAIMER:</w:t>
      </w:r>
    </w:p>
    <w:p w14:paraId="6578DA57" w14:textId="1329C68D" w:rsidR="00265D31" w:rsidRDefault="00265D31" w:rsidP="00265D31">
      <w:pPr>
        <w:rPr>
          <w:rFonts w:ascii="Calibri" w:eastAsia="Times New Roman" w:hAnsi="Calibri" w:cs="Times New Roman"/>
          <w:szCs w:val="22"/>
          <w:lang w:val="en-GB" w:eastAsia="en-GB" w:bidi="ar-SA"/>
        </w:rPr>
      </w:pPr>
      <w:r w:rsidRPr="00265D31">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44B2B849" w14:textId="175490AE" w:rsidR="000C27B7" w:rsidRDefault="000C27B7" w:rsidP="00265D31">
      <w:pPr>
        <w:rPr>
          <w:rFonts w:ascii="Calibri" w:eastAsia="Times New Roman" w:hAnsi="Calibri" w:cs="Times New Roman"/>
          <w:szCs w:val="22"/>
          <w:lang w:val="en-GB" w:eastAsia="en-GB" w:bidi="ar-SA"/>
        </w:rPr>
      </w:pPr>
    </w:p>
    <w:p w14:paraId="68E054E9" w14:textId="77777777" w:rsidR="000C27B7" w:rsidRPr="00270720" w:rsidRDefault="000C27B7" w:rsidP="000C27B7">
      <w:pPr>
        <w:rPr>
          <w:highlight w:val="yellow"/>
        </w:rPr>
      </w:pPr>
      <w:r w:rsidRPr="00270720">
        <w:rPr>
          <w:highlight w:val="yellow"/>
        </w:rPr>
        <w:t>Disclaimer (Artificial intelligence)</w:t>
      </w:r>
    </w:p>
    <w:p w14:paraId="0126578C" w14:textId="77777777" w:rsidR="000C27B7" w:rsidRPr="00270720" w:rsidRDefault="000C27B7" w:rsidP="000C27B7">
      <w:pPr>
        <w:rPr>
          <w:highlight w:val="yellow"/>
        </w:rPr>
      </w:pPr>
    </w:p>
    <w:p w14:paraId="36F954BA" w14:textId="77777777" w:rsidR="000C27B7" w:rsidRPr="00270720" w:rsidRDefault="000C27B7" w:rsidP="000C27B7">
      <w:pPr>
        <w:rPr>
          <w:highlight w:val="yellow"/>
        </w:rPr>
      </w:pPr>
      <w:r w:rsidRPr="00270720">
        <w:rPr>
          <w:highlight w:val="yellow"/>
        </w:rPr>
        <w:t xml:space="preserve">Option 1: </w:t>
      </w:r>
    </w:p>
    <w:p w14:paraId="16342643" w14:textId="77777777" w:rsidR="000C27B7" w:rsidRPr="00270720" w:rsidRDefault="000C27B7" w:rsidP="000C27B7">
      <w:pPr>
        <w:rPr>
          <w:highlight w:val="yellow"/>
        </w:rPr>
      </w:pPr>
    </w:p>
    <w:p w14:paraId="69AC8A3D" w14:textId="77777777" w:rsidR="000C27B7" w:rsidRPr="00270720" w:rsidRDefault="000C27B7" w:rsidP="000C27B7">
      <w:pPr>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B404551" w14:textId="77777777" w:rsidR="000C27B7" w:rsidRPr="00270720" w:rsidRDefault="000C27B7" w:rsidP="000C27B7">
      <w:pPr>
        <w:rPr>
          <w:highlight w:val="yellow"/>
        </w:rPr>
      </w:pPr>
    </w:p>
    <w:p w14:paraId="0BAFF145" w14:textId="77777777" w:rsidR="000C27B7" w:rsidRPr="00270720" w:rsidRDefault="000C27B7" w:rsidP="000C27B7">
      <w:pPr>
        <w:rPr>
          <w:highlight w:val="yellow"/>
        </w:rPr>
      </w:pPr>
      <w:r w:rsidRPr="00270720">
        <w:rPr>
          <w:highlight w:val="yellow"/>
        </w:rPr>
        <w:t xml:space="preserve">Option 2: </w:t>
      </w:r>
    </w:p>
    <w:p w14:paraId="77C7AA6C" w14:textId="77777777" w:rsidR="000C27B7" w:rsidRPr="00270720" w:rsidRDefault="000C27B7" w:rsidP="000C27B7">
      <w:pPr>
        <w:rPr>
          <w:highlight w:val="yellow"/>
        </w:rPr>
      </w:pPr>
    </w:p>
    <w:p w14:paraId="41E1E094" w14:textId="77777777" w:rsidR="000C27B7" w:rsidRPr="00270720" w:rsidRDefault="000C27B7" w:rsidP="000C27B7">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71649C" w14:textId="77777777" w:rsidR="000C27B7" w:rsidRPr="00270720" w:rsidRDefault="000C27B7" w:rsidP="000C27B7">
      <w:pPr>
        <w:rPr>
          <w:highlight w:val="yellow"/>
        </w:rPr>
      </w:pPr>
    </w:p>
    <w:p w14:paraId="462D7C27" w14:textId="77777777" w:rsidR="000C27B7" w:rsidRPr="00270720" w:rsidRDefault="000C27B7" w:rsidP="000C27B7">
      <w:pPr>
        <w:rPr>
          <w:highlight w:val="yellow"/>
        </w:rPr>
      </w:pPr>
      <w:r w:rsidRPr="00270720">
        <w:rPr>
          <w:highlight w:val="yellow"/>
        </w:rPr>
        <w:t>Details of the AI usage are given below:</w:t>
      </w:r>
    </w:p>
    <w:p w14:paraId="5A00C8F2" w14:textId="48F5DD80" w:rsidR="000C27B7" w:rsidRPr="00270720" w:rsidRDefault="000C27B7" w:rsidP="000C27B7">
      <w:pPr>
        <w:rPr>
          <w:highlight w:val="yellow"/>
        </w:rPr>
      </w:pPr>
      <w:r w:rsidRPr="00270720">
        <w:rPr>
          <w:highlight w:val="yellow"/>
        </w:rPr>
        <w:t>1.</w:t>
      </w:r>
      <w:r w:rsidR="0098486B" w:rsidRPr="0098486B">
        <w:rPr>
          <w:highlight w:val="yellow"/>
        </w:rPr>
        <w:t xml:space="preserve"> </w:t>
      </w:r>
      <w:r w:rsidR="0098486B" w:rsidRPr="00270720">
        <w:rPr>
          <w:highlight w:val="yellow"/>
        </w:rPr>
        <w:t>NO generative AI technologies</w:t>
      </w:r>
    </w:p>
    <w:p w14:paraId="6B29D184" w14:textId="65CD1789" w:rsidR="000C27B7" w:rsidRPr="00270720" w:rsidRDefault="000C27B7" w:rsidP="000C27B7">
      <w:pPr>
        <w:rPr>
          <w:highlight w:val="yellow"/>
        </w:rPr>
      </w:pPr>
      <w:r w:rsidRPr="00270720">
        <w:rPr>
          <w:highlight w:val="yellow"/>
        </w:rPr>
        <w:t>2.</w:t>
      </w:r>
      <w:r w:rsidR="0098486B" w:rsidRPr="0098486B">
        <w:rPr>
          <w:highlight w:val="yellow"/>
        </w:rPr>
        <w:t xml:space="preserve"> </w:t>
      </w:r>
      <w:r w:rsidR="0098486B" w:rsidRPr="00270720">
        <w:rPr>
          <w:highlight w:val="yellow"/>
        </w:rPr>
        <w:t>NO generative AI technologies</w:t>
      </w:r>
    </w:p>
    <w:p w14:paraId="3E579A7B" w14:textId="6F7DD25F" w:rsidR="000C27B7" w:rsidRPr="00270720" w:rsidRDefault="000C27B7" w:rsidP="000C27B7">
      <w:r w:rsidRPr="00270720">
        <w:rPr>
          <w:highlight w:val="yellow"/>
        </w:rPr>
        <w:t>3.</w:t>
      </w:r>
      <w:r w:rsidR="0098486B" w:rsidRPr="0098486B">
        <w:rPr>
          <w:highlight w:val="yellow"/>
        </w:rPr>
        <w:t xml:space="preserve"> </w:t>
      </w:r>
      <w:r w:rsidR="0098486B" w:rsidRPr="00270720">
        <w:rPr>
          <w:highlight w:val="yellow"/>
        </w:rPr>
        <w:t>NO generative AI technologies</w:t>
      </w:r>
    </w:p>
    <w:p w14:paraId="0FB272A7" w14:textId="48FC722F" w:rsidR="0000324B" w:rsidRPr="00396E58" w:rsidRDefault="0098486B" w:rsidP="00396E58">
      <w:pPr>
        <w:pStyle w:val="NormalWeb"/>
        <w:spacing w:before="0" w:beforeAutospacing="0" w:after="0" w:afterAutospacing="0" w:line="360" w:lineRule="auto"/>
        <w:jc w:val="both"/>
        <w:rPr>
          <w:rStyle w:val="Strong"/>
        </w:rPr>
      </w:pPr>
      <w:r>
        <w:rPr>
          <w:rStyle w:val="Strong"/>
        </w:rPr>
        <w:t xml:space="preserve">15. </w:t>
      </w:r>
      <w:r w:rsidR="0000324B" w:rsidRPr="00396E58">
        <w:rPr>
          <w:rStyle w:val="Strong"/>
        </w:rPr>
        <w:t>References</w:t>
      </w:r>
    </w:p>
    <w:p w14:paraId="4BE52544"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Al-</w:t>
      </w:r>
      <w:proofErr w:type="spellStart"/>
      <w:r w:rsidRPr="00396E58">
        <w:rPr>
          <w:rFonts w:ascii="Times New Roman" w:hAnsi="Times New Roman" w:cs="Times New Roman"/>
          <w:sz w:val="24"/>
          <w:szCs w:val="24"/>
        </w:rPr>
        <w:t>Azawei</w:t>
      </w:r>
      <w:proofErr w:type="spellEnd"/>
      <w:r w:rsidRPr="00396E58">
        <w:rPr>
          <w:rFonts w:ascii="Times New Roman" w:hAnsi="Times New Roman" w:cs="Times New Roman"/>
          <w:sz w:val="24"/>
          <w:szCs w:val="24"/>
        </w:rPr>
        <w:t>, A., Parslow, P</w:t>
      </w:r>
      <w:bookmarkStart w:id="0" w:name="_GoBack"/>
      <w:bookmarkEnd w:id="0"/>
      <w:r w:rsidRPr="00396E58">
        <w:rPr>
          <w:rFonts w:ascii="Times New Roman" w:hAnsi="Times New Roman" w:cs="Times New Roman"/>
          <w:sz w:val="24"/>
          <w:szCs w:val="24"/>
        </w:rPr>
        <w:t xml:space="preserve">., &amp; Lundqvist, K. (2017). Barriers and opportunities of e-learning implementation in Iraq: A case of public universities. </w:t>
      </w:r>
      <w:r w:rsidRPr="00396E58">
        <w:rPr>
          <w:rStyle w:val="Emphasis"/>
          <w:rFonts w:ascii="Times New Roman" w:hAnsi="Times New Roman" w:cs="Times New Roman"/>
          <w:sz w:val="24"/>
          <w:szCs w:val="24"/>
        </w:rPr>
        <w:t>The International Review of Research in Open and Distributed Learning</w:t>
      </w:r>
      <w:r w:rsidRPr="00396E58">
        <w:rPr>
          <w:rFonts w:ascii="Times New Roman" w:hAnsi="Times New Roman" w:cs="Times New Roman"/>
          <w:sz w:val="24"/>
          <w:szCs w:val="24"/>
        </w:rPr>
        <w:t>, 18(6), 147–170.</w:t>
      </w:r>
    </w:p>
    <w:p w14:paraId="30D38F2D"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00324B">
        <w:rPr>
          <w:rFonts w:ascii="Times New Roman" w:eastAsia="Times New Roman" w:hAnsi="Times New Roman" w:cs="Times New Roman"/>
          <w:sz w:val="24"/>
          <w:szCs w:val="24"/>
        </w:rPr>
        <w:t>Aljeraiwi</w:t>
      </w:r>
      <w:proofErr w:type="spellEnd"/>
      <w:r w:rsidRPr="0000324B">
        <w:rPr>
          <w:rFonts w:ascii="Times New Roman" w:eastAsia="Times New Roman" w:hAnsi="Times New Roman" w:cs="Times New Roman"/>
          <w:sz w:val="24"/>
          <w:szCs w:val="24"/>
        </w:rPr>
        <w:t xml:space="preserve">, A. A. (2021). The Effectiveness of the Moodle Platform for Online Teaching. </w:t>
      </w:r>
      <w:r w:rsidRPr="00396E58">
        <w:rPr>
          <w:rFonts w:ascii="Times New Roman" w:eastAsia="Times New Roman" w:hAnsi="Times New Roman" w:cs="Times New Roman"/>
          <w:i/>
          <w:iCs/>
          <w:sz w:val="24"/>
          <w:szCs w:val="24"/>
        </w:rPr>
        <w:t>Education and Information Technologies</w:t>
      </w:r>
      <w:r w:rsidRPr="0000324B">
        <w:rPr>
          <w:rFonts w:ascii="Times New Roman" w:eastAsia="Times New Roman" w:hAnsi="Times New Roman" w:cs="Times New Roman"/>
          <w:sz w:val="24"/>
          <w:szCs w:val="24"/>
        </w:rPr>
        <w:t>, 26(3), 3349–3365. https://doi.org/10.1007/s10639-020-10371-9</w:t>
      </w:r>
    </w:p>
    <w:p w14:paraId="3F287349"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Al-</w:t>
      </w:r>
      <w:proofErr w:type="spellStart"/>
      <w:r w:rsidRPr="00396E58">
        <w:rPr>
          <w:rFonts w:ascii="Times New Roman" w:eastAsia="Times New Roman" w:hAnsi="Times New Roman" w:cs="Times New Roman"/>
          <w:sz w:val="24"/>
          <w:szCs w:val="24"/>
        </w:rPr>
        <w:t>Samarraie</w:t>
      </w:r>
      <w:proofErr w:type="spellEnd"/>
      <w:r w:rsidRPr="00396E58">
        <w:rPr>
          <w:rFonts w:ascii="Times New Roman" w:eastAsia="Times New Roman" w:hAnsi="Times New Roman" w:cs="Times New Roman"/>
          <w:sz w:val="24"/>
          <w:szCs w:val="24"/>
        </w:rPr>
        <w:t xml:space="preserve">, H., &amp; Saeed, N. (2018). A systematic review of cloud computing tools for collaborative learning: Opportunities and challenges to the blended-learning environment.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124, 77–91. https://doi.org/10.1016/j.compedu.2018.05.016</w:t>
      </w:r>
    </w:p>
    <w:p w14:paraId="0DDB8B5E"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Aravind, N. A., et al. (2015). The India Biodiversity Portal: An integrated, interactive and participatory platform for aggregating and accessing biodiversity information. </w:t>
      </w:r>
      <w:r w:rsidRPr="00396E58">
        <w:rPr>
          <w:rFonts w:ascii="Times New Roman" w:eastAsia="Times New Roman" w:hAnsi="Times New Roman" w:cs="Times New Roman"/>
          <w:i/>
          <w:iCs/>
          <w:sz w:val="24"/>
          <w:szCs w:val="24"/>
        </w:rPr>
        <w:t>Current Science</w:t>
      </w:r>
      <w:r w:rsidRPr="00396E58">
        <w:rPr>
          <w:rFonts w:ascii="Times New Roman" w:eastAsia="Times New Roman" w:hAnsi="Times New Roman" w:cs="Times New Roman"/>
          <w:sz w:val="24"/>
          <w:szCs w:val="24"/>
        </w:rPr>
        <w:t>, 109(4), 456–464.</w:t>
      </w:r>
    </w:p>
    <w:p w14:paraId="3A7E527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lastRenderedPageBreak/>
        <w:t xml:space="preserve"> Bacca, J., </w:t>
      </w:r>
      <w:proofErr w:type="spellStart"/>
      <w:r w:rsidRPr="00396E58">
        <w:rPr>
          <w:rFonts w:ascii="Times New Roman" w:eastAsia="Times New Roman" w:hAnsi="Times New Roman" w:cs="Times New Roman"/>
          <w:sz w:val="24"/>
          <w:szCs w:val="24"/>
        </w:rPr>
        <w:t>Baldiris</w:t>
      </w:r>
      <w:proofErr w:type="spellEnd"/>
      <w:r w:rsidRPr="00396E58">
        <w:rPr>
          <w:rFonts w:ascii="Times New Roman" w:eastAsia="Times New Roman" w:hAnsi="Times New Roman" w:cs="Times New Roman"/>
          <w:sz w:val="24"/>
          <w:szCs w:val="24"/>
        </w:rPr>
        <w:t xml:space="preserve">, S., </w:t>
      </w:r>
      <w:proofErr w:type="spellStart"/>
      <w:r w:rsidRPr="00396E58">
        <w:rPr>
          <w:rFonts w:ascii="Times New Roman" w:eastAsia="Times New Roman" w:hAnsi="Times New Roman" w:cs="Times New Roman"/>
          <w:sz w:val="24"/>
          <w:szCs w:val="24"/>
        </w:rPr>
        <w:t>Fabregat</w:t>
      </w:r>
      <w:proofErr w:type="spellEnd"/>
      <w:r w:rsidRPr="00396E58">
        <w:rPr>
          <w:rFonts w:ascii="Times New Roman" w:eastAsia="Times New Roman" w:hAnsi="Times New Roman" w:cs="Times New Roman"/>
          <w:sz w:val="24"/>
          <w:szCs w:val="24"/>
        </w:rPr>
        <w:t xml:space="preserve">, R., Graf, S., &amp; Kinshuk. (2014). Augmented Reality Trends in Education: A systematic review of research and applications. </w:t>
      </w:r>
      <w:r w:rsidRPr="00396E58">
        <w:rPr>
          <w:rFonts w:ascii="Times New Roman" w:eastAsia="Times New Roman" w:hAnsi="Times New Roman" w:cs="Times New Roman"/>
          <w:i/>
          <w:iCs/>
          <w:sz w:val="24"/>
          <w:szCs w:val="24"/>
        </w:rPr>
        <w:t>Educational Technology &amp; Society</w:t>
      </w:r>
      <w:r w:rsidRPr="00396E58">
        <w:rPr>
          <w:rFonts w:ascii="Times New Roman" w:eastAsia="Times New Roman" w:hAnsi="Times New Roman" w:cs="Times New Roman"/>
          <w:sz w:val="24"/>
          <w:szCs w:val="24"/>
        </w:rPr>
        <w:t>, 17(4), 133–149. https://www.jstor.org/stable/jeductechsoci.17.4.133</w:t>
      </w:r>
    </w:p>
    <w:p w14:paraId="1B2D82D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Bansal, S., Bagla, S., &amp; Suri, S. (2021). Empowering Farmers Through Mobile Apps: A case study of </w:t>
      </w:r>
      <w:proofErr w:type="spellStart"/>
      <w:r w:rsidRPr="00396E58">
        <w:rPr>
          <w:rFonts w:ascii="Times New Roman" w:eastAsia="Times New Roman" w:hAnsi="Times New Roman" w:cs="Times New Roman"/>
          <w:sz w:val="24"/>
          <w:szCs w:val="24"/>
        </w:rPr>
        <w:t>Plantix</w:t>
      </w:r>
      <w:proofErr w:type="spellEnd"/>
      <w:r w:rsidRPr="00396E58">
        <w:rPr>
          <w:rFonts w:ascii="Times New Roman" w:eastAsia="Times New Roman" w:hAnsi="Times New Roman" w:cs="Times New Roman"/>
          <w:sz w:val="24"/>
          <w:szCs w:val="24"/>
        </w:rPr>
        <w:t xml:space="preserve"> in India. </w:t>
      </w:r>
      <w:r w:rsidRPr="00396E58">
        <w:rPr>
          <w:rFonts w:ascii="Times New Roman" w:eastAsia="Times New Roman" w:hAnsi="Times New Roman" w:cs="Times New Roman"/>
          <w:i/>
          <w:iCs/>
          <w:sz w:val="24"/>
          <w:szCs w:val="24"/>
        </w:rPr>
        <w:t>ICT in Agriculture</w:t>
      </w:r>
      <w:r w:rsidRPr="00396E58">
        <w:rPr>
          <w:rFonts w:ascii="Times New Roman" w:eastAsia="Times New Roman" w:hAnsi="Times New Roman" w:cs="Times New Roman"/>
          <w:sz w:val="24"/>
          <w:szCs w:val="24"/>
        </w:rPr>
        <w:t>, 9(2), 33–42.</w:t>
      </w:r>
    </w:p>
    <w:p w14:paraId="3C01E22D"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Bhattacharya, R., Bose, S., &amp; Singh, R. (2021). Role of AI and mobile-based technologies in modern entomological surveillance. </w:t>
      </w:r>
      <w:r w:rsidRPr="00396E58">
        <w:rPr>
          <w:rStyle w:val="Emphasis"/>
          <w:rFonts w:ascii="Times New Roman" w:hAnsi="Times New Roman" w:cs="Times New Roman"/>
          <w:sz w:val="24"/>
          <w:szCs w:val="24"/>
        </w:rPr>
        <w:t>Journal of Applied Entomology and Zoology</w:t>
      </w:r>
      <w:r w:rsidRPr="00396E58">
        <w:rPr>
          <w:rFonts w:ascii="Times New Roman" w:hAnsi="Times New Roman" w:cs="Times New Roman"/>
          <w:sz w:val="24"/>
          <w:szCs w:val="24"/>
        </w:rPr>
        <w:t>, 56(2), 102–110.</w:t>
      </w:r>
    </w:p>
    <w:p w14:paraId="2F4EB14A"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Blagoderov</w:t>
      </w:r>
      <w:proofErr w:type="spellEnd"/>
      <w:r w:rsidRPr="00396E58">
        <w:rPr>
          <w:rFonts w:ascii="Times New Roman" w:eastAsia="Times New Roman" w:hAnsi="Times New Roman" w:cs="Times New Roman"/>
          <w:sz w:val="24"/>
          <w:szCs w:val="24"/>
        </w:rPr>
        <w:t xml:space="preserve">, V., Kitching, I. J., Livermore, L., Simonsen, T. J., &amp; Smith, V. S. (2012). No specimen left behind: Industrial scale digitization of natural history collections. </w:t>
      </w:r>
      <w:proofErr w:type="spellStart"/>
      <w:r w:rsidRPr="00396E58">
        <w:rPr>
          <w:rFonts w:ascii="Times New Roman" w:eastAsia="Times New Roman" w:hAnsi="Times New Roman" w:cs="Times New Roman"/>
          <w:i/>
          <w:iCs/>
          <w:sz w:val="24"/>
          <w:szCs w:val="24"/>
        </w:rPr>
        <w:t>ZooKeys</w:t>
      </w:r>
      <w:proofErr w:type="spellEnd"/>
      <w:r w:rsidRPr="00396E58">
        <w:rPr>
          <w:rFonts w:ascii="Times New Roman" w:eastAsia="Times New Roman" w:hAnsi="Times New Roman" w:cs="Times New Roman"/>
          <w:sz w:val="24"/>
          <w:szCs w:val="24"/>
        </w:rPr>
        <w:t>, 209, 133–146. https://doi.org/10.3897/zookeys.209.3178</w:t>
      </w:r>
    </w:p>
    <w:p w14:paraId="78F42EA8"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Bower, M. (2011). Redesigning a Web-conferencing environment to support collaborative learning. </w:t>
      </w:r>
      <w:r w:rsidRPr="00396E58">
        <w:rPr>
          <w:rFonts w:ascii="Times New Roman" w:eastAsia="Times New Roman" w:hAnsi="Times New Roman" w:cs="Times New Roman"/>
          <w:i/>
          <w:iCs/>
          <w:sz w:val="24"/>
          <w:szCs w:val="24"/>
        </w:rPr>
        <w:t>British Journal of Educational Technology</w:t>
      </w:r>
      <w:r w:rsidRPr="00396E58">
        <w:rPr>
          <w:rFonts w:ascii="Times New Roman" w:eastAsia="Times New Roman" w:hAnsi="Times New Roman" w:cs="Times New Roman"/>
          <w:sz w:val="24"/>
          <w:szCs w:val="24"/>
        </w:rPr>
        <w:t>, 42(4), 618–640. https://doi.org/10.1111/j.1467-8535.2010.01068.x</w:t>
      </w:r>
    </w:p>
    <w:p w14:paraId="4AAEEDE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Bressler, D. M., &amp; Bodzin, A. M. (2013). A mixed methods assessment of students’ flow experiences during a mobile augmented reality science game. </w:t>
      </w:r>
      <w:r w:rsidRPr="00396E58">
        <w:rPr>
          <w:rFonts w:ascii="Times New Roman" w:eastAsia="Times New Roman" w:hAnsi="Times New Roman" w:cs="Times New Roman"/>
          <w:i/>
          <w:iCs/>
          <w:sz w:val="24"/>
          <w:szCs w:val="24"/>
        </w:rPr>
        <w:t>Journal of Computer Assisted Learning</w:t>
      </w:r>
      <w:r w:rsidRPr="00396E58">
        <w:rPr>
          <w:rFonts w:ascii="Times New Roman" w:eastAsia="Times New Roman" w:hAnsi="Times New Roman" w:cs="Times New Roman"/>
          <w:sz w:val="24"/>
          <w:szCs w:val="24"/>
        </w:rPr>
        <w:t>, 29(6), 505–517. https://doi.org/10.1111/jcal.12008</w:t>
      </w:r>
    </w:p>
    <w:p w14:paraId="33E8742E"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Brown, P., &amp; Jacobsen, K. (2018). Modeling Insect Pest Populations Using Simulation Software. </w:t>
      </w:r>
      <w:r w:rsidRPr="00396E58">
        <w:rPr>
          <w:rStyle w:val="Emphasis"/>
          <w:rFonts w:ascii="Times New Roman" w:hAnsi="Times New Roman" w:cs="Times New Roman"/>
          <w:sz w:val="24"/>
          <w:szCs w:val="24"/>
        </w:rPr>
        <w:t>Journal of Applied Entomology</w:t>
      </w:r>
      <w:r w:rsidRPr="00396E58">
        <w:rPr>
          <w:rFonts w:ascii="Times New Roman" w:hAnsi="Times New Roman" w:cs="Times New Roman"/>
          <w:sz w:val="24"/>
          <w:szCs w:val="24"/>
        </w:rPr>
        <w:t>, 142(3), 245–258.</w:t>
      </w:r>
    </w:p>
    <w:p w14:paraId="77BDDF53"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Cheng, C. H., et al. (2021). Gamification in Entomology Education: A Review. </w:t>
      </w:r>
      <w:r w:rsidRPr="00396E58">
        <w:rPr>
          <w:rStyle w:val="Emphasis"/>
          <w:rFonts w:ascii="Times New Roman" w:hAnsi="Times New Roman" w:cs="Times New Roman"/>
          <w:sz w:val="24"/>
          <w:szCs w:val="24"/>
        </w:rPr>
        <w:t>Educational Technology &amp; Society</w:t>
      </w:r>
      <w:r w:rsidRPr="00396E58">
        <w:rPr>
          <w:rFonts w:ascii="Times New Roman" w:hAnsi="Times New Roman" w:cs="Times New Roman"/>
          <w:sz w:val="24"/>
          <w:szCs w:val="24"/>
        </w:rPr>
        <w:t>, 24(1), 1–12.</w:t>
      </w:r>
    </w:p>
    <w:p w14:paraId="4A2D727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Cranston, P. S., Marshall, A. T., &amp; Davies, P. R. (2012). Entomology education in the digital age: The rise of interactive keys. </w:t>
      </w:r>
      <w:r w:rsidRPr="00396E58">
        <w:rPr>
          <w:rFonts w:ascii="Times New Roman" w:eastAsia="Times New Roman" w:hAnsi="Times New Roman" w:cs="Times New Roman"/>
          <w:i/>
          <w:iCs/>
          <w:sz w:val="24"/>
          <w:szCs w:val="24"/>
        </w:rPr>
        <w:t>Australian Journal of Entomology</w:t>
      </w:r>
      <w:r w:rsidRPr="00396E58">
        <w:rPr>
          <w:rFonts w:ascii="Times New Roman" w:eastAsia="Times New Roman" w:hAnsi="Times New Roman" w:cs="Times New Roman"/>
          <w:sz w:val="24"/>
          <w:szCs w:val="24"/>
        </w:rPr>
        <w:t>, 51(1), 1–6. https://doi.org/10.1111/j.1440-6055.2011.00846.x</w:t>
      </w:r>
    </w:p>
    <w:p w14:paraId="4C8CBD5B"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CSIRO. (2024). Lucidcentral.org. </w:t>
      </w:r>
      <w:hyperlink r:id="rId8" w:history="1">
        <w:r w:rsidRPr="00396E58">
          <w:rPr>
            <w:rStyle w:val="Hyperlink"/>
            <w:rFonts w:ascii="Times New Roman" w:hAnsi="Times New Roman" w:cs="Times New Roman"/>
            <w:sz w:val="24"/>
            <w:szCs w:val="24"/>
          </w:rPr>
          <w:t>https://www.lucidcentral.org</w:t>
        </w:r>
      </w:hyperlink>
    </w:p>
    <w:p w14:paraId="4E493781" w14:textId="77777777" w:rsidR="005D50EF" w:rsidRDefault="005D50EF" w:rsidP="005D50EF">
      <w:pPr>
        <w:spacing w:after="0" w:line="360" w:lineRule="auto"/>
        <w:ind w:left="1620" w:hanging="1620"/>
        <w:jc w:val="both"/>
        <w:rPr>
          <w:rFonts w:ascii="Times New Roman" w:hAnsi="Times New Roman" w:cs="Times New Roman"/>
          <w:sz w:val="24"/>
          <w:szCs w:val="24"/>
        </w:rPr>
      </w:pPr>
      <w:proofErr w:type="spellStart"/>
      <w:r w:rsidRPr="00396E58">
        <w:rPr>
          <w:rFonts w:ascii="Times New Roman" w:hAnsi="Times New Roman" w:cs="Times New Roman"/>
          <w:sz w:val="24"/>
          <w:szCs w:val="24"/>
        </w:rPr>
        <w:t>Dallwitz</w:t>
      </w:r>
      <w:proofErr w:type="spellEnd"/>
      <w:r w:rsidRPr="00396E58">
        <w:rPr>
          <w:rFonts w:ascii="Times New Roman" w:hAnsi="Times New Roman" w:cs="Times New Roman"/>
          <w:sz w:val="24"/>
          <w:szCs w:val="24"/>
        </w:rPr>
        <w:t xml:space="preserve">, M. J., Paine, T. A., &amp; Zurcher, E. J. (2000). </w:t>
      </w:r>
      <w:r w:rsidRPr="00396E58">
        <w:rPr>
          <w:rStyle w:val="Emphasis"/>
          <w:rFonts w:ascii="Times New Roman" w:hAnsi="Times New Roman" w:cs="Times New Roman"/>
          <w:sz w:val="24"/>
          <w:szCs w:val="24"/>
        </w:rPr>
        <w:t>Principles of Interactive Keys</w:t>
      </w:r>
      <w:r w:rsidRPr="00396E58">
        <w:rPr>
          <w:rFonts w:ascii="Times New Roman" w:hAnsi="Times New Roman" w:cs="Times New Roman"/>
          <w:sz w:val="24"/>
          <w:szCs w:val="24"/>
        </w:rPr>
        <w:t xml:space="preserve">. Delta </w:t>
      </w:r>
      <w:proofErr w:type="spellStart"/>
      <w:r w:rsidRPr="00396E58">
        <w:rPr>
          <w:rFonts w:ascii="Times New Roman" w:hAnsi="Times New Roman" w:cs="Times New Roman"/>
          <w:sz w:val="24"/>
          <w:szCs w:val="24"/>
        </w:rPr>
        <w:t>IntKey</w:t>
      </w:r>
      <w:proofErr w:type="spellEnd"/>
      <w:r w:rsidRPr="00396E58">
        <w:rPr>
          <w:rFonts w:ascii="Times New Roman" w:hAnsi="Times New Roman" w:cs="Times New Roman"/>
          <w:sz w:val="24"/>
          <w:szCs w:val="24"/>
        </w:rPr>
        <w:t xml:space="preserve"> Software.</w:t>
      </w:r>
    </w:p>
    <w:p w14:paraId="69E33BD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Dent, D. R. (2000). </w:t>
      </w:r>
      <w:r w:rsidRPr="00396E58">
        <w:rPr>
          <w:rFonts w:ascii="Times New Roman" w:eastAsia="Times New Roman" w:hAnsi="Times New Roman" w:cs="Times New Roman"/>
          <w:i/>
          <w:iCs/>
          <w:sz w:val="24"/>
          <w:szCs w:val="24"/>
        </w:rPr>
        <w:t>Insect Pest Management</w:t>
      </w:r>
      <w:r w:rsidRPr="00396E58">
        <w:rPr>
          <w:rFonts w:ascii="Times New Roman" w:eastAsia="Times New Roman" w:hAnsi="Times New Roman" w:cs="Times New Roman"/>
          <w:sz w:val="24"/>
          <w:szCs w:val="24"/>
        </w:rPr>
        <w:t xml:space="preserve"> (2nd ed.). CABI Publishing.</w:t>
      </w:r>
    </w:p>
    <w:p w14:paraId="4D7B50C4"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lastRenderedPageBreak/>
        <w:t xml:space="preserve">Deshpande, A., &amp; Chavan, V. (2021). Leveraging MOOCs for Biodiversity Informatics Capacity Building in Developing Countries. </w:t>
      </w:r>
      <w:r w:rsidRPr="00396E58">
        <w:rPr>
          <w:rStyle w:val="Emphasis"/>
          <w:rFonts w:ascii="Times New Roman" w:hAnsi="Times New Roman" w:cs="Times New Roman"/>
          <w:sz w:val="24"/>
          <w:szCs w:val="24"/>
        </w:rPr>
        <w:t>Biodiversity Data Journal</w:t>
      </w:r>
      <w:r w:rsidRPr="00396E58">
        <w:rPr>
          <w:rFonts w:ascii="Times New Roman" w:hAnsi="Times New Roman" w:cs="Times New Roman"/>
          <w:sz w:val="24"/>
          <w:szCs w:val="24"/>
        </w:rPr>
        <w:t>, 9, e62336. https://doi.org/10.3897/BDJ.9.e62336</w:t>
      </w:r>
    </w:p>
    <w:p w14:paraId="0ED648B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Deterding, S., Dixon, D., Khaled, R., &amp; Nacke, L. (2011). From game design elements to </w:t>
      </w:r>
      <w:proofErr w:type="spellStart"/>
      <w:r w:rsidRPr="00396E58">
        <w:rPr>
          <w:rFonts w:ascii="Times New Roman" w:eastAsia="Times New Roman" w:hAnsi="Times New Roman" w:cs="Times New Roman"/>
          <w:sz w:val="24"/>
          <w:szCs w:val="24"/>
        </w:rPr>
        <w:t>gamefulness</w:t>
      </w:r>
      <w:proofErr w:type="spellEnd"/>
      <w:r w:rsidRPr="00396E58">
        <w:rPr>
          <w:rFonts w:ascii="Times New Roman" w:eastAsia="Times New Roman" w:hAnsi="Times New Roman" w:cs="Times New Roman"/>
          <w:sz w:val="24"/>
          <w:szCs w:val="24"/>
        </w:rPr>
        <w:t xml:space="preserve">: Defining </w:t>
      </w:r>
      <w:proofErr w:type="spellStart"/>
      <w:r w:rsidRPr="00396E58">
        <w:rPr>
          <w:rFonts w:ascii="Times New Roman" w:eastAsia="Times New Roman" w:hAnsi="Times New Roman" w:cs="Times New Roman"/>
          <w:sz w:val="24"/>
          <w:szCs w:val="24"/>
        </w:rPr>
        <w:t>gamification</w:t>
      </w:r>
      <w:proofErr w:type="spellEnd"/>
      <w:r w:rsidRPr="00396E58">
        <w:rPr>
          <w:rFonts w:ascii="Times New Roman" w:eastAsia="Times New Roman" w:hAnsi="Times New Roman" w:cs="Times New Roman"/>
          <w:sz w:val="24"/>
          <w:szCs w:val="24"/>
        </w:rPr>
        <w:t xml:space="preserve">. In </w:t>
      </w:r>
      <w:r w:rsidRPr="00396E58">
        <w:rPr>
          <w:rFonts w:ascii="Times New Roman" w:eastAsia="Times New Roman" w:hAnsi="Times New Roman" w:cs="Times New Roman"/>
          <w:i/>
          <w:iCs/>
          <w:sz w:val="24"/>
          <w:szCs w:val="24"/>
        </w:rPr>
        <w:t xml:space="preserve">Proceedings of the 15th International Academic </w:t>
      </w:r>
      <w:proofErr w:type="spellStart"/>
      <w:r w:rsidRPr="00396E58">
        <w:rPr>
          <w:rFonts w:ascii="Times New Roman" w:eastAsia="Times New Roman" w:hAnsi="Times New Roman" w:cs="Times New Roman"/>
          <w:i/>
          <w:iCs/>
          <w:sz w:val="24"/>
          <w:szCs w:val="24"/>
        </w:rPr>
        <w:t>MindTrek</w:t>
      </w:r>
      <w:proofErr w:type="spellEnd"/>
      <w:r w:rsidRPr="00396E58">
        <w:rPr>
          <w:rFonts w:ascii="Times New Roman" w:eastAsia="Times New Roman" w:hAnsi="Times New Roman" w:cs="Times New Roman"/>
          <w:i/>
          <w:iCs/>
          <w:sz w:val="24"/>
          <w:szCs w:val="24"/>
        </w:rPr>
        <w:t xml:space="preserve"> Conference</w:t>
      </w:r>
      <w:r w:rsidRPr="00396E58">
        <w:rPr>
          <w:rFonts w:ascii="Times New Roman" w:eastAsia="Times New Roman" w:hAnsi="Times New Roman" w:cs="Times New Roman"/>
          <w:sz w:val="24"/>
          <w:szCs w:val="24"/>
        </w:rPr>
        <w:t xml:space="preserve"> (pp. 9–15). ACM.</w:t>
      </w:r>
    </w:p>
    <w:p w14:paraId="4DB17D2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Domínguez, A., et al. (2013). Gamifying learning experiences: Practical implications and outcomes.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63, 380–392. https://doi.org/10.1016/j.compedu.2012.12.020</w:t>
      </w:r>
    </w:p>
    <w:p w14:paraId="2D1C5DF3"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Eccles, S. A., Seale, J., &amp; Lam, P. (2013). Virtual Microscopy in the UK: A tool for pathology teaching. </w:t>
      </w:r>
      <w:r w:rsidRPr="00396E58">
        <w:rPr>
          <w:rFonts w:ascii="Times New Roman" w:eastAsia="Times New Roman" w:hAnsi="Times New Roman" w:cs="Times New Roman"/>
          <w:i/>
          <w:iCs/>
          <w:sz w:val="24"/>
          <w:szCs w:val="24"/>
        </w:rPr>
        <w:t>The Anatomical Record</w:t>
      </w:r>
      <w:r w:rsidRPr="00396E58">
        <w:rPr>
          <w:rFonts w:ascii="Times New Roman" w:eastAsia="Times New Roman" w:hAnsi="Times New Roman" w:cs="Times New Roman"/>
          <w:sz w:val="24"/>
          <w:szCs w:val="24"/>
        </w:rPr>
        <w:t>, 296(4), 561–568. https://doi.org/10.1002/ar.22675</w:t>
      </w:r>
    </w:p>
    <w:p w14:paraId="344D000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Fand, B. B., </w:t>
      </w:r>
      <w:proofErr w:type="spellStart"/>
      <w:r w:rsidRPr="00396E58">
        <w:rPr>
          <w:rFonts w:ascii="Times New Roman" w:eastAsia="Times New Roman" w:hAnsi="Times New Roman" w:cs="Times New Roman"/>
          <w:sz w:val="24"/>
          <w:szCs w:val="24"/>
        </w:rPr>
        <w:t>Tonnang</w:t>
      </w:r>
      <w:proofErr w:type="spellEnd"/>
      <w:r w:rsidRPr="00396E58">
        <w:rPr>
          <w:rFonts w:ascii="Times New Roman" w:eastAsia="Times New Roman" w:hAnsi="Times New Roman" w:cs="Times New Roman"/>
          <w:sz w:val="24"/>
          <w:szCs w:val="24"/>
        </w:rPr>
        <w:t xml:space="preserve">, H. E. Z., Kumar, M., Bal, S. K., &amp; Singh, N. P. (2015). A modeling framework for predicting the population dynamics of </w:t>
      </w:r>
      <w:proofErr w:type="spellStart"/>
      <w:r w:rsidRPr="00396E58">
        <w:rPr>
          <w:rFonts w:ascii="Times New Roman" w:eastAsia="Times New Roman" w:hAnsi="Times New Roman" w:cs="Times New Roman"/>
          <w:i/>
          <w:iCs/>
          <w:sz w:val="24"/>
          <w:szCs w:val="24"/>
        </w:rPr>
        <w:t>Tuta</w:t>
      </w:r>
      <w:proofErr w:type="spellEnd"/>
      <w:r w:rsidRPr="00396E58">
        <w:rPr>
          <w:rFonts w:ascii="Times New Roman" w:eastAsia="Times New Roman" w:hAnsi="Times New Roman" w:cs="Times New Roman"/>
          <w:i/>
          <w:iCs/>
          <w:sz w:val="24"/>
          <w:szCs w:val="24"/>
        </w:rPr>
        <w:t xml:space="preserve"> </w:t>
      </w:r>
      <w:proofErr w:type="spellStart"/>
      <w:r w:rsidRPr="00396E58">
        <w:rPr>
          <w:rFonts w:ascii="Times New Roman" w:eastAsia="Times New Roman" w:hAnsi="Times New Roman" w:cs="Times New Roman"/>
          <w:i/>
          <w:iCs/>
          <w:sz w:val="24"/>
          <w:szCs w:val="24"/>
        </w:rPr>
        <w:t>absoluta</w:t>
      </w:r>
      <w:proofErr w:type="spellEnd"/>
      <w:r w:rsidRPr="00396E58">
        <w:rPr>
          <w:rFonts w:ascii="Times New Roman" w:eastAsia="Times New Roman" w:hAnsi="Times New Roman" w:cs="Times New Roman"/>
          <w:sz w:val="24"/>
          <w:szCs w:val="24"/>
        </w:rPr>
        <w:t xml:space="preserve"> under different temperature regimes. </w:t>
      </w:r>
      <w:r w:rsidRPr="00396E58">
        <w:rPr>
          <w:rFonts w:ascii="Times New Roman" w:eastAsia="Times New Roman" w:hAnsi="Times New Roman" w:cs="Times New Roman"/>
          <w:i/>
          <w:iCs/>
          <w:sz w:val="24"/>
          <w:szCs w:val="24"/>
        </w:rPr>
        <w:t>Environmental Entomology</w:t>
      </w:r>
      <w:r w:rsidRPr="00396E58">
        <w:rPr>
          <w:rFonts w:ascii="Times New Roman" w:eastAsia="Times New Roman" w:hAnsi="Times New Roman" w:cs="Times New Roman"/>
          <w:sz w:val="24"/>
          <w:szCs w:val="24"/>
        </w:rPr>
        <w:t>, 44(3), 587–599. https://doi.org/10.1093/ee/nvv032</w:t>
      </w:r>
    </w:p>
    <w:p w14:paraId="0906003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Faulwetter</w:t>
      </w:r>
      <w:proofErr w:type="spellEnd"/>
      <w:r w:rsidRPr="00396E58">
        <w:rPr>
          <w:rFonts w:ascii="Times New Roman" w:eastAsia="Times New Roman" w:hAnsi="Times New Roman" w:cs="Times New Roman"/>
          <w:sz w:val="24"/>
          <w:szCs w:val="24"/>
        </w:rPr>
        <w:t xml:space="preserve">, S., Vasileiadou, A., </w:t>
      </w:r>
      <w:proofErr w:type="spellStart"/>
      <w:r w:rsidRPr="00396E58">
        <w:rPr>
          <w:rFonts w:ascii="Times New Roman" w:eastAsia="Times New Roman" w:hAnsi="Times New Roman" w:cs="Times New Roman"/>
          <w:sz w:val="24"/>
          <w:szCs w:val="24"/>
        </w:rPr>
        <w:t>Kouratoras</w:t>
      </w:r>
      <w:proofErr w:type="spellEnd"/>
      <w:r w:rsidRPr="00396E58">
        <w:rPr>
          <w:rFonts w:ascii="Times New Roman" w:eastAsia="Times New Roman" w:hAnsi="Times New Roman" w:cs="Times New Roman"/>
          <w:sz w:val="24"/>
          <w:szCs w:val="24"/>
        </w:rPr>
        <w:t xml:space="preserve">, M., </w:t>
      </w:r>
      <w:proofErr w:type="spellStart"/>
      <w:r w:rsidRPr="00396E58">
        <w:rPr>
          <w:rFonts w:ascii="Times New Roman" w:eastAsia="Times New Roman" w:hAnsi="Times New Roman" w:cs="Times New Roman"/>
          <w:sz w:val="24"/>
          <w:szCs w:val="24"/>
        </w:rPr>
        <w:t>Dailianis</w:t>
      </w:r>
      <w:proofErr w:type="spellEnd"/>
      <w:r w:rsidRPr="00396E58">
        <w:rPr>
          <w:rFonts w:ascii="Times New Roman" w:eastAsia="Times New Roman" w:hAnsi="Times New Roman" w:cs="Times New Roman"/>
          <w:sz w:val="24"/>
          <w:szCs w:val="24"/>
        </w:rPr>
        <w:t xml:space="preserve">, T., &amp; Arvanitidis, C. (2013). Micro-computed tomography: Introducing new dimensions to taxonomy. </w:t>
      </w:r>
      <w:proofErr w:type="spellStart"/>
      <w:r w:rsidRPr="00396E58">
        <w:rPr>
          <w:rFonts w:ascii="Times New Roman" w:eastAsia="Times New Roman" w:hAnsi="Times New Roman" w:cs="Times New Roman"/>
          <w:i/>
          <w:iCs/>
          <w:sz w:val="24"/>
          <w:szCs w:val="24"/>
        </w:rPr>
        <w:t>ZooKeys</w:t>
      </w:r>
      <w:proofErr w:type="spellEnd"/>
      <w:r w:rsidRPr="00396E58">
        <w:rPr>
          <w:rFonts w:ascii="Times New Roman" w:eastAsia="Times New Roman" w:hAnsi="Times New Roman" w:cs="Times New Roman"/>
          <w:sz w:val="24"/>
          <w:szCs w:val="24"/>
        </w:rPr>
        <w:t>, 263, 1–45. https://doi.org/10.3897/zookeys.263.4261</w:t>
      </w:r>
    </w:p>
    <w:p w14:paraId="46429C9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Flint, M. L., &amp; Gouveia, P. (2001). </w:t>
      </w:r>
      <w:r w:rsidRPr="00396E58">
        <w:rPr>
          <w:rFonts w:ascii="Times New Roman" w:eastAsia="Times New Roman" w:hAnsi="Times New Roman" w:cs="Times New Roman"/>
          <w:i/>
          <w:iCs/>
          <w:sz w:val="24"/>
          <w:szCs w:val="24"/>
        </w:rPr>
        <w:t>IPM in Practice: Principles and Methods of Integrated Pest Management</w:t>
      </w:r>
      <w:r w:rsidRPr="00396E58">
        <w:rPr>
          <w:rFonts w:ascii="Times New Roman" w:eastAsia="Times New Roman" w:hAnsi="Times New Roman" w:cs="Times New Roman"/>
          <w:sz w:val="24"/>
          <w:szCs w:val="24"/>
        </w:rPr>
        <w:t>. University of California Agriculture and Natural Resources.</w:t>
      </w:r>
    </w:p>
    <w:p w14:paraId="047D19B5"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Ghosh, A., &amp; Rao, R. (2023). Barriers to ICT Integration in Agricultural Education. </w:t>
      </w:r>
      <w:r w:rsidRPr="00396E58">
        <w:rPr>
          <w:rStyle w:val="Emphasis"/>
          <w:rFonts w:ascii="Times New Roman" w:hAnsi="Times New Roman" w:cs="Times New Roman"/>
          <w:sz w:val="24"/>
          <w:szCs w:val="24"/>
        </w:rPr>
        <w:t>Asian Journal of Agricultural Extension</w:t>
      </w:r>
      <w:r w:rsidRPr="00396E58">
        <w:rPr>
          <w:rFonts w:ascii="Times New Roman" w:hAnsi="Times New Roman" w:cs="Times New Roman"/>
          <w:sz w:val="24"/>
          <w:szCs w:val="24"/>
        </w:rPr>
        <w:t>, 17(1), 78–91.</w:t>
      </w:r>
    </w:p>
    <w:p w14:paraId="4E4FDC9D"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t xml:space="preserve">González-González, C., Infante-Moro, J. C., &amp; Infante-Moro, A. (2020). Implementation of E-learning in Higher Education: The case of LMS integration in science-based disciplines. </w:t>
      </w:r>
      <w:r w:rsidRPr="00396E58">
        <w:rPr>
          <w:rFonts w:ascii="Times New Roman" w:eastAsia="Times New Roman" w:hAnsi="Times New Roman" w:cs="Times New Roman"/>
          <w:i/>
          <w:iCs/>
          <w:sz w:val="24"/>
          <w:szCs w:val="24"/>
        </w:rPr>
        <w:t>Journal of e-Learning and Higher Education</w:t>
      </w:r>
      <w:r w:rsidRPr="0000324B">
        <w:rPr>
          <w:rFonts w:ascii="Times New Roman" w:eastAsia="Times New Roman" w:hAnsi="Times New Roman" w:cs="Times New Roman"/>
          <w:sz w:val="24"/>
          <w:szCs w:val="24"/>
        </w:rPr>
        <w:t>, Article ID 889889.</w:t>
      </w:r>
    </w:p>
    <w:p w14:paraId="68CF6526"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Greco, M. K., Lambiase, S., &amp; Vaccaro, C. (2020). Enhancing taxonomy and morphological training with 3D technologies. </w:t>
      </w:r>
      <w:r w:rsidRPr="00396E58">
        <w:rPr>
          <w:rFonts w:ascii="Times New Roman" w:eastAsia="Times New Roman" w:hAnsi="Times New Roman" w:cs="Times New Roman"/>
          <w:i/>
          <w:iCs/>
          <w:sz w:val="24"/>
          <w:szCs w:val="24"/>
        </w:rPr>
        <w:t>Journal of Biological Education</w:t>
      </w:r>
      <w:r w:rsidRPr="00396E58">
        <w:rPr>
          <w:rFonts w:ascii="Times New Roman" w:eastAsia="Times New Roman" w:hAnsi="Times New Roman" w:cs="Times New Roman"/>
          <w:sz w:val="24"/>
          <w:szCs w:val="24"/>
        </w:rPr>
        <w:t>, 54(3), 233–241. https://doi.org/10.1080/00219266.2019.1606695</w:t>
      </w:r>
    </w:p>
    <w:p w14:paraId="7768552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lastRenderedPageBreak/>
        <w:t xml:space="preserve">Gurcan, M. N., Boucheron, L. E., Can, A., </w:t>
      </w:r>
      <w:proofErr w:type="spellStart"/>
      <w:r w:rsidRPr="00396E58">
        <w:rPr>
          <w:rFonts w:ascii="Times New Roman" w:eastAsia="Times New Roman" w:hAnsi="Times New Roman" w:cs="Times New Roman"/>
          <w:sz w:val="24"/>
          <w:szCs w:val="24"/>
        </w:rPr>
        <w:t>Madabhushi</w:t>
      </w:r>
      <w:proofErr w:type="spellEnd"/>
      <w:r w:rsidRPr="00396E58">
        <w:rPr>
          <w:rFonts w:ascii="Times New Roman" w:eastAsia="Times New Roman" w:hAnsi="Times New Roman" w:cs="Times New Roman"/>
          <w:sz w:val="24"/>
          <w:szCs w:val="24"/>
        </w:rPr>
        <w:t xml:space="preserve">, A., Rajpoot, N. M., &amp; Yener, B. (2009). Histopathological Image Analysis: A review. </w:t>
      </w:r>
      <w:r w:rsidRPr="00396E58">
        <w:rPr>
          <w:rFonts w:ascii="Times New Roman" w:eastAsia="Times New Roman" w:hAnsi="Times New Roman" w:cs="Times New Roman"/>
          <w:i/>
          <w:iCs/>
          <w:sz w:val="24"/>
          <w:szCs w:val="24"/>
        </w:rPr>
        <w:t>IEEE Reviews in Biomedical Engineering</w:t>
      </w:r>
      <w:r w:rsidRPr="00396E58">
        <w:rPr>
          <w:rFonts w:ascii="Times New Roman" w:eastAsia="Times New Roman" w:hAnsi="Times New Roman" w:cs="Times New Roman"/>
          <w:sz w:val="24"/>
          <w:szCs w:val="24"/>
        </w:rPr>
        <w:t>, 2, 147–171. https://doi.org/10.1109/RBME.2009.2034865</w:t>
      </w:r>
    </w:p>
    <w:p w14:paraId="78974D52" w14:textId="77777777" w:rsidR="005D50EF" w:rsidRDefault="005D50EF" w:rsidP="005D50EF">
      <w:pPr>
        <w:spacing w:after="0" w:line="360" w:lineRule="auto"/>
        <w:ind w:left="1620" w:hanging="1620"/>
        <w:jc w:val="both"/>
        <w:rPr>
          <w:rFonts w:ascii="Times New Roman" w:hAnsi="Times New Roman" w:cs="Times New Roman"/>
          <w:sz w:val="24"/>
          <w:szCs w:val="24"/>
        </w:rPr>
      </w:pPr>
      <w:proofErr w:type="spellStart"/>
      <w:r w:rsidRPr="00396E58">
        <w:rPr>
          <w:rFonts w:ascii="Times New Roman" w:hAnsi="Times New Roman" w:cs="Times New Roman"/>
          <w:sz w:val="24"/>
          <w:szCs w:val="24"/>
        </w:rPr>
        <w:t>Guri-Rosenblit</w:t>
      </w:r>
      <w:proofErr w:type="spellEnd"/>
      <w:r w:rsidRPr="00396E58">
        <w:rPr>
          <w:rFonts w:ascii="Times New Roman" w:hAnsi="Times New Roman" w:cs="Times New Roman"/>
          <w:sz w:val="24"/>
          <w:szCs w:val="24"/>
        </w:rPr>
        <w:t xml:space="preserve">, S. (2005). ‘Distance education’ and ‘e-learning’: Not the same thing. </w:t>
      </w:r>
      <w:r w:rsidRPr="00396E58">
        <w:rPr>
          <w:rStyle w:val="Emphasis"/>
          <w:rFonts w:ascii="Times New Roman" w:hAnsi="Times New Roman" w:cs="Times New Roman"/>
          <w:sz w:val="24"/>
          <w:szCs w:val="24"/>
        </w:rPr>
        <w:t>The International Review of Research in Open and Distributed Learning</w:t>
      </w:r>
      <w:r w:rsidRPr="00396E58">
        <w:rPr>
          <w:rFonts w:ascii="Times New Roman" w:hAnsi="Times New Roman" w:cs="Times New Roman"/>
          <w:sz w:val="24"/>
          <w:szCs w:val="24"/>
        </w:rPr>
        <w:t>, 6(2).</w:t>
      </w:r>
    </w:p>
    <w:p w14:paraId="5F7E3DB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Hamari, J., Koivisto, J., &amp; Sarsa, H. (2014). Does gamification work?—A literature review of empirical studies on gamification. In </w:t>
      </w:r>
      <w:r w:rsidRPr="00396E58">
        <w:rPr>
          <w:rFonts w:ascii="Times New Roman" w:eastAsia="Times New Roman" w:hAnsi="Times New Roman" w:cs="Times New Roman"/>
          <w:i/>
          <w:iCs/>
          <w:sz w:val="24"/>
          <w:szCs w:val="24"/>
        </w:rPr>
        <w:t>Proceedings of the 47th Hawaii International Conference on System Sciences</w:t>
      </w:r>
      <w:r w:rsidRPr="00396E58">
        <w:rPr>
          <w:rFonts w:ascii="Times New Roman" w:eastAsia="Times New Roman" w:hAnsi="Times New Roman" w:cs="Times New Roman"/>
          <w:sz w:val="24"/>
          <w:szCs w:val="24"/>
        </w:rPr>
        <w:t xml:space="preserve"> (pp. 3025–3034). IEEE.</w:t>
      </w:r>
    </w:p>
    <w:p w14:paraId="0913A51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Hanna, M. G., </w:t>
      </w:r>
      <w:proofErr w:type="spellStart"/>
      <w:r w:rsidRPr="00396E58">
        <w:rPr>
          <w:rFonts w:ascii="Times New Roman" w:eastAsia="Times New Roman" w:hAnsi="Times New Roman" w:cs="Times New Roman"/>
          <w:sz w:val="24"/>
          <w:szCs w:val="24"/>
        </w:rPr>
        <w:t>Pantanowitz</w:t>
      </w:r>
      <w:proofErr w:type="spellEnd"/>
      <w:r w:rsidRPr="00396E58">
        <w:rPr>
          <w:rFonts w:ascii="Times New Roman" w:eastAsia="Times New Roman" w:hAnsi="Times New Roman" w:cs="Times New Roman"/>
          <w:sz w:val="24"/>
          <w:szCs w:val="24"/>
        </w:rPr>
        <w:t xml:space="preserve">, L., &amp; Evans, A. J. (2015). Overview of contemporary digital pathology systems. </w:t>
      </w:r>
      <w:r w:rsidRPr="00396E58">
        <w:rPr>
          <w:rFonts w:ascii="Times New Roman" w:eastAsia="Times New Roman" w:hAnsi="Times New Roman" w:cs="Times New Roman"/>
          <w:i/>
          <w:iCs/>
          <w:sz w:val="24"/>
          <w:szCs w:val="24"/>
        </w:rPr>
        <w:t>Archives of Pathology &amp; Laboratory Medicine</w:t>
      </w:r>
      <w:r w:rsidRPr="00396E58">
        <w:rPr>
          <w:rFonts w:ascii="Times New Roman" w:eastAsia="Times New Roman" w:hAnsi="Times New Roman" w:cs="Times New Roman"/>
          <w:sz w:val="24"/>
          <w:szCs w:val="24"/>
        </w:rPr>
        <w:t>, 139(2), 157–167. https://doi.org/10.5858/arpa.2014-0267-RA</w:t>
      </w:r>
    </w:p>
    <w:p w14:paraId="51B097D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Hardisty, A., &amp; Roberts, D. (2013). A decadal view of biodiversity informatics: Challenges and priorities. </w:t>
      </w:r>
      <w:r w:rsidRPr="00396E58">
        <w:rPr>
          <w:rFonts w:ascii="Times New Roman" w:eastAsia="Times New Roman" w:hAnsi="Times New Roman" w:cs="Times New Roman"/>
          <w:i/>
          <w:iCs/>
          <w:sz w:val="24"/>
          <w:szCs w:val="24"/>
        </w:rPr>
        <w:t>BMC Ecology</w:t>
      </w:r>
      <w:r w:rsidRPr="00396E58">
        <w:rPr>
          <w:rFonts w:ascii="Times New Roman" w:eastAsia="Times New Roman" w:hAnsi="Times New Roman" w:cs="Times New Roman"/>
          <w:sz w:val="24"/>
          <w:szCs w:val="24"/>
        </w:rPr>
        <w:t>, 13(1), 16. https://doi.org/10.1186/1472-6785-13-16</w:t>
      </w:r>
    </w:p>
    <w:p w14:paraId="7EBD7641"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Hebert, P. D. N., et al. (2016). DNA Barcoding and Its Applications in Entomology. </w:t>
      </w:r>
      <w:r w:rsidRPr="00396E58">
        <w:rPr>
          <w:rStyle w:val="Emphasis"/>
          <w:rFonts w:ascii="Times New Roman" w:hAnsi="Times New Roman" w:cs="Times New Roman"/>
          <w:sz w:val="24"/>
          <w:szCs w:val="24"/>
        </w:rPr>
        <w:t>Annual Review of Entomology</w:t>
      </w:r>
      <w:r w:rsidRPr="00396E58">
        <w:rPr>
          <w:rFonts w:ascii="Times New Roman" w:hAnsi="Times New Roman" w:cs="Times New Roman"/>
          <w:sz w:val="24"/>
          <w:szCs w:val="24"/>
        </w:rPr>
        <w:t>, 61, 485–507.</w:t>
      </w:r>
    </w:p>
    <w:p w14:paraId="456E9E70"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Hernandez, J. et al. (2017). Visualization of Insect Morphology Using 3D Models. </w:t>
      </w:r>
      <w:r w:rsidRPr="00396E58">
        <w:rPr>
          <w:rStyle w:val="Emphasis"/>
          <w:rFonts w:ascii="Times New Roman" w:hAnsi="Times New Roman" w:cs="Times New Roman"/>
          <w:sz w:val="24"/>
          <w:szCs w:val="24"/>
        </w:rPr>
        <w:t>Computers &amp; Education</w:t>
      </w:r>
      <w:r w:rsidRPr="00396E58">
        <w:rPr>
          <w:rFonts w:ascii="Times New Roman" w:hAnsi="Times New Roman" w:cs="Times New Roman"/>
          <w:sz w:val="24"/>
          <w:szCs w:val="24"/>
        </w:rPr>
        <w:t>, 113, 111–123.</w:t>
      </w:r>
    </w:p>
    <w:p w14:paraId="3FC10E39"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Hew, K. F., Huang, B., Chu, K. W. S., &amp; Chiu, D. K. W. (2020). Engaging Asian students through game mechanics: Findings from a gamified learning system.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133, 1–14. https://doi.org/10.1016/j.compedu.2019.103527</w:t>
      </w:r>
    </w:p>
    <w:p w14:paraId="6C4B6AE2"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Hollands, F. M., &amp; </w:t>
      </w:r>
      <w:proofErr w:type="spellStart"/>
      <w:r w:rsidRPr="00396E58">
        <w:rPr>
          <w:rFonts w:ascii="Times New Roman" w:hAnsi="Times New Roman" w:cs="Times New Roman"/>
          <w:sz w:val="24"/>
          <w:szCs w:val="24"/>
        </w:rPr>
        <w:t>Tirthali</w:t>
      </w:r>
      <w:proofErr w:type="spellEnd"/>
      <w:r w:rsidRPr="00396E58">
        <w:rPr>
          <w:rFonts w:ascii="Times New Roman" w:hAnsi="Times New Roman" w:cs="Times New Roman"/>
          <w:sz w:val="24"/>
          <w:szCs w:val="24"/>
        </w:rPr>
        <w:t xml:space="preserve">, D. (2014). MOOCs: Expectations and Reality. </w:t>
      </w:r>
      <w:r w:rsidRPr="00396E58">
        <w:rPr>
          <w:rStyle w:val="Emphasis"/>
          <w:rFonts w:ascii="Times New Roman" w:hAnsi="Times New Roman" w:cs="Times New Roman"/>
          <w:sz w:val="24"/>
          <w:szCs w:val="24"/>
        </w:rPr>
        <w:t>Center for Benefit-Cost Studies of Education, Teachers College, Columbia University</w:t>
      </w:r>
      <w:r w:rsidRPr="00396E58">
        <w:rPr>
          <w:rFonts w:ascii="Times New Roman" w:hAnsi="Times New Roman" w:cs="Times New Roman"/>
          <w:sz w:val="24"/>
          <w:szCs w:val="24"/>
        </w:rPr>
        <w:t>.</w:t>
      </w:r>
    </w:p>
    <w:p w14:paraId="2450599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Johnson, N. F., et al. (2008). Biodiversity informatics and the need for digital specimen data. </w:t>
      </w:r>
      <w:r w:rsidRPr="00396E58">
        <w:rPr>
          <w:rFonts w:ascii="Times New Roman" w:eastAsia="Times New Roman" w:hAnsi="Times New Roman" w:cs="Times New Roman"/>
          <w:i/>
          <w:iCs/>
          <w:sz w:val="24"/>
          <w:szCs w:val="24"/>
        </w:rPr>
        <w:t>Science</w:t>
      </w:r>
      <w:r w:rsidRPr="00396E58">
        <w:rPr>
          <w:rFonts w:ascii="Times New Roman" w:eastAsia="Times New Roman" w:hAnsi="Times New Roman" w:cs="Times New Roman"/>
          <w:sz w:val="24"/>
          <w:szCs w:val="24"/>
        </w:rPr>
        <w:t>, 322(5899), 1036–1037. https://doi.org/10.1126/science.1163883</w:t>
      </w:r>
    </w:p>
    <w:p w14:paraId="3988ADB9"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Jones, B. M., Haag, M., &amp; Dickinson, M. H. (2017). The control of flight behavior in Drosophila using virtual reality. </w:t>
      </w:r>
      <w:r w:rsidRPr="00396E58">
        <w:rPr>
          <w:rFonts w:ascii="Times New Roman" w:eastAsia="Times New Roman" w:hAnsi="Times New Roman" w:cs="Times New Roman"/>
          <w:i/>
          <w:iCs/>
          <w:sz w:val="24"/>
          <w:szCs w:val="24"/>
        </w:rPr>
        <w:t>Journal of Experimental Biology</w:t>
      </w:r>
      <w:r w:rsidRPr="00396E58">
        <w:rPr>
          <w:rFonts w:ascii="Times New Roman" w:eastAsia="Times New Roman" w:hAnsi="Times New Roman" w:cs="Times New Roman"/>
          <w:sz w:val="24"/>
          <w:szCs w:val="24"/>
        </w:rPr>
        <w:t>, 220(5), 773–784. https://doi.org/10.1242/jeb.152058</w:t>
      </w:r>
    </w:p>
    <w:p w14:paraId="4B7D65D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Kogan, M. (1998). Integrated Pest Management: Historical perspectives and contemporary developments. </w:t>
      </w:r>
      <w:r w:rsidRPr="00396E58">
        <w:rPr>
          <w:rFonts w:ascii="Times New Roman" w:eastAsia="Times New Roman" w:hAnsi="Times New Roman" w:cs="Times New Roman"/>
          <w:i/>
          <w:iCs/>
          <w:sz w:val="24"/>
          <w:szCs w:val="24"/>
        </w:rPr>
        <w:t>Annual Review of Entomology</w:t>
      </w:r>
      <w:r w:rsidRPr="00396E58">
        <w:rPr>
          <w:rFonts w:ascii="Times New Roman" w:eastAsia="Times New Roman" w:hAnsi="Times New Roman" w:cs="Times New Roman"/>
          <w:sz w:val="24"/>
          <w:szCs w:val="24"/>
        </w:rPr>
        <w:t>, 43, 243–270. https://doi.org/10.1146/annurev.ento.43.1.243</w:t>
      </w:r>
    </w:p>
    <w:p w14:paraId="24B844C4"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lastRenderedPageBreak/>
        <w:t xml:space="preserve">Kumar, R., &amp; Varghese, A. (2020). MOOCs in Insect Science: Indian Initiatives. </w:t>
      </w:r>
      <w:r w:rsidRPr="00396E58">
        <w:rPr>
          <w:rStyle w:val="Emphasis"/>
          <w:rFonts w:ascii="Times New Roman" w:hAnsi="Times New Roman" w:cs="Times New Roman"/>
          <w:sz w:val="24"/>
          <w:szCs w:val="24"/>
        </w:rPr>
        <w:t>Open Learning Journal</w:t>
      </w:r>
      <w:r w:rsidRPr="00396E58">
        <w:rPr>
          <w:rFonts w:ascii="Times New Roman" w:hAnsi="Times New Roman" w:cs="Times New Roman"/>
          <w:sz w:val="24"/>
          <w:szCs w:val="24"/>
        </w:rPr>
        <w:t>, 35(2), 213–226.</w:t>
      </w:r>
    </w:p>
    <w:p w14:paraId="4C32E95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t xml:space="preserve">Kumar, V., &amp; Panda, S. (2021). SWAYAM MOOCs for Teacher Education in India: Analysis of Curriculum Design and Implementation. </w:t>
      </w:r>
      <w:r w:rsidRPr="00396E58">
        <w:rPr>
          <w:rFonts w:ascii="Times New Roman" w:eastAsia="Times New Roman" w:hAnsi="Times New Roman" w:cs="Times New Roman"/>
          <w:i/>
          <w:iCs/>
          <w:sz w:val="24"/>
          <w:szCs w:val="24"/>
        </w:rPr>
        <w:t>Asian Journal of Distance Education</w:t>
      </w:r>
      <w:r w:rsidRPr="0000324B">
        <w:rPr>
          <w:rFonts w:ascii="Times New Roman" w:eastAsia="Times New Roman" w:hAnsi="Times New Roman" w:cs="Times New Roman"/>
          <w:sz w:val="24"/>
          <w:szCs w:val="24"/>
        </w:rPr>
        <w:t>, 16(2), 1–16.</w:t>
      </w:r>
    </w:p>
    <w:p w14:paraId="582FB70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Lee, K. (2012). Augmented Reality in Education and Training. </w:t>
      </w:r>
      <w:proofErr w:type="spellStart"/>
      <w:r w:rsidRPr="00396E58">
        <w:rPr>
          <w:rFonts w:ascii="Times New Roman" w:eastAsia="Times New Roman" w:hAnsi="Times New Roman" w:cs="Times New Roman"/>
          <w:i/>
          <w:iCs/>
          <w:sz w:val="24"/>
          <w:szCs w:val="24"/>
        </w:rPr>
        <w:t>TechTrends</w:t>
      </w:r>
      <w:proofErr w:type="spellEnd"/>
      <w:r w:rsidRPr="00396E58">
        <w:rPr>
          <w:rFonts w:ascii="Times New Roman" w:eastAsia="Times New Roman" w:hAnsi="Times New Roman" w:cs="Times New Roman"/>
          <w:sz w:val="24"/>
          <w:szCs w:val="24"/>
        </w:rPr>
        <w:t>, 56(2), 13–21. https://doi.org/10.1007/s11528-012-0559-3</w:t>
      </w:r>
    </w:p>
    <w:p w14:paraId="398C84DE"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Lehmann, J., Held, M., &amp; Vollmar, A. (2021). Field data collection in biodiversity research: Evaluating mobile solutions for scientific workflows. </w:t>
      </w:r>
      <w:r w:rsidRPr="00396E58">
        <w:rPr>
          <w:rFonts w:ascii="Times New Roman" w:eastAsia="Times New Roman" w:hAnsi="Times New Roman" w:cs="Times New Roman"/>
          <w:i/>
          <w:iCs/>
          <w:sz w:val="24"/>
          <w:szCs w:val="24"/>
        </w:rPr>
        <w:t>Biodiversity Data Journal</w:t>
      </w:r>
      <w:r w:rsidRPr="00396E58">
        <w:rPr>
          <w:rFonts w:ascii="Times New Roman" w:eastAsia="Times New Roman" w:hAnsi="Times New Roman" w:cs="Times New Roman"/>
          <w:sz w:val="24"/>
          <w:szCs w:val="24"/>
        </w:rPr>
        <w:t>, 9, e65300. https://doi.org/10.3897/BDJ.9.e65300</w:t>
      </w:r>
    </w:p>
    <w:p w14:paraId="5ED21AE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t xml:space="preserve">Liu, D., Bhagat, K. K., Gao, Y., Chang, T. W., &amp; Huang, R. (2020). The Potentials and Challenges of Augmented Reality in Science Education: A systematic review. </w:t>
      </w:r>
      <w:r w:rsidRPr="00396E58">
        <w:rPr>
          <w:rFonts w:ascii="Times New Roman" w:eastAsia="Times New Roman" w:hAnsi="Times New Roman" w:cs="Times New Roman"/>
          <w:i/>
          <w:iCs/>
          <w:sz w:val="24"/>
          <w:szCs w:val="24"/>
        </w:rPr>
        <w:t>Interactive Learning Environments</w:t>
      </w:r>
      <w:r w:rsidRPr="0000324B">
        <w:rPr>
          <w:rFonts w:ascii="Times New Roman" w:eastAsia="Times New Roman" w:hAnsi="Times New Roman" w:cs="Times New Roman"/>
          <w:sz w:val="24"/>
          <w:szCs w:val="24"/>
        </w:rPr>
        <w:t>, 28(5), 593–611.</w:t>
      </w:r>
    </w:p>
    <w:p w14:paraId="3D5E0899" w14:textId="77777777" w:rsidR="005D50EF" w:rsidRDefault="005D50EF" w:rsidP="005D50EF">
      <w:pPr>
        <w:spacing w:after="0" w:line="360" w:lineRule="auto"/>
        <w:ind w:left="1620" w:hanging="1620"/>
        <w:jc w:val="both"/>
        <w:rPr>
          <w:rFonts w:ascii="Times New Roman" w:hAnsi="Times New Roman" w:cs="Times New Roman"/>
          <w:sz w:val="24"/>
          <w:szCs w:val="24"/>
        </w:rPr>
      </w:pPr>
      <w:proofErr w:type="spellStart"/>
      <w:r w:rsidRPr="00396E58">
        <w:rPr>
          <w:rFonts w:ascii="Times New Roman" w:hAnsi="Times New Roman" w:cs="Times New Roman"/>
          <w:sz w:val="24"/>
          <w:szCs w:val="24"/>
        </w:rPr>
        <w:t>Liyanagunawardena</w:t>
      </w:r>
      <w:proofErr w:type="spellEnd"/>
      <w:r w:rsidRPr="00396E58">
        <w:rPr>
          <w:rFonts w:ascii="Times New Roman" w:hAnsi="Times New Roman" w:cs="Times New Roman"/>
          <w:sz w:val="24"/>
          <w:szCs w:val="24"/>
        </w:rPr>
        <w:t xml:space="preserve">, T. R., Adams, A. A., &amp; Williams, S. A. (2013). MOOCs: A systematic study of the published literature 2008–2012. </w:t>
      </w:r>
      <w:r w:rsidRPr="00396E58">
        <w:rPr>
          <w:rStyle w:val="Emphasis"/>
          <w:rFonts w:ascii="Times New Roman" w:hAnsi="Times New Roman" w:cs="Times New Roman"/>
          <w:sz w:val="24"/>
          <w:szCs w:val="24"/>
        </w:rPr>
        <w:t>The International Review of Research in Open and Distributed Learning</w:t>
      </w:r>
      <w:r w:rsidRPr="00396E58">
        <w:rPr>
          <w:rFonts w:ascii="Times New Roman" w:hAnsi="Times New Roman" w:cs="Times New Roman"/>
          <w:sz w:val="24"/>
          <w:szCs w:val="24"/>
        </w:rPr>
        <w:t>, 14(3), 202–227.</w:t>
      </w:r>
    </w:p>
    <w:p w14:paraId="5B7CADC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Magarey, R. D., Seem, R. C., &amp; Russo, J. M. (2005). Decision support systems: Quenching the thirst. </w:t>
      </w:r>
      <w:r w:rsidRPr="00396E58">
        <w:rPr>
          <w:rFonts w:ascii="Times New Roman" w:eastAsia="Times New Roman" w:hAnsi="Times New Roman" w:cs="Times New Roman"/>
          <w:i/>
          <w:iCs/>
          <w:sz w:val="24"/>
          <w:szCs w:val="24"/>
        </w:rPr>
        <w:t>Plant Disease</w:t>
      </w:r>
      <w:r w:rsidRPr="00396E58">
        <w:rPr>
          <w:rFonts w:ascii="Times New Roman" w:eastAsia="Times New Roman" w:hAnsi="Times New Roman" w:cs="Times New Roman"/>
          <w:sz w:val="24"/>
          <w:szCs w:val="24"/>
        </w:rPr>
        <w:t>, 89(8), 746–759. https://doi.org/10.1094/PD-89-0746</w:t>
      </w:r>
    </w:p>
    <w:p w14:paraId="592356C0" w14:textId="77777777" w:rsidR="005D50EF" w:rsidRDefault="005D50EF" w:rsidP="005D50EF">
      <w:pPr>
        <w:spacing w:after="0" w:line="360" w:lineRule="auto"/>
        <w:ind w:left="1620" w:hanging="1620"/>
        <w:jc w:val="both"/>
        <w:rPr>
          <w:rFonts w:ascii="Times New Roman" w:hAnsi="Times New Roman" w:cs="Times New Roman"/>
          <w:sz w:val="24"/>
          <w:szCs w:val="24"/>
        </w:rPr>
      </w:pPr>
      <w:proofErr w:type="spellStart"/>
      <w:r w:rsidRPr="00396E58">
        <w:rPr>
          <w:rFonts w:ascii="Times New Roman" w:hAnsi="Times New Roman" w:cs="Times New Roman"/>
          <w:sz w:val="24"/>
          <w:szCs w:val="24"/>
        </w:rPr>
        <w:t>Makransky</w:t>
      </w:r>
      <w:proofErr w:type="spellEnd"/>
      <w:r w:rsidRPr="00396E58">
        <w:rPr>
          <w:rFonts w:ascii="Times New Roman" w:hAnsi="Times New Roman" w:cs="Times New Roman"/>
          <w:sz w:val="24"/>
          <w:szCs w:val="24"/>
        </w:rPr>
        <w:t xml:space="preserve">, G., Terkildsen, T. S., &amp; Mayer, R. E. (2019). Adding immersive virtual reality to a science lab simulation causes more presence but less learning. </w:t>
      </w:r>
      <w:r w:rsidRPr="00396E58">
        <w:rPr>
          <w:rStyle w:val="Emphasis"/>
          <w:rFonts w:ascii="Times New Roman" w:hAnsi="Times New Roman" w:cs="Times New Roman"/>
          <w:sz w:val="24"/>
          <w:szCs w:val="24"/>
        </w:rPr>
        <w:t>Learning and Instruction</w:t>
      </w:r>
      <w:r w:rsidRPr="00396E58">
        <w:rPr>
          <w:rFonts w:ascii="Times New Roman" w:hAnsi="Times New Roman" w:cs="Times New Roman"/>
          <w:sz w:val="24"/>
          <w:szCs w:val="24"/>
        </w:rPr>
        <w:t>, 60, 225–236.</w:t>
      </w:r>
    </w:p>
    <w:p w14:paraId="3BC3EB1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Merchant, Z., Goetz, E. T., Cifuentes, L., Keeney-Kennicutt, W., &amp; Davis, T. J. (2014). Effectiveness of virtual reality-based instruction on students' learning outcomes in K-12 and higher education: A meta-analysis.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70, 29–40. https://doi.org/10.1016/j.compedu.2013.07.033</w:t>
      </w:r>
    </w:p>
    <w:p w14:paraId="661E243F"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Miller, D. L., Miller, J., &amp; Cummings, K. (2020). Integrating digital microscopy in undergraduate entomology education. </w:t>
      </w:r>
      <w:r w:rsidRPr="00396E58">
        <w:rPr>
          <w:rStyle w:val="Emphasis"/>
          <w:rFonts w:ascii="Times New Roman" w:hAnsi="Times New Roman" w:cs="Times New Roman"/>
          <w:sz w:val="24"/>
          <w:szCs w:val="24"/>
        </w:rPr>
        <w:t>American Biology Teacher</w:t>
      </w:r>
      <w:r w:rsidRPr="00396E58">
        <w:rPr>
          <w:rFonts w:ascii="Times New Roman" w:hAnsi="Times New Roman" w:cs="Times New Roman"/>
          <w:sz w:val="24"/>
          <w:szCs w:val="24"/>
        </w:rPr>
        <w:t>, 82(5), 322–328.</w:t>
      </w:r>
    </w:p>
    <w:p w14:paraId="2D6177C1"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Mishra, S. (2020). Open Educational Resources in India: A country report. </w:t>
      </w:r>
      <w:r w:rsidRPr="00396E58">
        <w:rPr>
          <w:rStyle w:val="Emphasis"/>
          <w:rFonts w:ascii="Times New Roman" w:hAnsi="Times New Roman" w:cs="Times New Roman"/>
          <w:sz w:val="24"/>
          <w:szCs w:val="24"/>
        </w:rPr>
        <w:t>Commonwealth of Learning</w:t>
      </w:r>
      <w:r w:rsidRPr="00396E58">
        <w:rPr>
          <w:rFonts w:ascii="Times New Roman" w:hAnsi="Times New Roman" w:cs="Times New Roman"/>
          <w:sz w:val="24"/>
          <w:szCs w:val="24"/>
        </w:rPr>
        <w:t>, Vancouver.</w:t>
      </w:r>
    </w:p>
    <w:p w14:paraId="0F3BEC0D"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lastRenderedPageBreak/>
        <w:t xml:space="preserve">Mitra, S., &amp; Mishra, S. (2020). MOOCs in India: Emerging Trends. </w:t>
      </w:r>
      <w:r w:rsidRPr="00396E58">
        <w:rPr>
          <w:rStyle w:val="Emphasis"/>
          <w:rFonts w:ascii="Times New Roman" w:hAnsi="Times New Roman" w:cs="Times New Roman"/>
          <w:sz w:val="24"/>
          <w:szCs w:val="24"/>
        </w:rPr>
        <w:t>Asian Association of Open Universities Journal</w:t>
      </w:r>
      <w:r w:rsidRPr="00396E58">
        <w:rPr>
          <w:rFonts w:ascii="Times New Roman" w:hAnsi="Times New Roman" w:cs="Times New Roman"/>
          <w:sz w:val="24"/>
          <w:szCs w:val="24"/>
        </w:rPr>
        <w:t>, 15(1), 1–15.</w:t>
      </w:r>
    </w:p>
    <w:p w14:paraId="08DB6666"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Nakasone, H., Prakash, A., &amp; Sato, Y. (2019). Smart Agriculture Using Mobile Apps: Tools for pest identification and management. </w:t>
      </w:r>
      <w:r w:rsidRPr="00396E58">
        <w:rPr>
          <w:rFonts w:ascii="Times New Roman" w:eastAsia="Times New Roman" w:hAnsi="Times New Roman" w:cs="Times New Roman"/>
          <w:i/>
          <w:iCs/>
          <w:sz w:val="24"/>
          <w:szCs w:val="24"/>
        </w:rPr>
        <w:t>Journal of ICT for Development</w:t>
      </w:r>
      <w:r w:rsidRPr="00396E58">
        <w:rPr>
          <w:rFonts w:ascii="Times New Roman" w:eastAsia="Times New Roman" w:hAnsi="Times New Roman" w:cs="Times New Roman"/>
          <w:sz w:val="24"/>
          <w:szCs w:val="24"/>
        </w:rPr>
        <w:t>, 7(1), 55–64.</w:t>
      </w:r>
    </w:p>
    <w:p w14:paraId="63F408F4"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Page, R. D. M., </w:t>
      </w:r>
      <w:r w:rsidRPr="00396E58">
        <w:rPr>
          <w:rFonts w:ascii="Times New Roman" w:eastAsia="Times New Roman" w:hAnsi="Times New Roman" w:cs="Times New Roman"/>
          <w:i/>
          <w:iCs/>
          <w:sz w:val="24"/>
          <w:szCs w:val="24"/>
        </w:rPr>
        <w:t>et al.</w:t>
      </w:r>
      <w:r w:rsidRPr="00396E58">
        <w:rPr>
          <w:rFonts w:ascii="Times New Roman" w:eastAsia="Times New Roman" w:hAnsi="Times New Roman" w:cs="Times New Roman"/>
          <w:sz w:val="24"/>
          <w:szCs w:val="24"/>
        </w:rPr>
        <w:t xml:space="preserve"> (2015). Digitization of biodiversity collections reveals data gaps and provides education tools. </w:t>
      </w:r>
      <w:r w:rsidRPr="00396E58">
        <w:rPr>
          <w:rFonts w:ascii="Times New Roman" w:eastAsia="Times New Roman" w:hAnsi="Times New Roman" w:cs="Times New Roman"/>
          <w:i/>
          <w:iCs/>
          <w:sz w:val="24"/>
          <w:szCs w:val="24"/>
        </w:rPr>
        <w:t>PLOS Biology</w:t>
      </w:r>
      <w:r w:rsidRPr="00396E58">
        <w:rPr>
          <w:rFonts w:ascii="Times New Roman" w:eastAsia="Times New Roman" w:hAnsi="Times New Roman" w:cs="Times New Roman"/>
          <w:sz w:val="24"/>
          <w:szCs w:val="24"/>
        </w:rPr>
        <w:t>, 13(7), e1002224. https://doi.org/10.1371/journal.pbio.1002224</w:t>
      </w:r>
    </w:p>
    <w:p w14:paraId="240877C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Patterson, D. J., Cooper, J., Kirk, P. M., Pyle, R. L., &amp; Remsen, D. P. (2010). Names are key to the big new biology. </w:t>
      </w:r>
      <w:r w:rsidRPr="00396E58">
        <w:rPr>
          <w:rFonts w:ascii="Times New Roman" w:eastAsia="Times New Roman" w:hAnsi="Times New Roman" w:cs="Times New Roman"/>
          <w:i/>
          <w:iCs/>
          <w:sz w:val="24"/>
          <w:szCs w:val="24"/>
        </w:rPr>
        <w:t>Trends in Ecology &amp; Evolution</w:t>
      </w:r>
      <w:r w:rsidRPr="00396E58">
        <w:rPr>
          <w:rFonts w:ascii="Times New Roman" w:eastAsia="Times New Roman" w:hAnsi="Times New Roman" w:cs="Times New Roman"/>
          <w:sz w:val="24"/>
          <w:szCs w:val="24"/>
        </w:rPr>
        <w:t>, 25(12), 686–691. https://doi.org/10.1016/j.tree.2010.09.004</w:t>
      </w:r>
    </w:p>
    <w:p w14:paraId="73E889F3"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Pedigo, L. P., &amp; Rice, M. E. (2014). </w:t>
      </w:r>
      <w:r w:rsidRPr="00396E58">
        <w:rPr>
          <w:rFonts w:ascii="Times New Roman" w:eastAsia="Times New Roman" w:hAnsi="Times New Roman" w:cs="Times New Roman"/>
          <w:i/>
          <w:iCs/>
          <w:sz w:val="24"/>
          <w:szCs w:val="24"/>
        </w:rPr>
        <w:t>Entomology and Pest Management</w:t>
      </w:r>
      <w:r w:rsidRPr="00396E58">
        <w:rPr>
          <w:rFonts w:ascii="Times New Roman" w:eastAsia="Times New Roman" w:hAnsi="Times New Roman" w:cs="Times New Roman"/>
          <w:sz w:val="24"/>
          <w:szCs w:val="24"/>
        </w:rPr>
        <w:t xml:space="preserve"> (6th ed.). Waveland Press.</w:t>
      </w:r>
    </w:p>
    <w:p w14:paraId="3B011C00"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Perryman, L.-A., &amp; Coughlan, T. (2014). When Two Worlds Don’t Collide: Can social </w:t>
      </w:r>
      <w:proofErr w:type="spellStart"/>
      <w:r w:rsidRPr="00396E58">
        <w:rPr>
          <w:rFonts w:ascii="Times New Roman" w:hAnsi="Times New Roman" w:cs="Times New Roman"/>
          <w:sz w:val="24"/>
          <w:szCs w:val="24"/>
        </w:rPr>
        <w:t>curation</w:t>
      </w:r>
      <w:proofErr w:type="spellEnd"/>
      <w:r w:rsidRPr="00396E58">
        <w:rPr>
          <w:rFonts w:ascii="Times New Roman" w:hAnsi="Times New Roman" w:cs="Times New Roman"/>
          <w:sz w:val="24"/>
          <w:szCs w:val="24"/>
        </w:rPr>
        <w:t xml:space="preserve"> address the </w:t>
      </w:r>
      <w:proofErr w:type="spellStart"/>
      <w:r w:rsidRPr="00396E58">
        <w:rPr>
          <w:rFonts w:ascii="Times New Roman" w:hAnsi="Times New Roman" w:cs="Times New Roman"/>
          <w:sz w:val="24"/>
          <w:szCs w:val="24"/>
        </w:rPr>
        <w:t>marginalisation</w:t>
      </w:r>
      <w:proofErr w:type="spellEnd"/>
      <w:r w:rsidRPr="00396E58">
        <w:rPr>
          <w:rFonts w:ascii="Times New Roman" w:hAnsi="Times New Roman" w:cs="Times New Roman"/>
          <w:sz w:val="24"/>
          <w:szCs w:val="24"/>
        </w:rPr>
        <w:t xml:space="preserve"> of open educational practices and resources from outside academia? </w:t>
      </w:r>
      <w:r w:rsidRPr="00396E58">
        <w:rPr>
          <w:rStyle w:val="Emphasis"/>
          <w:rFonts w:ascii="Times New Roman" w:hAnsi="Times New Roman" w:cs="Times New Roman"/>
          <w:sz w:val="24"/>
          <w:szCs w:val="24"/>
        </w:rPr>
        <w:t>Journal of Interactive Media in Education</w:t>
      </w:r>
      <w:r w:rsidRPr="00396E58">
        <w:rPr>
          <w:rFonts w:ascii="Times New Roman" w:hAnsi="Times New Roman" w:cs="Times New Roman"/>
          <w:sz w:val="24"/>
          <w:szCs w:val="24"/>
        </w:rPr>
        <w:t>, 2014(2), Art. 3.</w:t>
      </w:r>
    </w:p>
    <w:p w14:paraId="349BF50E"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Radianti</w:t>
      </w:r>
      <w:proofErr w:type="spellEnd"/>
      <w:r w:rsidRPr="00396E58">
        <w:rPr>
          <w:rFonts w:ascii="Times New Roman" w:eastAsia="Times New Roman" w:hAnsi="Times New Roman" w:cs="Times New Roman"/>
          <w:sz w:val="24"/>
          <w:szCs w:val="24"/>
        </w:rPr>
        <w:t xml:space="preserve">, J., Majchrzak, T. A., Fromm, J., &amp; </w:t>
      </w:r>
      <w:proofErr w:type="spellStart"/>
      <w:r w:rsidRPr="00396E58">
        <w:rPr>
          <w:rFonts w:ascii="Times New Roman" w:eastAsia="Times New Roman" w:hAnsi="Times New Roman" w:cs="Times New Roman"/>
          <w:sz w:val="24"/>
          <w:szCs w:val="24"/>
        </w:rPr>
        <w:t>Wohlgenannt</w:t>
      </w:r>
      <w:proofErr w:type="spellEnd"/>
      <w:r w:rsidRPr="00396E58">
        <w:rPr>
          <w:rFonts w:ascii="Times New Roman" w:eastAsia="Times New Roman" w:hAnsi="Times New Roman" w:cs="Times New Roman"/>
          <w:sz w:val="24"/>
          <w:szCs w:val="24"/>
        </w:rPr>
        <w:t xml:space="preserve">, I. (2020). A systematic review of immersive virtual reality applications for higher education: Design elements, lessons learned, and research agenda.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147, 103778. https://doi.org/10.1016/j.compedu.2019.103778</w:t>
      </w:r>
    </w:p>
    <w:p w14:paraId="5E14F7B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Radianti</w:t>
      </w:r>
      <w:proofErr w:type="spellEnd"/>
      <w:r w:rsidRPr="00396E58">
        <w:rPr>
          <w:rFonts w:ascii="Times New Roman" w:eastAsia="Times New Roman" w:hAnsi="Times New Roman" w:cs="Times New Roman"/>
          <w:sz w:val="24"/>
          <w:szCs w:val="24"/>
        </w:rPr>
        <w:t xml:space="preserve">, J., Majchrzak, T. A., Fromm, J., &amp; </w:t>
      </w:r>
      <w:proofErr w:type="spellStart"/>
      <w:r w:rsidRPr="00396E58">
        <w:rPr>
          <w:rFonts w:ascii="Times New Roman" w:eastAsia="Times New Roman" w:hAnsi="Times New Roman" w:cs="Times New Roman"/>
          <w:sz w:val="24"/>
          <w:szCs w:val="24"/>
        </w:rPr>
        <w:t>Wohlgenannt</w:t>
      </w:r>
      <w:proofErr w:type="spellEnd"/>
      <w:r w:rsidRPr="00396E58">
        <w:rPr>
          <w:rFonts w:ascii="Times New Roman" w:eastAsia="Times New Roman" w:hAnsi="Times New Roman" w:cs="Times New Roman"/>
          <w:sz w:val="24"/>
          <w:szCs w:val="24"/>
        </w:rPr>
        <w:t xml:space="preserve">, I. (2020). A systematic review of immersive virtual reality applications for higher education: Design elements, lessons learned, and research agenda.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147, 103778. https://doi.org/10.1016/j.compedu.2019.103778</w:t>
      </w:r>
    </w:p>
    <w:p w14:paraId="6571362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Ratnasingham</w:t>
      </w:r>
      <w:proofErr w:type="spellEnd"/>
      <w:r w:rsidRPr="00396E58">
        <w:rPr>
          <w:rFonts w:ascii="Times New Roman" w:eastAsia="Times New Roman" w:hAnsi="Times New Roman" w:cs="Times New Roman"/>
          <w:sz w:val="24"/>
          <w:szCs w:val="24"/>
        </w:rPr>
        <w:t xml:space="preserve">, S., &amp; Hebert, P. D. N. (2007). BOLD: The Barcode of Life Data System. </w:t>
      </w:r>
      <w:r w:rsidRPr="00396E58">
        <w:rPr>
          <w:rFonts w:ascii="Times New Roman" w:eastAsia="Times New Roman" w:hAnsi="Times New Roman" w:cs="Times New Roman"/>
          <w:i/>
          <w:iCs/>
          <w:sz w:val="24"/>
          <w:szCs w:val="24"/>
        </w:rPr>
        <w:t>Molecular Ecology Notes</w:t>
      </w:r>
      <w:r w:rsidRPr="00396E58">
        <w:rPr>
          <w:rFonts w:ascii="Times New Roman" w:eastAsia="Times New Roman" w:hAnsi="Times New Roman" w:cs="Times New Roman"/>
          <w:sz w:val="24"/>
          <w:szCs w:val="24"/>
        </w:rPr>
        <w:t>, 7(3), 355–364. https://doi.org/10.1111/j.1471-8286.2007.01678.x</w:t>
      </w:r>
    </w:p>
    <w:p w14:paraId="4338236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t xml:space="preserve">Ratnayake, H., Karunanayake, D., &amp; Dissanayake, D. (2022). Enhancing Entomology Education Through OER-Integrated LMS Platforms: A case study. </w:t>
      </w:r>
      <w:r w:rsidRPr="00396E58">
        <w:rPr>
          <w:rFonts w:ascii="Times New Roman" w:eastAsia="Times New Roman" w:hAnsi="Times New Roman" w:cs="Times New Roman"/>
          <w:i/>
          <w:iCs/>
          <w:sz w:val="24"/>
          <w:szCs w:val="24"/>
        </w:rPr>
        <w:t>Asian Journal of Open and Distance Learning</w:t>
      </w:r>
      <w:r w:rsidRPr="0000324B">
        <w:rPr>
          <w:rFonts w:ascii="Times New Roman" w:eastAsia="Times New Roman" w:hAnsi="Times New Roman" w:cs="Times New Roman"/>
          <w:sz w:val="24"/>
          <w:szCs w:val="24"/>
        </w:rPr>
        <w:t>, 17(1), 22–34.</w:t>
      </w:r>
    </w:p>
    <w:p w14:paraId="5BB22192"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lastRenderedPageBreak/>
        <w:t xml:space="preserve">Reyes, M., et al. (2019). LMS Integration in Agricultural Sciences. </w:t>
      </w:r>
      <w:r w:rsidRPr="00396E58">
        <w:rPr>
          <w:rStyle w:val="Emphasis"/>
          <w:rFonts w:ascii="Times New Roman" w:hAnsi="Times New Roman" w:cs="Times New Roman"/>
          <w:sz w:val="24"/>
          <w:szCs w:val="24"/>
        </w:rPr>
        <w:t>International Journal of Educational Technology</w:t>
      </w:r>
      <w:r w:rsidRPr="00396E58">
        <w:rPr>
          <w:rFonts w:ascii="Times New Roman" w:hAnsi="Times New Roman" w:cs="Times New Roman"/>
          <w:sz w:val="24"/>
          <w:szCs w:val="24"/>
        </w:rPr>
        <w:t>, 8(1), 14–23.</w:t>
      </w:r>
    </w:p>
    <w:p w14:paraId="5BBEB601"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Riedel, A., </w:t>
      </w:r>
      <w:proofErr w:type="spellStart"/>
      <w:r w:rsidRPr="00396E58">
        <w:rPr>
          <w:rFonts w:ascii="Times New Roman" w:eastAsia="Times New Roman" w:hAnsi="Times New Roman" w:cs="Times New Roman"/>
          <w:sz w:val="24"/>
          <w:szCs w:val="24"/>
        </w:rPr>
        <w:t>Sagata</w:t>
      </w:r>
      <w:proofErr w:type="spellEnd"/>
      <w:r w:rsidRPr="00396E58">
        <w:rPr>
          <w:rFonts w:ascii="Times New Roman" w:eastAsia="Times New Roman" w:hAnsi="Times New Roman" w:cs="Times New Roman"/>
          <w:sz w:val="24"/>
          <w:szCs w:val="24"/>
        </w:rPr>
        <w:t xml:space="preserve">, K., </w:t>
      </w:r>
      <w:proofErr w:type="spellStart"/>
      <w:r w:rsidRPr="00396E58">
        <w:rPr>
          <w:rFonts w:ascii="Times New Roman" w:eastAsia="Times New Roman" w:hAnsi="Times New Roman" w:cs="Times New Roman"/>
          <w:sz w:val="24"/>
          <w:szCs w:val="24"/>
        </w:rPr>
        <w:t>Suhardjono</w:t>
      </w:r>
      <w:proofErr w:type="spellEnd"/>
      <w:r w:rsidRPr="00396E58">
        <w:rPr>
          <w:rFonts w:ascii="Times New Roman" w:eastAsia="Times New Roman" w:hAnsi="Times New Roman" w:cs="Times New Roman"/>
          <w:sz w:val="24"/>
          <w:szCs w:val="24"/>
        </w:rPr>
        <w:t xml:space="preserve">, Y. R., </w:t>
      </w:r>
      <w:proofErr w:type="spellStart"/>
      <w:r w:rsidRPr="00396E58">
        <w:rPr>
          <w:rFonts w:ascii="Times New Roman" w:eastAsia="Times New Roman" w:hAnsi="Times New Roman" w:cs="Times New Roman"/>
          <w:sz w:val="24"/>
          <w:szCs w:val="24"/>
        </w:rPr>
        <w:t>Tänzler</w:t>
      </w:r>
      <w:proofErr w:type="spellEnd"/>
      <w:r w:rsidRPr="00396E58">
        <w:rPr>
          <w:rFonts w:ascii="Times New Roman" w:eastAsia="Times New Roman" w:hAnsi="Times New Roman" w:cs="Times New Roman"/>
          <w:sz w:val="24"/>
          <w:szCs w:val="24"/>
        </w:rPr>
        <w:t xml:space="preserve">, R., &amp; Balke, M. (2013). Integrative taxonomy on the fast track: Combining fieldwork, DNA barcoding, and 3D modelling to describe a new beetle species. </w:t>
      </w:r>
      <w:proofErr w:type="spellStart"/>
      <w:r w:rsidRPr="00396E58">
        <w:rPr>
          <w:rFonts w:ascii="Times New Roman" w:eastAsia="Times New Roman" w:hAnsi="Times New Roman" w:cs="Times New Roman"/>
          <w:i/>
          <w:iCs/>
          <w:sz w:val="24"/>
          <w:szCs w:val="24"/>
        </w:rPr>
        <w:t>ZooKeys</w:t>
      </w:r>
      <w:proofErr w:type="spellEnd"/>
      <w:r w:rsidRPr="00396E58">
        <w:rPr>
          <w:rFonts w:ascii="Times New Roman" w:eastAsia="Times New Roman" w:hAnsi="Times New Roman" w:cs="Times New Roman"/>
          <w:sz w:val="24"/>
          <w:szCs w:val="24"/>
        </w:rPr>
        <w:t>, 280, 1–20. https://doi.org/10.3897/zookeys.280.4401</w:t>
      </w:r>
    </w:p>
    <w:p w14:paraId="3E5927A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Seltzer, C. E., Pitt, A. L., &amp; Haywood, B. K. (2020). Citizen Science and the Mobile App Revolution: A review of usability and learning outcomes. </w:t>
      </w:r>
      <w:r w:rsidRPr="00396E58">
        <w:rPr>
          <w:rFonts w:ascii="Times New Roman" w:eastAsia="Times New Roman" w:hAnsi="Times New Roman" w:cs="Times New Roman"/>
          <w:i/>
          <w:iCs/>
          <w:sz w:val="24"/>
          <w:szCs w:val="24"/>
        </w:rPr>
        <w:t>Ecology and Society</w:t>
      </w:r>
      <w:r w:rsidRPr="00396E58">
        <w:rPr>
          <w:rFonts w:ascii="Times New Roman" w:eastAsia="Times New Roman" w:hAnsi="Times New Roman" w:cs="Times New Roman"/>
          <w:sz w:val="24"/>
          <w:szCs w:val="24"/>
        </w:rPr>
        <w:t>, 25(3), 1–13. https://doi.org/10.5751/ES-11737-250320</w:t>
      </w:r>
    </w:p>
    <w:p w14:paraId="7D52B244"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Seymour, M., </w:t>
      </w:r>
      <w:r w:rsidRPr="005D50EF">
        <w:rPr>
          <w:rFonts w:ascii="Times New Roman" w:hAnsi="Times New Roman" w:cs="Times New Roman"/>
          <w:i/>
          <w:iCs/>
          <w:sz w:val="24"/>
          <w:szCs w:val="24"/>
        </w:rPr>
        <w:t>et al.</w:t>
      </w:r>
      <w:r w:rsidRPr="00396E58">
        <w:rPr>
          <w:rFonts w:ascii="Times New Roman" w:hAnsi="Times New Roman" w:cs="Times New Roman"/>
          <w:sz w:val="24"/>
          <w:szCs w:val="24"/>
        </w:rPr>
        <w:t xml:space="preserve"> (2018). Innovations in Life Science Education. </w:t>
      </w:r>
      <w:r w:rsidRPr="00396E58">
        <w:rPr>
          <w:rStyle w:val="Emphasis"/>
          <w:rFonts w:ascii="Times New Roman" w:hAnsi="Times New Roman" w:cs="Times New Roman"/>
          <w:sz w:val="24"/>
          <w:szCs w:val="24"/>
        </w:rPr>
        <w:t>Nature Biotechnology</w:t>
      </w:r>
      <w:r w:rsidRPr="00396E58">
        <w:rPr>
          <w:rFonts w:ascii="Times New Roman" w:hAnsi="Times New Roman" w:cs="Times New Roman"/>
          <w:sz w:val="24"/>
          <w:szCs w:val="24"/>
        </w:rPr>
        <w:t>, 36(9), 821–823.</w:t>
      </w:r>
    </w:p>
    <w:p w14:paraId="688DC5E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Sholihah</w:t>
      </w:r>
      <w:proofErr w:type="spellEnd"/>
      <w:r w:rsidRPr="00396E58">
        <w:rPr>
          <w:rFonts w:ascii="Times New Roman" w:eastAsia="Times New Roman" w:hAnsi="Times New Roman" w:cs="Times New Roman"/>
          <w:sz w:val="24"/>
          <w:szCs w:val="24"/>
        </w:rPr>
        <w:t xml:space="preserve">, M., Arifin, I., &amp; Firmansyah, A. (2022). Insect Anatomy Education through Virtual Reality: Development of 3D-based VR models for entomology learning. </w:t>
      </w:r>
      <w:r w:rsidRPr="00396E58">
        <w:rPr>
          <w:rFonts w:ascii="Times New Roman" w:eastAsia="Times New Roman" w:hAnsi="Times New Roman" w:cs="Times New Roman"/>
          <w:i/>
          <w:iCs/>
          <w:sz w:val="24"/>
          <w:szCs w:val="24"/>
        </w:rPr>
        <w:t>Journal of Biology Education</w:t>
      </w:r>
      <w:r w:rsidRPr="00396E58">
        <w:rPr>
          <w:rFonts w:ascii="Times New Roman" w:eastAsia="Times New Roman" w:hAnsi="Times New Roman" w:cs="Times New Roman"/>
          <w:sz w:val="24"/>
          <w:szCs w:val="24"/>
        </w:rPr>
        <w:t>, 14(2), 45–52.</w:t>
      </w:r>
    </w:p>
    <w:p w14:paraId="21EEEC3E"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Silva, R., </w:t>
      </w:r>
      <w:r w:rsidRPr="005D50EF">
        <w:rPr>
          <w:rFonts w:ascii="Times New Roman" w:hAnsi="Times New Roman" w:cs="Times New Roman"/>
          <w:i/>
          <w:iCs/>
          <w:sz w:val="24"/>
          <w:szCs w:val="24"/>
        </w:rPr>
        <w:t>et al.</w:t>
      </w:r>
      <w:r w:rsidRPr="00396E58">
        <w:rPr>
          <w:rFonts w:ascii="Times New Roman" w:hAnsi="Times New Roman" w:cs="Times New Roman"/>
          <w:sz w:val="24"/>
          <w:szCs w:val="24"/>
        </w:rPr>
        <w:t xml:space="preserve"> (2021). Field Entomology and Mobile Technologies. </w:t>
      </w:r>
      <w:r w:rsidRPr="00396E58">
        <w:rPr>
          <w:rStyle w:val="Emphasis"/>
          <w:rFonts w:ascii="Times New Roman" w:hAnsi="Times New Roman" w:cs="Times New Roman"/>
          <w:sz w:val="24"/>
          <w:szCs w:val="24"/>
        </w:rPr>
        <w:t>Pest Management Science</w:t>
      </w:r>
      <w:r w:rsidRPr="00396E58">
        <w:rPr>
          <w:rFonts w:ascii="Times New Roman" w:hAnsi="Times New Roman" w:cs="Times New Roman"/>
          <w:sz w:val="24"/>
          <w:szCs w:val="24"/>
        </w:rPr>
        <w:t>, 77(5), 2173–2181.</w:t>
      </w:r>
    </w:p>
    <w:p w14:paraId="65E9C383"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Silvertown, J. (2009). A new dawn for citizen science. </w:t>
      </w:r>
      <w:r w:rsidRPr="00396E58">
        <w:rPr>
          <w:rStyle w:val="Emphasis"/>
          <w:rFonts w:ascii="Times New Roman" w:hAnsi="Times New Roman" w:cs="Times New Roman"/>
          <w:sz w:val="24"/>
          <w:szCs w:val="24"/>
        </w:rPr>
        <w:t>Trends in Ecology &amp; Evolution</w:t>
      </w:r>
      <w:r w:rsidRPr="00396E58">
        <w:rPr>
          <w:rFonts w:ascii="Times New Roman" w:hAnsi="Times New Roman" w:cs="Times New Roman"/>
          <w:sz w:val="24"/>
          <w:szCs w:val="24"/>
        </w:rPr>
        <w:t>, 24(9), 467–471.</w:t>
      </w:r>
    </w:p>
    <w:p w14:paraId="53FE733F"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Smith, D., Fisher, B., &amp; Lucky, A. (2013). The role of digital field guides in entomological outreach. </w:t>
      </w:r>
      <w:r w:rsidRPr="00396E58">
        <w:rPr>
          <w:rStyle w:val="Emphasis"/>
          <w:rFonts w:ascii="Times New Roman" w:hAnsi="Times New Roman" w:cs="Times New Roman"/>
          <w:sz w:val="24"/>
          <w:szCs w:val="24"/>
        </w:rPr>
        <w:t>Florida Entomologist</w:t>
      </w:r>
      <w:r w:rsidRPr="00396E58">
        <w:rPr>
          <w:rFonts w:ascii="Times New Roman" w:hAnsi="Times New Roman" w:cs="Times New Roman"/>
          <w:sz w:val="24"/>
          <w:szCs w:val="24"/>
        </w:rPr>
        <w:t>, 96(2), 473–479.</w:t>
      </w:r>
    </w:p>
    <w:p w14:paraId="63981EF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Smith, V. S., </w:t>
      </w:r>
      <w:r w:rsidRPr="00396E58">
        <w:rPr>
          <w:rFonts w:ascii="Times New Roman" w:eastAsia="Times New Roman" w:hAnsi="Times New Roman" w:cs="Times New Roman"/>
          <w:i/>
          <w:iCs/>
          <w:sz w:val="24"/>
          <w:szCs w:val="24"/>
        </w:rPr>
        <w:t>et al.</w:t>
      </w:r>
      <w:r w:rsidRPr="00396E58">
        <w:rPr>
          <w:rFonts w:ascii="Times New Roman" w:eastAsia="Times New Roman" w:hAnsi="Times New Roman" w:cs="Times New Roman"/>
          <w:sz w:val="24"/>
          <w:szCs w:val="24"/>
        </w:rPr>
        <w:t xml:space="preserve"> (2009). Accelerating the digitization of biodiversity research specimens through online collaboration. </w:t>
      </w:r>
      <w:proofErr w:type="spellStart"/>
      <w:r w:rsidRPr="00396E58">
        <w:rPr>
          <w:rFonts w:ascii="Times New Roman" w:eastAsia="Times New Roman" w:hAnsi="Times New Roman" w:cs="Times New Roman"/>
          <w:i/>
          <w:iCs/>
          <w:sz w:val="24"/>
          <w:szCs w:val="24"/>
        </w:rPr>
        <w:t>ZooKeys</w:t>
      </w:r>
      <w:proofErr w:type="spellEnd"/>
      <w:r w:rsidRPr="00396E58">
        <w:rPr>
          <w:rFonts w:ascii="Times New Roman" w:eastAsia="Times New Roman" w:hAnsi="Times New Roman" w:cs="Times New Roman"/>
          <w:sz w:val="24"/>
          <w:szCs w:val="24"/>
        </w:rPr>
        <w:t>, (11), 1–8. https://doi.org/10.3897/zookeys.11.160</w:t>
      </w:r>
    </w:p>
    <w:p w14:paraId="5DE9A75A"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Soberón</w:t>
      </w:r>
      <w:proofErr w:type="spellEnd"/>
      <w:r w:rsidRPr="00396E58">
        <w:rPr>
          <w:rFonts w:ascii="Times New Roman" w:eastAsia="Times New Roman" w:hAnsi="Times New Roman" w:cs="Times New Roman"/>
          <w:sz w:val="24"/>
          <w:szCs w:val="24"/>
        </w:rPr>
        <w:t xml:space="preserve">, J., &amp; Peterson, A. T. (2004). Biodiversity informatics: Managing and applying primary biodiversity data. </w:t>
      </w:r>
      <w:r w:rsidRPr="00396E58">
        <w:rPr>
          <w:rFonts w:ascii="Times New Roman" w:eastAsia="Times New Roman" w:hAnsi="Times New Roman" w:cs="Times New Roman"/>
          <w:i/>
          <w:iCs/>
          <w:sz w:val="24"/>
          <w:szCs w:val="24"/>
        </w:rPr>
        <w:t>Philosophical Transactions of the Royal Society B</w:t>
      </w:r>
      <w:r w:rsidRPr="00396E58">
        <w:rPr>
          <w:rFonts w:ascii="Times New Roman" w:eastAsia="Times New Roman" w:hAnsi="Times New Roman" w:cs="Times New Roman"/>
          <w:sz w:val="24"/>
          <w:szCs w:val="24"/>
        </w:rPr>
        <w:t>, 359(1444), 689–698. https://doi.org/10.1098/rstb.2003.1439</w:t>
      </w:r>
    </w:p>
    <w:p w14:paraId="67C6008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Sombke, A., Lipke, E., Michalik, P., Uhl, G., &amp; </w:t>
      </w:r>
      <w:proofErr w:type="spellStart"/>
      <w:r w:rsidRPr="00396E58">
        <w:rPr>
          <w:rFonts w:ascii="Times New Roman" w:eastAsia="Times New Roman" w:hAnsi="Times New Roman" w:cs="Times New Roman"/>
          <w:sz w:val="24"/>
          <w:szCs w:val="24"/>
        </w:rPr>
        <w:t>Harzsch</w:t>
      </w:r>
      <w:proofErr w:type="spellEnd"/>
      <w:r w:rsidRPr="00396E58">
        <w:rPr>
          <w:rFonts w:ascii="Times New Roman" w:eastAsia="Times New Roman" w:hAnsi="Times New Roman" w:cs="Times New Roman"/>
          <w:sz w:val="24"/>
          <w:szCs w:val="24"/>
        </w:rPr>
        <w:t xml:space="preserve">, S. (2015). Potential and limitations of x-ray micro-computed tomography in arthropod neuroanatomy: A methodological and comparative survey. </w:t>
      </w:r>
      <w:r w:rsidRPr="00396E58">
        <w:rPr>
          <w:rFonts w:ascii="Times New Roman" w:eastAsia="Times New Roman" w:hAnsi="Times New Roman" w:cs="Times New Roman"/>
          <w:i/>
          <w:iCs/>
          <w:sz w:val="24"/>
          <w:szCs w:val="24"/>
        </w:rPr>
        <w:t>Journal of Comparative Neurology</w:t>
      </w:r>
      <w:r w:rsidRPr="00396E58">
        <w:rPr>
          <w:rFonts w:ascii="Times New Roman" w:eastAsia="Times New Roman" w:hAnsi="Times New Roman" w:cs="Times New Roman"/>
          <w:sz w:val="24"/>
          <w:szCs w:val="24"/>
        </w:rPr>
        <w:t>, 523(9), 1281–1295. https://doi.org/10.1002/cne.23741</w:t>
      </w:r>
    </w:p>
    <w:p w14:paraId="3210582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lastRenderedPageBreak/>
        <w:t xml:space="preserve">Subhash, S., &amp; Cudney, E. A. (2018). Gamified learning in higher education: A systematic review of the literature. </w:t>
      </w:r>
      <w:r w:rsidRPr="00396E58">
        <w:rPr>
          <w:rFonts w:ascii="Times New Roman" w:eastAsia="Times New Roman" w:hAnsi="Times New Roman" w:cs="Times New Roman"/>
          <w:i/>
          <w:iCs/>
          <w:sz w:val="24"/>
          <w:szCs w:val="24"/>
        </w:rPr>
        <w:t>Computers in Human Behavior</w:t>
      </w:r>
      <w:r w:rsidRPr="00396E58">
        <w:rPr>
          <w:rFonts w:ascii="Times New Roman" w:eastAsia="Times New Roman" w:hAnsi="Times New Roman" w:cs="Times New Roman"/>
          <w:sz w:val="24"/>
          <w:szCs w:val="24"/>
        </w:rPr>
        <w:t>, 87, 192–206. https://doi.org/10.1016/j.chb.2018.05.028</w:t>
      </w:r>
    </w:p>
    <w:p w14:paraId="381185DD"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Sundar, S. S., Kang, H., &amp; Oprean, D. (2020). Being There in the Midst of the Story: How immersive journalism affects our perceptions and cognition. </w:t>
      </w:r>
      <w:r w:rsidRPr="00396E58">
        <w:rPr>
          <w:rFonts w:ascii="Times New Roman" w:eastAsia="Times New Roman" w:hAnsi="Times New Roman" w:cs="Times New Roman"/>
          <w:i/>
          <w:iCs/>
          <w:sz w:val="24"/>
          <w:szCs w:val="24"/>
        </w:rPr>
        <w:t>Cyberpsychology, Behavior, and Social Networking</w:t>
      </w:r>
      <w:r w:rsidRPr="00396E58">
        <w:rPr>
          <w:rFonts w:ascii="Times New Roman" w:eastAsia="Times New Roman" w:hAnsi="Times New Roman" w:cs="Times New Roman"/>
          <w:sz w:val="24"/>
          <w:szCs w:val="24"/>
        </w:rPr>
        <w:t>, 23(6), 405–410. https://doi.org/10.1089/cyber.2019.0643</w:t>
      </w:r>
    </w:p>
    <w:p w14:paraId="134938A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Tait, K., &amp; </w:t>
      </w:r>
      <w:proofErr w:type="spellStart"/>
      <w:r w:rsidRPr="00396E58">
        <w:rPr>
          <w:rFonts w:ascii="Times New Roman" w:eastAsia="Times New Roman" w:hAnsi="Times New Roman" w:cs="Times New Roman"/>
          <w:sz w:val="24"/>
          <w:szCs w:val="24"/>
        </w:rPr>
        <w:t>Stutchbury</w:t>
      </w:r>
      <w:proofErr w:type="spellEnd"/>
      <w:r w:rsidRPr="00396E58">
        <w:rPr>
          <w:rFonts w:ascii="Times New Roman" w:eastAsia="Times New Roman" w:hAnsi="Times New Roman" w:cs="Times New Roman"/>
          <w:sz w:val="24"/>
          <w:szCs w:val="24"/>
        </w:rPr>
        <w:t xml:space="preserve">, T. (2019). Virtual insects for inclusive science education: Engaging learners through sensory accessible design. </w:t>
      </w:r>
      <w:r w:rsidRPr="00396E58">
        <w:rPr>
          <w:rFonts w:ascii="Times New Roman" w:eastAsia="Times New Roman" w:hAnsi="Times New Roman" w:cs="Times New Roman"/>
          <w:i/>
          <w:iCs/>
          <w:sz w:val="24"/>
          <w:szCs w:val="24"/>
        </w:rPr>
        <w:t>International Journal of Science Education</w:t>
      </w:r>
      <w:r w:rsidRPr="00396E58">
        <w:rPr>
          <w:rFonts w:ascii="Times New Roman" w:eastAsia="Times New Roman" w:hAnsi="Times New Roman" w:cs="Times New Roman"/>
          <w:sz w:val="24"/>
          <w:szCs w:val="24"/>
        </w:rPr>
        <w:t>, 41(3), 381–400. https://doi.org/10.1080/09500693.2018.1553580</w:t>
      </w:r>
    </w:p>
    <w:p w14:paraId="7B0EBEBF"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Tonkin, J. D., Bogan, M. T., &amp; </w:t>
      </w:r>
      <w:proofErr w:type="spellStart"/>
      <w:r w:rsidRPr="00396E58">
        <w:rPr>
          <w:rFonts w:ascii="Times New Roman" w:eastAsia="Times New Roman" w:hAnsi="Times New Roman" w:cs="Times New Roman"/>
          <w:sz w:val="24"/>
          <w:szCs w:val="24"/>
        </w:rPr>
        <w:t>Bonada</w:t>
      </w:r>
      <w:proofErr w:type="spellEnd"/>
      <w:r w:rsidRPr="00396E58">
        <w:rPr>
          <w:rFonts w:ascii="Times New Roman" w:eastAsia="Times New Roman" w:hAnsi="Times New Roman" w:cs="Times New Roman"/>
          <w:sz w:val="24"/>
          <w:szCs w:val="24"/>
        </w:rPr>
        <w:t xml:space="preserve">, N. (2022). Nature education through mobile technology: Engagement of youth in aquatic entomology using Seek by </w:t>
      </w:r>
      <w:proofErr w:type="spellStart"/>
      <w:r w:rsidRPr="00396E58">
        <w:rPr>
          <w:rFonts w:ascii="Times New Roman" w:eastAsia="Times New Roman" w:hAnsi="Times New Roman" w:cs="Times New Roman"/>
          <w:sz w:val="24"/>
          <w:szCs w:val="24"/>
        </w:rPr>
        <w:t>iNaturalist</w:t>
      </w:r>
      <w:proofErr w:type="spellEnd"/>
      <w:r w:rsidRPr="00396E58">
        <w:rPr>
          <w:rFonts w:ascii="Times New Roman" w:eastAsia="Times New Roman" w:hAnsi="Times New Roman" w:cs="Times New Roman"/>
          <w:sz w:val="24"/>
          <w:szCs w:val="24"/>
        </w:rPr>
        <w:t xml:space="preserve">. </w:t>
      </w:r>
      <w:r w:rsidRPr="00396E58">
        <w:rPr>
          <w:rFonts w:ascii="Times New Roman" w:eastAsia="Times New Roman" w:hAnsi="Times New Roman" w:cs="Times New Roman"/>
          <w:i/>
          <w:iCs/>
          <w:sz w:val="24"/>
          <w:szCs w:val="24"/>
        </w:rPr>
        <w:t>Environmental Education Research</w:t>
      </w:r>
      <w:r w:rsidRPr="00396E58">
        <w:rPr>
          <w:rFonts w:ascii="Times New Roman" w:eastAsia="Times New Roman" w:hAnsi="Times New Roman" w:cs="Times New Roman"/>
          <w:sz w:val="24"/>
          <w:szCs w:val="24"/>
        </w:rPr>
        <w:t>, 28(4), 511–530. https://doi.org/10.1080/13504622.2021.1939646</w:t>
      </w:r>
    </w:p>
    <w:p w14:paraId="7FB8970D"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Tsang, J. et al. (2020). Virtual Microscopy in Insect Anatomy Education. </w:t>
      </w:r>
      <w:r w:rsidRPr="00396E58">
        <w:rPr>
          <w:rStyle w:val="Emphasis"/>
          <w:rFonts w:ascii="Times New Roman" w:hAnsi="Times New Roman" w:cs="Times New Roman"/>
          <w:sz w:val="24"/>
          <w:szCs w:val="24"/>
        </w:rPr>
        <w:t>Anatomical Sciences Education</w:t>
      </w:r>
      <w:r w:rsidRPr="00396E58">
        <w:rPr>
          <w:rFonts w:ascii="Times New Roman" w:hAnsi="Times New Roman" w:cs="Times New Roman"/>
          <w:sz w:val="24"/>
          <w:szCs w:val="24"/>
        </w:rPr>
        <w:t>, 13(3), 265–275.</w:t>
      </w:r>
    </w:p>
    <w:p w14:paraId="6787BCB0"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Valan, M., Makonyi, K., Maki, A., Vondráček, D., &amp; </w:t>
      </w:r>
      <w:proofErr w:type="spellStart"/>
      <w:r w:rsidRPr="00396E58">
        <w:rPr>
          <w:rFonts w:ascii="Times New Roman" w:eastAsia="Times New Roman" w:hAnsi="Times New Roman" w:cs="Times New Roman"/>
          <w:sz w:val="24"/>
          <w:szCs w:val="24"/>
        </w:rPr>
        <w:t>Ronquist</w:t>
      </w:r>
      <w:proofErr w:type="spellEnd"/>
      <w:r w:rsidRPr="00396E58">
        <w:rPr>
          <w:rFonts w:ascii="Times New Roman" w:eastAsia="Times New Roman" w:hAnsi="Times New Roman" w:cs="Times New Roman"/>
          <w:sz w:val="24"/>
          <w:szCs w:val="24"/>
        </w:rPr>
        <w:t xml:space="preserve">, F. (2019). Automated taxonomic identification of insects with expert-level accuracy using effective feature transfer from convolutional networks. </w:t>
      </w:r>
      <w:r w:rsidRPr="00396E58">
        <w:rPr>
          <w:rFonts w:ascii="Times New Roman" w:eastAsia="Times New Roman" w:hAnsi="Times New Roman" w:cs="Times New Roman"/>
          <w:i/>
          <w:iCs/>
          <w:sz w:val="24"/>
          <w:szCs w:val="24"/>
        </w:rPr>
        <w:t>Systematic Biology</w:t>
      </w:r>
      <w:r w:rsidRPr="00396E58">
        <w:rPr>
          <w:rFonts w:ascii="Times New Roman" w:eastAsia="Times New Roman" w:hAnsi="Times New Roman" w:cs="Times New Roman"/>
          <w:sz w:val="24"/>
          <w:szCs w:val="24"/>
        </w:rPr>
        <w:t>, 68(6), 876–895. https://doi.org/10.1093/sysbio/syz014</w:t>
      </w:r>
    </w:p>
    <w:p w14:paraId="5D5EAC97"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Vesal, S., Ravikumar, N., Estrada, S., &amp; Maier, A. (2018). A multi-scale approach for histopathology image classification using deep convolutional neural networks. </w:t>
      </w:r>
      <w:r w:rsidRPr="00396E58">
        <w:rPr>
          <w:rFonts w:ascii="Times New Roman" w:eastAsia="Times New Roman" w:hAnsi="Times New Roman" w:cs="Times New Roman"/>
          <w:i/>
          <w:iCs/>
          <w:sz w:val="24"/>
          <w:szCs w:val="24"/>
        </w:rPr>
        <w:t>Medical Imaging with Deep Learning (MIDL)</w:t>
      </w:r>
      <w:r w:rsidRPr="00396E58">
        <w:rPr>
          <w:rFonts w:ascii="Times New Roman" w:eastAsia="Times New Roman" w:hAnsi="Times New Roman" w:cs="Times New Roman"/>
          <w:sz w:val="24"/>
          <w:szCs w:val="24"/>
        </w:rPr>
        <w:t>.</w:t>
      </w:r>
    </w:p>
    <w:p w14:paraId="140FF1FA"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proofErr w:type="spellStart"/>
      <w:r w:rsidRPr="00396E58">
        <w:rPr>
          <w:rFonts w:ascii="Times New Roman" w:eastAsia="Times New Roman" w:hAnsi="Times New Roman" w:cs="Times New Roman"/>
          <w:sz w:val="24"/>
          <w:szCs w:val="24"/>
        </w:rPr>
        <w:t>Vignes-Lebbe</w:t>
      </w:r>
      <w:proofErr w:type="spellEnd"/>
      <w:r w:rsidRPr="00396E58">
        <w:rPr>
          <w:rFonts w:ascii="Times New Roman" w:eastAsia="Times New Roman" w:hAnsi="Times New Roman" w:cs="Times New Roman"/>
          <w:sz w:val="24"/>
          <w:szCs w:val="24"/>
        </w:rPr>
        <w:t xml:space="preserve">, R., </w:t>
      </w:r>
      <w:proofErr w:type="spellStart"/>
      <w:r w:rsidRPr="00396E58">
        <w:rPr>
          <w:rFonts w:ascii="Times New Roman" w:eastAsia="Times New Roman" w:hAnsi="Times New Roman" w:cs="Times New Roman"/>
          <w:sz w:val="24"/>
          <w:szCs w:val="24"/>
        </w:rPr>
        <w:t>Modave</w:t>
      </w:r>
      <w:proofErr w:type="spellEnd"/>
      <w:r w:rsidRPr="00396E58">
        <w:rPr>
          <w:rFonts w:ascii="Times New Roman" w:eastAsia="Times New Roman" w:hAnsi="Times New Roman" w:cs="Times New Roman"/>
          <w:sz w:val="24"/>
          <w:szCs w:val="24"/>
        </w:rPr>
        <w:t xml:space="preserve">, E., &amp; </w:t>
      </w:r>
      <w:proofErr w:type="spellStart"/>
      <w:r w:rsidRPr="00396E58">
        <w:rPr>
          <w:rFonts w:ascii="Times New Roman" w:eastAsia="Times New Roman" w:hAnsi="Times New Roman" w:cs="Times New Roman"/>
          <w:sz w:val="24"/>
          <w:szCs w:val="24"/>
        </w:rPr>
        <w:t>Lebbe</w:t>
      </w:r>
      <w:proofErr w:type="spellEnd"/>
      <w:r w:rsidRPr="00396E58">
        <w:rPr>
          <w:rFonts w:ascii="Times New Roman" w:eastAsia="Times New Roman" w:hAnsi="Times New Roman" w:cs="Times New Roman"/>
          <w:sz w:val="24"/>
          <w:szCs w:val="24"/>
        </w:rPr>
        <w:t xml:space="preserve">, J. (2016). Xper3: A collaborative platform for creating, sharing and using identification keys and taxonomic descriptions. </w:t>
      </w:r>
      <w:r w:rsidRPr="00396E58">
        <w:rPr>
          <w:rFonts w:ascii="Times New Roman" w:eastAsia="Times New Roman" w:hAnsi="Times New Roman" w:cs="Times New Roman"/>
          <w:i/>
          <w:iCs/>
          <w:sz w:val="24"/>
          <w:szCs w:val="24"/>
        </w:rPr>
        <w:t>Biodiversity Information Science and Standards</w:t>
      </w:r>
      <w:r w:rsidRPr="00396E58">
        <w:rPr>
          <w:rFonts w:ascii="Times New Roman" w:eastAsia="Times New Roman" w:hAnsi="Times New Roman" w:cs="Times New Roman"/>
          <w:sz w:val="24"/>
          <w:szCs w:val="24"/>
        </w:rPr>
        <w:t>, 1, e20542. https://doi.org/10.3897/tdwgproceedings.1.20542</w:t>
      </w:r>
    </w:p>
    <w:p w14:paraId="42C2C47C"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Walter, D. E., &amp; Winterton, S. L. (2007). Keys and the crisis in taxonomy: Extending interactive identification tools to students and citizen scientists. </w:t>
      </w:r>
      <w:r w:rsidRPr="00396E58">
        <w:rPr>
          <w:rFonts w:ascii="Times New Roman" w:eastAsia="Times New Roman" w:hAnsi="Times New Roman" w:cs="Times New Roman"/>
          <w:i/>
          <w:iCs/>
          <w:sz w:val="24"/>
          <w:szCs w:val="24"/>
        </w:rPr>
        <w:t>American Entomologist</w:t>
      </w:r>
      <w:r w:rsidRPr="00396E58">
        <w:rPr>
          <w:rFonts w:ascii="Times New Roman" w:eastAsia="Times New Roman" w:hAnsi="Times New Roman" w:cs="Times New Roman"/>
          <w:sz w:val="24"/>
          <w:szCs w:val="24"/>
        </w:rPr>
        <w:t>, 53(2), 76–79. https://doi.org/10.1093/ae/53.2.76</w:t>
      </w:r>
    </w:p>
    <w:p w14:paraId="44F89985"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00324B">
        <w:rPr>
          <w:rFonts w:ascii="Times New Roman" w:eastAsia="Times New Roman" w:hAnsi="Times New Roman" w:cs="Times New Roman"/>
          <w:sz w:val="24"/>
          <w:szCs w:val="24"/>
        </w:rPr>
        <w:lastRenderedPageBreak/>
        <w:t xml:space="preserve">Wen, Y., &amp; Zhang, L. (2023). Adaptive Learning Systems and Their Role in Science Education: A review of current technologies. </w:t>
      </w:r>
      <w:r w:rsidRPr="00396E58">
        <w:rPr>
          <w:rFonts w:ascii="Times New Roman" w:eastAsia="Times New Roman" w:hAnsi="Times New Roman" w:cs="Times New Roman"/>
          <w:i/>
          <w:iCs/>
          <w:sz w:val="24"/>
          <w:szCs w:val="24"/>
        </w:rPr>
        <w:t>Journal of Educational Computing Research</w:t>
      </w:r>
      <w:r w:rsidRPr="0000324B">
        <w:rPr>
          <w:rFonts w:ascii="Times New Roman" w:eastAsia="Times New Roman" w:hAnsi="Times New Roman" w:cs="Times New Roman"/>
          <w:sz w:val="24"/>
          <w:szCs w:val="24"/>
        </w:rPr>
        <w:t>, 61(3), 556–578.</w:t>
      </w:r>
    </w:p>
    <w:p w14:paraId="1026604E"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Wojciechowski, R., &amp; </w:t>
      </w:r>
      <w:proofErr w:type="spellStart"/>
      <w:r w:rsidRPr="00396E58">
        <w:rPr>
          <w:rFonts w:ascii="Times New Roman" w:eastAsia="Times New Roman" w:hAnsi="Times New Roman" w:cs="Times New Roman"/>
          <w:sz w:val="24"/>
          <w:szCs w:val="24"/>
        </w:rPr>
        <w:t>Cellary</w:t>
      </w:r>
      <w:proofErr w:type="spellEnd"/>
      <w:r w:rsidRPr="00396E58">
        <w:rPr>
          <w:rFonts w:ascii="Times New Roman" w:eastAsia="Times New Roman" w:hAnsi="Times New Roman" w:cs="Times New Roman"/>
          <w:sz w:val="24"/>
          <w:szCs w:val="24"/>
        </w:rPr>
        <w:t xml:space="preserve">, W. (2013). Evaluation of learners’ attitude toward learning in AR-based virtual environments. </w:t>
      </w:r>
      <w:r w:rsidRPr="00396E58">
        <w:rPr>
          <w:rFonts w:ascii="Times New Roman" w:eastAsia="Times New Roman" w:hAnsi="Times New Roman" w:cs="Times New Roman"/>
          <w:i/>
          <w:iCs/>
          <w:sz w:val="24"/>
          <w:szCs w:val="24"/>
        </w:rPr>
        <w:t>Computers &amp; Education</w:t>
      </w:r>
      <w:r w:rsidRPr="00396E58">
        <w:rPr>
          <w:rFonts w:ascii="Times New Roman" w:eastAsia="Times New Roman" w:hAnsi="Times New Roman" w:cs="Times New Roman"/>
          <w:sz w:val="24"/>
          <w:szCs w:val="24"/>
        </w:rPr>
        <w:t>, 68, 570–585. https://doi.org/10.1016/j.compedu.2013.02.014</w:t>
      </w:r>
    </w:p>
    <w:p w14:paraId="2B4953C6" w14:textId="77777777" w:rsidR="005D50EF"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Young, M., Hall, M., &amp; Clarke, M. (2016). Developing a 3D virtual dissection tool to teach anatomy of the honey bee. </w:t>
      </w:r>
      <w:r w:rsidRPr="00396E58">
        <w:rPr>
          <w:rFonts w:ascii="Times New Roman" w:eastAsia="Times New Roman" w:hAnsi="Times New Roman" w:cs="Times New Roman"/>
          <w:i/>
          <w:iCs/>
          <w:sz w:val="24"/>
          <w:szCs w:val="24"/>
        </w:rPr>
        <w:t>Journal of Veterinary Medical Education</w:t>
      </w:r>
      <w:r w:rsidRPr="00396E58">
        <w:rPr>
          <w:rFonts w:ascii="Times New Roman" w:eastAsia="Times New Roman" w:hAnsi="Times New Roman" w:cs="Times New Roman"/>
          <w:sz w:val="24"/>
          <w:szCs w:val="24"/>
        </w:rPr>
        <w:t>, 43(3), 261–270. https://doi.org/10.3138/jvme.0316-045R</w:t>
      </w:r>
    </w:p>
    <w:p w14:paraId="371F98B0"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Yuan, L., &amp; Powell, S. (2013). MOOCs and Open Education: Implications for Higher Education. </w:t>
      </w:r>
      <w:r w:rsidRPr="00396E58">
        <w:rPr>
          <w:rStyle w:val="Emphasis"/>
          <w:rFonts w:ascii="Times New Roman" w:hAnsi="Times New Roman" w:cs="Times New Roman"/>
          <w:sz w:val="24"/>
          <w:szCs w:val="24"/>
        </w:rPr>
        <w:t>JISC CETIS</w:t>
      </w:r>
      <w:r w:rsidRPr="00396E58">
        <w:rPr>
          <w:rFonts w:ascii="Times New Roman" w:hAnsi="Times New Roman" w:cs="Times New Roman"/>
          <w:sz w:val="24"/>
          <w:szCs w:val="24"/>
        </w:rPr>
        <w:t xml:space="preserve">. </w:t>
      </w:r>
      <w:hyperlink r:id="rId9" w:tgtFrame="_new" w:history="1">
        <w:r w:rsidRPr="00396E58">
          <w:rPr>
            <w:rStyle w:val="Hyperlink"/>
            <w:rFonts w:ascii="Times New Roman" w:hAnsi="Times New Roman" w:cs="Times New Roman"/>
            <w:sz w:val="24"/>
            <w:szCs w:val="24"/>
          </w:rPr>
          <w:t>https://jisc.ac.uk</w:t>
        </w:r>
      </w:hyperlink>
    </w:p>
    <w:p w14:paraId="523175E6" w14:textId="77777777" w:rsidR="005D50EF" w:rsidRDefault="005D50EF" w:rsidP="005D50EF">
      <w:pPr>
        <w:spacing w:after="0" w:line="360" w:lineRule="auto"/>
        <w:ind w:left="1620" w:hanging="1620"/>
        <w:jc w:val="both"/>
        <w:rPr>
          <w:rFonts w:ascii="Times New Roman" w:hAnsi="Times New Roman" w:cs="Times New Roman"/>
          <w:sz w:val="24"/>
          <w:szCs w:val="24"/>
        </w:rPr>
      </w:pPr>
      <w:r w:rsidRPr="00396E58">
        <w:rPr>
          <w:rFonts w:ascii="Times New Roman" w:hAnsi="Times New Roman" w:cs="Times New Roman"/>
          <w:sz w:val="24"/>
          <w:szCs w:val="24"/>
        </w:rPr>
        <w:t xml:space="preserve">Zhang, Y., </w:t>
      </w:r>
      <w:r w:rsidRPr="005D50EF">
        <w:rPr>
          <w:rFonts w:ascii="Times New Roman" w:hAnsi="Times New Roman" w:cs="Times New Roman"/>
          <w:i/>
          <w:iCs/>
          <w:sz w:val="24"/>
          <w:szCs w:val="24"/>
        </w:rPr>
        <w:t>et al.</w:t>
      </w:r>
      <w:r w:rsidRPr="00396E58">
        <w:rPr>
          <w:rFonts w:ascii="Times New Roman" w:hAnsi="Times New Roman" w:cs="Times New Roman"/>
          <w:sz w:val="24"/>
          <w:szCs w:val="24"/>
        </w:rPr>
        <w:t xml:space="preserve"> (2022). AR/VR in Life Sciences: Educational Outcomes and Impacts. </w:t>
      </w:r>
      <w:r w:rsidRPr="00396E58">
        <w:rPr>
          <w:rStyle w:val="Emphasis"/>
          <w:rFonts w:ascii="Times New Roman" w:hAnsi="Times New Roman" w:cs="Times New Roman"/>
          <w:sz w:val="24"/>
          <w:szCs w:val="24"/>
        </w:rPr>
        <w:t>Journal of Science Education and Technology</w:t>
      </w:r>
      <w:r w:rsidRPr="00396E58">
        <w:rPr>
          <w:rFonts w:ascii="Times New Roman" w:hAnsi="Times New Roman" w:cs="Times New Roman"/>
          <w:sz w:val="24"/>
          <w:szCs w:val="24"/>
        </w:rPr>
        <w:t>, 31(4), 456–468.</w:t>
      </w:r>
    </w:p>
    <w:p w14:paraId="4E84C9DA" w14:textId="77777777" w:rsidR="005D50EF" w:rsidRPr="00396E58" w:rsidRDefault="005D50EF" w:rsidP="005D50EF">
      <w:pPr>
        <w:spacing w:after="0" w:line="360" w:lineRule="auto"/>
        <w:ind w:left="1620" w:hanging="1620"/>
        <w:jc w:val="both"/>
        <w:rPr>
          <w:rFonts w:ascii="Times New Roman" w:eastAsia="Times New Roman" w:hAnsi="Times New Roman" w:cs="Times New Roman"/>
          <w:sz w:val="24"/>
          <w:szCs w:val="24"/>
        </w:rPr>
      </w:pPr>
      <w:r w:rsidRPr="00396E58">
        <w:rPr>
          <w:rFonts w:ascii="Times New Roman" w:eastAsia="Times New Roman" w:hAnsi="Times New Roman" w:cs="Times New Roman"/>
          <w:sz w:val="24"/>
          <w:szCs w:val="24"/>
        </w:rPr>
        <w:t xml:space="preserve">Ziegler, A., Menze, B. H., &amp; Lell, M. (2011). Virtual Microscopy in Education: When the classroom transforms into the cloud. </w:t>
      </w:r>
      <w:r w:rsidRPr="00396E58">
        <w:rPr>
          <w:rFonts w:ascii="Times New Roman" w:eastAsia="Times New Roman" w:hAnsi="Times New Roman" w:cs="Times New Roman"/>
          <w:i/>
          <w:iCs/>
          <w:sz w:val="24"/>
          <w:szCs w:val="24"/>
        </w:rPr>
        <w:t>Journal of Pathology Informatics</w:t>
      </w:r>
      <w:r w:rsidRPr="00396E58">
        <w:rPr>
          <w:rFonts w:ascii="Times New Roman" w:eastAsia="Times New Roman" w:hAnsi="Times New Roman" w:cs="Times New Roman"/>
          <w:sz w:val="24"/>
          <w:szCs w:val="24"/>
        </w:rPr>
        <w:t>, 2, 8. https://doi.org/10.4103/2153-3539.78138</w:t>
      </w:r>
    </w:p>
    <w:p w14:paraId="57408D1B" w14:textId="77777777" w:rsidR="00396E58" w:rsidRPr="00396E58" w:rsidRDefault="00396E58" w:rsidP="00396E58">
      <w:pPr>
        <w:spacing w:after="0" w:line="360" w:lineRule="auto"/>
        <w:jc w:val="both"/>
        <w:outlineLvl w:val="3"/>
        <w:rPr>
          <w:rFonts w:ascii="Times New Roman" w:eastAsia="Times New Roman" w:hAnsi="Times New Roman" w:cs="Times New Roman"/>
          <w:sz w:val="24"/>
          <w:szCs w:val="24"/>
        </w:rPr>
      </w:pPr>
    </w:p>
    <w:p w14:paraId="627227A3" w14:textId="77777777" w:rsidR="00396E58" w:rsidRPr="00396E58" w:rsidRDefault="00396E58" w:rsidP="00396E58">
      <w:pPr>
        <w:spacing w:after="0" w:line="360" w:lineRule="auto"/>
        <w:jc w:val="both"/>
        <w:outlineLvl w:val="3"/>
        <w:rPr>
          <w:rFonts w:ascii="Times New Roman" w:eastAsia="Times New Roman" w:hAnsi="Times New Roman" w:cs="Times New Roman"/>
          <w:sz w:val="24"/>
          <w:szCs w:val="24"/>
        </w:rPr>
      </w:pPr>
    </w:p>
    <w:sectPr w:rsidR="00396E58" w:rsidRPr="00396E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A40E0" w14:textId="77777777" w:rsidR="00A15733" w:rsidRDefault="00A15733" w:rsidP="00A66F48">
      <w:pPr>
        <w:spacing w:after="0" w:line="240" w:lineRule="auto"/>
      </w:pPr>
      <w:r>
        <w:separator/>
      </w:r>
    </w:p>
  </w:endnote>
  <w:endnote w:type="continuationSeparator" w:id="0">
    <w:p w14:paraId="02B836EF" w14:textId="77777777" w:rsidR="00A15733" w:rsidRDefault="00A15733" w:rsidP="00A6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6BB0" w14:textId="77777777" w:rsidR="00A66F48" w:rsidRDefault="00A6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FC7CA" w14:textId="77777777" w:rsidR="00A66F48" w:rsidRDefault="00A66F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3CEA5" w14:textId="77777777" w:rsidR="00A66F48" w:rsidRDefault="00A6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75EA5" w14:textId="77777777" w:rsidR="00A15733" w:rsidRDefault="00A15733" w:rsidP="00A66F48">
      <w:pPr>
        <w:spacing w:after="0" w:line="240" w:lineRule="auto"/>
      </w:pPr>
      <w:r>
        <w:separator/>
      </w:r>
    </w:p>
  </w:footnote>
  <w:footnote w:type="continuationSeparator" w:id="0">
    <w:p w14:paraId="0AA1CF92" w14:textId="77777777" w:rsidR="00A15733" w:rsidRDefault="00A15733" w:rsidP="00A66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4F00" w14:textId="0D388EFB" w:rsidR="00A66F48" w:rsidRDefault="00A15733">
    <w:pPr>
      <w:pStyle w:val="Header"/>
    </w:pPr>
    <w:r>
      <w:rPr>
        <w:noProof/>
      </w:rPr>
      <w:pict w14:anchorId="0D22D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0EAF4" w14:textId="31B46CA0" w:rsidR="00A66F48" w:rsidRDefault="00A15733">
    <w:pPr>
      <w:pStyle w:val="Header"/>
    </w:pPr>
    <w:r>
      <w:rPr>
        <w:noProof/>
      </w:rPr>
      <w:pict w14:anchorId="7098D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0F1F" w14:textId="613C053D" w:rsidR="00A66F48" w:rsidRDefault="00A15733">
    <w:pPr>
      <w:pStyle w:val="Header"/>
    </w:pPr>
    <w:r>
      <w:rPr>
        <w:noProof/>
      </w:rPr>
      <w:pict w14:anchorId="724BC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799"/>
    <w:multiLevelType w:val="multilevel"/>
    <w:tmpl w:val="57CE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A28A8"/>
    <w:multiLevelType w:val="multilevel"/>
    <w:tmpl w:val="BB56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6C2D91"/>
    <w:multiLevelType w:val="multilevel"/>
    <w:tmpl w:val="808E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1B7"/>
    <w:rsid w:val="0000324B"/>
    <w:rsid w:val="00070E2F"/>
    <w:rsid w:val="000C27B7"/>
    <w:rsid w:val="001060A1"/>
    <w:rsid w:val="00107222"/>
    <w:rsid w:val="00265D31"/>
    <w:rsid w:val="00294ECA"/>
    <w:rsid w:val="003322E6"/>
    <w:rsid w:val="00396E58"/>
    <w:rsid w:val="005D50EF"/>
    <w:rsid w:val="0066363B"/>
    <w:rsid w:val="006D31B7"/>
    <w:rsid w:val="007047CD"/>
    <w:rsid w:val="007460B4"/>
    <w:rsid w:val="008379F6"/>
    <w:rsid w:val="0098486B"/>
    <w:rsid w:val="00A15733"/>
    <w:rsid w:val="00A66F48"/>
    <w:rsid w:val="00C66508"/>
    <w:rsid w:val="00CD26C4"/>
    <w:rsid w:val="00F0499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F9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C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2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24B"/>
    <w:rPr>
      <w:b/>
      <w:bCs/>
    </w:rPr>
  </w:style>
  <w:style w:type="character" w:styleId="Emphasis">
    <w:name w:val="Emphasis"/>
    <w:basedOn w:val="DefaultParagraphFont"/>
    <w:uiPriority w:val="20"/>
    <w:qFormat/>
    <w:rsid w:val="0000324B"/>
    <w:rPr>
      <w:i/>
      <w:iCs/>
    </w:rPr>
  </w:style>
  <w:style w:type="character" w:styleId="Hyperlink">
    <w:name w:val="Hyperlink"/>
    <w:basedOn w:val="DefaultParagraphFont"/>
    <w:uiPriority w:val="99"/>
    <w:unhideWhenUsed/>
    <w:rsid w:val="0000324B"/>
    <w:rPr>
      <w:color w:val="0000FF"/>
      <w:u w:val="single"/>
    </w:rPr>
  </w:style>
  <w:style w:type="paragraph" w:styleId="ListParagraph">
    <w:name w:val="List Paragraph"/>
    <w:basedOn w:val="Normal"/>
    <w:uiPriority w:val="34"/>
    <w:qFormat/>
    <w:rsid w:val="0000324B"/>
    <w:pPr>
      <w:ind w:left="720"/>
      <w:contextualSpacing/>
    </w:pPr>
  </w:style>
  <w:style w:type="character" w:customStyle="1" w:styleId="UnresolvedMention">
    <w:name w:val="Unresolved Mention"/>
    <w:basedOn w:val="DefaultParagraphFont"/>
    <w:uiPriority w:val="99"/>
    <w:semiHidden/>
    <w:unhideWhenUsed/>
    <w:rsid w:val="00C66508"/>
    <w:rPr>
      <w:color w:val="605E5C"/>
      <w:shd w:val="clear" w:color="auto" w:fill="E1DFDD"/>
    </w:rPr>
  </w:style>
  <w:style w:type="paragraph" w:styleId="Header">
    <w:name w:val="header"/>
    <w:basedOn w:val="Normal"/>
    <w:link w:val="HeaderChar"/>
    <w:uiPriority w:val="99"/>
    <w:unhideWhenUsed/>
    <w:rsid w:val="00A6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48"/>
    <w:rPr>
      <w:rFonts w:cs="Mangal"/>
    </w:rPr>
  </w:style>
  <w:style w:type="paragraph" w:styleId="Footer">
    <w:name w:val="footer"/>
    <w:basedOn w:val="Normal"/>
    <w:link w:val="FooterChar"/>
    <w:uiPriority w:val="99"/>
    <w:unhideWhenUsed/>
    <w:rsid w:val="00A6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48"/>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CA"/>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2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324B"/>
    <w:rPr>
      <w:b/>
      <w:bCs/>
    </w:rPr>
  </w:style>
  <w:style w:type="character" w:styleId="Emphasis">
    <w:name w:val="Emphasis"/>
    <w:basedOn w:val="DefaultParagraphFont"/>
    <w:uiPriority w:val="20"/>
    <w:qFormat/>
    <w:rsid w:val="0000324B"/>
    <w:rPr>
      <w:i/>
      <w:iCs/>
    </w:rPr>
  </w:style>
  <w:style w:type="character" w:styleId="Hyperlink">
    <w:name w:val="Hyperlink"/>
    <w:basedOn w:val="DefaultParagraphFont"/>
    <w:uiPriority w:val="99"/>
    <w:unhideWhenUsed/>
    <w:rsid w:val="0000324B"/>
    <w:rPr>
      <w:color w:val="0000FF"/>
      <w:u w:val="single"/>
    </w:rPr>
  </w:style>
  <w:style w:type="paragraph" w:styleId="ListParagraph">
    <w:name w:val="List Paragraph"/>
    <w:basedOn w:val="Normal"/>
    <w:uiPriority w:val="34"/>
    <w:qFormat/>
    <w:rsid w:val="0000324B"/>
    <w:pPr>
      <w:ind w:left="720"/>
      <w:contextualSpacing/>
    </w:pPr>
  </w:style>
  <w:style w:type="character" w:customStyle="1" w:styleId="UnresolvedMention">
    <w:name w:val="Unresolved Mention"/>
    <w:basedOn w:val="DefaultParagraphFont"/>
    <w:uiPriority w:val="99"/>
    <w:semiHidden/>
    <w:unhideWhenUsed/>
    <w:rsid w:val="00C66508"/>
    <w:rPr>
      <w:color w:val="605E5C"/>
      <w:shd w:val="clear" w:color="auto" w:fill="E1DFDD"/>
    </w:rPr>
  </w:style>
  <w:style w:type="paragraph" w:styleId="Header">
    <w:name w:val="header"/>
    <w:basedOn w:val="Normal"/>
    <w:link w:val="HeaderChar"/>
    <w:uiPriority w:val="99"/>
    <w:unhideWhenUsed/>
    <w:rsid w:val="00A6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48"/>
    <w:rPr>
      <w:rFonts w:cs="Mangal"/>
    </w:rPr>
  </w:style>
  <w:style w:type="paragraph" w:styleId="Footer">
    <w:name w:val="footer"/>
    <w:basedOn w:val="Normal"/>
    <w:link w:val="FooterChar"/>
    <w:uiPriority w:val="99"/>
    <w:unhideWhenUsed/>
    <w:rsid w:val="00A6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4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5800">
      <w:bodyDiv w:val="1"/>
      <w:marLeft w:val="0"/>
      <w:marRight w:val="0"/>
      <w:marTop w:val="0"/>
      <w:marBottom w:val="0"/>
      <w:divBdr>
        <w:top w:val="none" w:sz="0" w:space="0" w:color="auto"/>
        <w:left w:val="none" w:sz="0" w:space="0" w:color="auto"/>
        <w:bottom w:val="none" w:sz="0" w:space="0" w:color="auto"/>
        <w:right w:val="none" w:sz="0" w:space="0" w:color="auto"/>
      </w:divBdr>
    </w:div>
    <w:div w:id="185366346">
      <w:bodyDiv w:val="1"/>
      <w:marLeft w:val="0"/>
      <w:marRight w:val="0"/>
      <w:marTop w:val="0"/>
      <w:marBottom w:val="0"/>
      <w:divBdr>
        <w:top w:val="none" w:sz="0" w:space="0" w:color="auto"/>
        <w:left w:val="none" w:sz="0" w:space="0" w:color="auto"/>
        <w:bottom w:val="none" w:sz="0" w:space="0" w:color="auto"/>
        <w:right w:val="none" w:sz="0" w:space="0" w:color="auto"/>
      </w:divBdr>
    </w:div>
    <w:div w:id="348683502">
      <w:bodyDiv w:val="1"/>
      <w:marLeft w:val="0"/>
      <w:marRight w:val="0"/>
      <w:marTop w:val="0"/>
      <w:marBottom w:val="0"/>
      <w:divBdr>
        <w:top w:val="none" w:sz="0" w:space="0" w:color="auto"/>
        <w:left w:val="none" w:sz="0" w:space="0" w:color="auto"/>
        <w:bottom w:val="none" w:sz="0" w:space="0" w:color="auto"/>
        <w:right w:val="none" w:sz="0" w:space="0" w:color="auto"/>
      </w:divBdr>
    </w:div>
    <w:div w:id="394856717">
      <w:bodyDiv w:val="1"/>
      <w:marLeft w:val="0"/>
      <w:marRight w:val="0"/>
      <w:marTop w:val="0"/>
      <w:marBottom w:val="0"/>
      <w:divBdr>
        <w:top w:val="none" w:sz="0" w:space="0" w:color="auto"/>
        <w:left w:val="none" w:sz="0" w:space="0" w:color="auto"/>
        <w:bottom w:val="none" w:sz="0" w:space="0" w:color="auto"/>
        <w:right w:val="none" w:sz="0" w:space="0" w:color="auto"/>
      </w:divBdr>
    </w:div>
    <w:div w:id="486939199">
      <w:bodyDiv w:val="1"/>
      <w:marLeft w:val="0"/>
      <w:marRight w:val="0"/>
      <w:marTop w:val="0"/>
      <w:marBottom w:val="0"/>
      <w:divBdr>
        <w:top w:val="none" w:sz="0" w:space="0" w:color="auto"/>
        <w:left w:val="none" w:sz="0" w:space="0" w:color="auto"/>
        <w:bottom w:val="none" w:sz="0" w:space="0" w:color="auto"/>
        <w:right w:val="none" w:sz="0" w:space="0" w:color="auto"/>
      </w:divBdr>
    </w:div>
    <w:div w:id="494885009">
      <w:bodyDiv w:val="1"/>
      <w:marLeft w:val="0"/>
      <w:marRight w:val="0"/>
      <w:marTop w:val="0"/>
      <w:marBottom w:val="0"/>
      <w:divBdr>
        <w:top w:val="none" w:sz="0" w:space="0" w:color="auto"/>
        <w:left w:val="none" w:sz="0" w:space="0" w:color="auto"/>
        <w:bottom w:val="none" w:sz="0" w:space="0" w:color="auto"/>
        <w:right w:val="none" w:sz="0" w:space="0" w:color="auto"/>
      </w:divBdr>
    </w:div>
    <w:div w:id="525141195">
      <w:bodyDiv w:val="1"/>
      <w:marLeft w:val="0"/>
      <w:marRight w:val="0"/>
      <w:marTop w:val="0"/>
      <w:marBottom w:val="0"/>
      <w:divBdr>
        <w:top w:val="none" w:sz="0" w:space="0" w:color="auto"/>
        <w:left w:val="none" w:sz="0" w:space="0" w:color="auto"/>
        <w:bottom w:val="none" w:sz="0" w:space="0" w:color="auto"/>
        <w:right w:val="none" w:sz="0" w:space="0" w:color="auto"/>
      </w:divBdr>
    </w:div>
    <w:div w:id="538980914">
      <w:bodyDiv w:val="1"/>
      <w:marLeft w:val="0"/>
      <w:marRight w:val="0"/>
      <w:marTop w:val="0"/>
      <w:marBottom w:val="0"/>
      <w:divBdr>
        <w:top w:val="none" w:sz="0" w:space="0" w:color="auto"/>
        <w:left w:val="none" w:sz="0" w:space="0" w:color="auto"/>
        <w:bottom w:val="none" w:sz="0" w:space="0" w:color="auto"/>
        <w:right w:val="none" w:sz="0" w:space="0" w:color="auto"/>
      </w:divBdr>
    </w:div>
    <w:div w:id="654141586">
      <w:bodyDiv w:val="1"/>
      <w:marLeft w:val="0"/>
      <w:marRight w:val="0"/>
      <w:marTop w:val="0"/>
      <w:marBottom w:val="0"/>
      <w:divBdr>
        <w:top w:val="none" w:sz="0" w:space="0" w:color="auto"/>
        <w:left w:val="none" w:sz="0" w:space="0" w:color="auto"/>
        <w:bottom w:val="none" w:sz="0" w:space="0" w:color="auto"/>
        <w:right w:val="none" w:sz="0" w:space="0" w:color="auto"/>
      </w:divBdr>
    </w:div>
    <w:div w:id="780146550">
      <w:bodyDiv w:val="1"/>
      <w:marLeft w:val="0"/>
      <w:marRight w:val="0"/>
      <w:marTop w:val="0"/>
      <w:marBottom w:val="0"/>
      <w:divBdr>
        <w:top w:val="none" w:sz="0" w:space="0" w:color="auto"/>
        <w:left w:val="none" w:sz="0" w:space="0" w:color="auto"/>
        <w:bottom w:val="none" w:sz="0" w:space="0" w:color="auto"/>
        <w:right w:val="none" w:sz="0" w:space="0" w:color="auto"/>
      </w:divBdr>
    </w:div>
    <w:div w:id="1156919785">
      <w:bodyDiv w:val="1"/>
      <w:marLeft w:val="0"/>
      <w:marRight w:val="0"/>
      <w:marTop w:val="0"/>
      <w:marBottom w:val="0"/>
      <w:divBdr>
        <w:top w:val="none" w:sz="0" w:space="0" w:color="auto"/>
        <w:left w:val="none" w:sz="0" w:space="0" w:color="auto"/>
        <w:bottom w:val="none" w:sz="0" w:space="0" w:color="auto"/>
        <w:right w:val="none" w:sz="0" w:space="0" w:color="auto"/>
      </w:divBdr>
    </w:div>
    <w:div w:id="1225876553">
      <w:bodyDiv w:val="1"/>
      <w:marLeft w:val="0"/>
      <w:marRight w:val="0"/>
      <w:marTop w:val="0"/>
      <w:marBottom w:val="0"/>
      <w:divBdr>
        <w:top w:val="none" w:sz="0" w:space="0" w:color="auto"/>
        <w:left w:val="none" w:sz="0" w:space="0" w:color="auto"/>
        <w:bottom w:val="none" w:sz="0" w:space="0" w:color="auto"/>
        <w:right w:val="none" w:sz="0" w:space="0" w:color="auto"/>
      </w:divBdr>
    </w:div>
    <w:div w:id="1288466387">
      <w:bodyDiv w:val="1"/>
      <w:marLeft w:val="0"/>
      <w:marRight w:val="0"/>
      <w:marTop w:val="0"/>
      <w:marBottom w:val="0"/>
      <w:divBdr>
        <w:top w:val="none" w:sz="0" w:space="0" w:color="auto"/>
        <w:left w:val="none" w:sz="0" w:space="0" w:color="auto"/>
        <w:bottom w:val="none" w:sz="0" w:space="0" w:color="auto"/>
        <w:right w:val="none" w:sz="0" w:space="0" w:color="auto"/>
      </w:divBdr>
    </w:div>
    <w:div w:id="1345323713">
      <w:bodyDiv w:val="1"/>
      <w:marLeft w:val="0"/>
      <w:marRight w:val="0"/>
      <w:marTop w:val="0"/>
      <w:marBottom w:val="0"/>
      <w:divBdr>
        <w:top w:val="none" w:sz="0" w:space="0" w:color="auto"/>
        <w:left w:val="none" w:sz="0" w:space="0" w:color="auto"/>
        <w:bottom w:val="none" w:sz="0" w:space="0" w:color="auto"/>
        <w:right w:val="none" w:sz="0" w:space="0" w:color="auto"/>
      </w:divBdr>
    </w:div>
    <w:div w:id="1364555172">
      <w:bodyDiv w:val="1"/>
      <w:marLeft w:val="0"/>
      <w:marRight w:val="0"/>
      <w:marTop w:val="0"/>
      <w:marBottom w:val="0"/>
      <w:divBdr>
        <w:top w:val="none" w:sz="0" w:space="0" w:color="auto"/>
        <w:left w:val="none" w:sz="0" w:space="0" w:color="auto"/>
        <w:bottom w:val="none" w:sz="0" w:space="0" w:color="auto"/>
        <w:right w:val="none" w:sz="0" w:space="0" w:color="auto"/>
      </w:divBdr>
    </w:div>
    <w:div w:id="1508515069">
      <w:bodyDiv w:val="1"/>
      <w:marLeft w:val="0"/>
      <w:marRight w:val="0"/>
      <w:marTop w:val="0"/>
      <w:marBottom w:val="0"/>
      <w:divBdr>
        <w:top w:val="none" w:sz="0" w:space="0" w:color="auto"/>
        <w:left w:val="none" w:sz="0" w:space="0" w:color="auto"/>
        <w:bottom w:val="none" w:sz="0" w:space="0" w:color="auto"/>
        <w:right w:val="none" w:sz="0" w:space="0" w:color="auto"/>
      </w:divBdr>
    </w:div>
    <w:div w:id="1617325615">
      <w:bodyDiv w:val="1"/>
      <w:marLeft w:val="0"/>
      <w:marRight w:val="0"/>
      <w:marTop w:val="0"/>
      <w:marBottom w:val="0"/>
      <w:divBdr>
        <w:top w:val="none" w:sz="0" w:space="0" w:color="auto"/>
        <w:left w:val="none" w:sz="0" w:space="0" w:color="auto"/>
        <w:bottom w:val="none" w:sz="0" w:space="0" w:color="auto"/>
        <w:right w:val="none" w:sz="0" w:space="0" w:color="auto"/>
      </w:divBdr>
    </w:div>
    <w:div w:id="1793280332">
      <w:bodyDiv w:val="1"/>
      <w:marLeft w:val="0"/>
      <w:marRight w:val="0"/>
      <w:marTop w:val="0"/>
      <w:marBottom w:val="0"/>
      <w:divBdr>
        <w:top w:val="none" w:sz="0" w:space="0" w:color="auto"/>
        <w:left w:val="none" w:sz="0" w:space="0" w:color="auto"/>
        <w:bottom w:val="none" w:sz="0" w:space="0" w:color="auto"/>
        <w:right w:val="none" w:sz="0" w:space="0" w:color="auto"/>
      </w:divBdr>
    </w:div>
    <w:div w:id="1826585859">
      <w:bodyDiv w:val="1"/>
      <w:marLeft w:val="0"/>
      <w:marRight w:val="0"/>
      <w:marTop w:val="0"/>
      <w:marBottom w:val="0"/>
      <w:divBdr>
        <w:top w:val="none" w:sz="0" w:space="0" w:color="auto"/>
        <w:left w:val="none" w:sz="0" w:space="0" w:color="auto"/>
        <w:bottom w:val="none" w:sz="0" w:space="0" w:color="auto"/>
        <w:right w:val="none" w:sz="0" w:space="0" w:color="auto"/>
      </w:divBdr>
    </w:div>
    <w:div w:id="20763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cidcentral.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isc.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9224</Words>
  <Characters>52581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2025-07-21T02:39:00Z</dcterms:created>
  <dcterms:modified xsi:type="dcterms:W3CDTF">2025-08-26T15:42:00Z</dcterms:modified>
</cp:coreProperties>
</file>