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279D" w14:textId="77777777" w:rsidR="00F77B32" w:rsidRDefault="00F77B32" w:rsidP="00B72BC3">
      <w:pPr>
        <w:spacing w:line="240" w:lineRule="auto"/>
        <w:jc w:val="right"/>
        <w:rPr>
          <w:rFonts w:ascii="Calibri" w:hAnsi="Calibri" w:cs="Calibri"/>
        </w:rPr>
      </w:pPr>
      <w:r>
        <w:rPr>
          <w:rFonts w:ascii="Calibri" w:hAnsi="Calibri" w:cs="Calibri"/>
        </w:rPr>
        <w:t>Original Research Article</w:t>
      </w:r>
    </w:p>
    <w:p w14:paraId="081265AC" w14:textId="77777777" w:rsidR="00F77B32" w:rsidRDefault="00F77B32" w:rsidP="00B72BC3">
      <w:pPr>
        <w:spacing w:line="240" w:lineRule="auto"/>
        <w:jc w:val="right"/>
        <w:rPr>
          <w:rFonts w:ascii="Calibri" w:hAnsi="Calibri" w:cs="Calibri"/>
        </w:rPr>
      </w:pPr>
    </w:p>
    <w:p w14:paraId="3065BBCA" w14:textId="73E089C6" w:rsidR="00DC5731" w:rsidRPr="00860259" w:rsidRDefault="00DC5731" w:rsidP="00B72BC3">
      <w:pPr>
        <w:spacing w:line="240" w:lineRule="auto"/>
        <w:jc w:val="right"/>
        <w:rPr>
          <w:rFonts w:ascii="Arial" w:hAnsi="Arial" w:cs="Arial"/>
          <w:b/>
          <w:bCs/>
          <w:sz w:val="36"/>
          <w:szCs w:val="36"/>
        </w:rPr>
      </w:pPr>
      <w:r w:rsidRPr="00860259">
        <w:rPr>
          <w:rFonts w:ascii="Arial" w:hAnsi="Arial" w:cs="Arial"/>
          <w:b/>
          <w:bCs/>
          <w:sz w:val="36"/>
          <w:szCs w:val="36"/>
          <w:shd w:val="clear" w:color="auto" w:fill="FFFFFF"/>
        </w:rPr>
        <w:t>Synthesis, Characterization</w:t>
      </w:r>
      <w:r w:rsidR="000F1C1F" w:rsidRPr="00860259">
        <w:rPr>
          <w:rFonts w:ascii="Arial" w:hAnsi="Arial" w:cs="Arial"/>
          <w:b/>
          <w:bCs/>
          <w:sz w:val="36"/>
          <w:szCs w:val="36"/>
          <w:shd w:val="clear" w:color="auto" w:fill="FFFFFF"/>
        </w:rPr>
        <w:t>,</w:t>
      </w:r>
      <w:r w:rsidRPr="00860259">
        <w:rPr>
          <w:rFonts w:ascii="Arial" w:hAnsi="Arial" w:cs="Arial"/>
          <w:b/>
          <w:bCs/>
          <w:sz w:val="36"/>
          <w:szCs w:val="36"/>
          <w:shd w:val="clear" w:color="auto" w:fill="FFFFFF"/>
        </w:rPr>
        <w:t xml:space="preserve"> and Antimicrobial Activities of </w:t>
      </w:r>
      <w:r w:rsidR="00BA4A0E" w:rsidRPr="00860259">
        <w:rPr>
          <w:rFonts w:ascii="Arial" w:hAnsi="Arial" w:cs="Arial"/>
          <w:b/>
          <w:bCs/>
          <w:sz w:val="36"/>
          <w:szCs w:val="36"/>
        </w:rPr>
        <w:t>(E)-2-(2-aminothiazol-4-yl)-N'-(2-</w:t>
      </w:r>
      <w:proofErr w:type="gramStart"/>
      <w:r w:rsidR="00BA4A0E" w:rsidRPr="00860259">
        <w:rPr>
          <w:rFonts w:ascii="Arial" w:hAnsi="Arial" w:cs="Arial"/>
          <w:b/>
          <w:bCs/>
          <w:sz w:val="36"/>
          <w:szCs w:val="36"/>
        </w:rPr>
        <w:t>nitrobenzylidene)acetohydrazide</w:t>
      </w:r>
      <w:proofErr w:type="gramEnd"/>
      <w:r w:rsidR="00BA4A0E" w:rsidRPr="00860259">
        <w:rPr>
          <w:rFonts w:ascii="Arial" w:hAnsi="Arial" w:cs="Arial"/>
          <w:b/>
          <w:bCs/>
          <w:sz w:val="36"/>
          <w:szCs w:val="36"/>
        </w:rPr>
        <w:t xml:space="preserve"> </w:t>
      </w:r>
      <w:r w:rsidRPr="00860259">
        <w:rPr>
          <w:rFonts w:ascii="Arial" w:hAnsi="Arial" w:cs="Arial"/>
          <w:b/>
          <w:bCs/>
          <w:sz w:val="36"/>
          <w:szCs w:val="36"/>
        </w:rPr>
        <w:t>Ligand and Its Co(II) Complex</w:t>
      </w:r>
    </w:p>
    <w:p w14:paraId="0A58641F" w14:textId="77777777" w:rsidR="000A0C81" w:rsidRPr="00844F9C" w:rsidRDefault="000A0C81" w:rsidP="000A0C81">
      <w:pPr>
        <w:spacing w:line="240" w:lineRule="auto"/>
        <w:rPr>
          <w:rFonts w:ascii="Arial" w:hAnsi="Arial" w:cs="Arial"/>
          <w:b/>
          <w:bCs/>
          <w:sz w:val="24"/>
          <w:szCs w:val="24"/>
          <w:shd w:val="clear" w:color="auto" w:fill="FFFFFF"/>
        </w:rPr>
      </w:pPr>
    </w:p>
    <w:p w14:paraId="2B602BC6" w14:textId="77777777" w:rsidR="000A0C81" w:rsidRPr="000A0C81" w:rsidRDefault="000A0C81" w:rsidP="000A0C81">
      <w:pPr>
        <w:spacing w:after="0" w:line="240" w:lineRule="auto"/>
        <w:ind w:left="720"/>
        <w:jc w:val="right"/>
        <w:rPr>
          <w:rFonts w:ascii="Arial" w:hAnsi="Arial" w:cs="Arial"/>
          <w:i/>
          <w:iCs/>
          <w:noProof/>
          <w:sz w:val="20"/>
          <w:szCs w:val="20"/>
        </w:rPr>
      </w:pPr>
    </w:p>
    <w:p w14:paraId="475EED37" w14:textId="77777777" w:rsidR="00965FB0" w:rsidRPr="00860259" w:rsidRDefault="00965FB0" w:rsidP="00B72BC3">
      <w:pPr>
        <w:spacing w:line="240" w:lineRule="auto"/>
        <w:jc w:val="both"/>
        <w:rPr>
          <w:rFonts w:ascii="Arial" w:hAnsi="Arial" w:cs="Arial"/>
          <w:sz w:val="24"/>
          <w:szCs w:val="24"/>
          <w:shd w:val="clear" w:color="auto" w:fill="FFFFFF"/>
        </w:rPr>
      </w:pPr>
    </w:p>
    <w:p w14:paraId="44537B65" w14:textId="6F71D63A" w:rsidR="000E35EE" w:rsidRPr="00860259" w:rsidRDefault="000E35EE" w:rsidP="00B72BC3">
      <w:pPr>
        <w:pStyle w:val="AbstHead"/>
        <w:spacing w:after="0"/>
        <w:rPr>
          <w:rFonts w:ascii="Arial" w:hAnsi="Arial" w:cs="Arial"/>
        </w:rPr>
      </w:pPr>
      <w:r w:rsidRPr="00860259">
        <w:rPr>
          <w:rFonts w:ascii="Arial" w:hAnsi="Arial" w:cs="Arial"/>
        </w:rPr>
        <w:t>ABSTRACT</w:t>
      </w:r>
    </w:p>
    <w:p w14:paraId="4B93DD79" w14:textId="77777777" w:rsidR="00531E98" w:rsidRDefault="00531E98" w:rsidP="00AF4090">
      <w:pPr>
        <w:spacing w:line="240" w:lineRule="auto"/>
        <w:rPr>
          <w:rStyle w:val="Strong"/>
        </w:rPr>
      </w:pPr>
    </w:p>
    <w:p w14:paraId="58DA521F" w14:textId="4B00C3E2" w:rsidR="00AF4090" w:rsidRDefault="0059615C" w:rsidP="00A57573">
      <w:pPr>
        <w:spacing w:line="240" w:lineRule="auto"/>
        <w:jc w:val="both"/>
        <w:rPr>
          <w:rFonts w:ascii="Arial" w:hAnsi="Arial" w:cs="Arial"/>
          <w:sz w:val="20"/>
          <w:szCs w:val="20"/>
        </w:rPr>
      </w:pPr>
      <w:r>
        <w:rPr>
          <w:rFonts w:ascii="Arial" w:hAnsi="Arial" w:cs="Arial"/>
          <w:sz w:val="20"/>
          <w:szCs w:val="20"/>
        </w:rPr>
        <w:t xml:space="preserve">The </w:t>
      </w:r>
      <w:r w:rsidR="00CB7577">
        <w:rPr>
          <w:rFonts w:ascii="Arial" w:hAnsi="Arial" w:cs="Arial"/>
          <w:sz w:val="20"/>
          <w:szCs w:val="20"/>
        </w:rPr>
        <w:t>biological and pharmacological applications of Hydrazone Schiff base ligands and their metal complexes have been the</w:t>
      </w:r>
      <w:r w:rsidR="00D74AAF">
        <w:rPr>
          <w:rFonts w:ascii="Arial" w:hAnsi="Arial" w:cs="Arial"/>
          <w:sz w:val="20"/>
          <w:szCs w:val="20"/>
        </w:rPr>
        <w:t xml:space="preserve"> focus of recent </w:t>
      </w:r>
      <w:r w:rsidR="00DE27F9">
        <w:rPr>
          <w:rFonts w:ascii="Arial" w:hAnsi="Arial" w:cs="Arial"/>
          <w:sz w:val="20"/>
          <w:szCs w:val="20"/>
        </w:rPr>
        <w:t>research</w:t>
      </w:r>
      <w:r w:rsidR="00E80C56">
        <w:rPr>
          <w:rFonts w:ascii="Arial" w:hAnsi="Arial" w:cs="Arial"/>
          <w:sz w:val="20"/>
          <w:szCs w:val="20"/>
        </w:rPr>
        <w:t>, aiming to mitigate the effects</w:t>
      </w:r>
      <w:r w:rsidR="00DE27F9">
        <w:rPr>
          <w:rFonts w:ascii="Arial" w:hAnsi="Arial" w:cs="Arial"/>
          <w:sz w:val="20"/>
          <w:szCs w:val="20"/>
        </w:rPr>
        <w:t xml:space="preserve"> of </w:t>
      </w:r>
      <w:r w:rsidR="00E80C56">
        <w:rPr>
          <w:rFonts w:ascii="Arial" w:hAnsi="Arial" w:cs="Arial"/>
          <w:sz w:val="20"/>
          <w:szCs w:val="20"/>
        </w:rPr>
        <w:t xml:space="preserve">multidrug-resistant </w:t>
      </w:r>
      <w:r w:rsidR="005F529D">
        <w:rPr>
          <w:rFonts w:ascii="Times New Roman" w:hAnsi="Times New Roman" w:cs="Times New Roman"/>
          <w:sz w:val="24"/>
          <w:szCs w:val="24"/>
        </w:rPr>
        <w:t>bacterial and fungal infections.</w:t>
      </w:r>
      <w:r w:rsidR="00D74AAF">
        <w:rPr>
          <w:rFonts w:ascii="Arial" w:hAnsi="Arial" w:cs="Arial"/>
          <w:sz w:val="20"/>
          <w:szCs w:val="20"/>
        </w:rPr>
        <w:t xml:space="preserve"> </w:t>
      </w:r>
      <w:r w:rsidR="00AF4090" w:rsidRPr="00531E98">
        <w:rPr>
          <w:rFonts w:ascii="Arial" w:hAnsi="Arial" w:cs="Arial"/>
          <w:sz w:val="20"/>
          <w:szCs w:val="20"/>
        </w:rPr>
        <w:t>This study aimed to synthesize, characterize, and evaluate the antimicrobial activities of a hydrazone Schiff base ligand, (E)-2-(2-aminothiazol-4-yl)-N'-(2-</w:t>
      </w:r>
      <w:proofErr w:type="gramStart"/>
      <w:r w:rsidR="00AF4090" w:rsidRPr="00531E98">
        <w:rPr>
          <w:rFonts w:ascii="Arial" w:hAnsi="Arial" w:cs="Arial"/>
          <w:sz w:val="20"/>
          <w:szCs w:val="20"/>
        </w:rPr>
        <w:t>nitrobenzylidene)acetohydrazide</w:t>
      </w:r>
      <w:proofErr w:type="gramEnd"/>
      <w:r w:rsidR="00AF4090" w:rsidRPr="00531E98">
        <w:rPr>
          <w:rFonts w:ascii="Arial" w:hAnsi="Arial" w:cs="Arial"/>
          <w:sz w:val="20"/>
          <w:szCs w:val="20"/>
        </w:rPr>
        <w:t>, and its Co(II) complex, in order to explore their potential as antimicrobial agents.</w:t>
      </w:r>
      <w:r w:rsidR="000B5E84">
        <w:rPr>
          <w:rFonts w:ascii="Arial" w:hAnsi="Arial" w:cs="Arial"/>
          <w:sz w:val="20"/>
          <w:szCs w:val="20"/>
        </w:rPr>
        <w:t xml:space="preserve"> </w:t>
      </w:r>
      <w:r w:rsidR="00AF4090" w:rsidRPr="00531E98">
        <w:rPr>
          <w:rFonts w:ascii="Arial" w:hAnsi="Arial" w:cs="Arial"/>
          <w:sz w:val="20"/>
          <w:szCs w:val="20"/>
        </w:rPr>
        <w:t>The ligand was synthesized by condensing 2-(2-aminothiazol-4-</w:t>
      </w:r>
      <w:proofErr w:type="gramStart"/>
      <w:r w:rsidR="00AF4090" w:rsidRPr="00531E98">
        <w:rPr>
          <w:rFonts w:ascii="Arial" w:hAnsi="Arial" w:cs="Arial"/>
          <w:sz w:val="20"/>
          <w:szCs w:val="20"/>
        </w:rPr>
        <w:t>yl)</w:t>
      </w:r>
      <w:proofErr w:type="spellStart"/>
      <w:r w:rsidR="00AF4090" w:rsidRPr="00531E98">
        <w:rPr>
          <w:rFonts w:ascii="Arial" w:hAnsi="Arial" w:cs="Arial"/>
          <w:sz w:val="20"/>
          <w:szCs w:val="20"/>
        </w:rPr>
        <w:t>acetohydrazide</w:t>
      </w:r>
      <w:proofErr w:type="spellEnd"/>
      <w:proofErr w:type="gramEnd"/>
      <w:r w:rsidR="00AF4090" w:rsidRPr="00531E98">
        <w:rPr>
          <w:rFonts w:ascii="Arial" w:hAnsi="Arial" w:cs="Arial"/>
          <w:sz w:val="20"/>
          <w:szCs w:val="20"/>
        </w:rPr>
        <w:t xml:space="preserve"> with 2-nitrobenzaldehyde in ethanol, while the Co(II) complex was prepared in a 1:2 metal-to-ligand ratio. Both compounds were characterized by FTIR, UV–Vis, ¹H NMR, XRD, and GC–MS. Antimicrobial activities were assessed by disc diffusion, minimum inhibitory concentration (MIC), and minimum bactericidal/fungicidal concentration (MBC/MFC) methods against </w:t>
      </w:r>
      <w:r w:rsidR="00AF4090" w:rsidRPr="00531E98">
        <w:rPr>
          <w:rStyle w:val="Emphasis"/>
          <w:rFonts w:ascii="Arial" w:hAnsi="Arial" w:cs="Arial"/>
          <w:sz w:val="20"/>
          <w:szCs w:val="20"/>
        </w:rPr>
        <w:t>Escherichia coli</w:t>
      </w:r>
      <w:r w:rsidR="00AF4090" w:rsidRPr="00531E98">
        <w:rPr>
          <w:rFonts w:ascii="Arial" w:hAnsi="Arial" w:cs="Arial"/>
          <w:sz w:val="20"/>
          <w:szCs w:val="20"/>
        </w:rPr>
        <w:t xml:space="preserve">, </w:t>
      </w:r>
      <w:r w:rsidR="00AF4090" w:rsidRPr="00531E98">
        <w:rPr>
          <w:rStyle w:val="Emphasis"/>
          <w:rFonts w:ascii="Arial" w:hAnsi="Arial" w:cs="Arial"/>
          <w:sz w:val="20"/>
          <w:szCs w:val="20"/>
        </w:rPr>
        <w:t>Salmonella typhi</w:t>
      </w:r>
      <w:r w:rsidR="00AF4090" w:rsidRPr="00531E98">
        <w:rPr>
          <w:rFonts w:ascii="Arial" w:hAnsi="Arial" w:cs="Arial"/>
          <w:sz w:val="20"/>
          <w:szCs w:val="20"/>
        </w:rPr>
        <w:t xml:space="preserve">, </w:t>
      </w:r>
      <w:r w:rsidR="00AF4090" w:rsidRPr="00531E98">
        <w:rPr>
          <w:rStyle w:val="Emphasis"/>
          <w:rFonts w:ascii="Arial" w:hAnsi="Arial" w:cs="Arial"/>
          <w:sz w:val="20"/>
          <w:szCs w:val="20"/>
        </w:rPr>
        <w:t>Staphylococcus aureus</w:t>
      </w:r>
      <w:r w:rsidR="00AF4090" w:rsidRPr="00531E98">
        <w:rPr>
          <w:rFonts w:ascii="Arial" w:hAnsi="Arial" w:cs="Arial"/>
          <w:sz w:val="20"/>
          <w:szCs w:val="20"/>
        </w:rPr>
        <w:t xml:space="preserve">, </w:t>
      </w:r>
      <w:r w:rsidR="00AF4090" w:rsidRPr="00531E98">
        <w:rPr>
          <w:rStyle w:val="Emphasis"/>
          <w:rFonts w:ascii="Arial" w:hAnsi="Arial" w:cs="Arial"/>
          <w:sz w:val="20"/>
          <w:szCs w:val="20"/>
        </w:rPr>
        <w:t>Streptococcus pyogenes</w:t>
      </w:r>
      <w:r w:rsidR="00AF4090" w:rsidRPr="00531E98">
        <w:rPr>
          <w:rFonts w:ascii="Arial" w:hAnsi="Arial" w:cs="Arial"/>
          <w:sz w:val="20"/>
          <w:szCs w:val="20"/>
        </w:rPr>
        <w:t xml:space="preserve">, and </w:t>
      </w:r>
      <w:r w:rsidR="00AF4090" w:rsidRPr="00531E98">
        <w:rPr>
          <w:rStyle w:val="Emphasis"/>
          <w:rFonts w:ascii="Arial" w:hAnsi="Arial" w:cs="Arial"/>
          <w:sz w:val="20"/>
          <w:szCs w:val="20"/>
        </w:rPr>
        <w:t xml:space="preserve">Candida </w:t>
      </w:r>
      <w:proofErr w:type="spellStart"/>
      <w:proofErr w:type="gramStart"/>
      <w:r w:rsidR="00AF4090" w:rsidRPr="00531E98">
        <w:rPr>
          <w:rStyle w:val="Emphasis"/>
          <w:rFonts w:ascii="Arial" w:hAnsi="Arial" w:cs="Arial"/>
          <w:sz w:val="20"/>
          <w:szCs w:val="20"/>
        </w:rPr>
        <w:t>albicans</w:t>
      </w:r>
      <w:r w:rsidR="00AF4090" w:rsidRPr="00531E98">
        <w:rPr>
          <w:rFonts w:ascii="Arial" w:hAnsi="Arial" w:cs="Arial"/>
          <w:sz w:val="20"/>
          <w:szCs w:val="20"/>
        </w:rPr>
        <w:t>.The</w:t>
      </w:r>
      <w:proofErr w:type="spellEnd"/>
      <w:proofErr w:type="gramEnd"/>
      <w:r w:rsidR="00AF4090" w:rsidRPr="00531E98">
        <w:rPr>
          <w:rFonts w:ascii="Arial" w:hAnsi="Arial" w:cs="Arial"/>
          <w:sz w:val="20"/>
          <w:szCs w:val="20"/>
        </w:rPr>
        <w:t xml:space="preserve"> ligand and its Co(II) complex were obtained in yields of 55.2% and 70%, with melting points of 150°C and 155°C, respectively. Spectroscopic and diffraction studies confirmed successful synthesis and coordination. The ligand exhibited moderate antibacterial activity but limited antifungal efficacy, whereas the </w:t>
      </w:r>
      <w:proofErr w:type="gramStart"/>
      <w:r w:rsidR="00AF4090" w:rsidRPr="00531E98">
        <w:rPr>
          <w:rFonts w:ascii="Arial" w:hAnsi="Arial" w:cs="Arial"/>
          <w:sz w:val="20"/>
          <w:szCs w:val="20"/>
        </w:rPr>
        <w:t>Co(</w:t>
      </w:r>
      <w:proofErr w:type="gramEnd"/>
      <w:r w:rsidR="00AF4090" w:rsidRPr="00531E98">
        <w:rPr>
          <w:rFonts w:ascii="Arial" w:hAnsi="Arial" w:cs="Arial"/>
          <w:sz w:val="20"/>
          <w:szCs w:val="20"/>
        </w:rPr>
        <w:t>II) complex displayed broader activity</w:t>
      </w:r>
      <w:r w:rsidR="00531E98">
        <w:rPr>
          <w:rFonts w:ascii="Arial" w:hAnsi="Arial" w:cs="Arial"/>
          <w:sz w:val="20"/>
          <w:szCs w:val="20"/>
        </w:rPr>
        <w:t xml:space="preserve">, with zones of inhibition reaching up to 20 mm and lower MIC values (250–500 </w:t>
      </w:r>
      <w:proofErr w:type="spellStart"/>
      <w:r w:rsidR="00531E98">
        <w:rPr>
          <w:rFonts w:ascii="Arial" w:hAnsi="Arial" w:cs="Arial"/>
          <w:sz w:val="20"/>
          <w:szCs w:val="20"/>
        </w:rPr>
        <w:t>μg</w:t>
      </w:r>
      <w:proofErr w:type="spellEnd"/>
      <w:r w:rsidR="00AF4090" w:rsidRPr="00531E98">
        <w:rPr>
          <w:rFonts w:ascii="Arial" w:hAnsi="Arial" w:cs="Arial"/>
          <w:sz w:val="20"/>
          <w:szCs w:val="20"/>
        </w:rPr>
        <w:t>/mL). Neither compound demonstrated bactericidal/fungicidal effects (MBC/MFC: not detected).</w:t>
      </w:r>
      <w:r w:rsidR="00EF50D3">
        <w:rPr>
          <w:rFonts w:ascii="Arial" w:hAnsi="Arial" w:cs="Arial"/>
          <w:sz w:val="20"/>
          <w:szCs w:val="20"/>
        </w:rPr>
        <w:t xml:space="preserve"> </w:t>
      </w:r>
      <w:r w:rsidR="00AF4090" w:rsidRPr="00531E98">
        <w:rPr>
          <w:rFonts w:ascii="Arial" w:hAnsi="Arial" w:cs="Arial"/>
          <w:sz w:val="20"/>
          <w:szCs w:val="20"/>
        </w:rPr>
        <w:t xml:space="preserve">Coordination with </w:t>
      </w:r>
      <w:proofErr w:type="gramStart"/>
      <w:r w:rsidR="00AF4090" w:rsidRPr="00531E98">
        <w:rPr>
          <w:rFonts w:ascii="Arial" w:hAnsi="Arial" w:cs="Arial"/>
          <w:sz w:val="20"/>
          <w:szCs w:val="20"/>
        </w:rPr>
        <w:t>Co(</w:t>
      </w:r>
      <w:proofErr w:type="gramEnd"/>
      <w:r w:rsidR="00AF4090" w:rsidRPr="00531E98">
        <w:rPr>
          <w:rFonts w:ascii="Arial" w:hAnsi="Arial" w:cs="Arial"/>
          <w:sz w:val="20"/>
          <w:szCs w:val="20"/>
        </w:rPr>
        <w:t>II) enhanced the antimicrobial spectrum of the Schiff base ligand, suggesting potential as a lead for further antimicrobial drug development.</w:t>
      </w:r>
    </w:p>
    <w:p w14:paraId="5A14BF7B" w14:textId="77777777" w:rsidR="000A0C81" w:rsidRDefault="000A0C81" w:rsidP="000A0C81">
      <w:pPr>
        <w:spacing w:line="240" w:lineRule="auto"/>
        <w:jc w:val="both"/>
        <w:rPr>
          <w:rFonts w:ascii="Arial" w:hAnsi="Arial" w:cs="Arial"/>
          <w:sz w:val="24"/>
          <w:szCs w:val="24"/>
          <w:shd w:val="clear" w:color="auto" w:fill="FFFFFF"/>
        </w:rPr>
      </w:pPr>
      <w:r w:rsidRPr="00860259">
        <w:rPr>
          <w:rFonts w:ascii="Arial" w:hAnsi="Arial" w:cs="Arial"/>
          <w:noProof/>
          <w:lang w:val="en-US"/>
        </w:rPr>
        <mc:AlternateContent>
          <mc:Choice Requires="wps">
            <w:drawing>
              <wp:inline distT="0" distB="0" distL="0" distR="0" wp14:anchorId="29D95E8E" wp14:editId="130D3E49">
                <wp:extent cx="5741670" cy="45719"/>
                <wp:effectExtent l="0" t="0" r="3048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BA3A4B" id="_x0000_t32" coordsize="21600,21600" o:spt="32" o:oned="t" path="m,l21600,21600e" filled="f">
                <v:path arrowok="t" fillok="f" o:connecttype="none"/>
                <o:lock v:ext="edit" shapetype="t"/>
              </v:shapetype>
              <v:shape id="Straight Arrow Connector 1" o:spid="_x0000_s1026" type="#_x0000_t32" style="width:452.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" strokeweight="1.5pt">
                <w10:anchorlock/>
              </v:shape>
            </w:pict>
          </mc:Fallback>
        </mc:AlternateContent>
      </w:r>
    </w:p>
    <w:p w14:paraId="6902C200" w14:textId="77777777" w:rsidR="000A0C81" w:rsidRPr="0041561D" w:rsidRDefault="000A0C81" w:rsidP="000A0C81">
      <w:pPr>
        <w:jc w:val="both"/>
        <w:rPr>
          <w:i/>
          <w:sz w:val="20"/>
          <w:szCs w:val="20"/>
        </w:rPr>
      </w:pPr>
      <w:r w:rsidRPr="00965FB0">
        <w:rPr>
          <w:rFonts w:ascii="Arial" w:hAnsi="Arial" w:cs="Arial"/>
          <w:i/>
          <w:sz w:val="20"/>
          <w:szCs w:val="20"/>
        </w:rPr>
        <w:t xml:space="preserve">Keywords: Hydrazone Schiff Base, </w:t>
      </w:r>
      <w:proofErr w:type="gramStart"/>
      <w:r w:rsidRPr="00965FB0">
        <w:rPr>
          <w:rFonts w:ascii="Arial" w:hAnsi="Arial" w:cs="Arial"/>
          <w:i/>
          <w:sz w:val="20"/>
          <w:szCs w:val="20"/>
        </w:rPr>
        <w:t>Co(</w:t>
      </w:r>
      <w:proofErr w:type="gramEnd"/>
      <w:r w:rsidRPr="00965FB0">
        <w:rPr>
          <w:rFonts w:ascii="Arial" w:hAnsi="Arial" w:cs="Arial"/>
          <w:i/>
          <w:sz w:val="20"/>
          <w:szCs w:val="20"/>
        </w:rPr>
        <w:t>II) Complex, Hydrazine Hydrate, Hydrazone, ethyl-2-amino-4-thiazoleacetate, 2-nitrobenzaldehyde</w:t>
      </w:r>
      <w:r>
        <w:rPr>
          <w:rFonts w:ascii="Arial" w:hAnsi="Arial" w:cs="Arial"/>
          <w:i/>
          <w:sz w:val="20"/>
          <w:szCs w:val="20"/>
        </w:rPr>
        <w:t>.</w:t>
      </w:r>
    </w:p>
    <w:p w14:paraId="2FCB3B12" w14:textId="77777777" w:rsidR="00A57573" w:rsidRPr="00A57573" w:rsidRDefault="00A57573" w:rsidP="00A57573">
      <w:pPr>
        <w:spacing w:line="240" w:lineRule="auto"/>
        <w:jc w:val="both"/>
        <w:rPr>
          <w:rFonts w:ascii="Arial" w:hAnsi="Arial" w:cs="Arial"/>
          <w:sz w:val="20"/>
          <w:szCs w:val="20"/>
        </w:rPr>
      </w:pPr>
    </w:p>
    <w:p w14:paraId="78E8B214" w14:textId="747EDE0E" w:rsidR="000D57AA" w:rsidRPr="00860259" w:rsidRDefault="000D57AA" w:rsidP="00B72BC3">
      <w:pPr>
        <w:pStyle w:val="AbstHead"/>
        <w:spacing w:after="0"/>
        <w:rPr>
          <w:rFonts w:ascii="Arial" w:hAnsi="Arial" w:cs="Arial"/>
        </w:rPr>
      </w:pPr>
      <w:r w:rsidRPr="00860259">
        <w:rPr>
          <w:rFonts w:ascii="Arial" w:hAnsi="Arial" w:cs="Arial"/>
        </w:rPr>
        <w:t>1. INTRODUCTION</w:t>
      </w:r>
    </w:p>
    <w:p w14:paraId="1204AD38" w14:textId="77777777" w:rsidR="000D57AA" w:rsidRPr="00860259" w:rsidRDefault="000D57AA" w:rsidP="00B72BC3">
      <w:pPr>
        <w:pStyle w:val="AbstHead"/>
        <w:spacing w:after="0"/>
        <w:jc w:val="both"/>
        <w:rPr>
          <w:rFonts w:ascii="Arial" w:hAnsi="Arial" w:cs="Arial"/>
        </w:rPr>
      </w:pPr>
    </w:p>
    <w:p w14:paraId="3D066F5D" w14:textId="6DF203DC" w:rsidR="005651A7" w:rsidRPr="00860259" w:rsidRDefault="00AD6053" w:rsidP="00B72BC3">
      <w:pPr>
        <w:pStyle w:val="Body"/>
        <w:spacing w:after="0"/>
        <w:rPr>
          <w:rFonts w:ascii="Arial" w:hAnsi="Arial" w:cs="Arial"/>
        </w:rPr>
      </w:pPr>
      <w:r w:rsidRPr="00860259">
        <w:rPr>
          <w:rFonts w:ascii="Arial" w:hAnsi="Arial" w:cs="Arial"/>
        </w:rPr>
        <w:t>Schiff base</w:t>
      </w:r>
      <w:r w:rsidR="00F650D0" w:rsidRPr="00860259">
        <w:rPr>
          <w:rFonts w:ascii="Arial" w:hAnsi="Arial" w:cs="Arial"/>
        </w:rPr>
        <w:t xml:space="preserve"> ligands</w:t>
      </w:r>
      <w:r w:rsidR="00AE3AD8" w:rsidRPr="00860259">
        <w:rPr>
          <w:rFonts w:ascii="Arial" w:hAnsi="Arial" w:cs="Arial"/>
        </w:rPr>
        <w:t xml:space="preserve"> </w:t>
      </w:r>
      <w:r w:rsidR="0076470D" w:rsidRPr="00860259">
        <w:rPr>
          <w:rFonts w:ascii="Arial" w:hAnsi="Arial" w:cs="Arial"/>
        </w:rPr>
        <w:t>have continued to attract research interest in recent years due to</w:t>
      </w:r>
      <w:r w:rsidR="00C0665E" w:rsidRPr="00860259">
        <w:rPr>
          <w:rFonts w:ascii="Arial" w:hAnsi="Arial" w:cs="Arial"/>
        </w:rPr>
        <w:t xml:space="preserve"> their </w:t>
      </w:r>
      <w:r w:rsidRPr="00860259">
        <w:rPr>
          <w:rFonts w:ascii="Arial" w:hAnsi="Arial" w:cs="Arial"/>
        </w:rPr>
        <w:t>established antimicrobial properties</w:t>
      </w:r>
      <w:r w:rsidR="00E6093E" w:rsidRPr="00860259">
        <w:rPr>
          <w:rFonts w:ascii="Arial" w:hAnsi="Arial" w:cs="Arial"/>
        </w:rPr>
        <w:t>.</w:t>
      </w:r>
      <w:r w:rsidRPr="00860259">
        <w:rPr>
          <w:rFonts w:ascii="Arial" w:hAnsi="Arial" w:cs="Arial"/>
        </w:rPr>
        <w:t xml:space="preserve"> </w:t>
      </w:r>
      <w:r w:rsidR="0042717D" w:rsidRPr="00860259">
        <w:rPr>
          <w:rFonts w:ascii="Arial" w:hAnsi="Arial" w:cs="Arial"/>
        </w:rPr>
        <w:t xml:space="preserve">These compounds are formed by </w:t>
      </w:r>
      <w:r w:rsidR="00E43F46" w:rsidRPr="00860259">
        <w:rPr>
          <w:rFonts w:ascii="Arial" w:hAnsi="Arial" w:cs="Arial"/>
        </w:rPr>
        <w:t xml:space="preserve">the condensation </w:t>
      </w:r>
      <w:r w:rsidR="0042717D" w:rsidRPr="00860259">
        <w:rPr>
          <w:rFonts w:ascii="Arial" w:hAnsi="Arial" w:cs="Arial"/>
        </w:rPr>
        <w:t>reacti</w:t>
      </w:r>
      <w:r w:rsidR="00E43F46" w:rsidRPr="00860259">
        <w:rPr>
          <w:rFonts w:ascii="Arial" w:hAnsi="Arial" w:cs="Arial"/>
        </w:rPr>
        <w:t xml:space="preserve">on of aldehydes </w:t>
      </w:r>
      <w:r w:rsidR="0094298B" w:rsidRPr="00860259">
        <w:rPr>
          <w:rFonts w:ascii="Arial" w:hAnsi="Arial" w:cs="Arial"/>
        </w:rPr>
        <w:t xml:space="preserve">or ketones </w:t>
      </w:r>
      <w:r w:rsidR="00E43F46" w:rsidRPr="00860259">
        <w:rPr>
          <w:rFonts w:ascii="Arial" w:hAnsi="Arial" w:cs="Arial"/>
        </w:rPr>
        <w:t xml:space="preserve">and </w:t>
      </w:r>
      <w:r w:rsidR="004B0544" w:rsidRPr="00860259">
        <w:rPr>
          <w:rFonts w:ascii="Arial" w:hAnsi="Arial" w:cs="Arial"/>
        </w:rPr>
        <w:t>amines [</w:t>
      </w:r>
      <w:r w:rsidR="00554C12" w:rsidRPr="00860259">
        <w:rPr>
          <w:rFonts w:ascii="Arial" w:hAnsi="Arial" w:cs="Arial"/>
        </w:rPr>
        <w:t>1]</w:t>
      </w:r>
      <w:r w:rsidR="00893003" w:rsidRPr="00860259">
        <w:rPr>
          <w:rFonts w:ascii="Arial" w:hAnsi="Arial" w:cs="Arial"/>
        </w:rPr>
        <w:t>.</w:t>
      </w:r>
      <w:r w:rsidR="009D4854" w:rsidRPr="00860259">
        <w:rPr>
          <w:rFonts w:ascii="Arial" w:hAnsi="Arial" w:cs="Arial"/>
        </w:rPr>
        <w:t xml:space="preserve"> They </w:t>
      </w:r>
      <w:r w:rsidR="004B3D23" w:rsidRPr="00860259">
        <w:rPr>
          <w:rFonts w:ascii="Arial" w:hAnsi="Arial" w:cs="Arial"/>
        </w:rPr>
        <w:t>exhibit exceptional properties in coordination chemistry due to</w:t>
      </w:r>
      <w:r w:rsidR="00AA47EF" w:rsidRPr="00860259">
        <w:rPr>
          <w:rFonts w:ascii="Arial" w:hAnsi="Arial" w:cs="Arial"/>
        </w:rPr>
        <w:t xml:space="preserve"> their </w:t>
      </w:r>
      <w:r w:rsidR="00EA001E" w:rsidRPr="00860259">
        <w:rPr>
          <w:rFonts w:ascii="Arial" w:hAnsi="Arial" w:cs="Arial"/>
        </w:rPr>
        <w:t>ability</w:t>
      </w:r>
      <w:r w:rsidR="00AA47EF" w:rsidRPr="00860259">
        <w:rPr>
          <w:rFonts w:ascii="Arial" w:hAnsi="Arial" w:cs="Arial"/>
        </w:rPr>
        <w:t xml:space="preserve"> to </w:t>
      </w:r>
      <w:r w:rsidR="00D63807" w:rsidRPr="00860259">
        <w:rPr>
          <w:rFonts w:ascii="Arial" w:hAnsi="Arial" w:cs="Arial"/>
        </w:rPr>
        <w:t>coordinate with metals and form stable complex</w:t>
      </w:r>
      <w:r w:rsidR="00F22518" w:rsidRPr="00860259">
        <w:rPr>
          <w:rFonts w:ascii="Arial" w:hAnsi="Arial" w:cs="Arial"/>
        </w:rPr>
        <w:t>es</w:t>
      </w:r>
      <w:r w:rsidR="0004729A" w:rsidRPr="00860259">
        <w:rPr>
          <w:rFonts w:ascii="Arial" w:hAnsi="Arial" w:cs="Arial"/>
        </w:rPr>
        <w:t xml:space="preserve"> </w:t>
      </w:r>
      <w:r w:rsidR="00F22518" w:rsidRPr="00860259">
        <w:rPr>
          <w:rFonts w:ascii="Arial" w:hAnsi="Arial" w:cs="Arial"/>
        </w:rPr>
        <w:t>[2].</w:t>
      </w:r>
      <w:r w:rsidR="00893003" w:rsidRPr="00860259">
        <w:rPr>
          <w:rFonts w:ascii="Arial" w:hAnsi="Arial" w:cs="Arial"/>
        </w:rPr>
        <w:t xml:space="preserve"> A major</w:t>
      </w:r>
      <w:r w:rsidR="000B51BE" w:rsidRPr="00860259">
        <w:rPr>
          <w:rFonts w:ascii="Arial" w:hAnsi="Arial" w:cs="Arial"/>
        </w:rPr>
        <w:t xml:space="preserve"> Schiff base derivative</w:t>
      </w:r>
      <w:r w:rsidR="00333D90" w:rsidRPr="00860259">
        <w:rPr>
          <w:rFonts w:ascii="Arial" w:hAnsi="Arial" w:cs="Arial"/>
        </w:rPr>
        <w:t>,</w:t>
      </w:r>
      <w:r w:rsidR="000B51BE" w:rsidRPr="00860259">
        <w:rPr>
          <w:rFonts w:ascii="Arial" w:hAnsi="Arial" w:cs="Arial"/>
        </w:rPr>
        <w:t xml:space="preserve"> hydrazones</w:t>
      </w:r>
      <w:r w:rsidR="00333D90" w:rsidRPr="00860259">
        <w:rPr>
          <w:rFonts w:ascii="Arial" w:hAnsi="Arial" w:cs="Arial"/>
        </w:rPr>
        <w:t>,</w:t>
      </w:r>
      <w:r w:rsidR="000B51BE" w:rsidRPr="00860259">
        <w:rPr>
          <w:rFonts w:ascii="Arial" w:hAnsi="Arial" w:cs="Arial"/>
        </w:rPr>
        <w:t xml:space="preserve"> </w:t>
      </w:r>
      <w:r w:rsidR="004F2D1F" w:rsidRPr="00860259">
        <w:rPr>
          <w:rFonts w:ascii="Arial" w:hAnsi="Arial" w:cs="Arial"/>
        </w:rPr>
        <w:t xml:space="preserve">has become a key player in the development of </w:t>
      </w:r>
      <w:r w:rsidR="00333D90" w:rsidRPr="00860259">
        <w:rPr>
          <w:rFonts w:ascii="Arial" w:hAnsi="Arial" w:cs="Arial"/>
        </w:rPr>
        <w:t xml:space="preserve">active drugs </w:t>
      </w:r>
      <w:r w:rsidR="001D4504" w:rsidRPr="00860259">
        <w:rPr>
          <w:rFonts w:ascii="Arial" w:hAnsi="Arial" w:cs="Arial"/>
        </w:rPr>
        <w:t>due to their biological and pharmacological profiles</w:t>
      </w:r>
      <w:r w:rsidR="008759ED" w:rsidRPr="00860259">
        <w:rPr>
          <w:rFonts w:ascii="Arial" w:hAnsi="Arial" w:cs="Arial"/>
        </w:rPr>
        <w:t xml:space="preserve"> [</w:t>
      </w:r>
      <w:r w:rsidR="00F22518" w:rsidRPr="00860259">
        <w:rPr>
          <w:rFonts w:ascii="Arial" w:hAnsi="Arial" w:cs="Arial"/>
        </w:rPr>
        <w:t>3</w:t>
      </w:r>
      <w:r w:rsidR="00CA7D2B" w:rsidRPr="00860259">
        <w:rPr>
          <w:rFonts w:ascii="Arial" w:hAnsi="Arial" w:cs="Arial"/>
        </w:rPr>
        <w:t xml:space="preserve">. </w:t>
      </w:r>
      <w:r w:rsidR="00EB70B3" w:rsidRPr="00860259">
        <w:rPr>
          <w:rFonts w:ascii="Arial" w:hAnsi="Arial" w:cs="Arial"/>
        </w:rPr>
        <w:t>The pharmacological actions of hydrazones are attributed to their unique structural features, which include</w:t>
      </w:r>
      <w:r w:rsidR="00483B4F" w:rsidRPr="00860259">
        <w:rPr>
          <w:rFonts w:ascii="Arial" w:hAnsi="Arial" w:cs="Arial"/>
        </w:rPr>
        <w:t xml:space="preserve"> the presence of </w:t>
      </w:r>
      <w:r w:rsidR="00EB70B3" w:rsidRPr="00860259">
        <w:rPr>
          <w:rFonts w:ascii="Arial" w:hAnsi="Arial" w:cs="Arial"/>
        </w:rPr>
        <w:t xml:space="preserve">the </w:t>
      </w:r>
      <w:r w:rsidR="00483B4F" w:rsidRPr="00860259">
        <w:rPr>
          <w:rFonts w:ascii="Arial" w:hAnsi="Arial" w:cs="Arial"/>
        </w:rPr>
        <w:t>azomethine</w:t>
      </w:r>
      <w:r w:rsidR="00EB70B3" w:rsidRPr="00860259">
        <w:rPr>
          <w:rFonts w:ascii="Arial" w:hAnsi="Arial" w:cs="Arial"/>
        </w:rPr>
        <w:t xml:space="preserve"> group (-NH-N-CH)</w:t>
      </w:r>
      <w:r w:rsidR="00605C32" w:rsidRPr="00860259">
        <w:rPr>
          <w:rFonts w:ascii="Arial" w:hAnsi="Arial" w:cs="Arial"/>
        </w:rPr>
        <w:t>,</w:t>
      </w:r>
      <w:r w:rsidR="004F64B9" w:rsidRPr="00860259">
        <w:rPr>
          <w:rFonts w:ascii="Arial" w:hAnsi="Arial" w:cs="Arial"/>
        </w:rPr>
        <w:t xml:space="preserve"> making them an important </w:t>
      </w:r>
      <w:r w:rsidR="00605C32" w:rsidRPr="00860259">
        <w:rPr>
          <w:rFonts w:ascii="Arial" w:hAnsi="Arial" w:cs="Arial"/>
        </w:rPr>
        <w:t xml:space="preserve">player in pharmaceutical </w:t>
      </w:r>
      <w:r w:rsidR="005651A7" w:rsidRPr="00860259">
        <w:rPr>
          <w:rFonts w:ascii="Arial" w:hAnsi="Arial" w:cs="Arial"/>
        </w:rPr>
        <w:t>chemistry [4,5].</w:t>
      </w:r>
    </w:p>
    <w:p w14:paraId="187D1841" w14:textId="77777777" w:rsidR="007E655B" w:rsidRPr="00860259" w:rsidRDefault="00166E22" w:rsidP="00B72BC3">
      <w:pPr>
        <w:pStyle w:val="Body"/>
        <w:spacing w:after="0"/>
        <w:rPr>
          <w:rFonts w:ascii="Arial" w:hAnsi="Arial" w:cs="Arial"/>
          <w:color w:val="000000"/>
          <w:lang w:eastAsia="en-GB"/>
        </w:rPr>
      </w:pPr>
      <w:r w:rsidRPr="00860259">
        <w:rPr>
          <w:rFonts w:ascii="Arial" w:hAnsi="Arial" w:cs="Arial"/>
        </w:rPr>
        <w:t xml:space="preserve">Recent reports </w:t>
      </w:r>
      <w:r w:rsidR="00F05B99" w:rsidRPr="00860259">
        <w:rPr>
          <w:rFonts w:ascii="Arial" w:hAnsi="Arial" w:cs="Arial"/>
        </w:rPr>
        <w:t>have</w:t>
      </w:r>
      <w:r w:rsidR="00BC2126" w:rsidRPr="00860259">
        <w:rPr>
          <w:rFonts w:ascii="Arial" w:hAnsi="Arial" w:cs="Arial"/>
        </w:rPr>
        <w:t xml:space="preserve"> </w:t>
      </w:r>
      <w:r w:rsidRPr="00860259">
        <w:rPr>
          <w:rFonts w:ascii="Arial" w:hAnsi="Arial" w:cs="Arial"/>
        </w:rPr>
        <w:t>indicate</w:t>
      </w:r>
      <w:r w:rsidR="00111353" w:rsidRPr="00860259">
        <w:rPr>
          <w:rFonts w:ascii="Arial" w:hAnsi="Arial" w:cs="Arial"/>
        </w:rPr>
        <w:t>d</w:t>
      </w:r>
      <w:r w:rsidRPr="00860259">
        <w:rPr>
          <w:rFonts w:ascii="Arial" w:hAnsi="Arial" w:cs="Arial"/>
        </w:rPr>
        <w:t xml:space="preserve"> that hydrazone derivatives exhibit significant antimicrobial activity</w:t>
      </w:r>
      <w:r w:rsidR="007E6CE6" w:rsidRPr="00860259">
        <w:rPr>
          <w:rFonts w:ascii="Arial" w:hAnsi="Arial" w:cs="Arial"/>
        </w:rPr>
        <w:t>, including antibacterial, antifungal, antimycobacterial, anti-inflammatory, and antiviral effects [6]</w:t>
      </w:r>
      <w:r w:rsidR="00BC2126" w:rsidRPr="00860259">
        <w:rPr>
          <w:rFonts w:ascii="Arial" w:hAnsi="Arial" w:cs="Arial"/>
        </w:rPr>
        <w:t>. The efficacy of their metal complexes against multidrug-resistant pathogens underscores</w:t>
      </w:r>
      <w:r w:rsidR="00230FC0" w:rsidRPr="00860259">
        <w:rPr>
          <w:rFonts w:ascii="Arial" w:hAnsi="Arial" w:cs="Arial"/>
        </w:rPr>
        <w:t xml:space="preserve"> their relevance </w:t>
      </w:r>
      <w:r w:rsidR="00230FC0" w:rsidRPr="00860259">
        <w:rPr>
          <w:rFonts w:ascii="Arial" w:hAnsi="Arial" w:cs="Arial"/>
        </w:rPr>
        <w:lastRenderedPageBreak/>
        <w:t>in addressing global health challenges</w:t>
      </w:r>
      <w:r w:rsidR="00557576" w:rsidRPr="00860259">
        <w:rPr>
          <w:rFonts w:ascii="Arial" w:hAnsi="Arial" w:cs="Arial"/>
        </w:rPr>
        <w:t xml:space="preserve"> [7].</w:t>
      </w:r>
      <w:r w:rsidR="002A7854" w:rsidRPr="00860259">
        <w:rPr>
          <w:rFonts w:ascii="Arial" w:hAnsi="Arial" w:cs="Arial"/>
        </w:rPr>
        <w:t xml:space="preserve"> </w:t>
      </w:r>
      <w:r w:rsidR="00421823" w:rsidRPr="00860259">
        <w:rPr>
          <w:rFonts w:ascii="Arial" w:hAnsi="Arial" w:cs="Arial"/>
        </w:rPr>
        <w:t xml:space="preserve">The complexation of hydrazone Schiff bases with transition metals </w:t>
      </w:r>
      <w:r w:rsidR="002945CE" w:rsidRPr="00860259">
        <w:rPr>
          <w:rFonts w:ascii="Arial" w:hAnsi="Arial" w:cs="Arial"/>
        </w:rPr>
        <w:t>has led to compounds with enhanced antimicrobial activity compared to their</w:t>
      </w:r>
      <w:r w:rsidR="00421823" w:rsidRPr="00860259">
        <w:rPr>
          <w:rFonts w:ascii="Arial" w:hAnsi="Arial" w:cs="Arial"/>
        </w:rPr>
        <w:t xml:space="preserve"> parent ligands</w:t>
      </w:r>
      <w:r w:rsidR="00794E8D" w:rsidRPr="00860259">
        <w:rPr>
          <w:rFonts w:ascii="Arial" w:hAnsi="Arial" w:cs="Arial"/>
        </w:rPr>
        <w:t xml:space="preserve"> [4</w:t>
      </w:r>
      <w:r w:rsidR="002A7854" w:rsidRPr="00860259">
        <w:rPr>
          <w:rFonts w:ascii="Arial" w:hAnsi="Arial" w:cs="Arial"/>
        </w:rPr>
        <w:t>,7</w:t>
      </w:r>
      <w:r w:rsidR="00794E8D" w:rsidRPr="00860259">
        <w:rPr>
          <w:rFonts w:ascii="Arial" w:hAnsi="Arial" w:cs="Arial"/>
        </w:rPr>
        <w:t xml:space="preserve">]. </w:t>
      </w:r>
      <w:r w:rsidR="00980F89" w:rsidRPr="00860259">
        <w:rPr>
          <w:rFonts w:ascii="Arial" w:hAnsi="Arial" w:cs="Arial"/>
          <w:color w:val="000000"/>
          <w:lang w:eastAsia="en-GB"/>
        </w:rPr>
        <w:t>The antimicrobial properties of such compounds are influenced by the nature of the metal ion, the ligand structure, and the coordination geometry, which can be elucidated through spectroscopic and crystallographic techniques</w:t>
      </w:r>
      <w:r w:rsidR="009D2EED" w:rsidRPr="00860259">
        <w:rPr>
          <w:rFonts w:ascii="Arial" w:hAnsi="Arial" w:cs="Arial"/>
          <w:color w:val="000000"/>
          <w:lang w:eastAsia="en-GB"/>
        </w:rPr>
        <w:t xml:space="preserve"> [8].</w:t>
      </w:r>
    </w:p>
    <w:p w14:paraId="78CC7BA6" w14:textId="27A584EA" w:rsidR="006D6F67" w:rsidRPr="00860259" w:rsidRDefault="00421823" w:rsidP="00B72BC3">
      <w:pPr>
        <w:pStyle w:val="Body"/>
        <w:spacing w:after="0"/>
        <w:rPr>
          <w:rFonts w:ascii="Arial" w:hAnsi="Arial" w:cs="Arial"/>
        </w:rPr>
      </w:pPr>
      <w:r w:rsidRPr="00860259">
        <w:rPr>
          <w:rFonts w:ascii="Arial" w:hAnsi="Arial" w:cs="Arial"/>
        </w:rPr>
        <w:t>Cobalt(II) complexes, in particular, have</w:t>
      </w:r>
      <w:r w:rsidR="002C32FE" w:rsidRPr="00860259">
        <w:rPr>
          <w:rFonts w:ascii="Arial" w:hAnsi="Arial" w:cs="Arial"/>
        </w:rPr>
        <w:t xml:space="preserve"> become</w:t>
      </w:r>
      <w:r w:rsidR="00C8776F" w:rsidRPr="00860259">
        <w:rPr>
          <w:rFonts w:ascii="Arial" w:hAnsi="Arial" w:cs="Arial"/>
        </w:rPr>
        <w:t xml:space="preserve"> of research interest</w:t>
      </w:r>
      <w:r w:rsidR="00BA72E3" w:rsidRPr="00860259">
        <w:rPr>
          <w:rFonts w:ascii="Arial" w:hAnsi="Arial" w:cs="Arial"/>
        </w:rPr>
        <w:t xml:space="preserve"> because several Co(II)–hydrazone complexes have demonstrated promising antibacterial and antifungal results in vitro, and in some cases,</w:t>
      </w:r>
      <w:r w:rsidRPr="00860259">
        <w:rPr>
          <w:rFonts w:ascii="Arial" w:hAnsi="Arial" w:cs="Arial"/>
        </w:rPr>
        <w:t xml:space="preserve"> improved activity against drug-resistant strains.</w:t>
      </w:r>
      <w:r w:rsidR="00385394" w:rsidRPr="00860259">
        <w:rPr>
          <w:rFonts w:ascii="Arial" w:hAnsi="Arial" w:cs="Arial"/>
        </w:rPr>
        <w:t>[</w:t>
      </w:r>
      <w:r w:rsidR="00B35D06" w:rsidRPr="00860259">
        <w:rPr>
          <w:rFonts w:ascii="Arial" w:hAnsi="Arial" w:cs="Arial"/>
        </w:rPr>
        <w:t>9</w:t>
      </w:r>
      <w:r w:rsidR="00385394" w:rsidRPr="00860259">
        <w:rPr>
          <w:rFonts w:ascii="Arial" w:hAnsi="Arial" w:cs="Arial"/>
        </w:rPr>
        <w:t>]</w:t>
      </w:r>
      <w:r w:rsidRPr="00860259">
        <w:rPr>
          <w:rFonts w:ascii="Arial" w:hAnsi="Arial" w:cs="Arial"/>
        </w:rPr>
        <w:t xml:space="preserve"> These findings justify exploring Co(II) chelates of new hydrazone ligands as potential antimicrobial agents</w:t>
      </w:r>
      <w:r w:rsidR="00DE0EE3" w:rsidRPr="00860259">
        <w:rPr>
          <w:rFonts w:ascii="Arial" w:hAnsi="Arial" w:cs="Arial"/>
        </w:rPr>
        <w:t xml:space="preserve">. </w:t>
      </w:r>
      <w:r w:rsidR="00B35D06" w:rsidRPr="00860259">
        <w:rPr>
          <w:rFonts w:ascii="Arial" w:hAnsi="Arial" w:cs="Arial"/>
        </w:rPr>
        <w:t xml:space="preserve">This work aims to synthesize, characterize, and evaluate the antimicrobial activities of the titled ligand and its </w:t>
      </w:r>
      <w:proofErr w:type="gramStart"/>
      <w:r w:rsidR="00B35D06" w:rsidRPr="00860259">
        <w:rPr>
          <w:rFonts w:ascii="Arial" w:hAnsi="Arial" w:cs="Arial"/>
        </w:rPr>
        <w:t>Co(</w:t>
      </w:r>
      <w:proofErr w:type="gramEnd"/>
      <w:r w:rsidR="00B35D06" w:rsidRPr="00860259">
        <w:rPr>
          <w:rFonts w:ascii="Arial" w:hAnsi="Arial" w:cs="Arial"/>
        </w:rPr>
        <w:t>II) complex, contributing to the growing body of knowledge on hydrazone Schiff base chemistry.</w:t>
      </w:r>
      <w:r w:rsidR="003E2EB8" w:rsidRPr="00860259">
        <w:rPr>
          <w:rFonts w:ascii="Arial" w:hAnsi="Arial" w:cs="Arial"/>
        </w:rPr>
        <w:t xml:space="preserve"> </w:t>
      </w:r>
      <w:r w:rsidR="00B35D06" w:rsidRPr="00860259">
        <w:rPr>
          <w:rFonts w:ascii="Arial" w:hAnsi="Arial" w:cs="Arial"/>
        </w:rPr>
        <w:t xml:space="preserve">The scope of this study </w:t>
      </w:r>
      <w:r w:rsidR="00294353" w:rsidRPr="00860259">
        <w:rPr>
          <w:rFonts w:ascii="Arial" w:hAnsi="Arial" w:cs="Arial"/>
        </w:rPr>
        <w:t xml:space="preserve">encompasses a detailed investigation of the ligand's synthesis via condensation reactions, its coordination with </w:t>
      </w:r>
      <w:proofErr w:type="gramStart"/>
      <w:r w:rsidR="00294353" w:rsidRPr="00860259">
        <w:rPr>
          <w:rFonts w:ascii="Arial" w:hAnsi="Arial" w:cs="Arial"/>
        </w:rPr>
        <w:t>Co(</w:t>
      </w:r>
      <w:proofErr w:type="gramEnd"/>
      <w:r w:rsidR="00294353" w:rsidRPr="00860259">
        <w:rPr>
          <w:rFonts w:ascii="Arial" w:hAnsi="Arial" w:cs="Arial"/>
        </w:rPr>
        <w:t xml:space="preserve">II), and an assessment of </w:t>
      </w:r>
      <w:r w:rsidR="006D6F67" w:rsidRPr="00860259">
        <w:rPr>
          <w:rFonts w:ascii="Arial" w:hAnsi="Arial" w:cs="Arial"/>
        </w:rPr>
        <w:t>ligand and complex</w:t>
      </w:r>
      <w:r w:rsidR="00B35D06" w:rsidRPr="00860259">
        <w:rPr>
          <w:rFonts w:ascii="Arial" w:hAnsi="Arial" w:cs="Arial"/>
        </w:rPr>
        <w:t xml:space="preserve"> antimicrobial efficacy against selected bacterial and fungal strains. The findings are expected to provide insights into the structure-activity relationships and validate the potential of these compounds as candidates for further pharmaceutical development</w:t>
      </w:r>
      <w:r w:rsidR="003E7D59" w:rsidRPr="00860259">
        <w:rPr>
          <w:rFonts w:ascii="Arial" w:hAnsi="Arial" w:cs="Arial"/>
        </w:rPr>
        <w:t>.</w:t>
      </w:r>
    </w:p>
    <w:p w14:paraId="311C4839" w14:textId="77777777" w:rsidR="001C3F42" w:rsidRPr="00860259" w:rsidRDefault="001C3F42" w:rsidP="00B72BC3">
      <w:pPr>
        <w:pStyle w:val="AbstHead"/>
        <w:spacing w:after="0"/>
        <w:rPr>
          <w:rFonts w:ascii="Arial" w:hAnsi="Arial" w:cs="Arial"/>
        </w:rPr>
      </w:pPr>
    </w:p>
    <w:p w14:paraId="27BC67CA" w14:textId="761DC7A5" w:rsidR="006D6F67" w:rsidRPr="00860259" w:rsidRDefault="006D6F67" w:rsidP="00B72BC3">
      <w:pPr>
        <w:pStyle w:val="AbstHead"/>
        <w:spacing w:after="0"/>
        <w:rPr>
          <w:rFonts w:ascii="Arial" w:hAnsi="Arial" w:cs="Arial"/>
        </w:rPr>
      </w:pPr>
      <w:r w:rsidRPr="00860259">
        <w:rPr>
          <w:rFonts w:ascii="Arial" w:hAnsi="Arial" w:cs="Arial"/>
        </w:rPr>
        <w:t>2. experimental</w:t>
      </w:r>
      <w:r w:rsidR="007002EF" w:rsidRPr="00860259">
        <w:rPr>
          <w:rFonts w:ascii="Arial" w:hAnsi="Arial" w:cs="Arial"/>
        </w:rPr>
        <w:t>s</w:t>
      </w:r>
    </w:p>
    <w:p w14:paraId="01E68954" w14:textId="77777777" w:rsidR="006D6F67" w:rsidRPr="00860259" w:rsidRDefault="006D6F67" w:rsidP="00B72BC3">
      <w:pPr>
        <w:pStyle w:val="AbstHead"/>
        <w:spacing w:after="0"/>
        <w:jc w:val="both"/>
        <w:rPr>
          <w:rFonts w:ascii="Arial" w:hAnsi="Arial" w:cs="Arial"/>
        </w:rPr>
      </w:pPr>
    </w:p>
    <w:p w14:paraId="4EE0FFBC" w14:textId="77777777" w:rsidR="00823A32" w:rsidRPr="00860259" w:rsidRDefault="001C3F42" w:rsidP="00B72BC3">
      <w:pPr>
        <w:pStyle w:val="Body"/>
        <w:spacing w:after="0"/>
        <w:rPr>
          <w:rFonts w:ascii="Arial" w:hAnsi="Arial" w:cs="Arial"/>
        </w:rPr>
      </w:pPr>
      <w:r w:rsidRPr="00860259">
        <w:rPr>
          <w:rFonts w:ascii="Arial" w:hAnsi="Arial" w:cs="Arial"/>
        </w:rPr>
        <w:t xml:space="preserve">All </w:t>
      </w:r>
      <w:r w:rsidR="009A1824" w:rsidRPr="00860259">
        <w:rPr>
          <w:rFonts w:ascii="Arial" w:hAnsi="Arial" w:cs="Arial"/>
        </w:rPr>
        <w:t xml:space="preserve">the reagents used in this </w:t>
      </w:r>
      <w:r w:rsidR="00AB6EEE" w:rsidRPr="00860259">
        <w:rPr>
          <w:rFonts w:ascii="Arial" w:hAnsi="Arial" w:cs="Arial"/>
        </w:rPr>
        <w:t xml:space="preserve">research were of analytical grade and used without further purification. </w:t>
      </w:r>
      <w:r w:rsidR="00E41B22" w:rsidRPr="00860259">
        <w:rPr>
          <w:rFonts w:ascii="Arial" w:hAnsi="Arial" w:cs="Arial"/>
        </w:rPr>
        <w:t xml:space="preserve">The </w:t>
      </w:r>
      <w:r w:rsidR="00AB6EEE" w:rsidRPr="00860259">
        <w:rPr>
          <w:rFonts w:ascii="Arial" w:hAnsi="Arial" w:cs="Arial"/>
        </w:rPr>
        <w:t xml:space="preserve">reagents were purchased from Sigma–Aldrich </w:t>
      </w:r>
      <w:proofErr w:type="spellStart"/>
      <w:r w:rsidR="00AB6EEE" w:rsidRPr="00860259">
        <w:rPr>
          <w:rFonts w:ascii="Arial" w:hAnsi="Arial" w:cs="Arial"/>
        </w:rPr>
        <w:t>Chemie</w:t>
      </w:r>
      <w:proofErr w:type="spellEnd"/>
      <w:r w:rsidR="00AB6EEE" w:rsidRPr="00860259">
        <w:rPr>
          <w:rFonts w:ascii="Arial" w:hAnsi="Arial" w:cs="Arial"/>
        </w:rPr>
        <w:t xml:space="preserve"> GmbH, Germany</w:t>
      </w:r>
      <w:r w:rsidR="00E41B22" w:rsidRPr="00860259">
        <w:rPr>
          <w:rFonts w:ascii="Arial" w:hAnsi="Arial" w:cs="Arial"/>
        </w:rPr>
        <w:t xml:space="preserve">, and supplied through their local distributor </w:t>
      </w:r>
      <w:r w:rsidR="006A3F40" w:rsidRPr="00860259">
        <w:rPr>
          <w:rFonts w:ascii="Arial" w:hAnsi="Arial" w:cs="Arial"/>
        </w:rPr>
        <w:t>in Nigeria, Bristol Scientific</w:t>
      </w:r>
      <w:r w:rsidR="006D3772" w:rsidRPr="00860259">
        <w:rPr>
          <w:rFonts w:ascii="Arial" w:hAnsi="Arial" w:cs="Arial"/>
        </w:rPr>
        <w:t xml:space="preserve">. </w:t>
      </w:r>
      <w:r w:rsidR="00505890" w:rsidRPr="00860259">
        <w:rPr>
          <w:rFonts w:ascii="Arial" w:hAnsi="Arial" w:cs="Arial"/>
        </w:rPr>
        <w:t xml:space="preserve">Metal salts were obtained from E. </w:t>
      </w:r>
      <w:r w:rsidR="00F411A0" w:rsidRPr="00860259">
        <w:rPr>
          <w:rFonts w:ascii="Arial" w:hAnsi="Arial" w:cs="Arial"/>
        </w:rPr>
        <w:t xml:space="preserve">Merck, and distilled water was </w:t>
      </w:r>
      <w:r w:rsidR="00505890" w:rsidRPr="00860259">
        <w:rPr>
          <w:rFonts w:ascii="Arial" w:hAnsi="Arial" w:cs="Arial"/>
        </w:rPr>
        <w:t xml:space="preserve">purchased from </w:t>
      </w:r>
      <w:proofErr w:type="spellStart"/>
      <w:r w:rsidR="00F411A0" w:rsidRPr="00860259">
        <w:rPr>
          <w:rFonts w:ascii="Arial" w:hAnsi="Arial" w:cs="Arial"/>
        </w:rPr>
        <w:t>Joechem</w:t>
      </w:r>
      <w:proofErr w:type="spellEnd"/>
      <w:r w:rsidR="00505890" w:rsidRPr="00860259">
        <w:rPr>
          <w:rFonts w:ascii="Arial" w:hAnsi="Arial" w:cs="Arial"/>
        </w:rPr>
        <w:t xml:space="preserve"> (Nig.)</w:t>
      </w:r>
      <w:r w:rsidR="001E4D85" w:rsidRPr="00860259">
        <w:rPr>
          <w:rFonts w:ascii="Arial" w:hAnsi="Arial" w:cs="Arial"/>
        </w:rPr>
        <w:t xml:space="preserve">. </w:t>
      </w:r>
      <w:r w:rsidR="00FD6CC8" w:rsidRPr="00860259">
        <w:rPr>
          <w:rFonts w:ascii="Arial" w:hAnsi="Arial" w:cs="Arial"/>
        </w:rPr>
        <w:t xml:space="preserve">The proton NMR was conducted at Covenant University in </w:t>
      </w:r>
      <w:proofErr w:type="spellStart"/>
      <w:r w:rsidR="00FD6CC8" w:rsidRPr="00860259">
        <w:rPr>
          <w:rFonts w:ascii="Arial" w:hAnsi="Arial" w:cs="Arial"/>
        </w:rPr>
        <w:t>Otta</w:t>
      </w:r>
      <w:proofErr w:type="spellEnd"/>
      <w:r w:rsidR="00FD6CC8" w:rsidRPr="00860259">
        <w:rPr>
          <w:rFonts w:ascii="Arial" w:hAnsi="Arial" w:cs="Arial"/>
        </w:rPr>
        <w:t xml:space="preserve">, Ogun State, Nigeria. The pH, electrical conductivity, GC-MS, XRD, FTIR, and UV-Vis spectroscopic analyses were performed at the Nanotechnology Research Laboratory of the Raindrops Institute of Management and Technology in </w:t>
      </w:r>
      <w:proofErr w:type="spellStart"/>
      <w:r w:rsidR="00FD6CC8" w:rsidRPr="00860259">
        <w:rPr>
          <w:rFonts w:ascii="Arial" w:hAnsi="Arial" w:cs="Arial"/>
        </w:rPr>
        <w:t>Amannachi</w:t>
      </w:r>
      <w:proofErr w:type="spellEnd"/>
      <w:r w:rsidR="00FD6CC8" w:rsidRPr="00860259">
        <w:rPr>
          <w:rFonts w:ascii="Arial" w:hAnsi="Arial" w:cs="Arial"/>
        </w:rPr>
        <w:t xml:space="preserve"> </w:t>
      </w:r>
      <w:proofErr w:type="spellStart"/>
      <w:r w:rsidR="00FD6CC8" w:rsidRPr="00860259">
        <w:rPr>
          <w:rFonts w:ascii="Arial" w:hAnsi="Arial" w:cs="Arial"/>
        </w:rPr>
        <w:t>Orsu</w:t>
      </w:r>
      <w:proofErr w:type="spellEnd"/>
      <w:r w:rsidR="00FD6CC8" w:rsidRPr="00860259">
        <w:rPr>
          <w:rFonts w:ascii="Arial" w:hAnsi="Arial" w:cs="Arial"/>
        </w:rPr>
        <w:t xml:space="preserve"> LGA, Imo State, Nigeria. </w:t>
      </w:r>
      <w:r w:rsidR="00E366FA" w:rsidRPr="00860259">
        <w:rPr>
          <w:rFonts w:ascii="Arial" w:hAnsi="Arial" w:cs="Arial"/>
        </w:rPr>
        <w:t>While the antimicrobial was</w:t>
      </w:r>
      <w:r w:rsidR="00141275" w:rsidRPr="00860259">
        <w:rPr>
          <w:rFonts w:ascii="Arial" w:hAnsi="Arial" w:cs="Arial"/>
        </w:rPr>
        <w:t xml:space="preserve"> carried out at </w:t>
      </w:r>
      <w:proofErr w:type="spellStart"/>
      <w:r w:rsidR="00141275" w:rsidRPr="00860259">
        <w:rPr>
          <w:rFonts w:ascii="Arial" w:hAnsi="Arial" w:cs="Arial"/>
        </w:rPr>
        <w:t>Gomecs</w:t>
      </w:r>
      <w:r w:rsidR="00F83551" w:rsidRPr="00860259">
        <w:rPr>
          <w:rFonts w:ascii="Arial" w:hAnsi="Arial" w:cs="Arial"/>
        </w:rPr>
        <w:t>-Evergland</w:t>
      </w:r>
      <w:proofErr w:type="spellEnd"/>
      <w:r w:rsidR="00F83551" w:rsidRPr="00860259">
        <w:rPr>
          <w:rFonts w:ascii="Arial" w:hAnsi="Arial" w:cs="Arial"/>
        </w:rPr>
        <w:t xml:space="preserve"> Limited</w:t>
      </w:r>
      <w:r w:rsidR="0042771F" w:rsidRPr="00860259">
        <w:rPr>
          <w:rFonts w:ascii="Arial" w:hAnsi="Arial" w:cs="Arial"/>
        </w:rPr>
        <w:t xml:space="preserve">, </w:t>
      </w:r>
      <w:proofErr w:type="spellStart"/>
      <w:r w:rsidR="0042771F" w:rsidRPr="00860259">
        <w:rPr>
          <w:rFonts w:ascii="Arial" w:hAnsi="Arial" w:cs="Arial"/>
        </w:rPr>
        <w:t>Nekede</w:t>
      </w:r>
      <w:proofErr w:type="spellEnd"/>
      <w:r w:rsidR="0042771F" w:rsidRPr="00860259">
        <w:rPr>
          <w:rFonts w:ascii="Arial" w:hAnsi="Arial" w:cs="Arial"/>
        </w:rPr>
        <w:t>, Owerri, Imo State, Nigeria.</w:t>
      </w:r>
    </w:p>
    <w:p w14:paraId="091E7350" w14:textId="77777777" w:rsidR="00B83C69" w:rsidRPr="00860259" w:rsidRDefault="009B40B8" w:rsidP="00B72BC3">
      <w:pPr>
        <w:pStyle w:val="Body"/>
        <w:spacing w:after="0"/>
        <w:rPr>
          <w:rFonts w:ascii="Arial" w:hAnsi="Arial" w:cs="Arial"/>
        </w:rPr>
      </w:pPr>
      <w:r w:rsidRPr="00860259">
        <w:rPr>
          <w:rFonts w:ascii="Arial" w:hAnsi="Arial" w:cs="Arial"/>
        </w:rPr>
        <w:t xml:space="preserve">The melting points were determined using a capillary tube in the Melting Point Apparatus (HUNK-4524542). Molar conductivity was measured in deionized water at 25°C with a WTW conductivity meter. </w:t>
      </w:r>
      <w:r w:rsidRPr="00860259">
        <w:rPr>
          <w:rFonts w:ascii="Arial" w:hAnsi="Arial" w:cs="Arial"/>
          <w:vertAlign w:val="superscript"/>
        </w:rPr>
        <w:t>1</w:t>
      </w:r>
      <w:r w:rsidRPr="00860259">
        <w:rPr>
          <w:rFonts w:ascii="Arial" w:hAnsi="Arial" w:cs="Arial"/>
        </w:rPr>
        <w:t xml:space="preserve">H spectra (dimethyl sulfoxide DMSO-d6) were recorded on a Bruker </w:t>
      </w:r>
      <w:proofErr w:type="spellStart"/>
      <w:r w:rsidRPr="00860259">
        <w:rPr>
          <w:rFonts w:ascii="Arial" w:hAnsi="Arial" w:cs="Arial"/>
        </w:rPr>
        <w:t>Avance</w:t>
      </w:r>
      <w:proofErr w:type="spellEnd"/>
      <w:r w:rsidRPr="00860259">
        <w:rPr>
          <w:rFonts w:ascii="Arial" w:hAnsi="Arial" w:cs="Arial"/>
        </w:rPr>
        <w:t xml:space="preserve"> 400; the chemical shifts were referenced to residual solvent resonance external TMS (</w:t>
      </w:r>
      <w:proofErr w:type="spellStart"/>
      <w:r w:rsidRPr="00860259">
        <w:rPr>
          <w:rFonts w:ascii="Arial" w:hAnsi="Arial" w:cs="Arial"/>
        </w:rPr>
        <w:t>tetramethylsilane</w:t>
      </w:r>
      <w:proofErr w:type="spellEnd"/>
      <w:r w:rsidRPr="00860259">
        <w:rPr>
          <w:rFonts w:ascii="Arial" w:hAnsi="Arial" w:cs="Arial"/>
        </w:rPr>
        <w:t xml:space="preserve">) in the </w:t>
      </w:r>
      <w:r w:rsidRPr="00860259">
        <w:rPr>
          <w:rFonts w:ascii="Arial" w:hAnsi="Arial" w:cs="Arial"/>
          <w:vertAlign w:val="superscript"/>
        </w:rPr>
        <w:t>1</w:t>
      </w:r>
      <w:r w:rsidRPr="00860259">
        <w:rPr>
          <w:rFonts w:ascii="Arial" w:hAnsi="Arial" w:cs="Arial"/>
        </w:rPr>
        <w:t xml:space="preserve">H; the splitting of proton resonances in the reported </w:t>
      </w:r>
      <w:r w:rsidRPr="00860259">
        <w:rPr>
          <w:rFonts w:ascii="Arial" w:hAnsi="Arial" w:cs="Arial"/>
          <w:vertAlign w:val="superscript"/>
        </w:rPr>
        <w:t>1</w:t>
      </w:r>
      <w:r w:rsidRPr="00860259">
        <w:rPr>
          <w:rFonts w:ascii="Arial" w:hAnsi="Arial" w:cs="Arial"/>
        </w:rPr>
        <w:t xml:space="preserve">H NMR spectra is defined as a singlet, doublet, or </w:t>
      </w:r>
      <w:proofErr w:type="spellStart"/>
      <w:r w:rsidRPr="00860259">
        <w:rPr>
          <w:rFonts w:ascii="Arial" w:hAnsi="Arial" w:cs="Arial"/>
        </w:rPr>
        <w:t>multiplet</w:t>
      </w:r>
      <w:proofErr w:type="spellEnd"/>
      <w:r w:rsidRPr="00860259">
        <w:rPr>
          <w:rFonts w:ascii="Arial" w:hAnsi="Arial" w:cs="Arial"/>
        </w:rPr>
        <w:t xml:space="preserve"> [10]. Infrared spectra were recorded in the frequency range of 4000 cm</w:t>
      </w:r>
      <w:r w:rsidRPr="00860259">
        <w:rPr>
          <w:rFonts w:ascii="Arial" w:hAnsi="Arial" w:cs="Arial"/>
          <w:vertAlign w:val="superscript"/>
        </w:rPr>
        <w:t>-1</w:t>
      </w:r>
      <w:r w:rsidRPr="00860259">
        <w:rPr>
          <w:rFonts w:ascii="Arial" w:hAnsi="Arial" w:cs="Arial"/>
        </w:rPr>
        <w:t xml:space="preserve"> to 400 cm</w:t>
      </w:r>
      <w:r w:rsidRPr="00860259">
        <w:rPr>
          <w:rFonts w:ascii="Arial" w:hAnsi="Arial" w:cs="Arial"/>
          <w:vertAlign w:val="superscript"/>
        </w:rPr>
        <w:t>-1</w:t>
      </w:r>
      <w:r w:rsidRPr="00860259">
        <w:rPr>
          <w:rFonts w:ascii="Arial" w:hAnsi="Arial" w:cs="Arial"/>
        </w:rPr>
        <w:t xml:space="preserve"> using an FT-IR spectrometer (Varian 660 </w:t>
      </w:r>
      <w:proofErr w:type="spellStart"/>
      <w:r w:rsidRPr="00860259">
        <w:rPr>
          <w:rFonts w:ascii="Arial" w:hAnsi="Arial" w:cs="Arial"/>
        </w:rPr>
        <w:t>MidIR</w:t>
      </w:r>
      <w:proofErr w:type="spellEnd"/>
      <w:r w:rsidRPr="00860259">
        <w:rPr>
          <w:rFonts w:ascii="Arial" w:hAnsi="Arial" w:cs="Arial"/>
        </w:rPr>
        <w:t xml:space="preserve"> Dual MCT/DTGS Bundle with ATR), with a detector set at </w:t>
      </w:r>
      <w:r w:rsidR="0011430D" w:rsidRPr="00860259">
        <w:rPr>
          <w:rFonts w:ascii="Arial" w:hAnsi="Arial" w:cs="Arial"/>
        </w:rPr>
        <w:t>a resolution of 4 cm</w:t>
      </w:r>
      <w:r w:rsidR="0011430D" w:rsidRPr="00860259">
        <w:rPr>
          <w:rFonts w:ascii="Arial" w:hAnsi="Arial" w:cs="Arial"/>
          <w:vertAlign w:val="superscript"/>
        </w:rPr>
        <w:t>-1</w:t>
      </w:r>
      <w:r w:rsidR="0011430D" w:rsidRPr="00860259">
        <w:rPr>
          <w:rFonts w:ascii="Arial" w:hAnsi="Arial" w:cs="Arial"/>
        </w:rPr>
        <w:t xml:space="preserve"> </w:t>
      </w:r>
      <w:r w:rsidRPr="00860259">
        <w:rPr>
          <w:rFonts w:ascii="Arial" w:hAnsi="Arial" w:cs="Arial"/>
        </w:rPr>
        <w:t>and 200 scans per sample. Ultraviolet-visible spectra of the ligand and complexes were recorded using a UV-Vis spectrophotometer (2100 Pro) within the range of 200-800 nm. Mass spectra were obtained on a Varian 3800/4000 gas chromatograph-mass spectrometer equipped with an Agilent splitter, with split/</w:t>
      </w:r>
      <w:proofErr w:type="spellStart"/>
      <w:r w:rsidRPr="00860259">
        <w:rPr>
          <w:rFonts w:ascii="Arial" w:hAnsi="Arial" w:cs="Arial"/>
        </w:rPr>
        <w:t>splitless</w:t>
      </w:r>
      <w:proofErr w:type="spellEnd"/>
      <w:r w:rsidRPr="00860259">
        <w:rPr>
          <w:rFonts w:ascii="Arial" w:hAnsi="Arial" w:cs="Arial"/>
        </w:rPr>
        <w:t xml:space="preserve"> options, and a BP5 capillary column (30 m × 0.25 mm × 0.25 microns). The samples were analyzed using an X-ray diffraction diffractometer (XDS 2400H), equipped with a Mini+-9—8yyFlex2+ goniometer and detector.</w:t>
      </w:r>
    </w:p>
    <w:p w14:paraId="06EF8348" w14:textId="77777777" w:rsidR="00B83C69" w:rsidRPr="00860259" w:rsidRDefault="00B83C69" w:rsidP="00B72BC3">
      <w:pPr>
        <w:pStyle w:val="Body"/>
        <w:spacing w:after="0"/>
        <w:rPr>
          <w:rFonts w:ascii="Arial" w:hAnsi="Arial" w:cs="Arial"/>
        </w:rPr>
      </w:pPr>
    </w:p>
    <w:p w14:paraId="04532062" w14:textId="136E4A20" w:rsidR="00B83C69" w:rsidRPr="00860259" w:rsidRDefault="00B83C69" w:rsidP="00B72BC3">
      <w:pPr>
        <w:pStyle w:val="Body"/>
        <w:spacing w:after="0"/>
        <w:jc w:val="left"/>
        <w:rPr>
          <w:rFonts w:ascii="Arial" w:hAnsi="Arial" w:cs="Arial"/>
          <w:b/>
          <w:bCs/>
          <w:sz w:val="22"/>
          <w:szCs w:val="22"/>
        </w:rPr>
      </w:pPr>
      <w:r w:rsidRPr="00860259">
        <w:rPr>
          <w:rFonts w:ascii="Arial" w:hAnsi="Arial" w:cs="Arial"/>
          <w:b/>
          <w:bCs/>
        </w:rPr>
        <w:t xml:space="preserve">2.1 </w:t>
      </w:r>
      <w:r w:rsidRPr="00860259">
        <w:rPr>
          <w:rFonts w:ascii="Arial" w:hAnsi="Arial" w:cs="Arial"/>
          <w:b/>
          <w:bCs/>
          <w:sz w:val="22"/>
          <w:szCs w:val="22"/>
        </w:rPr>
        <w:t>Synthesis of 2-[2-[(2-</w:t>
      </w:r>
      <w:proofErr w:type="gramStart"/>
      <w:r w:rsidRPr="00860259">
        <w:rPr>
          <w:rFonts w:ascii="Arial" w:hAnsi="Arial" w:cs="Arial"/>
          <w:b/>
          <w:bCs/>
          <w:sz w:val="22"/>
          <w:szCs w:val="22"/>
        </w:rPr>
        <w:t>nitrobenzylidene)</w:t>
      </w:r>
      <w:proofErr w:type="spellStart"/>
      <w:r w:rsidRPr="00860259">
        <w:rPr>
          <w:rFonts w:ascii="Arial" w:hAnsi="Arial" w:cs="Arial"/>
          <w:b/>
          <w:bCs/>
          <w:sz w:val="22"/>
          <w:szCs w:val="22"/>
        </w:rPr>
        <w:t>hydrazinyl</w:t>
      </w:r>
      <w:proofErr w:type="spellEnd"/>
      <w:proofErr w:type="gramEnd"/>
      <w:r w:rsidRPr="00860259">
        <w:rPr>
          <w:rFonts w:ascii="Arial" w:hAnsi="Arial" w:cs="Arial"/>
          <w:b/>
          <w:bCs/>
          <w:sz w:val="22"/>
          <w:szCs w:val="22"/>
        </w:rPr>
        <w:t>]-2-oxoethyl]thiazol-4-amine Ligand</w:t>
      </w:r>
    </w:p>
    <w:p w14:paraId="7ABF6B4F" w14:textId="77777777" w:rsidR="005429DE" w:rsidRPr="00860259" w:rsidRDefault="005429DE" w:rsidP="00B72BC3">
      <w:pPr>
        <w:pStyle w:val="Body"/>
        <w:spacing w:after="0"/>
        <w:rPr>
          <w:rFonts w:ascii="Arial" w:hAnsi="Arial" w:cs="Arial"/>
        </w:rPr>
      </w:pPr>
    </w:p>
    <w:p w14:paraId="3F94E731" w14:textId="78D736FE" w:rsidR="00475F79" w:rsidRPr="00860259" w:rsidRDefault="00C64DFB" w:rsidP="00B72BC3">
      <w:pPr>
        <w:pStyle w:val="Body"/>
        <w:spacing w:after="0"/>
        <w:rPr>
          <w:rFonts w:ascii="Arial" w:hAnsi="Arial" w:cs="Arial"/>
        </w:rPr>
      </w:pPr>
      <w:r w:rsidRPr="00860259">
        <w:rPr>
          <w:rFonts w:ascii="Arial" w:hAnsi="Arial" w:cs="Arial"/>
        </w:rPr>
        <w:t xml:space="preserve">The ligand was </w:t>
      </w:r>
      <w:r w:rsidR="00475F79" w:rsidRPr="00860259">
        <w:rPr>
          <w:rFonts w:ascii="Arial" w:hAnsi="Arial" w:cs="Arial"/>
        </w:rPr>
        <w:t>synthesized in a 1:1 mole ratio</w:t>
      </w:r>
      <w:r w:rsidR="00C11C90" w:rsidRPr="00860259">
        <w:rPr>
          <w:rFonts w:ascii="Arial" w:hAnsi="Arial" w:cs="Arial"/>
        </w:rPr>
        <w:t xml:space="preserve"> of the reactants</w:t>
      </w:r>
      <w:r w:rsidRPr="00860259">
        <w:rPr>
          <w:rFonts w:ascii="Arial" w:hAnsi="Arial" w:cs="Arial"/>
        </w:rPr>
        <w:t xml:space="preserve"> according to the method used by </w:t>
      </w:r>
      <w:proofErr w:type="spellStart"/>
      <w:r w:rsidR="00475F79" w:rsidRPr="00860259">
        <w:rPr>
          <w:rFonts w:ascii="Arial" w:hAnsi="Arial" w:cs="Arial"/>
        </w:rPr>
        <w:t>Enedoh</w:t>
      </w:r>
      <w:proofErr w:type="spellEnd"/>
      <w:r w:rsidRPr="00860259">
        <w:rPr>
          <w:rFonts w:ascii="Arial" w:hAnsi="Arial" w:cs="Arial"/>
        </w:rPr>
        <w:t xml:space="preserve"> </w:t>
      </w:r>
      <w:r w:rsidRPr="00860259">
        <w:rPr>
          <w:rFonts w:ascii="Arial" w:hAnsi="Arial" w:cs="Arial"/>
          <w:i/>
          <w:iCs/>
        </w:rPr>
        <w:t>et al</w:t>
      </w:r>
      <w:r w:rsidRPr="00860259">
        <w:rPr>
          <w:rFonts w:ascii="Arial" w:hAnsi="Arial" w:cs="Arial"/>
        </w:rPr>
        <w:t>. [1</w:t>
      </w:r>
      <w:r w:rsidR="00475F79" w:rsidRPr="00860259">
        <w:rPr>
          <w:rFonts w:ascii="Arial" w:hAnsi="Arial" w:cs="Arial"/>
        </w:rPr>
        <w:t>1</w:t>
      </w:r>
      <w:r w:rsidRPr="00860259">
        <w:rPr>
          <w:rFonts w:ascii="Arial" w:hAnsi="Arial" w:cs="Arial"/>
        </w:rPr>
        <w:t xml:space="preserve">] as follows: </w:t>
      </w:r>
    </w:p>
    <w:p w14:paraId="22B182B6" w14:textId="77777777" w:rsidR="00475F79" w:rsidRPr="00860259" w:rsidRDefault="00475F79" w:rsidP="00B72BC3">
      <w:pPr>
        <w:pStyle w:val="Body"/>
        <w:spacing w:after="0"/>
        <w:rPr>
          <w:rFonts w:ascii="Arial" w:hAnsi="Arial" w:cs="Arial"/>
        </w:rPr>
      </w:pPr>
    </w:p>
    <w:p w14:paraId="0CEAECAB" w14:textId="675EF9F1" w:rsidR="00475F79" w:rsidRPr="00860259" w:rsidRDefault="00475F79" w:rsidP="00B72BC3">
      <w:pPr>
        <w:pStyle w:val="Body"/>
        <w:spacing w:after="0"/>
        <w:rPr>
          <w:rFonts w:ascii="Arial" w:hAnsi="Arial" w:cs="Arial"/>
        </w:rPr>
      </w:pPr>
      <w:r w:rsidRPr="00860259">
        <w:rPr>
          <w:rFonts w:ascii="Arial" w:hAnsi="Arial" w:cs="Arial"/>
          <w:b/>
          <w:bCs/>
        </w:rPr>
        <w:t>Step 1</w:t>
      </w:r>
      <w:r w:rsidR="00C64DFB" w:rsidRPr="00860259">
        <w:rPr>
          <w:rFonts w:ascii="Arial" w:hAnsi="Arial" w:cs="Arial"/>
          <w:b/>
          <w:bCs/>
        </w:rPr>
        <w:t>:</w:t>
      </w:r>
    </w:p>
    <w:p w14:paraId="5173095B" w14:textId="03968954" w:rsidR="00155334" w:rsidRPr="00860259" w:rsidRDefault="006F34F5" w:rsidP="00B72BC3">
      <w:pPr>
        <w:pStyle w:val="Body"/>
        <w:spacing w:after="0"/>
        <w:rPr>
          <w:rFonts w:ascii="Arial" w:hAnsi="Arial" w:cs="Arial"/>
        </w:rPr>
      </w:pPr>
      <w:r w:rsidRPr="00860259">
        <w:rPr>
          <w:rFonts w:ascii="Arial" w:hAnsi="Arial" w:cs="Arial"/>
        </w:rPr>
        <w:t>2-(2-aminothiazol-4-</w:t>
      </w:r>
      <w:proofErr w:type="gramStart"/>
      <w:r w:rsidRPr="00860259">
        <w:rPr>
          <w:rFonts w:ascii="Arial" w:hAnsi="Arial" w:cs="Arial"/>
        </w:rPr>
        <w:t>yl)</w:t>
      </w:r>
      <w:proofErr w:type="spellStart"/>
      <w:r w:rsidRPr="00860259">
        <w:rPr>
          <w:rFonts w:ascii="Arial" w:hAnsi="Arial" w:cs="Arial"/>
        </w:rPr>
        <w:t>acetohydrazide</w:t>
      </w:r>
      <w:proofErr w:type="spellEnd"/>
      <w:proofErr w:type="gramEnd"/>
      <w:r w:rsidR="0080539C" w:rsidRPr="00860259">
        <w:rPr>
          <w:rFonts w:ascii="Arial" w:hAnsi="Arial" w:cs="Arial"/>
        </w:rPr>
        <w:t xml:space="preserve"> (L1)</w:t>
      </w:r>
      <w:r w:rsidRPr="00860259">
        <w:rPr>
          <w:rFonts w:ascii="Arial" w:hAnsi="Arial" w:cs="Arial"/>
        </w:rPr>
        <w:t xml:space="preserve"> was prepared from a 1:1 molar ratio of ethyl-2-amino-4-thiazoleacetate and hydrazine hydrate. 13.75 mL (0.22 moles) of N2H4·H2O was added to 40 g (0.22 moles) of ethyl-2-amino-4-thiazoleacetate in 165 mL of ethanol. The mixture was then refluxed in a 500 mL round-bottom flask on a heating mantle for 6 hours. The solution was allowed to crystallize for 24 hours. The resulting white crystals were filtered and air-dried (Yield: 36.2 g, 95%, M.P.: 142°C).</w:t>
      </w:r>
    </w:p>
    <w:p w14:paraId="5CA9594F" w14:textId="77777777" w:rsidR="00155334" w:rsidRPr="00860259" w:rsidRDefault="00155334" w:rsidP="00B72BC3">
      <w:pPr>
        <w:pStyle w:val="Body"/>
        <w:spacing w:after="0"/>
        <w:rPr>
          <w:rFonts w:ascii="Arial" w:hAnsi="Arial" w:cs="Arial"/>
        </w:rPr>
      </w:pPr>
    </w:p>
    <w:p w14:paraId="0B0A80C1" w14:textId="5694C7F8" w:rsidR="003105F0" w:rsidRPr="00860259" w:rsidRDefault="00665487" w:rsidP="00B72BC3">
      <w:pPr>
        <w:pStyle w:val="Body"/>
        <w:spacing w:after="0"/>
        <w:rPr>
          <w:rFonts w:ascii="Arial" w:hAnsi="Arial" w:cs="Arial"/>
        </w:rPr>
      </w:pPr>
      <w:r>
        <w:rPr>
          <w:rFonts w:ascii="Arial" w:eastAsiaTheme="minorEastAsia" w:hAnsi="Arial" w:cs="Arial"/>
          <w:noProof/>
          <w:lang w:val="en-GB" w:eastAsia="en-GB"/>
        </w:rPr>
        <w:lastRenderedPageBreak/>
        <w:object w:dxaOrig="1440" w:dyaOrig="1440" w14:anchorId="002A5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447.3pt;height:95.65pt;z-index:251662848;mso-position-horizontal-relative:text;mso-position-vertical-relative:text">
            <v:imagedata r:id="rId7" o:title=""/>
            <w10:wrap type="square"/>
          </v:shape>
          <o:OLEObject Type="Embed" ProgID="ChemDraw.Document.6.0" ShapeID="_x0000_s1029" DrawAspect="Content" ObjectID="_1821129287" r:id="rId8"/>
        </w:object>
      </w:r>
    </w:p>
    <w:p w14:paraId="67D42083" w14:textId="2409DA27" w:rsidR="00155334" w:rsidRPr="00860259" w:rsidRDefault="007002EF" w:rsidP="00B72BC3">
      <w:pPr>
        <w:autoSpaceDE w:val="0"/>
        <w:autoSpaceDN w:val="0"/>
        <w:adjustRightInd w:val="0"/>
        <w:spacing w:after="0" w:line="240" w:lineRule="auto"/>
        <w:ind w:left="720" w:firstLine="720"/>
        <w:jc w:val="both"/>
        <w:rPr>
          <w:rFonts w:ascii="Arial" w:hAnsi="Arial" w:cs="Arial"/>
          <w:sz w:val="20"/>
          <w:szCs w:val="20"/>
        </w:rPr>
      </w:pPr>
      <w:r w:rsidRPr="00860259">
        <w:rPr>
          <w:rFonts w:ascii="Arial" w:hAnsi="Arial" w:cs="Arial"/>
          <w:sz w:val="20"/>
          <w:szCs w:val="20"/>
        </w:rPr>
        <w:t>Scheme</w:t>
      </w:r>
      <w:r w:rsidR="00155334" w:rsidRPr="00860259">
        <w:rPr>
          <w:rFonts w:ascii="Arial" w:hAnsi="Arial" w:cs="Arial"/>
          <w:sz w:val="20"/>
          <w:szCs w:val="20"/>
        </w:rPr>
        <w:t xml:space="preserve"> 1: Synthetic route for 2-(2-aminothiazol-4-</w:t>
      </w:r>
      <w:proofErr w:type="gramStart"/>
      <w:r w:rsidR="00155334" w:rsidRPr="00860259">
        <w:rPr>
          <w:rFonts w:ascii="Arial" w:hAnsi="Arial" w:cs="Arial"/>
          <w:sz w:val="20"/>
          <w:szCs w:val="20"/>
        </w:rPr>
        <w:t>yl)</w:t>
      </w:r>
      <w:proofErr w:type="spellStart"/>
      <w:r w:rsidR="00155334" w:rsidRPr="00860259">
        <w:rPr>
          <w:rFonts w:ascii="Arial" w:hAnsi="Arial" w:cs="Arial"/>
          <w:sz w:val="20"/>
          <w:szCs w:val="20"/>
        </w:rPr>
        <w:t>acetohydrazide</w:t>
      </w:r>
      <w:proofErr w:type="spellEnd"/>
      <w:proofErr w:type="gramEnd"/>
      <w:r w:rsidR="00155334" w:rsidRPr="00860259">
        <w:rPr>
          <w:rFonts w:ascii="Arial" w:hAnsi="Arial" w:cs="Arial"/>
          <w:sz w:val="20"/>
          <w:szCs w:val="20"/>
        </w:rPr>
        <w:t xml:space="preserve"> (L1)</w:t>
      </w:r>
    </w:p>
    <w:p w14:paraId="10A0CC4B" w14:textId="77777777" w:rsidR="003105F0" w:rsidRPr="00860259" w:rsidRDefault="003105F0" w:rsidP="00B72BC3">
      <w:pPr>
        <w:pStyle w:val="Body"/>
        <w:spacing w:after="0"/>
        <w:rPr>
          <w:rFonts w:ascii="Arial" w:hAnsi="Arial" w:cs="Arial"/>
        </w:rPr>
      </w:pPr>
    </w:p>
    <w:p w14:paraId="1B5E5FC7" w14:textId="77777777" w:rsidR="003F771B" w:rsidRPr="00860259" w:rsidRDefault="006B5C27" w:rsidP="00B72BC3">
      <w:pPr>
        <w:pStyle w:val="Body"/>
        <w:spacing w:after="0"/>
        <w:rPr>
          <w:rFonts w:ascii="Arial" w:hAnsi="Arial" w:cs="Arial"/>
          <w:b/>
          <w:bCs/>
        </w:rPr>
      </w:pPr>
      <w:r w:rsidRPr="00860259">
        <w:rPr>
          <w:rFonts w:ascii="Arial" w:hAnsi="Arial" w:cs="Arial"/>
          <w:b/>
          <w:bCs/>
        </w:rPr>
        <w:t>Step 2</w:t>
      </w:r>
      <w:r w:rsidR="003F771B" w:rsidRPr="00860259">
        <w:rPr>
          <w:rFonts w:ascii="Arial" w:hAnsi="Arial" w:cs="Arial"/>
          <w:b/>
          <w:bCs/>
        </w:rPr>
        <w:t>:</w:t>
      </w:r>
    </w:p>
    <w:p w14:paraId="54D830C1" w14:textId="77777777" w:rsidR="003F771B" w:rsidRPr="00860259" w:rsidRDefault="003F771B" w:rsidP="00B72BC3">
      <w:pPr>
        <w:pStyle w:val="Body"/>
        <w:spacing w:after="0"/>
        <w:rPr>
          <w:rFonts w:ascii="Arial" w:hAnsi="Arial" w:cs="Arial"/>
        </w:rPr>
      </w:pPr>
    </w:p>
    <w:p w14:paraId="594316C8" w14:textId="26A49C76" w:rsidR="00E64F3F" w:rsidRPr="00860259" w:rsidRDefault="003F771B" w:rsidP="00B72BC3">
      <w:pPr>
        <w:pStyle w:val="Body"/>
        <w:spacing w:after="0"/>
        <w:rPr>
          <w:rFonts w:ascii="Arial" w:hAnsi="Arial" w:cs="Arial"/>
        </w:rPr>
      </w:pPr>
      <w:r w:rsidRPr="00860259">
        <w:rPr>
          <w:rFonts w:ascii="Arial" w:hAnsi="Arial" w:cs="Arial"/>
        </w:rPr>
        <w:t>T</w:t>
      </w:r>
      <w:r w:rsidR="00E64F3F" w:rsidRPr="00860259">
        <w:rPr>
          <w:rFonts w:ascii="Arial" w:hAnsi="Arial" w:cs="Arial"/>
        </w:rPr>
        <w:t>he 2-(2-aminothiazol-4-</w:t>
      </w:r>
      <w:proofErr w:type="gramStart"/>
      <w:r w:rsidR="00E64F3F" w:rsidRPr="00860259">
        <w:rPr>
          <w:rFonts w:ascii="Arial" w:hAnsi="Arial" w:cs="Arial"/>
        </w:rPr>
        <w:t>yl)</w:t>
      </w:r>
      <w:proofErr w:type="spellStart"/>
      <w:r w:rsidR="00E64F3F" w:rsidRPr="00860259">
        <w:rPr>
          <w:rFonts w:ascii="Arial" w:hAnsi="Arial" w:cs="Arial"/>
        </w:rPr>
        <w:t>acetohydrazide</w:t>
      </w:r>
      <w:proofErr w:type="spellEnd"/>
      <w:proofErr w:type="gramEnd"/>
      <w:r w:rsidR="00E64F3F" w:rsidRPr="00860259">
        <w:rPr>
          <w:rFonts w:ascii="Arial" w:hAnsi="Arial" w:cs="Arial"/>
        </w:rPr>
        <w:t xml:space="preserve"> </w:t>
      </w:r>
      <w:r w:rsidRPr="00860259">
        <w:rPr>
          <w:rFonts w:ascii="Arial" w:hAnsi="Arial" w:cs="Arial"/>
        </w:rPr>
        <w:t xml:space="preserve">synthesized in the first step above </w:t>
      </w:r>
      <w:r w:rsidR="00E64F3F" w:rsidRPr="00860259">
        <w:rPr>
          <w:rFonts w:ascii="Arial" w:hAnsi="Arial" w:cs="Arial"/>
        </w:rPr>
        <w:t>was reacted with 2-nitrobenzaldehyde via a 1:1 molar ratio.</w:t>
      </w:r>
    </w:p>
    <w:p w14:paraId="6B565861" w14:textId="6BCD4BF8" w:rsidR="003643BD" w:rsidRPr="00860259" w:rsidRDefault="00E64F3F" w:rsidP="00B72BC3">
      <w:pPr>
        <w:spacing w:line="240" w:lineRule="auto"/>
        <w:jc w:val="both"/>
        <w:rPr>
          <w:rFonts w:ascii="Arial" w:hAnsi="Arial" w:cs="Arial"/>
          <w:sz w:val="20"/>
          <w:szCs w:val="20"/>
        </w:rPr>
      </w:pPr>
      <w:r w:rsidRPr="00860259">
        <w:rPr>
          <w:rFonts w:ascii="Arial" w:hAnsi="Arial" w:cs="Arial"/>
          <w:sz w:val="20"/>
          <w:szCs w:val="20"/>
        </w:rPr>
        <w:t>2-(2-aminothiazol-4-</w:t>
      </w:r>
      <w:proofErr w:type="gramStart"/>
      <w:r w:rsidRPr="00860259">
        <w:rPr>
          <w:rFonts w:ascii="Arial" w:hAnsi="Arial" w:cs="Arial"/>
          <w:sz w:val="20"/>
          <w:szCs w:val="20"/>
        </w:rPr>
        <w:t>yl)</w:t>
      </w:r>
      <w:proofErr w:type="spellStart"/>
      <w:r w:rsidRPr="00860259">
        <w:rPr>
          <w:rFonts w:ascii="Arial" w:hAnsi="Arial" w:cs="Arial"/>
          <w:sz w:val="20"/>
          <w:szCs w:val="20"/>
        </w:rPr>
        <w:t>acetohydrazide</w:t>
      </w:r>
      <w:proofErr w:type="spellEnd"/>
      <w:proofErr w:type="gramEnd"/>
      <w:r w:rsidRPr="00860259">
        <w:rPr>
          <w:rFonts w:ascii="Arial" w:hAnsi="Arial" w:cs="Arial"/>
          <w:sz w:val="20"/>
          <w:szCs w:val="20"/>
        </w:rPr>
        <w:t xml:space="preserve"> (10g, </w:t>
      </w:r>
      <w:r w:rsidRPr="00860259">
        <w:rPr>
          <w:rStyle w:val="mord"/>
          <w:rFonts w:ascii="Arial" w:hAnsi="Arial" w:cs="Arial"/>
          <w:sz w:val="20"/>
          <w:szCs w:val="20"/>
        </w:rPr>
        <w:t>0.058mol</w:t>
      </w:r>
      <w:r w:rsidRPr="00860259">
        <w:rPr>
          <w:rFonts w:ascii="Arial" w:hAnsi="Arial" w:cs="Arial"/>
          <w:sz w:val="20"/>
          <w:szCs w:val="20"/>
        </w:rPr>
        <w:t xml:space="preserve">) was mixed with 2-nitrobenzaldehyde (10g, </w:t>
      </w:r>
      <w:r w:rsidRPr="00860259">
        <w:rPr>
          <w:rStyle w:val="mord"/>
          <w:rFonts w:ascii="Arial" w:hAnsi="Arial" w:cs="Arial"/>
          <w:sz w:val="20"/>
          <w:szCs w:val="20"/>
        </w:rPr>
        <w:t>0.06mol</w:t>
      </w:r>
      <w:r w:rsidRPr="00860259">
        <w:rPr>
          <w:rFonts w:ascii="Arial" w:hAnsi="Arial" w:cs="Arial"/>
          <w:sz w:val="20"/>
          <w:szCs w:val="20"/>
        </w:rPr>
        <w:t>) in ethanol (200 mL) and refluxed for 6 hours in a 500 mL round-bottom flask on a heating mantle. The solution was left to crystallise for 24 hours.  The light-yellow amorphous powder obtained was filtered, recrystallised, and dried over silica gel in a desiccator</w:t>
      </w:r>
      <w:r w:rsidR="00A44597" w:rsidRPr="00860259">
        <w:rPr>
          <w:rFonts w:ascii="Arial" w:hAnsi="Arial" w:cs="Arial"/>
          <w:sz w:val="20"/>
          <w:szCs w:val="20"/>
        </w:rPr>
        <w:t xml:space="preserve">. </w:t>
      </w:r>
      <w:r w:rsidRPr="00860259">
        <w:rPr>
          <w:rFonts w:ascii="Arial" w:hAnsi="Arial" w:cs="Arial"/>
          <w:sz w:val="20"/>
          <w:szCs w:val="20"/>
        </w:rPr>
        <w:t>(Yield, 9.8g, 55.2%, M.P., 150˚C</w:t>
      </w:r>
      <w:r w:rsidR="00E407A9" w:rsidRPr="00860259">
        <w:rPr>
          <w:rFonts w:ascii="Arial" w:hAnsi="Arial" w:cs="Arial"/>
          <w:sz w:val="20"/>
          <w:szCs w:val="20"/>
        </w:rPr>
        <w:t xml:space="preserve"> C</w:t>
      </w:r>
      <w:r w:rsidR="00E407A9" w:rsidRPr="00860259">
        <w:rPr>
          <w:rFonts w:ascii="Arial" w:hAnsi="Arial" w:cs="Arial"/>
          <w:sz w:val="20"/>
          <w:szCs w:val="20"/>
          <w:vertAlign w:val="subscript"/>
        </w:rPr>
        <w:t>12</w:t>
      </w:r>
      <w:r w:rsidR="00E407A9" w:rsidRPr="00860259">
        <w:rPr>
          <w:rFonts w:ascii="Arial" w:hAnsi="Arial" w:cs="Arial"/>
          <w:sz w:val="20"/>
          <w:szCs w:val="20"/>
        </w:rPr>
        <w:t>H</w:t>
      </w:r>
      <w:r w:rsidR="00E407A9" w:rsidRPr="00860259">
        <w:rPr>
          <w:rFonts w:ascii="Arial" w:hAnsi="Arial" w:cs="Arial"/>
          <w:sz w:val="20"/>
          <w:szCs w:val="20"/>
          <w:vertAlign w:val="subscript"/>
        </w:rPr>
        <w:t>11</w:t>
      </w:r>
      <w:r w:rsidR="00E407A9" w:rsidRPr="00860259">
        <w:rPr>
          <w:rFonts w:ascii="Arial" w:hAnsi="Arial" w:cs="Arial"/>
          <w:sz w:val="20"/>
          <w:szCs w:val="20"/>
        </w:rPr>
        <w:t>N</w:t>
      </w:r>
      <w:r w:rsidR="00E407A9" w:rsidRPr="00860259">
        <w:rPr>
          <w:rFonts w:ascii="Arial" w:hAnsi="Arial" w:cs="Arial"/>
          <w:sz w:val="20"/>
          <w:szCs w:val="20"/>
          <w:vertAlign w:val="subscript"/>
        </w:rPr>
        <w:t>5</w:t>
      </w:r>
      <w:r w:rsidR="00E407A9" w:rsidRPr="00860259">
        <w:rPr>
          <w:rFonts w:ascii="Arial" w:hAnsi="Arial" w:cs="Arial"/>
          <w:sz w:val="20"/>
          <w:szCs w:val="20"/>
        </w:rPr>
        <w:t>O</w:t>
      </w:r>
      <w:r w:rsidR="00E407A9" w:rsidRPr="00860259">
        <w:rPr>
          <w:rFonts w:ascii="Arial" w:hAnsi="Arial" w:cs="Arial"/>
          <w:sz w:val="20"/>
          <w:szCs w:val="20"/>
          <w:vertAlign w:val="subscript"/>
        </w:rPr>
        <w:t>3</w:t>
      </w:r>
      <w:r w:rsidR="00E407A9" w:rsidRPr="00860259">
        <w:rPr>
          <w:rFonts w:ascii="Arial" w:hAnsi="Arial" w:cs="Arial"/>
          <w:sz w:val="20"/>
          <w:szCs w:val="20"/>
        </w:rPr>
        <w:t>S</w:t>
      </w:r>
      <w:r w:rsidR="004E39DD" w:rsidRPr="00860259">
        <w:rPr>
          <w:rFonts w:ascii="Arial" w:hAnsi="Arial" w:cs="Arial"/>
          <w:sz w:val="20"/>
          <w:szCs w:val="20"/>
        </w:rPr>
        <w:t xml:space="preserve">) </w:t>
      </w:r>
      <w:r w:rsidR="000D36CD" w:rsidRPr="00860259">
        <w:rPr>
          <w:rStyle w:val="Strong"/>
          <w:rFonts w:ascii="Arial" w:hAnsi="Arial" w:cs="Arial"/>
          <w:sz w:val="20"/>
          <w:szCs w:val="20"/>
        </w:rPr>
        <w:t>¹H NMR (DMSO-d</w:t>
      </w:r>
      <w:r w:rsidR="000D36CD" w:rsidRPr="00860259">
        <w:rPr>
          <w:rStyle w:val="Strong"/>
          <w:rFonts w:ascii="Cambria Math" w:hAnsi="Cambria Math" w:cs="Cambria Math"/>
          <w:sz w:val="20"/>
          <w:szCs w:val="20"/>
        </w:rPr>
        <w:t>₆</w:t>
      </w:r>
      <w:r w:rsidR="000D36CD" w:rsidRPr="00860259">
        <w:rPr>
          <w:rStyle w:val="Strong"/>
          <w:rFonts w:ascii="Arial" w:hAnsi="Arial" w:cs="Arial"/>
          <w:sz w:val="20"/>
          <w:szCs w:val="20"/>
        </w:rPr>
        <w:t>, δ ppm):</w:t>
      </w:r>
      <w:r w:rsidR="000D36CD" w:rsidRPr="00860259">
        <w:rPr>
          <w:rFonts w:ascii="Arial" w:hAnsi="Arial" w:cs="Arial"/>
          <w:sz w:val="20"/>
          <w:szCs w:val="20"/>
        </w:rPr>
        <w:t xml:space="preserve"> 8.09 (s, 1H, –CH=N–), 6.3–8.6 (m, </w:t>
      </w:r>
      <w:proofErr w:type="spellStart"/>
      <w:r w:rsidR="000D36CD" w:rsidRPr="00860259">
        <w:rPr>
          <w:rFonts w:ascii="Arial" w:hAnsi="Arial" w:cs="Arial"/>
          <w:sz w:val="20"/>
          <w:szCs w:val="20"/>
        </w:rPr>
        <w:t>Ar</w:t>
      </w:r>
      <w:proofErr w:type="spellEnd"/>
      <w:r w:rsidR="000D36CD" w:rsidRPr="00860259">
        <w:rPr>
          <w:rFonts w:ascii="Arial" w:hAnsi="Arial" w:cs="Arial"/>
          <w:sz w:val="20"/>
          <w:szCs w:val="20"/>
        </w:rPr>
        <w:t>–H), 6.82 (</w:t>
      </w:r>
      <w:proofErr w:type="spellStart"/>
      <w:r w:rsidR="000D36CD" w:rsidRPr="00860259">
        <w:rPr>
          <w:rFonts w:ascii="Arial" w:hAnsi="Arial" w:cs="Arial"/>
          <w:sz w:val="20"/>
          <w:szCs w:val="20"/>
        </w:rPr>
        <w:t>br</w:t>
      </w:r>
      <w:proofErr w:type="spellEnd"/>
      <w:r w:rsidR="000D36CD" w:rsidRPr="00860259">
        <w:rPr>
          <w:rFonts w:ascii="Arial" w:hAnsi="Arial" w:cs="Arial"/>
          <w:sz w:val="20"/>
          <w:szCs w:val="20"/>
        </w:rPr>
        <w:t>, 2H, NH</w:t>
      </w:r>
      <w:r w:rsidR="000D36CD" w:rsidRPr="00860259">
        <w:rPr>
          <w:rFonts w:ascii="Cambria Math" w:hAnsi="Cambria Math" w:cs="Cambria Math"/>
          <w:sz w:val="20"/>
          <w:szCs w:val="20"/>
        </w:rPr>
        <w:t>₂</w:t>
      </w:r>
      <w:r w:rsidR="000D36CD" w:rsidRPr="00860259">
        <w:rPr>
          <w:rFonts w:ascii="Arial" w:hAnsi="Arial" w:cs="Arial"/>
          <w:sz w:val="20"/>
          <w:szCs w:val="20"/>
        </w:rPr>
        <w:t>), 11.69 (</w:t>
      </w:r>
      <w:proofErr w:type="spellStart"/>
      <w:r w:rsidR="000D36CD" w:rsidRPr="00860259">
        <w:rPr>
          <w:rFonts w:ascii="Arial" w:hAnsi="Arial" w:cs="Arial"/>
          <w:sz w:val="20"/>
          <w:szCs w:val="20"/>
        </w:rPr>
        <w:t>br</w:t>
      </w:r>
      <w:proofErr w:type="spellEnd"/>
      <w:r w:rsidR="000D36CD" w:rsidRPr="00860259">
        <w:rPr>
          <w:rFonts w:ascii="Arial" w:hAnsi="Arial" w:cs="Arial"/>
          <w:sz w:val="20"/>
          <w:szCs w:val="20"/>
        </w:rPr>
        <w:t>, 1H, NH), 3.80 (m, 2H, –CO–CH</w:t>
      </w:r>
      <w:r w:rsidR="000D36CD" w:rsidRPr="00860259">
        <w:rPr>
          <w:rFonts w:ascii="Cambria Math" w:hAnsi="Cambria Math" w:cs="Cambria Math"/>
          <w:sz w:val="20"/>
          <w:szCs w:val="20"/>
        </w:rPr>
        <w:t>₂</w:t>
      </w:r>
      <w:r w:rsidR="000D36CD" w:rsidRPr="00860259">
        <w:rPr>
          <w:rFonts w:ascii="Arial" w:hAnsi="Arial" w:cs="Arial"/>
          <w:sz w:val="20"/>
          <w:szCs w:val="20"/>
        </w:rPr>
        <w:t>–)</w:t>
      </w:r>
      <w:r w:rsidR="00C52D00" w:rsidRPr="00860259">
        <w:rPr>
          <w:rFonts w:ascii="Arial" w:hAnsi="Arial" w:cs="Arial"/>
          <w:sz w:val="20"/>
          <w:szCs w:val="20"/>
        </w:rPr>
        <w:t xml:space="preserve">, </w:t>
      </w:r>
      <w:r w:rsidR="000C4D0A" w:rsidRPr="00860259">
        <w:rPr>
          <w:rFonts w:ascii="Arial" w:hAnsi="Arial" w:cs="Arial"/>
          <w:sz w:val="20"/>
          <w:szCs w:val="20"/>
        </w:rPr>
        <w:t xml:space="preserve"> </w:t>
      </w:r>
      <w:r w:rsidR="00C52D00" w:rsidRPr="00860259">
        <w:rPr>
          <w:rStyle w:val="Strong"/>
          <w:rFonts w:ascii="Arial" w:hAnsi="Arial" w:cs="Arial"/>
          <w:sz w:val="20"/>
          <w:szCs w:val="20"/>
        </w:rPr>
        <w:t>IR (KBr, ѵ/cm</w:t>
      </w:r>
      <w:r w:rsidR="00C52D00" w:rsidRPr="00860259">
        <w:rPr>
          <w:rStyle w:val="Strong"/>
          <w:rFonts w:ascii="Cambria Math" w:hAnsi="Cambria Math" w:cs="Cambria Math"/>
          <w:sz w:val="20"/>
          <w:szCs w:val="20"/>
        </w:rPr>
        <w:t>⁻</w:t>
      </w:r>
      <w:r w:rsidR="00C52D00" w:rsidRPr="00860259">
        <w:rPr>
          <w:rStyle w:val="Strong"/>
          <w:rFonts w:ascii="Arial" w:hAnsi="Arial" w:cs="Arial"/>
          <w:sz w:val="20"/>
          <w:szCs w:val="20"/>
        </w:rPr>
        <w:t>¹):</w:t>
      </w:r>
      <w:r w:rsidR="00C52D00" w:rsidRPr="00860259">
        <w:rPr>
          <w:rFonts w:ascii="Arial" w:hAnsi="Arial" w:cs="Arial"/>
          <w:sz w:val="20"/>
          <w:szCs w:val="20"/>
        </w:rPr>
        <w:t xml:space="preserve"> 3093 (C–H, aromatic), 2596 (N–H, primary/secondary), 2479 (N–H, hydrogen-bonded), 1364 (–NO</w:t>
      </w:r>
      <w:r w:rsidR="00C52D00" w:rsidRPr="00860259">
        <w:rPr>
          <w:rFonts w:ascii="Cambria Math" w:hAnsi="Cambria Math" w:cs="Cambria Math"/>
          <w:sz w:val="20"/>
          <w:szCs w:val="20"/>
        </w:rPr>
        <w:t>₂</w:t>
      </w:r>
      <w:r w:rsidR="00C52D00" w:rsidRPr="00860259">
        <w:rPr>
          <w:rFonts w:ascii="Arial" w:hAnsi="Arial" w:cs="Arial"/>
          <w:sz w:val="20"/>
          <w:szCs w:val="20"/>
        </w:rPr>
        <w:t>, symmetric stretch), 1302 (C=N), 1243 (C–N), 1099 (C–O/ring modes), 968 (C–H, out-of-plane), 600 (C–S, thiazole).</w:t>
      </w:r>
      <w:r w:rsidR="000E0A49" w:rsidRPr="00860259">
        <w:rPr>
          <w:rFonts w:ascii="Arial" w:hAnsi="Arial" w:cs="Arial"/>
          <w:sz w:val="20"/>
          <w:szCs w:val="20"/>
        </w:rPr>
        <w:t xml:space="preserve"> </w:t>
      </w:r>
      <w:r w:rsidR="000E0A49" w:rsidRPr="00860259">
        <w:rPr>
          <w:rStyle w:val="Strong"/>
          <w:rFonts w:ascii="Arial" w:hAnsi="Arial" w:cs="Arial"/>
          <w:sz w:val="20"/>
          <w:szCs w:val="20"/>
        </w:rPr>
        <w:t>XRD (2θ,</w:t>
      </w:r>
      <w:r w:rsidR="003643BD" w:rsidRPr="00860259">
        <w:rPr>
          <w:rStyle w:val="Strong"/>
          <w:rFonts w:ascii="Arial" w:hAnsi="Arial" w:cs="Arial"/>
          <w:sz w:val="20"/>
          <w:szCs w:val="20"/>
        </w:rPr>
        <w:t xml:space="preserve"> </w:t>
      </w:r>
      <w:r w:rsidR="003643BD" w:rsidRPr="00860259">
        <w:rPr>
          <w:rFonts w:ascii="Cambria Math" w:hAnsi="Cambria Math" w:cs="Cambria Math"/>
          <w:sz w:val="20"/>
          <w:szCs w:val="20"/>
        </w:rPr>
        <w:t>Å</w:t>
      </w:r>
      <w:r w:rsidR="000E0A49" w:rsidRPr="00860259">
        <w:rPr>
          <w:rStyle w:val="Strong"/>
          <w:rFonts w:ascii="Arial" w:hAnsi="Arial" w:cs="Arial"/>
          <w:sz w:val="20"/>
          <w:szCs w:val="20"/>
        </w:rPr>
        <w:t>):</w:t>
      </w:r>
      <w:r w:rsidR="000E0A49" w:rsidRPr="00860259">
        <w:rPr>
          <w:rFonts w:ascii="Arial" w:hAnsi="Arial" w:cs="Arial"/>
          <w:sz w:val="20"/>
          <w:szCs w:val="20"/>
        </w:rPr>
        <w:t xml:space="preserve"> 39.41 (001), 44.00 (010), 46.00 (110), broad peaks — amorphous; 51.79 (111), sharp, minor quartz impurity.</w:t>
      </w:r>
      <w:r w:rsidR="00452A76" w:rsidRPr="00860259">
        <w:rPr>
          <w:rFonts w:ascii="Arial" w:hAnsi="Arial" w:cs="Arial"/>
          <w:sz w:val="20"/>
          <w:szCs w:val="20"/>
        </w:rPr>
        <w:t xml:space="preserve"> </w:t>
      </w:r>
      <w:r w:rsidR="00452A76" w:rsidRPr="00860259">
        <w:rPr>
          <w:rStyle w:val="Strong"/>
          <w:rFonts w:ascii="Arial" w:hAnsi="Arial" w:cs="Arial"/>
          <w:sz w:val="20"/>
          <w:szCs w:val="20"/>
        </w:rPr>
        <w:t>UV–Vis (DMSO</w:t>
      </w:r>
      <w:r w:rsidR="00E022AA" w:rsidRPr="00860259">
        <w:rPr>
          <w:rStyle w:val="Strong"/>
          <w:rFonts w:ascii="Arial" w:hAnsi="Arial" w:cs="Arial"/>
          <w:sz w:val="20"/>
          <w:szCs w:val="20"/>
        </w:rPr>
        <w:t xml:space="preserve">, </w:t>
      </w:r>
      <w:proofErr w:type="spellStart"/>
      <w:r w:rsidR="00452A76" w:rsidRPr="00860259">
        <w:rPr>
          <w:rStyle w:val="Strong"/>
          <w:rFonts w:ascii="Arial" w:hAnsi="Arial" w:cs="Arial"/>
          <w:sz w:val="20"/>
          <w:szCs w:val="20"/>
        </w:rPr>
        <w:t>λmax</w:t>
      </w:r>
      <w:proofErr w:type="spellEnd"/>
      <w:r w:rsidR="00452A76" w:rsidRPr="00860259">
        <w:rPr>
          <w:rStyle w:val="Strong"/>
          <w:rFonts w:ascii="Arial" w:hAnsi="Arial" w:cs="Arial"/>
          <w:sz w:val="20"/>
          <w:szCs w:val="20"/>
        </w:rPr>
        <w:t>, nm):</w:t>
      </w:r>
      <w:r w:rsidR="00452A76" w:rsidRPr="00860259">
        <w:rPr>
          <w:rFonts w:ascii="Arial" w:hAnsi="Arial" w:cs="Arial"/>
          <w:sz w:val="20"/>
          <w:szCs w:val="20"/>
        </w:rPr>
        <w:t xml:space="preserve"> 416 (ICT transition: thiazole-amine donor → </w:t>
      </w:r>
      <w:proofErr w:type="spellStart"/>
      <w:r w:rsidR="00452A76" w:rsidRPr="00860259">
        <w:rPr>
          <w:rFonts w:ascii="Arial" w:hAnsi="Arial" w:cs="Arial"/>
          <w:sz w:val="20"/>
          <w:szCs w:val="20"/>
        </w:rPr>
        <w:t>nitrobenzylidene</w:t>
      </w:r>
      <w:proofErr w:type="spellEnd"/>
      <w:r w:rsidR="00452A76" w:rsidRPr="00860259">
        <w:rPr>
          <w:rFonts w:ascii="Arial" w:hAnsi="Arial" w:cs="Arial"/>
          <w:sz w:val="20"/>
          <w:szCs w:val="20"/>
        </w:rPr>
        <w:t xml:space="preserve"> acceptor).</w:t>
      </w:r>
      <w:r w:rsidR="003643BD" w:rsidRPr="00860259">
        <w:rPr>
          <w:rFonts w:ascii="Arial" w:hAnsi="Arial" w:cs="Arial"/>
          <w:sz w:val="20"/>
          <w:szCs w:val="20"/>
        </w:rPr>
        <w:t xml:space="preserve"> GC-MS (m/z): cal., </w:t>
      </w:r>
      <w:r w:rsidR="00AF4A51" w:rsidRPr="00860259">
        <w:rPr>
          <w:rFonts w:ascii="Arial" w:hAnsi="Arial" w:cs="Arial"/>
          <w:sz w:val="20"/>
          <w:szCs w:val="20"/>
        </w:rPr>
        <w:t>305.06</w:t>
      </w:r>
      <w:r w:rsidR="003643BD" w:rsidRPr="00860259">
        <w:rPr>
          <w:rFonts w:ascii="Arial" w:hAnsi="Arial" w:cs="Arial"/>
          <w:sz w:val="20"/>
          <w:szCs w:val="20"/>
        </w:rPr>
        <w:t xml:space="preserve">; found, </w:t>
      </w:r>
      <w:r w:rsidR="00AF4A51" w:rsidRPr="00860259">
        <w:rPr>
          <w:rFonts w:ascii="Arial" w:hAnsi="Arial" w:cs="Arial"/>
          <w:sz w:val="20"/>
          <w:szCs w:val="20"/>
        </w:rPr>
        <w:t>305.16</w:t>
      </w:r>
    </w:p>
    <w:p w14:paraId="043781E2" w14:textId="77777777" w:rsidR="007819D4" w:rsidRPr="00860259" w:rsidRDefault="007819D4" w:rsidP="00B72BC3">
      <w:pPr>
        <w:spacing w:line="240" w:lineRule="auto"/>
        <w:jc w:val="both"/>
        <w:rPr>
          <w:rFonts w:ascii="Arial" w:hAnsi="Arial" w:cs="Arial"/>
          <w:sz w:val="20"/>
          <w:szCs w:val="20"/>
        </w:rPr>
      </w:pPr>
    </w:p>
    <w:p w14:paraId="126E6EB2" w14:textId="2A586ECA" w:rsidR="00E64F3F" w:rsidRPr="00860259" w:rsidRDefault="00665487" w:rsidP="00B72BC3">
      <w:pPr>
        <w:spacing w:line="240" w:lineRule="auto"/>
        <w:jc w:val="both"/>
        <w:rPr>
          <w:rFonts w:ascii="Arial" w:hAnsi="Arial" w:cs="Arial"/>
          <w:sz w:val="18"/>
          <w:szCs w:val="18"/>
        </w:rPr>
      </w:pPr>
      <w:r>
        <w:rPr>
          <w:rFonts w:ascii="Arial" w:eastAsiaTheme="minorEastAsia" w:hAnsi="Arial" w:cs="Arial"/>
          <w:noProof/>
          <w:sz w:val="20"/>
          <w:szCs w:val="20"/>
          <w:lang w:eastAsia="en-GB"/>
        </w:rPr>
        <w:object w:dxaOrig="1440" w:dyaOrig="1440" w14:anchorId="22CD613A">
          <v:shape id="_x0000_s1027" type="#_x0000_t75" style="position:absolute;left:0;text-align:left;margin-left:0;margin-top:0;width:503.55pt;height:102.95pt;z-index:251660800;mso-position-horizontal-relative:text;mso-position-vertical-relative:text">
            <v:imagedata r:id="rId9" o:title=""/>
            <w10:wrap type="square"/>
          </v:shape>
          <o:OLEObject Type="Embed" ProgID="ChemDraw.Document.6.0" ShapeID="_x0000_s1027" DrawAspect="Content" ObjectID="_1821129288" r:id="rId10"/>
        </w:object>
      </w:r>
      <w:r w:rsidR="007002EF" w:rsidRPr="00860259">
        <w:rPr>
          <w:rFonts w:ascii="Arial" w:hAnsi="Arial" w:cs="Arial"/>
          <w:sz w:val="20"/>
          <w:szCs w:val="20"/>
        </w:rPr>
        <w:t>Scheme</w:t>
      </w:r>
      <w:r w:rsidR="00C708C1" w:rsidRPr="00860259">
        <w:rPr>
          <w:rFonts w:ascii="Arial" w:hAnsi="Arial" w:cs="Arial"/>
          <w:sz w:val="20"/>
          <w:szCs w:val="20"/>
        </w:rPr>
        <w:t xml:space="preserve"> 2</w:t>
      </w:r>
      <w:r w:rsidR="00E64F3F" w:rsidRPr="00860259">
        <w:rPr>
          <w:rFonts w:ascii="Arial" w:hAnsi="Arial" w:cs="Arial"/>
          <w:sz w:val="18"/>
          <w:szCs w:val="18"/>
        </w:rPr>
        <w:t xml:space="preserve">: Synthetic route for the </w:t>
      </w:r>
      <w:r w:rsidR="00D04C79" w:rsidRPr="00860259">
        <w:rPr>
          <w:rFonts w:ascii="Arial" w:hAnsi="Arial" w:cs="Arial"/>
          <w:sz w:val="18"/>
          <w:szCs w:val="18"/>
        </w:rPr>
        <w:t>(E)-2-(2-aminothiazol-4-yl)-N'-(2-</w:t>
      </w:r>
      <w:proofErr w:type="gramStart"/>
      <w:r w:rsidR="00D04C79" w:rsidRPr="00860259">
        <w:rPr>
          <w:rFonts w:ascii="Arial" w:hAnsi="Arial" w:cs="Arial"/>
          <w:sz w:val="18"/>
          <w:szCs w:val="18"/>
        </w:rPr>
        <w:t>nitrobenzylidene)acetohydrazide</w:t>
      </w:r>
      <w:proofErr w:type="gramEnd"/>
      <w:r w:rsidR="00D04C79" w:rsidRPr="00860259">
        <w:rPr>
          <w:rFonts w:ascii="Arial" w:hAnsi="Arial" w:cs="Arial"/>
          <w:sz w:val="18"/>
          <w:szCs w:val="18"/>
        </w:rPr>
        <w:t xml:space="preserve"> </w:t>
      </w:r>
      <w:r w:rsidR="00E64F3F" w:rsidRPr="00860259">
        <w:rPr>
          <w:rFonts w:ascii="Arial" w:hAnsi="Arial" w:cs="Arial"/>
          <w:sz w:val="18"/>
          <w:szCs w:val="18"/>
        </w:rPr>
        <w:t xml:space="preserve">Ligand </w:t>
      </w:r>
    </w:p>
    <w:p w14:paraId="3199595D" w14:textId="77777777" w:rsidR="00E64F3F" w:rsidRPr="00860259" w:rsidRDefault="00E64F3F" w:rsidP="00B72BC3">
      <w:pPr>
        <w:spacing w:line="240" w:lineRule="auto"/>
        <w:jc w:val="both"/>
        <w:rPr>
          <w:rFonts w:ascii="Arial" w:hAnsi="Arial" w:cs="Arial"/>
          <w:b/>
          <w:bCs/>
          <w:sz w:val="20"/>
          <w:szCs w:val="20"/>
        </w:rPr>
      </w:pPr>
    </w:p>
    <w:p w14:paraId="63060F30" w14:textId="023C6EE7" w:rsidR="00E64F3F" w:rsidRPr="00860259" w:rsidRDefault="00162B11" w:rsidP="00B72BC3">
      <w:pPr>
        <w:spacing w:line="240" w:lineRule="auto"/>
        <w:rPr>
          <w:rFonts w:ascii="Arial" w:hAnsi="Arial" w:cs="Arial"/>
          <w:b/>
          <w:bCs/>
          <w:sz w:val="20"/>
          <w:szCs w:val="20"/>
        </w:rPr>
      </w:pPr>
      <w:r w:rsidRPr="00860259">
        <w:rPr>
          <w:rFonts w:ascii="Arial" w:hAnsi="Arial" w:cs="Arial"/>
          <w:b/>
          <w:bCs/>
          <w:sz w:val="20"/>
          <w:szCs w:val="20"/>
        </w:rPr>
        <w:t xml:space="preserve">2.2 </w:t>
      </w:r>
      <w:r w:rsidR="00E64F3F" w:rsidRPr="00860259">
        <w:rPr>
          <w:rFonts w:ascii="Arial" w:hAnsi="Arial" w:cs="Arial"/>
          <w:b/>
          <w:bCs/>
        </w:rPr>
        <w:t xml:space="preserve">Synthesis of </w:t>
      </w:r>
      <w:proofErr w:type="gramStart"/>
      <w:r w:rsidR="00AF6FF9" w:rsidRPr="00860259">
        <w:rPr>
          <w:rFonts w:ascii="Arial" w:hAnsi="Arial" w:cs="Arial"/>
          <w:b/>
          <w:bCs/>
        </w:rPr>
        <w:t>Co(</w:t>
      </w:r>
      <w:proofErr w:type="gramEnd"/>
      <w:r w:rsidR="00AF6FF9" w:rsidRPr="00860259">
        <w:rPr>
          <w:rFonts w:ascii="Arial" w:hAnsi="Arial" w:cs="Arial"/>
          <w:b/>
          <w:bCs/>
        </w:rPr>
        <w:t xml:space="preserve">II) </w:t>
      </w:r>
      <w:r w:rsidR="00E64F3F" w:rsidRPr="00860259">
        <w:rPr>
          <w:rFonts w:ascii="Arial" w:hAnsi="Arial" w:cs="Arial"/>
          <w:b/>
          <w:bCs/>
        </w:rPr>
        <w:t>Complex</w:t>
      </w:r>
      <w:r w:rsidR="00AF6FF9" w:rsidRPr="00860259">
        <w:rPr>
          <w:rFonts w:ascii="Arial" w:hAnsi="Arial" w:cs="Arial"/>
          <w:b/>
          <w:bCs/>
        </w:rPr>
        <w:t xml:space="preserve"> of (E)-2-(2-aminothiazol-4-yl)-N'-(2-nitrobenzylidene)acetohydrazide</w:t>
      </w:r>
    </w:p>
    <w:p w14:paraId="7A818C6F" w14:textId="0BA739BC" w:rsidR="00E64F3F" w:rsidRPr="00860259" w:rsidRDefault="00E64F3F" w:rsidP="00B72BC3">
      <w:pPr>
        <w:spacing w:line="240" w:lineRule="auto"/>
        <w:jc w:val="both"/>
        <w:rPr>
          <w:rFonts w:ascii="Arial" w:hAnsi="Arial" w:cs="Arial"/>
          <w:sz w:val="20"/>
          <w:szCs w:val="20"/>
        </w:rPr>
      </w:pPr>
      <w:r w:rsidRPr="00860259">
        <w:rPr>
          <w:rFonts w:ascii="Arial" w:hAnsi="Arial" w:cs="Arial"/>
          <w:sz w:val="20"/>
          <w:szCs w:val="20"/>
        </w:rPr>
        <w:t>The metal complex was prepared by reacting aqueous solutions of the metal salt (</w:t>
      </w:r>
      <w:proofErr w:type="gramStart"/>
      <w:r w:rsidR="00103E7F" w:rsidRPr="00860259">
        <w:rPr>
          <w:rFonts w:ascii="Arial" w:hAnsi="Arial" w:cs="Arial"/>
          <w:sz w:val="20"/>
          <w:szCs w:val="20"/>
        </w:rPr>
        <w:t>Co(</w:t>
      </w:r>
      <w:proofErr w:type="gramEnd"/>
      <w:r w:rsidR="00103E7F" w:rsidRPr="00860259">
        <w:rPr>
          <w:rFonts w:ascii="Arial" w:hAnsi="Arial" w:cs="Arial"/>
          <w:sz w:val="20"/>
          <w:szCs w:val="20"/>
        </w:rPr>
        <w:t>II)</w:t>
      </w:r>
      <w:r w:rsidRPr="00860259">
        <w:rPr>
          <w:rFonts w:ascii="Arial" w:hAnsi="Arial" w:cs="Arial"/>
          <w:sz w:val="20"/>
          <w:szCs w:val="20"/>
        </w:rPr>
        <w:t>) with ethanoic solutions of the ligand in a 1:2 molar ratio.</w:t>
      </w:r>
    </w:p>
    <w:p w14:paraId="6199D15C" w14:textId="6906212A" w:rsidR="00C95C40" w:rsidRPr="00860259" w:rsidRDefault="00457F7D" w:rsidP="00B72BC3">
      <w:pPr>
        <w:spacing w:line="240" w:lineRule="auto"/>
        <w:jc w:val="both"/>
        <w:rPr>
          <w:rFonts w:ascii="Arial" w:hAnsi="Arial" w:cs="Arial"/>
          <w:sz w:val="20"/>
          <w:szCs w:val="20"/>
        </w:rPr>
      </w:pPr>
      <w:r w:rsidRPr="00860259">
        <w:rPr>
          <w:rFonts w:ascii="Arial" w:hAnsi="Arial" w:cs="Arial"/>
          <w:sz w:val="20"/>
          <w:szCs w:val="20"/>
        </w:rPr>
        <w:t xml:space="preserve">The ligand (E)-2-(2-aminothiazol-4-yl)-N'-(2-nitrobenzylidene)acetohydrazide (1.0 g, 0.00328 mol) was dissolved in 10 mL of ethanol in a round-bottom flask and heated for 30 seconds on a heating mantle. </w:t>
      </w:r>
      <w:r w:rsidR="00516158" w:rsidRPr="00860259">
        <w:rPr>
          <w:rFonts w:ascii="Arial" w:hAnsi="Arial" w:cs="Arial"/>
          <w:sz w:val="20"/>
          <w:szCs w:val="20"/>
        </w:rPr>
        <w:t>The</w:t>
      </w:r>
      <w:r w:rsidRPr="00860259">
        <w:rPr>
          <w:rFonts w:ascii="Arial" w:hAnsi="Arial" w:cs="Arial"/>
          <w:sz w:val="20"/>
          <w:szCs w:val="20"/>
        </w:rPr>
        <w:t xml:space="preserve"> </w:t>
      </w:r>
      <w:r w:rsidR="006F00A7" w:rsidRPr="00860259">
        <w:rPr>
          <w:rFonts w:ascii="Arial" w:hAnsi="Arial" w:cs="Arial"/>
          <w:sz w:val="20"/>
          <w:szCs w:val="20"/>
        </w:rPr>
        <w:t>CoCl</w:t>
      </w:r>
      <w:r w:rsidR="006F00A7" w:rsidRPr="00860259">
        <w:rPr>
          <w:rFonts w:ascii="Arial" w:hAnsi="Arial" w:cs="Arial"/>
          <w:sz w:val="20"/>
          <w:szCs w:val="20"/>
          <w:vertAlign w:val="subscript"/>
        </w:rPr>
        <w:t>2</w:t>
      </w:r>
      <w:r w:rsidR="006F00A7" w:rsidRPr="00860259">
        <w:rPr>
          <w:rFonts w:ascii="Arial" w:hAnsi="Arial" w:cs="Arial"/>
          <w:b/>
          <w:bCs/>
          <w:sz w:val="20"/>
          <w:szCs w:val="20"/>
        </w:rPr>
        <w:t>·</w:t>
      </w:r>
      <w:r w:rsidR="006F00A7" w:rsidRPr="00860259">
        <w:rPr>
          <w:rFonts w:ascii="Arial" w:hAnsi="Arial" w:cs="Arial"/>
          <w:sz w:val="20"/>
          <w:szCs w:val="20"/>
        </w:rPr>
        <w:t>6H</w:t>
      </w:r>
      <w:r w:rsidR="006F00A7" w:rsidRPr="00860259">
        <w:rPr>
          <w:rFonts w:ascii="Arial" w:hAnsi="Arial" w:cs="Arial"/>
          <w:sz w:val="20"/>
          <w:szCs w:val="20"/>
          <w:vertAlign w:val="subscript"/>
        </w:rPr>
        <w:t>2</w:t>
      </w:r>
      <w:r w:rsidR="006F00A7" w:rsidRPr="00860259">
        <w:rPr>
          <w:rFonts w:ascii="Arial" w:hAnsi="Arial" w:cs="Arial"/>
          <w:sz w:val="20"/>
          <w:szCs w:val="20"/>
        </w:rPr>
        <w:t>O</w:t>
      </w:r>
      <w:r w:rsidRPr="00860259">
        <w:rPr>
          <w:rFonts w:ascii="Arial" w:hAnsi="Arial" w:cs="Arial"/>
          <w:sz w:val="20"/>
          <w:szCs w:val="20"/>
        </w:rPr>
        <w:t xml:space="preserve"> (</w:t>
      </w:r>
      <w:r w:rsidR="004115E8" w:rsidRPr="00860259">
        <w:rPr>
          <w:rFonts w:ascii="Arial" w:hAnsi="Arial" w:cs="Arial"/>
          <w:sz w:val="20"/>
          <w:szCs w:val="20"/>
        </w:rPr>
        <w:t>0.390 g</w:t>
      </w:r>
      <w:r w:rsidRPr="00860259">
        <w:rPr>
          <w:rFonts w:ascii="Arial" w:hAnsi="Arial" w:cs="Arial"/>
          <w:sz w:val="20"/>
          <w:szCs w:val="20"/>
        </w:rPr>
        <w:t xml:space="preserve">, 0.00164 mol) was dissolved in 10 mL of water in a separate round-bottom flask. The ligand was then carefully added, with continuous stirring, to the </w:t>
      </w:r>
      <w:r w:rsidR="00516158" w:rsidRPr="00860259">
        <w:rPr>
          <w:rFonts w:ascii="Arial" w:hAnsi="Arial" w:cs="Arial"/>
          <w:sz w:val="20"/>
          <w:szCs w:val="20"/>
        </w:rPr>
        <w:t>Co</w:t>
      </w:r>
      <w:r w:rsidR="00386320" w:rsidRPr="00860259">
        <w:rPr>
          <w:rFonts w:ascii="Arial" w:hAnsi="Arial" w:cs="Arial"/>
          <w:sz w:val="20"/>
          <w:szCs w:val="20"/>
          <w:vertAlign w:val="superscript"/>
        </w:rPr>
        <w:t>2+</w:t>
      </w:r>
      <w:r w:rsidR="00386320" w:rsidRPr="00860259">
        <w:rPr>
          <w:rFonts w:ascii="Arial" w:hAnsi="Arial" w:cs="Arial"/>
          <w:sz w:val="20"/>
          <w:szCs w:val="20"/>
        </w:rPr>
        <w:t xml:space="preserve"> </w:t>
      </w:r>
      <w:r w:rsidRPr="00860259">
        <w:rPr>
          <w:rFonts w:ascii="Arial" w:hAnsi="Arial" w:cs="Arial"/>
          <w:sz w:val="20"/>
          <w:szCs w:val="20"/>
        </w:rPr>
        <w:t xml:space="preserve">solution, and the mixture was refluxed for 4 hours in a 250 mL round-bottom flask on a heating mantle. The solution was left to crystallize for 24 hours. The brown crystals obtained were filtered and dried over silica gel in a desiccator (Yield, </w:t>
      </w:r>
      <w:r w:rsidR="00FB1506" w:rsidRPr="00860259">
        <w:rPr>
          <w:rFonts w:ascii="Arial" w:hAnsi="Arial" w:cs="Arial"/>
          <w:sz w:val="20"/>
          <w:szCs w:val="20"/>
        </w:rPr>
        <w:t>0.7</w:t>
      </w:r>
      <w:r w:rsidR="00AC48D9" w:rsidRPr="00860259">
        <w:rPr>
          <w:rFonts w:ascii="Arial" w:hAnsi="Arial" w:cs="Arial"/>
          <w:sz w:val="20"/>
          <w:szCs w:val="20"/>
        </w:rPr>
        <w:t>8</w:t>
      </w:r>
      <w:r w:rsidRPr="00860259">
        <w:rPr>
          <w:rFonts w:ascii="Arial" w:hAnsi="Arial" w:cs="Arial"/>
          <w:sz w:val="20"/>
          <w:szCs w:val="20"/>
        </w:rPr>
        <w:t xml:space="preserve"> g, </w:t>
      </w:r>
      <w:r w:rsidR="00112117" w:rsidRPr="00860259">
        <w:rPr>
          <w:rFonts w:ascii="Arial" w:hAnsi="Arial" w:cs="Arial"/>
          <w:sz w:val="20"/>
          <w:szCs w:val="20"/>
        </w:rPr>
        <w:t>7</w:t>
      </w:r>
      <w:r w:rsidRPr="00860259">
        <w:rPr>
          <w:rFonts w:ascii="Arial" w:hAnsi="Arial" w:cs="Arial"/>
          <w:sz w:val="20"/>
          <w:szCs w:val="20"/>
        </w:rPr>
        <w:t>0%, M.P., 1</w:t>
      </w:r>
      <w:r w:rsidR="00413C2A" w:rsidRPr="00860259">
        <w:rPr>
          <w:rFonts w:ascii="Arial" w:hAnsi="Arial" w:cs="Arial"/>
          <w:sz w:val="20"/>
          <w:szCs w:val="20"/>
        </w:rPr>
        <w:t>55</w:t>
      </w:r>
      <w:r w:rsidRPr="00860259">
        <w:rPr>
          <w:rFonts w:ascii="Arial" w:hAnsi="Arial" w:cs="Arial"/>
          <w:sz w:val="20"/>
          <w:szCs w:val="20"/>
        </w:rPr>
        <w:t>°C).</w:t>
      </w:r>
      <w:r w:rsidR="00C33FF7" w:rsidRPr="00860259">
        <w:rPr>
          <w:rStyle w:val="Strong"/>
          <w:rFonts w:ascii="Arial" w:hAnsi="Arial" w:cs="Arial"/>
          <w:sz w:val="20"/>
          <w:szCs w:val="20"/>
        </w:rPr>
        <w:t>IR (KBr, ѵ/cm</w:t>
      </w:r>
      <w:r w:rsidR="00C33FF7" w:rsidRPr="00860259">
        <w:rPr>
          <w:rStyle w:val="Strong"/>
          <w:rFonts w:ascii="Cambria Math" w:hAnsi="Cambria Math" w:cs="Cambria Math"/>
          <w:sz w:val="20"/>
          <w:szCs w:val="20"/>
        </w:rPr>
        <w:t>⁻</w:t>
      </w:r>
      <w:r w:rsidR="00C33FF7" w:rsidRPr="00860259">
        <w:rPr>
          <w:rStyle w:val="Strong"/>
          <w:rFonts w:ascii="Arial" w:hAnsi="Arial" w:cs="Arial"/>
          <w:sz w:val="20"/>
          <w:szCs w:val="20"/>
        </w:rPr>
        <w:t>¹):</w:t>
      </w:r>
      <w:r w:rsidR="00C33FF7" w:rsidRPr="00860259">
        <w:rPr>
          <w:rFonts w:ascii="Arial" w:hAnsi="Arial" w:cs="Arial"/>
          <w:sz w:val="20"/>
          <w:szCs w:val="20"/>
        </w:rPr>
        <w:t xml:space="preserve"> 3475 (O–H), 1668 (CH</w:t>
      </w:r>
      <w:r w:rsidR="00C33FF7" w:rsidRPr="00860259">
        <w:rPr>
          <w:rFonts w:ascii="Cambria Math" w:hAnsi="Cambria Math" w:cs="Cambria Math"/>
          <w:sz w:val="20"/>
          <w:szCs w:val="20"/>
        </w:rPr>
        <w:t>₂</w:t>
      </w:r>
      <w:r w:rsidR="00C33FF7" w:rsidRPr="00860259">
        <w:rPr>
          <w:rFonts w:ascii="Arial" w:hAnsi="Arial" w:cs="Arial"/>
          <w:sz w:val="20"/>
          <w:szCs w:val="20"/>
        </w:rPr>
        <w:t>/C–H), 1321, 1095 (C–O/C–O–C), 938 (C=C), 546 (M–O).</w:t>
      </w:r>
      <w:r w:rsidR="00C33FF7" w:rsidRPr="00860259">
        <w:rPr>
          <w:rStyle w:val="Strong"/>
          <w:rFonts w:ascii="Arial" w:hAnsi="Arial" w:cs="Arial"/>
          <w:sz w:val="20"/>
          <w:szCs w:val="20"/>
        </w:rPr>
        <w:t xml:space="preserve"> </w:t>
      </w:r>
      <w:r w:rsidR="00705C16" w:rsidRPr="00860259">
        <w:rPr>
          <w:rStyle w:val="Strong"/>
          <w:rFonts w:ascii="Arial" w:hAnsi="Arial" w:cs="Arial"/>
          <w:sz w:val="20"/>
          <w:szCs w:val="20"/>
        </w:rPr>
        <w:t xml:space="preserve">XRD (2θ, </w:t>
      </w:r>
      <w:proofErr w:type="gramStart"/>
      <w:r w:rsidR="00D97F0A" w:rsidRPr="00860259">
        <w:rPr>
          <w:rFonts w:ascii="Cambria Math" w:hAnsi="Cambria Math" w:cs="Cambria Math"/>
          <w:sz w:val="20"/>
          <w:szCs w:val="20"/>
        </w:rPr>
        <w:t>Å</w:t>
      </w:r>
      <w:r w:rsidR="00D97F0A" w:rsidRPr="00860259">
        <w:rPr>
          <w:rStyle w:val="Strong"/>
          <w:rFonts w:ascii="Arial" w:hAnsi="Arial" w:cs="Arial"/>
          <w:sz w:val="20"/>
          <w:szCs w:val="20"/>
        </w:rPr>
        <w:t xml:space="preserve"> </w:t>
      </w:r>
      <w:r w:rsidR="00705C16" w:rsidRPr="00860259">
        <w:rPr>
          <w:rStyle w:val="Strong"/>
          <w:rFonts w:ascii="Arial" w:hAnsi="Arial" w:cs="Arial"/>
          <w:sz w:val="20"/>
          <w:szCs w:val="20"/>
        </w:rPr>
        <w:t>)</w:t>
      </w:r>
      <w:proofErr w:type="gramEnd"/>
      <w:r w:rsidR="00705C16" w:rsidRPr="00860259">
        <w:rPr>
          <w:rStyle w:val="Strong"/>
          <w:rFonts w:ascii="Arial" w:hAnsi="Arial" w:cs="Arial"/>
          <w:sz w:val="20"/>
          <w:szCs w:val="20"/>
        </w:rPr>
        <w:t>:</w:t>
      </w:r>
      <w:r w:rsidR="00705C16" w:rsidRPr="00860259">
        <w:rPr>
          <w:rFonts w:ascii="Arial" w:hAnsi="Arial" w:cs="Arial"/>
          <w:sz w:val="20"/>
          <w:szCs w:val="20"/>
        </w:rPr>
        <w:t xml:space="preserve"> 21.96, 30.23, 37.25, 41.97</w:t>
      </w:r>
      <w:r w:rsidR="000824E3" w:rsidRPr="00860259">
        <w:rPr>
          <w:rFonts w:ascii="Arial" w:hAnsi="Arial" w:cs="Arial"/>
          <w:sz w:val="20"/>
          <w:szCs w:val="20"/>
        </w:rPr>
        <w:t xml:space="preserve">. </w:t>
      </w:r>
      <w:r w:rsidR="00C95C40" w:rsidRPr="00860259">
        <w:rPr>
          <w:rStyle w:val="Strong"/>
          <w:rFonts w:ascii="Arial" w:hAnsi="Arial" w:cs="Arial"/>
          <w:sz w:val="20"/>
          <w:szCs w:val="20"/>
        </w:rPr>
        <w:t xml:space="preserve">UV–Vis (DMSO, </w:t>
      </w:r>
      <w:proofErr w:type="spellStart"/>
      <w:r w:rsidR="00C95C40" w:rsidRPr="00860259">
        <w:rPr>
          <w:rStyle w:val="Strong"/>
          <w:rFonts w:ascii="Arial" w:hAnsi="Arial" w:cs="Arial"/>
          <w:sz w:val="20"/>
          <w:szCs w:val="20"/>
        </w:rPr>
        <w:t>λmax</w:t>
      </w:r>
      <w:proofErr w:type="spellEnd"/>
      <w:r w:rsidR="00C95C40" w:rsidRPr="00860259">
        <w:rPr>
          <w:rStyle w:val="Strong"/>
          <w:rFonts w:ascii="Arial" w:hAnsi="Arial" w:cs="Arial"/>
          <w:sz w:val="20"/>
          <w:szCs w:val="20"/>
        </w:rPr>
        <w:t>, nm):</w:t>
      </w:r>
      <w:r w:rsidR="00C95C40" w:rsidRPr="00860259">
        <w:rPr>
          <w:rFonts w:ascii="Arial" w:hAnsi="Arial" w:cs="Arial"/>
          <w:sz w:val="20"/>
          <w:szCs w:val="20"/>
        </w:rPr>
        <w:t xml:space="preserve"> 396</w:t>
      </w:r>
      <w:r w:rsidR="00DC6BED" w:rsidRPr="00860259">
        <w:rPr>
          <w:rFonts w:ascii="Arial" w:hAnsi="Arial" w:cs="Arial"/>
          <w:sz w:val="20"/>
          <w:szCs w:val="20"/>
        </w:rPr>
        <w:t xml:space="preserve"> (L2Co, strong band due to coordination and conjugation disruption).</w:t>
      </w:r>
      <w:r w:rsidR="00CB7606" w:rsidRPr="00860259">
        <w:rPr>
          <w:rFonts w:ascii="Arial" w:hAnsi="Arial" w:cs="Arial"/>
          <w:sz w:val="20"/>
          <w:szCs w:val="20"/>
        </w:rPr>
        <w:t xml:space="preserve"> GC-MS (m/z): cal., 705.59; found, </w:t>
      </w:r>
      <w:r w:rsidR="00A66D41" w:rsidRPr="00860259">
        <w:rPr>
          <w:rFonts w:ascii="Arial" w:hAnsi="Arial" w:cs="Arial"/>
          <w:sz w:val="20"/>
          <w:szCs w:val="20"/>
        </w:rPr>
        <w:t>705.07</w:t>
      </w:r>
    </w:p>
    <w:p w14:paraId="23B04B08" w14:textId="77777777" w:rsidR="00E64F3F" w:rsidRPr="00860259" w:rsidRDefault="00E64F3F" w:rsidP="00B72BC3">
      <w:pPr>
        <w:spacing w:line="240" w:lineRule="auto"/>
        <w:jc w:val="both"/>
        <w:rPr>
          <w:rFonts w:ascii="Arial" w:hAnsi="Arial" w:cs="Arial"/>
          <w:sz w:val="20"/>
          <w:szCs w:val="20"/>
        </w:rPr>
      </w:pPr>
    </w:p>
    <w:p w14:paraId="3D3B412E" w14:textId="77777777" w:rsidR="00E64F3F" w:rsidRPr="00860259" w:rsidRDefault="00665487" w:rsidP="00B72BC3">
      <w:pPr>
        <w:spacing w:line="240" w:lineRule="auto"/>
        <w:jc w:val="both"/>
        <w:rPr>
          <w:rFonts w:ascii="Arial" w:hAnsi="Arial" w:cs="Arial"/>
          <w:sz w:val="20"/>
          <w:szCs w:val="20"/>
        </w:rPr>
      </w:pPr>
      <w:r>
        <w:rPr>
          <w:rFonts w:ascii="Arial" w:eastAsiaTheme="minorEastAsia" w:hAnsi="Arial" w:cs="Arial"/>
          <w:noProof/>
          <w:sz w:val="20"/>
          <w:szCs w:val="20"/>
          <w:lang w:eastAsia="en-GB"/>
        </w:rPr>
        <w:object w:dxaOrig="1440" w:dyaOrig="1440" w14:anchorId="3C17A48B">
          <v:shape id="_x0000_s1028" type="#_x0000_t75" style="position:absolute;left:0;text-align:left;margin-left:39pt;margin-top:.75pt;width:387pt;height:144.7pt;z-index:251661824;mso-position-horizontal-relative:text;mso-position-vertical-relative:text">
            <v:imagedata r:id="rId11" o:title=""/>
            <w10:wrap type="square"/>
          </v:shape>
          <o:OLEObject Type="Embed" ProgID="ChemDraw.Document.6.0" ShapeID="_x0000_s1028" DrawAspect="Content" ObjectID="_1821129289" r:id="rId12"/>
        </w:object>
      </w:r>
    </w:p>
    <w:p w14:paraId="2540624C"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3207B642"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6CE7C1BD"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12005F9B"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33607F2C"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17FB87DD"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2797EAB3" w14:textId="3C1F7B59" w:rsidR="00E64F3F" w:rsidRPr="00860259" w:rsidRDefault="00C708C1" w:rsidP="00B72BC3">
      <w:pPr>
        <w:shd w:val="clear" w:color="auto" w:fill="FFFFFF"/>
        <w:spacing w:before="120" w:line="240" w:lineRule="auto"/>
        <w:ind w:left="1440" w:firstLine="720"/>
        <w:jc w:val="both"/>
        <w:rPr>
          <w:rFonts w:ascii="Arial" w:hAnsi="Arial" w:cs="Arial"/>
          <w:sz w:val="20"/>
          <w:szCs w:val="20"/>
        </w:rPr>
      </w:pPr>
      <w:r w:rsidRPr="00860259">
        <w:rPr>
          <w:rFonts w:ascii="Arial" w:hAnsi="Arial" w:cs="Arial"/>
          <w:sz w:val="20"/>
          <w:szCs w:val="20"/>
        </w:rPr>
        <w:t>Scheme 3</w:t>
      </w:r>
      <w:r w:rsidR="00E64F3F" w:rsidRPr="00860259">
        <w:rPr>
          <w:rFonts w:ascii="Arial" w:hAnsi="Arial" w:cs="Arial"/>
          <w:sz w:val="20"/>
          <w:szCs w:val="20"/>
        </w:rPr>
        <w:t xml:space="preserve">: Synthetic Route for the </w:t>
      </w:r>
      <w:proofErr w:type="gramStart"/>
      <w:r w:rsidRPr="00860259">
        <w:rPr>
          <w:rFonts w:ascii="Arial" w:hAnsi="Arial" w:cs="Arial"/>
          <w:sz w:val="20"/>
          <w:szCs w:val="20"/>
        </w:rPr>
        <w:t>Co(</w:t>
      </w:r>
      <w:proofErr w:type="gramEnd"/>
      <w:r w:rsidRPr="00860259">
        <w:rPr>
          <w:rFonts w:ascii="Arial" w:hAnsi="Arial" w:cs="Arial"/>
          <w:sz w:val="20"/>
          <w:szCs w:val="20"/>
        </w:rPr>
        <w:t xml:space="preserve">II) </w:t>
      </w:r>
      <w:r w:rsidR="00E64F3F" w:rsidRPr="00860259">
        <w:rPr>
          <w:rFonts w:ascii="Arial" w:hAnsi="Arial" w:cs="Arial"/>
          <w:sz w:val="20"/>
          <w:szCs w:val="20"/>
        </w:rPr>
        <w:t>Complex</w:t>
      </w:r>
    </w:p>
    <w:p w14:paraId="288C70AA" w14:textId="77777777" w:rsidR="00BE1F5F" w:rsidRPr="00860259" w:rsidRDefault="00BE1F5F" w:rsidP="00B72BC3">
      <w:pPr>
        <w:pStyle w:val="Body"/>
        <w:spacing w:after="0"/>
        <w:rPr>
          <w:rFonts w:ascii="Arial" w:hAnsi="Arial" w:cs="Arial"/>
        </w:rPr>
      </w:pPr>
    </w:p>
    <w:p w14:paraId="4FBA0EFC" w14:textId="77777777" w:rsidR="00A2168A" w:rsidRPr="00860259" w:rsidRDefault="00A2168A" w:rsidP="00B72BC3">
      <w:pPr>
        <w:pStyle w:val="Body"/>
        <w:spacing w:after="0"/>
        <w:rPr>
          <w:rFonts w:ascii="Arial" w:hAnsi="Arial" w:cs="Arial"/>
          <w:b/>
          <w:bCs/>
        </w:rPr>
      </w:pPr>
    </w:p>
    <w:p w14:paraId="31DAC609" w14:textId="77777777" w:rsidR="00F16651" w:rsidRPr="00860259" w:rsidRDefault="00F16651" w:rsidP="00B72BC3">
      <w:pPr>
        <w:pStyle w:val="Body"/>
        <w:spacing w:after="0"/>
        <w:rPr>
          <w:rFonts w:ascii="Arial" w:hAnsi="Arial" w:cs="Arial"/>
          <w:b/>
          <w:bCs/>
        </w:rPr>
      </w:pPr>
    </w:p>
    <w:p w14:paraId="61BFB431" w14:textId="0BB0D658" w:rsidR="00147429" w:rsidRPr="00860259" w:rsidRDefault="00F16651" w:rsidP="00B72BC3">
      <w:pPr>
        <w:pStyle w:val="Body"/>
        <w:spacing w:after="0"/>
        <w:rPr>
          <w:rFonts w:ascii="Arial" w:hAnsi="Arial" w:cs="Arial"/>
          <w:b/>
          <w:bCs/>
          <w:sz w:val="22"/>
          <w:szCs w:val="22"/>
        </w:rPr>
      </w:pPr>
      <w:r w:rsidRPr="00860259">
        <w:rPr>
          <w:rFonts w:ascii="Arial" w:hAnsi="Arial" w:cs="Arial"/>
          <w:b/>
          <w:bCs/>
          <w:sz w:val="22"/>
          <w:szCs w:val="22"/>
        </w:rPr>
        <w:t>3. RESULT AND DISCUSSION</w:t>
      </w:r>
    </w:p>
    <w:p w14:paraId="34745CE7" w14:textId="77777777" w:rsidR="009A1AA1" w:rsidRPr="00860259" w:rsidRDefault="009A1AA1" w:rsidP="00B72BC3">
      <w:pPr>
        <w:pStyle w:val="Body"/>
        <w:spacing w:after="0"/>
        <w:rPr>
          <w:rFonts w:ascii="Arial" w:hAnsi="Arial" w:cs="Arial"/>
          <w:b/>
          <w:bCs/>
        </w:rPr>
      </w:pPr>
    </w:p>
    <w:p w14:paraId="33A48FFE" w14:textId="77777777" w:rsidR="00255B8D" w:rsidRPr="00860259" w:rsidRDefault="009A1AA1" w:rsidP="00B72BC3">
      <w:pPr>
        <w:spacing w:line="240" w:lineRule="auto"/>
        <w:jc w:val="both"/>
        <w:rPr>
          <w:rFonts w:ascii="Arial" w:hAnsi="Arial" w:cs="Arial"/>
          <w:sz w:val="20"/>
          <w:szCs w:val="20"/>
        </w:rPr>
      </w:pPr>
      <w:r w:rsidRPr="00860259">
        <w:rPr>
          <w:rFonts w:ascii="Arial" w:hAnsi="Arial" w:cs="Arial"/>
          <w:sz w:val="20"/>
          <w:szCs w:val="20"/>
        </w:rPr>
        <w:t xml:space="preserve">The </w:t>
      </w:r>
      <w:r w:rsidR="007C349B" w:rsidRPr="00860259">
        <w:rPr>
          <w:rFonts w:ascii="Arial" w:hAnsi="Arial" w:cs="Arial"/>
          <w:sz w:val="20"/>
          <w:szCs w:val="20"/>
        </w:rPr>
        <w:t>ligand (E)-2-(2-aminothiazol-4-yl)-N'-(2-nitrobenzylidene)acetohydrazide</w:t>
      </w:r>
      <w:r w:rsidR="005221A8" w:rsidRPr="00860259">
        <w:rPr>
          <w:rFonts w:ascii="Arial" w:hAnsi="Arial" w:cs="Arial"/>
          <w:sz w:val="20"/>
          <w:szCs w:val="20"/>
        </w:rPr>
        <w:t xml:space="preserve"> was prepared by </w:t>
      </w:r>
      <w:r w:rsidR="006A67CC" w:rsidRPr="00860259">
        <w:rPr>
          <w:rFonts w:ascii="Arial" w:hAnsi="Arial" w:cs="Arial"/>
          <w:sz w:val="20"/>
          <w:szCs w:val="20"/>
        </w:rPr>
        <w:t xml:space="preserve">the </w:t>
      </w:r>
      <w:r w:rsidR="005221A8" w:rsidRPr="00860259">
        <w:rPr>
          <w:rFonts w:ascii="Arial" w:hAnsi="Arial" w:cs="Arial"/>
          <w:sz w:val="20"/>
          <w:szCs w:val="20"/>
        </w:rPr>
        <w:t xml:space="preserve">condensation reaction of </w:t>
      </w:r>
      <w:r w:rsidR="006A67CC" w:rsidRPr="00860259">
        <w:rPr>
          <w:rFonts w:ascii="Arial" w:hAnsi="Arial" w:cs="Arial"/>
          <w:sz w:val="20"/>
          <w:szCs w:val="20"/>
        </w:rPr>
        <w:t xml:space="preserve">equimolar </w:t>
      </w:r>
      <w:r w:rsidR="006B0CD4" w:rsidRPr="00860259">
        <w:rPr>
          <w:rFonts w:ascii="Arial" w:hAnsi="Arial" w:cs="Arial"/>
          <w:sz w:val="20"/>
          <w:szCs w:val="20"/>
        </w:rPr>
        <w:t>concentrations</w:t>
      </w:r>
      <w:r w:rsidR="006A67CC" w:rsidRPr="00860259">
        <w:rPr>
          <w:rFonts w:ascii="Arial" w:hAnsi="Arial" w:cs="Arial"/>
          <w:sz w:val="20"/>
          <w:szCs w:val="20"/>
        </w:rPr>
        <w:t xml:space="preserve"> of 2-(2-aminothiazol-4-yl)</w:t>
      </w:r>
      <w:proofErr w:type="spellStart"/>
      <w:r w:rsidR="006A67CC" w:rsidRPr="00860259">
        <w:rPr>
          <w:rFonts w:ascii="Arial" w:hAnsi="Arial" w:cs="Arial"/>
          <w:sz w:val="20"/>
          <w:szCs w:val="20"/>
        </w:rPr>
        <w:t>acetohydrazide</w:t>
      </w:r>
      <w:proofErr w:type="spellEnd"/>
      <w:r w:rsidR="006A67CC" w:rsidRPr="00860259">
        <w:rPr>
          <w:rFonts w:ascii="Arial" w:hAnsi="Arial" w:cs="Arial"/>
          <w:sz w:val="20"/>
          <w:szCs w:val="20"/>
        </w:rPr>
        <w:t xml:space="preserve"> and 2-nitrobenzaldehyde</w:t>
      </w:r>
      <w:r w:rsidR="00E207CA" w:rsidRPr="00860259">
        <w:rPr>
          <w:rFonts w:ascii="Arial" w:hAnsi="Arial" w:cs="Arial"/>
          <w:sz w:val="20"/>
          <w:szCs w:val="20"/>
        </w:rPr>
        <w:t xml:space="preserve"> (Scheme 2)</w:t>
      </w:r>
      <w:r w:rsidR="004F1851" w:rsidRPr="00860259">
        <w:rPr>
          <w:rFonts w:ascii="Arial" w:hAnsi="Arial" w:cs="Arial"/>
          <w:sz w:val="20"/>
          <w:szCs w:val="20"/>
        </w:rPr>
        <w:t>,</w:t>
      </w:r>
      <w:r w:rsidR="00FF1F3D" w:rsidRPr="00860259">
        <w:rPr>
          <w:rFonts w:ascii="Arial" w:hAnsi="Arial" w:cs="Arial"/>
          <w:sz w:val="20"/>
          <w:szCs w:val="20"/>
        </w:rPr>
        <w:t xml:space="preserve"> while the Co(II) complex of the ligand was </w:t>
      </w:r>
      <w:r w:rsidR="004F1851" w:rsidRPr="00860259">
        <w:rPr>
          <w:rFonts w:ascii="Arial" w:hAnsi="Arial" w:cs="Arial"/>
          <w:sz w:val="20"/>
          <w:szCs w:val="20"/>
        </w:rPr>
        <w:t>prepared by a 1:2 mole ratio of metal salt and ligand</w:t>
      </w:r>
      <w:r w:rsidR="006B0CD4" w:rsidRPr="00860259">
        <w:rPr>
          <w:rFonts w:ascii="Arial" w:hAnsi="Arial" w:cs="Arial"/>
          <w:sz w:val="20"/>
          <w:szCs w:val="20"/>
        </w:rPr>
        <w:t xml:space="preserve">. </w:t>
      </w:r>
      <w:r w:rsidR="00C62773" w:rsidRPr="00860259">
        <w:rPr>
          <w:rFonts w:ascii="Arial" w:hAnsi="Arial" w:cs="Arial"/>
          <w:sz w:val="20"/>
          <w:szCs w:val="20"/>
        </w:rPr>
        <w:t xml:space="preserve">The synthesized ligand and its </w:t>
      </w:r>
      <w:proofErr w:type="gramStart"/>
      <w:r w:rsidR="00C62773" w:rsidRPr="00860259">
        <w:rPr>
          <w:rFonts w:ascii="Arial" w:hAnsi="Arial" w:cs="Arial"/>
          <w:sz w:val="20"/>
          <w:szCs w:val="20"/>
        </w:rPr>
        <w:t>Co(</w:t>
      </w:r>
      <w:proofErr w:type="gramEnd"/>
      <w:r w:rsidR="00C62773" w:rsidRPr="00860259">
        <w:rPr>
          <w:rFonts w:ascii="Arial" w:hAnsi="Arial" w:cs="Arial"/>
          <w:sz w:val="20"/>
          <w:szCs w:val="20"/>
        </w:rPr>
        <w:t>II) complex (</w:t>
      </w:r>
      <w:proofErr w:type="spellStart"/>
      <w:r w:rsidR="00C62773" w:rsidRPr="00860259">
        <w:rPr>
          <w:rFonts w:ascii="Arial" w:hAnsi="Arial" w:cs="Arial"/>
          <w:sz w:val="20"/>
          <w:szCs w:val="20"/>
        </w:rPr>
        <w:t>LCo</w:t>
      </w:r>
      <w:proofErr w:type="spellEnd"/>
      <w:r w:rsidR="00C62773" w:rsidRPr="00860259">
        <w:rPr>
          <w:rFonts w:ascii="Arial" w:hAnsi="Arial" w:cs="Arial"/>
          <w:sz w:val="20"/>
          <w:szCs w:val="20"/>
        </w:rPr>
        <w:t xml:space="preserve">) were obtained in yields of 55.2% and 70%, respectively, demonstrating moderate to good synthetic efficiency, with </w:t>
      </w:r>
      <w:r w:rsidR="00C327DF" w:rsidRPr="00860259">
        <w:rPr>
          <w:rFonts w:ascii="Arial" w:hAnsi="Arial" w:cs="Arial"/>
          <w:sz w:val="20"/>
          <w:szCs w:val="20"/>
        </w:rPr>
        <w:t xml:space="preserve">a </w:t>
      </w:r>
      <w:r w:rsidR="00C62773" w:rsidRPr="00860259">
        <w:rPr>
          <w:rFonts w:ascii="Arial" w:hAnsi="Arial" w:cs="Arial"/>
          <w:sz w:val="20"/>
          <w:szCs w:val="20"/>
        </w:rPr>
        <w:t xml:space="preserve">higher yield observed upon complexation. </w:t>
      </w:r>
      <w:r w:rsidR="00C327DF" w:rsidRPr="00860259">
        <w:rPr>
          <w:rFonts w:ascii="Arial" w:hAnsi="Arial" w:cs="Arial"/>
          <w:sz w:val="20"/>
          <w:szCs w:val="20"/>
        </w:rPr>
        <w:t>The ligand</w:t>
      </w:r>
      <w:r w:rsidR="00C62773" w:rsidRPr="00860259">
        <w:rPr>
          <w:rFonts w:ascii="Arial" w:hAnsi="Arial" w:cs="Arial"/>
          <w:sz w:val="20"/>
          <w:szCs w:val="20"/>
        </w:rPr>
        <w:t xml:space="preserve"> was isolated as </w:t>
      </w:r>
      <w:r w:rsidR="00187EA5" w:rsidRPr="00860259">
        <w:rPr>
          <w:rFonts w:ascii="Arial" w:hAnsi="Arial" w:cs="Arial"/>
          <w:sz w:val="20"/>
          <w:szCs w:val="20"/>
        </w:rPr>
        <w:t>a light-yellow</w:t>
      </w:r>
      <w:r w:rsidR="00C62773" w:rsidRPr="00860259">
        <w:rPr>
          <w:rFonts w:ascii="Arial" w:hAnsi="Arial" w:cs="Arial"/>
          <w:sz w:val="20"/>
          <w:szCs w:val="20"/>
        </w:rPr>
        <w:t xml:space="preserve"> </w:t>
      </w:r>
      <w:r w:rsidR="00851A98" w:rsidRPr="00860259">
        <w:rPr>
          <w:rFonts w:ascii="Arial" w:hAnsi="Arial" w:cs="Arial"/>
          <w:sz w:val="20"/>
          <w:szCs w:val="20"/>
        </w:rPr>
        <w:t>amorphous powder</w:t>
      </w:r>
      <w:r w:rsidR="00C62773" w:rsidRPr="00860259">
        <w:rPr>
          <w:rFonts w:ascii="Arial" w:hAnsi="Arial" w:cs="Arial"/>
          <w:sz w:val="20"/>
          <w:szCs w:val="20"/>
        </w:rPr>
        <w:t xml:space="preserve"> with a melting point of 150°C, whereas </w:t>
      </w:r>
      <w:proofErr w:type="spellStart"/>
      <w:r w:rsidR="00C62773" w:rsidRPr="00860259">
        <w:rPr>
          <w:rFonts w:ascii="Arial" w:hAnsi="Arial" w:cs="Arial"/>
          <w:sz w:val="20"/>
          <w:szCs w:val="20"/>
        </w:rPr>
        <w:t>LCo</w:t>
      </w:r>
      <w:proofErr w:type="spellEnd"/>
      <w:r w:rsidR="00C62773" w:rsidRPr="00860259">
        <w:rPr>
          <w:rFonts w:ascii="Arial" w:hAnsi="Arial" w:cs="Arial"/>
          <w:sz w:val="20"/>
          <w:szCs w:val="20"/>
        </w:rPr>
        <w:t xml:space="preserve"> appeared as brown crystals with a slightly higher melting point of 155 °C, indicating improved thermal stability due to cobalt coordination</w:t>
      </w:r>
      <w:r w:rsidR="002E6779" w:rsidRPr="00860259">
        <w:rPr>
          <w:rFonts w:ascii="Arial" w:hAnsi="Arial" w:cs="Arial"/>
          <w:sz w:val="20"/>
          <w:szCs w:val="20"/>
        </w:rPr>
        <w:t xml:space="preserve"> (Table1)</w:t>
      </w:r>
      <w:r w:rsidR="00C62773" w:rsidRPr="00860259">
        <w:rPr>
          <w:rFonts w:ascii="Arial" w:hAnsi="Arial" w:cs="Arial"/>
          <w:sz w:val="20"/>
          <w:szCs w:val="20"/>
        </w:rPr>
        <w:t>. These variations in yield, colour, and melting point are consistent with reported trends for Schiff base metal complexes, where chelation typically enhances stability and alters physicochemical properties</w:t>
      </w:r>
      <w:r w:rsidR="00A92D56" w:rsidRPr="00860259">
        <w:rPr>
          <w:rFonts w:ascii="Arial" w:hAnsi="Arial" w:cs="Arial"/>
          <w:sz w:val="20"/>
          <w:szCs w:val="20"/>
        </w:rPr>
        <w:t xml:space="preserve"> [12].</w:t>
      </w:r>
    </w:p>
    <w:p w14:paraId="4FB22F43" w14:textId="77777777" w:rsidR="00002448" w:rsidRPr="00860259" w:rsidRDefault="00002448" w:rsidP="00B72BC3">
      <w:pPr>
        <w:spacing w:line="240" w:lineRule="auto"/>
        <w:jc w:val="both"/>
        <w:rPr>
          <w:rFonts w:ascii="Arial" w:hAnsi="Arial" w:cs="Arial"/>
          <w:sz w:val="20"/>
          <w:szCs w:val="20"/>
        </w:rPr>
      </w:pPr>
    </w:p>
    <w:tbl>
      <w:tblPr>
        <w:tblStyle w:val="TableGrid"/>
        <w:tblW w:w="8075" w:type="dxa"/>
        <w:tblInd w:w="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2219"/>
        <w:gridCol w:w="2268"/>
        <w:gridCol w:w="1984"/>
      </w:tblGrid>
      <w:tr w:rsidR="00002448" w:rsidRPr="00860259" w14:paraId="36C8B66A" w14:textId="77777777" w:rsidTr="00002448">
        <w:tc>
          <w:tcPr>
            <w:tcW w:w="1604" w:type="dxa"/>
            <w:tcBorders>
              <w:top w:val="single" w:sz="4" w:space="0" w:color="auto"/>
              <w:left w:val="nil"/>
              <w:bottom w:val="single" w:sz="4" w:space="0" w:color="auto"/>
              <w:right w:val="nil"/>
            </w:tcBorders>
            <w:hideMark/>
          </w:tcPr>
          <w:p w14:paraId="48D38858"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Compounds</w:t>
            </w:r>
          </w:p>
        </w:tc>
        <w:tc>
          <w:tcPr>
            <w:tcW w:w="2219" w:type="dxa"/>
            <w:tcBorders>
              <w:top w:val="single" w:sz="4" w:space="0" w:color="auto"/>
              <w:left w:val="nil"/>
              <w:bottom w:val="single" w:sz="4" w:space="0" w:color="auto"/>
              <w:right w:val="nil"/>
            </w:tcBorders>
            <w:hideMark/>
          </w:tcPr>
          <w:p w14:paraId="7622813D"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Percentage yield (%)</w:t>
            </w:r>
          </w:p>
        </w:tc>
        <w:tc>
          <w:tcPr>
            <w:tcW w:w="2268" w:type="dxa"/>
            <w:tcBorders>
              <w:top w:val="single" w:sz="4" w:space="0" w:color="auto"/>
              <w:left w:val="nil"/>
              <w:bottom w:val="single" w:sz="4" w:space="0" w:color="auto"/>
              <w:right w:val="nil"/>
            </w:tcBorders>
            <w:hideMark/>
          </w:tcPr>
          <w:p w14:paraId="24C5093B"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Melting point (˚C)</w:t>
            </w:r>
          </w:p>
        </w:tc>
        <w:tc>
          <w:tcPr>
            <w:tcW w:w="1984" w:type="dxa"/>
            <w:tcBorders>
              <w:top w:val="single" w:sz="4" w:space="0" w:color="auto"/>
              <w:left w:val="nil"/>
              <w:bottom w:val="single" w:sz="4" w:space="0" w:color="auto"/>
              <w:right w:val="nil"/>
            </w:tcBorders>
            <w:hideMark/>
          </w:tcPr>
          <w:p w14:paraId="35FFF0E1"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Colour</w:t>
            </w:r>
          </w:p>
        </w:tc>
      </w:tr>
      <w:tr w:rsidR="00002448" w:rsidRPr="00860259" w14:paraId="0672E9F7" w14:textId="77777777" w:rsidTr="00002448">
        <w:tc>
          <w:tcPr>
            <w:tcW w:w="1604" w:type="dxa"/>
            <w:tcBorders>
              <w:top w:val="nil"/>
              <w:left w:val="nil"/>
              <w:bottom w:val="nil"/>
              <w:right w:val="nil"/>
            </w:tcBorders>
            <w:hideMark/>
          </w:tcPr>
          <w:p w14:paraId="4D0ACFB5"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w:t>
            </w:r>
          </w:p>
        </w:tc>
        <w:tc>
          <w:tcPr>
            <w:tcW w:w="2219" w:type="dxa"/>
            <w:tcBorders>
              <w:top w:val="nil"/>
              <w:left w:val="nil"/>
              <w:bottom w:val="nil"/>
              <w:right w:val="nil"/>
            </w:tcBorders>
            <w:hideMark/>
          </w:tcPr>
          <w:p w14:paraId="32CF2C5F"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55.2</w:t>
            </w:r>
          </w:p>
        </w:tc>
        <w:tc>
          <w:tcPr>
            <w:tcW w:w="2268" w:type="dxa"/>
            <w:tcBorders>
              <w:top w:val="nil"/>
              <w:left w:val="nil"/>
              <w:bottom w:val="nil"/>
              <w:right w:val="nil"/>
            </w:tcBorders>
            <w:hideMark/>
          </w:tcPr>
          <w:p w14:paraId="50E5F547"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150</w:t>
            </w:r>
          </w:p>
        </w:tc>
        <w:tc>
          <w:tcPr>
            <w:tcW w:w="1984" w:type="dxa"/>
            <w:tcBorders>
              <w:top w:val="nil"/>
              <w:left w:val="nil"/>
              <w:bottom w:val="nil"/>
              <w:right w:val="nil"/>
            </w:tcBorders>
            <w:hideMark/>
          </w:tcPr>
          <w:p w14:paraId="20FF8A8C"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Light yellow</w:t>
            </w:r>
          </w:p>
        </w:tc>
      </w:tr>
      <w:tr w:rsidR="00002448" w:rsidRPr="00860259" w14:paraId="51709ACF" w14:textId="77777777" w:rsidTr="00002448">
        <w:tc>
          <w:tcPr>
            <w:tcW w:w="1604" w:type="dxa"/>
            <w:tcBorders>
              <w:top w:val="nil"/>
              <w:left w:val="nil"/>
              <w:bottom w:val="single" w:sz="4" w:space="0" w:color="auto"/>
              <w:right w:val="nil"/>
            </w:tcBorders>
            <w:hideMark/>
          </w:tcPr>
          <w:p w14:paraId="018658B0"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LCo</w:t>
            </w:r>
          </w:p>
        </w:tc>
        <w:tc>
          <w:tcPr>
            <w:tcW w:w="2219" w:type="dxa"/>
            <w:tcBorders>
              <w:top w:val="nil"/>
              <w:left w:val="nil"/>
              <w:bottom w:val="single" w:sz="4" w:space="0" w:color="auto"/>
              <w:right w:val="nil"/>
            </w:tcBorders>
            <w:hideMark/>
          </w:tcPr>
          <w:p w14:paraId="1A051502"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70</w:t>
            </w:r>
          </w:p>
        </w:tc>
        <w:tc>
          <w:tcPr>
            <w:tcW w:w="2268" w:type="dxa"/>
            <w:tcBorders>
              <w:top w:val="nil"/>
              <w:left w:val="nil"/>
              <w:bottom w:val="single" w:sz="4" w:space="0" w:color="auto"/>
              <w:right w:val="nil"/>
            </w:tcBorders>
            <w:hideMark/>
          </w:tcPr>
          <w:p w14:paraId="5003A2A0"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155</w:t>
            </w:r>
          </w:p>
        </w:tc>
        <w:tc>
          <w:tcPr>
            <w:tcW w:w="1984" w:type="dxa"/>
            <w:tcBorders>
              <w:top w:val="nil"/>
              <w:left w:val="nil"/>
              <w:bottom w:val="single" w:sz="4" w:space="0" w:color="auto"/>
              <w:right w:val="nil"/>
            </w:tcBorders>
            <w:hideMark/>
          </w:tcPr>
          <w:p w14:paraId="3682C29C"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 xml:space="preserve">Brown </w:t>
            </w:r>
          </w:p>
        </w:tc>
      </w:tr>
    </w:tbl>
    <w:p w14:paraId="1F11769E" w14:textId="77777777" w:rsidR="00002448" w:rsidRPr="00860259" w:rsidRDefault="00002448" w:rsidP="00B72BC3">
      <w:pPr>
        <w:spacing w:line="240" w:lineRule="auto"/>
        <w:jc w:val="both"/>
        <w:rPr>
          <w:rFonts w:ascii="Arial" w:hAnsi="Arial" w:cs="Arial"/>
          <w:sz w:val="20"/>
          <w:szCs w:val="20"/>
        </w:rPr>
      </w:pPr>
    </w:p>
    <w:p w14:paraId="4B4AD271" w14:textId="77777777" w:rsidR="00255B8D" w:rsidRPr="00860259" w:rsidRDefault="00255B8D" w:rsidP="00B72BC3">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1: </w:t>
      </w:r>
      <w:bookmarkStart w:id="0" w:name="_Toc207786964"/>
      <w:r w:rsidRPr="00860259">
        <w:rPr>
          <w:rFonts w:ascii="Arial" w:hAnsi="Arial" w:cs="Arial"/>
          <w:b/>
          <w:bCs/>
          <w:sz w:val="20"/>
          <w:szCs w:val="20"/>
        </w:rPr>
        <w:t>Characteristic and Physical Properties of Synthesised Compounds</w:t>
      </w:r>
      <w:bookmarkEnd w:id="0"/>
    </w:p>
    <w:p w14:paraId="2D88F69E" w14:textId="77777777" w:rsidR="006A67CC" w:rsidRPr="00860259" w:rsidRDefault="006A67CC" w:rsidP="00B72BC3">
      <w:pPr>
        <w:spacing w:line="240" w:lineRule="auto"/>
        <w:jc w:val="both"/>
        <w:rPr>
          <w:rFonts w:ascii="Arial" w:hAnsi="Arial" w:cs="Arial"/>
          <w:sz w:val="20"/>
          <w:szCs w:val="20"/>
        </w:rPr>
      </w:pPr>
    </w:p>
    <w:p w14:paraId="1E020298" w14:textId="433E07FE" w:rsidR="006C435F" w:rsidRDefault="004A323E" w:rsidP="00B72BC3">
      <w:pPr>
        <w:spacing w:after="0" w:line="240" w:lineRule="auto"/>
        <w:jc w:val="both"/>
        <w:rPr>
          <w:rFonts w:ascii="Arial" w:eastAsia="Times New Roman" w:hAnsi="Arial" w:cs="Arial"/>
          <w:color w:val="000000"/>
          <w:sz w:val="20"/>
          <w:szCs w:val="20"/>
          <w:lang w:eastAsia="en-GB"/>
        </w:rPr>
      </w:pPr>
      <w:r w:rsidRPr="00860259">
        <w:rPr>
          <w:rFonts w:ascii="Arial" w:eastAsia="Times New Roman" w:hAnsi="Arial" w:cs="Arial"/>
          <w:color w:val="000000"/>
          <w:sz w:val="20"/>
          <w:szCs w:val="20"/>
          <w:lang w:eastAsia="en-GB"/>
        </w:rPr>
        <w:t>From t</w:t>
      </w:r>
      <w:r w:rsidR="006C435F" w:rsidRPr="00860259">
        <w:rPr>
          <w:rFonts w:ascii="Arial" w:eastAsia="Times New Roman" w:hAnsi="Arial" w:cs="Arial"/>
          <w:color w:val="000000"/>
          <w:sz w:val="20"/>
          <w:szCs w:val="20"/>
          <w:lang w:eastAsia="en-GB"/>
        </w:rPr>
        <w:t>he FTIR spectral analysis of the ligand L</w:t>
      </w:r>
      <w:r w:rsidRPr="00860259">
        <w:rPr>
          <w:rFonts w:ascii="Arial" w:eastAsia="Times New Roman" w:hAnsi="Arial" w:cs="Arial"/>
          <w:color w:val="000000"/>
          <w:sz w:val="20"/>
          <w:szCs w:val="20"/>
          <w:lang w:eastAsia="en-GB"/>
        </w:rPr>
        <w:t xml:space="preserve"> and complex</w:t>
      </w:r>
      <w:r w:rsidR="009E0622" w:rsidRPr="00860259">
        <w:rPr>
          <w:rFonts w:ascii="Arial" w:eastAsia="Times New Roman" w:hAnsi="Arial" w:cs="Arial"/>
          <w:color w:val="000000"/>
          <w:sz w:val="20"/>
          <w:szCs w:val="20"/>
          <w:lang w:eastAsia="en-GB"/>
        </w:rPr>
        <w:t xml:space="preserve"> (Figure 1)</w:t>
      </w:r>
      <w:r w:rsidRPr="00860259">
        <w:rPr>
          <w:rFonts w:ascii="Arial" w:eastAsia="Times New Roman" w:hAnsi="Arial" w:cs="Arial"/>
          <w:color w:val="000000"/>
          <w:sz w:val="20"/>
          <w:szCs w:val="20"/>
          <w:lang w:eastAsia="en-GB"/>
        </w:rPr>
        <w:t>,</w:t>
      </w:r>
      <w:r w:rsidR="006C435F" w:rsidRPr="00860259">
        <w:rPr>
          <w:rFonts w:ascii="Arial" w:eastAsia="Times New Roman" w:hAnsi="Arial" w:cs="Arial"/>
          <w:color w:val="000000"/>
          <w:sz w:val="20"/>
          <w:szCs w:val="20"/>
          <w:lang w:eastAsia="en-GB"/>
        </w:rPr>
        <w:t xml:space="preserve"> </w:t>
      </w:r>
      <w:r w:rsidRPr="00860259">
        <w:rPr>
          <w:rFonts w:ascii="Arial" w:eastAsia="Times New Roman" w:hAnsi="Arial" w:cs="Arial"/>
          <w:color w:val="000000"/>
          <w:sz w:val="20"/>
          <w:szCs w:val="20"/>
          <w:lang w:eastAsia="en-GB"/>
        </w:rPr>
        <w:t xml:space="preserve">the Ligand </w:t>
      </w:r>
      <w:r w:rsidR="009E0622" w:rsidRPr="00860259">
        <w:rPr>
          <w:rFonts w:ascii="Arial" w:eastAsia="Times New Roman" w:hAnsi="Arial" w:cs="Arial"/>
          <w:color w:val="000000"/>
          <w:sz w:val="20"/>
          <w:szCs w:val="20"/>
          <w:lang w:eastAsia="en-GB"/>
        </w:rPr>
        <w:t xml:space="preserve">showed </w:t>
      </w:r>
      <w:r w:rsidR="006C435F" w:rsidRPr="00860259">
        <w:rPr>
          <w:rFonts w:ascii="Arial" w:eastAsia="Times New Roman" w:hAnsi="Arial" w:cs="Arial"/>
          <w:color w:val="000000"/>
          <w:sz w:val="20"/>
          <w:szCs w:val="20"/>
          <w:lang w:eastAsia="en-GB"/>
        </w:rPr>
        <w:t>characteristic absorption bands at 3092.85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(O-H stretching), 2596.03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(CH</w:t>
      </w:r>
      <w:r w:rsidR="006C435F" w:rsidRPr="00860259">
        <w:rPr>
          <w:rFonts w:ascii="Cambria Math" w:eastAsia="Times New Roman" w:hAnsi="Cambria Math" w:cs="Cambria Math"/>
          <w:color w:val="000000"/>
          <w:sz w:val="20"/>
          <w:szCs w:val="20"/>
          <w:lang w:eastAsia="en-GB"/>
        </w:rPr>
        <w:t>₂</w:t>
      </w:r>
      <w:r w:rsidR="006C435F" w:rsidRPr="00860259">
        <w:rPr>
          <w:rFonts w:ascii="Arial" w:eastAsia="Times New Roman" w:hAnsi="Arial" w:cs="Arial"/>
          <w:color w:val="000000"/>
          <w:sz w:val="20"/>
          <w:szCs w:val="20"/>
          <w:lang w:eastAsia="en-GB"/>
        </w:rPr>
        <w:t>/C-H stretching), 2478.95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(C=O stretching), 1301.90 and 1364.28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(C-O/C=O stretching), indicative of its functional group composition, while the absence of metal-oxygen (M-O) stretching confirmed its uncoordinated state. The L-Co complex exhibited a shift in the O-H stretching to 3475.21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and the emergence of new bands at 938.53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and 546.28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attributed to C=O and M-O stretching, respectively, suggesting coordination of the ligand to the Co(II) ion through the oxygen atom, with the disappearance of certain bands (e.g., CH</w:t>
      </w:r>
      <w:r w:rsidR="006C435F" w:rsidRPr="00860259">
        <w:rPr>
          <w:rFonts w:ascii="Cambria Math" w:eastAsia="Times New Roman" w:hAnsi="Cambria Math" w:cs="Cambria Math"/>
          <w:color w:val="000000"/>
          <w:sz w:val="20"/>
          <w:szCs w:val="20"/>
          <w:lang w:eastAsia="en-GB"/>
        </w:rPr>
        <w:t>₂</w:t>
      </w:r>
      <w:r w:rsidR="006C435F" w:rsidRPr="00860259">
        <w:rPr>
          <w:rFonts w:ascii="Arial" w:eastAsia="Times New Roman" w:hAnsi="Arial" w:cs="Arial"/>
          <w:color w:val="000000"/>
          <w:sz w:val="20"/>
          <w:szCs w:val="20"/>
          <w:lang w:eastAsia="en-GB"/>
        </w:rPr>
        <w:t>/C-H at 1668.27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indicating structural changes upon complexation</w:t>
      </w:r>
      <w:r w:rsidR="006C31EF" w:rsidRPr="00860259">
        <w:rPr>
          <w:rFonts w:ascii="Arial" w:eastAsia="Times New Roman" w:hAnsi="Arial" w:cs="Arial"/>
          <w:color w:val="000000"/>
          <w:sz w:val="20"/>
          <w:szCs w:val="20"/>
          <w:lang w:eastAsia="en-GB"/>
        </w:rPr>
        <w:t xml:space="preserve"> (Table</w:t>
      </w:r>
      <w:r w:rsidR="00904670" w:rsidRPr="00860259">
        <w:rPr>
          <w:rFonts w:ascii="Arial" w:eastAsia="Times New Roman" w:hAnsi="Arial" w:cs="Arial"/>
          <w:color w:val="000000"/>
          <w:sz w:val="20"/>
          <w:szCs w:val="20"/>
          <w:lang w:eastAsia="en-GB"/>
        </w:rPr>
        <w:t xml:space="preserve"> 2).</w:t>
      </w:r>
    </w:p>
    <w:p w14:paraId="6419DDD9"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4F73E4F3"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5B35937D"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5DA89E73" w14:textId="77777777" w:rsidR="00AF2D7A" w:rsidRPr="00860259" w:rsidRDefault="00AF2D7A" w:rsidP="00B72BC3">
      <w:pPr>
        <w:spacing w:after="0" w:line="240" w:lineRule="auto"/>
        <w:jc w:val="both"/>
        <w:rPr>
          <w:rFonts w:ascii="Arial" w:eastAsia="Times New Roman" w:hAnsi="Arial" w:cs="Arial"/>
          <w:color w:val="000000"/>
          <w:sz w:val="20"/>
          <w:szCs w:val="20"/>
          <w:lang w:eastAsia="en-GB"/>
        </w:rPr>
      </w:pPr>
    </w:p>
    <w:p w14:paraId="303DE0B4" w14:textId="77777777" w:rsidR="001B3C5C" w:rsidRPr="00860259" w:rsidRDefault="001B3C5C" w:rsidP="00B72BC3">
      <w:pPr>
        <w:spacing w:after="0" w:line="240" w:lineRule="auto"/>
        <w:jc w:val="both"/>
        <w:rPr>
          <w:rFonts w:ascii="Arial" w:eastAsia="Times New Roman" w:hAnsi="Arial" w:cs="Arial"/>
          <w:color w:val="000000"/>
          <w:sz w:val="20"/>
          <w:szCs w:val="20"/>
          <w:lang w:eastAsia="en-GB"/>
        </w:rPr>
      </w:pPr>
    </w:p>
    <w:tbl>
      <w:tblPr>
        <w:tblStyle w:val="TableGrid"/>
        <w:tblW w:w="10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619"/>
        <w:gridCol w:w="1205"/>
        <w:gridCol w:w="1205"/>
        <w:gridCol w:w="1205"/>
        <w:gridCol w:w="1205"/>
        <w:gridCol w:w="2285"/>
      </w:tblGrid>
      <w:tr w:rsidR="001B3C5C" w:rsidRPr="00860259" w14:paraId="0077E93E" w14:textId="77777777" w:rsidTr="00F01D38">
        <w:trPr>
          <w:trHeight w:val="548"/>
        </w:trPr>
        <w:tc>
          <w:tcPr>
            <w:tcW w:w="1624" w:type="dxa"/>
            <w:tcBorders>
              <w:top w:val="single" w:sz="4" w:space="0" w:color="auto"/>
              <w:left w:val="nil"/>
              <w:bottom w:val="single" w:sz="4" w:space="0" w:color="auto"/>
              <w:right w:val="nil"/>
            </w:tcBorders>
            <w:hideMark/>
          </w:tcPr>
          <w:p w14:paraId="110B8A24"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lastRenderedPageBreak/>
              <w:t>Compound</w:t>
            </w:r>
          </w:p>
        </w:tc>
        <w:tc>
          <w:tcPr>
            <w:tcW w:w="1757" w:type="dxa"/>
            <w:tcBorders>
              <w:top w:val="single" w:sz="4" w:space="0" w:color="auto"/>
              <w:left w:val="nil"/>
              <w:bottom w:val="single" w:sz="4" w:space="0" w:color="auto"/>
              <w:right w:val="nil"/>
            </w:tcBorders>
            <w:hideMark/>
          </w:tcPr>
          <w:p w14:paraId="02BF4798"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O–H Stretching</w:t>
            </w:r>
          </w:p>
        </w:tc>
        <w:tc>
          <w:tcPr>
            <w:tcW w:w="1017" w:type="dxa"/>
            <w:tcBorders>
              <w:top w:val="single" w:sz="4" w:space="0" w:color="auto"/>
              <w:left w:val="nil"/>
              <w:bottom w:val="single" w:sz="4" w:space="0" w:color="auto"/>
              <w:right w:val="nil"/>
            </w:tcBorders>
            <w:hideMark/>
          </w:tcPr>
          <w:p w14:paraId="7F2A54C0"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CH</w:t>
            </w:r>
            <w:r w:rsidRPr="00860259">
              <w:rPr>
                <w:rFonts w:ascii="Cambria Math" w:hAnsi="Cambria Math" w:cs="Cambria Math"/>
                <w:b/>
                <w:bCs/>
                <w:sz w:val="20"/>
                <w:szCs w:val="20"/>
              </w:rPr>
              <w:t>₂</w:t>
            </w:r>
            <w:r w:rsidRPr="00860259">
              <w:rPr>
                <w:rFonts w:ascii="Arial" w:hAnsi="Arial" w:cs="Arial"/>
                <w:b/>
                <w:bCs/>
                <w:sz w:val="20"/>
                <w:szCs w:val="20"/>
              </w:rPr>
              <w:t xml:space="preserve"> / C–H Stretching</w:t>
            </w:r>
          </w:p>
        </w:tc>
        <w:tc>
          <w:tcPr>
            <w:tcW w:w="1008" w:type="dxa"/>
            <w:tcBorders>
              <w:top w:val="single" w:sz="4" w:space="0" w:color="auto"/>
              <w:left w:val="nil"/>
              <w:bottom w:val="single" w:sz="4" w:space="0" w:color="auto"/>
              <w:right w:val="nil"/>
            </w:tcBorders>
            <w:hideMark/>
          </w:tcPr>
          <w:p w14:paraId="16025559"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C=O Stretching</w:t>
            </w:r>
          </w:p>
        </w:tc>
        <w:tc>
          <w:tcPr>
            <w:tcW w:w="1202" w:type="dxa"/>
            <w:tcBorders>
              <w:top w:val="single" w:sz="4" w:space="0" w:color="auto"/>
              <w:left w:val="nil"/>
              <w:bottom w:val="single" w:sz="4" w:space="0" w:color="auto"/>
              <w:right w:val="nil"/>
            </w:tcBorders>
            <w:hideMark/>
          </w:tcPr>
          <w:p w14:paraId="7290EAA8"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C–O / C–O–C Stretching</w:t>
            </w:r>
          </w:p>
        </w:tc>
        <w:tc>
          <w:tcPr>
            <w:tcW w:w="1008" w:type="dxa"/>
            <w:tcBorders>
              <w:top w:val="single" w:sz="4" w:space="0" w:color="auto"/>
              <w:left w:val="nil"/>
              <w:bottom w:val="single" w:sz="4" w:space="0" w:color="auto"/>
              <w:right w:val="nil"/>
            </w:tcBorders>
            <w:hideMark/>
          </w:tcPr>
          <w:p w14:paraId="3C871921"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C=C Stretching</w:t>
            </w:r>
          </w:p>
        </w:tc>
        <w:tc>
          <w:tcPr>
            <w:tcW w:w="2644" w:type="dxa"/>
            <w:tcBorders>
              <w:top w:val="single" w:sz="4" w:space="0" w:color="auto"/>
              <w:left w:val="nil"/>
              <w:bottom w:val="single" w:sz="4" w:space="0" w:color="auto"/>
              <w:right w:val="nil"/>
            </w:tcBorders>
            <w:hideMark/>
          </w:tcPr>
          <w:p w14:paraId="25DBE89F"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Metal–Oxygen (M–O) Stretching</w:t>
            </w:r>
          </w:p>
        </w:tc>
      </w:tr>
      <w:tr w:rsidR="001B3C5C" w:rsidRPr="00860259" w14:paraId="152F429C" w14:textId="77777777" w:rsidTr="00F01D38">
        <w:trPr>
          <w:trHeight w:val="600"/>
        </w:trPr>
        <w:tc>
          <w:tcPr>
            <w:tcW w:w="1624" w:type="dxa"/>
            <w:tcBorders>
              <w:top w:val="single" w:sz="4" w:space="0" w:color="auto"/>
              <w:left w:val="nil"/>
              <w:bottom w:val="nil"/>
              <w:right w:val="nil"/>
            </w:tcBorders>
            <w:hideMark/>
          </w:tcPr>
          <w:p w14:paraId="133B9BF5"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L</w:t>
            </w:r>
          </w:p>
        </w:tc>
        <w:tc>
          <w:tcPr>
            <w:tcW w:w="1757" w:type="dxa"/>
            <w:tcBorders>
              <w:top w:val="single" w:sz="4" w:space="0" w:color="auto"/>
              <w:left w:val="nil"/>
              <w:bottom w:val="nil"/>
              <w:right w:val="nil"/>
            </w:tcBorders>
            <w:hideMark/>
          </w:tcPr>
          <w:p w14:paraId="70DAD4D4"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3092.85</w:t>
            </w:r>
          </w:p>
        </w:tc>
        <w:tc>
          <w:tcPr>
            <w:tcW w:w="1017" w:type="dxa"/>
            <w:tcBorders>
              <w:top w:val="single" w:sz="4" w:space="0" w:color="auto"/>
              <w:left w:val="nil"/>
              <w:bottom w:val="nil"/>
              <w:right w:val="nil"/>
            </w:tcBorders>
            <w:hideMark/>
          </w:tcPr>
          <w:p w14:paraId="1623B1A8"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2596.03</w:t>
            </w:r>
          </w:p>
        </w:tc>
        <w:tc>
          <w:tcPr>
            <w:tcW w:w="1008" w:type="dxa"/>
            <w:tcBorders>
              <w:top w:val="single" w:sz="4" w:space="0" w:color="auto"/>
              <w:left w:val="nil"/>
              <w:bottom w:val="nil"/>
              <w:right w:val="nil"/>
            </w:tcBorders>
            <w:hideMark/>
          </w:tcPr>
          <w:p w14:paraId="726333CC"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2478.95</w:t>
            </w:r>
          </w:p>
        </w:tc>
        <w:tc>
          <w:tcPr>
            <w:tcW w:w="1202" w:type="dxa"/>
            <w:tcBorders>
              <w:top w:val="single" w:sz="4" w:space="0" w:color="auto"/>
              <w:left w:val="nil"/>
              <w:bottom w:val="nil"/>
              <w:right w:val="nil"/>
            </w:tcBorders>
            <w:hideMark/>
          </w:tcPr>
          <w:p w14:paraId="62C71B09"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1301.90, 1364.28</w:t>
            </w:r>
          </w:p>
        </w:tc>
        <w:tc>
          <w:tcPr>
            <w:tcW w:w="1008" w:type="dxa"/>
            <w:tcBorders>
              <w:top w:val="single" w:sz="4" w:space="0" w:color="auto"/>
              <w:left w:val="nil"/>
              <w:bottom w:val="nil"/>
              <w:right w:val="nil"/>
            </w:tcBorders>
            <w:hideMark/>
          </w:tcPr>
          <w:p w14:paraId="0B6500EA"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c>
          <w:tcPr>
            <w:tcW w:w="2644" w:type="dxa"/>
            <w:tcBorders>
              <w:top w:val="single" w:sz="4" w:space="0" w:color="auto"/>
              <w:left w:val="nil"/>
              <w:bottom w:val="nil"/>
              <w:right w:val="nil"/>
            </w:tcBorders>
            <w:hideMark/>
          </w:tcPr>
          <w:p w14:paraId="3CE0BFEA"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r>
      <w:tr w:rsidR="001B3C5C" w:rsidRPr="00860259" w14:paraId="3B7C2C60" w14:textId="77777777" w:rsidTr="00F01D38">
        <w:trPr>
          <w:trHeight w:val="600"/>
        </w:trPr>
        <w:tc>
          <w:tcPr>
            <w:tcW w:w="1624" w:type="dxa"/>
            <w:tcBorders>
              <w:top w:val="nil"/>
              <w:left w:val="nil"/>
              <w:bottom w:val="single" w:sz="4" w:space="0" w:color="auto"/>
              <w:right w:val="nil"/>
            </w:tcBorders>
            <w:hideMark/>
          </w:tcPr>
          <w:p w14:paraId="511B22E7" w14:textId="471FD028"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LCo</w:t>
            </w:r>
          </w:p>
        </w:tc>
        <w:tc>
          <w:tcPr>
            <w:tcW w:w="1757" w:type="dxa"/>
            <w:tcBorders>
              <w:top w:val="nil"/>
              <w:left w:val="nil"/>
              <w:bottom w:val="single" w:sz="4" w:space="0" w:color="auto"/>
              <w:right w:val="nil"/>
            </w:tcBorders>
            <w:hideMark/>
          </w:tcPr>
          <w:p w14:paraId="1916D5A8"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3475.21</w:t>
            </w:r>
          </w:p>
        </w:tc>
        <w:tc>
          <w:tcPr>
            <w:tcW w:w="1017" w:type="dxa"/>
            <w:tcBorders>
              <w:top w:val="nil"/>
              <w:left w:val="nil"/>
              <w:bottom w:val="single" w:sz="4" w:space="0" w:color="auto"/>
              <w:right w:val="nil"/>
            </w:tcBorders>
            <w:hideMark/>
          </w:tcPr>
          <w:p w14:paraId="1C0F4A6D"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1668.27*</w:t>
            </w:r>
          </w:p>
        </w:tc>
        <w:tc>
          <w:tcPr>
            <w:tcW w:w="1008" w:type="dxa"/>
            <w:tcBorders>
              <w:top w:val="nil"/>
              <w:left w:val="nil"/>
              <w:bottom w:val="single" w:sz="4" w:space="0" w:color="auto"/>
              <w:right w:val="nil"/>
            </w:tcBorders>
            <w:hideMark/>
          </w:tcPr>
          <w:p w14:paraId="11A6FA83"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c>
          <w:tcPr>
            <w:tcW w:w="1202" w:type="dxa"/>
            <w:tcBorders>
              <w:top w:val="nil"/>
              <w:left w:val="nil"/>
              <w:bottom w:val="single" w:sz="4" w:space="0" w:color="auto"/>
              <w:right w:val="nil"/>
            </w:tcBorders>
            <w:hideMark/>
          </w:tcPr>
          <w:p w14:paraId="4DE52EEF"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1321.09, 1094.63</w:t>
            </w:r>
          </w:p>
        </w:tc>
        <w:tc>
          <w:tcPr>
            <w:tcW w:w="1008" w:type="dxa"/>
            <w:tcBorders>
              <w:top w:val="nil"/>
              <w:left w:val="nil"/>
              <w:bottom w:val="single" w:sz="4" w:space="0" w:color="auto"/>
              <w:right w:val="nil"/>
            </w:tcBorders>
            <w:hideMark/>
          </w:tcPr>
          <w:p w14:paraId="6C465B44"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938.53</w:t>
            </w:r>
          </w:p>
        </w:tc>
        <w:tc>
          <w:tcPr>
            <w:tcW w:w="2644" w:type="dxa"/>
            <w:tcBorders>
              <w:top w:val="nil"/>
              <w:left w:val="nil"/>
              <w:bottom w:val="single" w:sz="4" w:space="0" w:color="auto"/>
              <w:right w:val="nil"/>
            </w:tcBorders>
            <w:hideMark/>
          </w:tcPr>
          <w:p w14:paraId="622834BD"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546.28</w:t>
            </w:r>
          </w:p>
        </w:tc>
      </w:tr>
    </w:tbl>
    <w:p w14:paraId="4119ACEB" w14:textId="77777777" w:rsidR="001B3C5C" w:rsidRPr="00860259" w:rsidRDefault="001B3C5C" w:rsidP="00B72BC3">
      <w:pPr>
        <w:spacing w:after="0" w:line="240" w:lineRule="auto"/>
        <w:jc w:val="both"/>
        <w:rPr>
          <w:rFonts w:ascii="Arial" w:eastAsia="Times New Roman" w:hAnsi="Arial" w:cs="Arial"/>
          <w:color w:val="000000"/>
          <w:sz w:val="20"/>
          <w:szCs w:val="20"/>
          <w:lang w:eastAsia="en-GB"/>
        </w:rPr>
      </w:pPr>
    </w:p>
    <w:p w14:paraId="4698E7B1" w14:textId="63AA88EB" w:rsidR="001702A0" w:rsidRPr="00FF57E3" w:rsidRDefault="00FB69DC" w:rsidP="00FF57E3">
      <w:pPr>
        <w:spacing w:line="240" w:lineRule="auto"/>
        <w:ind w:firstLine="720"/>
        <w:jc w:val="both"/>
        <w:rPr>
          <w:rFonts w:ascii="Arial" w:hAnsi="Arial" w:cs="Arial"/>
          <w:sz w:val="20"/>
          <w:szCs w:val="20"/>
        </w:rPr>
      </w:pPr>
      <w:r w:rsidRPr="00860259">
        <w:rPr>
          <w:rFonts w:ascii="Arial" w:hAnsi="Arial" w:cs="Arial"/>
          <w:b/>
          <w:bCs/>
          <w:sz w:val="20"/>
          <w:szCs w:val="20"/>
        </w:rPr>
        <w:t xml:space="preserve">Table 2: Comparative FTIR Absorption Bands of the L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7852AB9A" w14:textId="7AD27271" w:rsidR="001702A0" w:rsidRPr="00860259" w:rsidRDefault="00331B1E" w:rsidP="00B72BC3">
      <w:pPr>
        <w:pStyle w:val="Body"/>
        <w:spacing w:after="0"/>
        <w:rPr>
          <w:rFonts w:ascii="Arial" w:hAnsi="Arial" w:cs="Arial"/>
        </w:rPr>
      </w:pPr>
      <w:r w:rsidRPr="00860259">
        <w:rPr>
          <w:rFonts w:ascii="Arial" w:hAnsi="Arial" w:cs="Arial"/>
          <w:noProof/>
        </w:rPr>
        <w:drawing>
          <wp:anchor distT="0" distB="0" distL="114300" distR="114300" simplePos="0" relativeHeight="251659264" behindDoc="0" locked="0" layoutInCell="1" allowOverlap="1" wp14:anchorId="196F2293" wp14:editId="0A92CF5C">
            <wp:simplePos x="0" y="0"/>
            <wp:positionH relativeFrom="column">
              <wp:posOffset>-681990</wp:posOffset>
            </wp:positionH>
            <wp:positionV relativeFrom="paragraph">
              <wp:posOffset>284480</wp:posOffset>
            </wp:positionV>
            <wp:extent cx="3654425" cy="26670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4425"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8B111" w14:textId="54C3E91A" w:rsidR="001702A0" w:rsidRPr="00860259" w:rsidRDefault="001702A0" w:rsidP="00B72BC3">
      <w:pPr>
        <w:pStyle w:val="Body"/>
        <w:spacing w:after="0"/>
        <w:rPr>
          <w:rFonts w:ascii="Arial" w:hAnsi="Arial" w:cs="Arial"/>
        </w:rPr>
      </w:pPr>
    </w:p>
    <w:p w14:paraId="4CA918AE" w14:textId="01746FC2" w:rsidR="006968A3" w:rsidRPr="00860259" w:rsidRDefault="00062BC7" w:rsidP="00B72BC3">
      <w:pPr>
        <w:spacing w:line="240" w:lineRule="auto"/>
        <w:rPr>
          <w:rFonts w:ascii="Arial" w:hAnsi="Arial" w:cs="Arial"/>
        </w:rPr>
      </w:pPr>
      <w:r w:rsidRPr="00860259">
        <w:rPr>
          <w:rFonts w:ascii="Arial" w:eastAsia="Times New Roman" w:hAnsi="Arial" w:cs="Arial"/>
          <w:noProof/>
          <w:sz w:val="20"/>
          <w:szCs w:val="20"/>
          <w:lang w:val="en-US"/>
        </w:rPr>
        <w:drawing>
          <wp:anchor distT="0" distB="0" distL="114300" distR="114300" simplePos="0" relativeHeight="251656192" behindDoc="0" locked="0" layoutInCell="1" allowOverlap="1" wp14:anchorId="1A1C337D" wp14:editId="1A69DE41">
            <wp:simplePos x="0" y="0"/>
            <wp:positionH relativeFrom="column">
              <wp:posOffset>2847975</wp:posOffset>
            </wp:positionH>
            <wp:positionV relativeFrom="paragraph">
              <wp:posOffset>0</wp:posOffset>
            </wp:positionV>
            <wp:extent cx="3335020" cy="2400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5020" cy="2400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52054" w14:textId="77D27FE8" w:rsidR="001523AB" w:rsidRPr="00860259" w:rsidRDefault="001523AB" w:rsidP="00B72BC3">
      <w:pPr>
        <w:spacing w:line="240" w:lineRule="auto"/>
        <w:jc w:val="both"/>
        <w:rPr>
          <w:rFonts w:ascii="Arial" w:hAnsi="Arial" w:cs="Arial"/>
          <w:b/>
          <w:bCs/>
          <w:sz w:val="20"/>
          <w:szCs w:val="20"/>
        </w:rPr>
      </w:pPr>
      <w:r w:rsidRPr="00860259">
        <w:rPr>
          <w:rFonts w:ascii="Arial" w:hAnsi="Arial" w:cs="Arial"/>
          <w:b/>
          <w:bCs/>
          <w:sz w:val="20"/>
          <w:szCs w:val="20"/>
        </w:rPr>
        <w:t>Figure 1: Comparative FTIR Absorption Spec</w:t>
      </w:r>
      <w:r w:rsidR="007748A2" w:rsidRPr="00860259">
        <w:rPr>
          <w:rFonts w:ascii="Arial" w:hAnsi="Arial" w:cs="Arial"/>
          <w:b/>
          <w:bCs/>
          <w:sz w:val="20"/>
          <w:szCs w:val="20"/>
        </w:rPr>
        <w:t>tra</w:t>
      </w:r>
      <w:r w:rsidRPr="00860259">
        <w:rPr>
          <w:rFonts w:ascii="Arial" w:hAnsi="Arial" w:cs="Arial"/>
          <w:b/>
          <w:bCs/>
          <w:sz w:val="20"/>
          <w:szCs w:val="20"/>
        </w:rPr>
        <w:t xml:space="preserve"> of the L</w:t>
      </w:r>
      <w:r w:rsidR="007748A2" w:rsidRPr="00860259">
        <w:rPr>
          <w:rFonts w:ascii="Arial" w:hAnsi="Arial" w:cs="Arial"/>
          <w:b/>
          <w:bCs/>
          <w:sz w:val="20"/>
          <w:szCs w:val="20"/>
        </w:rPr>
        <w:t>igand</w:t>
      </w:r>
      <w:r w:rsidRPr="00860259">
        <w:rPr>
          <w:rFonts w:ascii="Arial" w:hAnsi="Arial" w:cs="Arial"/>
          <w:b/>
          <w:bCs/>
          <w:sz w:val="20"/>
          <w:szCs w:val="20"/>
        </w:rPr>
        <w:t xml:space="preserve"> </w:t>
      </w:r>
      <w:r w:rsidR="00B82745" w:rsidRPr="00860259">
        <w:rPr>
          <w:rFonts w:ascii="Arial" w:hAnsi="Arial" w:cs="Arial"/>
          <w:b/>
          <w:bCs/>
          <w:sz w:val="20"/>
          <w:szCs w:val="20"/>
        </w:rPr>
        <w:t>(L)</w:t>
      </w:r>
      <w:r w:rsidRPr="00860259">
        <w:rPr>
          <w:rFonts w:ascii="Arial" w:hAnsi="Arial" w:cs="Arial"/>
          <w:b/>
          <w:bCs/>
          <w:sz w:val="20"/>
          <w:szCs w:val="20"/>
        </w:rPr>
        <w:t xml:space="preserve">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r w:rsidR="00B82745" w:rsidRPr="00860259">
        <w:rPr>
          <w:rFonts w:ascii="Arial" w:hAnsi="Arial" w:cs="Arial"/>
          <w:b/>
          <w:bCs/>
          <w:sz w:val="20"/>
          <w:szCs w:val="20"/>
        </w:rPr>
        <w:t xml:space="preserve"> (</w:t>
      </w:r>
      <w:proofErr w:type="spellStart"/>
      <w:r w:rsidR="00B82745" w:rsidRPr="00860259">
        <w:rPr>
          <w:rFonts w:ascii="Arial" w:hAnsi="Arial" w:cs="Arial"/>
          <w:b/>
          <w:bCs/>
          <w:sz w:val="20"/>
          <w:szCs w:val="20"/>
        </w:rPr>
        <w:t>LCo</w:t>
      </w:r>
      <w:proofErr w:type="spellEnd"/>
      <w:r w:rsidR="00B82745" w:rsidRPr="00860259">
        <w:rPr>
          <w:rFonts w:ascii="Arial" w:hAnsi="Arial" w:cs="Arial"/>
          <w:b/>
          <w:bCs/>
          <w:sz w:val="20"/>
          <w:szCs w:val="20"/>
        </w:rPr>
        <w:t>)</w:t>
      </w:r>
    </w:p>
    <w:p w14:paraId="389A831F" w14:textId="3909DEB9" w:rsidR="006968A3" w:rsidRPr="00860259" w:rsidRDefault="006968A3" w:rsidP="00B72BC3">
      <w:pPr>
        <w:spacing w:line="240" w:lineRule="auto"/>
        <w:rPr>
          <w:rFonts w:ascii="Arial" w:hAnsi="Arial" w:cs="Arial"/>
        </w:rPr>
      </w:pPr>
    </w:p>
    <w:p w14:paraId="5D83B2E1" w14:textId="2CC87F54" w:rsidR="006968A3" w:rsidRPr="00860259" w:rsidRDefault="00B82745" w:rsidP="00B72BC3">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 xml:space="preserve">The GC–MS spectrum of </w:t>
      </w:r>
      <w:r w:rsidR="00485EA5" w:rsidRPr="00860259">
        <w:rPr>
          <w:rFonts w:ascii="Arial" w:hAnsi="Arial" w:cs="Arial"/>
          <w:sz w:val="20"/>
          <w:szCs w:val="20"/>
        </w:rPr>
        <w:t xml:space="preserve">the </w:t>
      </w:r>
      <w:r w:rsidR="008E7FFD" w:rsidRPr="00860259">
        <w:rPr>
          <w:rFonts w:ascii="Arial" w:hAnsi="Arial" w:cs="Arial"/>
          <w:sz w:val="20"/>
          <w:szCs w:val="20"/>
        </w:rPr>
        <w:t>ligand</w:t>
      </w:r>
      <w:r w:rsidR="00485EA5" w:rsidRPr="00860259">
        <w:rPr>
          <w:rFonts w:ascii="Arial" w:hAnsi="Arial" w:cs="Arial"/>
          <w:sz w:val="20"/>
          <w:szCs w:val="20"/>
        </w:rPr>
        <w:t xml:space="preserve"> </w:t>
      </w:r>
      <w:r w:rsidRPr="00860259">
        <w:rPr>
          <w:rFonts w:ascii="Arial" w:hAnsi="Arial" w:cs="Arial"/>
          <w:sz w:val="20"/>
          <w:szCs w:val="20"/>
        </w:rPr>
        <w:t xml:space="preserve">L displayed a molecular ion peak at m/z 305.16, consistent with the calculated molecular mass (305.06 g/mol), confirming the successful synthesis of the compound. Fragmentation yielded a dominant peak at m/z 153.04, corresponding to 2-nitrobenzenemethanol, which </w:t>
      </w:r>
      <w:r w:rsidR="008E7FFD" w:rsidRPr="00860259">
        <w:rPr>
          <w:rFonts w:ascii="Arial" w:hAnsi="Arial" w:cs="Arial"/>
          <w:sz w:val="20"/>
          <w:szCs w:val="20"/>
        </w:rPr>
        <w:t xml:space="preserve">confirms the presence of the </w:t>
      </w:r>
      <w:proofErr w:type="spellStart"/>
      <w:r w:rsidR="008E7FFD" w:rsidRPr="00860259">
        <w:rPr>
          <w:rFonts w:ascii="Arial" w:hAnsi="Arial" w:cs="Arial"/>
          <w:sz w:val="20"/>
          <w:szCs w:val="20"/>
        </w:rPr>
        <w:t>nitrobenzylidene</w:t>
      </w:r>
      <w:proofErr w:type="spellEnd"/>
      <w:r w:rsidR="008E7FFD" w:rsidRPr="00860259">
        <w:rPr>
          <w:rFonts w:ascii="Arial" w:hAnsi="Arial" w:cs="Arial"/>
          <w:sz w:val="20"/>
          <w:szCs w:val="20"/>
        </w:rPr>
        <w:t xml:space="preserve"> moiety in</w:t>
      </w:r>
      <w:r w:rsidRPr="00860259">
        <w:rPr>
          <w:rFonts w:ascii="Arial" w:hAnsi="Arial" w:cs="Arial"/>
          <w:sz w:val="20"/>
          <w:szCs w:val="20"/>
        </w:rPr>
        <w:t xml:space="preserve"> the Schiff base. Additional peaks, including a bicyclic fragment at m/z 132.02, support the presence of the thiazole unit, together providing strong analytical evidence for the proposed molecular structure.</w:t>
      </w:r>
      <w:r w:rsidR="00FB1951" w:rsidRPr="00860259">
        <w:rPr>
          <w:rFonts w:ascii="Arial" w:hAnsi="Arial" w:cs="Arial"/>
          <w:sz w:val="20"/>
          <w:szCs w:val="20"/>
        </w:rPr>
        <w:t xml:space="preserve"> </w:t>
      </w:r>
      <w:r w:rsidR="00441811" w:rsidRPr="00860259">
        <w:rPr>
          <w:rFonts w:ascii="Arial" w:hAnsi="Arial" w:cs="Arial"/>
          <w:sz w:val="20"/>
          <w:szCs w:val="20"/>
        </w:rPr>
        <w:t xml:space="preserve">The </w:t>
      </w:r>
      <w:proofErr w:type="spellStart"/>
      <w:r w:rsidR="00441811" w:rsidRPr="00860259">
        <w:rPr>
          <w:rFonts w:ascii="Arial" w:hAnsi="Arial" w:cs="Arial"/>
          <w:sz w:val="20"/>
          <w:szCs w:val="20"/>
        </w:rPr>
        <w:t>LCo</w:t>
      </w:r>
      <w:proofErr w:type="spellEnd"/>
      <w:r w:rsidR="00441811" w:rsidRPr="00860259">
        <w:rPr>
          <w:rFonts w:ascii="Arial" w:hAnsi="Arial" w:cs="Arial"/>
          <w:sz w:val="20"/>
          <w:szCs w:val="20"/>
        </w:rPr>
        <w:t xml:space="preserve"> Complex showed a molecular ion peak at m/z 705.07 and a fragmentation pattern with peaks at m/z 292.00, 421.08, and 433.16, indicating</w:t>
      </w:r>
      <w:r w:rsidR="007A1890" w:rsidRPr="00860259">
        <w:rPr>
          <w:rFonts w:ascii="Arial" w:hAnsi="Arial" w:cs="Arial"/>
          <w:color w:val="0F1115"/>
          <w:sz w:val="20"/>
          <w:szCs w:val="20"/>
          <w:shd w:val="clear" w:color="auto" w:fill="FFFFFF"/>
        </w:rPr>
        <w:t xml:space="preserve"> the presence of multiple structural fragments</w:t>
      </w:r>
      <w:r w:rsidR="00472C7C" w:rsidRPr="00860259">
        <w:rPr>
          <w:rFonts w:ascii="Arial" w:hAnsi="Arial" w:cs="Arial"/>
          <w:color w:val="0F1115"/>
          <w:sz w:val="20"/>
          <w:szCs w:val="20"/>
          <w:shd w:val="clear" w:color="auto" w:fill="FFFFFF"/>
        </w:rPr>
        <w:t>.</w:t>
      </w:r>
    </w:p>
    <w:p w14:paraId="5FC83492" w14:textId="77777777" w:rsidR="003D4EFE" w:rsidRDefault="003D4EFE" w:rsidP="00B72BC3">
      <w:pPr>
        <w:spacing w:line="240" w:lineRule="auto"/>
        <w:jc w:val="both"/>
        <w:rPr>
          <w:rFonts w:ascii="Arial" w:hAnsi="Arial" w:cs="Arial"/>
          <w:color w:val="0F1115"/>
          <w:sz w:val="20"/>
          <w:szCs w:val="20"/>
          <w:shd w:val="clear" w:color="auto" w:fill="FFFFFF"/>
        </w:rPr>
      </w:pPr>
    </w:p>
    <w:p w14:paraId="70BD0436" w14:textId="77777777" w:rsidR="003D4EFE" w:rsidRDefault="003D4EFE" w:rsidP="00B72BC3">
      <w:pPr>
        <w:spacing w:line="240" w:lineRule="auto"/>
        <w:jc w:val="both"/>
        <w:rPr>
          <w:rFonts w:ascii="Arial" w:hAnsi="Arial" w:cs="Arial"/>
          <w:color w:val="0F1115"/>
          <w:sz w:val="20"/>
          <w:szCs w:val="20"/>
          <w:shd w:val="clear" w:color="auto" w:fill="FFFFFF"/>
        </w:rPr>
      </w:pPr>
    </w:p>
    <w:p w14:paraId="68699E49" w14:textId="77777777" w:rsidR="003D4EFE" w:rsidRDefault="003D4EFE" w:rsidP="00B72BC3">
      <w:pPr>
        <w:spacing w:line="240" w:lineRule="auto"/>
        <w:jc w:val="both"/>
        <w:rPr>
          <w:rFonts w:ascii="Arial" w:hAnsi="Arial" w:cs="Arial"/>
          <w:color w:val="0F1115"/>
          <w:sz w:val="20"/>
          <w:szCs w:val="20"/>
          <w:shd w:val="clear" w:color="auto" w:fill="FFFFFF"/>
        </w:rPr>
      </w:pPr>
    </w:p>
    <w:p w14:paraId="0B093764" w14:textId="0A7C94EA" w:rsidR="00C55D3E" w:rsidRPr="00860259" w:rsidRDefault="0011392B" w:rsidP="00B72BC3">
      <w:pPr>
        <w:spacing w:line="240" w:lineRule="auto"/>
        <w:jc w:val="both"/>
        <w:rPr>
          <w:rFonts w:ascii="Arial" w:hAnsi="Arial" w:cs="Arial"/>
          <w:color w:val="0F1115"/>
          <w:sz w:val="20"/>
          <w:szCs w:val="20"/>
          <w:shd w:val="clear" w:color="auto" w:fill="FFFFFF"/>
        </w:rPr>
      </w:pPr>
      <w:r w:rsidRPr="00860259">
        <w:rPr>
          <w:rFonts w:ascii="Arial" w:hAnsi="Arial" w:cs="Arial"/>
          <w:noProof/>
          <w:color w:val="0F1115"/>
          <w:sz w:val="20"/>
          <w:szCs w:val="20"/>
          <w:lang w:val="en-US"/>
        </w:rPr>
        <w:lastRenderedPageBreak/>
        <w:drawing>
          <wp:anchor distT="0" distB="0" distL="114300" distR="114300" simplePos="0" relativeHeight="251654656" behindDoc="0" locked="0" layoutInCell="1" allowOverlap="1" wp14:anchorId="18F344D3" wp14:editId="780605D9">
            <wp:simplePos x="0" y="0"/>
            <wp:positionH relativeFrom="column">
              <wp:posOffset>2990850</wp:posOffset>
            </wp:positionH>
            <wp:positionV relativeFrom="paragraph">
              <wp:posOffset>510540</wp:posOffset>
            </wp:positionV>
            <wp:extent cx="3392170" cy="2457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217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sz w:val="20"/>
          <w:szCs w:val="20"/>
          <w:lang w:val="en-US"/>
        </w:rPr>
        <w:drawing>
          <wp:anchor distT="0" distB="0" distL="114300" distR="114300" simplePos="0" relativeHeight="251655680" behindDoc="0" locked="0" layoutInCell="1" allowOverlap="1" wp14:anchorId="7DD88107" wp14:editId="3D27176B">
            <wp:simplePos x="0" y="0"/>
            <wp:positionH relativeFrom="column">
              <wp:posOffset>-352425</wp:posOffset>
            </wp:positionH>
            <wp:positionV relativeFrom="paragraph">
              <wp:posOffset>534035</wp:posOffset>
            </wp:positionV>
            <wp:extent cx="3556000" cy="2505075"/>
            <wp:effectExtent l="0" t="0" r="635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25341" w14:textId="0E1CF9EE" w:rsidR="0011392B" w:rsidRPr="00860259" w:rsidRDefault="0011392B" w:rsidP="00B72BC3">
      <w:pPr>
        <w:spacing w:line="240" w:lineRule="auto"/>
        <w:jc w:val="both"/>
        <w:rPr>
          <w:rFonts w:ascii="Arial" w:hAnsi="Arial" w:cs="Arial"/>
          <w:color w:val="0F1115"/>
          <w:sz w:val="20"/>
          <w:szCs w:val="20"/>
          <w:shd w:val="clear" w:color="auto" w:fill="FFFFFF"/>
        </w:rPr>
      </w:pPr>
    </w:p>
    <w:p w14:paraId="6611DCF0" w14:textId="5DEE6D22" w:rsidR="00C55D3E" w:rsidRPr="00860259" w:rsidRDefault="00903123" w:rsidP="003D4EFE">
      <w:pPr>
        <w:spacing w:line="240" w:lineRule="auto"/>
        <w:ind w:firstLine="720"/>
        <w:jc w:val="both"/>
        <w:rPr>
          <w:rFonts w:ascii="Arial" w:hAnsi="Arial" w:cs="Arial"/>
          <w:b/>
          <w:bCs/>
          <w:color w:val="0F1115"/>
          <w:sz w:val="20"/>
          <w:szCs w:val="20"/>
          <w:shd w:val="clear" w:color="auto" w:fill="FFFFFF"/>
        </w:rPr>
      </w:pPr>
      <w:r w:rsidRPr="00860259">
        <w:rPr>
          <w:rFonts w:ascii="Arial" w:hAnsi="Arial" w:cs="Arial"/>
          <w:b/>
          <w:bCs/>
          <w:sz w:val="20"/>
          <w:szCs w:val="20"/>
        </w:rPr>
        <w:t xml:space="preserve">Figure 2: Comparative GC-MS Spectra of the Ligand (L)and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 (</w:t>
      </w:r>
      <w:proofErr w:type="spellStart"/>
      <w:r w:rsidRPr="00860259">
        <w:rPr>
          <w:rFonts w:ascii="Arial" w:hAnsi="Arial" w:cs="Arial"/>
          <w:b/>
          <w:bCs/>
          <w:sz w:val="20"/>
          <w:szCs w:val="20"/>
        </w:rPr>
        <w:t>LCo</w:t>
      </w:r>
      <w:proofErr w:type="spellEnd"/>
      <w:r w:rsidRPr="00860259">
        <w:rPr>
          <w:rFonts w:ascii="Arial" w:hAnsi="Arial" w:cs="Arial"/>
          <w:b/>
          <w:bCs/>
          <w:sz w:val="20"/>
          <w:szCs w:val="20"/>
        </w:rPr>
        <w:t>)</w:t>
      </w:r>
    </w:p>
    <w:p w14:paraId="6F97B5B3" w14:textId="77777777" w:rsidR="00E206D4" w:rsidRPr="00860259" w:rsidRDefault="00E206D4" w:rsidP="00B72BC3">
      <w:pPr>
        <w:spacing w:line="240" w:lineRule="auto"/>
        <w:rPr>
          <w:rFonts w:ascii="Arial" w:hAnsi="Arial" w:cs="Arial"/>
          <w:sz w:val="20"/>
          <w:szCs w:val="20"/>
        </w:rPr>
      </w:pPr>
    </w:p>
    <w:p w14:paraId="2A227B0E" w14:textId="77777777" w:rsidR="00E206D4" w:rsidRPr="00860259" w:rsidRDefault="00E206D4"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XRD pattern of ligand L exhibits broad peaks at 39.418°, 44.00, 46.00, and 51.79, indicating a partially amorphous structure with quartz phases, consistent with the absence of metal coordination. In contrast,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displays sharp, distinct peaks at 21.96, 30.23, 37.25, and 41.97, which are indexed to crystalline cobalt and cobalt oxide phases, confirming successful metal complexation. This shift from amorphous characteristics in the ligand to well-defined crystalline patterns in the complex demonstrates the formation of a stable coordination compound.</w:t>
      </w:r>
    </w:p>
    <w:p w14:paraId="16C0DABF" w14:textId="77777777" w:rsidR="0011392B" w:rsidRPr="00860259" w:rsidRDefault="0011392B" w:rsidP="00B72BC3">
      <w:pPr>
        <w:spacing w:line="240" w:lineRule="auto"/>
        <w:jc w:val="both"/>
        <w:rPr>
          <w:rFonts w:ascii="Arial" w:hAnsi="Arial" w:cs="Arial"/>
          <w:sz w:val="20"/>
          <w:szCs w:val="20"/>
        </w:rPr>
      </w:pPr>
    </w:p>
    <w:tbl>
      <w:tblPr>
        <w:tblStyle w:val="TableGrid"/>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559"/>
        <w:gridCol w:w="1587"/>
        <w:gridCol w:w="2417"/>
        <w:gridCol w:w="3597"/>
      </w:tblGrid>
      <w:tr w:rsidR="00E206D4" w:rsidRPr="00860259" w14:paraId="099C7539" w14:textId="77777777" w:rsidTr="00F01D38">
        <w:trPr>
          <w:trHeight w:val="300"/>
        </w:trPr>
        <w:tc>
          <w:tcPr>
            <w:tcW w:w="786" w:type="dxa"/>
            <w:tcBorders>
              <w:top w:val="single" w:sz="4" w:space="0" w:color="auto"/>
              <w:left w:val="nil"/>
              <w:bottom w:val="single" w:sz="4" w:space="0" w:color="auto"/>
              <w:right w:val="nil"/>
            </w:tcBorders>
            <w:noWrap/>
            <w:hideMark/>
          </w:tcPr>
          <w:p w14:paraId="0DB39E73"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Sample</w:t>
            </w:r>
          </w:p>
        </w:tc>
        <w:tc>
          <w:tcPr>
            <w:tcW w:w="1559" w:type="dxa"/>
            <w:tcBorders>
              <w:top w:val="single" w:sz="4" w:space="0" w:color="auto"/>
              <w:left w:val="nil"/>
              <w:bottom w:val="single" w:sz="4" w:space="0" w:color="auto"/>
              <w:right w:val="nil"/>
            </w:tcBorders>
            <w:noWrap/>
            <w:hideMark/>
          </w:tcPr>
          <w:p w14:paraId="3ED252B5"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Main Peaks (2θ °)</w:t>
            </w:r>
          </w:p>
        </w:tc>
        <w:tc>
          <w:tcPr>
            <w:tcW w:w="1587" w:type="dxa"/>
            <w:tcBorders>
              <w:top w:val="single" w:sz="4" w:space="0" w:color="auto"/>
              <w:left w:val="nil"/>
              <w:bottom w:val="single" w:sz="4" w:space="0" w:color="auto"/>
              <w:right w:val="nil"/>
            </w:tcBorders>
            <w:noWrap/>
            <w:hideMark/>
          </w:tcPr>
          <w:p w14:paraId="25BBB4AF"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Main Identified Phases</w:t>
            </w:r>
          </w:p>
        </w:tc>
        <w:tc>
          <w:tcPr>
            <w:tcW w:w="2188" w:type="dxa"/>
            <w:tcBorders>
              <w:top w:val="single" w:sz="4" w:space="0" w:color="auto"/>
              <w:left w:val="nil"/>
              <w:bottom w:val="single" w:sz="4" w:space="0" w:color="auto"/>
              <w:right w:val="nil"/>
            </w:tcBorders>
            <w:noWrap/>
            <w:hideMark/>
          </w:tcPr>
          <w:p w14:paraId="2D0F69A1"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Crystalline/Amorphous</w:t>
            </w:r>
          </w:p>
        </w:tc>
        <w:tc>
          <w:tcPr>
            <w:tcW w:w="3597" w:type="dxa"/>
            <w:tcBorders>
              <w:top w:val="single" w:sz="4" w:space="0" w:color="auto"/>
              <w:left w:val="nil"/>
              <w:bottom w:val="single" w:sz="4" w:space="0" w:color="auto"/>
              <w:right w:val="nil"/>
            </w:tcBorders>
            <w:noWrap/>
            <w:hideMark/>
          </w:tcPr>
          <w:p w14:paraId="435406FA"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Interpretation</w:t>
            </w:r>
          </w:p>
        </w:tc>
      </w:tr>
      <w:tr w:rsidR="00E206D4" w:rsidRPr="00860259" w14:paraId="052AD6F2" w14:textId="77777777" w:rsidTr="00F01D38">
        <w:trPr>
          <w:trHeight w:val="300"/>
        </w:trPr>
        <w:tc>
          <w:tcPr>
            <w:tcW w:w="786" w:type="dxa"/>
            <w:tcBorders>
              <w:top w:val="single" w:sz="4" w:space="0" w:color="auto"/>
              <w:left w:val="nil"/>
              <w:bottom w:val="nil"/>
              <w:right w:val="nil"/>
            </w:tcBorders>
            <w:noWrap/>
            <w:hideMark/>
          </w:tcPr>
          <w:p w14:paraId="5249BB5C" w14:textId="77777777" w:rsidR="00E206D4" w:rsidRPr="00860259" w:rsidRDefault="00E206D4" w:rsidP="00B72BC3">
            <w:pPr>
              <w:jc w:val="both"/>
              <w:rPr>
                <w:rFonts w:ascii="Arial" w:hAnsi="Arial" w:cs="Arial"/>
                <w:b/>
                <w:sz w:val="20"/>
                <w:szCs w:val="20"/>
              </w:rPr>
            </w:pPr>
            <w:r w:rsidRPr="00860259">
              <w:rPr>
                <w:rFonts w:ascii="Arial" w:hAnsi="Arial" w:cs="Arial"/>
                <w:b/>
                <w:sz w:val="20"/>
                <w:szCs w:val="20"/>
              </w:rPr>
              <w:t xml:space="preserve">L </w:t>
            </w:r>
          </w:p>
        </w:tc>
        <w:tc>
          <w:tcPr>
            <w:tcW w:w="1559" w:type="dxa"/>
            <w:tcBorders>
              <w:top w:val="single" w:sz="4" w:space="0" w:color="auto"/>
              <w:left w:val="nil"/>
              <w:bottom w:val="nil"/>
              <w:right w:val="nil"/>
            </w:tcBorders>
            <w:noWrap/>
            <w:hideMark/>
          </w:tcPr>
          <w:p w14:paraId="71A5A657"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39.41, 44.00, 46.00, 51.79</w:t>
            </w:r>
          </w:p>
        </w:tc>
        <w:tc>
          <w:tcPr>
            <w:tcW w:w="1587" w:type="dxa"/>
            <w:tcBorders>
              <w:top w:val="single" w:sz="4" w:space="0" w:color="auto"/>
              <w:left w:val="nil"/>
              <w:bottom w:val="nil"/>
              <w:right w:val="nil"/>
            </w:tcBorders>
            <w:noWrap/>
            <w:hideMark/>
          </w:tcPr>
          <w:p w14:paraId="7AEB4359"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Amorphous + Quartz</w:t>
            </w:r>
          </w:p>
        </w:tc>
        <w:tc>
          <w:tcPr>
            <w:tcW w:w="2188" w:type="dxa"/>
            <w:tcBorders>
              <w:top w:val="single" w:sz="4" w:space="0" w:color="auto"/>
              <w:left w:val="nil"/>
              <w:bottom w:val="nil"/>
              <w:right w:val="nil"/>
            </w:tcBorders>
            <w:noWrap/>
            <w:hideMark/>
          </w:tcPr>
          <w:p w14:paraId="2E83B554"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Partially amorphous</w:t>
            </w:r>
          </w:p>
        </w:tc>
        <w:tc>
          <w:tcPr>
            <w:tcW w:w="3597" w:type="dxa"/>
            <w:tcBorders>
              <w:top w:val="single" w:sz="4" w:space="0" w:color="auto"/>
              <w:left w:val="nil"/>
              <w:bottom w:val="nil"/>
              <w:right w:val="nil"/>
            </w:tcBorders>
            <w:noWrap/>
            <w:hideMark/>
          </w:tcPr>
          <w:p w14:paraId="0DD02512" w14:textId="6F3EDB5E" w:rsidR="00E206D4" w:rsidRPr="00860259" w:rsidRDefault="00E008C4" w:rsidP="00B72BC3">
            <w:pPr>
              <w:jc w:val="both"/>
              <w:rPr>
                <w:rFonts w:ascii="Arial" w:hAnsi="Arial" w:cs="Arial"/>
                <w:bCs/>
                <w:sz w:val="20"/>
                <w:szCs w:val="20"/>
              </w:rPr>
            </w:pPr>
            <w:r w:rsidRPr="00860259">
              <w:rPr>
                <w:rFonts w:ascii="Arial" w:hAnsi="Arial" w:cs="Arial"/>
                <w:bCs/>
                <w:sz w:val="20"/>
                <w:szCs w:val="20"/>
              </w:rPr>
              <w:t>The ligand exhibits a partially amorphous nature,</w:t>
            </w:r>
            <w:r w:rsidR="00E206D4" w:rsidRPr="00860259">
              <w:rPr>
                <w:rFonts w:ascii="Arial" w:hAnsi="Arial" w:cs="Arial"/>
                <w:bCs/>
                <w:sz w:val="20"/>
                <w:szCs w:val="20"/>
              </w:rPr>
              <w:t xml:space="preserve"> with no metal complexation.</w:t>
            </w:r>
          </w:p>
        </w:tc>
      </w:tr>
      <w:tr w:rsidR="00E206D4" w:rsidRPr="00860259" w14:paraId="65B4877B" w14:textId="77777777" w:rsidTr="00E008C4">
        <w:trPr>
          <w:trHeight w:val="300"/>
        </w:trPr>
        <w:tc>
          <w:tcPr>
            <w:tcW w:w="786" w:type="dxa"/>
            <w:tcBorders>
              <w:bottom w:val="single" w:sz="4" w:space="0" w:color="auto"/>
            </w:tcBorders>
            <w:noWrap/>
            <w:hideMark/>
          </w:tcPr>
          <w:p w14:paraId="5784A641" w14:textId="77777777" w:rsidR="00E206D4" w:rsidRPr="00860259" w:rsidRDefault="00E206D4" w:rsidP="00B72BC3">
            <w:pPr>
              <w:jc w:val="both"/>
              <w:rPr>
                <w:rFonts w:ascii="Arial" w:hAnsi="Arial" w:cs="Arial"/>
                <w:b/>
                <w:sz w:val="20"/>
                <w:szCs w:val="20"/>
              </w:rPr>
            </w:pPr>
            <w:r w:rsidRPr="00860259">
              <w:rPr>
                <w:rFonts w:ascii="Arial" w:hAnsi="Arial" w:cs="Arial"/>
                <w:b/>
                <w:sz w:val="20"/>
                <w:szCs w:val="20"/>
              </w:rPr>
              <w:t>LCo</w:t>
            </w:r>
          </w:p>
        </w:tc>
        <w:tc>
          <w:tcPr>
            <w:tcW w:w="1559" w:type="dxa"/>
            <w:tcBorders>
              <w:bottom w:val="single" w:sz="4" w:space="0" w:color="auto"/>
            </w:tcBorders>
            <w:noWrap/>
            <w:hideMark/>
          </w:tcPr>
          <w:p w14:paraId="16EAE920"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21.96, 30.23, 37.25, 41.97</w:t>
            </w:r>
          </w:p>
        </w:tc>
        <w:tc>
          <w:tcPr>
            <w:tcW w:w="1587" w:type="dxa"/>
            <w:tcBorders>
              <w:bottom w:val="single" w:sz="4" w:space="0" w:color="auto"/>
            </w:tcBorders>
            <w:noWrap/>
            <w:hideMark/>
          </w:tcPr>
          <w:p w14:paraId="4CFE3E7A"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Cobalt, Cobalt oxide</w:t>
            </w:r>
          </w:p>
        </w:tc>
        <w:tc>
          <w:tcPr>
            <w:tcW w:w="2188" w:type="dxa"/>
            <w:tcBorders>
              <w:bottom w:val="single" w:sz="4" w:space="0" w:color="auto"/>
            </w:tcBorders>
            <w:noWrap/>
            <w:hideMark/>
          </w:tcPr>
          <w:p w14:paraId="50AF9D98"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Crystalline</w:t>
            </w:r>
          </w:p>
        </w:tc>
        <w:tc>
          <w:tcPr>
            <w:tcW w:w="3597" w:type="dxa"/>
            <w:tcBorders>
              <w:bottom w:val="single" w:sz="4" w:space="0" w:color="auto"/>
            </w:tcBorders>
            <w:noWrap/>
            <w:hideMark/>
          </w:tcPr>
          <w:p w14:paraId="7C3DB0CC" w14:textId="6222668B" w:rsidR="00E206D4" w:rsidRPr="00860259" w:rsidRDefault="00E206D4" w:rsidP="00B72BC3">
            <w:pPr>
              <w:jc w:val="both"/>
              <w:rPr>
                <w:rFonts w:ascii="Arial" w:hAnsi="Arial" w:cs="Arial"/>
                <w:bCs/>
                <w:sz w:val="20"/>
                <w:szCs w:val="20"/>
              </w:rPr>
            </w:pPr>
            <w:r w:rsidRPr="00860259">
              <w:rPr>
                <w:rFonts w:ascii="Arial" w:hAnsi="Arial" w:cs="Arial"/>
                <w:bCs/>
                <w:sz w:val="20"/>
                <w:szCs w:val="20"/>
              </w:rPr>
              <w:t xml:space="preserve">Strong complexation is evident by </w:t>
            </w:r>
            <w:r w:rsidR="00B91C21" w:rsidRPr="00860259">
              <w:rPr>
                <w:rFonts w:ascii="Arial" w:hAnsi="Arial" w:cs="Arial"/>
                <w:bCs/>
                <w:sz w:val="20"/>
                <w:szCs w:val="20"/>
              </w:rPr>
              <w:t xml:space="preserve">the formation of Co and </w:t>
            </w:r>
            <w:proofErr w:type="spellStart"/>
            <w:r w:rsidR="00B91C21" w:rsidRPr="00860259">
              <w:rPr>
                <w:rFonts w:ascii="Arial" w:hAnsi="Arial" w:cs="Arial"/>
                <w:bCs/>
                <w:sz w:val="20"/>
                <w:szCs w:val="20"/>
              </w:rPr>
              <w:t>CoO</w:t>
            </w:r>
            <w:proofErr w:type="spellEnd"/>
            <w:r w:rsidR="00B91C21" w:rsidRPr="00860259">
              <w:rPr>
                <w:rFonts w:ascii="Arial" w:hAnsi="Arial" w:cs="Arial"/>
                <w:bCs/>
                <w:sz w:val="20"/>
                <w:szCs w:val="20"/>
              </w:rPr>
              <w:t xml:space="preserve"> phases</w:t>
            </w:r>
            <w:r w:rsidRPr="00860259">
              <w:rPr>
                <w:rFonts w:ascii="Arial" w:hAnsi="Arial" w:cs="Arial"/>
                <w:bCs/>
                <w:sz w:val="20"/>
                <w:szCs w:val="20"/>
              </w:rPr>
              <w:t>.</w:t>
            </w:r>
          </w:p>
        </w:tc>
      </w:tr>
    </w:tbl>
    <w:p w14:paraId="343C9E5B" w14:textId="62077F1D" w:rsidR="000276B1" w:rsidRPr="00860259" w:rsidRDefault="000276B1" w:rsidP="00B72BC3">
      <w:pPr>
        <w:spacing w:line="240" w:lineRule="auto"/>
        <w:jc w:val="both"/>
        <w:rPr>
          <w:rFonts w:ascii="Arial" w:hAnsi="Arial" w:cs="Arial"/>
          <w:color w:val="0F1115"/>
          <w:sz w:val="20"/>
          <w:szCs w:val="20"/>
          <w:shd w:val="clear" w:color="auto" w:fill="FFFFFF"/>
        </w:rPr>
      </w:pPr>
    </w:p>
    <w:p w14:paraId="109FD6F3" w14:textId="33C7F2B9" w:rsidR="00FA7787" w:rsidRDefault="00FA7787" w:rsidP="00B72BC3">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3: Comparative Power XRD </w:t>
      </w:r>
      <w:r w:rsidR="00C5267A" w:rsidRPr="00860259">
        <w:rPr>
          <w:rFonts w:ascii="Arial" w:hAnsi="Arial" w:cs="Arial"/>
          <w:b/>
          <w:bCs/>
          <w:sz w:val="20"/>
          <w:szCs w:val="20"/>
        </w:rPr>
        <w:t>diffraction Patterns</w:t>
      </w:r>
      <w:r w:rsidRPr="00860259">
        <w:rPr>
          <w:rFonts w:ascii="Arial" w:hAnsi="Arial" w:cs="Arial"/>
          <w:b/>
          <w:bCs/>
          <w:sz w:val="20"/>
          <w:szCs w:val="20"/>
        </w:rPr>
        <w:t xml:space="preserve"> of the L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01FF7EB9" w14:textId="5F294477" w:rsidR="003D4EFE" w:rsidRDefault="003D4EFE" w:rsidP="00B72BC3">
      <w:pPr>
        <w:spacing w:line="240" w:lineRule="auto"/>
        <w:ind w:firstLine="720"/>
        <w:jc w:val="both"/>
        <w:rPr>
          <w:rFonts w:ascii="Arial" w:hAnsi="Arial" w:cs="Arial"/>
          <w:b/>
          <w:bCs/>
          <w:sz w:val="20"/>
          <w:szCs w:val="20"/>
        </w:rPr>
      </w:pPr>
    </w:p>
    <w:p w14:paraId="2B562292" w14:textId="77777777" w:rsidR="003D4EFE" w:rsidRDefault="003D4EFE" w:rsidP="00B72BC3">
      <w:pPr>
        <w:spacing w:line="240" w:lineRule="auto"/>
        <w:ind w:firstLine="720"/>
        <w:jc w:val="both"/>
        <w:rPr>
          <w:rFonts w:ascii="Arial" w:hAnsi="Arial" w:cs="Arial"/>
          <w:b/>
          <w:bCs/>
          <w:sz w:val="20"/>
          <w:szCs w:val="20"/>
        </w:rPr>
      </w:pPr>
    </w:p>
    <w:p w14:paraId="1823246F" w14:textId="77777777" w:rsidR="003D4EFE" w:rsidRDefault="003D4EFE" w:rsidP="00B72BC3">
      <w:pPr>
        <w:spacing w:line="240" w:lineRule="auto"/>
        <w:ind w:firstLine="720"/>
        <w:jc w:val="both"/>
        <w:rPr>
          <w:rFonts w:ascii="Arial" w:hAnsi="Arial" w:cs="Arial"/>
          <w:b/>
          <w:bCs/>
          <w:sz w:val="20"/>
          <w:szCs w:val="20"/>
        </w:rPr>
      </w:pPr>
    </w:p>
    <w:p w14:paraId="113DA7E8" w14:textId="77777777" w:rsidR="003D4EFE" w:rsidRDefault="003D4EFE" w:rsidP="00B72BC3">
      <w:pPr>
        <w:spacing w:line="240" w:lineRule="auto"/>
        <w:ind w:firstLine="720"/>
        <w:jc w:val="both"/>
        <w:rPr>
          <w:rFonts w:ascii="Arial" w:hAnsi="Arial" w:cs="Arial"/>
          <w:b/>
          <w:bCs/>
          <w:sz w:val="20"/>
          <w:szCs w:val="20"/>
        </w:rPr>
      </w:pPr>
    </w:p>
    <w:p w14:paraId="2D9CFFF6" w14:textId="77777777" w:rsidR="003D4EFE" w:rsidRDefault="003D4EFE" w:rsidP="00B72BC3">
      <w:pPr>
        <w:spacing w:line="240" w:lineRule="auto"/>
        <w:ind w:firstLine="720"/>
        <w:jc w:val="both"/>
        <w:rPr>
          <w:rFonts w:ascii="Arial" w:hAnsi="Arial" w:cs="Arial"/>
          <w:b/>
          <w:bCs/>
          <w:sz w:val="20"/>
          <w:szCs w:val="20"/>
        </w:rPr>
      </w:pPr>
    </w:p>
    <w:p w14:paraId="53EA168D" w14:textId="77777777" w:rsidR="003D4EFE" w:rsidRDefault="003D4EFE" w:rsidP="00B72BC3">
      <w:pPr>
        <w:spacing w:line="240" w:lineRule="auto"/>
        <w:ind w:firstLine="720"/>
        <w:jc w:val="both"/>
        <w:rPr>
          <w:rFonts w:ascii="Arial" w:hAnsi="Arial" w:cs="Arial"/>
          <w:b/>
          <w:bCs/>
          <w:sz w:val="20"/>
          <w:szCs w:val="20"/>
        </w:rPr>
      </w:pPr>
    </w:p>
    <w:p w14:paraId="203FB1A9" w14:textId="37A7B6F5" w:rsidR="003D4EFE" w:rsidRDefault="003D4EFE" w:rsidP="00B72BC3">
      <w:pPr>
        <w:spacing w:line="240" w:lineRule="auto"/>
        <w:ind w:firstLine="720"/>
        <w:jc w:val="both"/>
        <w:rPr>
          <w:rFonts w:ascii="Arial" w:hAnsi="Arial" w:cs="Arial"/>
          <w:b/>
          <w:bCs/>
          <w:sz w:val="20"/>
          <w:szCs w:val="20"/>
        </w:rPr>
      </w:pPr>
    </w:p>
    <w:p w14:paraId="053510CE" w14:textId="71E06DCD" w:rsidR="003D4EFE" w:rsidRDefault="003D4EFE" w:rsidP="00B72BC3">
      <w:pPr>
        <w:spacing w:line="240" w:lineRule="auto"/>
        <w:ind w:firstLine="720"/>
        <w:jc w:val="both"/>
        <w:rPr>
          <w:rFonts w:ascii="Arial" w:hAnsi="Arial" w:cs="Arial"/>
          <w:b/>
          <w:bCs/>
          <w:sz w:val="20"/>
          <w:szCs w:val="20"/>
        </w:rPr>
      </w:pPr>
      <w:r w:rsidRPr="00860259">
        <w:rPr>
          <w:rFonts w:ascii="Arial" w:hAnsi="Arial" w:cs="Arial"/>
          <w:noProof/>
          <w:color w:val="0F1115"/>
          <w:sz w:val="20"/>
          <w:szCs w:val="20"/>
          <w:lang w:val="en-US"/>
        </w:rPr>
        <w:lastRenderedPageBreak/>
        <w:drawing>
          <wp:anchor distT="0" distB="0" distL="114300" distR="114300" simplePos="0" relativeHeight="251655168" behindDoc="0" locked="0" layoutInCell="1" allowOverlap="1" wp14:anchorId="66808971" wp14:editId="3ED623B2">
            <wp:simplePos x="0" y="0"/>
            <wp:positionH relativeFrom="column">
              <wp:posOffset>-733425</wp:posOffset>
            </wp:positionH>
            <wp:positionV relativeFrom="paragraph">
              <wp:posOffset>4445</wp:posOffset>
            </wp:positionV>
            <wp:extent cx="3648075" cy="2531110"/>
            <wp:effectExtent l="0" t="0" r="952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8075" cy="253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color w:val="0F1115"/>
          <w:sz w:val="20"/>
          <w:szCs w:val="20"/>
          <w:lang w:val="en-US"/>
        </w:rPr>
        <w:drawing>
          <wp:anchor distT="0" distB="0" distL="114300" distR="114300" simplePos="0" relativeHeight="251663360" behindDoc="0" locked="0" layoutInCell="1" allowOverlap="1" wp14:anchorId="61AB9E97" wp14:editId="368F5507">
            <wp:simplePos x="0" y="0"/>
            <wp:positionH relativeFrom="column">
              <wp:posOffset>2801620</wp:posOffset>
            </wp:positionH>
            <wp:positionV relativeFrom="paragraph">
              <wp:posOffset>0</wp:posOffset>
            </wp:positionV>
            <wp:extent cx="3529965" cy="24669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996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6942B" w14:textId="3D788BC7" w:rsidR="0011392B" w:rsidRPr="00860259" w:rsidRDefault="00D42656" w:rsidP="00B72BC3">
      <w:pPr>
        <w:spacing w:line="240" w:lineRule="auto"/>
        <w:ind w:firstLine="720"/>
        <w:jc w:val="both"/>
        <w:rPr>
          <w:rFonts w:ascii="Arial" w:hAnsi="Arial" w:cs="Arial"/>
          <w:sz w:val="20"/>
          <w:szCs w:val="20"/>
        </w:rPr>
      </w:pPr>
      <w:r w:rsidRPr="00860259">
        <w:rPr>
          <w:rFonts w:ascii="Arial" w:hAnsi="Arial" w:cs="Arial"/>
          <w:b/>
          <w:bCs/>
          <w:sz w:val="20"/>
          <w:szCs w:val="20"/>
        </w:rPr>
        <w:t xml:space="preserve">Figure </w:t>
      </w:r>
      <w:r w:rsidR="0011392B" w:rsidRPr="00860259">
        <w:rPr>
          <w:rFonts w:ascii="Arial" w:hAnsi="Arial" w:cs="Arial"/>
          <w:b/>
          <w:bCs/>
          <w:sz w:val="20"/>
          <w:szCs w:val="20"/>
        </w:rPr>
        <w:t>3: Comparative Power XRD diffraction P</w:t>
      </w:r>
      <w:r w:rsidRPr="00860259">
        <w:rPr>
          <w:rFonts w:ascii="Arial" w:hAnsi="Arial" w:cs="Arial"/>
          <w:b/>
          <w:bCs/>
          <w:sz w:val="20"/>
          <w:szCs w:val="20"/>
        </w:rPr>
        <w:t>eaks</w:t>
      </w:r>
      <w:r w:rsidR="0011392B" w:rsidRPr="00860259">
        <w:rPr>
          <w:rFonts w:ascii="Arial" w:hAnsi="Arial" w:cs="Arial"/>
          <w:b/>
          <w:bCs/>
          <w:sz w:val="20"/>
          <w:szCs w:val="20"/>
        </w:rPr>
        <w:t xml:space="preserve"> of the L and Its </w:t>
      </w:r>
      <w:proofErr w:type="gramStart"/>
      <w:r w:rsidR="0011392B" w:rsidRPr="00860259">
        <w:rPr>
          <w:rFonts w:ascii="Arial" w:hAnsi="Arial" w:cs="Arial"/>
          <w:b/>
          <w:bCs/>
          <w:sz w:val="20"/>
          <w:szCs w:val="20"/>
        </w:rPr>
        <w:t>Co(</w:t>
      </w:r>
      <w:proofErr w:type="gramEnd"/>
      <w:r w:rsidR="0011392B" w:rsidRPr="00860259">
        <w:rPr>
          <w:rFonts w:ascii="Arial" w:hAnsi="Arial" w:cs="Arial"/>
          <w:b/>
          <w:bCs/>
          <w:sz w:val="20"/>
          <w:szCs w:val="20"/>
        </w:rPr>
        <w:t>II) Complex</w:t>
      </w:r>
    </w:p>
    <w:p w14:paraId="04D9ACBE" w14:textId="05B562A7" w:rsidR="000276B1" w:rsidRPr="00860259" w:rsidRDefault="000276B1" w:rsidP="00B72BC3">
      <w:pPr>
        <w:spacing w:line="240" w:lineRule="auto"/>
        <w:jc w:val="both"/>
        <w:rPr>
          <w:rFonts w:ascii="Arial" w:hAnsi="Arial" w:cs="Arial"/>
          <w:color w:val="0F1115"/>
          <w:sz w:val="20"/>
          <w:szCs w:val="20"/>
          <w:shd w:val="clear" w:color="auto" w:fill="FFFFFF"/>
        </w:rPr>
      </w:pPr>
    </w:p>
    <w:p w14:paraId="617AD552" w14:textId="1C70A629" w:rsidR="00C24C12" w:rsidRPr="00860259" w:rsidRDefault="00DB12AE" w:rsidP="00B72BC3">
      <w:pPr>
        <w:spacing w:line="240" w:lineRule="auto"/>
        <w:jc w:val="both"/>
        <w:rPr>
          <w:rFonts w:ascii="Arial" w:hAnsi="Arial" w:cs="Arial"/>
          <w:b/>
          <w:sz w:val="24"/>
          <w:szCs w:val="24"/>
        </w:rPr>
      </w:pPr>
      <w:r w:rsidRPr="00DB12AE">
        <w:rPr>
          <w:rFonts w:ascii="Arial" w:eastAsia="Times New Roman" w:hAnsi="Arial" w:cs="Arial"/>
          <w:color w:val="000000"/>
          <w:sz w:val="20"/>
          <w:szCs w:val="20"/>
          <w:lang w:eastAsia="en-GB"/>
        </w:rPr>
        <w:t>The UV-Vis absorption spectrum of the ligand L exhibited a maximum absorption wavelength (</w:t>
      </w:r>
      <w:proofErr w:type="spellStart"/>
      <w:r w:rsidRPr="00DB12AE">
        <w:rPr>
          <w:rFonts w:ascii="Arial" w:eastAsia="Times New Roman" w:hAnsi="Arial" w:cs="Arial"/>
          <w:color w:val="000000"/>
          <w:sz w:val="20"/>
          <w:szCs w:val="20"/>
          <w:lang w:eastAsia="en-GB"/>
        </w:rPr>
        <w:t>λ_max</w:t>
      </w:r>
      <w:proofErr w:type="spellEnd"/>
      <w:r w:rsidRPr="00DB12AE">
        <w:rPr>
          <w:rFonts w:ascii="Arial" w:eastAsia="Times New Roman" w:hAnsi="Arial" w:cs="Arial"/>
          <w:color w:val="000000"/>
          <w:sz w:val="20"/>
          <w:szCs w:val="20"/>
          <w:lang w:eastAsia="en-GB"/>
        </w:rPr>
        <w:t xml:space="preserve">) at 416 nm, attributed to an intramolecular charge transfer (ICT) transition from the thiazole-amine (donor) to the </w:t>
      </w:r>
      <w:proofErr w:type="spellStart"/>
      <w:r w:rsidRPr="00DB12AE">
        <w:rPr>
          <w:rFonts w:ascii="Arial" w:eastAsia="Times New Roman" w:hAnsi="Arial" w:cs="Arial"/>
          <w:color w:val="000000"/>
          <w:sz w:val="20"/>
          <w:szCs w:val="20"/>
          <w:lang w:eastAsia="en-GB"/>
        </w:rPr>
        <w:t>nitrobenzylidene</w:t>
      </w:r>
      <w:proofErr w:type="spellEnd"/>
      <w:r w:rsidRPr="00DB12AE">
        <w:rPr>
          <w:rFonts w:ascii="Arial" w:eastAsia="Times New Roman" w:hAnsi="Arial" w:cs="Arial"/>
          <w:color w:val="000000"/>
          <w:sz w:val="20"/>
          <w:szCs w:val="20"/>
          <w:lang w:eastAsia="en-GB"/>
        </w:rPr>
        <w:t xml:space="preserve"> (acceptor), reflecting its electronic structure in the free state </w:t>
      </w:r>
      <w:r w:rsidR="00D5559D" w:rsidRPr="00860259">
        <w:rPr>
          <w:rFonts w:ascii="Arial" w:eastAsia="Times New Roman" w:hAnsi="Arial" w:cs="Arial"/>
          <w:color w:val="000000"/>
          <w:sz w:val="20"/>
          <w:szCs w:val="20"/>
          <w:lang w:eastAsia="en-GB"/>
        </w:rPr>
        <w:t>while</w:t>
      </w:r>
      <w:r w:rsidR="00C24C12" w:rsidRPr="00860259">
        <w:rPr>
          <w:rFonts w:ascii="Arial" w:eastAsia="Times New Roman" w:hAnsi="Arial" w:cs="Arial"/>
          <w:color w:val="000000"/>
          <w:sz w:val="20"/>
          <w:szCs w:val="20"/>
          <w:lang w:eastAsia="en-GB"/>
        </w:rPr>
        <w:t xml:space="preserve"> for</w:t>
      </w:r>
      <w:r w:rsidR="00D5559D" w:rsidRPr="00860259">
        <w:rPr>
          <w:rFonts w:ascii="Arial" w:eastAsia="Times New Roman" w:hAnsi="Arial" w:cs="Arial"/>
          <w:color w:val="000000"/>
          <w:sz w:val="20"/>
          <w:szCs w:val="20"/>
          <w:lang w:eastAsia="en-GB"/>
        </w:rPr>
        <w:t xml:space="preserve"> the </w:t>
      </w:r>
      <w:proofErr w:type="spellStart"/>
      <w:r w:rsidRPr="00DB12AE">
        <w:rPr>
          <w:rFonts w:ascii="Arial" w:eastAsia="Times New Roman" w:hAnsi="Arial" w:cs="Arial"/>
          <w:color w:val="000000"/>
          <w:sz w:val="20"/>
          <w:szCs w:val="20"/>
          <w:lang w:eastAsia="en-GB"/>
        </w:rPr>
        <w:t>LCo</w:t>
      </w:r>
      <w:proofErr w:type="spellEnd"/>
      <w:r w:rsidRPr="00DB12AE">
        <w:rPr>
          <w:rFonts w:ascii="Arial" w:eastAsia="Times New Roman" w:hAnsi="Arial" w:cs="Arial"/>
          <w:color w:val="000000"/>
          <w:sz w:val="20"/>
          <w:szCs w:val="20"/>
          <w:lang w:eastAsia="en-GB"/>
        </w:rPr>
        <w:t xml:space="preserve"> complex, the </w:t>
      </w:r>
      <w:proofErr w:type="spellStart"/>
      <w:r w:rsidRPr="00DB12AE">
        <w:rPr>
          <w:rFonts w:ascii="Arial" w:eastAsia="Times New Roman" w:hAnsi="Arial" w:cs="Arial"/>
          <w:color w:val="000000"/>
          <w:sz w:val="20"/>
          <w:szCs w:val="20"/>
          <w:lang w:eastAsia="en-GB"/>
        </w:rPr>
        <w:t>λ_max</w:t>
      </w:r>
      <w:proofErr w:type="spellEnd"/>
      <w:r w:rsidRPr="00DB12AE">
        <w:rPr>
          <w:rFonts w:ascii="Arial" w:eastAsia="Times New Roman" w:hAnsi="Arial" w:cs="Arial"/>
          <w:color w:val="000000"/>
          <w:sz w:val="20"/>
          <w:szCs w:val="20"/>
          <w:lang w:eastAsia="en-GB"/>
        </w:rPr>
        <w:t xml:space="preserve"> shifted to 396 nm, a hypsochromic shift of 20 nm, which is indicative of strong coordination and disruption of conjugation due to the metal-ligand interaction, altering the electronic environment</w:t>
      </w:r>
      <w:r w:rsidR="00C24C12" w:rsidRPr="00860259">
        <w:rPr>
          <w:rFonts w:ascii="Arial" w:eastAsia="Times New Roman" w:hAnsi="Arial" w:cs="Arial"/>
          <w:color w:val="000000"/>
          <w:sz w:val="20"/>
          <w:szCs w:val="20"/>
          <w:lang w:eastAsia="en-G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804"/>
        <w:gridCol w:w="1860"/>
        <w:gridCol w:w="5517"/>
      </w:tblGrid>
      <w:tr w:rsidR="00B72BC3" w:rsidRPr="00860259" w14:paraId="1448E11C" w14:textId="77777777" w:rsidTr="005F6410">
        <w:tc>
          <w:tcPr>
            <w:tcW w:w="1061" w:type="dxa"/>
            <w:tcBorders>
              <w:top w:val="single" w:sz="4" w:space="0" w:color="auto"/>
              <w:bottom w:val="single" w:sz="4" w:space="0" w:color="auto"/>
            </w:tcBorders>
          </w:tcPr>
          <w:p w14:paraId="17E0A3C6"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Complex</w:t>
            </w:r>
          </w:p>
        </w:tc>
        <w:tc>
          <w:tcPr>
            <w:tcW w:w="804" w:type="dxa"/>
            <w:tcBorders>
              <w:top w:val="single" w:sz="4" w:space="0" w:color="auto"/>
              <w:bottom w:val="single" w:sz="4" w:space="0" w:color="auto"/>
            </w:tcBorders>
          </w:tcPr>
          <w:p w14:paraId="1FF7986E"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λ (nm)</w:t>
            </w:r>
          </w:p>
        </w:tc>
        <w:tc>
          <w:tcPr>
            <w:tcW w:w="1860" w:type="dxa"/>
            <w:tcBorders>
              <w:top w:val="single" w:sz="4" w:space="0" w:color="auto"/>
              <w:bottom w:val="single" w:sz="4" w:space="0" w:color="auto"/>
            </w:tcBorders>
          </w:tcPr>
          <w:p w14:paraId="789F81F5"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Shift vs. L2 (nm)</w:t>
            </w:r>
          </w:p>
        </w:tc>
        <w:tc>
          <w:tcPr>
            <w:tcW w:w="5517" w:type="dxa"/>
            <w:tcBorders>
              <w:top w:val="single" w:sz="4" w:space="0" w:color="auto"/>
              <w:bottom w:val="single" w:sz="4" w:space="0" w:color="auto"/>
            </w:tcBorders>
            <w:vAlign w:val="center"/>
          </w:tcPr>
          <w:p w14:paraId="1A499795" w14:textId="77777777" w:rsidR="00EE3C64" w:rsidRPr="00860259" w:rsidRDefault="00EE3C64" w:rsidP="00B72BC3">
            <w:pPr>
              <w:jc w:val="both"/>
              <w:rPr>
                <w:rFonts w:ascii="Arial" w:hAnsi="Arial" w:cs="Arial"/>
                <w:b/>
                <w:sz w:val="20"/>
                <w:szCs w:val="20"/>
              </w:rPr>
            </w:pPr>
            <w:r w:rsidRPr="00860259">
              <w:rPr>
                <w:rFonts w:ascii="Arial" w:hAnsi="Arial" w:cs="Arial"/>
                <w:b/>
                <w:color w:val="404040"/>
                <w:sz w:val="20"/>
                <w:szCs w:val="20"/>
              </w:rPr>
              <w:t>Interpretation</w:t>
            </w:r>
          </w:p>
        </w:tc>
      </w:tr>
      <w:tr w:rsidR="00B72BC3" w:rsidRPr="00860259" w14:paraId="639C5872" w14:textId="77777777" w:rsidTr="005F6410">
        <w:tc>
          <w:tcPr>
            <w:tcW w:w="1061" w:type="dxa"/>
            <w:tcBorders>
              <w:top w:val="single" w:sz="4" w:space="0" w:color="auto"/>
            </w:tcBorders>
          </w:tcPr>
          <w:p w14:paraId="4AF0A891" w14:textId="4056A3F3" w:rsidR="00EE3C64" w:rsidRPr="00860259" w:rsidRDefault="00EE3C64" w:rsidP="00B72BC3">
            <w:pPr>
              <w:jc w:val="both"/>
              <w:rPr>
                <w:rFonts w:ascii="Arial" w:hAnsi="Arial" w:cs="Arial"/>
                <w:bCs/>
                <w:sz w:val="20"/>
                <w:szCs w:val="20"/>
              </w:rPr>
            </w:pPr>
            <w:r w:rsidRPr="00860259">
              <w:rPr>
                <w:rFonts w:ascii="Arial" w:hAnsi="Arial" w:cs="Arial"/>
                <w:bCs/>
                <w:sz w:val="20"/>
                <w:szCs w:val="20"/>
              </w:rPr>
              <w:t>L</w:t>
            </w:r>
          </w:p>
        </w:tc>
        <w:tc>
          <w:tcPr>
            <w:tcW w:w="804" w:type="dxa"/>
            <w:tcBorders>
              <w:top w:val="single" w:sz="4" w:space="0" w:color="auto"/>
            </w:tcBorders>
          </w:tcPr>
          <w:p w14:paraId="0D7FA1C3"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416</w:t>
            </w:r>
          </w:p>
        </w:tc>
        <w:tc>
          <w:tcPr>
            <w:tcW w:w="1860" w:type="dxa"/>
            <w:tcBorders>
              <w:top w:val="single" w:sz="4" w:space="0" w:color="auto"/>
            </w:tcBorders>
          </w:tcPr>
          <w:p w14:paraId="746D7C92"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reference</w:t>
            </w:r>
          </w:p>
        </w:tc>
        <w:tc>
          <w:tcPr>
            <w:tcW w:w="5517" w:type="dxa"/>
            <w:tcBorders>
              <w:top w:val="single" w:sz="4" w:space="0" w:color="auto"/>
            </w:tcBorders>
            <w:vAlign w:val="center"/>
          </w:tcPr>
          <w:p w14:paraId="2750D8DD" w14:textId="77777777" w:rsidR="00EE3C64" w:rsidRPr="00860259" w:rsidRDefault="00EE3C64" w:rsidP="00B72BC3">
            <w:pPr>
              <w:jc w:val="both"/>
              <w:rPr>
                <w:rFonts w:ascii="Arial" w:hAnsi="Arial" w:cs="Arial"/>
                <w:bCs/>
                <w:sz w:val="16"/>
                <w:szCs w:val="16"/>
              </w:rPr>
            </w:pPr>
            <w:r w:rsidRPr="00860259">
              <w:rPr>
                <w:rFonts w:ascii="Arial" w:hAnsi="Arial" w:cs="Arial"/>
                <w:color w:val="404040"/>
                <w:sz w:val="16"/>
                <w:szCs w:val="16"/>
              </w:rPr>
              <w:t xml:space="preserve">ICT transition: Thiazole-amine (donor) → </w:t>
            </w:r>
            <w:proofErr w:type="spellStart"/>
            <w:r w:rsidRPr="00860259">
              <w:rPr>
                <w:rFonts w:ascii="Arial" w:hAnsi="Arial" w:cs="Arial"/>
                <w:color w:val="404040"/>
                <w:sz w:val="16"/>
                <w:szCs w:val="16"/>
              </w:rPr>
              <w:t>Nitrobenzylidene</w:t>
            </w:r>
            <w:proofErr w:type="spellEnd"/>
            <w:r w:rsidRPr="00860259">
              <w:rPr>
                <w:rFonts w:ascii="Arial" w:hAnsi="Arial" w:cs="Arial"/>
                <w:color w:val="404040"/>
                <w:sz w:val="16"/>
                <w:szCs w:val="16"/>
              </w:rPr>
              <w:t xml:space="preserve"> (acceptor)</w:t>
            </w:r>
          </w:p>
        </w:tc>
      </w:tr>
      <w:tr w:rsidR="00B72BC3" w:rsidRPr="00860259" w14:paraId="5D531615" w14:textId="77777777" w:rsidTr="005F6410">
        <w:tc>
          <w:tcPr>
            <w:tcW w:w="1061" w:type="dxa"/>
          </w:tcPr>
          <w:p w14:paraId="7FF9F629" w14:textId="56DC701A" w:rsidR="00EE3C64" w:rsidRPr="00860259" w:rsidRDefault="00EE3C64" w:rsidP="00B72BC3">
            <w:pPr>
              <w:jc w:val="both"/>
              <w:rPr>
                <w:rFonts w:ascii="Arial" w:hAnsi="Arial" w:cs="Arial"/>
                <w:bCs/>
                <w:sz w:val="20"/>
                <w:szCs w:val="20"/>
              </w:rPr>
            </w:pPr>
            <w:r w:rsidRPr="00860259">
              <w:rPr>
                <w:rFonts w:ascii="Arial" w:hAnsi="Arial" w:cs="Arial"/>
                <w:bCs/>
                <w:sz w:val="20"/>
                <w:szCs w:val="20"/>
              </w:rPr>
              <w:t>LCo</w:t>
            </w:r>
          </w:p>
        </w:tc>
        <w:tc>
          <w:tcPr>
            <w:tcW w:w="804" w:type="dxa"/>
          </w:tcPr>
          <w:p w14:paraId="3365808D"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396</w:t>
            </w:r>
          </w:p>
        </w:tc>
        <w:tc>
          <w:tcPr>
            <w:tcW w:w="1860" w:type="dxa"/>
          </w:tcPr>
          <w:p w14:paraId="58016C3A"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-20</w:t>
            </w:r>
          </w:p>
        </w:tc>
        <w:tc>
          <w:tcPr>
            <w:tcW w:w="5517" w:type="dxa"/>
            <w:vAlign w:val="center"/>
          </w:tcPr>
          <w:p w14:paraId="49A1C017" w14:textId="77777777" w:rsidR="00EE3C64" w:rsidRPr="00860259" w:rsidRDefault="00EE3C64" w:rsidP="00B72BC3">
            <w:pPr>
              <w:jc w:val="both"/>
              <w:rPr>
                <w:rFonts w:ascii="Arial" w:hAnsi="Arial" w:cs="Arial"/>
                <w:bCs/>
                <w:sz w:val="16"/>
                <w:szCs w:val="16"/>
              </w:rPr>
            </w:pPr>
            <w:r w:rsidRPr="00860259">
              <w:rPr>
                <w:rFonts w:ascii="Arial" w:hAnsi="Arial" w:cs="Arial"/>
                <w:color w:val="404040"/>
                <w:sz w:val="16"/>
                <w:szCs w:val="16"/>
              </w:rPr>
              <w:t>Strong coordination + conjugation disruption</w:t>
            </w:r>
          </w:p>
        </w:tc>
      </w:tr>
    </w:tbl>
    <w:p w14:paraId="57831AC4" w14:textId="77777777" w:rsidR="00EE3C64" w:rsidRPr="00860259" w:rsidRDefault="00EE3C64" w:rsidP="00B72BC3">
      <w:pPr>
        <w:spacing w:line="240" w:lineRule="auto"/>
        <w:jc w:val="both"/>
        <w:rPr>
          <w:rFonts w:ascii="Arial" w:hAnsi="Arial" w:cs="Arial"/>
          <w:b/>
          <w:sz w:val="20"/>
          <w:szCs w:val="20"/>
        </w:rPr>
      </w:pPr>
    </w:p>
    <w:p w14:paraId="34685A10" w14:textId="3A5EABBA" w:rsidR="00EE3C64" w:rsidRPr="00860259" w:rsidRDefault="0094606C" w:rsidP="00B72BC3">
      <w:pPr>
        <w:spacing w:line="240" w:lineRule="auto"/>
        <w:ind w:left="720" w:firstLine="720"/>
        <w:jc w:val="both"/>
        <w:rPr>
          <w:rFonts w:ascii="Arial" w:hAnsi="Arial" w:cs="Arial"/>
          <w:b/>
          <w:color w:val="0F1115"/>
          <w:sz w:val="20"/>
          <w:szCs w:val="20"/>
          <w:shd w:val="clear" w:color="auto" w:fill="FFFFFF"/>
        </w:rPr>
      </w:pPr>
      <w:r w:rsidRPr="00860259">
        <w:rPr>
          <w:rFonts w:ascii="Arial" w:hAnsi="Arial" w:cs="Arial"/>
          <w:b/>
          <w:sz w:val="20"/>
          <w:szCs w:val="20"/>
        </w:rPr>
        <w:t xml:space="preserve">Table 4: UV-Vis Absorption Trends and Structural Correlations for L and </w:t>
      </w:r>
      <w:proofErr w:type="spellStart"/>
      <w:r w:rsidRPr="00860259">
        <w:rPr>
          <w:rFonts w:ascii="Arial" w:hAnsi="Arial" w:cs="Arial"/>
          <w:b/>
          <w:sz w:val="20"/>
          <w:szCs w:val="20"/>
        </w:rPr>
        <w:t>LCo</w:t>
      </w:r>
      <w:proofErr w:type="spellEnd"/>
    </w:p>
    <w:p w14:paraId="7054EEA4" w14:textId="77D29E47" w:rsidR="00A22EBF" w:rsidRPr="00860259" w:rsidRDefault="007279E1" w:rsidP="00B72BC3">
      <w:pPr>
        <w:spacing w:line="240" w:lineRule="auto"/>
        <w:jc w:val="both"/>
        <w:rPr>
          <w:rFonts w:ascii="Arial" w:hAnsi="Arial" w:cs="Arial"/>
          <w:color w:val="0F1115"/>
          <w:sz w:val="20"/>
          <w:szCs w:val="20"/>
          <w:shd w:val="clear" w:color="auto" w:fill="FFFFFF"/>
        </w:rPr>
      </w:pPr>
      <w:r w:rsidRPr="00860259">
        <w:rPr>
          <w:rFonts w:ascii="Arial" w:hAnsi="Arial" w:cs="Arial"/>
          <w:noProof/>
          <w:color w:val="0F1115"/>
          <w:sz w:val="20"/>
          <w:szCs w:val="20"/>
          <w:lang w:val="en-US"/>
        </w:rPr>
        <w:drawing>
          <wp:anchor distT="0" distB="0" distL="114300" distR="114300" simplePos="0" relativeHeight="251656704" behindDoc="0" locked="0" layoutInCell="1" allowOverlap="1" wp14:anchorId="09A1D86D" wp14:editId="3364A8D7">
            <wp:simplePos x="0" y="0"/>
            <wp:positionH relativeFrom="column">
              <wp:posOffset>-342900</wp:posOffset>
            </wp:positionH>
            <wp:positionV relativeFrom="paragraph">
              <wp:posOffset>349885</wp:posOffset>
            </wp:positionV>
            <wp:extent cx="3457575" cy="25342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253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color w:val="0F1115"/>
          <w:sz w:val="20"/>
          <w:szCs w:val="20"/>
          <w:lang w:val="en-US"/>
        </w:rPr>
        <w:drawing>
          <wp:anchor distT="0" distB="0" distL="114300" distR="114300" simplePos="0" relativeHeight="251659776" behindDoc="0" locked="0" layoutInCell="1" allowOverlap="1" wp14:anchorId="1B85015C" wp14:editId="37AE13F3">
            <wp:simplePos x="0" y="0"/>
            <wp:positionH relativeFrom="column">
              <wp:posOffset>3388360</wp:posOffset>
            </wp:positionH>
            <wp:positionV relativeFrom="paragraph">
              <wp:posOffset>426085</wp:posOffset>
            </wp:positionV>
            <wp:extent cx="3648710" cy="2333625"/>
            <wp:effectExtent l="0" t="0" r="889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871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A2236" w14:textId="23C5D6EA" w:rsidR="00FB0C75" w:rsidRPr="00860259" w:rsidRDefault="00FB0C75" w:rsidP="00B72BC3">
      <w:pPr>
        <w:spacing w:line="240" w:lineRule="auto"/>
        <w:jc w:val="both"/>
        <w:rPr>
          <w:rFonts w:ascii="Arial" w:hAnsi="Arial" w:cs="Arial"/>
          <w:color w:val="0F1115"/>
          <w:sz w:val="20"/>
          <w:szCs w:val="20"/>
          <w:shd w:val="clear" w:color="auto" w:fill="FFFFFF"/>
        </w:rPr>
      </w:pPr>
    </w:p>
    <w:p w14:paraId="2C969F2E" w14:textId="0F8F181A" w:rsidR="00166173" w:rsidRPr="00860259" w:rsidRDefault="00F03C96" w:rsidP="00B72BC3">
      <w:pPr>
        <w:spacing w:line="240" w:lineRule="auto"/>
        <w:ind w:left="1440" w:firstLine="720"/>
        <w:jc w:val="both"/>
        <w:rPr>
          <w:rFonts w:ascii="Arial" w:hAnsi="Arial" w:cs="Arial"/>
          <w:b/>
          <w:bCs/>
          <w:color w:val="0F1115"/>
          <w:sz w:val="20"/>
          <w:szCs w:val="20"/>
          <w:shd w:val="clear" w:color="auto" w:fill="FFFFFF"/>
        </w:rPr>
      </w:pPr>
      <w:r w:rsidRPr="00860259">
        <w:rPr>
          <w:rFonts w:ascii="Arial" w:hAnsi="Arial" w:cs="Arial"/>
          <w:b/>
          <w:bCs/>
          <w:color w:val="0F1115"/>
          <w:sz w:val="20"/>
          <w:szCs w:val="20"/>
          <w:shd w:val="clear" w:color="auto" w:fill="FFFFFF"/>
        </w:rPr>
        <w:t>Figure</w:t>
      </w:r>
      <w:r w:rsidR="00166173" w:rsidRPr="00860259">
        <w:rPr>
          <w:rFonts w:ascii="Arial" w:hAnsi="Arial" w:cs="Arial"/>
          <w:b/>
          <w:bCs/>
          <w:color w:val="0F1115"/>
          <w:sz w:val="20"/>
          <w:szCs w:val="20"/>
          <w:shd w:val="clear" w:color="auto" w:fill="FFFFFF"/>
        </w:rPr>
        <w:t xml:space="preserve"> 4: </w:t>
      </w:r>
      <w:r w:rsidR="00166173" w:rsidRPr="00860259">
        <w:rPr>
          <w:rFonts w:ascii="Arial" w:hAnsi="Arial" w:cs="Arial"/>
          <w:b/>
          <w:bCs/>
          <w:sz w:val="20"/>
          <w:szCs w:val="20"/>
        </w:rPr>
        <w:t xml:space="preserve">UV-Vis Absorption </w:t>
      </w:r>
      <w:r w:rsidRPr="00860259">
        <w:rPr>
          <w:rFonts w:ascii="Arial" w:hAnsi="Arial" w:cs="Arial"/>
          <w:b/>
          <w:bCs/>
          <w:sz w:val="20"/>
          <w:szCs w:val="20"/>
        </w:rPr>
        <w:t>Spectra</w:t>
      </w:r>
      <w:r w:rsidR="00166173" w:rsidRPr="00860259">
        <w:rPr>
          <w:rFonts w:ascii="Arial" w:hAnsi="Arial" w:cs="Arial"/>
          <w:b/>
          <w:bCs/>
          <w:sz w:val="20"/>
          <w:szCs w:val="20"/>
        </w:rPr>
        <w:t xml:space="preserve"> for L and </w:t>
      </w:r>
      <w:proofErr w:type="spellStart"/>
      <w:r w:rsidR="00166173" w:rsidRPr="00860259">
        <w:rPr>
          <w:rFonts w:ascii="Arial" w:hAnsi="Arial" w:cs="Arial"/>
          <w:b/>
          <w:bCs/>
          <w:sz w:val="20"/>
          <w:szCs w:val="20"/>
        </w:rPr>
        <w:t>LCo</w:t>
      </w:r>
      <w:proofErr w:type="spellEnd"/>
    </w:p>
    <w:p w14:paraId="0E091540" w14:textId="63E7D622" w:rsidR="00753814" w:rsidRPr="00860259" w:rsidRDefault="00753814" w:rsidP="00B72BC3">
      <w:pPr>
        <w:spacing w:line="240" w:lineRule="auto"/>
        <w:rPr>
          <w:rFonts w:ascii="Arial" w:hAnsi="Arial" w:cs="Arial"/>
          <w:color w:val="0F1115"/>
          <w:shd w:val="clear" w:color="auto" w:fill="FFFFFF"/>
        </w:rPr>
      </w:pPr>
      <w:r w:rsidRPr="00860259">
        <w:rPr>
          <w:rFonts w:ascii="Arial" w:hAnsi="Arial" w:cs="Arial"/>
          <w:b/>
          <w:bCs/>
          <w:shd w:val="clear" w:color="auto" w:fill="FFFFFF"/>
        </w:rPr>
        <w:lastRenderedPageBreak/>
        <w:t xml:space="preserve">Antimicrobial Activities of </w:t>
      </w:r>
      <w:r w:rsidRPr="00860259">
        <w:rPr>
          <w:rFonts w:ascii="Arial" w:hAnsi="Arial" w:cs="Arial"/>
          <w:b/>
          <w:bCs/>
        </w:rPr>
        <w:t>(E)-2-(2-aminothiazol-4-yl)-N'-(2-</w:t>
      </w:r>
      <w:proofErr w:type="gramStart"/>
      <w:r w:rsidRPr="00860259">
        <w:rPr>
          <w:rFonts w:ascii="Arial" w:hAnsi="Arial" w:cs="Arial"/>
          <w:b/>
          <w:bCs/>
        </w:rPr>
        <w:t>nitrobenzylidene)acetohydrazide</w:t>
      </w:r>
      <w:proofErr w:type="gramEnd"/>
      <w:r w:rsidRPr="00860259">
        <w:rPr>
          <w:rFonts w:ascii="Arial" w:hAnsi="Arial" w:cs="Arial"/>
          <w:b/>
          <w:bCs/>
        </w:rPr>
        <w:t xml:space="preserve"> Ligand and Its Co(II) Complex</w:t>
      </w:r>
    </w:p>
    <w:p w14:paraId="6CF02DA3" w14:textId="48BEC7B9" w:rsidR="00931A41" w:rsidRPr="00860259" w:rsidRDefault="00212E74" w:rsidP="00B72BC3">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The antimicrobial Susceptibility of the synthesised compounds was evaluated against five clinical test organisms, including two Gram-negative bacteria (</w:t>
      </w:r>
      <w:r w:rsidRPr="00860259">
        <w:rPr>
          <w:rFonts w:ascii="Arial" w:hAnsi="Arial" w:cs="Arial"/>
          <w:i/>
          <w:iCs/>
          <w:sz w:val="20"/>
          <w:szCs w:val="20"/>
        </w:rPr>
        <w:t>Escherichia coli</w:t>
      </w:r>
      <w:r w:rsidRPr="00860259">
        <w:rPr>
          <w:rFonts w:ascii="Arial" w:hAnsi="Arial" w:cs="Arial"/>
          <w:sz w:val="20"/>
          <w:szCs w:val="20"/>
        </w:rPr>
        <w:t xml:space="preserve"> and </w:t>
      </w:r>
      <w:r w:rsidRPr="00860259">
        <w:rPr>
          <w:rFonts w:ascii="Arial" w:hAnsi="Arial" w:cs="Arial"/>
          <w:i/>
          <w:iCs/>
          <w:sz w:val="20"/>
          <w:szCs w:val="20"/>
        </w:rPr>
        <w:t>Salmonella typhi</w:t>
      </w:r>
      <w:r w:rsidRPr="00860259">
        <w:rPr>
          <w:rFonts w:ascii="Arial" w:hAnsi="Arial" w:cs="Arial"/>
          <w:sz w:val="20"/>
          <w:szCs w:val="20"/>
        </w:rPr>
        <w:t>), two Gram-positive bacteria (</w:t>
      </w:r>
      <w:r w:rsidRPr="00860259">
        <w:rPr>
          <w:rFonts w:ascii="Arial" w:hAnsi="Arial" w:cs="Arial"/>
          <w:i/>
          <w:iCs/>
          <w:sz w:val="20"/>
          <w:szCs w:val="20"/>
        </w:rPr>
        <w:t xml:space="preserve">Staphylococcus aureus </w:t>
      </w:r>
      <w:r w:rsidRPr="00860259">
        <w:rPr>
          <w:rFonts w:ascii="Arial" w:hAnsi="Arial" w:cs="Arial"/>
          <w:sz w:val="20"/>
          <w:szCs w:val="20"/>
        </w:rPr>
        <w:t xml:space="preserve">and </w:t>
      </w:r>
      <w:r w:rsidRPr="00860259">
        <w:rPr>
          <w:rFonts w:ascii="Arial" w:hAnsi="Arial" w:cs="Arial"/>
          <w:i/>
          <w:iCs/>
          <w:sz w:val="20"/>
          <w:szCs w:val="20"/>
        </w:rPr>
        <w:t>Streptococcus pyogenes</w:t>
      </w:r>
      <w:r w:rsidRPr="00860259">
        <w:rPr>
          <w:rFonts w:ascii="Arial" w:hAnsi="Arial" w:cs="Arial"/>
          <w:sz w:val="20"/>
          <w:szCs w:val="20"/>
        </w:rPr>
        <w:t>), and a fungal strain (</w:t>
      </w:r>
      <w:r w:rsidRPr="00860259">
        <w:rPr>
          <w:rFonts w:ascii="Arial" w:hAnsi="Arial" w:cs="Arial"/>
          <w:i/>
          <w:iCs/>
          <w:sz w:val="20"/>
          <w:szCs w:val="20"/>
        </w:rPr>
        <w:t>Candida albicans</w:t>
      </w:r>
      <w:r w:rsidRPr="00860259">
        <w:rPr>
          <w:rFonts w:ascii="Arial" w:hAnsi="Arial" w:cs="Arial"/>
          <w:sz w:val="20"/>
          <w:szCs w:val="20"/>
        </w:rPr>
        <w:t xml:space="preserve">). The </w:t>
      </w:r>
      <w:r w:rsidR="0026036D" w:rsidRPr="00860259">
        <w:rPr>
          <w:rFonts w:ascii="Arial" w:hAnsi="Arial" w:cs="Arial"/>
          <w:sz w:val="20"/>
          <w:szCs w:val="20"/>
        </w:rPr>
        <w:t>Disc</w:t>
      </w:r>
      <w:r w:rsidRPr="00860259">
        <w:rPr>
          <w:rFonts w:ascii="Arial" w:hAnsi="Arial" w:cs="Arial"/>
          <w:sz w:val="20"/>
          <w:szCs w:val="20"/>
        </w:rPr>
        <w:t xml:space="preserve"> diffusion method</w:t>
      </w:r>
      <w:r w:rsidR="0026036D" w:rsidRPr="00860259">
        <w:rPr>
          <w:rFonts w:ascii="Arial" w:hAnsi="Arial" w:cs="Arial"/>
          <w:sz w:val="20"/>
          <w:szCs w:val="20"/>
        </w:rPr>
        <w:t xml:space="preserve"> [13]</w:t>
      </w:r>
      <w:r w:rsidRPr="00860259">
        <w:rPr>
          <w:rFonts w:ascii="Arial" w:hAnsi="Arial" w:cs="Arial"/>
          <w:sz w:val="20"/>
          <w:szCs w:val="20"/>
        </w:rPr>
        <w:t xml:space="preserve"> revealed varying degrees of inhibition, highlighting </w:t>
      </w:r>
      <w:r w:rsidR="003A0887" w:rsidRPr="00860259">
        <w:rPr>
          <w:rFonts w:ascii="Arial" w:hAnsi="Arial" w:cs="Arial"/>
          <w:sz w:val="20"/>
          <w:szCs w:val="20"/>
        </w:rPr>
        <w:t>the structure–activity relationships between the ligand (L) and its metal complex (</w:t>
      </w:r>
      <w:proofErr w:type="spellStart"/>
      <w:r w:rsidR="003A0887" w:rsidRPr="00860259">
        <w:rPr>
          <w:rFonts w:ascii="Arial" w:hAnsi="Arial" w:cs="Arial"/>
          <w:sz w:val="20"/>
          <w:szCs w:val="20"/>
        </w:rPr>
        <w:t>LCo</w:t>
      </w:r>
      <w:proofErr w:type="spellEnd"/>
      <w:r w:rsidR="003A0887" w:rsidRPr="00860259">
        <w:rPr>
          <w:rFonts w:ascii="Arial" w:hAnsi="Arial" w:cs="Arial"/>
          <w:sz w:val="20"/>
          <w:szCs w:val="20"/>
        </w:rPr>
        <w:t>),</w:t>
      </w:r>
      <w:r w:rsidRPr="00860259">
        <w:rPr>
          <w:rFonts w:ascii="Arial" w:hAnsi="Arial" w:cs="Arial"/>
          <w:sz w:val="20"/>
          <w:szCs w:val="20"/>
        </w:rPr>
        <w:t xml:space="preserve"> </w:t>
      </w:r>
      <w:r w:rsidR="003A0887" w:rsidRPr="00860259">
        <w:rPr>
          <w:rFonts w:ascii="Arial" w:hAnsi="Arial" w:cs="Arial"/>
          <w:sz w:val="20"/>
          <w:szCs w:val="20"/>
        </w:rPr>
        <w:t>(</w:t>
      </w:r>
      <w:r w:rsidRPr="00860259">
        <w:rPr>
          <w:rFonts w:ascii="Arial" w:hAnsi="Arial" w:cs="Arial"/>
          <w:bCs/>
          <w:sz w:val="20"/>
          <w:szCs w:val="20"/>
        </w:rPr>
        <w:t xml:space="preserve">Table </w:t>
      </w:r>
      <w:r w:rsidR="003A0887" w:rsidRPr="00860259">
        <w:rPr>
          <w:rFonts w:ascii="Arial" w:hAnsi="Arial" w:cs="Arial"/>
          <w:bCs/>
          <w:sz w:val="20"/>
          <w:szCs w:val="20"/>
        </w:rPr>
        <w:t>5).</w:t>
      </w:r>
    </w:p>
    <w:p w14:paraId="5C26FD24" w14:textId="678DD0CA" w:rsidR="00E22797" w:rsidRPr="00860259" w:rsidRDefault="003D3C79"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antimicrobial susceptibility testing </w:t>
      </w:r>
      <w:r w:rsidR="00A57EF7" w:rsidRPr="00860259">
        <w:rPr>
          <w:rFonts w:ascii="Arial" w:hAnsi="Arial" w:cs="Arial"/>
          <w:color w:val="0F1115"/>
          <w:sz w:val="20"/>
          <w:szCs w:val="20"/>
          <w:shd w:val="clear" w:color="auto" w:fill="FFFFFF"/>
        </w:rPr>
        <w:t>showed</w:t>
      </w:r>
      <w:r w:rsidRPr="00860259">
        <w:rPr>
          <w:rFonts w:ascii="Arial" w:hAnsi="Arial" w:cs="Arial"/>
          <w:color w:val="0F1115"/>
          <w:sz w:val="20"/>
          <w:szCs w:val="20"/>
          <w:shd w:val="clear" w:color="auto" w:fill="FFFFFF"/>
        </w:rPr>
        <w:t xml:space="preserve"> that the ligand L exhibited varying zones of inhibition, with susceptibility (S) against </w:t>
      </w:r>
      <w:r w:rsidRPr="00860259">
        <w:rPr>
          <w:rFonts w:ascii="Arial" w:hAnsi="Arial" w:cs="Arial"/>
          <w:i/>
          <w:iCs/>
          <w:color w:val="0F1115"/>
          <w:sz w:val="20"/>
          <w:szCs w:val="20"/>
          <w:shd w:val="clear" w:color="auto" w:fill="FFFFFF"/>
        </w:rPr>
        <w:t>Escherichia coli</w:t>
      </w:r>
      <w:r w:rsidRPr="00860259">
        <w:rPr>
          <w:rFonts w:ascii="Arial" w:hAnsi="Arial" w:cs="Arial"/>
          <w:color w:val="0F1115"/>
          <w:sz w:val="20"/>
          <w:szCs w:val="20"/>
          <w:shd w:val="clear" w:color="auto" w:fill="FFFFFF"/>
        </w:rPr>
        <w:t xml:space="preserve"> (20 mm), </w:t>
      </w:r>
      <w:r w:rsidRPr="00860259">
        <w:rPr>
          <w:rFonts w:ascii="Arial" w:hAnsi="Arial" w:cs="Arial"/>
          <w:i/>
          <w:iCs/>
          <w:color w:val="0F1115"/>
          <w:sz w:val="20"/>
          <w:szCs w:val="20"/>
          <w:shd w:val="clear" w:color="auto" w:fill="FFFFFF"/>
        </w:rPr>
        <w:t>Staphylococcus aureus</w:t>
      </w:r>
      <w:r w:rsidRPr="00860259">
        <w:rPr>
          <w:rFonts w:ascii="Arial" w:hAnsi="Arial" w:cs="Arial"/>
          <w:color w:val="0F1115"/>
          <w:sz w:val="20"/>
          <w:szCs w:val="20"/>
          <w:shd w:val="clear" w:color="auto" w:fill="FFFFFF"/>
        </w:rPr>
        <w:t xml:space="preserve"> (16 mm), and </w:t>
      </w:r>
      <w:r w:rsidRPr="00860259">
        <w:rPr>
          <w:rFonts w:ascii="Arial" w:hAnsi="Arial" w:cs="Arial"/>
          <w:i/>
          <w:iCs/>
          <w:color w:val="0F1115"/>
          <w:sz w:val="20"/>
          <w:szCs w:val="20"/>
          <w:shd w:val="clear" w:color="auto" w:fill="FFFFFF"/>
        </w:rPr>
        <w:t>Salmonella typhi</w:t>
      </w:r>
      <w:r w:rsidRPr="00860259">
        <w:rPr>
          <w:rFonts w:ascii="Arial" w:hAnsi="Arial" w:cs="Arial"/>
          <w:color w:val="0F1115"/>
          <w:sz w:val="20"/>
          <w:szCs w:val="20"/>
          <w:shd w:val="clear" w:color="auto" w:fill="FFFFFF"/>
        </w:rPr>
        <w:t xml:space="preserve"> (12 mm, intermediate), while showing no activity against </w:t>
      </w:r>
      <w:r w:rsidRPr="00860259">
        <w:rPr>
          <w:rFonts w:ascii="Arial" w:hAnsi="Arial" w:cs="Arial"/>
          <w:i/>
          <w:iCs/>
          <w:color w:val="0F1115"/>
          <w:sz w:val="20"/>
          <w:szCs w:val="20"/>
          <w:shd w:val="clear" w:color="auto" w:fill="FFFFFF"/>
        </w:rPr>
        <w:t>Streptococcus pyogenes</w:t>
      </w:r>
      <w:r w:rsidRPr="00860259">
        <w:rPr>
          <w:rFonts w:ascii="Arial" w:hAnsi="Arial" w:cs="Arial"/>
          <w:color w:val="0F1115"/>
          <w:sz w:val="20"/>
          <w:szCs w:val="20"/>
          <w:shd w:val="clear" w:color="auto" w:fill="FFFFFF"/>
        </w:rPr>
        <w:t xml:space="preserve"> and limited activity against </w:t>
      </w:r>
      <w:r w:rsidRPr="00860259">
        <w:rPr>
          <w:rFonts w:ascii="Arial" w:hAnsi="Arial" w:cs="Arial"/>
          <w:i/>
          <w:iCs/>
          <w:color w:val="0F1115"/>
          <w:sz w:val="20"/>
          <w:szCs w:val="20"/>
          <w:shd w:val="clear" w:color="auto" w:fill="FFFFFF"/>
        </w:rPr>
        <w:t>Candida albicans</w:t>
      </w:r>
      <w:r w:rsidRPr="00860259">
        <w:rPr>
          <w:rFonts w:ascii="Arial" w:hAnsi="Arial" w:cs="Arial"/>
          <w:color w:val="0F1115"/>
          <w:sz w:val="20"/>
          <w:szCs w:val="20"/>
          <w:shd w:val="clear" w:color="auto" w:fill="FFFFFF"/>
        </w:rPr>
        <w:t xml:space="preserve"> (12 mm, resistant).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demonstrated enhanced activity, with susceptibility observed across all tested organisms (</w:t>
      </w:r>
      <w:r w:rsidRPr="00860259">
        <w:rPr>
          <w:rFonts w:ascii="Arial" w:hAnsi="Arial" w:cs="Arial"/>
          <w:i/>
          <w:iCs/>
          <w:color w:val="0F1115"/>
          <w:sz w:val="20"/>
          <w:szCs w:val="20"/>
          <w:shd w:val="clear" w:color="auto" w:fill="FFFFFF"/>
        </w:rPr>
        <w:t>E. coli</w:t>
      </w:r>
      <w:r w:rsidR="00041F2B" w:rsidRPr="00860259">
        <w:rPr>
          <w:rFonts w:ascii="Arial" w:hAnsi="Arial" w:cs="Arial"/>
          <w:color w:val="0F1115"/>
          <w:sz w:val="20"/>
          <w:szCs w:val="20"/>
          <w:shd w:val="clear" w:color="auto" w:fill="FFFFFF"/>
        </w:rPr>
        <w:t xml:space="preserve">, 18 mm; </w:t>
      </w:r>
      <w:r w:rsidR="00041F2B" w:rsidRPr="00860259">
        <w:rPr>
          <w:rFonts w:ascii="Arial" w:hAnsi="Arial" w:cs="Arial"/>
          <w:i/>
          <w:iCs/>
          <w:color w:val="0F1115"/>
          <w:sz w:val="20"/>
          <w:szCs w:val="20"/>
          <w:shd w:val="clear" w:color="auto" w:fill="FFFFFF"/>
        </w:rPr>
        <w:t>S. aureus</w:t>
      </w:r>
      <w:r w:rsidR="00041F2B" w:rsidRPr="00860259">
        <w:rPr>
          <w:rFonts w:ascii="Arial" w:hAnsi="Arial" w:cs="Arial"/>
          <w:color w:val="0F1115"/>
          <w:sz w:val="20"/>
          <w:szCs w:val="20"/>
          <w:shd w:val="clear" w:color="auto" w:fill="FFFFFF"/>
        </w:rPr>
        <w:t xml:space="preserve">, 20 mm; </w:t>
      </w:r>
      <w:r w:rsidR="00041F2B" w:rsidRPr="00860259">
        <w:rPr>
          <w:rFonts w:ascii="Arial" w:hAnsi="Arial" w:cs="Arial"/>
          <w:i/>
          <w:iCs/>
          <w:color w:val="0F1115"/>
          <w:sz w:val="20"/>
          <w:szCs w:val="20"/>
          <w:shd w:val="clear" w:color="auto" w:fill="FFFFFF"/>
        </w:rPr>
        <w:t>S. pyogenes</w:t>
      </w:r>
      <w:r w:rsidR="00041F2B" w:rsidRPr="00860259">
        <w:rPr>
          <w:rFonts w:ascii="Arial" w:hAnsi="Arial" w:cs="Arial"/>
          <w:color w:val="0F1115"/>
          <w:sz w:val="20"/>
          <w:szCs w:val="20"/>
          <w:shd w:val="clear" w:color="auto" w:fill="FFFFFF"/>
        </w:rPr>
        <w:t xml:space="preserve">, 20 mm; </w:t>
      </w:r>
      <w:r w:rsidR="00041F2B" w:rsidRPr="00860259">
        <w:rPr>
          <w:rFonts w:ascii="Arial" w:hAnsi="Arial" w:cs="Arial"/>
          <w:i/>
          <w:iCs/>
          <w:color w:val="0F1115"/>
          <w:sz w:val="20"/>
          <w:szCs w:val="20"/>
          <w:shd w:val="clear" w:color="auto" w:fill="FFFFFF"/>
        </w:rPr>
        <w:t>S. typhi</w:t>
      </w:r>
      <w:r w:rsidR="00041F2B" w:rsidRPr="00860259">
        <w:rPr>
          <w:rFonts w:ascii="Arial" w:hAnsi="Arial" w:cs="Arial"/>
          <w:color w:val="0F1115"/>
          <w:sz w:val="20"/>
          <w:szCs w:val="20"/>
          <w:shd w:val="clear" w:color="auto" w:fill="FFFFFF"/>
        </w:rPr>
        <w:t xml:space="preserve">, 18 mm; </w:t>
      </w:r>
      <w:r w:rsidR="00041F2B" w:rsidRPr="00860259">
        <w:rPr>
          <w:rFonts w:ascii="Arial" w:hAnsi="Arial" w:cs="Arial"/>
          <w:i/>
          <w:iCs/>
          <w:color w:val="0F1115"/>
          <w:sz w:val="20"/>
          <w:szCs w:val="20"/>
          <w:shd w:val="clear" w:color="auto" w:fill="FFFFFF"/>
        </w:rPr>
        <w:t>C. albicans</w:t>
      </w:r>
      <w:r w:rsidR="00041F2B" w:rsidRPr="00860259">
        <w:rPr>
          <w:rFonts w:ascii="Arial" w:hAnsi="Arial" w:cs="Arial"/>
          <w:color w:val="0F1115"/>
          <w:sz w:val="20"/>
          <w:szCs w:val="20"/>
          <w:shd w:val="clear" w:color="auto" w:fill="FFFFFF"/>
        </w:rPr>
        <w:t>,</w:t>
      </w:r>
      <w:r w:rsidRPr="00860259">
        <w:rPr>
          <w:rFonts w:ascii="Arial" w:hAnsi="Arial" w:cs="Arial"/>
          <w:color w:val="0F1115"/>
          <w:sz w:val="20"/>
          <w:szCs w:val="20"/>
          <w:shd w:val="clear" w:color="auto" w:fill="FFFFFF"/>
        </w:rPr>
        <w:t xml:space="preserve"> 16 mm), suggesting improved efficacy upon coordination with Co(II). Compared to the control antibiotics levofloxacin (32–36 mm) and nystatin (30 mm),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showed moderate activity, with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outperforming L, particularly against gram-positive and fungal strains, aligning with trends in metal-enhanced antimicrobial effects</w:t>
      </w:r>
      <w:r w:rsidR="00F80402" w:rsidRPr="00860259">
        <w:rPr>
          <w:rFonts w:ascii="Arial" w:hAnsi="Arial" w:cs="Arial"/>
          <w:color w:val="0F1115"/>
          <w:sz w:val="20"/>
          <w:szCs w:val="20"/>
          <w:shd w:val="clear" w:color="auto" w:fill="FFFFFF"/>
        </w:rPr>
        <w:t>.</w:t>
      </w:r>
    </w:p>
    <w:tbl>
      <w:tblPr>
        <w:tblStyle w:val="TableGrid"/>
        <w:tblpPr w:leftFromText="180" w:rightFromText="180" w:vertAnchor="text" w:tblpX="562" w:tblpY="186"/>
        <w:tblW w:w="88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339"/>
        <w:gridCol w:w="1750"/>
        <w:gridCol w:w="1606"/>
        <w:gridCol w:w="1296"/>
        <w:gridCol w:w="1204"/>
      </w:tblGrid>
      <w:tr w:rsidR="00910DEA" w:rsidRPr="00860259" w14:paraId="5AB0C890" w14:textId="77777777" w:rsidTr="005F6410">
        <w:trPr>
          <w:trHeight w:val="545"/>
        </w:trPr>
        <w:tc>
          <w:tcPr>
            <w:tcW w:w="8816" w:type="dxa"/>
            <w:gridSpan w:val="6"/>
            <w:tcBorders>
              <w:bottom w:val="nil"/>
            </w:tcBorders>
          </w:tcPr>
          <w:p w14:paraId="47A83CBF" w14:textId="77777777" w:rsidR="00910DEA" w:rsidRPr="00860259" w:rsidRDefault="00910DEA" w:rsidP="00B72BC3">
            <w:pPr>
              <w:jc w:val="both"/>
              <w:rPr>
                <w:rFonts w:ascii="Arial" w:hAnsi="Arial" w:cs="Arial"/>
                <w:b/>
                <w:sz w:val="20"/>
                <w:szCs w:val="20"/>
              </w:rPr>
            </w:pPr>
            <w:r w:rsidRPr="00860259">
              <w:rPr>
                <w:rFonts w:ascii="Arial" w:hAnsi="Arial" w:cs="Arial"/>
                <w:b/>
                <w:sz w:val="20"/>
                <w:szCs w:val="20"/>
              </w:rPr>
              <w:t xml:space="preserve">                                                          Test Organisms/Zones of Inhibition (mm)</w:t>
            </w:r>
          </w:p>
          <w:p w14:paraId="1C2F392A" w14:textId="77777777" w:rsidR="00910DEA" w:rsidRPr="00860259" w:rsidRDefault="00910DEA" w:rsidP="00B72BC3">
            <w:pPr>
              <w:jc w:val="both"/>
              <w:rPr>
                <w:rFonts w:ascii="Arial" w:hAnsi="Arial" w:cs="Arial"/>
                <w:b/>
                <w:sz w:val="20"/>
                <w:szCs w:val="20"/>
              </w:rPr>
            </w:pPr>
          </w:p>
        </w:tc>
      </w:tr>
      <w:tr w:rsidR="00910DEA" w:rsidRPr="00860259" w14:paraId="4EEBB873" w14:textId="77777777" w:rsidTr="005F6410">
        <w:trPr>
          <w:trHeight w:val="709"/>
        </w:trPr>
        <w:tc>
          <w:tcPr>
            <w:tcW w:w="1736" w:type="dxa"/>
            <w:tcBorders>
              <w:top w:val="nil"/>
              <w:bottom w:val="single" w:sz="4" w:space="0" w:color="auto"/>
            </w:tcBorders>
          </w:tcPr>
          <w:p w14:paraId="4B0B2104" w14:textId="77777777" w:rsidR="00910DEA" w:rsidRPr="00860259" w:rsidRDefault="00910DEA" w:rsidP="00B72BC3">
            <w:pPr>
              <w:jc w:val="both"/>
              <w:rPr>
                <w:rFonts w:ascii="Arial" w:hAnsi="Arial" w:cs="Arial"/>
                <w:b/>
                <w:sz w:val="20"/>
                <w:szCs w:val="20"/>
              </w:rPr>
            </w:pPr>
            <w:r w:rsidRPr="00860259">
              <w:rPr>
                <w:rFonts w:ascii="Arial" w:hAnsi="Arial" w:cs="Arial"/>
                <w:b/>
                <w:sz w:val="20"/>
                <w:szCs w:val="20"/>
              </w:rPr>
              <w:t xml:space="preserve">Compounds </w:t>
            </w:r>
          </w:p>
        </w:tc>
        <w:tc>
          <w:tcPr>
            <w:tcW w:w="1332" w:type="dxa"/>
            <w:tcBorders>
              <w:top w:val="nil"/>
              <w:bottom w:val="single" w:sz="4" w:space="0" w:color="auto"/>
            </w:tcBorders>
          </w:tcPr>
          <w:p w14:paraId="04FE7517"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Escherichia coli</w:t>
            </w:r>
            <w:r w:rsidRPr="00860259">
              <w:rPr>
                <w:rFonts w:ascii="Arial" w:hAnsi="Arial" w:cs="Arial"/>
                <w:b/>
                <w:i/>
                <w:sz w:val="20"/>
                <w:szCs w:val="20"/>
              </w:rPr>
              <w:tab/>
            </w:r>
          </w:p>
        </w:tc>
        <w:tc>
          <w:tcPr>
            <w:tcW w:w="1649" w:type="dxa"/>
            <w:tcBorders>
              <w:top w:val="nil"/>
              <w:bottom w:val="single" w:sz="4" w:space="0" w:color="auto"/>
            </w:tcBorders>
          </w:tcPr>
          <w:p w14:paraId="30DEB6A4"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Staphylococcus aureus</w:t>
            </w:r>
          </w:p>
        </w:tc>
        <w:tc>
          <w:tcPr>
            <w:tcW w:w="1498" w:type="dxa"/>
            <w:tcBorders>
              <w:top w:val="nil"/>
              <w:bottom w:val="single" w:sz="4" w:space="0" w:color="auto"/>
            </w:tcBorders>
          </w:tcPr>
          <w:p w14:paraId="6B118FC3"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Streptococcus pyogenes</w:t>
            </w:r>
          </w:p>
        </w:tc>
        <w:tc>
          <w:tcPr>
            <w:tcW w:w="1307" w:type="dxa"/>
            <w:tcBorders>
              <w:top w:val="nil"/>
              <w:bottom w:val="single" w:sz="4" w:space="0" w:color="auto"/>
            </w:tcBorders>
          </w:tcPr>
          <w:p w14:paraId="1BC5120B"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Salmonella typhi</w:t>
            </w:r>
            <w:r w:rsidRPr="00860259">
              <w:rPr>
                <w:rFonts w:ascii="Arial" w:hAnsi="Arial" w:cs="Arial"/>
                <w:b/>
                <w:i/>
                <w:sz w:val="20"/>
                <w:szCs w:val="20"/>
              </w:rPr>
              <w:tab/>
            </w:r>
          </w:p>
        </w:tc>
        <w:tc>
          <w:tcPr>
            <w:tcW w:w="1294" w:type="dxa"/>
            <w:tcBorders>
              <w:top w:val="nil"/>
              <w:bottom w:val="single" w:sz="4" w:space="0" w:color="auto"/>
            </w:tcBorders>
          </w:tcPr>
          <w:p w14:paraId="7252008B"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Candida albicans</w:t>
            </w:r>
          </w:p>
        </w:tc>
      </w:tr>
      <w:tr w:rsidR="00910DEA" w:rsidRPr="00860259" w14:paraId="0A829543" w14:textId="77777777" w:rsidTr="005F6410">
        <w:trPr>
          <w:trHeight w:val="276"/>
        </w:trPr>
        <w:tc>
          <w:tcPr>
            <w:tcW w:w="1736" w:type="dxa"/>
            <w:tcBorders>
              <w:top w:val="single" w:sz="4" w:space="0" w:color="auto"/>
            </w:tcBorders>
          </w:tcPr>
          <w:p w14:paraId="440FF99B"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w:t>
            </w:r>
          </w:p>
        </w:tc>
        <w:tc>
          <w:tcPr>
            <w:tcW w:w="1332" w:type="dxa"/>
            <w:tcBorders>
              <w:top w:val="single" w:sz="4" w:space="0" w:color="auto"/>
            </w:tcBorders>
          </w:tcPr>
          <w:p w14:paraId="33E7836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649" w:type="dxa"/>
            <w:tcBorders>
              <w:top w:val="single" w:sz="4" w:space="0" w:color="auto"/>
            </w:tcBorders>
          </w:tcPr>
          <w:p w14:paraId="53A7F26F"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16</w:t>
            </w:r>
          </w:p>
        </w:tc>
        <w:tc>
          <w:tcPr>
            <w:tcW w:w="1498" w:type="dxa"/>
            <w:tcBorders>
              <w:top w:val="single" w:sz="4" w:space="0" w:color="auto"/>
            </w:tcBorders>
          </w:tcPr>
          <w:p w14:paraId="6D0C702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307" w:type="dxa"/>
            <w:tcBorders>
              <w:top w:val="single" w:sz="4" w:space="0" w:color="auto"/>
            </w:tcBorders>
          </w:tcPr>
          <w:p w14:paraId="113679BC"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12</w:t>
            </w:r>
          </w:p>
        </w:tc>
        <w:tc>
          <w:tcPr>
            <w:tcW w:w="1294" w:type="dxa"/>
            <w:tcBorders>
              <w:top w:val="single" w:sz="4" w:space="0" w:color="auto"/>
            </w:tcBorders>
          </w:tcPr>
          <w:p w14:paraId="71E8C96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12</w:t>
            </w:r>
          </w:p>
        </w:tc>
      </w:tr>
      <w:tr w:rsidR="00910DEA" w:rsidRPr="00860259" w14:paraId="76D6B3FC" w14:textId="77777777" w:rsidTr="005F6410">
        <w:trPr>
          <w:trHeight w:val="269"/>
        </w:trPr>
        <w:tc>
          <w:tcPr>
            <w:tcW w:w="1736" w:type="dxa"/>
          </w:tcPr>
          <w:p w14:paraId="4EA4EB1A"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LCo</w:t>
            </w:r>
          </w:p>
        </w:tc>
        <w:tc>
          <w:tcPr>
            <w:tcW w:w="1332" w:type="dxa"/>
          </w:tcPr>
          <w:p w14:paraId="27DC3464"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649" w:type="dxa"/>
          </w:tcPr>
          <w:p w14:paraId="45D2A20A"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498" w:type="dxa"/>
          </w:tcPr>
          <w:p w14:paraId="3C9F3EF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307" w:type="dxa"/>
          </w:tcPr>
          <w:p w14:paraId="443E46D8"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294" w:type="dxa"/>
          </w:tcPr>
          <w:p w14:paraId="24309527"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16</w:t>
            </w:r>
          </w:p>
        </w:tc>
      </w:tr>
      <w:tr w:rsidR="00910DEA" w:rsidRPr="00860259" w14:paraId="20A86854" w14:textId="77777777" w:rsidTr="005F6410">
        <w:trPr>
          <w:trHeight w:val="545"/>
        </w:trPr>
        <w:tc>
          <w:tcPr>
            <w:tcW w:w="1736" w:type="dxa"/>
          </w:tcPr>
          <w:p w14:paraId="25C3BAF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Levofloxacin</w:t>
            </w:r>
          </w:p>
          <w:p w14:paraId="60E774B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(control antibiotics)</w:t>
            </w:r>
          </w:p>
        </w:tc>
        <w:tc>
          <w:tcPr>
            <w:tcW w:w="1332" w:type="dxa"/>
          </w:tcPr>
          <w:p w14:paraId="2A7536B2"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32</w:t>
            </w:r>
          </w:p>
        </w:tc>
        <w:tc>
          <w:tcPr>
            <w:tcW w:w="1649" w:type="dxa"/>
          </w:tcPr>
          <w:p w14:paraId="6DC0169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36</w:t>
            </w:r>
          </w:p>
        </w:tc>
        <w:tc>
          <w:tcPr>
            <w:tcW w:w="1498" w:type="dxa"/>
          </w:tcPr>
          <w:p w14:paraId="7D2E9296"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28</w:t>
            </w:r>
          </w:p>
        </w:tc>
        <w:tc>
          <w:tcPr>
            <w:tcW w:w="1307" w:type="dxa"/>
          </w:tcPr>
          <w:p w14:paraId="7EBA837E"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294" w:type="dxa"/>
          </w:tcPr>
          <w:p w14:paraId="5453747B"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r>
      <w:tr w:rsidR="00910DEA" w:rsidRPr="00860259" w14:paraId="557451F1" w14:textId="77777777" w:rsidTr="005F6410">
        <w:trPr>
          <w:trHeight w:val="345"/>
        </w:trPr>
        <w:tc>
          <w:tcPr>
            <w:tcW w:w="1736" w:type="dxa"/>
          </w:tcPr>
          <w:p w14:paraId="77B72997" w14:textId="77777777" w:rsidR="00910DEA" w:rsidRPr="00860259" w:rsidRDefault="00910DEA" w:rsidP="00B72BC3">
            <w:pPr>
              <w:jc w:val="both"/>
              <w:rPr>
                <w:rFonts w:ascii="Arial" w:eastAsia="Times New Roman" w:hAnsi="Arial" w:cs="Arial"/>
                <w:sz w:val="20"/>
                <w:szCs w:val="20"/>
                <w:lang w:eastAsia="en-GB"/>
              </w:rPr>
            </w:pPr>
            <w:r w:rsidRPr="00860259">
              <w:rPr>
                <w:rFonts w:ascii="Arial" w:eastAsia="Times New Roman" w:hAnsi="Arial" w:cs="Arial"/>
                <w:sz w:val="20"/>
                <w:szCs w:val="20"/>
                <w:lang w:eastAsia="en-GB"/>
              </w:rPr>
              <w:t>Nystatin</w:t>
            </w:r>
          </w:p>
        </w:tc>
        <w:tc>
          <w:tcPr>
            <w:tcW w:w="1332" w:type="dxa"/>
          </w:tcPr>
          <w:p w14:paraId="48C3863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649" w:type="dxa"/>
          </w:tcPr>
          <w:p w14:paraId="10007EF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498" w:type="dxa"/>
          </w:tcPr>
          <w:p w14:paraId="7E12954D"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307" w:type="dxa"/>
          </w:tcPr>
          <w:p w14:paraId="29F69C3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294" w:type="dxa"/>
          </w:tcPr>
          <w:p w14:paraId="74D2C8F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30</w:t>
            </w:r>
          </w:p>
        </w:tc>
      </w:tr>
    </w:tbl>
    <w:p w14:paraId="20187387" w14:textId="77777777" w:rsidR="00BF388B" w:rsidRPr="00860259" w:rsidRDefault="00BF388B" w:rsidP="00B72BC3">
      <w:pPr>
        <w:tabs>
          <w:tab w:val="left" w:pos="0"/>
        </w:tabs>
        <w:spacing w:after="0" w:line="240" w:lineRule="auto"/>
        <w:ind w:right="-46"/>
        <w:jc w:val="both"/>
        <w:rPr>
          <w:rFonts w:ascii="Arial" w:hAnsi="Arial" w:cs="Arial"/>
          <w:bCs/>
          <w:sz w:val="20"/>
          <w:szCs w:val="20"/>
        </w:rPr>
      </w:pPr>
    </w:p>
    <w:p w14:paraId="48196502" w14:textId="2B31DF7B" w:rsidR="00E86F91" w:rsidRPr="00860259" w:rsidRDefault="00910DEA" w:rsidP="00B72BC3">
      <w:pPr>
        <w:tabs>
          <w:tab w:val="left" w:pos="0"/>
        </w:tabs>
        <w:spacing w:after="0" w:line="240" w:lineRule="auto"/>
        <w:ind w:right="-46"/>
        <w:jc w:val="both"/>
        <w:rPr>
          <w:rFonts w:ascii="Arial" w:hAnsi="Arial" w:cs="Arial"/>
          <w:bCs/>
          <w:sz w:val="20"/>
          <w:szCs w:val="20"/>
        </w:rPr>
      </w:pPr>
      <w:r w:rsidRPr="00860259">
        <w:rPr>
          <w:rFonts w:ascii="Arial" w:hAnsi="Arial" w:cs="Arial"/>
          <w:bCs/>
          <w:sz w:val="20"/>
          <w:szCs w:val="20"/>
        </w:rPr>
        <w:t xml:space="preserve">Table </w:t>
      </w:r>
      <w:r w:rsidR="00B979AB" w:rsidRPr="00860259">
        <w:rPr>
          <w:rFonts w:ascii="Arial" w:hAnsi="Arial" w:cs="Arial"/>
          <w:bCs/>
          <w:sz w:val="20"/>
          <w:szCs w:val="20"/>
        </w:rPr>
        <w:t>5</w:t>
      </w:r>
      <w:r w:rsidRPr="00860259">
        <w:rPr>
          <w:rFonts w:ascii="Arial" w:hAnsi="Arial" w:cs="Arial"/>
          <w:bCs/>
          <w:sz w:val="20"/>
          <w:szCs w:val="20"/>
        </w:rPr>
        <w:t>: Antimicrobial Susceptibility Testing of the Synthesised Ligand</w:t>
      </w:r>
      <w:r w:rsidR="00B979AB" w:rsidRPr="00860259">
        <w:rPr>
          <w:rFonts w:ascii="Arial" w:hAnsi="Arial" w:cs="Arial"/>
          <w:bCs/>
          <w:sz w:val="20"/>
          <w:szCs w:val="20"/>
        </w:rPr>
        <w:t xml:space="preserve"> (L)</w:t>
      </w:r>
      <w:r w:rsidRPr="00860259">
        <w:rPr>
          <w:rFonts w:ascii="Arial" w:hAnsi="Arial" w:cs="Arial"/>
          <w:bCs/>
          <w:sz w:val="20"/>
          <w:szCs w:val="20"/>
        </w:rPr>
        <w:t xml:space="preserve"> and </w:t>
      </w:r>
      <w:r w:rsidR="00B979AB" w:rsidRPr="00860259">
        <w:rPr>
          <w:rFonts w:ascii="Arial" w:hAnsi="Arial" w:cs="Arial"/>
          <w:bCs/>
          <w:sz w:val="20"/>
          <w:szCs w:val="20"/>
        </w:rPr>
        <w:t>Co</w:t>
      </w:r>
      <w:r w:rsidR="00F80402" w:rsidRPr="00860259">
        <w:rPr>
          <w:rFonts w:ascii="Arial" w:hAnsi="Arial" w:cs="Arial"/>
          <w:bCs/>
          <w:sz w:val="20"/>
          <w:szCs w:val="20"/>
        </w:rPr>
        <w:t xml:space="preserve"> (</w:t>
      </w:r>
      <w:proofErr w:type="spellStart"/>
      <w:r w:rsidR="00F80402" w:rsidRPr="00860259">
        <w:rPr>
          <w:rFonts w:ascii="Arial" w:hAnsi="Arial" w:cs="Arial"/>
          <w:bCs/>
          <w:sz w:val="20"/>
          <w:szCs w:val="20"/>
        </w:rPr>
        <w:t>LCo</w:t>
      </w:r>
      <w:proofErr w:type="spellEnd"/>
      <w:r w:rsidR="00F80402" w:rsidRPr="00860259">
        <w:rPr>
          <w:rFonts w:ascii="Arial" w:hAnsi="Arial" w:cs="Arial"/>
          <w:bCs/>
          <w:sz w:val="20"/>
          <w:szCs w:val="20"/>
        </w:rPr>
        <w:t xml:space="preserve">) </w:t>
      </w:r>
      <w:r w:rsidRPr="00860259">
        <w:rPr>
          <w:rFonts w:ascii="Arial" w:hAnsi="Arial" w:cs="Arial"/>
          <w:bCs/>
          <w:sz w:val="20"/>
          <w:szCs w:val="20"/>
        </w:rPr>
        <w:t>Complex</w:t>
      </w:r>
      <w:r w:rsidR="00F80402" w:rsidRPr="00860259">
        <w:rPr>
          <w:rFonts w:ascii="Arial" w:hAnsi="Arial" w:cs="Arial"/>
          <w:bCs/>
          <w:sz w:val="20"/>
          <w:szCs w:val="20"/>
        </w:rPr>
        <w:t xml:space="preserve"> compared to Control Drugs</w:t>
      </w:r>
    </w:p>
    <w:p w14:paraId="2B5EF795" w14:textId="51ABD50E" w:rsidR="00910DEA" w:rsidRPr="00860259" w:rsidRDefault="00910DEA"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754CDF86" w14:textId="77777777" w:rsidR="00910DEA" w:rsidRPr="00860259" w:rsidRDefault="00910DEA" w:rsidP="00B72BC3">
      <w:pPr>
        <w:pStyle w:val="ListParagraph"/>
        <w:numPr>
          <w:ilvl w:val="0"/>
          <w:numId w:val="8"/>
        </w:numPr>
        <w:spacing w:after="0" w:line="240" w:lineRule="auto"/>
        <w:ind w:right="-46"/>
        <w:jc w:val="both"/>
        <w:rPr>
          <w:rFonts w:ascii="Arial" w:hAnsi="Arial" w:cs="Arial"/>
          <w:b/>
          <w:sz w:val="20"/>
          <w:szCs w:val="20"/>
        </w:rPr>
      </w:pPr>
      <w:r w:rsidRPr="00860259">
        <w:rPr>
          <w:rFonts w:ascii="Arial" w:hAnsi="Arial" w:cs="Arial"/>
          <w:b/>
          <w:bCs/>
          <w:sz w:val="20"/>
          <w:szCs w:val="20"/>
        </w:rPr>
        <w:t>mm = Millimeter</w:t>
      </w:r>
    </w:p>
    <w:p w14:paraId="21281410" w14:textId="77777777" w:rsidR="00910DEA" w:rsidRPr="00860259" w:rsidRDefault="00910DEA"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Clinical Laboratory Standard Institute Guideline for Antimicrobial Agents</w:t>
      </w:r>
      <w:r w:rsidRPr="00860259">
        <w:rPr>
          <w:rFonts w:ascii="Arial" w:hAnsi="Arial" w:cs="Arial"/>
          <w:sz w:val="20"/>
          <w:szCs w:val="20"/>
        </w:rPr>
        <w:tab/>
      </w:r>
      <w:r w:rsidRPr="00860259">
        <w:rPr>
          <w:rFonts w:ascii="Arial" w:hAnsi="Arial" w:cs="Arial"/>
          <w:sz w:val="20"/>
          <w:szCs w:val="20"/>
        </w:rPr>
        <w:tab/>
      </w:r>
    </w:p>
    <w:p w14:paraId="1996715F"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R = Resistant</w:t>
      </w:r>
      <w:r w:rsidRPr="00860259">
        <w:rPr>
          <w:rFonts w:ascii="Arial" w:hAnsi="Arial" w:cs="Arial"/>
          <w:sz w:val="20"/>
          <w:szCs w:val="20"/>
        </w:rPr>
        <w:tab/>
        <w:t>(0 – 12 mm)</w:t>
      </w:r>
    </w:p>
    <w:p w14:paraId="3B880EE5"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S = Susceptible (16 mm and above)</w:t>
      </w:r>
    </w:p>
    <w:p w14:paraId="6DB048AC"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I = Intermediate (13–15 mm).</w:t>
      </w:r>
    </w:p>
    <w:p w14:paraId="1EE0D464"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 = No Inhibition</w:t>
      </w:r>
    </w:p>
    <w:p w14:paraId="0DCBC424" w14:textId="77777777" w:rsidR="00E22797" w:rsidRPr="00860259" w:rsidRDefault="00E22797" w:rsidP="00B72BC3">
      <w:pPr>
        <w:spacing w:line="240" w:lineRule="auto"/>
        <w:jc w:val="both"/>
        <w:rPr>
          <w:rFonts w:ascii="Arial" w:hAnsi="Arial" w:cs="Arial"/>
          <w:color w:val="0F1115"/>
          <w:sz w:val="20"/>
          <w:szCs w:val="20"/>
          <w:shd w:val="clear" w:color="auto" w:fill="FFFFFF"/>
        </w:rPr>
      </w:pPr>
    </w:p>
    <w:p w14:paraId="14A55C93" w14:textId="1797B638" w:rsidR="008C4FE6" w:rsidRDefault="00A94ED3"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inhibitory concentration (MIC) results </w:t>
      </w:r>
      <w:r w:rsidR="00BF388B" w:rsidRPr="00860259">
        <w:rPr>
          <w:rFonts w:ascii="Arial" w:hAnsi="Arial" w:cs="Arial"/>
          <w:color w:val="0F1115"/>
          <w:sz w:val="20"/>
          <w:szCs w:val="20"/>
          <w:shd w:val="clear" w:color="auto" w:fill="FFFFFF"/>
        </w:rPr>
        <w:t xml:space="preserve">(Table 6) </w:t>
      </w:r>
      <w:r w:rsidRPr="00860259">
        <w:rPr>
          <w:rFonts w:ascii="Arial" w:hAnsi="Arial" w:cs="Arial"/>
          <w:color w:val="0F1115"/>
          <w:sz w:val="20"/>
          <w:szCs w:val="20"/>
          <w:shd w:val="clear" w:color="auto" w:fill="FFFFFF"/>
        </w:rPr>
        <w:t xml:space="preserve">showed that the ligand L needed higher concentrations (250 mg/mL for E. coli, 500 mg/mL for S. aureus) to inhibit growth, with no detectable activity (ND) against </w:t>
      </w:r>
      <w:r w:rsidRPr="00860259">
        <w:rPr>
          <w:rFonts w:ascii="Arial" w:hAnsi="Arial" w:cs="Arial"/>
          <w:i/>
          <w:iCs/>
          <w:color w:val="0F1115"/>
          <w:sz w:val="20"/>
          <w:szCs w:val="20"/>
          <w:shd w:val="clear" w:color="auto" w:fill="FFFFFF"/>
        </w:rPr>
        <w:t>S. pyogenes, S. typhi,</w:t>
      </w:r>
      <w:r w:rsidRPr="00860259">
        <w:rPr>
          <w:rFonts w:ascii="Arial" w:hAnsi="Arial" w:cs="Arial"/>
          <w:color w:val="0F1115"/>
          <w:sz w:val="20"/>
          <w:szCs w:val="20"/>
          <w:shd w:val="clear" w:color="auto" w:fill="FFFFFF"/>
        </w:rPr>
        <w:t xml:space="preserve"> and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xml:space="preserve">, indicating its limited antimicrobial range. In comparison,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w:t>
      </w:r>
      <w:r w:rsidR="00CA18E6" w:rsidRPr="00860259">
        <w:rPr>
          <w:rFonts w:ascii="Arial" w:hAnsi="Arial" w:cs="Arial"/>
          <w:color w:val="0F1115"/>
          <w:sz w:val="20"/>
          <w:szCs w:val="20"/>
          <w:shd w:val="clear" w:color="auto" w:fill="FFFFFF"/>
        </w:rPr>
        <w:t xml:space="preserve">exhibited a broader activity profile, with lower MIC values (250 mg/mL for </w:t>
      </w:r>
      <w:r w:rsidR="00CA18E6" w:rsidRPr="00860259">
        <w:rPr>
          <w:rFonts w:ascii="Arial" w:hAnsi="Arial" w:cs="Arial"/>
          <w:i/>
          <w:iCs/>
          <w:color w:val="0F1115"/>
          <w:sz w:val="20"/>
          <w:szCs w:val="20"/>
          <w:shd w:val="clear" w:color="auto" w:fill="FFFFFF"/>
        </w:rPr>
        <w:t>E. coli, S. aureus</w:t>
      </w:r>
      <w:r w:rsidR="00CA18E6" w:rsidRPr="00860259">
        <w:rPr>
          <w:rFonts w:ascii="Arial" w:hAnsi="Arial" w:cs="Arial"/>
          <w:color w:val="0F1115"/>
          <w:sz w:val="20"/>
          <w:szCs w:val="20"/>
          <w:shd w:val="clear" w:color="auto" w:fill="FFFFFF"/>
        </w:rPr>
        <w:t xml:space="preserve">, and </w:t>
      </w:r>
      <w:r w:rsidR="00CA18E6" w:rsidRPr="00860259">
        <w:rPr>
          <w:rFonts w:ascii="Arial" w:hAnsi="Arial" w:cs="Arial"/>
          <w:i/>
          <w:iCs/>
          <w:color w:val="0F1115"/>
          <w:sz w:val="20"/>
          <w:szCs w:val="20"/>
          <w:shd w:val="clear" w:color="auto" w:fill="FFFFFF"/>
        </w:rPr>
        <w:t>S. pyogenes;</w:t>
      </w:r>
      <w:r w:rsidR="00CA18E6" w:rsidRPr="00860259">
        <w:rPr>
          <w:rFonts w:ascii="Arial" w:hAnsi="Arial" w:cs="Arial"/>
          <w:color w:val="0F1115"/>
          <w:sz w:val="20"/>
          <w:szCs w:val="20"/>
          <w:shd w:val="clear" w:color="auto" w:fill="FFFFFF"/>
        </w:rPr>
        <w:t xml:space="preserve"> 500 mg/mL for </w:t>
      </w:r>
      <w:r w:rsidR="00CA18E6" w:rsidRPr="00860259">
        <w:rPr>
          <w:rFonts w:ascii="Arial" w:hAnsi="Arial" w:cs="Arial"/>
          <w:i/>
          <w:iCs/>
          <w:color w:val="0F1115"/>
          <w:sz w:val="20"/>
          <w:szCs w:val="20"/>
          <w:shd w:val="clear" w:color="auto" w:fill="FFFFFF"/>
        </w:rPr>
        <w:t>S. typhi</w:t>
      </w:r>
      <w:r w:rsidR="00CA18E6" w:rsidRPr="00860259">
        <w:rPr>
          <w:rFonts w:ascii="Arial" w:hAnsi="Arial" w:cs="Arial"/>
          <w:color w:val="0F1115"/>
          <w:sz w:val="20"/>
          <w:szCs w:val="20"/>
          <w:shd w:val="clear" w:color="auto" w:fill="FFFFFF"/>
        </w:rPr>
        <w:t xml:space="preserve"> and </w:t>
      </w:r>
      <w:r w:rsidR="00CA18E6" w:rsidRPr="00860259">
        <w:rPr>
          <w:rFonts w:ascii="Arial" w:hAnsi="Arial" w:cs="Arial"/>
          <w:i/>
          <w:iCs/>
          <w:color w:val="0F1115"/>
          <w:sz w:val="20"/>
          <w:szCs w:val="20"/>
          <w:shd w:val="clear" w:color="auto" w:fill="FFFFFF"/>
        </w:rPr>
        <w:t>C. albicans</w:t>
      </w:r>
      <w:r w:rsidR="00CA18E6" w:rsidRPr="00860259">
        <w:rPr>
          <w:rFonts w:ascii="Arial" w:hAnsi="Arial" w:cs="Arial"/>
          <w:color w:val="0F1115"/>
          <w:sz w:val="20"/>
          <w:szCs w:val="20"/>
          <w:shd w:val="clear" w:color="auto" w:fill="FFFFFF"/>
        </w:rPr>
        <w:t>), indicating increased potency and a wider spectrum of effectiveness following</w:t>
      </w:r>
      <w:r w:rsidRPr="00860259">
        <w:rPr>
          <w:rFonts w:ascii="Arial" w:hAnsi="Arial" w:cs="Arial"/>
          <w:color w:val="0F1115"/>
          <w:sz w:val="20"/>
          <w:szCs w:val="20"/>
          <w:shd w:val="clear" w:color="auto" w:fill="FFFFFF"/>
        </w:rPr>
        <w:t xml:space="preserve"> metal complexation. These results </w:t>
      </w:r>
      <w:r w:rsidR="00CA18E6" w:rsidRPr="00860259">
        <w:rPr>
          <w:rFonts w:ascii="Arial" w:hAnsi="Arial" w:cs="Arial"/>
          <w:color w:val="0F1115"/>
          <w:sz w:val="20"/>
          <w:szCs w:val="20"/>
          <w:shd w:val="clear" w:color="auto" w:fill="FFFFFF"/>
        </w:rPr>
        <w:t xml:space="preserve">suggest that coordinating </w:t>
      </w:r>
      <w:proofErr w:type="gramStart"/>
      <w:r w:rsidR="00CA18E6" w:rsidRPr="00860259">
        <w:rPr>
          <w:rFonts w:ascii="Arial" w:hAnsi="Arial" w:cs="Arial"/>
          <w:color w:val="0F1115"/>
          <w:sz w:val="20"/>
          <w:szCs w:val="20"/>
          <w:shd w:val="clear" w:color="auto" w:fill="FFFFFF"/>
        </w:rPr>
        <w:t>Co(</w:t>
      </w:r>
      <w:proofErr w:type="gramEnd"/>
      <w:r w:rsidR="00CA18E6" w:rsidRPr="00860259">
        <w:rPr>
          <w:rFonts w:ascii="Arial" w:hAnsi="Arial" w:cs="Arial"/>
          <w:color w:val="0F1115"/>
          <w:sz w:val="20"/>
          <w:szCs w:val="20"/>
          <w:shd w:val="clear" w:color="auto" w:fill="FFFFFF"/>
        </w:rPr>
        <w:t>II) with the ligand may enhance its ability to penetrate bacterial and fungal cell membranes, consistent with the broader zones of inhibition observed</w:t>
      </w:r>
      <w:r w:rsidRPr="00860259">
        <w:rPr>
          <w:rFonts w:ascii="Arial" w:hAnsi="Arial" w:cs="Arial"/>
          <w:color w:val="0F1115"/>
          <w:sz w:val="20"/>
          <w:szCs w:val="20"/>
          <w:shd w:val="clear" w:color="auto" w:fill="FFFFFF"/>
        </w:rPr>
        <w:t xml:space="preserve"> in susceptibility testing.</w:t>
      </w:r>
    </w:p>
    <w:p w14:paraId="21A00E22" w14:textId="727A8AEE" w:rsidR="003D6E8D" w:rsidRDefault="003D6E8D" w:rsidP="00B72BC3">
      <w:pPr>
        <w:spacing w:line="240" w:lineRule="auto"/>
        <w:jc w:val="both"/>
        <w:rPr>
          <w:rFonts w:ascii="Arial" w:hAnsi="Arial" w:cs="Arial"/>
          <w:color w:val="0F1115"/>
          <w:sz w:val="20"/>
          <w:szCs w:val="20"/>
          <w:shd w:val="clear" w:color="auto" w:fill="FFFFFF"/>
        </w:rPr>
      </w:pPr>
    </w:p>
    <w:p w14:paraId="6230B895" w14:textId="77777777" w:rsidR="00BA2082" w:rsidRDefault="00BA2082" w:rsidP="00B72BC3">
      <w:pPr>
        <w:spacing w:line="240" w:lineRule="auto"/>
        <w:jc w:val="both"/>
        <w:rPr>
          <w:rFonts w:ascii="Arial" w:hAnsi="Arial" w:cs="Arial"/>
          <w:color w:val="0F1115"/>
          <w:sz w:val="20"/>
          <w:szCs w:val="20"/>
          <w:shd w:val="clear" w:color="auto" w:fill="FFFFFF"/>
        </w:rPr>
      </w:pPr>
    </w:p>
    <w:p w14:paraId="18B20916" w14:textId="77777777" w:rsidR="003D6E8D" w:rsidRPr="00860259" w:rsidRDefault="003D6E8D" w:rsidP="00B72BC3">
      <w:pPr>
        <w:spacing w:line="240" w:lineRule="auto"/>
        <w:jc w:val="both"/>
        <w:rPr>
          <w:rFonts w:ascii="Arial" w:hAnsi="Arial" w:cs="Arial"/>
          <w:color w:val="0F1115"/>
          <w:sz w:val="20"/>
          <w:szCs w:val="20"/>
          <w:shd w:val="clear" w:color="auto" w:fill="FFFFFF"/>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8C4FE6" w:rsidRPr="00860259" w14:paraId="10739185" w14:textId="77777777" w:rsidTr="005F6410">
        <w:tc>
          <w:tcPr>
            <w:tcW w:w="9017" w:type="dxa"/>
            <w:gridSpan w:val="6"/>
          </w:tcPr>
          <w:p w14:paraId="26DD3CD5" w14:textId="77777777" w:rsidR="008C4FE6" w:rsidRPr="00860259" w:rsidRDefault="008C4FE6" w:rsidP="00B72BC3">
            <w:pPr>
              <w:jc w:val="both"/>
              <w:rPr>
                <w:rFonts w:ascii="Arial" w:hAnsi="Arial" w:cs="Arial"/>
                <w:bCs/>
                <w:sz w:val="20"/>
                <w:szCs w:val="20"/>
              </w:rPr>
            </w:pPr>
            <w:r w:rsidRPr="00860259">
              <w:rPr>
                <w:rFonts w:ascii="Arial" w:hAnsi="Arial" w:cs="Arial"/>
                <w:b/>
                <w:sz w:val="20"/>
                <w:szCs w:val="20"/>
              </w:rPr>
              <w:lastRenderedPageBreak/>
              <w:t xml:space="preserve">                                          Test Organisms/Zones of Inhibition (mm)</w:t>
            </w:r>
          </w:p>
        </w:tc>
      </w:tr>
      <w:tr w:rsidR="008C4FE6" w:rsidRPr="00860259" w14:paraId="1D7A12B2" w14:textId="77777777" w:rsidTr="005F6410">
        <w:trPr>
          <w:trHeight w:val="42"/>
        </w:trPr>
        <w:tc>
          <w:tcPr>
            <w:tcW w:w="1482" w:type="dxa"/>
            <w:tcBorders>
              <w:bottom w:val="single" w:sz="4" w:space="0" w:color="auto"/>
            </w:tcBorders>
          </w:tcPr>
          <w:p w14:paraId="3CA26280" w14:textId="77777777" w:rsidR="008C4FE6" w:rsidRPr="00860259" w:rsidRDefault="008C4FE6" w:rsidP="00B72BC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3CA99168"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503C1281"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Staphylococcus aureus</w:t>
            </w:r>
          </w:p>
        </w:tc>
        <w:tc>
          <w:tcPr>
            <w:tcW w:w="1590" w:type="dxa"/>
            <w:tcBorders>
              <w:bottom w:val="single" w:sz="4" w:space="0" w:color="auto"/>
            </w:tcBorders>
          </w:tcPr>
          <w:p w14:paraId="2B9EC2E5"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04A7917A"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2B84B755"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Candida albicans</w:t>
            </w:r>
          </w:p>
        </w:tc>
      </w:tr>
      <w:tr w:rsidR="008C4FE6" w:rsidRPr="00860259" w14:paraId="217BC01C" w14:textId="77777777" w:rsidTr="005F6410">
        <w:trPr>
          <w:trHeight w:val="27"/>
        </w:trPr>
        <w:tc>
          <w:tcPr>
            <w:tcW w:w="1482" w:type="dxa"/>
            <w:tcBorders>
              <w:top w:val="single" w:sz="4" w:space="0" w:color="auto"/>
              <w:bottom w:val="nil"/>
            </w:tcBorders>
          </w:tcPr>
          <w:p w14:paraId="6F2BEFD5"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L</w:t>
            </w:r>
          </w:p>
        </w:tc>
        <w:tc>
          <w:tcPr>
            <w:tcW w:w="1459" w:type="dxa"/>
            <w:tcBorders>
              <w:top w:val="single" w:sz="4" w:space="0" w:color="auto"/>
              <w:bottom w:val="nil"/>
            </w:tcBorders>
          </w:tcPr>
          <w:p w14:paraId="039CAEED"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750" w:type="dxa"/>
            <w:tcBorders>
              <w:top w:val="single" w:sz="4" w:space="0" w:color="auto"/>
              <w:bottom w:val="nil"/>
            </w:tcBorders>
          </w:tcPr>
          <w:p w14:paraId="2CEF66FB"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c>
          <w:tcPr>
            <w:tcW w:w="1590" w:type="dxa"/>
            <w:tcBorders>
              <w:top w:val="single" w:sz="4" w:space="0" w:color="auto"/>
              <w:bottom w:val="nil"/>
            </w:tcBorders>
          </w:tcPr>
          <w:p w14:paraId="774E7D74"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c>
          <w:tcPr>
            <w:tcW w:w="1430" w:type="dxa"/>
            <w:tcBorders>
              <w:top w:val="single" w:sz="4" w:space="0" w:color="auto"/>
              <w:bottom w:val="nil"/>
            </w:tcBorders>
          </w:tcPr>
          <w:p w14:paraId="192FB5EB"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c>
          <w:tcPr>
            <w:tcW w:w="1306" w:type="dxa"/>
            <w:tcBorders>
              <w:top w:val="single" w:sz="4" w:space="0" w:color="auto"/>
              <w:bottom w:val="nil"/>
            </w:tcBorders>
          </w:tcPr>
          <w:p w14:paraId="5662A5B4"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r>
      <w:tr w:rsidR="008C4FE6" w:rsidRPr="00860259" w14:paraId="3AC76B7B" w14:textId="77777777" w:rsidTr="005F6410">
        <w:trPr>
          <w:trHeight w:val="27"/>
        </w:trPr>
        <w:tc>
          <w:tcPr>
            <w:tcW w:w="1482" w:type="dxa"/>
          </w:tcPr>
          <w:p w14:paraId="2385C438"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LCo</w:t>
            </w:r>
          </w:p>
        </w:tc>
        <w:tc>
          <w:tcPr>
            <w:tcW w:w="1459" w:type="dxa"/>
          </w:tcPr>
          <w:p w14:paraId="5DC56E36"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750" w:type="dxa"/>
          </w:tcPr>
          <w:p w14:paraId="7A21ED99"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590" w:type="dxa"/>
          </w:tcPr>
          <w:p w14:paraId="02A4FA93"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430" w:type="dxa"/>
          </w:tcPr>
          <w:p w14:paraId="0E2D93C6"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c>
          <w:tcPr>
            <w:tcW w:w="1306" w:type="dxa"/>
          </w:tcPr>
          <w:p w14:paraId="058AD985"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r>
    </w:tbl>
    <w:p w14:paraId="0F730EF3" w14:textId="77777777" w:rsidR="008C4FE6" w:rsidRPr="00860259" w:rsidRDefault="008C4FE6" w:rsidP="00B72BC3">
      <w:pPr>
        <w:spacing w:after="0" w:line="240" w:lineRule="auto"/>
        <w:ind w:right="-46"/>
        <w:jc w:val="both"/>
        <w:rPr>
          <w:rFonts w:ascii="Arial" w:hAnsi="Arial" w:cs="Arial"/>
          <w:b/>
          <w:bCs/>
          <w:sz w:val="20"/>
          <w:szCs w:val="20"/>
        </w:rPr>
      </w:pPr>
    </w:p>
    <w:p w14:paraId="4C113BC5" w14:textId="77777777" w:rsidR="008C4FE6" w:rsidRPr="00860259" w:rsidRDefault="008C4FE6"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4C2ED6F2" w14:textId="77777777" w:rsidR="008C4FE6" w:rsidRPr="00860259" w:rsidRDefault="008C4FE6"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3BF8EEB6" w14:textId="77777777" w:rsidR="008C4FE6" w:rsidRPr="00860259" w:rsidRDefault="008C4FE6" w:rsidP="00B72BC3">
      <w:pPr>
        <w:pStyle w:val="ListParagraph"/>
        <w:numPr>
          <w:ilvl w:val="0"/>
          <w:numId w:val="9"/>
        </w:numPr>
        <w:spacing w:after="16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51FE6754" w14:textId="27FE51F5" w:rsidR="00780CEF" w:rsidRPr="00860259" w:rsidRDefault="008C4FE6" w:rsidP="00B72BC3">
      <w:pPr>
        <w:spacing w:line="240" w:lineRule="auto"/>
        <w:ind w:right="-46"/>
        <w:jc w:val="both"/>
        <w:rPr>
          <w:rFonts w:ascii="Arial" w:hAnsi="Arial" w:cs="Arial"/>
          <w:bCs/>
          <w:sz w:val="20"/>
          <w:szCs w:val="20"/>
        </w:rPr>
      </w:pPr>
      <w:r w:rsidRPr="00860259">
        <w:rPr>
          <w:rFonts w:ascii="Arial" w:hAnsi="Arial" w:cs="Arial"/>
          <w:bCs/>
          <w:sz w:val="20"/>
          <w:szCs w:val="20"/>
        </w:rPr>
        <w:t xml:space="preserve">Table </w:t>
      </w:r>
      <w:r w:rsidR="00BF388B" w:rsidRPr="00860259">
        <w:rPr>
          <w:rFonts w:ascii="Arial" w:hAnsi="Arial" w:cs="Arial"/>
          <w:bCs/>
          <w:sz w:val="20"/>
          <w:szCs w:val="20"/>
        </w:rPr>
        <w:t>6</w:t>
      </w:r>
      <w:r w:rsidRPr="00860259">
        <w:rPr>
          <w:rFonts w:ascii="Arial" w:hAnsi="Arial" w:cs="Arial"/>
          <w:bCs/>
          <w:sz w:val="20"/>
          <w:szCs w:val="20"/>
        </w:rPr>
        <w:t xml:space="preserve">: Minimum Inhibitory Concentrations </w:t>
      </w:r>
      <w:r w:rsidR="00BF388B" w:rsidRPr="00860259">
        <w:rPr>
          <w:rFonts w:ascii="Arial" w:hAnsi="Arial" w:cs="Arial"/>
          <w:bCs/>
          <w:sz w:val="20"/>
          <w:szCs w:val="20"/>
        </w:rPr>
        <w:t xml:space="preserve">(MIC) </w:t>
      </w:r>
      <w:r w:rsidRPr="00860259">
        <w:rPr>
          <w:rFonts w:ascii="Arial" w:hAnsi="Arial" w:cs="Arial"/>
          <w:bCs/>
          <w:sz w:val="20"/>
          <w:szCs w:val="20"/>
        </w:rPr>
        <w:t xml:space="preserve">of the Synthesised Ligand and </w:t>
      </w:r>
      <w:proofErr w:type="gramStart"/>
      <w:r w:rsidR="00BF388B" w:rsidRPr="00860259">
        <w:rPr>
          <w:rFonts w:ascii="Arial" w:hAnsi="Arial" w:cs="Arial"/>
          <w:bCs/>
          <w:sz w:val="20"/>
          <w:szCs w:val="20"/>
        </w:rPr>
        <w:t>Co(</w:t>
      </w:r>
      <w:proofErr w:type="gramEnd"/>
      <w:r w:rsidR="00BF388B" w:rsidRPr="00860259">
        <w:rPr>
          <w:rFonts w:ascii="Arial" w:hAnsi="Arial" w:cs="Arial"/>
          <w:bCs/>
          <w:sz w:val="20"/>
          <w:szCs w:val="20"/>
        </w:rPr>
        <w:t xml:space="preserve">II) </w:t>
      </w:r>
      <w:r w:rsidRPr="00860259">
        <w:rPr>
          <w:rFonts w:ascii="Arial" w:hAnsi="Arial" w:cs="Arial"/>
          <w:bCs/>
          <w:sz w:val="20"/>
          <w:szCs w:val="20"/>
        </w:rPr>
        <w:t>Complex</w:t>
      </w:r>
    </w:p>
    <w:p w14:paraId="6D376E17" w14:textId="77777777" w:rsidR="002F1B5E" w:rsidRPr="00860259" w:rsidRDefault="002F1B5E" w:rsidP="00B72BC3">
      <w:pPr>
        <w:spacing w:line="240" w:lineRule="auto"/>
        <w:ind w:right="-46"/>
        <w:jc w:val="both"/>
        <w:rPr>
          <w:rFonts w:ascii="Arial" w:hAnsi="Arial" w:cs="Arial"/>
          <w:bCs/>
          <w:sz w:val="20"/>
          <w:szCs w:val="20"/>
        </w:rPr>
      </w:pPr>
    </w:p>
    <w:p w14:paraId="6B326B0B" w14:textId="77A3C005" w:rsidR="002F1B5E" w:rsidRPr="00860259" w:rsidRDefault="003D3C79"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bactericidal/fungicidal concentration (MBC/MFC) </w:t>
      </w:r>
      <w:r w:rsidR="00E86F91" w:rsidRPr="00860259">
        <w:rPr>
          <w:rFonts w:ascii="Arial" w:hAnsi="Arial" w:cs="Arial"/>
          <w:color w:val="0F1115"/>
          <w:sz w:val="20"/>
          <w:szCs w:val="20"/>
          <w:shd w:val="clear" w:color="auto" w:fill="FFFFFF"/>
        </w:rPr>
        <w:t xml:space="preserve">(Table 7) </w:t>
      </w:r>
      <w:r w:rsidRPr="00860259">
        <w:rPr>
          <w:rFonts w:ascii="Arial" w:hAnsi="Arial" w:cs="Arial"/>
          <w:color w:val="0F1115"/>
          <w:sz w:val="20"/>
          <w:szCs w:val="20"/>
          <w:shd w:val="clear" w:color="auto" w:fill="FFFFFF"/>
        </w:rPr>
        <w:t xml:space="preserve">testing revealed no detectable bactericidal or fungicidal activity (ND) for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across all tested organisms (</w:t>
      </w:r>
      <w:r w:rsidRPr="00860259">
        <w:rPr>
          <w:rFonts w:ascii="Arial" w:hAnsi="Arial" w:cs="Arial"/>
          <w:i/>
          <w:iCs/>
          <w:color w:val="0F1115"/>
          <w:sz w:val="20"/>
          <w:szCs w:val="20"/>
          <w:shd w:val="clear" w:color="auto" w:fill="FFFFFF"/>
        </w:rPr>
        <w:t>E. coli, S. aureus, S. pyogenes, S. typhi, and C. albicans</w:t>
      </w:r>
      <w:r w:rsidRPr="00860259">
        <w:rPr>
          <w:rFonts w:ascii="Arial" w:hAnsi="Arial" w:cs="Arial"/>
          <w:color w:val="0F1115"/>
          <w:sz w:val="20"/>
          <w:szCs w:val="20"/>
          <w:shd w:val="clear" w:color="auto" w:fill="FFFFFF"/>
        </w:rPr>
        <w:t>), indicating that neither compound is capable of killing the tested microorganisms at the concentrations tested</w:t>
      </w:r>
      <w:r w:rsidR="006E341B" w:rsidRPr="00860259">
        <w:rPr>
          <w:rFonts w:ascii="Arial" w:hAnsi="Arial" w:cs="Arial"/>
          <w:color w:val="0F1115"/>
          <w:sz w:val="20"/>
          <w:szCs w:val="20"/>
          <w:shd w:val="clear" w:color="auto" w:fill="FFFFFF"/>
        </w:rPr>
        <w:t xml:space="preserve">. </w:t>
      </w:r>
      <w:r w:rsidRPr="00860259">
        <w:rPr>
          <w:rFonts w:ascii="Arial" w:hAnsi="Arial" w:cs="Arial"/>
          <w:color w:val="0F1115"/>
          <w:sz w:val="20"/>
          <w:szCs w:val="20"/>
          <w:shd w:val="clear" w:color="auto" w:fill="FFFFFF"/>
        </w:rPr>
        <w:t xml:space="preserve">This lack of bactericidal/fungicidal activity suggests that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act primarily as bacteriostatic or fungistatic agents, inhibiting growth without eradicating the pathogens, which may limit their therapeutic potential as standalone antimicrobial agents</w:t>
      </w:r>
      <w:r w:rsidR="006E341B" w:rsidRPr="00860259">
        <w:rPr>
          <w:rFonts w:ascii="Arial" w:hAnsi="Arial" w:cs="Arial"/>
          <w:color w:val="0F1115"/>
          <w:sz w:val="20"/>
          <w:szCs w:val="20"/>
          <w:shd w:val="clear" w:color="auto" w:fill="FFFFFF"/>
        </w:rPr>
        <w:t>.</w:t>
      </w:r>
    </w:p>
    <w:p w14:paraId="5D832B44" w14:textId="77777777" w:rsidR="006C34CF" w:rsidRPr="00860259" w:rsidRDefault="006C34CF" w:rsidP="00B72BC3">
      <w:pPr>
        <w:spacing w:line="240" w:lineRule="auto"/>
        <w:jc w:val="both"/>
        <w:rPr>
          <w:rFonts w:ascii="Arial" w:hAnsi="Arial" w:cs="Arial"/>
          <w:color w:val="0F1115"/>
          <w:sz w:val="20"/>
          <w:szCs w:val="20"/>
          <w:shd w:val="clear" w:color="auto" w:fill="FFFFFF"/>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2F1B5E" w:rsidRPr="00860259" w14:paraId="4FB1DFF9" w14:textId="77777777" w:rsidTr="005B65F9">
        <w:tc>
          <w:tcPr>
            <w:tcW w:w="9033" w:type="dxa"/>
            <w:gridSpan w:val="6"/>
            <w:tcBorders>
              <w:top w:val="single" w:sz="4" w:space="0" w:color="auto"/>
            </w:tcBorders>
          </w:tcPr>
          <w:p w14:paraId="0841644F" w14:textId="77777777" w:rsidR="002F1B5E" w:rsidRPr="00860259" w:rsidRDefault="002F1B5E" w:rsidP="00B72BC3">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2F1B5E" w:rsidRPr="00860259" w14:paraId="22B33792" w14:textId="77777777" w:rsidTr="005B65F9">
        <w:trPr>
          <w:trHeight w:val="42"/>
        </w:trPr>
        <w:tc>
          <w:tcPr>
            <w:tcW w:w="1482" w:type="dxa"/>
            <w:tcBorders>
              <w:bottom w:val="single" w:sz="4" w:space="0" w:color="auto"/>
            </w:tcBorders>
          </w:tcPr>
          <w:p w14:paraId="75EA32EA" w14:textId="77777777" w:rsidR="002F1B5E" w:rsidRPr="00860259" w:rsidRDefault="002F1B5E" w:rsidP="00B72BC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34B02495"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64783F6B"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Staphylococcus aureus</w:t>
            </w:r>
          </w:p>
        </w:tc>
        <w:tc>
          <w:tcPr>
            <w:tcW w:w="1606" w:type="dxa"/>
            <w:tcBorders>
              <w:bottom w:val="single" w:sz="4" w:space="0" w:color="auto"/>
            </w:tcBorders>
          </w:tcPr>
          <w:p w14:paraId="7425DD29"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6BA2604F"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4F559EA0"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Candida albicans</w:t>
            </w:r>
          </w:p>
        </w:tc>
      </w:tr>
      <w:tr w:rsidR="002F1B5E" w:rsidRPr="00860259" w14:paraId="1857F406" w14:textId="77777777" w:rsidTr="005B65F9">
        <w:trPr>
          <w:trHeight w:val="27"/>
        </w:trPr>
        <w:tc>
          <w:tcPr>
            <w:tcW w:w="1482" w:type="dxa"/>
          </w:tcPr>
          <w:p w14:paraId="50678E8A"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L</w:t>
            </w:r>
          </w:p>
        </w:tc>
        <w:tc>
          <w:tcPr>
            <w:tcW w:w="1459" w:type="dxa"/>
          </w:tcPr>
          <w:p w14:paraId="2FD42E4F"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750" w:type="dxa"/>
          </w:tcPr>
          <w:p w14:paraId="7A014EEF"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606" w:type="dxa"/>
          </w:tcPr>
          <w:p w14:paraId="1F3E168B"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430" w:type="dxa"/>
          </w:tcPr>
          <w:p w14:paraId="2BF3A5BE"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306" w:type="dxa"/>
          </w:tcPr>
          <w:p w14:paraId="3D2A3C4C"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r>
      <w:tr w:rsidR="002F1B5E" w:rsidRPr="00860259" w14:paraId="075257FF" w14:textId="77777777" w:rsidTr="005B65F9">
        <w:trPr>
          <w:trHeight w:val="27"/>
        </w:trPr>
        <w:tc>
          <w:tcPr>
            <w:tcW w:w="1482" w:type="dxa"/>
          </w:tcPr>
          <w:p w14:paraId="01393771"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LCo</w:t>
            </w:r>
          </w:p>
        </w:tc>
        <w:tc>
          <w:tcPr>
            <w:tcW w:w="1459" w:type="dxa"/>
          </w:tcPr>
          <w:p w14:paraId="0B109271"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750" w:type="dxa"/>
          </w:tcPr>
          <w:p w14:paraId="15CEA8DC"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606" w:type="dxa"/>
          </w:tcPr>
          <w:p w14:paraId="3430BA8E"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430" w:type="dxa"/>
          </w:tcPr>
          <w:p w14:paraId="4C71A560"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306" w:type="dxa"/>
          </w:tcPr>
          <w:p w14:paraId="3EE23685"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r>
    </w:tbl>
    <w:p w14:paraId="7D0696A4" w14:textId="77777777" w:rsidR="002F1B5E" w:rsidRPr="00860259" w:rsidRDefault="002F1B5E" w:rsidP="00B72BC3">
      <w:pPr>
        <w:spacing w:line="240" w:lineRule="auto"/>
        <w:jc w:val="both"/>
        <w:rPr>
          <w:rFonts w:ascii="Arial" w:hAnsi="Arial" w:cs="Arial"/>
          <w:bCs/>
          <w:sz w:val="20"/>
          <w:szCs w:val="20"/>
        </w:rPr>
      </w:pPr>
    </w:p>
    <w:p w14:paraId="00CE1CF3" w14:textId="6C69A040" w:rsidR="002F1B5E" w:rsidRPr="00860259" w:rsidRDefault="002F1B5E" w:rsidP="00B72BC3">
      <w:pPr>
        <w:spacing w:after="0" w:line="240" w:lineRule="auto"/>
        <w:ind w:right="-46"/>
        <w:jc w:val="both"/>
        <w:rPr>
          <w:rFonts w:ascii="Arial" w:hAnsi="Arial" w:cs="Arial"/>
          <w:bCs/>
          <w:sz w:val="20"/>
          <w:szCs w:val="20"/>
        </w:rPr>
      </w:pPr>
      <w:r w:rsidRPr="00860259">
        <w:rPr>
          <w:rFonts w:ascii="Arial" w:hAnsi="Arial" w:cs="Arial"/>
          <w:bCs/>
          <w:sz w:val="20"/>
          <w:szCs w:val="20"/>
        </w:rPr>
        <w:t xml:space="preserve">Table </w:t>
      </w:r>
      <w:r w:rsidR="00D45579" w:rsidRPr="00860259">
        <w:rPr>
          <w:rFonts w:ascii="Arial" w:hAnsi="Arial" w:cs="Arial"/>
          <w:bCs/>
          <w:sz w:val="20"/>
          <w:szCs w:val="20"/>
        </w:rPr>
        <w:t xml:space="preserve">7: </w:t>
      </w:r>
      <w:r w:rsidRPr="00860259">
        <w:rPr>
          <w:rFonts w:ascii="Arial" w:hAnsi="Arial" w:cs="Arial"/>
          <w:sz w:val="20"/>
          <w:szCs w:val="20"/>
        </w:rPr>
        <w:t>Minimum Bactericidal/Fungicidal Concentrations of the Synthesised</w:t>
      </w:r>
      <w:r w:rsidRPr="00860259">
        <w:rPr>
          <w:rFonts w:ascii="Arial" w:hAnsi="Arial" w:cs="Arial"/>
          <w:bCs/>
          <w:sz w:val="20"/>
          <w:szCs w:val="20"/>
        </w:rPr>
        <w:t xml:space="preserve"> Ligands and Complexes</w:t>
      </w:r>
    </w:p>
    <w:p w14:paraId="7E39440E" w14:textId="77777777" w:rsidR="002F1B5E" w:rsidRPr="00860259" w:rsidRDefault="002F1B5E" w:rsidP="00B72BC3">
      <w:pPr>
        <w:spacing w:after="0" w:line="240" w:lineRule="auto"/>
        <w:ind w:right="-46"/>
        <w:jc w:val="both"/>
        <w:rPr>
          <w:rFonts w:ascii="Arial" w:hAnsi="Arial" w:cs="Arial"/>
          <w:bCs/>
          <w:sz w:val="20"/>
          <w:szCs w:val="20"/>
        </w:rPr>
      </w:pPr>
    </w:p>
    <w:p w14:paraId="75F4CC9D" w14:textId="77777777" w:rsidR="002F1B5E" w:rsidRPr="00860259" w:rsidRDefault="002F1B5E"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4B5A8E42" w14:textId="77777777" w:rsidR="002F1B5E" w:rsidRPr="00860259" w:rsidRDefault="002F1B5E"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C10511E" w14:textId="77777777" w:rsidR="002F1B5E" w:rsidRPr="00860259" w:rsidRDefault="002F1B5E"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0DE570F6" w14:textId="1829D968" w:rsidR="00927A7C" w:rsidRDefault="00927A7C" w:rsidP="00B72BC3">
      <w:pPr>
        <w:spacing w:line="240" w:lineRule="auto"/>
        <w:jc w:val="both"/>
        <w:rPr>
          <w:rFonts w:ascii="Arial" w:hAnsi="Arial" w:cs="Arial"/>
          <w:color w:val="0F1115"/>
          <w:sz w:val="20"/>
          <w:szCs w:val="20"/>
          <w:shd w:val="clear" w:color="auto" w:fill="FFFFFF"/>
        </w:rPr>
      </w:pPr>
    </w:p>
    <w:p w14:paraId="2C46CC97" w14:textId="49A142B4" w:rsidR="005D6A64" w:rsidRPr="003D0EA4" w:rsidRDefault="005D6A64" w:rsidP="00B72BC3">
      <w:pPr>
        <w:spacing w:line="240" w:lineRule="auto"/>
        <w:jc w:val="both"/>
        <w:rPr>
          <w:rFonts w:ascii="Arial" w:hAnsi="Arial" w:cs="Arial"/>
          <w:sz w:val="20"/>
          <w:szCs w:val="20"/>
        </w:rPr>
      </w:pPr>
      <w:r>
        <w:rPr>
          <w:rFonts w:ascii="Arial" w:hAnsi="Arial" w:cs="Arial"/>
          <w:sz w:val="20"/>
          <w:szCs w:val="20"/>
        </w:rPr>
        <w:t xml:space="preserve">The enhanced antimicrobial activity of the </w:t>
      </w:r>
      <w:proofErr w:type="gramStart"/>
      <w:r>
        <w:rPr>
          <w:rFonts w:ascii="Arial" w:hAnsi="Arial" w:cs="Arial"/>
          <w:sz w:val="20"/>
          <w:szCs w:val="20"/>
        </w:rPr>
        <w:t>Co(</w:t>
      </w:r>
      <w:proofErr w:type="gramEnd"/>
      <w:r>
        <w:rPr>
          <w:rFonts w:ascii="Arial" w:hAnsi="Arial" w:cs="Arial"/>
          <w:sz w:val="20"/>
          <w:szCs w:val="20"/>
        </w:rPr>
        <w:t xml:space="preserve">II) complex compared to the free ligand results from physicochemical and biological factors related to metal coordination. Chelation with </w:t>
      </w:r>
      <w:proofErr w:type="gramStart"/>
      <w:r>
        <w:rPr>
          <w:rFonts w:ascii="Arial" w:hAnsi="Arial" w:cs="Arial"/>
          <w:sz w:val="20"/>
          <w:szCs w:val="20"/>
        </w:rPr>
        <w:t>Co(</w:t>
      </w:r>
      <w:proofErr w:type="gramEnd"/>
      <w:r>
        <w:rPr>
          <w:rFonts w:ascii="Arial" w:hAnsi="Arial" w:cs="Arial"/>
          <w:sz w:val="20"/>
          <w:szCs w:val="20"/>
        </w:rPr>
        <w:t>II) lowers ligand polarity by sharing donor atoms and increases π-electron delocalization, boosting lipophilicity and aiding membrane penetration and intracellular uptake. This is seen in the broad activity spectrum</w:t>
      </w:r>
      <w:r>
        <w:rPr>
          <w:rFonts w:ascii="Arial" w:hAnsi="Arial" w:cs="Arial"/>
          <w:sz w:val="20"/>
          <w:szCs w:val="20"/>
        </w:rPr>
        <w:t xml:space="preserve"> of </w:t>
      </w:r>
      <w:r>
        <w:rPr>
          <w:rFonts w:ascii="Arial" w:hAnsi="Arial" w:cs="Arial"/>
          <w:sz w:val="20"/>
          <w:szCs w:val="20"/>
        </w:rPr>
        <w:t xml:space="preserve">the </w:t>
      </w:r>
      <w:proofErr w:type="gramStart"/>
      <w:r>
        <w:rPr>
          <w:rFonts w:ascii="Arial" w:hAnsi="Arial" w:cs="Arial"/>
          <w:sz w:val="20"/>
          <w:szCs w:val="20"/>
        </w:rPr>
        <w:t>Co(</w:t>
      </w:r>
      <w:proofErr w:type="gramEnd"/>
      <w:r>
        <w:rPr>
          <w:rFonts w:ascii="Arial" w:hAnsi="Arial" w:cs="Arial"/>
          <w:sz w:val="20"/>
          <w:szCs w:val="20"/>
        </w:rPr>
        <w:t xml:space="preserve">II) complex </w:t>
      </w:r>
      <w:r w:rsidR="003D0EA4">
        <w:rPr>
          <w:rFonts w:ascii="Arial" w:hAnsi="Arial" w:cs="Arial"/>
          <w:sz w:val="20"/>
          <w:szCs w:val="20"/>
        </w:rPr>
        <w:t xml:space="preserve">as it </w:t>
      </w:r>
      <w:r>
        <w:rPr>
          <w:rFonts w:ascii="Arial" w:hAnsi="Arial" w:cs="Arial"/>
          <w:sz w:val="20"/>
          <w:szCs w:val="20"/>
        </w:rPr>
        <w:t xml:space="preserve">inhibited all tested organisms (16–20 mm zones), while the free ligand </w:t>
      </w:r>
      <w:r w:rsidR="003D0EA4" w:rsidRPr="005D6A64">
        <w:rPr>
          <w:rFonts w:ascii="Arial" w:hAnsi="Arial" w:cs="Arial"/>
          <w:sz w:val="20"/>
          <w:szCs w:val="20"/>
        </w:rPr>
        <w:t xml:space="preserve">was active only against </w:t>
      </w:r>
      <w:r w:rsidRPr="003D0EA4">
        <w:rPr>
          <w:rFonts w:ascii="Arial" w:hAnsi="Arial" w:cs="Arial"/>
          <w:i/>
          <w:iCs/>
          <w:sz w:val="20"/>
          <w:szCs w:val="20"/>
        </w:rPr>
        <w:t>E. coli</w:t>
      </w:r>
      <w:r>
        <w:rPr>
          <w:rFonts w:ascii="Arial" w:hAnsi="Arial" w:cs="Arial"/>
          <w:sz w:val="20"/>
          <w:szCs w:val="20"/>
        </w:rPr>
        <w:t xml:space="preserve"> (20 mm) and </w:t>
      </w:r>
      <w:r w:rsidRPr="003D0EA4">
        <w:rPr>
          <w:rFonts w:ascii="Arial" w:hAnsi="Arial" w:cs="Arial"/>
          <w:i/>
          <w:iCs/>
          <w:sz w:val="20"/>
          <w:szCs w:val="20"/>
        </w:rPr>
        <w:t>S. aureus</w:t>
      </w:r>
      <w:r>
        <w:rPr>
          <w:rFonts w:ascii="Arial" w:hAnsi="Arial" w:cs="Arial"/>
          <w:sz w:val="20"/>
          <w:szCs w:val="20"/>
        </w:rPr>
        <w:t xml:space="preserve"> (16 mm), with limited effects on </w:t>
      </w:r>
      <w:r w:rsidRPr="003D0EA4">
        <w:rPr>
          <w:rFonts w:ascii="Arial" w:hAnsi="Arial" w:cs="Arial"/>
          <w:i/>
          <w:iCs/>
          <w:sz w:val="20"/>
          <w:szCs w:val="20"/>
        </w:rPr>
        <w:t>S. typhi</w:t>
      </w:r>
      <w:r>
        <w:rPr>
          <w:rFonts w:ascii="Arial" w:hAnsi="Arial" w:cs="Arial"/>
          <w:sz w:val="20"/>
          <w:szCs w:val="20"/>
        </w:rPr>
        <w:t xml:space="preserve"> and </w:t>
      </w:r>
      <w:r w:rsidRPr="003D0EA4">
        <w:rPr>
          <w:rFonts w:ascii="Arial" w:hAnsi="Arial" w:cs="Arial"/>
          <w:i/>
          <w:iCs/>
          <w:sz w:val="20"/>
          <w:szCs w:val="20"/>
        </w:rPr>
        <w:t>C. albicans</w:t>
      </w:r>
      <w:r>
        <w:rPr>
          <w:rFonts w:ascii="Arial" w:hAnsi="Arial" w:cs="Arial"/>
          <w:sz w:val="20"/>
          <w:szCs w:val="20"/>
        </w:rPr>
        <w:t xml:space="preserve"> (12 mm) and no activity against </w:t>
      </w:r>
      <w:r w:rsidRPr="003D0EA4">
        <w:rPr>
          <w:rFonts w:ascii="Arial" w:hAnsi="Arial" w:cs="Arial"/>
          <w:i/>
          <w:iCs/>
          <w:sz w:val="20"/>
          <w:szCs w:val="20"/>
        </w:rPr>
        <w:t>S. pyogenes</w:t>
      </w:r>
      <w:r>
        <w:rPr>
          <w:rFonts w:ascii="Arial" w:hAnsi="Arial" w:cs="Arial"/>
          <w:sz w:val="20"/>
          <w:szCs w:val="20"/>
        </w:rPr>
        <w:t xml:space="preserve">. </w:t>
      </w:r>
      <w:r w:rsidR="003D0EA4">
        <w:rPr>
          <w:rFonts w:ascii="Arial" w:hAnsi="Arial" w:cs="Arial"/>
          <w:sz w:val="20"/>
          <w:szCs w:val="20"/>
        </w:rPr>
        <w:t xml:space="preserve">The </w:t>
      </w:r>
      <w:r>
        <w:rPr>
          <w:rFonts w:ascii="Arial" w:hAnsi="Arial" w:cs="Arial"/>
          <w:sz w:val="20"/>
          <w:szCs w:val="20"/>
        </w:rPr>
        <w:t xml:space="preserve">MIC values </w:t>
      </w:r>
      <w:r w:rsidR="003D0EA4">
        <w:rPr>
          <w:rFonts w:ascii="Arial" w:hAnsi="Arial" w:cs="Arial"/>
          <w:sz w:val="20"/>
          <w:szCs w:val="20"/>
        </w:rPr>
        <w:t xml:space="preserve">also </w:t>
      </w:r>
      <w:r>
        <w:rPr>
          <w:rFonts w:ascii="Arial" w:hAnsi="Arial" w:cs="Arial"/>
          <w:sz w:val="20"/>
          <w:szCs w:val="20"/>
        </w:rPr>
        <w:t>support this</w:t>
      </w:r>
      <w:r w:rsidR="003D0EA4">
        <w:rPr>
          <w:rFonts w:ascii="Arial" w:hAnsi="Arial" w:cs="Arial"/>
          <w:sz w:val="20"/>
          <w:szCs w:val="20"/>
        </w:rPr>
        <w:t xml:space="preserve">, as the Co complex inhibited all strains at 250- 500 mg/mL, while the ligand only inhibited </w:t>
      </w:r>
      <w:r w:rsidR="003D0EA4" w:rsidRPr="003D0EA4">
        <w:rPr>
          <w:rFonts w:ascii="Arial" w:hAnsi="Arial" w:cs="Arial"/>
          <w:i/>
          <w:iCs/>
          <w:sz w:val="20"/>
          <w:szCs w:val="20"/>
        </w:rPr>
        <w:t>E. coli</w:t>
      </w:r>
      <w:r w:rsidR="003D0EA4">
        <w:rPr>
          <w:rFonts w:ascii="Arial" w:hAnsi="Arial" w:cs="Arial"/>
          <w:sz w:val="20"/>
          <w:szCs w:val="20"/>
        </w:rPr>
        <w:t xml:space="preserve"> (20 mg/mL</w:t>
      </w:r>
      <w:r>
        <w:rPr>
          <w:rFonts w:ascii="Arial" w:hAnsi="Arial" w:cs="Arial"/>
          <w:sz w:val="20"/>
          <w:szCs w:val="20"/>
        </w:rPr>
        <w:t xml:space="preserve">) and </w:t>
      </w:r>
      <w:r w:rsidRPr="003D0EA4">
        <w:rPr>
          <w:rFonts w:ascii="Arial" w:hAnsi="Arial" w:cs="Arial"/>
          <w:i/>
          <w:iCs/>
          <w:sz w:val="20"/>
          <w:szCs w:val="20"/>
        </w:rPr>
        <w:t>S. aureus</w:t>
      </w:r>
      <w:r>
        <w:rPr>
          <w:rFonts w:ascii="Arial" w:hAnsi="Arial" w:cs="Arial"/>
          <w:sz w:val="20"/>
          <w:szCs w:val="20"/>
        </w:rPr>
        <w:t xml:space="preserve"> (500 mg/mL).</w:t>
      </w:r>
    </w:p>
    <w:p w14:paraId="6A2FA92D" w14:textId="399E790E" w:rsidR="005D6A64" w:rsidRDefault="005D6A64" w:rsidP="00B72BC3">
      <w:pPr>
        <w:spacing w:line="240" w:lineRule="auto"/>
        <w:jc w:val="both"/>
        <w:rPr>
          <w:rFonts w:ascii="Arial" w:hAnsi="Arial" w:cs="Arial"/>
          <w:sz w:val="20"/>
          <w:szCs w:val="20"/>
        </w:rPr>
      </w:pPr>
      <w:r>
        <w:rPr>
          <w:rFonts w:ascii="Arial" w:hAnsi="Arial" w:cs="Arial"/>
          <w:sz w:val="20"/>
          <w:szCs w:val="20"/>
        </w:rPr>
        <w:t xml:space="preserve">Although both showed moderate efficacy compared to antibiotics like levofloxacin (28–36 mm) and nystatin (30 mm), the </w:t>
      </w:r>
      <w:proofErr w:type="gramStart"/>
      <w:r>
        <w:rPr>
          <w:rFonts w:ascii="Arial" w:hAnsi="Arial" w:cs="Arial"/>
          <w:sz w:val="20"/>
          <w:szCs w:val="20"/>
        </w:rPr>
        <w:t>Co(</w:t>
      </w:r>
      <w:proofErr w:type="gramEnd"/>
      <w:r>
        <w:rPr>
          <w:rFonts w:ascii="Arial" w:hAnsi="Arial" w:cs="Arial"/>
          <w:sz w:val="20"/>
          <w:szCs w:val="20"/>
        </w:rPr>
        <w:t xml:space="preserve">II) complex outperformed the ligand, especially against </w:t>
      </w:r>
      <w:r w:rsidRPr="003D0EA4">
        <w:rPr>
          <w:rFonts w:ascii="Arial" w:hAnsi="Arial" w:cs="Arial"/>
          <w:i/>
          <w:iCs/>
          <w:sz w:val="20"/>
          <w:szCs w:val="20"/>
        </w:rPr>
        <w:t>S. pyogenes</w:t>
      </w:r>
      <w:r>
        <w:rPr>
          <w:rFonts w:ascii="Arial" w:hAnsi="Arial" w:cs="Arial"/>
          <w:sz w:val="20"/>
          <w:szCs w:val="20"/>
        </w:rPr>
        <w:t xml:space="preserve"> and </w:t>
      </w:r>
      <w:r w:rsidRPr="003D0EA4">
        <w:rPr>
          <w:rFonts w:ascii="Arial" w:hAnsi="Arial" w:cs="Arial"/>
          <w:i/>
          <w:iCs/>
          <w:sz w:val="20"/>
          <w:szCs w:val="20"/>
        </w:rPr>
        <w:t>C. albicans</w:t>
      </w:r>
      <w:r>
        <w:rPr>
          <w:rFonts w:ascii="Arial" w:hAnsi="Arial" w:cs="Arial"/>
          <w:sz w:val="20"/>
          <w:szCs w:val="20"/>
        </w:rPr>
        <w:t xml:space="preserve">. Mechanistically, </w:t>
      </w:r>
      <w:proofErr w:type="gramStart"/>
      <w:r>
        <w:rPr>
          <w:rFonts w:ascii="Arial" w:hAnsi="Arial" w:cs="Arial"/>
          <w:sz w:val="20"/>
          <w:szCs w:val="20"/>
        </w:rPr>
        <w:t>Co(</w:t>
      </w:r>
      <w:proofErr w:type="gramEnd"/>
      <w:r>
        <w:rPr>
          <w:rFonts w:ascii="Arial" w:hAnsi="Arial" w:cs="Arial"/>
          <w:sz w:val="20"/>
          <w:szCs w:val="20"/>
        </w:rPr>
        <w:t xml:space="preserve">II) may disrupt microbial enzymes by binding to active sites or displacing cofactors, inhibiting metabolism. UV–Vis spectral shifts (from 416 nm to 396 nm) </w:t>
      </w:r>
      <w:r w:rsidR="003D0EA4">
        <w:rPr>
          <w:rFonts w:ascii="Arial" w:hAnsi="Arial" w:cs="Arial"/>
          <w:sz w:val="20"/>
          <w:szCs w:val="20"/>
        </w:rPr>
        <w:t xml:space="preserve">indicate changes in the electronic environment </w:t>
      </w:r>
      <w:r>
        <w:rPr>
          <w:rFonts w:ascii="Arial" w:hAnsi="Arial" w:cs="Arial"/>
          <w:sz w:val="20"/>
          <w:szCs w:val="20"/>
        </w:rPr>
        <w:t xml:space="preserve">that could enhance interactions with microbial biomolecules. These results confirm </w:t>
      </w:r>
      <w:r w:rsidR="003D0EA4">
        <w:rPr>
          <w:rFonts w:ascii="Arial" w:hAnsi="Arial" w:cs="Arial"/>
          <w:sz w:val="20"/>
          <w:szCs w:val="20"/>
        </w:rPr>
        <w:t xml:space="preserve">that transition metal complexation enhances the pharmacological activity of hydrazone Schiff </w:t>
      </w:r>
      <w:proofErr w:type="gramStart"/>
      <w:r w:rsidR="003D0EA4">
        <w:rPr>
          <w:rFonts w:ascii="Arial" w:hAnsi="Arial" w:cs="Arial"/>
          <w:sz w:val="20"/>
          <w:szCs w:val="20"/>
        </w:rPr>
        <w:t>bases</w:t>
      </w:r>
      <w:r w:rsidR="00AE37A5">
        <w:rPr>
          <w:rFonts w:ascii="Arial" w:hAnsi="Arial" w:cs="Arial"/>
          <w:sz w:val="20"/>
          <w:szCs w:val="20"/>
        </w:rPr>
        <w:t>[</w:t>
      </w:r>
      <w:proofErr w:type="gramEnd"/>
      <w:r w:rsidR="00AE37A5">
        <w:rPr>
          <w:rFonts w:ascii="Arial" w:hAnsi="Arial" w:cs="Arial"/>
          <w:sz w:val="20"/>
          <w:szCs w:val="20"/>
        </w:rPr>
        <w:t>3,9</w:t>
      </w:r>
      <w:r w:rsidR="0080421B">
        <w:rPr>
          <w:rFonts w:ascii="Arial" w:hAnsi="Arial" w:cs="Arial"/>
          <w:sz w:val="20"/>
          <w:szCs w:val="20"/>
        </w:rPr>
        <w:t>,14</w:t>
      </w:r>
      <w:r w:rsidR="00AE37A5">
        <w:rPr>
          <w:rFonts w:ascii="Arial" w:hAnsi="Arial" w:cs="Arial"/>
          <w:sz w:val="20"/>
          <w:szCs w:val="20"/>
        </w:rPr>
        <w:t>]</w:t>
      </w:r>
      <w:r w:rsidR="003D0EA4">
        <w:rPr>
          <w:rFonts w:ascii="Arial" w:hAnsi="Arial" w:cs="Arial"/>
          <w:sz w:val="20"/>
          <w:szCs w:val="20"/>
        </w:rPr>
        <w:t xml:space="preserve">, albeit to a lesser extent than that of </w:t>
      </w:r>
      <w:r>
        <w:rPr>
          <w:rFonts w:ascii="Arial" w:hAnsi="Arial" w:cs="Arial"/>
          <w:sz w:val="20"/>
          <w:szCs w:val="20"/>
        </w:rPr>
        <w:t>conventional antibiotics.</w:t>
      </w:r>
    </w:p>
    <w:p w14:paraId="2BCDAFB8" w14:textId="0CDAE1B7" w:rsidR="003D0EA4" w:rsidRDefault="003D0EA4" w:rsidP="00B72BC3">
      <w:pPr>
        <w:spacing w:line="240" w:lineRule="auto"/>
        <w:jc w:val="both"/>
        <w:rPr>
          <w:rFonts w:ascii="Arial" w:hAnsi="Arial" w:cs="Arial"/>
          <w:sz w:val="20"/>
          <w:szCs w:val="20"/>
        </w:rPr>
      </w:pPr>
    </w:p>
    <w:p w14:paraId="4411E1FA" w14:textId="7D170C02" w:rsidR="003D0EA4" w:rsidRDefault="003D0EA4" w:rsidP="00B72BC3">
      <w:pPr>
        <w:spacing w:line="240" w:lineRule="auto"/>
        <w:jc w:val="both"/>
        <w:rPr>
          <w:rFonts w:ascii="Arial" w:hAnsi="Arial" w:cs="Arial"/>
          <w:sz w:val="20"/>
          <w:szCs w:val="20"/>
        </w:rPr>
      </w:pPr>
    </w:p>
    <w:p w14:paraId="3008A384" w14:textId="77777777" w:rsidR="003D0EA4" w:rsidRPr="00860259" w:rsidRDefault="003D0EA4" w:rsidP="00B72BC3">
      <w:pPr>
        <w:spacing w:line="240" w:lineRule="auto"/>
        <w:jc w:val="both"/>
        <w:rPr>
          <w:rFonts w:ascii="Arial" w:hAnsi="Arial" w:cs="Arial"/>
          <w:color w:val="0F1115"/>
          <w:sz w:val="20"/>
          <w:szCs w:val="20"/>
          <w:shd w:val="clear" w:color="auto" w:fill="FFFFFF"/>
        </w:rPr>
      </w:pPr>
    </w:p>
    <w:p w14:paraId="2C80B620" w14:textId="3D1F6EE1" w:rsidR="00927A7C" w:rsidRDefault="003D6E8D" w:rsidP="00B72BC3">
      <w:pPr>
        <w:spacing w:line="240" w:lineRule="auto"/>
        <w:jc w:val="both"/>
        <w:rPr>
          <w:rFonts w:ascii="Arial" w:hAnsi="Arial" w:cs="Arial"/>
          <w:b/>
          <w:bCs/>
          <w:color w:val="0F1115"/>
          <w:sz w:val="20"/>
          <w:szCs w:val="20"/>
          <w:shd w:val="clear" w:color="auto" w:fill="FFFFFF"/>
        </w:rPr>
      </w:pPr>
      <w:r>
        <w:rPr>
          <w:rFonts w:ascii="Arial" w:hAnsi="Arial" w:cs="Arial"/>
          <w:b/>
          <w:bCs/>
          <w:color w:val="0F1115"/>
          <w:sz w:val="20"/>
          <w:szCs w:val="20"/>
          <w:shd w:val="clear" w:color="auto" w:fill="FFFFFF"/>
        </w:rPr>
        <w:lastRenderedPageBreak/>
        <w:t xml:space="preserve">4. </w:t>
      </w:r>
      <w:r w:rsidRPr="003D6E8D">
        <w:rPr>
          <w:rFonts w:ascii="Arial" w:hAnsi="Arial" w:cs="Arial"/>
          <w:b/>
          <w:bCs/>
          <w:color w:val="0F1115"/>
          <w:sz w:val="20"/>
          <w:szCs w:val="20"/>
          <w:shd w:val="clear" w:color="auto" w:fill="FFFFFF"/>
        </w:rPr>
        <w:t>CONCLUSION</w:t>
      </w:r>
    </w:p>
    <w:p w14:paraId="5E16707A" w14:textId="0D44B096" w:rsidR="003D0EA4" w:rsidRPr="003D0EA4" w:rsidRDefault="00B41DBD" w:rsidP="003D0EA4">
      <w:pPr>
        <w:spacing w:line="240" w:lineRule="auto"/>
        <w:jc w:val="both"/>
        <w:rPr>
          <w:rFonts w:ascii="Arial" w:hAnsi="Arial" w:cs="Arial"/>
          <w:sz w:val="20"/>
          <w:szCs w:val="20"/>
        </w:rPr>
      </w:pPr>
      <w:r w:rsidRPr="008C6235">
        <w:rPr>
          <w:rFonts w:ascii="Arial" w:hAnsi="Arial" w:cs="Arial"/>
          <w:sz w:val="20"/>
          <w:szCs w:val="20"/>
        </w:rPr>
        <w:t>This research achieved the successful synthesis and characterization of a hydrazone Schiff base ligand, (E)-2-(2-aminothiazol-4-yl)-N'-(2-</w:t>
      </w:r>
      <w:proofErr w:type="gramStart"/>
      <w:r w:rsidRPr="008C6235">
        <w:rPr>
          <w:rFonts w:ascii="Arial" w:hAnsi="Arial" w:cs="Arial"/>
          <w:sz w:val="20"/>
          <w:szCs w:val="20"/>
        </w:rPr>
        <w:t>nitrobenzylidene)acetohydrazide</w:t>
      </w:r>
      <w:proofErr w:type="gramEnd"/>
      <w:r w:rsidRPr="008C6235">
        <w:rPr>
          <w:rFonts w:ascii="Arial" w:hAnsi="Arial" w:cs="Arial"/>
          <w:sz w:val="20"/>
          <w:szCs w:val="20"/>
        </w:rPr>
        <w:t>, and its Co(II) complex. The ligand was obtained in 55.2% yield (</w:t>
      </w:r>
      <w:proofErr w:type="spellStart"/>
      <w:r w:rsidR="00B91E63" w:rsidRPr="008C6235">
        <w:rPr>
          <w:rFonts w:ascii="Arial" w:hAnsi="Arial" w:cs="Arial"/>
          <w:sz w:val="20"/>
          <w:szCs w:val="20"/>
        </w:rPr>
        <w:t>m.p.</w:t>
      </w:r>
      <w:proofErr w:type="spellEnd"/>
      <w:r w:rsidR="00B91E63" w:rsidRPr="008C6235">
        <w:rPr>
          <w:rFonts w:ascii="Arial" w:hAnsi="Arial" w:cs="Arial"/>
          <w:sz w:val="20"/>
          <w:szCs w:val="20"/>
        </w:rPr>
        <w:t xml:space="preserve"> 150 °C), while the complex showed improved stability, yielding 70% (</w:t>
      </w:r>
      <w:proofErr w:type="spellStart"/>
      <w:r w:rsidR="00B91E63" w:rsidRPr="008C6235">
        <w:rPr>
          <w:rFonts w:ascii="Arial" w:hAnsi="Arial" w:cs="Arial"/>
          <w:sz w:val="20"/>
          <w:szCs w:val="20"/>
        </w:rPr>
        <w:t>m.p.</w:t>
      </w:r>
      <w:proofErr w:type="spellEnd"/>
      <w:r w:rsidRPr="008C6235">
        <w:rPr>
          <w:rFonts w:ascii="Arial" w:hAnsi="Arial" w:cs="Arial"/>
          <w:sz w:val="20"/>
          <w:szCs w:val="20"/>
        </w:rPr>
        <w:t xml:space="preserve"> 155 °C). Spectroscopic and XRD analyses confirmed the expected structures and coordination. </w:t>
      </w:r>
      <w:r w:rsidR="003D0EA4">
        <w:t xml:space="preserve">The </w:t>
      </w:r>
      <w:proofErr w:type="gramStart"/>
      <w:r w:rsidR="003D0EA4">
        <w:t>Co(</w:t>
      </w:r>
      <w:proofErr w:type="gramEnd"/>
      <w:r w:rsidR="003D0EA4">
        <w:t>II) complex exhibited broader</w:t>
      </w:r>
      <w:r w:rsidR="00C66256">
        <w:t xml:space="preserve"> and more potent antimicrobial activity than the ligand, with inhibition zones ranging from 16 to </w:t>
      </w:r>
      <w:r w:rsidR="003D0EA4">
        <w:t xml:space="preserve">20 mm across all tested organisms. The ligand was only active against </w:t>
      </w:r>
      <w:r w:rsidR="003D0EA4" w:rsidRPr="003D0EA4">
        <w:rPr>
          <w:i/>
          <w:iCs/>
        </w:rPr>
        <w:t>E. coli</w:t>
      </w:r>
      <w:r w:rsidR="003D0EA4">
        <w:t xml:space="preserve"> (20 mm) and </w:t>
      </w:r>
      <w:r w:rsidR="003D0EA4" w:rsidRPr="003D0EA4">
        <w:rPr>
          <w:i/>
          <w:iCs/>
        </w:rPr>
        <w:t>S. aureus</w:t>
      </w:r>
      <w:r w:rsidR="003D0EA4">
        <w:t xml:space="preserve"> (16 mm), with weaker activity against </w:t>
      </w:r>
      <w:r w:rsidR="003D0EA4" w:rsidRPr="003D0EA4">
        <w:rPr>
          <w:i/>
          <w:iCs/>
        </w:rPr>
        <w:t>S. typhi</w:t>
      </w:r>
      <w:r w:rsidR="003D0EA4">
        <w:t xml:space="preserve"> and </w:t>
      </w:r>
      <w:r w:rsidR="003D0EA4" w:rsidRPr="003D0EA4">
        <w:rPr>
          <w:i/>
          <w:iCs/>
        </w:rPr>
        <w:t>C. albicans</w:t>
      </w:r>
      <w:r w:rsidR="003D0EA4">
        <w:t xml:space="preserve"> (12 mm). MIC results confirmed this, with the complex inhibiting all strains at 250–500 mg/mL, while the ligand only against </w:t>
      </w:r>
      <w:r w:rsidR="003D0EA4" w:rsidRPr="00AE37A5">
        <w:rPr>
          <w:i/>
          <w:iCs/>
        </w:rPr>
        <w:t>E. coli</w:t>
      </w:r>
      <w:r w:rsidR="003D0EA4">
        <w:t xml:space="preserve"> and </w:t>
      </w:r>
      <w:r w:rsidR="003D0EA4" w:rsidRPr="00AE37A5">
        <w:rPr>
          <w:i/>
          <w:iCs/>
        </w:rPr>
        <w:t>S. aureus</w:t>
      </w:r>
      <w:r w:rsidR="003D0EA4">
        <w:t xml:space="preserve">. Compared to control drugs levofloxacin (28–36 mm) and nystatin (30 mm), both compounds showed moderate activity, but the complex surpassed the ligand. The increased activity is </w:t>
      </w:r>
      <w:r w:rsidR="00C66256">
        <w:t>attributed to enhanced lipophilicity, improved membrane permeability, and inhibition of microbial enzymes, as evidenced by a hypsochromic shift in the UV–</w:t>
      </w:r>
      <w:proofErr w:type="gramStart"/>
      <w:r w:rsidR="00C66256">
        <w:t>Vis</w:t>
      </w:r>
      <w:proofErr w:type="gramEnd"/>
      <w:r w:rsidR="00C66256">
        <w:t xml:space="preserve"> spectra (from 416 to</w:t>
      </w:r>
      <w:r w:rsidR="003D0EA4">
        <w:t xml:space="preserve"> 396 nm). These findings support previous studies, </w:t>
      </w:r>
      <w:r w:rsidR="00C66256">
        <w:t xml:space="preserve">which show that </w:t>
      </w:r>
      <w:proofErr w:type="gramStart"/>
      <w:r w:rsidR="00C66256">
        <w:t>Co(</w:t>
      </w:r>
      <w:proofErr w:type="gramEnd"/>
      <w:r w:rsidR="00C66256">
        <w:t xml:space="preserve">II) coordination enhances the pharmacological potential of hydrazone ligands, although activity remains below that of </w:t>
      </w:r>
      <w:r w:rsidR="003D0EA4">
        <w:t>standard antibiotics.</w:t>
      </w:r>
    </w:p>
    <w:p w14:paraId="32D36E55" w14:textId="77777777" w:rsidR="003D0EA4" w:rsidRDefault="003D0EA4" w:rsidP="00B72BC3">
      <w:pPr>
        <w:spacing w:line="240" w:lineRule="auto"/>
        <w:jc w:val="both"/>
        <w:rPr>
          <w:rFonts w:ascii="Arial" w:hAnsi="Arial" w:cs="Arial"/>
          <w:sz w:val="20"/>
          <w:szCs w:val="20"/>
        </w:rPr>
      </w:pPr>
    </w:p>
    <w:p w14:paraId="1BC351BE" w14:textId="6A8F921A" w:rsidR="00B674B1" w:rsidRDefault="00B674B1" w:rsidP="00B72BC3">
      <w:pPr>
        <w:spacing w:line="240" w:lineRule="auto"/>
        <w:jc w:val="both"/>
        <w:rPr>
          <w:rFonts w:ascii="Arial" w:hAnsi="Arial" w:cs="Arial"/>
          <w:sz w:val="20"/>
          <w:szCs w:val="20"/>
        </w:rPr>
      </w:pPr>
    </w:p>
    <w:p w14:paraId="39F1CDD7" w14:textId="77777777" w:rsidR="00EE4FB3" w:rsidRPr="0080421B" w:rsidRDefault="00EE4FB3" w:rsidP="0080421B">
      <w:pPr>
        <w:pStyle w:val="Default"/>
        <w:jc w:val="both"/>
        <w:rPr>
          <w:sz w:val="20"/>
          <w:szCs w:val="20"/>
        </w:rPr>
      </w:pPr>
      <w:r w:rsidRPr="0080421B">
        <w:rPr>
          <w:b/>
          <w:bCs/>
          <w:sz w:val="20"/>
          <w:szCs w:val="20"/>
        </w:rPr>
        <w:t xml:space="preserve">DISCLAIMER (ARTIFICIAL INTELLIGENCE) </w:t>
      </w:r>
    </w:p>
    <w:p w14:paraId="0803244A" w14:textId="10C0206D" w:rsidR="00B674B1" w:rsidRPr="0080421B" w:rsidRDefault="00EE4FB3" w:rsidP="0080421B">
      <w:pPr>
        <w:spacing w:line="240" w:lineRule="auto"/>
        <w:jc w:val="both"/>
        <w:rPr>
          <w:rFonts w:ascii="Arial" w:hAnsi="Arial" w:cs="Arial"/>
          <w:sz w:val="20"/>
          <w:szCs w:val="20"/>
        </w:rPr>
      </w:pPr>
      <w:r w:rsidRPr="0080421B">
        <w:rPr>
          <w:rFonts w:ascii="Arial" w:hAnsi="Arial" w:cs="Arial"/>
          <w:sz w:val="20"/>
          <w:szCs w:val="20"/>
        </w:rPr>
        <w:t>Authors hereby declare that NO generative AI technologies</w:t>
      </w:r>
      <w:r w:rsidR="00BA2082">
        <w:rPr>
          <w:rFonts w:ascii="Arial" w:hAnsi="Arial" w:cs="Arial"/>
          <w:sz w:val="20"/>
          <w:szCs w:val="20"/>
        </w:rPr>
        <w:t>, such as Large Language Models (</w:t>
      </w:r>
      <w:proofErr w:type="spellStart"/>
      <w:r w:rsidR="00BA2082">
        <w:rPr>
          <w:rFonts w:ascii="Arial" w:hAnsi="Arial" w:cs="Arial"/>
          <w:sz w:val="20"/>
          <w:szCs w:val="20"/>
        </w:rPr>
        <w:t>ChatGPT</w:t>
      </w:r>
      <w:proofErr w:type="spellEnd"/>
      <w:r w:rsidR="00BA2082">
        <w:rPr>
          <w:rFonts w:ascii="Arial" w:hAnsi="Arial" w:cs="Arial"/>
          <w:sz w:val="20"/>
          <w:szCs w:val="20"/>
        </w:rPr>
        <w:t>, COPILOT, etc.) and text-to-image generators,</w:t>
      </w:r>
      <w:r w:rsidRPr="0080421B">
        <w:rPr>
          <w:rFonts w:ascii="Arial" w:hAnsi="Arial" w:cs="Arial"/>
          <w:sz w:val="20"/>
          <w:szCs w:val="20"/>
        </w:rPr>
        <w:t xml:space="preserve"> have been used during the </w:t>
      </w:r>
      <w:r w:rsidRPr="0080421B">
        <w:rPr>
          <w:rFonts w:ascii="Arial" w:hAnsi="Arial" w:cs="Arial"/>
          <w:sz w:val="20"/>
          <w:szCs w:val="20"/>
        </w:rPr>
        <w:t>writing or editing of this manuscript.</w:t>
      </w:r>
    </w:p>
    <w:p w14:paraId="060B4894" w14:textId="77777777" w:rsidR="00E366FA" w:rsidRPr="0080421B" w:rsidRDefault="00E366FA" w:rsidP="0080421B">
      <w:pPr>
        <w:pStyle w:val="Body"/>
        <w:spacing w:after="0"/>
        <w:rPr>
          <w:rFonts w:ascii="Arial" w:hAnsi="Arial" w:cs="Arial"/>
        </w:rPr>
      </w:pPr>
    </w:p>
    <w:p w14:paraId="3714A399" w14:textId="0BEF0C80" w:rsidR="00D01632" w:rsidRPr="0080421B" w:rsidRDefault="00357281" w:rsidP="0080421B">
      <w:pPr>
        <w:spacing w:line="240" w:lineRule="auto"/>
        <w:jc w:val="both"/>
        <w:rPr>
          <w:rFonts w:ascii="Arial" w:hAnsi="Arial" w:cs="Arial"/>
          <w:b/>
          <w:bCs/>
          <w:sz w:val="20"/>
          <w:szCs w:val="20"/>
          <w:shd w:val="clear" w:color="auto" w:fill="FFFFFF"/>
        </w:rPr>
      </w:pPr>
      <w:r w:rsidRPr="0080421B">
        <w:rPr>
          <w:rFonts w:ascii="Arial" w:hAnsi="Arial" w:cs="Arial"/>
          <w:b/>
          <w:bCs/>
          <w:sz w:val="20"/>
          <w:szCs w:val="20"/>
          <w:shd w:val="clear" w:color="auto" w:fill="FFFFFF"/>
        </w:rPr>
        <w:t>References</w:t>
      </w:r>
    </w:p>
    <w:p w14:paraId="295F9A51"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Rao, D. P., Gautam, A. K., Verma, A., &amp; Gautam, Y. (2024). Schiff bases and their possible therapeutic applications: A review. </w:t>
      </w:r>
      <w:r w:rsidRPr="0080421B">
        <w:rPr>
          <w:rStyle w:val="Emphasis"/>
          <w:rFonts w:ascii="Arial" w:hAnsi="Arial" w:cs="Arial"/>
          <w:sz w:val="20"/>
          <w:szCs w:val="20"/>
        </w:rPr>
        <w:t>Results in Chemistry, 13,</w:t>
      </w:r>
      <w:r w:rsidRPr="0080421B">
        <w:rPr>
          <w:rFonts w:ascii="Arial" w:hAnsi="Arial" w:cs="Arial"/>
          <w:sz w:val="20"/>
          <w:szCs w:val="20"/>
        </w:rPr>
        <w:t xml:space="preserve"> 101941. </w:t>
      </w:r>
      <w:hyperlink r:id="rId21" w:history="1">
        <w:r w:rsidRPr="0080421B">
          <w:rPr>
            <w:rStyle w:val="Hyperlink"/>
            <w:rFonts w:ascii="Arial" w:hAnsi="Arial" w:cs="Arial"/>
            <w:sz w:val="20"/>
            <w:szCs w:val="20"/>
          </w:rPr>
          <w:t>https://doi.org/10.1016/j.rechem.2024.101941</w:t>
        </w:r>
      </w:hyperlink>
    </w:p>
    <w:p w14:paraId="64AA958B"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Yousri</w:t>
      </w:r>
      <w:proofErr w:type="spellEnd"/>
      <w:r w:rsidRPr="0080421B">
        <w:rPr>
          <w:rFonts w:ascii="Arial" w:hAnsi="Arial" w:cs="Arial"/>
          <w:sz w:val="20"/>
          <w:szCs w:val="20"/>
        </w:rPr>
        <w:t xml:space="preserve">, A., Hassan, M., El-Faham, A., Barakat, A., </w:t>
      </w:r>
      <w:proofErr w:type="spellStart"/>
      <w:r w:rsidRPr="0080421B">
        <w:rPr>
          <w:rFonts w:ascii="Arial" w:hAnsi="Arial" w:cs="Arial"/>
          <w:sz w:val="20"/>
          <w:szCs w:val="20"/>
        </w:rPr>
        <w:t>Haukka</w:t>
      </w:r>
      <w:proofErr w:type="spellEnd"/>
      <w:r w:rsidRPr="0080421B">
        <w:rPr>
          <w:rFonts w:ascii="Arial" w:hAnsi="Arial" w:cs="Arial"/>
          <w:sz w:val="20"/>
          <w:szCs w:val="20"/>
        </w:rPr>
        <w:t xml:space="preserve">, M., </w:t>
      </w:r>
      <w:proofErr w:type="spellStart"/>
      <w:r w:rsidRPr="0080421B">
        <w:rPr>
          <w:rFonts w:ascii="Arial" w:hAnsi="Arial" w:cs="Arial"/>
          <w:sz w:val="20"/>
          <w:szCs w:val="20"/>
        </w:rPr>
        <w:t>Tatikonda</w:t>
      </w:r>
      <w:proofErr w:type="spellEnd"/>
      <w:r w:rsidRPr="0080421B">
        <w:rPr>
          <w:rFonts w:ascii="Arial" w:hAnsi="Arial" w:cs="Arial"/>
          <w:sz w:val="20"/>
          <w:szCs w:val="20"/>
        </w:rPr>
        <w:t xml:space="preserve">, R., Abu-Youssef, M. A., &amp; Soliman, S. M. (2025). Homoleptic </w:t>
      </w:r>
      <w:proofErr w:type="gramStart"/>
      <w:r w:rsidRPr="0080421B">
        <w:rPr>
          <w:rFonts w:ascii="Arial" w:hAnsi="Arial" w:cs="Arial"/>
          <w:sz w:val="20"/>
          <w:szCs w:val="20"/>
        </w:rPr>
        <w:t>Co(</w:t>
      </w:r>
      <w:proofErr w:type="gramEnd"/>
      <w:r w:rsidRPr="0080421B">
        <w:rPr>
          <w:rFonts w:ascii="Arial" w:hAnsi="Arial" w:cs="Arial"/>
          <w:sz w:val="20"/>
          <w:szCs w:val="20"/>
        </w:rPr>
        <w:t xml:space="preserve">II) and Ni(II) complexes with promising anticancer and antimicrobial activities: Synthesis, X-ray structure, and DFT studies. </w:t>
      </w:r>
      <w:r w:rsidRPr="0080421B">
        <w:rPr>
          <w:rStyle w:val="Emphasis"/>
          <w:rFonts w:ascii="Arial" w:hAnsi="Arial" w:cs="Arial"/>
          <w:sz w:val="20"/>
          <w:szCs w:val="20"/>
        </w:rPr>
        <w:t>Journal of Molecular Structure, 1321,</w:t>
      </w:r>
      <w:r w:rsidRPr="0080421B">
        <w:rPr>
          <w:rFonts w:ascii="Arial" w:hAnsi="Arial" w:cs="Arial"/>
          <w:sz w:val="20"/>
          <w:szCs w:val="20"/>
        </w:rPr>
        <w:t xml:space="preserve"> 139774. </w:t>
      </w:r>
      <w:hyperlink r:id="rId22" w:history="1">
        <w:r w:rsidRPr="0080421B">
          <w:rPr>
            <w:rStyle w:val="Hyperlink"/>
            <w:rFonts w:ascii="Arial" w:hAnsi="Arial" w:cs="Arial"/>
            <w:sz w:val="20"/>
            <w:szCs w:val="20"/>
          </w:rPr>
          <w:t>https://doi.org/10.1016/j.molstruc.2024.139774</w:t>
        </w:r>
      </w:hyperlink>
    </w:p>
    <w:p w14:paraId="589EDE55"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Sharma, P., Sharma, D., Sharma, A., Saini, N., Goyal, R., Ola, M., Chawla, R., &amp; Thakur, V. (2020). Hydrazone comprising compounds as promising anti-infective agents: Chemistry and structure–property relationship. </w:t>
      </w:r>
      <w:r w:rsidRPr="0080421B">
        <w:rPr>
          <w:rStyle w:val="Emphasis"/>
          <w:rFonts w:ascii="Arial" w:hAnsi="Arial" w:cs="Arial"/>
          <w:sz w:val="20"/>
          <w:szCs w:val="20"/>
        </w:rPr>
        <w:t>Materials Today Chemistry, 18,</w:t>
      </w:r>
      <w:r w:rsidRPr="0080421B">
        <w:rPr>
          <w:rFonts w:ascii="Arial" w:hAnsi="Arial" w:cs="Arial"/>
          <w:sz w:val="20"/>
          <w:szCs w:val="20"/>
        </w:rPr>
        <w:t xml:space="preserve"> 100349. </w:t>
      </w:r>
      <w:hyperlink r:id="rId23" w:history="1">
        <w:r w:rsidRPr="0080421B">
          <w:rPr>
            <w:rStyle w:val="Hyperlink"/>
            <w:rFonts w:ascii="Arial" w:hAnsi="Arial" w:cs="Arial"/>
            <w:sz w:val="20"/>
            <w:szCs w:val="20"/>
          </w:rPr>
          <w:t>https://doi.org/10.1016/j.mtchem.2020.100349</w:t>
        </w:r>
      </w:hyperlink>
    </w:p>
    <w:p w14:paraId="01266AEC" w14:textId="77777777" w:rsidR="0080421B" w:rsidRPr="0080421B" w:rsidRDefault="0080421B" w:rsidP="0080421B">
      <w:pPr>
        <w:pStyle w:val="ListParagraph"/>
        <w:numPr>
          <w:ilvl w:val="0"/>
          <w:numId w:val="2"/>
        </w:numPr>
        <w:jc w:val="both"/>
        <w:rPr>
          <w:rStyle w:val="Emphasis"/>
          <w:rFonts w:ascii="Arial" w:hAnsi="Arial" w:cs="Arial"/>
          <w:i w:val="0"/>
          <w:iCs w:val="0"/>
          <w:sz w:val="20"/>
          <w:szCs w:val="20"/>
        </w:rPr>
      </w:pPr>
      <w:r w:rsidRPr="0080421B">
        <w:rPr>
          <w:rFonts w:ascii="Arial" w:hAnsi="Arial" w:cs="Arial"/>
          <w:sz w:val="20"/>
          <w:szCs w:val="20"/>
        </w:rPr>
        <w:t xml:space="preserve">Silas, C. U., </w:t>
      </w:r>
      <w:proofErr w:type="spellStart"/>
      <w:r w:rsidRPr="0080421B">
        <w:rPr>
          <w:rFonts w:ascii="Arial" w:hAnsi="Arial" w:cs="Arial"/>
          <w:sz w:val="20"/>
          <w:szCs w:val="20"/>
        </w:rPr>
        <w:t>Ezenweke</w:t>
      </w:r>
      <w:proofErr w:type="spellEnd"/>
      <w:r w:rsidRPr="0080421B">
        <w:rPr>
          <w:rFonts w:ascii="Arial" w:hAnsi="Arial" w:cs="Arial"/>
          <w:sz w:val="20"/>
          <w:szCs w:val="20"/>
        </w:rPr>
        <w:t xml:space="preserve">, L. O., </w:t>
      </w:r>
      <w:proofErr w:type="spellStart"/>
      <w:r w:rsidRPr="0080421B">
        <w:rPr>
          <w:rFonts w:ascii="Arial" w:hAnsi="Arial" w:cs="Arial"/>
          <w:sz w:val="20"/>
          <w:szCs w:val="20"/>
        </w:rPr>
        <w:t>Ojiako</w:t>
      </w:r>
      <w:proofErr w:type="spellEnd"/>
      <w:r w:rsidRPr="0080421B">
        <w:rPr>
          <w:rFonts w:ascii="Arial" w:hAnsi="Arial" w:cs="Arial"/>
          <w:sz w:val="20"/>
          <w:szCs w:val="20"/>
        </w:rPr>
        <w:t xml:space="preserve">, E. N., &amp; </w:t>
      </w:r>
      <w:proofErr w:type="spellStart"/>
      <w:r w:rsidRPr="0080421B">
        <w:rPr>
          <w:rFonts w:ascii="Arial" w:hAnsi="Arial" w:cs="Arial"/>
          <w:sz w:val="20"/>
          <w:szCs w:val="20"/>
        </w:rPr>
        <w:t>Ebosie</w:t>
      </w:r>
      <w:proofErr w:type="spellEnd"/>
      <w:r w:rsidRPr="0080421B">
        <w:rPr>
          <w:rFonts w:ascii="Arial" w:hAnsi="Arial" w:cs="Arial"/>
          <w:sz w:val="20"/>
          <w:szCs w:val="20"/>
        </w:rPr>
        <w:t xml:space="preserve">, N. P. (2025). Synthesis, characterization, and study of antimicrobial properties of </w:t>
      </w:r>
      <w:proofErr w:type="gramStart"/>
      <w:r w:rsidRPr="0080421B">
        <w:rPr>
          <w:rFonts w:ascii="Arial" w:hAnsi="Arial" w:cs="Arial"/>
          <w:sz w:val="20"/>
          <w:szCs w:val="20"/>
        </w:rPr>
        <w:t>Fe(</w:t>
      </w:r>
      <w:proofErr w:type="gramEnd"/>
      <w:r w:rsidRPr="0080421B">
        <w:rPr>
          <w:rFonts w:ascii="Arial" w:hAnsi="Arial" w:cs="Arial"/>
          <w:sz w:val="20"/>
          <w:szCs w:val="20"/>
        </w:rPr>
        <w:t xml:space="preserve">III) Schiff base complex derived from hydrazone and benzaldehyde. </w:t>
      </w:r>
      <w:r w:rsidRPr="0080421B">
        <w:rPr>
          <w:rStyle w:val="Emphasis"/>
          <w:rFonts w:ascii="Arial" w:hAnsi="Arial" w:cs="Arial"/>
          <w:sz w:val="20"/>
          <w:szCs w:val="20"/>
        </w:rPr>
        <w:t>International Journal of Latest Technology in Engineering, Management &amp; Applied Science.</w:t>
      </w:r>
    </w:p>
    <w:p w14:paraId="638D1408"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Agili</w:t>
      </w:r>
      <w:proofErr w:type="spellEnd"/>
      <w:r w:rsidRPr="0080421B">
        <w:rPr>
          <w:rFonts w:ascii="Arial" w:hAnsi="Arial" w:cs="Arial"/>
          <w:sz w:val="20"/>
          <w:szCs w:val="20"/>
        </w:rPr>
        <w:t xml:space="preserve">, F. (2024). Novel hydrazide hydrazone derivatives as antimicrobial agents: Design, synthesis, and molecular dynamics. </w:t>
      </w:r>
      <w:r w:rsidRPr="0080421B">
        <w:rPr>
          <w:rStyle w:val="Emphasis"/>
          <w:rFonts w:ascii="Arial" w:hAnsi="Arial" w:cs="Arial"/>
          <w:sz w:val="20"/>
          <w:szCs w:val="20"/>
        </w:rPr>
        <w:t>Processes, 12</w:t>
      </w:r>
      <w:r w:rsidRPr="0080421B">
        <w:rPr>
          <w:rFonts w:ascii="Arial" w:hAnsi="Arial" w:cs="Arial"/>
          <w:sz w:val="20"/>
          <w:szCs w:val="20"/>
        </w:rPr>
        <w:t xml:space="preserve">(6), 1055. </w:t>
      </w:r>
      <w:hyperlink r:id="rId24" w:history="1">
        <w:r w:rsidRPr="0080421B">
          <w:rPr>
            <w:rStyle w:val="Hyperlink"/>
            <w:rFonts w:ascii="Arial" w:hAnsi="Arial" w:cs="Arial"/>
            <w:sz w:val="20"/>
            <w:szCs w:val="20"/>
          </w:rPr>
          <w:t>https://doi.org/10.3390/pr12061055</w:t>
        </w:r>
      </w:hyperlink>
    </w:p>
    <w:p w14:paraId="1D0096B2"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Paruch</w:t>
      </w:r>
      <w:proofErr w:type="spellEnd"/>
      <w:r w:rsidRPr="0080421B">
        <w:rPr>
          <w:rFonts w:ascii="Arial" w:hAnsi="Arial" w:cs="Arial"/>
          <w:sz w:val="20"/>
          <w:szCs w:val="20"/>
        </w:rPr>
        <w:t xml:space="preserve">, K., </w:t>
      </w:r>
      <w:proofErr w:type="spellStart"/>
      <w:r w:rsidRPr="0080421B">
        <w:rPr>
          <w:rFonts w:ascii="Arial" w:hAnsi="Arial" w:cs="Arial"/>
          <w:sz w:val="20"/>
          <w:szCs w:val="20"/>
        </w:rPr>
        <w:t>Popiołek</w:t>
      </w:r>
      <w:proofErr w:type="spellEnd"/>
      <w:r w:rsidRPr="0080421B">
        <w:rPr>
          <w:rFonts w:ascii="Arial" w:hAnsi="Arial" w:cs="Arial"/>
          <w:sz w:val="20"/>
          <w:szCs w:val="20"/>
        </w:rPr>
        <w:t xml:space="preserve">, Ł., </w:t>
      </w:r>
      <w:proofErr w:type="spellStart"/>
      <w:r w:rsidRPr="0080421B">
        <w:rPr>
          <w:rFonts w:ascii="Arial" w:hAnsi="Arial" w:cs="Arial"/>
          <w:sz w:val="20"/>
          <w:szCs w:val="20"/>
        </w:rPr>
        <w:t>Biernasiuk</w:t>
      </w:r>
      <w:proofErr w:type="spellEnd"/>
      <w:r w:rsidRPr="0080421B">
        <w:rPr>
          <w:rFonts w:ascii="Arial" w:hAnsi="Arial" w:cs="Arial"/>
          <w:sz w:val="20"/>
          <w:szCs w:val="20"/>
        </w:rPr>
        <w:t xml:space="preserve">, A., </w:t>
      </w:r>
      <w:proofErr w:type="spellStart"/>
      <w:r w:rsidRPr="0080421B">
        <w:rPr>
          <w:rFonts w:ascii="Arial" w:hAnsi="Arial" w:cs="Arial"/>
          <w:sz w:val="20"/>
          <w:szCs w:val="20"/>
        </w:rPr>
        <w:t>Malm</w:t>
      </w:r>
      <w:proofErr w:type="spellEnd"/>
      <w:r w:rsidRPr="0080421B">
        <w:rPr>
          <w:rFonts w:ascii="Arial" w:hAnsi="Arial" w:cs="Arial"/>
          <w:sz w:val="20"/>
          <w:szCs w:val="20"/>
        </w:rPr>
        <w:t xml:space="preserve">, A., </w:t>
      </w:r>
      <w:proofErr w:type="spellStart"/>
      <w:r w:rsidRPr="0080421B">
        <w:rPr>
          <w:rFonts w:ascii="Arial" w:hAnsi="Arial" w:cs="Arial"/>
          <w:sz w:val="20"/>
          <w:szCs w:val="20"/>
        </w:rPr>
        <w:t>Gumieniczek</w:t>
      </w:r>
      <w:proofErr w:type="spellEnd"/>
      <w:r w:rsidRPr="0080421B">
        <w:rPr>
          <w:rFonts w:ascii="Arial" w:hAnsi="Arial" w:cs="Arial"/>
          <w:sz w:val="20"/>
          <w:szCs w:val="20"/>
        </w:rPr>
        <w:t xml:space="preserve">, A., &amp; Wujec, M. (2020). Novel derivatives of 4-methyl-1,2,3-thiadiazole-5-carboxylic acid hydrazide: Synthesis, lipophilicity, and in vitro antimicrobial activity screening. </w:t>
      </w:r>
      <w:r w:rsidRPr="0080421B">
        <w:rPr>
          <w:rStyle w:val="Emphasis"/>
          <w:rFonts w:ascii="Arial" w:hAnsi="Arial" w:cs="Arial"/>
          <w:sz w:val="20"/>
          <w:szCs w:val="20"/>
        </w:rPr>
        <w:t>Applied Sciences, 11</w:t>
      </w:r>
      <w:r w:rsidRPr="0080421B">
        <w:rPr>
          <w:rFonts w:ascii="Arial" w:hAnsi="Arial" w:cs="Arial"/>
          <w:sz w:val="20"/>
          <w:szCs w:val="20"/>
        </w:rPr>
        <w:t xml:space="preserve">(3), 1180. </w:t>
      </w:r>
      <w:hyperlink r:id="rId25" w:history="1">
        <w:r w:rsidRPr="0080421B">
          <w:rPr>
            <w:rStyle w:val="Hyperlink"/>
            <w:rFonts w:ascii="Arial" w:hAnsi="Arial" w:cs="Arial"/>
            <w:sz w:val="20"/>
            <w:szCs w:val="20"/>
          </w:rPr>
          <w:t>https://doi.org/10.3390/app11031180</w:t>
        </w:r>
      </w:hyperlink>
    </w:p>
    <w:p w14:paraId="33D85EA7"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Wang, C., Wei, X., Zhong, L., Chan, C.-L., Li, H., &amp; Sun, H. (2025). Metal-based approaches for the fight against antimicrobial resistance: Mechanisms, opportunities, and challenges. </w:t>
      </w:r>
      <w:r w:rsidRPr="0080421B">
        <w:rPr>
          <w:rStyle w:val="Emphasis"/>
          <w:rFonts w:ascii="Arial" w:hAnsi="Arial" w:cs="Arial"/>
          <w:sz w:val="20"/>
          <w:szCs w:val="20"/>
        </w:rPr>
        <w:lastRenderedPageBreak/>
        <w:t>Journal of the American Chemical Society, 147</w:t>
      </w:r>
      <w:r w:rsidRPr="0080421B">
        <w:rPr>
          <w:rFonts w:ascii="Arial" w:hAnsi="Arial" w:cs="Arial"/>
          <w:sz w:val="20"/>
          <w:szCs w:val="20"/>
        </w:rPr>
        <w:t xml:space="preserve">(15), 12361–12380. </w:t>
      </w:r>
      <w:hyperlink r:id="rId26" w:history="1">
        <w:r w:rsidRPr="0080421B">
          <w:rPr>
            <w:rStyle w:val="Hyperlink"/>
            <w:rFonts w:ascii="Arial" w:hAnsi="Arial" w:cs="Arial"/>
            <w:sz w:val="20"/>
            <w:szCs w:val="20"/>
          </w:rPr>
          <w:t>https://doi.org/10.1021/jacs.4c16035</w:t>
        </w:r>
      </w:hyperlink>
    </w:p>
    <w:p w14:paraId="6C922FC2"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Venkatesh, G., </w:t>
      </w:r>
      <w:proofErr w:type="spellStart"/>
      <w:r w:rsidRPr="0080421B">
        <w:rPr>
          <w:rFonts w:ascii="Arial" w:hAnsi="Arial" w:cs="Arial"/>
          <w:sz w:val="20"/>
          <w:szCs w:val="20"/>
        </w:rPr>
        <w:t>Vennila</w:t>
      </w:r>
      <w:proofErr w:type="spellEnd"/>
      <w:r w:rsidRPr="0080421B">
        <w:rPr>
          <w:rFonts w:ascii="Arial" w:hAnsi="Arial" w:cs="Arial"/>
          <w:sz w:val="20"/>
          <w:szCs w:val="20"/>
        </w:rPr>
        <w:t xml:space="preserve">, P., Kaya, S., Ahmed, S. B., Sumathi, P., Siva, V., Rajendran, P., &amp; Kamal, C. (2024). Synthesis and spectroscopic characterization of Schiff base metal complexes, biological activity, and molecular docking studies. </w:t>
      </w:r>
      <w:r w:rsidRPr="0080421B">
        <w:rPr>
          <w:rStyle w:val="Emphasis"/>
          <w:rFonts w:ascii="Arial" w:hAnsi="Arial" w:cs="Arial"/>
          <w:sz w:val="20"/>
          <w:szCs w:val="20"/>
        </w:rPr>
        <w:t>ACS Omega, 9</w:t>
      </w:r>
      <w:r w:rsidRPr="0080421B">
        <w:rPr>
          <w:rFonts w:ascii="Arial" w:hAnsi="Arial" w:cs="Arial"/>
          <w:sz w:val="20"/>
          <w:szCs w:val="20"/>
        </w:rPr>
        <w:t xml:space="preserve">(7), 8123. </w:t>
      </w:r>
      <w:hyperlink r:id="rId27" w:history="1">
        <w:r w:rsidRPr="0080421B">
          <w:rPr>
            <w:rStyle w:val="Hyperlink"/>
            <w:rFonts w:ascii="Arial" w:hAnsi="Arial" w:cs="Arial"/>
            <w:sz w:val="20"/>
            <w:szCs w:val="20"/>
          </w:rPr>
          <w:t>https://doi.org/10.1021/acsomega.3c08526</w:t>
        </w:r>
      </w:hyperlink>
    </w:p>
    <w:p w14:paraId="7C63D66A"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Matshwele</w:t>
      </w:r>
      <w:proofErr w:type="spellEnd"/>
      <w:r w:rsidRPr="0080421B">
        <w:rPr>
          <w:rFonts w:ascii="Arial" w:hAnsi="Arial" w:cs="Arial"/>
          <w:sz w:val="20"/>
          <w:szCs w:val="20"/>
        </w:rPr>
        <w:t xml:space="preserve">, J. T., </w:t>
      </w:r>
      <w:proofErr w:type="spellStart"/>
      <w:r w:rsidRPr="0080421B">
        <w:rPr>
          <w:rFonts w:ascii="Arial" w:hAnsi="Arial" w:cs="Arial"/>
          <w:sz w:val="20"/>
          <w:szCs w:val="20"/>
        </w:rPr>
        <w:t>Odisitse</w:t>
      </w:r>
      <w:proofErr w:type="spellEnd"/>
      <w:r w:rsidRPr="0080421B">
        <w:rPr>
          <w:rFonts w:ascii="Arial" w:hAnsi="Arial" w:cs="Arial"/>
          <w:sz w:val="20"/>
          <w:szCs w:val="20"/>
        </w:rPr>
        <w:t xml:space="preserve">, S., </w:t>
      </w:r>
      <w:proofErr w:type="spellStart"/>
      <w:r w:rsidRPr="0080421B">
        <w:rPr>
          <w:rFonts w:ascii="Arial" w:hAnsi="Arial" w:cs="Arial"/>
          <w:sz w:val="20"/>
          <w:szCs w:val="20"/>
        </w:rPr>
        <w:t>Mazimba</w:t>
      </w:r>
      <w:proofErr w:type="spellEnd"/>
      <w:r w:rsidRPr="0080421B">
        <w:rPr>
          <w:rFonts w:ascii="Arial" w:hAnsi="Arial" w:cs="Arial"/>
          <w:sz w:val="20"/>
          <w:szCs w:val="20"/>
        </w:rPr>
        <w:t xml:space="preserve">, O., </w:t>
      </w:r>
      <w:proofErr w:type="spellStart"/>
      <w:r w:rsidRPr="0080421B">
        <w:rPr>
          <w:rFonts w:ascii="Arial" w:hAnsi="Arial" w:cs="Arial"/>
          <w:sz w:val="20"/>
          <w:szCs w:val="20"/>
        </w:rPr>
        <w:t>Demissie</w:t>
      </w:r>
      <w:proofErr w:type="spellEnd"/>
      <w:r w:rsidRPr="0080421B">
        <w:rPr>
          <w:rFonts w:ascii="Arial" w:hAnsi="Arial" w:cs="Arial"/>
          <w:sz w:val="20"/>
          <w:szCs w:val="20"/>
        </w:rPr>
        <w:t xml:space="preserve">, T. B., </w:t>
      </w:r>
      <w:proofErr w:type="spellStart"/>
      <w:r w:rsidRPr="0080421B">
        <w:rPr>
          <w:rFonts w:ascii="Arial" w:hAnsi="Arial" w:cs="Arial"/>
          <w:sz w:val="20"/>
          <w:szCs w:val="20"/>
        </w:rPr>
        <w:t>Koobotse</w:t>
      </w:r>
      <w:proofErr w:type="spellEnd"/>
      <w:r w:rsidRPr="0080421B">
        <w:rPr>
          <w:rFonts w:ascii="Arial" w:hAnsi="Arial" w:cs="Arial"/>
          <w:sz w:val="20"/>
          <w:szCs w:val="20"/>
        </w:rPr>
        <w:t xml:space="preserve">, M. O., </w:t>
      </w:r>
      <w:proofErr w:type="spellStart"/>
      <w:r w:rsidRPr="0080421B">
        <w:rPr>
          <w:rFonts w:ascii="Arial" w:hAnsi="Arial" w:cs="Arial"/>
          <w:sz w:val="20"/>
          <w:szCs w:val="20"/>
        </w:rPr>
        <w:t>Mapolelo</w:t>
      </w:r>
      <w:proofErr w:type="spellEnd"/>
      <w:r w:rsidRPr="0080421B">
        <w:rPr>
          <w:rFonts w:ascii="Arial" w:hAnsi="Arial" w:cs="Arial"/>
          <w:sz w:val="20"/>
          <w:szCs w:val="20"/>
        </w:rPr>
        <w:t xml:space="preserve">, D. T., </w:t>
      </w:r>
      <w:proofErr w:type="spellStart"/>
      <w:r w:rsidRPr="0080421B">
        <w:rPr>
          <w:rFonts w:ascii="Arial" w:hAnsi="Arial" w:cs="Arial"/>
          <w:sz w:val="20"/>
          <w:szCs w:val="20"/>
        </w:rPr>
        <w:t>Bati</w:t>
      </w:r>
      <w:proofErr w:type="spellEnd"/>
      <w:r w:rsidRPr="0080421B">
        <w:rPr>
          <w:rFonts w:ascii="Arial" w:hAnsi="Arial" w:cs="Arial"/>
          <w:sz w:val="20"/>
          <w:szCs w:val="20"/>
        </w:rPr>
        <w:t xml:space="preserve">, K., Julius, L. G., </w:t>
      </w:r>
      <w:proofErr w:type="spellStart"/>
      <w:r w:rsidRPr="0080421B">
        <w:rPr>
          <w:rFonts w:ascii="Arial" w:hAnsi="Arial" w:cs="Arial"/>
          <w:sz w:val="20"/>
          <w:szCs w:val="20"/>
        </w:rPr>
        <w:t>Nkwe</w:t>
      </w:r>
      <w:proofErr w:type="spellEnd"/>
      <w:r w:rsidRPr="0080421B">
        <w:rPr>
          <w:rFonts w:ascii="Arial" w:hAnsi="Arial" w:cs="Arial"/>
          <w:sz w:val="20"/>
          <w:szCs w:val="20"/>
        </w:rPr>
        <w:t xml:space="preserve">, D. O., </w:t>
      </w:r>
      <w:proofErr w:type="spellStart"/>
      <w:r w:rsidRPr="0080421B">
        <w:rPr>
          <w:rFonts w:ascii="Arial" w:hAnsi="Arial" w:cs="Arial"/>
          <w:sz w:val="20"/>
          <w:szCs w:val="20"/>
        </w:rPr>
        <w:t>Jongman</w:t>
      </w:r>
      <w:proofErr w:type="spellEnd"/>
      <w:r w:rsidRPr="0080421B">
        <w:rPr>
          <w:rFonts w:ascii="Arial" w:hAnsi="Arial" w:cs="Arial"/>
          <w:sz w:val="20"/>
          <w:szCs w:val="20"/>
        </w:rPr>
        <w:t xml:space="preserve">, M., &amp; </w:t>
      </w:r>
      <w:proofErr w:type="spellStart"/>
      <w:r w:rsidRPr="0080421B">
        <w:rPr>
          <w:rFonts w:ascii="Arial" w:hAnsi="Arial" w:cs="Arial"/>
          <w:sz w:val="20"/>
          <w:szCs w:val="20"/>
        </w:rPr>
        <w:t>Nareetsile</w:t>
      </w:r>
      <w:proofErr w:type="spellEnd"/>
      <w:r w:rsidRPr="0080421B">
        <w:rPr>
          <w:rFonts w:ascii="Arial" w:hAnsi="Arial" w:cs="Arial"/>
          <w:sz w:val="20"/>
          <w:szCs w:val="20"/>
        </w:rPr>
        <w:t xml:space="preserve">, F. M. (2024). Cobalt pyridyl complexes against drug-resistant bacteria: Synthesis, characterization, antibacterial properties, mode of action, and molecular docking studies. </w:t>
      </w:r>
      <w:proofErr w:type="spellStart"/>
      <w:r w:rsidRPr="0080421B">
        <w:rPr>
          <w:rStyle w:val="Emphasis"/>
          <w:rFonts w:ascii="Arial" w:hAnsi="Arial" w:cs="Arial"/>
          <w:sz w:val="20"/>
          <w:szCs w:val="20"/>
        </w:rPr>
        <w:t>Inorganica</w:t>
      </w:r>
      <w:proofErr w:type="spellEnd"/>
      <w:r w:rsidRPr="0080421B">
        <w:rPr>
          <w:rStyle w:val="Emphasis"/>
          <w:rFonts w:ascii="Arial" w:hAnsi="Arial" w:cs="Arial"/>
          <w:sz w:val="20"/>
          <w:szCs w:val="20"/>
        </w:rPr>
        <w:t xml:space="preserve"> </w:t>
      </w:r>
      <w:proofErr w:type="spellStart"/>
      <w:r w:rsidRPr="0080421B">
        <w:rPr>
          <w:rStyle w:val="Emphasis"/>
          <w:rFonts w:ascii="Arial" w:hAnsi="Arial" w:cs="Arial"/>
          <w:sz w:val="20"/>
          <w:szCs w:val="20"/>
        </w:rPr>
        <w:t>Chimica</w:t>
      </w:r>
      <w:proofErr w:type="spellEnd"/>
      <w:r w:rsidRPr="0080421B">
        <w:rPr>
          <w:rStyle w:val="Emphasis"/>
          <w:rFonts w:ascii="Arial" w:hAnsi="Arial" w:cs="Arial"/>
          <w:sz w:val="20"/>
          <w:szCs w:val="20"/>
        </w:rPr>
        <w:t xml:space="preserve"> Acta, 563,</w:t>
      </w:r>
      <w:r w:rsidRPr="0080421B">
        <w:rPr>
          <w:rFonts w:ascii="Arial" w:hAnsi="Arial" w:cs="Arial"/>
          <w:sz w:val="20"/>
          <w:szCs w:val="20"/>
        </w:rPr>
        <w:t xml:space="preserve"> 121911. </w:t>
      </w:r>
      <w:hyperlink r:id="rId28" w:history="1">
        <w:r w:rsidRPr="0080421B">
          <w:rPr>
            <w:rStyle w:val="Hyperlink"/>
            <w:rFonts w:ascii="Arial" w:hAnsi="Arial" w:cs="Arial"/>
            <w:sz w:val="20"/>
            <w:szCs w:val="20"/>
          </w:rPr>
          <w:t>https://doi.org/10.1016/j.ica.2024.121911</w:t>
        </w:r>
      </w:hyperlink>
    </w:p>
    <w:p w14:paraId="0C6A3057"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El </w:t>
      </w:r>
      <w:proofErr w:type="spellStart"/>
      <w:r w:rsidRPr="0080421B">
        <w:rPr>
          <w:rFonts w:ascii="Arial" w:hAnsi="Arial" w:cs="Arial"/>
          <w:sz w:val="20"/>
          <w:szCs w:val="20"/>
        </w:rPr>
        <w:t>Azzouzi</w:t>
      </w:r>
      <w:proofErr w:type="spellEnd"/>
      <w:r w:rsidRPr="0080421B">
        <w:rPr>
          <w:rFonts w:ascii="Arial" w:hAnsi="Arial" w:cs="Arial"/>
          <w:sz w:val="20"/>
          <w:szCs w:val="20"/>
        </w:rPr>
        <w:t xml:space="preserve">, N., El </w:t>
      </w:r>
      <w:proofErr w:type="spellStart"/>
      <w:r w:rsidRPr="0080421B">
        <w:rPr>
          <w:rFonts w:ascii="Arial" w:hAnsi="Arial" w:cs="Arial"/>
          <w:sz w:val="20"/>
          <w:szCs w:val="20"/>
        </w:rPr>
        <w:t>Fadli</w:t>
      </w:r>
      <w:proofErr w:type="spellEnd"/>
      <w:r w:rsidRPr="0080421B">
        <w:rPr>
          <w:rFonts w:ascii="Arial" w:hAnsi="Arial" w:cs="Arial"/>
          <w:sz w:val="20"/>
          <w:szCs w:val="20"/>
        </w:rPr>
        <w:t xml:space="preserve">, Z., &amp; </w:t>
      </w:r>
      <w:proofErr w:type="spellStart"/>
      <w:r w:rsidRPr="0080421B">
        <w:rPr>
          <w:rFonts w:ascii="Arial" w:hAnsi="Arial" w:cs="Arial"/>
          <w:sz w:val="20"/>
          <w:szCs w:val="20"/>
        </w:rPr>
        <w:t>Metni</w:t>
      </w:r>
      <w:proofErr w:type="spellEnd"/>
      <w:r w:rsidRPr="0080421B">
        <w:rPr>
          <w:rFonts w:ascii="Arial" w:hAnsi="Arial" w:cs="Arial"/>
          <w:sz w:val="20"/>
          <w:szCs w:val="20"/>
        </w:rPr>
        <w:t xml:space="preserve">, M. R. (2017). Synthesis and chemical characterization of some transition metal complexes with a 6-acetyl-1,3,7-trimethylguanine ligand. </w:t>
      </w:r>
      <w:r w:rsidRPr="0080421B">
        <w:rPr>
          <w:rStyle w:val="Emphasis"/>
          <w:rFonts w:ascii="Arial" w:hAnsi="Arial" w:cs="Arial"/>
          <w:sz w:val="20"/>
          <w:szCs w:val="20"/>
        </w:rPr>
        <w:t>Journal of Materials and Environmental Science, 8</w:t>
      </w:r>
      <w:r w:rsidRPr="0080421B">
        <w:rPr>
          <w:rFonts w:ascii="Arial" w:hAnsi="Arial" w:cs="Arial"/>
          <w:sz w:val="20"/>
          <w:szCs w:val="20"/>
        </w:rPr>
        <w:t>(12), 4323–4328.</w:t>
      </w:r>
    </w:p>
    <w:p w14:paraId="00E36708"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Enedoh</w:t>
      </w:r>
      <w:proofErr w:type="spellEnd"/>
      <w:r w:rsidRPr="0080421B">
        <w:rPr>
          <w:rFonts w:ascii="Arial" w:hAnsi="Arial" w:cs="Arial"/>
          <w:sz w:val="20"/>
          <w:szCs w:val="20"/>
        </w:rPr>
        <w:t xml:space="preserve">, M. C., Ibe, F. C., &amp; </w:t>
      </w:r>
      <w:proofErr w:type="spellStart"/>
      <w:r w:rsidRPr="0080421B">
        <w:rPr>
          <w:rFonts w:ascii="Arial" w:hAnsi="Arial" w:cs="Arial"/>
          <w:sz w:val="20"/>
          <w:szCs w:val="20"/>
        </w:rPr>
        <w:t>Ebosie</w:t>
      </w:r>
      <w:proofErr w:type="spellEnd"/>
      <w:r w:rsidRPr="0080421B">
        <w:rPr>
          <w:rFonts w:ascii="Arial" w:hAnsi="Arial" w:cs="Arial"/>
          <w:sz w:val="20"/>
          <w:szCs w:val="20"/>
        </w:rPr>
        <w:t xml:space="preserve">, N. P. (2016). Complexes of 2-amino-4-thiazoleacetic acid hydrazide (ATAH), 2-hydroxybenzaldehyde-2-amino-4-thiazoleacetic acid hydrazone (ATASH), and acetone-2-amino-4-thiazoleacetic acid hydrazone (ATAAH), each with </w:t>
      </w:r>
      <w:proofErr w:type="gramStart"/>
      <w:r w:rsidRPr="0080421B">
        <w:rPr>
          <w:rFonts w:ascii="Arial" w:hAnsi="Arial" w:cs="Arial"/>
          <w:sz w:val="20"/>
          <w:szCs w:val="20"/>
        </w:rPr>
        <w:t>nickel(</w:t>
      </w:r>
      <w:proofErr w:type="gramEnd"/>
      <w:r w:rsidRPr="0080421B">
        <w:rPr>
          <w:rFonts w:ascii="Arial" w:hAnsi="Arial" w:cs="Arial"/>
          <w:sz w:val="20"/>
          <w:szCs w:val="20"/>
        </w:rPr>
        <w:t xml:space="preserve">II) sulphate, as proposed drugs. </w:t>
      </w:r>
      <w:r w:rsidRPr="0080421B">
        <w:rPr>
          <w:rStyle w:val="Emphasis"/>
          <w:rFonts w:ascii="Arial" w:hAnsi="Arial" w:cs="Arial"/>
          <w:sz w:val="20"/>
          <w:szCs w:val="20"/>
        </w:rPr>
        <w:t>African Journal of Education, Science and Technology, 3</w:t>
      </w:r>
      <w:r w:rsidRPr="0080421B">
        <w:rPr>
          <w:rFonts w:ascii="Arial" w:hAnsi="Arial" w:cs="Arial"/>
          <w:sz w:val="20"/>
          <w:szCs w:val="20"/>
        </w:rPr>
        <w:t>(1), 143–147.</w:t>
      </w:r>
    </w:p>
    <w:p w14:paraId="1093C9A3" w14:textId="77777777" w:rsidR="0080421B" w:rsidRPr="0080421B" w:rsidRDefault="0080421B" w:rsidP="0080421B">
      <w:pPr>
        <w:pStyle w:val="ListParagraph"/>
        <w:numPr>
          <w:ilvl w:val="0"/>
          <w:numId w:val="2"/>
        </w:numPr>
        <w:jc w:val="both"/>
        <w:rPr>
          <w:rFonts w:ascii="Arial" w:hAnsi="Arial" w:cs="Arial"/>
          <w:sz w:val="20"/>
          <w:szCs w:val="20"/>
        </w:rPr>
      </w:pPr>
      <w:r w:rsidRPr="0080421B">
        <w:rPr>
          <w:rFonts w:ascii="Arial" w:hAnsi="Arial" w:cs="Arial"/>
          <w:sz w:val="20"/>
          <w:szCs w:val="20"/>
        </w:rPr>
        <w:t xml:space="preserve">Venkatesh, G., </w:t>
      </w:r>
      <w:proofErr w:type="spellStart"/>
      <w:r w:rsidRPr="0080421B">
        <w:rPr>
          <w:rFonts w:ascii="Arial" w:hAnsi="Arial" w:cs="Arial"/>
          <w:sz w:val="20"/>
          <w:szCs w:val="20"/>
        </w:rPr>
        <w:t>Vennila</w:t>
      </w:r>
      <w:proofErr w:type="spellEnd"/>
      <w:r w:rsidRPr="0080421B">
        <w:rPr>
          <w:rFonts w:ascii="Arial" w:hAnsi="Arial" w:cs="Arial"/>
          <w:sz w:val="20"/>
          <w:szCs w:val="20"/>
        </w:rPr>
        <w:t xml:space="preserve">, P., Kaya, S., Ben Ahmed, S., Sumathi, P., Siva, V., Rajendran, P., &amp; Kamal, C. (2024). Synthesis and spectroscopic characterization of Schiff base metal complexes, biological activity, and molecular docking studies. </w:t>
      </w:r>
      <w:r w:rsidRPr="0080421B">
        <w:rPr>
          <w:rStyle w:val="Emphasis"/>
          <w:rFonts w:ascii="Arial" w:hAnsi="Arial" w:cs="Arial"/>
          <w:sz w:val="20"/>
          <w:szCs w:val="20"/>
        </w:rPr>
        <w:t>ACS Omega, 9</w:t>
      </w:r>
      <w:r w:rsidRPr="0080421B">
        <w:rPr>
          <w:rFonts w:ascii="Arial" w:hAnsi="Arial" w:cs="Arial"/>
          <w:sz w:val="20"/>
          <w:szCs w:val="20"/>
        </w:rPr>
        <w:t xml:space="preserve">(7), 8123–8138. </w:t>
      </w:r>
      <w:hyperlink r:id="rId29" w:history="1">
        <w:r w:rsidRPr="0080421B">
          <w:rPr>
            <w:rStyle w:val="Hyperlink"/>
            <w:rFonts w:ascii="Arial" w:hAnsi="Arial" w:cs="Arial"/>
            <w:sz w:val="20"/>
            <w:szCs w:val="20"/>
          </w:rPr>
          <w:t>https://doi.org/10.1021/acsomega.3c08526</w:t>
        </w:r>
      </w:hyperlink>
    </w:p>
    <w:p w14:paraId="34700D2A" w14:textId="77777777"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Jayarajan</w:t>
      </w:r>
      <w:proofErr w:type="spellEnd"/>
      <w:r w:rsidRPr="0080421B">
        <w:rPr>
          <w:rFonts w:ascii="Arial" w:hAnsi="Arial" w:cs="Arial"/>
          <w:sz w:val="20"/>
          <w:szCs w:val="20"/>
        </w:rPr>
        <w:t xml:space="preserve">, R., Vasuki, G., &amp; </w:t>
      </w:r>
      <w:proofErr w:type="spellStart"/>
      <w:r w:rsidRPr="0080421B">
        <w:rPr>
          <w:rFonts w:ascii="Arial" w:hAnsi="Arial" w:cs="Arial"/>
          <w:sz w:val="20"/>
          <w:szCs w:val="20"/>
        </w:rPr>
        <w:t>Sambasiva</w:t>
      </w:r>
      <w:proofErr w:type="spellEnd"/>
      <w:r w:rsidRPr="0080421B">
        <w:rPr>
          <w:rFonts w:ascii="Arial" w:hAnsi="Arial" w:cs="Arial"/>
          <w:sz w:val="20"/>
          <w:szCs w:val="20"/>
        </w:rPr>
        <w:t xml:space="preserve"> Rao, P. (2010). Microwave assisted synthesis of Schiff bases and their antimicrobial studies. </w:t>
      </w:r>
      <w:r w:rsidRPr="0080421B">
        <w:rPr>
          <w:rStyle w:val="Emphasis"/>
          <w:rFonts w:ascii="Arial" w:hAnsi="Arial" w:cs="Arial"/>
          <w:sz w:val="20"/>
          <w:szCs w:val="20"/>
        </w:rPr>
        <w:t xml:space="preserve">International Journal of </w:t>
      </w:r>
      <w:proofErr w:type="spellStart"/>
      <w:r w:rsidRPr="0080421B">
        <w:rPr>
          <w:rStyle w:val="Emphasis"/>
          <w:rFonts w:ascii="Arial" w:hAnsi="Arial" w:cs="Arial"/>
          <w:sz w:val="20"/>
          <w:szCs w:val="20"/>
        </w:rPr>
        <w:t>ChemTech</w:t>
      </w:r>
      <w:proofErr w:type="spellEnd"/>
      <w:r w:rsidRPr="0080421B">
        <w:rPr>
          <w:rStyle w:val="Emphasis"/>
          <w:rFonts w:ascii="Arial" w:hAnsi="Arial" w:cs="Arial"/>
          <w:sz w:val="20"/>
          <w:szCs w:val="20"/>
        </w:rPr>
        <w:t xml:space="preserve"> Research, 2</w:t>
      </w:r>
      <w:r w:rsidRPr="0080421B">
        <w:rPr>
          <w:rFonts w:ascii="Arial" w:hAnsi="Arial" w:cs="Arial"/>
          <w:sz w:val="20"/>
          <w:szCs w:val="20"/>
        </w:rPr>
        <w:t>(4), 2055–2060.</w:t>
      </w:r>
    </w:p>
    <w:p w14:paraId="321F7697" w14:textId="0C0EF23F" w:rsidR="0080421B" w:rsidRPr="0080421B" w:rsidRDefault="0080421B" w:rsidP="0080421B">
      <w:pPr>
        <w:pStyle w:val="ListParagraph"/>
        <w:numPr>
          <w:ilvl w:val="0"/>
          <w:numId w:val="2"/>
        </w:numPr>
        <w:jc w:val="both"/>
        <w:rPr>
          <w:rFonts w:ascii="Arial" w:hAnsi="Arial" w:cs="Arial"/>
          <w:sz w:val="20"/>
          <w:szCs w:val="20"/>
        </w:rPr>
      </w:pPr>
      <w:proofErr w:type="spellStart"/>
      <w:r w:rsidRPr="0080421B">
        <w:rPr>
          <w:rFonts w:ascii="Arial" w:hAnsi="Arial" w:cs="Arial"/>
          <w:sz w:val="20"/>
          <w:szCs w:val="20"/>
        </w:rPr>
        <w:t>Abike</w:t>
      </w:r>
      <w:proofErr w:type="spellEnd"/>
      <w:r w:rsidRPr="0080421B">
        <w:rPr>
          <w:rFonts w:ascii="Arial" w:hAnsi="Arial" w:cs="Arial"/>
          <w:sz w:val="20"/>
          <w:szCs w:val="20"/>
        </w:rPr>
        <w:t xml:space="preserve">, T. O., </w:t>
      </w:r>
      <w:proofErr w:type="spellStart"/>
      <w:r w:rsidRPr="0080421B">
        <w:rPr>
          <w:rFonts w:ascii="Arial" w:hAnsi="Arial" w:cs="Arial"/>
          <w:sz w:val="20"/>
          <w:szCs w:val="20"/>
        </w:rPr>
        <w:t>Osuntokun</w:t>
      </w:r>
      <w:proofErr w:type="spellEnd"/>
      <w:r w:rsidRPr="0080421B">
        <w:rPr>
          <w:rFonts w:ascii="Arial" w:hAnsi="Arial" w:cs="Arial"/>
          <w:sz w:val="20"/>
          <w:szCs w:val="20"/>
        </w:rPr>
        <w:t xml:space="preserve">, O. T., Modupe, A. O., </w:t>
      </w:r>
      <w:proofErr w:type="spellStart"/>
      <w:r w:rsidRPr="0080421B">
        <w:rPr>
          <w:rFonts w:ascii="Arial" w:hAnsi="Arial" w:cs="Arial"/>
          <w:sz w:val="20"/>
          <w:szCs w:val="20"/>
        </w:rPr>
        <w:t>Adenike</w:t>
      </w:r>
      <w:proofErr w:type="spellEnd"/>
      <w:r w:rsidRPr="0080421B">
        <w:rPr>
          <w:rFonts w:ascii="Arial" w:hAnsi="Arial" w:cs="Arial"/>
          <w:sz w:val="20"/>
          <w:szCs w:val="20"/>
        </w:rPr>
        <w:t xml:space="preserve">, A. F., &amp; </w:t>
      </w:r>
      <w:proofErr w:type="spellStart"/>
      <w:r w:rsidRPr="0080421B">
        <w:rPr>
          <w:rFonts w:ascii="Arial" w:hAnsi="Arial" w:cs="Arial"/>
          <w:sz w:val="20"/>
          <w:szCs w:val="20"/>
        </w:rPr>
        <w:t>Atinuke</w:t>
      </w:r>
      <w:proofErr w:type="spellEnd"/>
      <w:r w:rsidRPr="0080421B">
        <w:rPr>
          <w:rFonts w:ascii="Arial" w:hAnsi="Arial" w:cs="Arial"/>
          <w:sz w:val="20"/>
          <w:szCs w:val="20"/>
        </w:rPr>
        <w:t xml:space="preserve">, A. R. (2020). Antimicrobial efficacy, secondary metabolite constituents, ligand docking of </w:t>
      </w:r>
      <w:proofErr w:type="spellStart"/>
      <w:r w:rsidRPr="0080421B">
        <w:rPr>
          <w:rStyle w:val="Emphasis"/>
          <w:rFonts w:ascii="Arial" w:hAnsi="Arial" w:cs="Arial"/>
          <w:sz w:val="20"/>
          <w:szCs w:val="20"/>
        </w:rPr>
        <w:t>Enantia</w:t>
      </w:r>
      <w:proofErr w:type="spellEnd"/>
      <w:r w:rsidRPr="0080421B">
        <w:rPr>
          <w:rStyle w:val="Emphasis"/>
          <w:rFonts w:ascii="Arial" w:hAnsi="Arial" w:cs="Arial"/>
          <w:sz w:val="20"/>
          <w:szCs w:val="20"/>
        </w:rPr>
        <w:t xml:space="preserve"> </w:t>
      </w:r>
      <w:proofErr w:type="spellStart"/>
      <w:r w:rsidRPr="0080421B">
        <w:rPr>
          <w:rStyle w:val="Emphasis"/>
          <w:rFonts w:ascii="Arial" w:hAnsi="Arial" w:cs="Arial"/>
          <w:sz w:val="20"/>
          <w:szCs w:val="20"/>
        </w:rPr>
        <w:t>chlorantha</w:t>
      </w:r>
      <w:proofErr w:type="spellEnd"/>
      <w:r w:rsidRPr="0080421B">
        <w:rPr>
          <w:rFonts w:ascii="Arial" w:hAnsi="Arial" w:cs="Arial"/>
          <w:sz w:val="20"/>
          <w:szCs w:val="20"/>
        </w:rPr>
        <w:t xml:space="preserve"> on selected multidrug-resistant bacteria and fungi. </w:t>
      </w:r>
      <w:r w:rsidRPr="0080421B">
        <w:rPr>
          <w:rStyle w:val="Emphasis"/>
          <w:rFonts w:ascii="Arial" w:hAnsi="Arial" w:cs="Arial"/>
          <w:sz w:val="20"/>
          <w:szCs w:val="20"/>
        </w:rPr>
        <w:t>Journal of Advances in Biology &amp; Biotechnology, 23</w:t>
      </w:r>
      <w:r w:rsidRPr="0080421B">
        <w:rPr>
          <w:rFonts w:ascii="Arial" w:hAnsi="Arial" w:cs="Arial"/>
          <w:sz w:val="20"/>
          <w:szCs w:val="20"/>
        </w:rPr>
        <w:t xml:space="preserve">(6), 17–32. </w:t>
      </w:r>
      <w:hyperlink r:id="rId30" w:history="1">
        <w:r w:rsidRPr="0080421B">
          <w:rPr>
            <w:rStyle w:val="Hyperlink"/>
            <w:rFonts w:ascii="Arial" w:hAnsi="Arial" w:cs="Arial"/>
            <w:sz w:val="20"/>
            <w:szCs w:val="20"/>
          </w:rPr>
          <w:t>https://doi.org/10.9734/jabb/2020/v23i630161</w:t>
        </w:r>
      </w:hyperlink>
    </w:p>
    <w:p w14:paraId="6483371F" w14:textId="77777777" w:rsidR="0080421B" w:rsidRPr="0080421B" w:rsidRDefault="0080421B" w:rsidP="0080421B">
      <w:pPr>
        <w:rPr>
          <w:rFonts w:ascii="Arial" w:hAnsi="Arial" w:cs="Arial"/>
          <w:sz w:val="20"/>
          <w:szCs w:val="20"/>
        </w:rPr>
      </w:pPr>
    </w:p>
    <w:sectPr w:rsidR="0080421B" w:rsidRPr="0080421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70A" w14:textId="77777777" w:rsidR="00665487" w:rsidRDefault="00665487" w:rsidP="00453314">
      <w:pPr>
        <w:spacing w:after="0" w:line="240" w:lineRule="auto"/>
      </w:pPr>
      <w:r>
        <w:separator/>
      </w:r>
    </w:p>
  </w:endnote>
  <w:endnote w:type="continuationSeparator" w:id="0">
    <w:p w14:paraId="62EFA7D1" w14:textId="77777777" w:rsidR="00665487" w:rsidRDefault="00665487" w:rsidP="0045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D9D2" w14:textId="77777777" w:rsidR="0074214E" w:rsidRDefault="00742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86EC" w14:textId="77777777" w:rsidR="0074214E" w:rsidRDefault="00742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BA41" w14:textId="77777777" w:rsidR="0074214E" w:rsidRDefault="00742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2653" w14:textId="77777777" w:rsidR="00665487" w:rsidRDefault="00665487" w:rsidP="00453314">
      <w:pPr>
        <w:spacing w:after="0" w:line="240" w:lineRule="auto"/>
      </w:pPr>
      <w:r>
        <w:separator/>
      </w:r>
    </w:p>
  </w:footnote>
  <w:footnote w:type="continuationSeparator" w:id="0">
    <w:p w14:paraId="46870803" w14:textId="77777777" w:rsidR="00665487" w:rsidRDefault="00665487" w:rsidP="00453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D149" w14:textId="49116851" w:rsidR="0074214E" w:rsidRDefault="00665487">
    <w:pPr>
      <w:pStyle w:val="Header"/>
    </w:pPr>
    <w:r>
      <w:rPr>
        <w:noProof/>
      </w:rPr>
      <w:pict w14:anchorId="4A58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BD0F" w14:textId="465254DA" w:rsidR="0074214E" w:rsidRDefault="00665487">
    <w:pPr>
      <w:pStyle w:val="Header"/>
    </w:pPr>
    <w:r>
      <w:rPr>
        <w:noProof/>
      </w:rPr>
      <w:pict w14:anchorId="3BDDC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7F0A" w14:textId="6E6C195A" w:rsidR="0074214E" w:rsidRDefault="00665487">
    <w:pPr>
      <w:pStyle w:val="Header"/>
    </w:pPr>
    <w:r>
      <w:rPr>
        <w:noProof/>
      </w:rPr>
      <w:pict w14:anchorId="14FDF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C56"/>
    <w:multiLevelType w:val="hybridMultilevel"/>
    <w:tmpl w:val="DC44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D3F33"/>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9B33A1"/>
    <w:multiLevelType w:val="multilevel"/>
    <w:tmpl w:val="3184F620"/>
    <w:lvl w:ilvl="0">
      <w:start w:val="2"/>
      <w:numFmt w:val="decimal"/>
      <w:lvlText w:val="%1.0"/>
      <w:lvlJc w:val="left"/>
      <w:pPr>
        <w:ind w:left="720" w:hanging="720"/>
      </w:pPr>
      <w:rPr>
        <w:b/>
        <w:bCs/>
      </w:rPr>
    </w:lvl>
    <w:lvl w:ilvl="1">
      <w:start w:val="1"/>
      <w:numFmt w:val="decimal"/>
      <w:lvlText w:val="%1.%2"/>
      <w:lvlJc w:val="left"/>
      <w:pPr>
        <w:ind w:left="720" w:hanging="72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440" w:hanging="1440"/>
      </w:pPr>
      <w:rPr>
        <w:b/>
        <w:bCs w:val="0"/>
        <w:color w:val="auto"/>
      </w:r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15:restartNumberingAfterBreak="0">
    <w:nsid w:val="27FF27AD"/>
    <w:multiLevelType w:val="hybridMultilevel"/>
    <w:tmpl w:val="B8B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410B0"/>
    <w:multiLevelType w:val="hybridMultilevel"/>
    <w:tmpl w:val="2BEA17C2"/>
    <w:lvl w:ilvl="0" w:tplc="73EC869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6D2551"/>
    <w:multiLevelType w:val="hybridMultilevel"/>
    <w:tmpl w:val="A1C6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7627F0"/>
    <w:multiLevelType w:val="hybridMultilevel"/>
    <w:tmpl w:val="C85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D91359"/>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8CE541A"/>
    <w:multiLevelType w:val="hybridMultilevel"/>
    <w:tmpl w:val="62E4393E"/>
    <w:lvl w:ilvl="0" w:tplc="08090001">
      <w:start w:val="1"/>
      <w:numFmt w:val="bullet"/>
      <w:lvlText w:val=""/>
      <w:lvlJc w:val="left"/>
      <w:pPr>
        <w:ind w:left="720" w:hanging="360"/>
      </w:pPr>
      <w:rPr>
        <w:rFonts w:ascii="Symbol" w:hAnsi="Symbol" w:hint="default"/>
      </w:rPr>
    </w:lvl>
    <w:lvl w:ilvl="1" w:tplc="8D6862D2">
      <w:start w:val="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7"/>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731"/>
    <w:rsid w:val="00002448"/>
    <w:rsid w:val="00002718"/>
    <w:rsid w:val="00013BA6"/>
    <w:rsid w:val="00014FFA"/>
    <w:rsid w:val="000252F9"/>
    <w:rsid w:val="00026423"/>
    <w:rsid w:val="000276B1"/>
    <w:rsid w:val="00032A9E"/>
    <w:rsid w:val="00041F2B"/>
    <w:rsid w:val="00045981"/>
    <w:rsid w:val="0004729A"/>
    <w:rsid w:val="0005081E"/>
    <w:rsid w:val="00062BC7"/>
    <w:rsid w:val="000824E3"/>
    <w:rsid w:val="000A0C81"/>
    <w:rsid w:val="000A2BCF"/>
    <w:rsid w:val="000B2434"/>
    <w:rsid w:val="000B3453"/>
    <w:rsid w:val="000B51BE"/>
    <w:rsid w:val="000B5E84"/>
    <w:rsid w:val="000C4D0A"/>
    <w:rsid w:val="000C6B75"/>
    <w:rsid w:val="000D36CD"/>
    <w:rsid w:val="000D4C23"/>
    <w:rsid w:val="000D57AA"/>
    <w:rsid w:val="000E0A49"/>
    <w:rsid w:val="000E35EE"/>
    <w:rsid w:val="000E7886"/>
    <w:rsid w:val="000F1C1F"/>
    <w:rsid w:val="00103E7F"/>
    <w:rsid w:val="0010441C"/>
    <w:rsid w:val="00111353"/>
    <w:rsid w:val="00112117"/>
    <w:rsid w:val="0011392B"/>
    <w:rsid w:val="0011430D"/>
    <w:rsid w:val="001202C0"/>
    <w:rsid w:val="00125F80"/>
    <w:rsid w:val="00140C1D"/>
    <w:rsid w:val="00141275"/>
    <w:rsid w:val="00147429"/>
    <w:rsid w:val="001523AB"/>
    <w:rsid w:val="00155334"/>
    <w:rsid w:val="00162B11"/>
    <w:rsid w:val="00166173"/>
    <w:rsid w:val="00166E22"/>
    <w:rsid w:val="001670C6"/>
    <w:rsid w:val="001702A0"/>
    <w:rsid w:val="00175977"/>
    <w:rsid w:val="00187EA5"/>
    <w:rsid w:val="001965BF"/>
    <w:rsid w:val="001A6020"/>
    <w:rsid w:val="001A6F6C"/>
    <w:rsid w:val="001B0928"/>
    <w:rsid w:val="001B275A"/>
    <w:rsid w:val="001B3C5C"/>
    <w:rsid w:val="001C3F42"/>
    <w:rsid w:val="001D3D41"/>
    <w:rsid w:val="001D4504"/>
    <w:rsid w:val="001E16E4"/>
    <w:rsid w:val="001E4D85"/>
    <w:rsid w:val="001F021F"/>
    <w:rsid w:val="00200DC4"/>
    <w:rsid w:val="00202353"/>
    <w:rsid w:val="002032AD"/>
    <w:rsid w:val="00212E74"/>
    <w:rsid w:val="0022101A"/>
    <w:rsid w:val="00230FC0"/>
    <w:rsid w:val="0025191A"/>
    <w:rsid w:val="002534F5"/>
    <w:rsid w:val="00255B8D"/>
    <w:rsid w:val="0026036D"/>
    <w:rsid w:val="00294353"/>
    <w:rsid w:val="002945CE"/>
    <w:rsid w:val="002A7854"/>
    <w:rsid w:val="002B6414"/>
    <w:rsid w:val="002C32FE"/>
    <w:rsid w:val="002D499D"/>
    <w:rsid w:val="002E0932"/>
    <w:rsid w:val="002E0C39"/>
    <w:rsid w:val="002E1E4F"/>
    <w:rsid w:val="002E1E62"/>
    <w:rsid w:val="002E1E8D"/>
    <w:rsid w:val="002E6779"/>
    <w:rsid w:val="002F1B5E"/>
    <w:rsid w:val="003105F0"/>
    <w:rsid w:val="0031193C"/>
    <w:rsid w:val="00312EE9"/>
    <w:rsid w:val="00331B1E"/>
    <w:rsid w:val="00333D90"/>
    <w:rsid w:val="00341C6D"/>
    <w:rsid w:val="00347BC8"/>
    <w:rsid w:val="00352590"/>
    <w:rsid w:val="00357281"/>
    <w:rsid w:val="003643BD"/>
    <w:rsid w:val="00366636"/>
    <w:rsid w:val="00370E33"/>
    <w:rsid w:val="00380AA8"/>
    <w:rsid w:val="00385394"/>
    <w:rsid w:val="00386320"/>
    <w:rsid w:val="003A0887"/>
    <w:rsid w:val="003B1334"/>
    <w:rsid w:val="003B6A79"/>
    <w:rsid w:val="003D0EA4"/>
    <w:rsid w:val="003D3C79"/>
    <w:rsid w:val="003D4EFE"/>
    <w:rsid w:val="003D6E8D"/>
    <w:rsid w:val="003D772D"/>
    <w:rsid w:val="003E2222"/>
    <w:rsid w:val="003E2EB8"/>
    <w:rsid w:val="003E508F"/>
    <w:rsid w:val="003E6DAF"/>
    <w:rsid w:val="003E6FE2"/>
    <w:rsid w:val="003E7D59"/>
    <w:rsid w:val="003F771B"/>
    <w:rsid w:val="00402D9C"/>
    <w:rsid w:val="004115E8"/>
    <w:rsid w:val="00413C2A"/>
    <w:rsid w:val="0041561D"/>
    <w:rsid w:val="00421823"/>
    <w:rsid w:val="004241A6"/>
    <w:rsid w:val="0042717D"/>
    <w:rsid w:val="0042771F"/>
    <w:rsid w:val="00440BCD"/>
    <w:rsid w:val="00441811"/>
    <w:rsid w:val="00452A76"/>
    <w:rsid w:val="00453314"/>
    <w:rsid w:val="00457F7D"/>
    <w:rsid w:val="00460765"/>
    <w:rsid w:val="00472C7C"/>
    <w:rsid w:val="00474318"/>
    <w:rsid w:val="00475F79"/>
    <w:rsid w:val="00483B4F"/>
    <w:rsid w:val="004852C3"/>
    <w:rsid w:val="00485EA5"/>
    <w:rsid w:val="00496F84"/>
    <w:rsid w:val="004A323E"/>
    <w:rsid w:val="004A5348"/>
    <w:rsid w:val="004B0544"/>
    <w:rsid w:val="004B3D23"/>
    <w:rsid w:val="004D4A45"/>
    <w:rsid w:val="004D60A1"/>
    <w:rsid w:val="004E2FE6"/>
    <w:rsid w:val="004E39DD"/>
    <w:rsid w:val="004F1851"/>
    <w:rsid w:val="004F2D1F"/>
    <w:rsid w:val="004F64B9"/>
    <w:rsid w:val="004F7FF6"/>
    <w:rsid w:val="00505890"/>
    <w:rsid w:val="00516158"/>
    <w:rsid w:val="005221A8"/>
    <w:rsid w:val="00531E98"/>
    <w:rsid w:val="005429DE"/>
    <w:rsid w:val="005450D6"/>
    <w:rsid w:val="00554C12"/>
    <w:rsid w:val="00557576"/>
    <w:rsid w:val="00564BD7"/>
    <w:rsid w:val="00565115"/>
    <w:rsid w:val="005651A7"/>
    <w:rsid w:val="00570F05"/>
    <w:rsid w:val="005733CE"/>
    <w:rsid w:val="005844E5"/>
    <w:rsid w:val="0058708B"/>
    <w:rsid w:val="00590DD1"/>
    <w:rsid w:val="00591C98"/>
    <w:rsid w:val="0059615C"/>
    <w:rsid w:val="005B65F9"/>
    <w:rsid w:val="005D6A64"/>
    <w:rsid w:val="005E5ED7"/>
    <w:rsid w:val="005E62B3"/>
    <w:rsid w:val="005F0D6A"/>
    <w:rsid w:val="005F529D"/>
    <w:rsid w:val="005F7976"/>
    <w:rsid w:val="006022E2"/>
    <w:rsid w:val="00602F15"/>
    <w:rsid w:val="00605C32"/>
    <w:rsid w:val="00616C6D"/>
    <w:rsid w:val="0062353F"/>
    <w:rsid w:val="00623A35"/>
    <w:rsid w:val="00625F1A"/>
    <w:rsid w:val="00636B2D"/>
    <w:rsid w:val="0064402E"/>
    <w:rsid w:val="00647A31"/>
    <w:rsid w:val="00665487"/>
    <w:rsid w:val="00670A8C"/>
    <w:rsid w:val="0067159E"/>
    <w:rsid w:val="006854E9"/>
    <w:rsid w:val="00694481"/>
    <w:rsid w:val="006968A3"/>
    <w:rsid w:val="006A1A0D"/>
    <w:rsid w:val="006A3F40"/>
    <w:rsid w:val="006A451F"/>
    <w:rsid w:val="006A67CC"/>
    <w:rsid w:val="006B0CD4"/>
    <w:rsid w:val="006B5C27"/>
    <w:rsid w:val="006C07E0"/>
    <w:rsid w:val="006C31EF"/>
    <w:rsid w:val="006C34CF"/>
    <w:rsid w:val="006C435F"/>
    <w:rsid w:val="006D3772"/>
    <w:rsid w:val="006D6F67"/>
    <w:rsid w:val="006E3290"/>
    <w:rsid w:val="006E341B"/>
    <w:rsid w:val="006F00A7"/>
    <w:rsid w:val="006F34F5"/>
    <w:rsid w:val="007002EF"/>
    <w:rsid w:val="0070073B"/>
    <w:rsid w:val="007059AC"/>
    <w:rsid w:val="00705C16"/>
    <w:rsid w:val="007161DF"/>
    <w:rsid w:val="007279E1"/>
    <w:rsid w:val="0073269F"/>
    <w:rsid w:val="0074214E"/>
    <w:rsid w:val="00753814"/>
    <w:rsid w:val="0076470D"/>
    <w:rsid w:val="007650AD"/>
    <w:rsid w:val="0077404A"/>
    <w:rsid w:val="007748A2"/>
    <w:rsid w:val="007753FD"/>
    <w:rsid w:val="007778D8"/>
    <w:rsid w:val="00780CEF"/>
    <w:rsid w:val="007819D4"/>
    <w:rsid w:val="007827E4"/>
    <w:rsid w:val="00784352"/>
    <w:rsid w:val="00794E8D"/>
    <w:rsid w:val="00795A44"/>
    <w:rsid w:val="007A1890"/>
    <w:rsid w:val="007A43A1"/>
    <w:rsid w:val="007B56C5"/>
    <w:rsid w:val="007B6FC5"/>
    <w:rsid w:val="007C16D2"/>
    <w:rsid w:val="007C1C7F"/>
    <w:rsid w:val="007C2FA1"/>
    <w:rsid w:val="007C349B"/>
    <w:rsid w:val="007C3E9D"/>
    <w:rsid w:val="007E3218"/>
    <w:rsid w:val="007E655B"/>
    <w:rsid w:val="007E6CE6"/>
    <w:rsid w:val="007E7B33"/>
    <w:rsid w:val="007F6825"/>
    <w:rsid w:val="008028F9"/>
    <w:rsid w:val="0080421B"/>
    <w:rsid w:val="00805078"/>
    <w:rsid w:val="0080539C"/>
    <w:rsid w:val="0081278D"/>
    <w:rsid w:val="00814DBF"/>
    <w:rsid w:val="008163DD"/>
    <w:rsid w:val="0082014E"/>
    <w:rsid w:val="00823A32"/>
    <w:rsid w:val="00830A19"/>
    <w:rsid w:val="00832778"/>
    <w:rsid w:val="00835995"/>
    <w:rsid w:val="00847270"/>
    <w:rsid w:val="00851A98"/>
    <w:rsid w:val="008552B7"/>
    <w:rsid w:val="00860259"/>
    <w:rsid w:val="00871F04"/>
    <w:rsid w:val="008759ED"/>
    <w:rsid w:val="00880DC3"/>
    <w:rsid w:val="008914F8"/>
    <w:rsid w:val="00893003"/>
    <w:rsid w:val="008A384E"/>
    <w:rsid w:val="008A5717"/>
    <w:rsid w:val="008B6D97"/>
    <w:rsid w:val="008C4FE6"/>
    <w:rsid w:val="008C6235"/>
    <w:rsid w:val="008C6EEA"/>
    <w:rsid w:val="008D3AEB"/>
    <w:rsid w:val="008D50FC"/>
    <w:rsid w:val="008D6E65"/>
    <w:rsid w:val="008E7E7F"/>
    <w:rsid w:val="008E7FFD"/>
    <w:rsid w:val="008F6B78"/>
    <w:rsid w:val="00903123"/>
    <w:rsid w:val="00904670"/>
    <w:rsid w:val="00910DEA"/>
    <w:rsid w:val="00914C3F"/>
    <w:rsid w:val="009224F3"/>
    <w:rsid w:val="00923C74"/>
    <w:rsid w:val="00927A7C"/>
    <w:rsid w:val="00931A41"/>
    <w:rsid w:val="0093562A"/>
    <w:rsid w:val="009416A0"/>
    <w:rsid w:val="0094298B"/>
    <w:rsid w:val="00944B56"/>
    <w:rsid w:val="0094606C"/>
    <w:rsid w:val="00946E93"/>
    <w:rsid w:val="00965FB0"/>
    <w:rsid w:val="0097471C"/>
    <w:rsid w:val="0098015F"/>
    <w:rsid w:val="00980F89"/>
    <w:rsid w:val="009816B5"/>
    <w:rsid w:val="009819B4"/>
    <w:rsid w:val="00982E4A"/>
    <w:rsid w:val="00987528"/>
    <w:rsid w:val="009A1824"/>
    <w:rsid w:val="009A1AA1"/>
    <w:rsid w:val="009A5C51"/>
    <w:rsid w:val="009B40B8"/>
    <w:rsid w:val="009C2989"/>
    <w:rsid w:val="009C684E"/>
    <w:rsid w:val="009D21EA"/>
    <w:rsid w:val="009D2EED"/>
    <w:rsid w:val="009D4854"/>
    <w:rsid w:val="009E0622"/>
    <w:rsid w:val="009F6B47"/>
    <w:rsid w:val="00A172AB"/>
    <w:rsid w:val="00A2168A"/>
    <w:rsid w:val="00A22EBF"/>
    <w:rsid w:val="00A2421D"/>
    <w:rsid w:val="00A44597"/>
    <w:rsid w:val="00A470DA"/>
    <w:rsid w:val="00A47750"/>
    <w:rsid w:val="00A51E4A"/>
    <w:rsid w:val="00A568AD"/>
    <w:rsid w:val="00A57573"/>
    <w:rsid w:val="00A57EF7"/>
    <w:rsid w:val="00A6161A"/>
    <w:rsid w:val="00A66D41"/>
    <w:rsid w:val="00A716B4"/>
    <w:rsid w:val="00A92D56"/>
    <w:rsid w:val="00A94ED3"/>
    <w:rsid w:val="00A974B8"/>
    <w:rsid w:val="00AA47EF"/>
    <w:rsid w:val="00AB247E"/>
    <w:rsid w:val="00AB6EEE"/>
    <w:rsid w:val="00AC0183"/>
    <w:rsid w:val="00AC24DA"/>
    <w:rsid w:val="00AC48D9"/>
    <w:rsid w:val="00AD6053"/>
    <w:rsid w:val="00AE37A5"/>
    <w:rsid w:val="00AE3902"/>
    <w:rsid w:val="00AE3AD8"/>
    <w:rsid w:val="00AE487B"/>
    <w:rsid w:val="00AE4B6A"/>
    <w:rsid w:val="00AE6605"/>
    <w:rsid w:val="00AF2D7A"/>
    <w:rsid w:val="00AF4090"/>
    <w:rsid w:val="00AF4A51"/>
    <w:rsid w:val="00AF6FF9"/>
    <w:rsid w:val="00B02232"/>
    <w:rsid w:val="00B111A7"/>
    <w:rsid w:val="00B22108"/>
    <w:rsid w:val="00B3306A"/>
    <w:rsid w:val="00B34F41"/>
    <w:rsid w:val="00B35D06"/>
    <w:rsid w:val="00B41DBD"/>
    <w:rsid w:val="00B46BF2"/>
    <w:rsid w:val="00B47E4B"/>
    <w:rsid w:val="00B66546"/>
    <w:rsid w:val="00B674B1"/>
    <w:rsid w:val="00B70A21"/>
    <w:rsid w:val="00B72BC3"/>
    <w:rsid w:val="00B7668B"/>
    <w:rsid w:val="00B8076B"/>
    <w:rsid w:val="00B82745"/>
    <w:rsid w:val="00B83C69"/>
    <w:rsid w:val="00B85B52"/>
    <w:rsid w:val="00B91C21"/>
    <w:rsid w:val="00B91E63"/>
    <w:rsid w:val="00B95107"/>
    <w:rsid w:val="00B9589F"/>
    <w:rsid w:val="00B979AB"/>
    <w:rsid w:val="00BA2082"/>
    <w:rsid w:val="00BA25D4"/>
    <w:rsid w:val="00BA4A0E"/>
    <w:rsid w:val="00BA5136"/>
    <w:rsid w:val="00BA6652"/>
    <w:rsid w:val="00BA72E3"/>
    <w:rsid w:val="00BC001F"/>
    <w:rsid w:val="00BC19B7"/>
    <w:rsid w:val="00BC2126"/>
    <w:rsid w:val="00BC481C"/>
    <w:rsid w:val="00BC7291"/>
    <w:rsid w:val="00BD3B27"/>
    <w:rsid w:val="00BE1F5F"/>
    <w:rsid w:val="00BE276C"/>
    <w:rsid w:val="00BE368B"/>
    <w:rsid w:val="00BE5E79"/>
    <w:rsid w:val="00BF388B"/>
    <w:rsid w:val="00BF4F94"/>
    <w:rsid w:val="00BF5A94"/>
    <w:rsid w:val="00C0665E"/>
    <w:rsid w:val="00C11C90"/>
    <w:rsid w:val="00C24C12"/>
    <w:rsid w:val="00C27C64"/>
    <w:rsid w:val="00C327DF"/>
    <w:rsid w:val="00C33FF7"/>
    <w:rsid w:val="00C5267A"/>
    <w:rsid w:val="00C52D00"/>
    <w:rsid w:val="00C53604"/>
    <w:rsid w:val="00C55D3E"/>
    <w:rsid w:val="00C62773"/>
    <w:rsid w:val="00C64DFB"/>
    <w:rsid w:val="00C66256"/>
    <w:rsid w:val="00C708C1"/>
    <w:rsid w:val="00C76873"/>
    <w:rsid w:val="00C77BDD"/>
    <w:rsid w:val="00C80E5A"/>
    <w:rsid w:val="00C8776F"/>
    <w:rsid w:val="00C91112"/>
    <w:rsid w:val="00C95C40"/>
    <w:rsid w:val="00CA06CF"/>
    <w:rsid w:val="00CA174C"/>
    <w:rsid w:val="00CA18E6"/>
    <w:rsid w:val="00CA35F4"/>
    <w:rsid w:val="00CA4A81"/>
    <w:rsid w:val="00CA7D2B"/>
    <w:rsid w:val="00CA7ED2"/>
    <w:rsid w:val="00CB7577"/>
    <w:rsid w:val="00CB7606"/>
    <w:rsid w:val="00CC4462"/>
    <w:rsid w:val="00CF0B6A"/>
    <w:rsid w:val="00CF1A98"/>
    <w:rsid w:val="00CF37F6"/>
    <w:rsid w:val="00D01632"/>
    <w:rsid w:val="00D04C79"/>
    <w:rsid w:val="00D13627"/>
    <w:rsid w:val="00D42656"/>
    <w:rsid w:val="00D45579"/>
    <w:rsid w:val="00D5559D"/>
    <w:rsid w:val="00D62856"/>
    <w:rsid w:val="00D63807"/>
    <w:rsid w:val="00D6547E"/>
    <w:rsid w:val="00D70C8D"/>
    <w:rsid w:val="00D74AAF"/>
    <w:rsid w:val="00D80CC9"/>
    <w:rsid w:val="00D9367B"/>
    <w:rsid w:val="00D97F0A"/>
    <w:rsid w:val="00DB12AE"/>
    <w:rsid w:val="00DC5731"/>
    <w:rsid w:val="00DC5EC7"/>
    <w:rsid w:val="00DC6BED"/>
    <w:rsid w:val="00DD44D8"/>
    <w:rsid w:val="00DD461F"/>
    <w:rsid w:val="00DD5A6A"/>
    <w:rsid w:val="00DE0EE3"/>
    <w:rsid w:val="00DE173B"/>
    <w:rsid w:val="00DE27F9"/>
    <w:rsid w:val="00DE4A02"/>
    <w:rsid w:val="00E008C4"/>
    <w:rsid w:val="00E022AA"/>
    <w:rsid w:val="00E05C5F"/>
    <w:rsid w:val="00E10E7F"/>
    <w:rsid w:val="00E1243B"/>
    <w:rsid w:val="00E13CC8"/>
    <w:rsid w:val="00E206D4"/>
    <w:rsid w:val="00E207CA"/>
    <w:rsid w:val="00E22797"/>
    <w:rsid w:val="00E366FA"/>
    <w:rsid w:val="00E36980"/>
    <w:rsid w:val="00E407A9"/>
    <w:rsid w:val="00E41B22"/>
    <w:rsid w:val="00E43F46"/>
    <w:rsid w:val="00E53DA7"/>
    <w:rsid w:val="00E6093E"/>
    <w:rsid w:val="00E6402F"/>
    <w:rsid w:val="00E64F3F"/>
    <w:rsid w:val="00E80C56"/>
    <w:rsid w:val="00E812AD"/>
    <w:rsid w:val="00E86F91"/>
    <w:rsid w:val="00E90B7C"/>
    <w:rsid w:val="00EA001E"/>
    <w:rsid w:val="00EB0683"/>
    <w:rsid w:val="00EB12E4"/>
    <w:rsid w:val="00EB70B3"/>
    <w:rsid w:val="00ED169D"/>
    <w:rsid w:val="00ED1C70"/>
    <w:rsid w:val="00ED5ABA"/>
    <w:rsid w:val="00ED7A06"/>
    <w:rsid w:val="00EE3C64"/>
    <w:rsid w:val="00EE4912"/>
    <w:rsid w:val="00EE4FB3"/>
    <w:rsid w:val="00EF50D3"/>
    <w:rsid w:val="00EF6FCF"/>
    <w:rsid w:val="00F005C8"/>
    <w:rsid w:val="00F03C96"/>
    <w:rsid w:val="00F05B99"/>
    <w:rsid w:val="00F100F9"/>
    <w:rsid w:val="00F16651"/>
    <w:rsid w:val="00F20FA5"/>
    <w:rsid w:val="00F22518"/>
    <w:rsid w:val="00F327AF"/>
    <w:rsid w:val="00F37BE2"/>
    <w:rsid w:val="00F411A0"/>
    <w:rsid w:val="00F557F8"/>
    <w:rsid w:val="00F5628B"/>
    <w:rsid w:val="00F642E2"/>
    <w:rsid w:val="00F650D0"/>
    <w:rsid w:val="00F6628F"/>
    <w:rsid w:val="00F67E82"/>
    <w:rsid w:val="00F72196"/>
    <w:rsid w:val="00F77B32"/>
    <w:rsid w:val="00F80402"/>
    <w:rsid w:val="00F83098"/>
    <w:rsid w:val="00F83551"/>
    <w:rsid w:val="00F9634C"/>
    <w:rsid w:val="00FA73D5"/>
    <w:rsid w:val="00FA7787"/>
    <w:rsid w:val="00FB0C75"/>
    <w:rsid w:val="00FB1506"/>
    <w:rsid w:val="00FB1951"/>
    <w:rsid w:val="00FB52FA"/>
    <w:rsid w:val="00FB69DC"/>
    <w:rsid w:val="00FD0CCB"/>
    <w:rsid w:val="00FD6CC8"/>
    <w:rsid w:val="00FE1889"/>
    <w:rsid w:val="00FF1F3D"/>
    <w:rsid w:val="00FF3353"/>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877EE"/>
  <w15:chartTrackingRefBased/>
  <w15:docId w15:val="{907B5B47-79F2-4C7F-9ABE-6B3AE92D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31"/>
  </w:style>
  <w:style w:type="paragraph" w:styleId="Heading1">
    <w:name w:val="heading 1"/>
    <w:basedOn w:val="Normal"/>
    <w:next w:val="Normal"/>
    <w:link w:val="Heading1Char"/>
    <w:uiPriority w:val="9"/>
    <w:qFormat/>
    <w:rsid w:val="00E90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733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731"/>
    <w:pPr>
      <w:ind w:left="720"/>
      <w:contextualSpacing/>
    </w:pPr>
    <w:rPr>
      <w:lang w:val="en-US"/>
    </w:rPr>
  </w:style>
  <w:style w:type="paragraph" w:styleId="Header">
    <w:name w:val="header"/>
    <w:basedOn w:val="Normal"/>
    <w:link w:val="HeaderChar"/>
    <w:uiPriority w:val="99"/>
    <w:unhideWhenUsed/>
    <w:rsid w:val="00453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4"/>
  </w:style>
  <w:style w:type="paragraph" w:styleId="Footer">
    <w:name w:val="footer"/>
    <w:basedOn w:val="Normal"/>
    <w:link w:val="FooterChar"/>
    <w:uiPriority w:val="99"/>
    <w:unhideWhenUsed/>
    <w:rsid w:val="00453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4"/>
  </w:style>
  <w:style w:type="paragraph" w:customStyle="1" w:styleId="AbstHead">
    <w:name w:val="Abst Head"/>
    <w:basedOn w:val="Normal"/>
    <w:rsid w:val="000E35EE"/>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0D57AA"/>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366636"/>
    <w:rPr>
      <w:color w:val="0000FF"/>
      <w:u w:val="single"/>
    </w:rPr>
  </w:style>
  <w:style w:type="character" w:customStyle="1" w:styleId="UnresolvedMention1">
    <w:name w:val="Unresolved Mention1"/>
    <w:basedOn w:val="DefaultParagraphFont"/>
    <w:uiPriority w:val="99"/>
    <w:semiHidden/>
    <w:unhideWhenUsed/>
    <w:rsid w:val="00357281"/>
    <w:rPr>
      <w:color w:val="605E5C"/>
      <w:shd w:val="clear" w:color="auto" w:fill="E1DFDD"/>
    </w:rPr>
  </w:style>
  <w:style w:type="character" w:styleId="Emphasis">
    <w:name w:val="Emphasis"/>
    <w:basedOn w:val="DefaultParagraphFont"/>
    <w:uiPriority w:val="20"/>
    <w:qFormat/>
    <w:rsid w:val="00013BA6"/>
    <w:rPr>
      <w:i/>
      <w:iCs/>
    </w:rPr>
  </w:style>
  <w:style w:type="character" w:customStyle="1" w:styleId="Heading3Char">
    <w:name w:val="Heading 3 Char"/>
    <w:basedOn w:val="DefaultParagraphFont"/>
    <w:link w:val="Heading3"/>
    <w:uiPriority w:val="9"/>
    <w:rsid w:val="005733CE"/>
    <w:rPr>
      <w:rFonts w:ascii="Times New Roman" w:eastAsia="Times New Roman" w:hAnsi="Times New Roman" w:cs="Times New Roman"/>
      <w:b/>
      <w:bCs/>
      <w:sz w:val="27"/>
      <w:szCs w:val="27"/>
      <w:lang w:eastAsia="en-GB"/>
    </w:rPr>
  </w:style>
  <w:style w:type="paragraph" w:customStyle="1" w:styleId="ConcHead">
    <w:name w:val="Conc Head"/>
    <w:basedOn w:val="Normal"/>
    <w:rsid w:val="006D6F67"/>
    <w:pPr>
      <w:keepNext/>
      <w:spacing w:after="240" w:line="240" w:lineRule="auto"/>
    </w:pPr>
    <w:rPr>
      <w:rFonts w:ascii="Helvetica" w:eastAsia="Times New Roman" w:hAnsi="Helvetica" w:cs="Times New Roman"/>
      <w:b/>
      <w:caps/>
      <w:szCs w:val="20"/>
      <w:lang w:val="en-US"/>
    </w:rPr>
  </w:style>
  <w:style w:type="character" w:styleId="HTMLCite">
    <w:name w:val="HTML Cite"/>
    <w:basedOn w:val="DefaultParagraphFont"/>
    <w:uiPriority w:val="99"/>
    <w:semiHidden/>
    <w:unhideWhenUsed/>
    <w:rsid w:val="00E64F3F"/>
    <w:rPr>
      <w:i/>
      <w:iCs/>
    </w:rPr>
  </w:style>
  <w:style w:type="character" w:customStyle="1" w:styleId="mord">
    <w:name w:val="mord"/>
    <w:basedOn w:val="DefaultParagraphFont"/>
    <w:rsid w:val="00E64F3F"/>
  </w:style>
  <w:style w:type="character" w:styleId="Strong">
    <w:name w:val="Strong"/>
    <w:basedOn w:val="DefaultParagraphFont"/>
    <w:uiPriority w:val="22"/>
    <w:qFormat/>
    <w:rsid w:val="000D36CD"/>
    <w:rPr>
      <w:b/>
      <w:bCs/>
    </w:rPr>
  </w:style>
  <w:style w:type="table" w:styleId="TableGrid">
    <w:name w:val="Table Grid"/>
    <w:basedOn w:val="TableNormal"/>
    <w:uiPriority w:val="59"/>
    <w:rsid w:val="000024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0B7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AF40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E4FB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B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41537">
      <w:bodyDiv w:val="1"/>
      <w:marLeft w:val="0"/>
      <w:marRight w:val="0"/>
      <w:marTop w:val="0"/>
      <w:marBottom w:val="0"/>
      <w:divBdr>
        <w:top w:val="none" w:sz="0" w:space="0" w:color="auto"/>
        <w:left w:val="none" w:sz="0" w:space="0" w:color="auto"/>
        <w:bottom w:val="none" w:sz="0" w:space="0" w:color="auto"/>
        <w:right w:val="none" w:sz="0" w:space="0" w:color="auto"/>
      </w:divBdr>
    </w:div>
    <w:div w:id="347676674">
      <w:bodyDiv w:val="1"/>
      <w:marLeft w:val="0"/>
      <w:marRight w:val="0"/>
      <w:marTop w:val="0"/>
      <w:marBottom w:val="0"/>
      <w:divBdr>
        <w:top w:val="none" w:sz="0" w:space="0" w:color="auto"/>
        <w:left w:val="none" w:sz="0" w:space="0" w:color="auto"/>
        <w:bottom w:val="none" w:sz="0" w:space="0" w:color="auto"/>
        <w:right w:val="none" w:sz="0" w:space="0" w:color="auto"/>
      </w:divBdr>
    </w:div>
    <w:div w:id="454905454">
      <w:bodyDiv w:val="1"/>
      <w:marLeft w:val="0"/>
      <w:marRight w:val="0"/>
      <w:marTop w:val="0"/>
      <w:marBottom w:val="0"/>
      <w:divBdr>
        <w:top w:val="none" w:sz="0" w:space="0" w:color="auto"/>
        <w:left w:val="none" w:sz="0" w:space="0" w:color="auto"/>
        <w:bottom w:val="none" w:sz="0" w:space="0" w:color="auto"/>
        <w:right w:val="none" w:sz="0" w:space="0" w:color="auto"/>
      </w:divBdr>
      <w:divsChild>
        <w:div w:id="2755322">
          <w:marLeft w:val="0"/>
          <w:marRight w:val="0"/>
          <w:marTop w:val="0"/>
          <w:marBottom w:val="0"/>
          <w:divBdr>
            <w:top w:val="none" w:sz="0" w:space="0" w:color="auto"/>
            <w:left w:val="none" w:sz="0" w:space="0" w:color="auto"/>
            <w:bottom w:val="none" w:sz="0" w:space="0" w:color="auto"/>
            <w:right w:val="none" w:sz="0" w:space="0" w:color="auto"/>
          </w:divBdr>
          <w:divsChild>
            <w:div w:id="164327942">
              <w:marLeft w:val="0"/>
              <w:marRight w:val="0"/>
              <w:marTop w:val="0"/>
              <w:marBottom w:val="0"/>
              <w:divBdr>
                <w:top w:val="single" w:sz="2" w:space="0" w:color="000000"/>
                <w:left w:val="single" w:sz="2" w:space="0" w:color="000000"/>
                <w:bottom w:val="single" w:sz="2" w:space="0" w:color="000000"/>
                <w:right w:val="single" w:sz="2" w:space="0" w:color="000000"/>
              </w:divBdr>
              <w:divsChild>
                <w:div w:id="135013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0831410">
      <w:bodyDiv w:val="1"/>
      <w:marLeft w:val="0"/>
      <w:marRight w:val="0"/>
      <w:marTop w:val="0"/>
      <w:marBottom w:val="0"/>
      <w:divBdr>
        <w:top w:val="none" w:sz="0" w:space="0" w:color="auto"/>
        <w:left w:val="none" w:sz="0" w:space="0" w:color="auto"/>
        <w:bottom w:val="none" w:sz="0" w:space="0" w:color="auto"/>
        <w:right w:val="none" w:sz="0" w:space="0" w:color="auto"/>
      </w:divBdr>
    </w:div>
    <w:div w:id="534196336">
      <w:bodyDiv w:val="1"/>
      <w:marLeft w:val="0"/>
      <w:marRight w:val="0"/>
      <w:marTop w:val="0"/>
      <w:marBottom w:val="0"/>
      <w:divBdr>
        <w:top w:val="none" w:sz="0" w:space="0" w:color="auto"/>
        <w:left w:val="none" w:sz="0" w:space="0" w:color="auto"/>
        <w:bottom w:val="none" w:sz="0" w:space="0" w:color="auto"/>
        <w:right w:val="none" w:sz="0" w:space="0" w:color="auto"/>
      </w:divBdr>
    </w:div>
    <w:div w:id="847526045">
      <w:bodyDiv w:val="1"/>
      <w:marLeft w:val="0"/>
      <w:marRight w:val="0"/>
      <w:marTop w:val="0"/>
      <w:marBottom w:val="0"/>
      <w:divBdr>
        <w:top w:val="none" w:sz="0" w:space="0" w:color="auto"/>
        <w:left w:val="none" w:sz="0" w:space="0" w:color="auto"/>
        <w:bottom w:val="none" w:sz="0" w:space="0" w:color="auto"/>
        <w:right w:val="none" w:sz="0" w:space="0" w:color="auto"/>
      </w:divBdr>
    </w:div>
    <w:div w:id="850337422">
      <w:bodyDiv w:val="1"/>
      <w:marLeft w:val="0"/>
      <w:marRight w:val="0"/>
      <w:marTop w:val="0"/>
      <w:marBottom w:val="0"/>
      <w:divBdr>
        <w:top w:val="none" w:sz="0" w:space="0" w:color="auto"/>
        <w:left w:val="none" w:sz="0" w:space="0" w:color="auto"/>
        <w:bottom w:val="none" w:sz="0" w:space="0" w:color="auto"/>
        <w:right w:val="none" w:sz="0" w:space="0" w:color="auto"/>
      </w:divBdr>
    </w:div>
    <w:div w:id="953555858">
      <w:bodyDiv w:val="1"/>
      <w:marLeft w:val="0"/>
      <w:marRight w:val="0"/>
      <w:marTop w:val="0"/>
      <w:marBottom w:val="0"/>
      <w:divBdr>
        <w:top w:val="none" w:sz="0" w:space="0" w:color="auto"/>
        <w:left w:val="none" w:sz="0" w:space="0" w:color="auto"/>
        <w:bottom w:val="none" w:sz="0" w:space="0" w:color="auto"/>
        <w:right w:val="none" w:sz="0" w:space="0" w:color="auto"/>
      </w:divBdr>
    </w:div>
    <w:div w:id="1050304625">
      <w:bodyDiv w:val="1"/>
      <w:marLeft w:val="0"/>
      <w:marRight w:val="0"/>
      <w:marTop w:val="0"/>
      <w:marBottom w:val="0"/>
      <w:divBdr>
        <w:top w:val="none" w:sz="0" w:space="0" w:color="auto"/>
        <w:left w:val="none" w:sz="0" w:space="0" w:color="auto"/>
        <w:bottom w:val="none" w:sz="0" w:space="0" w:color="auto"/>
        <w:right w:val="none" w:sz="0" w:space="0" w:color="auto"/>
      </w:divBdr>
    </w:div>
    <w:div w:id="1252617499">
      <w:bodyDiv w:val="1"/>
      <w:marLeft w:val="0"/>
      <w:marRight w:val="0"/>
      <w:marTop w:val="0"/>
      <w:marBottom w:val="0"/>
      <w:divBdr>
        <w:top w:val="none" w:sz="0" w:space="0" w:color="auto"/>
        <w:left w:val="none" w:sz="0" w:space="0" w:color="auto"/>
        <w:bottom w:val="none" w:sz="0" w:space="0" w:color="auto"/>
        <w:right w:val="none" w:sz="0" w:space="0" w:color="auto"/>
      </w:divBdr>
      <w:divsChild>
        <w:div w:id="746338757">
          <w:marLeft w:val="0"/>
          <w:marRight w:val="0"/>
          <w:marTop w:val="0"/>
          <w:marBottom w:val="0"/>
          <w:divBdr>
            <w:top w:val="none" w:sz="0" w:space="0" w:color="auto"/>
            <w:left w:val="none" w:sz="0" w:space="0" w:color="auto"/>
            <w:bottom w:val="none" w:sz="0" w:space="0" w:color="auto"/>
            <w:right w:val="none" w:sz="0" w:space="0" w:color="auto"/>
          </w:divBdr>
        </w:div>
      </w:divsChild>
    </w:div>
    <w:div w:id="1282423312">
      <w:bodyDiv w:val="1"/>
      <w:marLeft w:val="0"/>
      <w:marRight w:val="0"/>
      <w:marTop w:val="0"/>
      <w:marBottom w:val="0"/>
      <w:divBdr>
        <w:top w:val="none" w:sz="0" w:space="0" w:color="auto"/>
        <w:left w:val="none" w:sz="0" w:space="0" w:color="auto"/>
        <w:bottom w:val="none" w:sz="0" w:space="0" w:color="auto"/>
        <w:right w:val="none" w:sz="0" w:space="0" w:color="auto"/>
      </w:divBdr>
      <w:divsChild>
        <w:div w:id="713695840">
          <w:marLeft w:val="0"/>
          <w:marRight w:val="0"/>
          <w:marTop w:val="0"/>
          <w:marBottom w:val="0"/>
          <w:divBdr>
            <w:top w:val="none" w:sz="0" w:space="0" w:color="auto"/>
            <w:left w:val="none" w:sz="0" w:space="0" w:color="auto"/>
            <w:bottom w:val="none" w:sz="0" w:space="0" w:color="auto"/>
            <w:right w:val="none" w:sz="0" w:space="0" w:color="auto"/>
          </w:divBdr>
        </w:div>
      </w:divsChild>
    </w:div>
    <w:div w:id="1294091375">
      <w:bodyDiv w:val="1"/>
      <w:marLeft w:val="0"/>
      <w:marRight w:val="0"/>
      <w:marTop w:val="0"/>
      <w:marBottom w:val="0"/>
      <w:divBdr>
        <w:top w:val="none" w:sz="0" w:space="0" w:color="auto"/>
        <w:left w:val="none" w:sz="0" w:space="0" w:color="auto"/>
        <w:bottom w:val="none" w:sz="0" w:space="0" w:color="auto"/>
        <w:right w:val="none" w:sz="0" w:space="0" w:color="auto"/>
      </w:divBdr>
    </w:div>
    <w:div w:id="1372346527">
      <w:bodyDiv w:val="1"/>
      <w:marLeft w:val="0"/>
      <w:marRight w:val="0"/>
      <w:marTop w:val="0"/>
      <w:marBottom w:val="0"/>
      <w:divBdr>
        <w:top w:val="none" w:sz="0" w:space="0" w:color="auto"/>
        <w:left w:val="none" w:sz="0" w:space="0" w:color="auto"/>
        <w:bottom w:val="none" w:sz="0" w:space="0" w:color="auto"/>
        <w:right w:val="none" w:sz="0" w:space="0" w:color="auto"/>
      </w:divBdr>
    </w:div>
    <w:div w:id="1415475249">
      <w:bodyDiv w:val="1"/>
      <w:marLeft w:val="0"/>
      <w:marRight w:val="0"/>
      <w:marTop w:val="0"/>
      <w:marBottom w:val="0"/>
      <w:divBdr>
        <w:top w:val="none" w:sz="0" w:space="0" w:color="auto"/>
        <w:left w:val="none" w:sz="0" w:space="0" w:color="auto"/>
        <w:bottom w:val="none" w:sz="0" w:space="0" w:color="auto"/>
        <w:right w:val="none" w:sz="0" w:space="0" w:color="auto"/>
      </w:divBdr>
    </w:div>
    <w:div w:id="1649090518">
      <w:bodyDiv w:val="1"/>
      <w:marLeft w:val="0"/>
      <w:marRight w:val="0"/>
      <w:marTop w:val="0"/>
      <w:marBottom w:val="0"/>
      <w:divBdr>
        <w:top w:val="none" w:sz="0" w:space="0" w:color="auto"/>
        <w:left w:val="none" w:sz="0" w:space="0" w:color="auto"/>
        <w:bottom w:val="none" w:sz="0" w:space="0" w:color="auto"/>
        <w:right w:val="none" w:sz="0" w:space="0" w:color="auto"/>
      </w:divBdr>
    </w:div>
    <w:div w:id="1657685711">
      <w:bodyDiv w:val="1"/>
      <w:marLeft w:val="0"/>
      <w:marRight w:val="0"/>
      <w:marTop w:val="0"/>
      <w:marBottom w:val="0"/>
      <w:divBdr>
        <w:top w:val="none" w:sz="0" w:space="0" w:color="auto"/>
        <w:left w:val="none" w:sz="0" w:space="0" w:color="auto"/>
        <w:bottom w:val="none" w:sz="0" w:space="0" w:color="auto"/>
        <w:right w:val="none" w:sz="0" w:space="0" w:color="auto"/>
      </w:divBdr>
      <w:divsChild>
        <w:div w:id="1633438307">
          <w:marLeft w:val="0"/>
          <w:marRight w:val="0"/>
          <w:marTop w:val="0"/>
          <w:marBottom w:val="0"/>
          <w:divBdr>
            <w:top w:val="none" w:sz="0" w:space="0" w:color="auto"/>
            <w:left w:val="none" w:sz="0" w:space="0" w:color="auto"/>
            <w:bottom w:val="none" w:sz="0" w:space="0" w:color="auto"/>
            <w:right w:val="none" w:sz="0" w:space="0" w:color="auto"/>
          </w:divBdr>
        </w:div>
      </w:divsChild>
    </w:div>
    <w:div w:id="1686593221">
      <w:bodyDiv w:val="1"/>
      <w:marLeft w:val="0"/>
      <w:marRight w:val="0"/>
      <w:marTop w:val="0"/>
      <w:marBottom w:val="0"/>
      <w:divBdr>
        <w:top w:val="none" w:sz="0" w:space="0" w:color="auto"/>
        <w:left w:val="none" w:sz="0" w:space="0" w:color="auto"/>
        <w:bottom w:val="none" w:sz="0" w:space="0" w:color="auto"/>
        <w:right w:val="none" w:sz="0" w:space="0" w:color="auto"/>
      </w:divBdr>
    </w:div>
    <w:div w:id="1734620616">
      <w:bodyDiv w:val="1"/>
      <w:marLeft w:val="0"/>
      <w:marRight w:val="0"/>
      <w:marTop w:val="0"/>
      <w:marBottom w:val="0"/>
      <w:divBdr>
        <w:top w:val="none" w:sz="0" w:space="0" w:color="auto"/>
        <w:left w:val="none" w:sz="0" w:space="0" w:color="auto"/>
        <w:bottom w:val="none" w:sz="0" w:space="0" w:color="auto"/>
        <w:right w:val="none" w:sz="0" w:space="0" w:color="auto"/>
      </w:divBdr>
    </w:div>
    <w:div w:id="2082553514">
      <w:bodyDiv w:val="1"/>
      <w:marLeft w:val="0"/>
      <w:marRight w:val="0"/>
      <w:marTop w:val="0"/>
      <w:marBottom w:val="0"/>
      <w:divBdr>
        <w:top w:val="none" w:sz="0" w:space="0" w:color="auto"/>
        <w:left w:val="none" w:sz="0" w:space="0" w:color="auto"/>
        <w:bottom w:val="none" w:sz="0" w:space="0" w:color="auto"/>
        <w:right w:val="none" w:sz="0" w:space="0" w:color="auto"/>
      </w:divBdr>
    </w:div>
    <w:div w:id="2088533951">
      <w:bodyDiv w:val="1"/>
      <w:marLeft w:val="0"/>
      <w:marRight w:val="0"/>
      <w:marTop w:val="0"/>
      <w:marBottom w:val="0"/>
      <w:divBdr>
        <w:top w:val="none" w:sz="0" w:space="0" w:color="auto"/>
        <w:left w:val="none" w:sz="0" w:space="0" w:color="auto"/>
        <w:bottom w:val="none" w:sz="0" w:space="0" w:color="auto"/>
        <w:right w:val="none" w:sz="0" w:space="0" w:color="auto"/>
      </w:divBdr>
    </w:div>
    <w:div w:id="2130199560">
      <w:bodyDiv w:val="1"/>
      <w:marLeft w:val="0"/>
      <w:marRight w:val="0"/>
      <w:marTop w:val="0"/>
      <w:marBottom w:val="0"/>
      <w:divBdr>
        <w:top w:val="none" w:sz="0" w:space="0" w:color="auto"/>
        <w:left w:val="none" w:sz="0" w:space="0" w:color="auto"/>
        <w:bottom w:val="none" w:sz="0" w:space="0" w:color="auto"/>
        <w:right w:val="none" w:sz="0" w:space="0" w:color="auto"/>
      </w:divBdr>
      <w:divsChild>
        <w:div w:id="150801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021/jacs.4c16035" TargetMode="External"/><Relationship Id="rId21" Type="http://schemas.openxmlformats.org/officeDocument/2006/relationships/hyperlink" Target="https://doi.org/10.1016/j.rechem.2024.101941" TargetMode="External"/><Relationship Id="rId34"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hyperlink" Target="https://doi.org/10.3390/app1103118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doi.org/10.1021/acsomega.3c085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oi.org/10.3390/pr1206105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16/j.mtchem.2020.100349" TargetMode="External"/><Relationship Id="rId28" Type="http://schemas.openxmlformats.org/officeDocument/2006/relationships/hyperlink" Target="https://doi.org/10.1016/j.ica.2024.121911" TargetMode="External"/><Relationship Id="rId36"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yperlink" Target="https://doi.org/10.1016/j.molstruc.2024.139774" TargetMode="External"/><Relationship Id="rId27" Type="http://schemas.openxmlformats.org/officeDocument/2006/relationships/hyperlink" Target="https://doi.org/10.1021/acsomega.3c08526" TargetMode="External"/><Relationship Id="rId30" Type="http://schemas.openxmlformats.org/officeDocument/2006/relationships/hyperlink" Target="https://doi.org/10.9734/jabb/2020/v23i630161" TargetMode="External"/><Relationship Id="rId35" Type="http://schemas.openxmlformats.org/officeDocument/2006/relationships/header" Target="header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4777</TotalTime>
  <Pages>11</Pages>
  <Words>3847</Words>
  <Characters>23587</Characters>
  <Application>Microsoft Office Word</Application>
  <DocSecurity>0</DocSecurity>
  <Lines>575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CANICE</dc:creator>
  <cp:keywords/>
  <dc:description/>
  <cp:lastModifiedBy>SILAS CANICE</cp:lastModifiedBy>
  <cp:revision>510</cp:revision>
  <dcterms:created xsi:type="dcterms:W3CDTF">2025-09-12T22:37:00Z</dcterms:created>
  <dcterms:modified xsi:type="dcterms:W3CDTF">2025-10-04T23:27:00Z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1e385f66-2cfd-4c6c-9a45-4fcb014afbf7</vt:lpwstr>
  </property>
</Properties>
</file>