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EA" w:rsidRDefault="002953D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sz w:val="24"/>
          <w:szCs w:val="24"/>
        </w:rPr>
        <w:t>Environmental Sustainability and Home Management Practices in the Niger Delta: An Empirical Study of Waste Management and Recycling</w:t>
      </w:r>
    </w:p>
    <w:p w:rsidR="00933A62" w:rsidRDefault="00933A62">
      <w:pPr>
        <w:spacing w:before="100" w:beforeAutospacing="1" w:after="100" w:afterAutospacing="1" w:line="240" w:lineRule="auto"/>
        <w:outlineLvl w:val="1"/>
        <w:rPr>
          <w:rFonts w:ascii="Times New Roman" w:eastAsia="Times New Roman" w:hAnsi="Times New Roman" w:cs="Times New Roman"/>
          <w:b/>
          <w:bCs/>
          <w:sz w:val="24"/>
          <w:szCs w:val="24"/>
        </w:rPr>
      </w:pPr>
    </w:p>
    <w:p w:rsidR="00DF52EA" w:rsidRDefault="002953D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E24CFA" w:rsidRPr="00E24CFA" w:rsidRDefault="007D4C19" w:rsidP="00E24CFA">
      <w:pPr>
        <w:jc w:val="both"/>
        <w:rPr>
          <w:rFonts w:ascii="Times New Roman" w:hAnsi="Times New Roman" w:cs="Times New Roman"/>
          <w:sz w:val="24"/>
          <w:szCs w:val="24"/>
        </w:rPr>
      </w:pPr>
      <w:r>
        <w:rPr>
          <w:rFonts w:ascii="Times New Roman" w:hAnsi="Times New Roman" w:cs="Times New Roman"/>
          <w:sz w:val="24"/>
          <w:szCs w:val="24"/>
        </w:rPr>
        <w:t>This study examined Home Management Practices that promote Environmental S</w:t>
      </w:r>
      <w:r w:rsidR="00E24CFA" w:rsidRPr="00E24CFA">
        <w:rPr>
          <w:rFonts w:ascii="Times New Roman" w:hAnsi="Times New Roman" w:cs="Times New Roman"/>
          <w:sz w:val="24"/>
          <w:szCs w:val="24"/>
        </w:rPr>
        <w:t xml:space="preserve">ustainability in the Niger Delta region, with a particular focus on waste management and recycling behaviours. It adopted an explanatory sequential mixed-methods design involving a cross-sectional survey of 500 households across urban, peri-urban, and rural communities, complemented by interviews and focus group discussions. Data were analyzed using descriptive and inferential statistics, including chi-square tests, analysis of variance, and multilevel regression, while qualitative data were thematically examined. Findings revealed that although environmental awareness was widespread, consistent household waste segregation and participation in formal recycling were limited. Factors such as education, income, and proximity to recycling points significantly influenced sustainable behaviour, while poor infrastructure and irregular waste collection hindered progress. The study concluded that effective municipal systems, market incentives for recyclables, and community-driven initiatives </w:t>
      </w:r>
      <w:r>
        <w:rPr>
          <w:rFonts w:ascii="Times New Roman" w:hAnsi="Times New Roman" w:cs="Times New Roman"/>
          <w:sz w:val="24"/>
          <w:szCs w:val="24"/>
        </w:rPr>
        <w:t>we</w:t>
      </w:r>
      <w:r w:rsidR="00E24CFA" w:rsidRPr="00E24CFA">
        <w:rPr>
          <w:rFonts w:ascii="Times New Roman" w:hAnsi="Times New Roman" w:cs="Times New Roman"/>
          <w:sz w:val="24"/>
          <w:szCs w:val="24"/>
        </w:rPr>
        <w:t>re essential for strengthening household contributions to environmental sustainability in the Niger Delta.</w:t>
      </w:r>
    </w:p>
    <w:p w:rsidR="00E24CFA" w:rsidRPr="00E24CFA" w:rsidRDefault="00E24CFA" w:rsidP="00E24CFA">
      <w:pPr>
        <w:rPr>
          <w:rFonts w:ascii="Times New Roman" w:hAnsi="Times New Roman" w:cs="Times New Roman"/>
          <w:sz w:val="24"/>
          <w:szCs w:val="24"/>
        </w:rPr>
      </w:pPr>
      <w:r w:rsidRPr="00E24CFA">
        <w:rPr>
          <w:rFonts w:ascii="Times New Roman" w:hAnsi="Times New Roman" w:cs="Times New Roman"/>
          <w:b/>
          <w:sz w:val="24"/>
          <w:szCs w:val="24"/>
        </w:rPr>
        <w:t>Keywords</w:t>
      </w:r>
      <w:r w:rsidRPr="00E24CFA">
        <w:rPr>
          <w:rFonts w:ascii="Times New Roman" w:hAnsi="Times New Roman" w:cs="Times New Roman"/>
          <w:sz w:val="24"/>
          <w:szCs w:val="24"/>
        </w:rPr>
        <w:t>: Environmental sustainability; Home management; Niger Delta; Recycling; Waste management</w:t>
      </w:r>
    </w:p>
    <w:p w:rsidR="00E24CFA" w:rsidRPr="00E24CFA" w:rsidRDefault="00E24CFA" w:rsidP="00E24CFA">
      <w:pPr>
        <w:pStyle w:val="Heading2"/>
        <w:rPr>
          <w:sz w:val="24"/>
          <w:szCs w:val="24"/>
        </w:rPr>
      </w:pPr>
    </w:p>
    <w:p w:rsidR="00E24CFA" w:rsidRPr="00E24CFA" w:rsidRDefault="00E24CFA" w:rsidP="00E24CFA">
      <w:pPr>
        <w:rPr>
          <w:rFonts w:ascii="Times New Roman" w:hAnsi="Times New Roman" w:cs="Times New Roman"/>
          <w:sz w:val="24"/>
          <w:szCs w:val="24"/>
        </w:rPr>
      </w:pPr>
    </w:p>
    <w:p w:rsidR="007D4C19" w:rsidRDefault="007D4C19" w:rsidP="007D4C19">
      <w:pPr>
        <w:pStyle w:val="Heading2"/>
        <w:rPr>
          <w:sz w:val="24"/>
          <w:szCs w:val="24"/>
        </w:rPr>
      </w:pPr>
    </w:p>
    <w:p w:rsidR="007D4C19" w:rsidRDefault="007D4C19" w:rsidP="007D4C19">
      <w:pPr>
        <w:pStyle w:val="Heading2"/>
        <w:rPr>
          <w:sz w:val="24"/>
          <w:szCs w:val="24"/>
        </w:rPr>
      </w:pPr>
    </w:p>
    <w:p w:rsidR="007D4C19" w:rsidRDefault="007D4C19" w:rsidP="007D4C19">
      <w:pPr>
        <w:pStyle w:val="Heading2"/>
        <w:rPr>
          <w:sz w:val="24"/>
          <w:szCs w:val="24"/>
        </w:rPr>
      </w:pPr>
    </w:p>
    <w:p w:rsidR="007D4C19" w:rsidRDefault="007D4C19" w:rsidP="007D4C19">
      <w:pPr>
        <w:pStyle w:val="Heading2"/>
        <w:rPr>
          <w:sz w:val="24"/>
          <w:szCs w:val="24"/>
        </w:rPr>
      </w:pPr>
    </w:p>
    <w:p w:rsidR="007D4C19" w:rsidRDefault="007D4C19" w:rsidP="007D4C19">
      <w:pPr>
        <w:pStyle w:val="Heading2"/>
        <w:rPr>
          <w:sz w:val="24"/>
          <w:szCs w:val="24"/>
        </w:rPr>
      </w:pPr>
    </w:p>
    <w:p w:rsidR="007D4C19" w:rsidRDefault="007D4C19" w:rsidP="007D4C19">
      <w:pPr>
        <w:pStyle w:val="Heading2"/>
        <w:rPr>
          <w:sz w:val="24"/>
          <w:szCs w:val="24"/>
        </w:rPr>
      </w:pPr>
    </w:p>
    <w:p w:rsidR="007D4C19" w:rsidRDefault="007D4C19" w:rsidP="007D4C19">
      <w:pPr>
        <w:pStyle w:val="Heading2"/>
        <w:rPr>
          <w:sz w:val="24"/>
          <w:szCs w:val="24"/>
        </w:rPr>
      </w:pPr>
    </w:p>
    <w:p w:rsidR="007D4C19" w:rsidRDefault="007D4C19" w:rsidP="007D4C19">
      <w:pPr>
        <w:pStyle w:val="Heading2"/>
        <w:rPr>
          <w:sz w:val="24"/>
          <w:szCs w:val="24"/>
        </w:rPr>
      </w:pPr>
    </w:p>
    <w:p w:rsidR="00E24CFA" w:rsidRPr="00E24CFA" w:rsidRDefault="00E24CFA" w:rsidP="007D4C19">
      <w:pPr>
        <w:pStyle w:val="Heading2"/>
        <w:rPr>
          <w:sz w:val="24"/>
          <w:szCs w:val="24"/>
        </w:rPr>
      </w:pPr>
      <w:r w:rsidRPr="00E24CFA">
        <w:rPr>
          <w:sz w:val="24"/>
          <w:szCs w:val="24"/>
        </w:rPr>
        <w:lastRenderedPageBreak/>
        <w:t>1. Introduction</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Environmental sustainability is an urgent policy and development priority in Nigeria as rapid urbanization, population growth, and intensified industrial activities increasingly strain natural ecosystems and waste-management systems. The Niger Delta, a biodiversity-rich and oil-producing region  is particularly exposed to compounded environmental risks from industrial pollution and inadequately managed household waste. While attention in the region has rightly focused on oil contamination and aquatic pollution, household home-management practices (waste generation, disposal, and recycling) remain an understudied but critical driver of local environmental degradation (United Nations Environment Programme, 2011).</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Empirical studies from the Niger Delta have consistently reported high organic fractions in household waste, with recyclables forming a smaller but important component. For example, Ogbe-Ijoh data indicate roughly 77 percent organic content by weight and about 14 percent recyclables (Journal of Material Cycles and Waste Management, 2015), and Yenagoa household surveys found food and garden wastes to dominate household streams, followed by plastics, paper, glass, metals, and wood (Angaye, Daokoru-Olukole, &amp; Abowei, 2017). Recent national and city-level studies reinforce these composition patterns while documenting persistent operational gaps in collection and processing (Fakunle, 2024; Kolawole et al., 2024).</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 xml:space="preserve">Despite broad awareness of environmental problems, Nigerian households frequently face structural barriers that prevent sustainable practice adoption. In many Niger Delta communities households resort to open dumping, uncontrolled burning, or disposal into waterways, practices associated with health and ecological harms (Sustainable Environment Research, 2020; Wajim &amp; Harry, 2025). More recent empirical work across Nigerian cities reports similar constraints: weak municipal service coverage, shortages in collection logistics, and limited recycling markets </w:t>
      </w:r>
      <w:r w:rsidRPr="00E24CFA">
        <w:rPr>
          <w:rFonts w:ascii="Times New Roman" w:hAnsi="Times New Roman" w:cs="Times New Roman"/>
          <w:sz w:val="24"/>
          <w:szCs w:val="24"/>
        </w:rPr>
        <w:lastRenderedPageBreak/>
        <w:t>reduce household participation in segregation and formal recycling schemes (Etim, 2024; Eneh et al., 2025). These operational deficits mirror the broader pattern in developing-country contexts, where inadequate infrastructure remains a central impediment to household-level sustainability (Zhang et al., 2024).</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Socio-economic determinants also matter. The present study’s findings that education, income, and proximity to recycling points predict better household waste behaviour are consistent with recent Nigerian evidence on knowledge–action gaps and economic capacity for pro-environmental behaviour (Kolawole et al., 2024; Ufua, 2025). Health-focused reviews likewise link poor household disposal to elevated disease burdens, underlining the public-health stakes of improving home-level waste systems (Olorunfemi, 2024).</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Local initiatives and community governance can partially offset institutional weaknesses. Case studies and program evaluations point to the positive role of community cooperatives, informal recyclers, and household-level innovations in increasing reuse and informal recycling rates, especially where municipal services are inadequate (Fakunle, 2024; Eneh et al., 2025). Such findings suggest hybrid governance approaches   combining formal infrastructure investments with support for community-driven action are promising for improving outcomes in the Niger Delta.</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 xml:space="preserve">Given these dynamics, this study examines how home-management practices among Niger Delta households influence environmental sustainability, with emphasis on waste management and recycling. The research measures levels of awareness, attitudes, and practices; identifies socio-demographic, infrastructural, and cultural predictors of sustainable behaviour; and explores barriers and enabling factors as perceived by households. By integrating recent national and </w:t>
      </w:r>
      <w:r w:rsidRPr="00E24CFA">
        <w:rPr>
          <w:rFonts w:ascii="Times New Roman" w:hAnsi="Times New Roman" w:cs="Times New Roman"/>
          <w:sz w:val="24"/>
          <w:szCs w:val="24"/>
        </w:rPr>
        <w:lastRenderedPageBreak/>
        <w:t>international evidence (2024–2025) with region-specific findings, the study aims to produce policy-relevant recommendations for strengthening household contributions to sustainable waste governance in ecologically sensitive contexts.</w:t>
      </w:r>
    </w:p>
    <w:p w:rsidR="00E24CFA" w:rsidRPr="00E24CFA" w:rsidRDefault="00E24CFA" w:rsidP="00E24CFA">
      <w:pPr>
        <w:rPr>
          <w:rFonts w:ascii="Times New Roman" w:hAnsi="Times New Roman" w:cs="Times New Roman"/>
          <w:sz w:val="24"/>
          <w:szCs w:val="24"/>
        </w:rPr>
      </w:pPr>
    </w:p>
    <w:p w:rsidR="00E24CFA" w:rsidRPr="00E24CFA" w:rsidRDefault="00E24CFA" w:rsidP="00E24CFA">
      <w:pPr>
        <w:jc w:val="center"/>
        <w:rPr>
          <w:rFonts w:ascii="Times New Roman" w:hAnsi="Times New Roman" w:cs="Times New Roman"/>
          <w:sz w:val="24"/>
          <w:szCs w:val="24"/>
        </w:rPr>
      </w:pPr>
      <w:r w:rsidRPr="00E24CFA">
        <w:rPr>
          <w:rFonts w:ascii="Times New Roman" w:hAnsi="Times New Roman" w:cs="Times New Roman"/>
          <w:noProof/>
          <w:sz w:val="24"/>
          <w:szCs w:val="24"/>
        </w:rPr>
        <w:drawing>
          <wp:inline distT="0" distB="0" distL="0" distR="0">
            <wp:extent cx="5029200" cy="31970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029200" cy="3197069"/>
                    </a:xfrm>
                    <a:prstGeom prst="rect">
                      <a:avLst/>
                    </a:prstGeom>
                  </pic:spPr>
                </pic:pic>
              </a:graphicData>
            </a:graphic>
          </wp:inline>
        </w:drawing>
      </w:r>
    </w:p>
    <w:p w:rsidR="00E24CFA" w:rsidRPr="00E24CFA" w:rsidRDefault="00E24CFA" w:rsidP="00E24CFA">
      <w:pPr>
        <w:jc w:val="center"/>
        <w:rPr>
          <w:rFonts w:ascii="Times New Roman" w:hAnsi="Times New Roman" w:cs="Times New Roman"/>
          <w:sz w:val="24"/>
          <w:szCs w:val="24"/>
        </w:rPr>
      </w:pPr>
      <w:r w:rsidRPr="00E24CFA">
        <w:rPr>
          <w:rFonts w:ascii="Times New Roman" w:hAnsi="Times New Roman" w:cs="Times New Roman"/>
          <w:sz w:val="24"/>
          <w:szCs w:val="24"/>
        </w:rPr>
        <w:t>Figure 1. Compiled household waste composition for the Niger Delta (percent by weight). Data compiled from Ogbe Ijoh (2015), Angaye et al. (2017), and Ezeudu et al. (2024).</w:t>
      </w:r>
    </w:p>
    <w:p w:rsidR="00E24CFA" w:rsidRPr="00E24CFA" w:rsidRDefault="00E24CFA" w:rsidP="00E24CFA">
      <w:pPr>
        <w:pStyle w:val="NormalWeb"/>
        <w:spacing w:line="480" w:lineRule="auto"/>
        <w:jc w:val="both"/>
      </w:pPr>
    </w:p>
    <w:p w:rsidR="00E24CFA" w:rsidRPr="00E24CFA" w:rsidRDefault="00E24CFA" w:rsidP="00E24CFA">
      <w:pPr>
        <w:pStyle w:val="Heading2"/>
        <w:numPr>
          <w:ilvl w:val="0"/>
          <w:numId w:val="18"/>
        </w:numPr>
        <w:rPr>
          <w:sz w:val="24"/>
          <w:szCs w:val="24"/>
        </w:rPr>
      </w:pPr>
      <w:r w:rsidRPr="00E24CFA">
        <w:rPr>
          <w:sz w:val="24"/>
          <w:szCs w:val="24"/>
        </w:rPr>
        <w:t>Statement of the Problem</w:t>
      </w:r>
    </w:p>
    <w:p w:rsidR="00E24CFA" w:rsidRPr="00E24CFA" w:rsidRDefault="00E24CFA" w:rsidP="00E24CFA">
      <w:pPr>
        <w:pStyle w:val="NormalWeb"/>
        <w:spacing w:line="480" w:lineRule="auto"/>
        <w:jc w:val="both"/>
      </w:pPr>
      <w:r w:rsidRPr="00E24CFA">
        <w:t xml:space="preserve">The Niger Delta represents one of the most environmentally fragile regions in sub-Saharan Africa, where the combined pressures of oil exploitation, rapid urbanization, and inadequate waste governance have led to severe ecological and public health crises (UNEP, 2011). Despite growing awareness of environmental sustainability, household waste management practices remain weakly institutionalized, with indiscriminate dumping, open burning, and irregular </w:t>
      </w:r>
      <w:r w:rsidRPr="00E24CFA">
        <w:lastRenderedPageBreak/>
        <w:t>municipal collection as common patterns (Nwachukwu et al., 2017; Ogbonna et al., 2020). These practices exacerbate flooding, contaminate water sources, and heighten the spread of vector-borne diseases, thereby undermining community well-being.</w:t>
      </w:r>
    </w:p>
    <w:p w:rsidR="00E24CFA" w:rsidRPr="00E24CFA" w:rsidRDefault="00E24CFA" w:rsidP="00E24CFA">
      <w:pPr>
        <w:pStyle w:val="NormalWeb"/>
        <w:spacing w:line="480" w:lineRule="auto"/>
        <w:jc w:val="both"/>
      </w:pPr>
      <w:r w:rsidRPr="00E24CFA">
        <w:t>Globally, waste governance frameworks emphasize the household as a crucial unit of intervention, where practices such as waste segregation and recycling significantly contribute to sustainable environmental outcomes (Hoornweg &amp; Bhada-Tata, 2012). Yet, in Nigeria, such practices remain largely informal and inconsistent, often constrained by inadequate infrastructure, limited incentives, and weak enforcement mechanisms (Ike et al., 2021). The Niger Delta is particularly vulnerable because ecological degradation intersects with socioeconomic inequities, leaving households without adequate systems to manage waste sustainably.</w:t>
      </w:r>
    </w:p>
    <w:p w:rsidR="00E24CFA" w:rsidRPr="00E24CFA" w:rsidRDefault="00E24CFA" w:rsidP="00E24CFA">
      <w:pPr>
        <w:pStyle w:val="NormalWeb"/>
        <w:spacing w:line="480" w:lineRule="auto"/>
        <w:jc w:val="both"/>
      </w:pPr>
      <w:r w:rsidRPr="00E24CFA">
        <w:t>The gap in knowledge lies in the paucity of empirical studies that interrogate how home management practices directly influence sustainability outcomes in the Niger Delta context. While existing literature addresses urban solid waste challenges in major cities (Ogbonna et al., 2020), there is limited evidence that links household-level behaviour to broader policy and sustainability frameworks. Without such empirical insights, interventions risk being top-down, poorly contextualized, and unsustainable.</w:t>
      </w:r>
    </w:p>
    <w:p w:rsidR="00E24CFA" w:rsidRPr="00E24CFA" w:rsidRDefault="00E24CFA" w:rsidP="00E24CFA">
      <w:pPr>
        <w:pStyle w:val="NormalWeb"/>
        <w:spacing w:line="480" w:lineRule="auto"/>
        <w:jc w:val="both"/>
      </w:pPr>
      <w:r w:rsidRPr="00E24CFA">
        <w:t>This study therefore addresses a critical problem: the disconnect between household waste practices and formal environmental governance in the Niger Delta. By investigating the dynamics of waste management and recycling at the household level, the research provides actionable evidence to strengthen community-based sustainability strategies and inform policy frameworks designed to mitigate ecological risks in the region.</w:t>
      </w:r>
    </w:p>
    <w:p w:rsidR="00E24CFA" w:rsidRPr="00E24CFA" w:rsidRDefault="00E24CFA" w:rsidP="00E24CFA">
      <w:pPr>
        <w:pStyle w:val="ListParagraph"/>
        <w:numPr>
          <w:ilvl w:val="0"/>
          <w:numId w:val="18"/>
        </w:numPr>
        <w:spacing w:before="100" w:beforeAutospacing="1" w:after="100" w:afterAutospacing="1" w:line="240" w:lineRule="auto"/>
        <w:outlineLvl w:val="1"/>
        <w:rPr>
          <w:rFonts w:ascii="Times New Roman" w:eastAsia="Times New Roman" w:hAnsi="Times New Roman" w:cs="Times New Roman"/>
          <w:b/>
          <w:bCs/>
          <w:sz w:val="24"/>
          <w:szCs w:val="24"/>
        </w:rPr>
      </w:pPr>
      <w:r w:rsidRPr="00E24CFA">
        <w:rPr>
          <w:rFonts w:ascii="Times New Roman" w:eastAsia="Times New Roman" w:hAnsi="Times New Roman" w:cs="Times New Roman"/>
          <w:b/>
          <w:bCs/>
          <w:sz w:val="24"/>
          <w:szCs w:val="24"/>
        </w:rPr>
        <w:lastRenderedPageBreak/>
        <w:t>Research Objectives</w:t>
      </w:r>
    </w:p>
    <w:p w:rsidR="00E24CFA" w:rsidRPr="00E24CFA" w:rsidRDefault="00E24CFA" w:rsidP="00E24CFA">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E24CFA">
        <w:rPr>
          <w:rFonts w:ascii="Times New Roman" w:eastAsia="Times New Roman" w:hAnsi="Times New Roman" w:cs="Times New Roman"/>
          <w:bCs/>
          <w:sz w:val="24"/>
          <w:szCs w:val="24"/>
        </w:rPr>
        <w:t>To examine household waste management practices in the Niger Delta</w:t>
      </w:r>
      <w:r w:rsidRPr="00E24CFA">
        <w:rPr>
          <w:rFonts w:ascii="Times New Roman" w:eastAsia="Times New Roman" w:hAnsi="Times New Roman" w:cs="Times New Roman"/>
          <w:sz w:val="24"/>
          <w:szCs w:val="24"/>
        </w:rPr>
        <w:t xml:space="preserve"> with particular emphasis on waste segregation, disposal, and recycling patterns.</w:t>
      </w:r>
    </w:p>
    <w:p w:rsidR="00E24CFA" w:rsidRPr="00E24CFA" w:rsidRDefault="00E24CFA" w:rsidP="00E24CFA">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E24CFA">
        <w:rPr>
          <w:rFonts w:ascii="Times New Roman" w:eastAsia="Times New Roman" w:hAnsi="Times New Roman" w:cs="Times New Roman"/>
          <w:bCs/>
          <w:sz w:val="24"/>
          <w:szCs w:val="24"/>
        </w:rPr>
        <w:t>To analyze the factors influencing household participation in sustainable waste practices</w:t>
      </w:r>
      <w:r w:rsidRPr="00E24CFA">
        <w:rPr>
          <w:rFonts w:ascii="Times New Roman" w:eastAsia="Times New Roman" w:hAnsi="Times New Roman" w:cs="Times New Roman"/>
          <w:sz w:val="24"/>
          <w:szCs w:val="24"/>
        </w:rPr>
        <w:t>, including socioeconomic, infrastructural, and cultural variables.</w:t>
      </w:r>
    </w:p>
    <w:p w:rsidR="00E24CFA" w:rsidRPr="00E24CFA" w:rsidRDefault="00E24CFA" w:rsidP="00E24CFA">
      <w:pPr>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E24CFA">
        <w:rPr>
          <w:rFonts w:ascii="Times New Roman" w:eastAsia="Times New Roman" w:hAnsi="Times New Roman" w:cs="Times New Roman"/>
          <w:bCs/>
          <w:sz w:val="24"/>
          <w:szCs w:val="24"/>
        </w:rPr>
        <w:t>To assess the implications of home management practices for environmental sustainability</w:t>
      </w:r>
      <w:r w:rsidRPr="00E24CFA">
        <w:rPr>
          <w:rFonts w:ascii="Times New Roman" w:eastAsia="Times New Roman" w:hAnsi="Times New Roman" w:cs="Times New Roman"/>
          <w:sz w:val="24"/>
          <w:szCs w:val="24"/>
        </w:rPr>
        <w:t xml:space="preserve"> and explore policy-relevant strategies to strengthen community-based waste governance.</w:t>
      </w:r>
    </w:p>
    <w:p w:rsidR="00E24CFA" w:rsidRPr="00E24CFA" w:rsidRDefault="00E24CFA" w:rsidP="00E24CFA">
      <w:pPr>
        <w:pStyle w:val="ListParagraph"/>
        <w:numPr>
          <w:ilvl w:val="0"/>
          <w:numId w:val="12"/>
        </w:numPr>
        <w:spacing w:before="100" w:beforeAutospacing="1" w:after="100" w:afterAutospacing="1" w:line="240" w:lineRule="auto"/>
        <w:outlineLvl w:val="1"/>
        <w:rPr>
          <w:rFonts w:ascii="Times New Roman" w:eastAsia="Times New Roman" w:hAnsi="Times New Roman" w:cs="Times New Roman"/>
          <w:b/>
          <w:bCs/>
          <w:sz w:val="24"/>
          <w:szCs w:val="24"/>
        </w:rPr>
      </w:pPr>
      <w:r w:rsidRPr="00E24CFA">
        <w:rPr>
          <w:rFonts w:ascii="Times New Roman" w:eastAsia="Times New Roman" w:hAnsi="Times New Roman" w:cs="Times New Roman"/>
          <w:b/>
          <w:bCs/>
          <w:sz w:val="24"/>
          <w:szCs w:val="24"/>
        </w:rPr>
        <w:t>Research Questions</w:t>
      </w:r>
    </w:p>
    <w:p w:rsidR="00E24CFA" w:rsidRPr="00E24CFA" w:rsidRDefault="00E24CFA" w:rsidP="00E24CFA">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E24CFA">
        <w:rPr>
          <w:rFonts w:ascii="Times New Roman" w:eastAsia="Times New Roman" w:hAnsi="Times New Roman" w:cs="Times New Roman"/>
          <w:sz w:val="24"/>
          <w:szCs w:val="24"/>
        </w:rPr>
        <w:t>What are the prevailing household waste management and recycling practices in the Niger Delta?</w:t>
      </w:r>
    </w:p>
    <w:p w:rsidR="00E24CFA" w:rsidRPr="00E24CFA" w:rsidRDefault="00E24CFA" w:rsidP="00E24CFA">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E24CFA">
        <w:rPr>
          <w:rFonts w:ascii="Times New Roman" w:eastAsia="Times New Roman" w:hAnsi="Times New Roman" w:cs="Times New Roman"/>
          <w:sz w:val="24"/>
          <w:szCs w:val="24"/>
        </w:rPr>
        <w:t>What socioeconomic, infrastructural, and cultural factors influence household participation in sustainable waste management?</w:t>
      </w:r>
    </w:p>
    <w:p w:rsidR="00E24CFA" w:rsidRPr="00E24CFA" w:rsidRDefault="00E24CFA" w:rsidP="00E24CFA">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E24CFA">
        <w:rPr>
          <w:rFonts w:ascii="Times New Roman" w:eastAsia="Times New Roman" w:hAnsi="Times New Roman" w:cs="Times New Roman"/>
          <w:sz w:val="24"/>
          <w:szCs w:val="24"/>
        </w:rPr>
        <w:t>How do home management practices affect environmental sustainability, and what strategies can improve household contributions to waste governance in the Niger Delta?</w:t>
      </w:r>
    </w:p>
    <w:p w:rsidR="00E24CFA" w:rsidRPr="00E24CFA" w:rsidRDefault="00E24CFA" w:rsidP="00E24CFA">
      <w:pPr>
        <w:pStyle w:val="Heading2"/>
        <w:rPr>
          <w:sz w:val="24"/>
          <w:szCs w:val="24"/>
        </w:rPr>
      </w:pPr>
      <w:r w:rsidRPr="00E24CFA">
        <w:rPr>
          <w:sz w:val="24"/>
          <w:szCs w:val="24"/>
        </w:rPr>
        <w:t>5. Significance of the Study</w:t>
      </w:r>
    </w:p>
    <w:p w:rsidR="00E24CFA" w:rsidRPr="00E24CFA" w:rsidRDefault="00E24CFA" w:rsidP="00E24CFA">
      <w:pPr>
        <w:pStyle w:val="NormalWeb"/>
        <w:spacing w:line="480" w:lineRule="auto"/>
        <w:jc w:val="both"/>
      </w:pPr>
      <w:r w:rsidRPr="00E24CFA">
        <w:t>This study contributes to knowledge by advancing empirical understanding of the relationship between home management practices and environmental sustainability in the Niger Delta, a region often studied for oil-related degradation but less for household-level ecological behaviours. Academically, it enriches the literature on waste governance in sub-Saharan Africa by linking household practices with sustainability outcomes.</w:t>
      </w:r>
    </w:p>
    <w:p w:rsidR="00E24CFA" w:rsidRPr="00E24CFA" w:rsidRDefault="00E24CFA" w:rsidP="00E24CFA">
      <w:pPr>
        <w:pStyle w:val="NormalWeb"/>
        <w:spacing w:line="480" w:lineRule="auto"/>
        <w:jc w:val="both"/>
      </w:pPr>
      <w:r w:rsidRPr="00E24CFA">
        <w:lastRenderedPageBreak/>
        <w:t>From a policy perspective, the study generates evidence to guide local and national authorities in designing context-specific waste management frameworks that incorporate community practices, incentives, and indigenous knowledge. Practically, the findings provide actionable insights for households, community-based organizations, and NGOs, offering strategies to strengthen recycling, reduce indiscriminate dumping, and enhance environmental quality.</w:t>
      </w:r>
    </w:p>
    <w:p w:rsidR="00E24CFA" w:rsidRPr="00E24CFA" w:rsidRDefault="00E24CFA" w:rsidP="00E24CFA">
      <w:pPr>
        <w:pStyle w:val="NormalWeb"/>
        <w:spacing w:line="480" w:lineRule="auto"/>
        <w:jc w:val="both"/>
      </w:pPr>
      <w:r w:rsidRPr="00E24CFA">
        <w:t>Overall, the study bridges the gap between top-down environmental policies and grassroots household practices, positioning home management as a critical driver of sustainable development in the Niger Delta.</w:t>
      </w:r>
    </w:p>
    <w:p w:rsidR="00E24CFA" w:rsidRPr="00E24CFA" w:rsidRDefault="00E24CFA" w:rsidP="00E24CFA">
      <w:pPr>
        <w:pStyle w:val="Heading2"/>
        <w:rPr>
          <w:sz w:val="24"/>
          <w:szCs w:val="24"/>
        </w:rPr>
      </w:pPr>
      <w:r w:rsidRPr="00E24CFA">
        <w:rPr>
          <w:sz w:val="24"/>
          <w:szCs w:val="24"/>
        </w:rPr>
        <w:t>6. Review of Related Literature</w:t>
      </w:r>
    </w:p>
    <w:p w:rsidR="00E24CFA" w:rsidRPr="00E24CFA" w:rsidRDefault="00E24CFA" w:rsidP="00E24CFA">
      <w:pPr>
        <w:pStyle w:val="Heading3"/>
        <w:rPr>
          <w:rFonts w:ascii="Times New Roman" w:hAnsi="Times New Roman" w:cs="Times New Roman"/>
          <w:b w:val="0"/>
          <w:color w:val="000000" w:themeColor="text1"/>
          <w:sz w:val="24"/>
          <w:szCs w:val="24"/>
        </w:rPr>
      </w:pPr>
      <w:r w:rsidRPr="00E24CFA">
        <w:rPr>
          <w:rFonts w:ascii="Times New Roman" w:hAnsi="Times New Roman" w:cs="Times New Roman"/>
          <w:b w:val="0"/>
          <w:color w:val="000000" w:themeColor="text1"/>
          <w:sz w:val="24"/>
          <w:szCs w:val="24"/>
        </w:rPr>
        <w:t>Theoretical Background:</w:t>
      </w:r>
    </w:p>
    <w:p w:rsidR="00E24CFA" w:rsidRPr="00E24CFA" w:rsidRDefault="00E24CFA" w:rsidP="00E24CFA">
      <w:pPr>
        <w:pStyle w:val="NormalWeb"/>
        <w:spacing w:line="480" w:lineRule="auto"/>
        <w:jc w:val="both"/>
      </w:pPr>
      <w:r w:rsidRPr="00E24CFA">
        <w:t xml:space="preserve">Household waste practices are often explained through the </w:t>
      </w:r>
      <w:r w:rsidRPr="00E24CFA">
        <w:rPr>
          <w:rStyle w:val="Strong"/>
          <w:rFonts w:eastAsiaTheme="majorEastAsia"/>
          <w:b w:val="0"/>
        </w:rPr>
        <w:t>Theory of Planned Behaviour</w:t>
      </w:r>
      <w:r w:rsidRPr="00E24CFA">
        <w:t xml:space="preserve"> (Ajzen, 1991), which links attitudes, norms, and control to behavioural outcomes, and </w:t>
      </w:r>
      <w:r w:rsidRPr="00E24CFA">
        <w:rPr>
          <w:rStyle w:val="Strong"/>
          <w:rFonts w:eastAsiaTheme="majorEastAsia"/>
          <w:b w:val="0"/>
        </w:rPr>
        <w:t>Social Cognitive Theory</w:t>
      </w:r>
      <w:r w:rsidRPr="00E24CFA">
        <w:t xml:space="preserve"> (Bandura, 2001), which emphasizes self-efficacy and environmental influences. These frameworks highlight how household choices are shaped by both internal dispositions and external conditions.</w:t>
      </w:r>
    </w:p>
    <w:p w:rsidR="00E24CFA" w:rsidRPr="00E24CFA" w:rsidRDefault="00E24CFA" w:rsidP="00E24CFA">
      <w:pPr>
        <w:pStyle w:val="Heading3"/>
        <w:rPr>
          <w:rFonts w:ascii="Times New Roman" w:hAnsi="Times New Roman" w:cs="Times New Roman"/>
          <w:b w:val="0"/>
          <w:color w:val="000000" w:themeColor="text1"/>
          <w:sz w:val="24"/>
          <w:szCs w:val="24"/>
        </w:rPr>
      </w:pPr>
      <w:r w:rsidRPr="00E24CFA">
        <w:rPr>
          <w:rFonts w:ascii="Times New Roman" w:hAnsi="Times New Roman" w:cs="Times New Roman"/>
          <w:b w:val="0"/>
          <w:color w:val="000000" w:themeColor="text1"/>
          <w:sz w:val="24"/>
          <w:szCs w:val="24"/>
        </w:rPr>
        <w:t>Global and Regional Perspectives:</w:t>
      </w:r>
    </w:p>
    <w:p w:rsidR="00E24CFA" w:rsidRPr="00E24CFA" w:rsidRDefault="00E24CFA" w:rsidP="00E24CFA">
      <w:pPr>
        <w:pStyle w:val="NormalWeb"/>
        <w:spacing w:line="480" w:lineRule="auto"/>
        <w:jc w:val="both"/>
      </w:pPr>
      <w:r w:rsidRPr="00E24CFA">
        <w:t>Globally, sustainable waste management requires integration of collection, treatment, recycling, and strong public participation (Hoornweg &amp; Bhada-Tata, 2012). Developing regions, however, face rapid urbanization, poor infrastructure, and limited recycling markets. This makes aligning municipal services with community practices critical.</w:t>
      </w:r>
    </w:p>
    <w:p w:rsidR="00E24CFA" w:rsidRPr="00E24CFA" w:rsidRDefault="00E24CFA" w:rsidP="00E24CFA">
      <w:pPr>
        <w:pStyle w:val="Heading3"/>
        <w:rPr>
          <w:rFonts w:ascii="Times New Roman" w:hAnsi="Times New Roman" w:cs="Times New Roman"/>
          <w:b w:val="0"/>
          <w:color w:val="000000" w:themeColor="text1"/>
          <w:sz w:val="24"/>
          <w:szCs w:val="24"/>
        </w:rPr>
      </w:pPr>
      <w:r w:rsidRPr="00E24CFA">
        <w:rPr>
          <w:rFonts w:ascii="Times New Roman" w:hAnsi="Times New Roman" w:cs="Times New Roman"/>
          <w:b w:val="0"/>
          <w:color w:val="000000" w:themeColor="text1"/>
          <w:sz w:val="24"/>
          <w:szCs w:val="24"/>
        </w:rPr>
        <w:lastRenderedPageBreak/>
        <w:t>Waste Management in Nigeria and the Niger Delta:</w:t>
      </w:r>
    </w:p>
    <w:p w:rsidR="00E24CFA" w:rsidRPr="00E24CFA" w:rsidRDefault="00E24CFA" w:rsidP="00E24CFA">
      <w:pPr>
        <w:pStyle w:val="NormalWeb"/>
        <w:spacing w:line="480" w:lineRule="auto"/>
        <w:jc w:val="both"/>
      </w:pPr>
      <w:r w:rsidRPr="00E24CFA">
        <w:t>In Nigeria, poor collection systems, weak enforcement, and lack of recycling incentives dominate the sector (Ukala et al., 2020). Studies in Aba and Port Harcourt report indiscriminate dumping, open burning, and insufficient municipal coverage (Nwachukwu et al., 2017; Ogbonna et al., 2020). Niger Delta communities such as Yenagoa and Ogbe-Ijoh show high organic waste fractions but also recyclable plastics, which remain underutilized due to infrastructural and policy gaps (Angaye et al., 2017; Journal of Material Cycles and Waste Management, 2015). Poor waste handling worsens flooding and water contamination (Sustainable Environment Research, 2020; UNEP, 2011).</w:t>
      </w:r>
    </w:p>
    <w:p w:rsidR="00E24CFA" w:rsidRPr="00E24CFA" w:rsidRDefault="00E24CFA" w:rsidP="00E24CFA">
      <w:pPr>
        <w:pStyle w:val="Heading3"/>
        <w:rPr>
          <w:rFonts w:ascii="Times New Roman" w:hAnsi="Times New Roman" w:cs="Times New Roman"/>
          <w:b w:val="0"/>
          <w:color w:val="000000" w:themeColor="text1"/>
          <w:sz w:val="24"/>
          <w:szCs w:val="24"/>
        </w:rPr>
      </w:pPr>
      <w:r w:rsidRPr="00E24CFA">
        <w:rPr>
          <w:rFonts w:ascii="Times New Roman" w:hAnsi="Times New Roman" w:cs="Times New Roman"/>
          <w:b w:val="0"/>
          <w:color w:val="000000" w:themeColor="text1"/>
          <w:sz w:val="24"/>
          <w:szCs w:val="24"/>
        </w:rPr>
        <w:t>Determinants and Gaps:</w:t>
      </w:r>
    </w:p>
    <w:p w:rsidR="00E24CFA" w:rsidRPr="00E24CFA" w:rsidRDefault="00E24CFA" w:rsidP="00E24CFA">
      <w:pPr>
        <w:pStyle w:val="NormalWeb"/>
        <w:spacing w:line="480" w:lineRule="auto"/>
        <w:jc w:val="both"/>
      </w:pPr>
      <w:r w:rsidRPr="00E24CFA">
        <w:t>Key factors influencing household waste practices include income, education, infrastructure, social networks, and market incentives. While studies in Nigerian cities show awareness of good practices; consistent recycling remains rare due to weak systems (Ogbonna et al., 2020; Nwachukwu et al., 2017). Gaps remain in linking household behaviour to sustainability frameworks in the Niger Delta, where most studies focus on industrial pollution rather than domestic practices.</w:t>
      </w:r>
    </w:p>
    <w:p w:rsidR="00E24CFA" w:rsidRPr="00E24CFA" w:rsidRDefault="00E24CFA" w:rsidP="00E24CFA">
      <w:pPr>
        <w:pStyle w:val="NormalWeb"/>
        <w:spacing w:line="480" w:lineRule="auto"/>
        <w:jc w:val="both"/>
      </w:pPr>
      <w:r w:rsidRPr="00E24CFA">
        <w:t>This study therefore fills a critical void by empirically examining household waste management and recycling in the Niger Delta, highlighting how home management can drive environmental sustainability.</w:t>
      </w:r>
    </w:p>
    <w:p w:rsidR="00E24CFA" w:rsidRPr="00E24CFA" w:rsidRDefault="00E24CFA" w:rsidP="00E24CFA">
      <w:pPr>
        <w:spacing w:before="100" w:beforeAutospacing="1" w:after="100" w:afterAutospacing="1" w:line="240" w:lineRule="auto"/>
        <w:outlineLvl w:val="1"/>
        <w:rPr>
          <w:rFonts w:ascii="Times New Roman" w:eastAsia="Times New Roman" w:hAnsi="Times New Roman" w:cs="Times New Roman"/>
          <w:b/>
          <w:bCs/>
          <w:sz w:val="24"/>
          <w:szCs w:val="24"/>
        </w:rPr>
      </w:pPr>
      <w:r w:rsidRPr="00E24CFA">
        <w:rPr>
          <w:rFonts w:ascii="Times New Roman" w:eastAsia="Times New Roman" w:hAnsi="Times New Roman" w:cs="Times New Roman"/>
          <w:b/>
          <w:bCs/>
          <w:sz w:val="24"/>
          <w:szCs w:val="24"/>
        </w:rPr>
        <w:t>7. Empirical Review</w:t>
      </w:r>
    </w:p>
    <w:p w:rsidR="00E24CFA" w:rsidRPr="00E24CFA" w:rsidRDefault="00E24CFA" w:rsidP="00E24CFA">
      <w:pPr>
        <w:spacing w:before="100" w:beforeAutospacing="1" w:after="100" w:afterAutospacing="1" w:line="480" w:lineRule="auto"/>
        <w:jc w:val="both"/>
        <w:rPr>
          <w:rFonts w:ascii="Times New Roman" w:eastAsia="Times New Roman" w:hAnsi="Times New Roman" w:cs="Times New Roman"/>
          <w:sz w:val="24"/>
          <w:szCs w:val="24"/>
        </w:rPr>
      </w:pPr>
      <w:r w:rsidRPr="00E24CFA">
        <w:rPr>
          <w:rFonts w:ascii="Times New Roman" w:eastAsia="Times New Roman" w:hAnsi="Times New Roman" w:cs="Times New Roman"/>
          <w:sz w:val="24"/>
          <w:szCs w:val="24"/>
        </w:rPr>
        <w:t xml:space="preserve">Several studies have explored waste management practices in Nigeria and other developing regions. Nwachukwu, Feng, and Achilike (2017) examined municipal waste in Aba and found </w:t>
      </w:r>
      <w:r w:rsidRPr="00E24CFA">
        <w:rPr>
          <w:rFonts w:ascii="Times New Roman" w:eastAsia="Times New Roman" w:hAnsi="Times New Roman" w:cs="Times New Roman"/>
          <w:sz w:val="24"/>
          <w:szCs w:val="24"/>
        </w:rPr>
        <w:lastRenderedPageBreak/>
        <w:t>high volumes of uncollected waste, with households resorting to indiscriminate dumping. Similarly, Ogbonna, Amangabara, and Ekere (2020) reported in Port Harcourt that weak infrastructure and poor municipal coverage drive reliance on informal disposal methods.</w:t>
      </w:r>
    </w:p>
    <w:p w:rsidR="00E24CFA" w:rsidRPr="00E24CFA" w:rsidRDefault="00E24CFA" w:rsidP="00E24CFA">
      <w:pPr>
        <w:spacing w:before="100" w:beforeAutospacing="1" w:after="100" w:afterAutospacing="1" w:line="480" w:lineRule="auto"/>
        <w:jc w:val="both"/>
        <w:rPr>
          <w:rFonts w:ascii="Times New Roman" w:eastAsia="Times New Roman" w:hAnsi="Times New Roman" w:cs="Times New Roman"/>
          <w:sz w:val="24"/>
          <w:szCs w:val="24"/>
        </w:rPr>
      </w:pPr>
      <w:r w:rsidRPr="00E24CFA">
        <w:rPr>
          <w:rFonts w:ascii="Times New Roman" w:eastAsia="Times New Roman" w:hAnsi="Times New Roman" w:cs="Times New Roman"/>
          <w:sz w:val="24"/>
          <w:szCs w:val="24"/>
        </w:rPr>
        <w:t>Angaye, Daokoru-Olukole, and Abowei (2017) investigated household waste in Yenagoa, showing that organic waste dominates the waste stream, while plastics and metals remain poorly recycled despite their market value. A related study in Ogbe-Ijoh (Journal of Material Cycles and Waste Management, 2015) confirmed similar waste compositions, highlighting recycling opportunities that remain largely untapped.</w:t>
      </w:r>
    </w:p>
    <w:p w:rsidR="00E24CFA" w:rsidRPr="00E24CFA" w:rsidRDefault="00E24CFA" w:rsidP="00E24CFA">
      <w:pPr>
        <w:spacing w:before="100" w:beforeAutospacing="1" w:after="100" w:afterAutospacing="1" w:line="480" w:lineRule="auto"/>
        <w:jc w:val="both"/>
        <w:rPr>
          <w:rFonts w:ascii="Times New Roman" w:eastAsia="Times New Roman" w:hAnsi="Times New Roman" w:cs="Times New Roman"/>
          <w:sz w:val="24"/>
          <w:szCs w:val="24"/>
        </w:rPr>
      </w:pPr>
      <w:r w:rsidRPr="00E24CFA">
        <w:rPr>
          <w:rFonts w:ascii="Times New Roman" w:eastAsia="Times New Roman" w:hAnsi="Times New Roman" w:cs="Times New Roman"/>
          <w:sz w:val="24"/>
          <w:szCs w:val="24"/>
        </w:rPr>
        <w:t>Beyond Nigeria, Hoornweg and Bhada-Tata (2012) in a global World Bank report emphasized the importance of integrated systems and community participation, findings echoed in Sustainable Environment Research (2020), which documented how irregular dumpsites in the Niger Delta aggravate flooding and health risks.</w:t>
      </w:r>
    </w:p>
    <w:p w:rsidR="00E24CFA" w:rsidRPr="00E24CFA" w:rsidRDefault="00E24CFA" w:rsidP="00E24CFA">
      <w:pPr>
        <w:spacing w:before="100" w:beforeAutospacing="1" w:after="100" w:afterAutospacing="1" w:line="480" w:lineRule="auto"/>
        <w:jc w:val="both"/>
        <w:rPr>
          <w:rFonts w:ascii="Times New Roman" w:eastAsia="Times New Roman" w:hAnsi="Times New Roman" w:cs="Times New Roman"/>
          <w:sz w:val="24"/>
          <w:szCs w:val="24"/>
        </w:rPr>
      </w:pPr>
      <w:r w:rsidRPr="00E24CFA">
        <w:rPr>
          <w:rFonts w:ascii="Times New Roman" w:eastAsia="Times New Roman" w:hAnsi="Times New Roman" w:cs="Times New Roman"/>
          <w:sz w:val="24"/>
          <w:szCs w:val="24"/>
        </w:rPr>
        <w:t>While these studies establish the scale of the problem, they often focus on city-wide waste systems rather than household-level behaviours. This gap underscores the need for empirical analysis of home management practices in the Niger Delta to better link grassroots behaviours with sustainability outcomes.</w:t>
      </w:r>
    </w:p>
    <w:p w:rsidR="00E24CFA" w:rsidRPr="00E24CFA" w:rsidRDefault="00E24CFA" w:rsidP="00E24CFA">
      <w:pPr>
        <w:pStyle w:val="Heading2"/>
        <w:rPr>
          <w:sz w:val="24"/>
          <w:szCs w:val="24"/>
        </w:rPr>
      </w:pPr>
      <w:r w:rsidRPr="00E24CFA">
        <w:rPr>
          <w:sz w:val="24"/>
          <w:szCs w:val="24"/>
        </w:rPr>
        <w:t>8. Methodology</w:t>
      </w:r>
    </w:p>
    <w:p w:rsidR="00E24CFA" w:rsidRPr="00E24CFA" w:rsidRDefault="00E24CFA" w:rsidP="00E24CFA">
      <w:pPr>
        <w:pStyle w:val="Heading3"/>
        <w:rPr>
          <w:rFonts w:ascii="Times New Roman" w:hAnsi="Times New Roman" w:cs="Times New Roman"/>
          <w:color w:val="auto"/>
          <w:sz w:val="24"/>
          <w:szCs w:val="24"/>
        </w:rPr>
      </w:pPr>
      <w:r w:rsidRPr="00E24CFA">
        <w:rPr>
          <w:rFonts w:ascii="Times New Roman" w:hAnsi="Times New Roman" w:cs="Times New Roman"/>
          <w:color w:val="auto"/>
          <w:sz w:val="24"/>
          <w:szCs w:val="24"/>
        </w:rPr>
        <w:t>i. Research Design</w:t>
      </w:r>
    </w:p>
    <w:p w:rsidR="00E24CFA" w:rsidRPr="00E24CFA" w:rsidRDefault="00E24CFA" w:rsidP="00E24CFA">
      <w:pPr>
        <w:pStyle w:val="NormalWeb"/>
        <w:spacing w:line="480" w:lineRule="auto"/>
        <w:jc w:val="both"/>
      </w:pPr>
      <w:r w:rsidRPr="00E24CFA">
        <w:t xml:space="preserve">The study adopted an </w:t>
      </w:r>
      <w:r w:rsidRPr="00E24CFA">
        <w:rPr>
          <w:rStyle w:val="Strong"/>
          <w:rFonts w:eastAsiaTheme="majorEastAsia"/>
          <w:b w:val="0"/>
        </w:rPr>
        <w:t>explanatory sequential mixed-methods design</w:t>
      </w:r>
      <w:r w:rsidRPr="00E24CFA">
        <w:rPr>
          <w:b/>
        </w:rPr>
        <w:t>,</w:t>
      </w:r>
      <w:r w:rsidRPr="00E24CFA">
        <w:t xml:space="preserve"> integrating both quantitative and qualitative approaches. The initial </w:t>
      </w:r>
      <w:r w:rsidRPr="00E24CFA">
        <w:rPr>
          <w:rStyle w:val="Strong"/>
          <w:rFonts w:eastAsiaTheme="majorEastAsia"/>
          <w:b w:val="0"/>
        </w:rPr>
        <w:t>quantitative phase</w:t>
      </w:r>
      <w:r w:rsidRPr="00E24CFA">
        <w:t xml:space="preserve"> involved a cross-sectional household survey, while the subsequent </w:t>
      </w:r>
      <w:r w:rsidRPr="00E24CFA">
        <w:rPr>
          <w:rStyle w:val="Strong"/>
          <w:rFonts w:eastAsiaTheme="majorEastAsia"/>
          <w:b w:val="0"/>
        </w:rPr>
        <w:t>qualitative phase</w:t>
      </w:r>
      <w:r w:rsidRPr="00E24CFA">
        <w:t xml:space="preserve"> (in-depth interviews and focus group </w:t>
      </w:r>
      <w:r w:rsidRPr="00E24CFA">
        <w:lastRenderedPageBreak/>
        <w:t xml:space="preserve">discussions) explored underlying socio-cultural, economic, and institutional factors shaping waste management and recycling practices. Integration of both strands was achieved through </w:t>
      </w:r>
      <w:r w:rsidRPr="00E24CFA">
        <w:rPr>
          <w:rStyle w:val="Strong"/>
          <w:rFonts w:eastAsiaTheme="majorEastAsia"/>
          <w:b w:val="0"/>
        </w:rPr>
        <w:t>joint displays</w:t>
      </w:r>
      <w:r w:rsidRPr="00E24CFA">
        <w:t>, ensuring that statistical findings were complemented with lived experiences.</w:t>
      </w:r>
    </w:p>
    <w:p w:rsidR="00E24CFA" w:rsidRPr="00E24CFA" w:rsidRDefault="00E24CFA" w:rsidP="00E24CFA">
      <w:pPr>
        <w:pStyle w:val="Heading3"/>
        <w:rPr>
          <w:rFonts w:ascii="Times New Roman" w:hAnsi="Times New Roman" w:cs="Times New Roman"/>
          <w:color w:val="auto"/>
          <w:sz w:val="24"/>
          <w:szCs w:val="24"/>
        </w:rPr>
      </w:pPr>
      <w:r w:rsidRPr="00E24CFA">
        <w:rPr>
          <w:rFonts w:ascii="Times New Roman" w:hAnsi="Times New Roman" w:cs="Times New Roman"/>
          <w:color w:val="auto"/>
          <w:sz w:val="24"/>
          <w:szCs w:val="24"/>
        </w:rPr>
        <w:t>ii. Population and Sample</w:t>
      </w:r>
    </w:p>
    <w:p w:rsidR="00E24CFA" w:rsidRPr="00E24CFA" w:rsidRDefault="00E24CFA" w:rsidP="00E24CFA">
      <w:pPr>
        <w:pStyle w:val="NormalWeb"/>
        <w:spacing w:line="480" w:lineRule="auto"/>
        <w:jc w:val="both"/>
      </w:pPr>
      <w:r w:rsidRPr="00E24CFA">
        <w:t xml:space="preserve">The study population comprised households in </w:t>
      </w:r>
      <w:r w:rsidRPr="00E24CFA">
        <w:rPr>
          <w:rStyle w:val="Strong"/>
          <w:rFonts w:eastAsiaTheme="majorEastAsia"/>
          <w:b w:val="0"/>
        </w:rPr>
        <w:t>urban, peri-urban, and rural communities across three Niger Delta states</w:t>
      </w:r>
      <w:r w:rsidRPr="00E24CFA">
        <w:t xml:space="preserve"> (Rivers, Bayelsa, and Delta). Using a multi-stage sampling procedure:</w:t>
      </w:r>
    </w:p>
    <w:p w:rsidR="00E24CFA" w:rsidRPr="00E24CFA" w:rsidRDefault="00E24CFA" w:rsidP="00E24CFA">
      <w:pPr>
        <w:pStyle w:val="NormalWeb"/>
        <w:numPr>
          <w:ilvl w:val="0"/>
          <w:numId w:val="14"/>
        </w:numPr>
        <w:spacing w:line="480" w:lineRule="auto"/>
        <w:jc w:val="both"/>
      </w:pPr>
      <w:r w:rsidRPr="00E24CFA">
        <w:t>States were purposively selected to reflect ecological and socio-economic diversity.</w:t>
      </w:r>
    </w:p>
    <w:p w:rsidR="00E24CFA" w:rsidRPr="00E24CFA" w:rsidRDefault="00E24CFA" w:rsidP="00E24CFA">
      <w:pPr>
        <w:pStyle w:val="NormalWeb"/>
        <w:numPr>
          <w:ilvl w:val="0"/>
          <w:numId w:val="14"/>
        </w:numPr>
        <w:spacing w:line="480" w:lineRule="auto"/>
        <w:jc w:val="both"/>
      </w:pPr>
      <w:r w:rsidRPr="00E24CFA">
        <w:t>Local Government Areas (LGAs) were stratified into urban, peri-urban, and rural categories.</w:t>
      </w:r>
    </w:p>
    <w:p w:rsidR="00E24CFA" w:rsidRPr="00E24CFA" w:rsidRDefault="00E24CFA" w:rsidP="00E24CFA">
      <w:pPr>
        <w:pStyle w:val="NormalWeb"/>
        <w:numPr>
          <w:ilvl w:val="0"/>
          <w:numId w:val="14"/>
        </w:numPr>
        <w:spacing w:line="480" w:lineRule="auto"/>
        <w:jc w:val="both"/>
      </w:pPr>
      <w:r w:rsidRPr="00E24CFA">
        <w:t>Households were randomly selected within each stratum.</w:t>
      </w:r>
    </w:p>
    <w:p w:rsidR="00E24CFA" w:rsidRPr="00E24CFA" w:rsidRDefault="00E24CFA" w:rsidP="00E24CFA">
      <w:pPr>
        <w:pStyle w:val="NormalWeb"/>
        <w:spacing w:line="480" w:lineRule="auto"/>
        <w:jc w:val="both"/>
      </w:pPr>
      <w:r w:rsidRPr="00E24CFA">
        <w:t xml:space="preserve">A total of </w:t>
      </w:r>
      <w:r w:rsidRPr="00E24CFA">
        <w:rPr>
          <w:rStyle w:val="Strong"/>
          <w:rFonts w:eastAsiaTheme="majorEastAsia"/>
          <w:b w:val="0"/>
        </w:rPr>
        <w:t>500 households</w:t>
      </w:r>
      <w:r w:rsidRPr="00E24CFA">
        <w:t xml:space="preserve"> participated in the survey. For the qualitative strand, </w:t>
      </w:r>
      <w:r w:rsidRPr="00E24CFA">
        <w:rPr>
          <w:rStyle w:val="Strong"/>
          <w:rFonts w:eastAsiaTheme="majorEastAsia"/>
          <w:b w:val="0"/>
        </w:rPr>
        <w:t>30 in-depth interviews (IDIs)</w:t>
      </w:r>
      <w:r w:rsidRPr="00E24CFA">
        <w:t xml:space="preserve"> were conducted with household heads, community leaders, and waste management officials, while </w:t>
      </w:r>
      <w:r w:rsidRPr="00E24CFA">
        <w:rPr>
          <w:rStyle w:val="Strong"/>
          <w:rFonts w:eastAsiaTheme="majorEastAsia"/>
          <w:b w:val="0"/>
        </w:rPr>
        <w:t>six focus group discussions (FGDs)</w:t>
      </w:r>
      <w:r w:rsidRPr="00E24CFA">
        <w:t xml:space="preserve"> (two per state, balanced across urban and rural locations) were organized to capture collective perspectives.</w:t>
      </w:r>
    </w:p>
    <w:p w:rsidR="00E24CFA" w:rsidRPr="00E24CFA" w:rsidRDefault="00E24CFA" w:rsidP="00E24CFA">
      <w:pPr>
        <w:pStyle w:val="Heading3"/>
        <w:rPr>
          <w:rFonts w:ascii="Times New Roman" w:hAnsi="Times New Roman" w:cs="Times New Roman"/>
          <w:color w:val="auto"/>
          <w:sz w:val="24"/>
          <w:szCs w:val="24"/>
        </w:rPr>
      </w:pPr>
      <w:r w:rsidRPr="00E24CFA">
        <w:rPr>
          <w:rFonts w:ascii="Times New Roman" w:hAnsi="Times New Roman" w:cs="Times New Roman"/>
          <w:color w:val="auto"/>
          <w:sz w:val="24"/>
          <w:szCs w:val="24"/>
        </w:rPr>
        <w:t>iii. Instruments</w:t>
      </w:r>
    </w:p>
    <w:p w:rsidR="00E24CFA" w:rsidRPr="00E24CFA" w:rsidRDefault="00E24CFA" w:rsidP="00E24CFA">
      <w:pPr>
        <w:pStyle w:val="NormalWeb"/>
        <w:numPr>
          <w:ilvl w:val="0"/>
          <w:numId w:val="15"/>
        </w:numPr>
        <w:spacing w:line="480" w:lineRule="auto"/>
      </w:pPr>
      <w:r w:rsidRPr="00E24CFA">
        <w:rPr>
          <w:rStyle w:val="Strong"/>
          <w:rFonts w:eastAsiaTheme="majorEastAsia"/>
          <w:b w:val="0"/>
        </w:rPr>
        <w:t>Household Questionnaire</w:t>
      </w:r>
      <w:r w:rsidRPr="00E24CFA">
        <w:t>: captured socio-demographic data, environmental awareness, waste disposal and segregation practices, recycling participation, and access to waste services.</w:t>
      </w:r>
    </w:p>
    <w:p w:rsidR="00E24CFA" w:rsidRPr="00E24CFA" w:rsidRDefault="00E24CFA" w:rsidP="00E24CFA">
      <w:pPr>
        <w:pStyle w:val="NormalWeb"/>
        <w:numPr>
          <w:ilvl w:val="0"/>
          <w:numId w:val="15"/>
        </w:numPr>
        <w:spacing w:line="480" w:lineRule="auto"/>
      </w:pPr>
      <w:r w:rsidRPr="00E24CFA">
        <w:rPr>
          <w:rStyle w:val="Strong"/>
          <w:rFonts w:eastAsiaTheme="majorEastAsia"/>
          <w:b w:val="0"/>
        </w:rPr>
        <w:t>Observation Checklist</w:t>
      </w:r>
      <w:r w:rsidRPr="00E24CFA">
        <w:t>: documented infrastructure, visible waste disposal methods, and cleanliness indices at household and community levels.</w:t>
      </w:r>
    </w:p>
    <w:p w:rsidR="00E24CFA" w:rsidRPr="00E24CFA" w:rsidRDefault="00E24CFA" w:rsidP="00E24CFA">
      <w:pPr>
        <w:pStyle w:val="NormalWeb"/>
        <w:numPr>
          <w:ilvl w:val="0"/>
          <w:numId w:val="15"/>
        </w:numPr>
        <w:spacing w:line="480" w:lineRule="auto"/>
      </w:pPr>
      <w:r w:rsidRPr="00E24CFA">
        <w:rPr>
          <w:rStyle w:val="Strong"/>
          <w:rFonts w:eastAsiaTheme="majorEastAsia"/>
          <w:b w:val="0"/>
        </w:rPr>
        <w:lastRenderedPageBreak/>
        <w:t>Interview Guide</w:t>
      </w:r>
      <w:r w:rsidRPr="00E24CFA">
        <w:rPr>
          <w:b/>
        </w:rPr>
        <w:t>:</w:t>
      </w:r>
      <w:r w:rsidRPr="00E24CFA">
        <w:t xml:space="preserve"> structured around themes such as cultural practices, institutional constraints, and innovations in recycling.</w:t>
      </w:r>
    </w:p>
    <w:p w:rsidR="00E24CFA" w:rsidRPr="00E24CFA" w:rsidRDefault="00E24CFA" w:rsidP="00E24CFA">
      <w:pPr>
        <w:pStyle w:val="NormalWeb"/>
        <w:numPr>
          <w:ilvl w:val="0"/>
          <w:numId w:val="15"/>
        </w:numPr>
        <w:spacing w:line="480" w:lineRule="auto"/>
      </w:pPr>
      <w:r w:rsidRPr="00E24CFA">
        <w:rPr>
          <w:rStyle w:val="Strong"/>
          <w:rFonts w:eastAsiaTheme="majorEastAsia"/>
          <w:b w:val="0"/>
        </w:rPr>
        <w:t>Focus Group Discussion Guide</w:t>
      </w:r>
      <w:r w:rsidRPr="00E24CFA">
        <w:t>: explored community attitudes, cooperative arrangements, and shared challenges in waste governance.</w:t>
      </w:r>
    </w:p>
    <w:p w:rsidR="00E24CFA" w:rsidRPr="00E24CFA" w:rsidRDefault="00E24CFA" w:rsidP="00E24CFA">
      <w:pPr>
        <w:pStyle w:val="Heading3"/>
        <w:rPr>
          <w:rFonts w:ascii="Times New Roman" w:hAnsi="Times New Roman" w:cs="Times New Roman"/>
          <w:color w:val="auto"/>
          <w:sz w:val="24"/>
          <w:szCs w:val="24"/>
        </w:rPr>
      </w:pPr>
      <w:r w:rsidRPr="00E24CFA">
        <w:rPr>
          <w:rFonts w:ascii="Times New Roman" w:hAnsi="Times New Roman" w:cs="Times New Roman"/>
          <w:color w:val="auto"/>
          <w:sz w:val="24"/>
          <w:szCs w:val="24"/>
        </w:rPr>
        <w:t>iv. Data Collection Procedures</w:t>
      </w:r>
    </w:p>
    <w:p w:rsidR="00E24CFA" w:rsidRPr="00E24CFA" w:rsidRDefault="00E24CFA" w:rsidP="00E24CFA">
      <w:pPr>
        <w:pStyle w:val="NormalWeb"/>
      </w:pPr>
      <w:r w:rsidRPr="00E24CFA">
        <w:t>Data collection was executed in two sequential phases:</w:t>
      </w:r>
    </w:p>
    <w:p w:rsidR="00E24CFA" w:rsidRPr="00E24CFA" w:rsidRDefault="00E24CFA" w:rsidP="00E24CFA">
      <w:pPr>
        <w:pStyle w:val="NormalWeb"/>
        <w:numPr>
          <w:ilvl w:val="0"/>
          <w:numId w:val="16"/>
        </w:numPr>
        <w:spacing w:line="480" w:lineRule="auto"/>
        <w:jc w:val="both"/>
      </w:pPr>
      <w:r w:rsidRPr="00E24CFA">
        <w:rPr>
          <w:rStyle w:val="Strong"/>
          <w:rFonts w:eastAsiaTheme="majorEastAsia"/>
          <w:b w:val="0"/>
        </w:rPr>
        <w:t>Phase I (Quantitative):</w:t>
      </w:r>
      <w:r w:rsidRPr="00E24CFA">
        <w:t xml:space="preserve"> household survey administered with assistance from trained field enumerators.</w:t>
      </w:r>
    </w:p>
    <w:p w:rsidR="00E24CFA" w:rsidRPr="00E24CFA" w:rsidRDefault="00E24CFA" w:rsidP="00E24CFA">
      <w:pPr>
        <w:pStyle w:val="NormalWeb"/>
        <w:numPr>
          <w:ilvl w:val="0"/>
          <w:numId w:val="16"/>
        </w:numPr>
        <w:spacing w:line="480" w:lineRule="auto"/>
        <w:jc w:val="both"/>
      </w:pPr>
      <w:r w:rsidRPr="00E24CFA">
        <w:rPr>
          <w:rStyle w:val="Strong"/>
          <w:rFonts w:eastAsiaTheme="majorEastAsia"/>
          <w:b w:val="0"/>
        </w:rPr>
        <w:t>Phase II (Qualitative):</w:t>
      </w:r>
      <w:r w:rsidRPr="00E24CFA">
        <w:t xml:space="preserve"> IDIs and FGDs conducted after preliminary survey analysis, ensuring themes from the quantitative phase informed the qualitative exploration.</w:t>
      </w:r>
    </w:p>
    <w:p w:rsidR="00E24CFA" w:rsidRPr="00E24CFA" w:rsidRDefault="00E24CFA" w:rsidP="00E24CFA">
      <w:pPr>
        <w:pStyle w:val="Heading3"/>
        <w:rPr>
          <w:rFonts w:ascii="Times New Roman" w:hAnsi="Times New Roman" w:cs="Times New Roman"/>
          <w:color w:val="auto"/>
          <w:sz w:val="24"/>
          <w:szCs w:val="24"/>
        </w:rPr>
      </w:pPr>
      <w:r w:rsidRPr="00E24CFA">
        <w:rPr>
          <w:rFonts w:ascii="Times New Roman" w:hAnsi="Times New Roman" w:cs="Times New Roman"/>
          <w:color w:val="auto"/>
          <w:sz w:val="24"/>
          <w:szCs w:val="24"/>
        </w:rPr>
        <w:t>v. Data Analysis</w:t>
      </w:r>
    </w:p>
    <w:p w:rsidR="00E24CFA" w:rsidRPr="00E24CFA" w:rsidRDefault="00E24CFA" w:rsidP="00E24CFA">
      <w:pPr>
        <w:pStyle w:val="NormalWeb"/>
        <w:numPr>
          <w:ilvl w:val="0"/>
          <w:numId w:val="17"/>
        </w:numPr>
        <w:spacing w:line="480" w:lineRule="auto"/>
        <w:jc w:val="both"/>
      </w:pPr>
      <w:r w:rsidRPr="00E24CFA">
        <w:rPr>
          <w:rStyle w:val="Strong"/>
          <w:rFonts w:eastAsiaTheme="majorEastAsia"/>
          <w:b w:val="0"/>
        </w:rPr>
        <w:t>Quantitative Data</w:t>
      </w:r>
      <w:r w:rsidRPr="00E24CFA">
        <w:rPr>
          <w:rStyle w:val="Strong"/>
          <w:rFonts w:eastAsiaTheme="majorEastAsia"/>
        </w:rPr>
        <w:t>:</w:t>
      </w:r>
      <w:r w:rsidRPr="00E24CFA">
        <w:t xml:space="preserve"> analyzed using </w:t>
      </w:r>
      <w:r w:rsidRPr="00E24CFA">
        <w:rPr>
          <w:rStyle w:val="Strong"/>
          <w:rFonts w:eastAsiaTheme="majorEastAsia"/>
          <w:b w:val="0"/>
        </w:rPr>
        <w:t>SPSS (version 28) and Stata (version 17</w:t>
      </w:r>
      <w:r w:rsidRPr="00E24CFA">
        <w:rPr>
          <w:rStyle w:val="Strong"/>
          <w:rFonts w:eastAsiaTheme="majorEastAsia"/>
        </w:rPr>
        <w:t>)</w:t>
      </w:r>
      <w:r w:rsidRPr="00E24CFA">
        <w:rPr>
          <w:b/>
        </w:rPr>
        <w:t>.</w:t>
      </w:r>
      <w:r w:rsidRPr="00E24CFA">
        <w:t xml:space="preserve"> Descriptive statistics (frequencies, percentages, means) summarized household practices, while inferential statistics </w:t>
      </w:r>
      <w:r w:rsidRPr="00E24CFA">
        <w:rPr>
          <w:rStyle w:val="Strong"/>
          <w:rFonts w:eastAsiaTheme="majorEastAsia"/>
          <w:b w:val="0"/>
        </w:rPr>
        <w:t>Chi-square tests, ANOVA, multivariable logistic regression, and multilevel regression models</w:t>
      </w:r>
      <w:r w:rsidRPr="00E24CFA">
        <w:t xml:space="preserve"> tested associations and predictors of waste management behaviors.</w:t>
      </w:r>
    </w:p>
    <w:p w:rsidR="00E24CFA" w:rsidRPr="00E24CFA" w:rsidRDefault="00E24CFA" w:rsidP="00E24CFA">
      <w:pPr>
        <w:pStyle w:val="NormalWeb"/>
        <w:numPr>
          <w:ilvl w:val="0"/>
          <w:numId w:val="17"/>
        </w:numPr>
        <w:spacing w:line="480" w:lineRule="auto"/>
        <w:jc w:val="both"/>
      </w:pPr>
      <w:r w:rsidRPr="00E24CFA">
        <w:rPr>
          <w:rStyle w:val="Strong"/>
          <w:rFonts w:eastAsiaTheme="majorEastAsia"/>
          <w:b w:val="0"/>
        </w:rPr>
        <w:t>Qualitative Data</w:t>
      </w:r>
      <w:r w:rsidRPr="00E24CFA">
        <w:rPr>
          <w:rStyle w:val="Strong"/>
          <w:rFonts w:eastAsiaTheme="majorEastAsia"/>
        </w:rPr>
        <w:t>:</w:t>
      </w:r>
      <w:r w:rsidRPr="00E24CFA">
        <w:t xml:space="preserve"> analyzed in </w:t>
      </w:r>
      <w:r w:rsidRPr="00E24CFA">
        <w:rPr>
          <w:rStyle w:val="Strong"/>
          <w:rFonts w:eastAsiaTheme="majorEastAsia"/>
          <w:b w:val="0"/>
        </w:rPr>
        <w:t>NVivo 14</w:t>
      </w:r>
      <w:r w:rsidRPr="00E24CFA">
        <w:t xml:space="preserve"> through open and axial coding, followed by thematic analysis to identify recurring patterns and context-specific insights.</w:t>
      </w:r>
    </w:p>
    <w:p w:rsidR="00E24CFA" w:rsidRPr="00E24CFA" w:rsidRDefault="00E24CFA" w:rsidP="00E24CFA">
      <w:pPr>
        <w:pStyle w:val="NormalWeb"/>
        <w:numPr>
          <w:ilvl w:val="0"/>
          <w:numId w:val="17"/>
        </w:numPr>
        <w:spacing w:line="480" w:lineRule="auto"/>
        <w:jc w:val="both"/>
      </w:pPr>
      <w:r w:rsidRPr="00E24CFA">
        <w:rPr>
          <w:rStyle w:val="Strong"/>
          <w:rFonts w:eastAsiaTheme="majorEastAsia"/>
          <w:b w:val="0"/>
        </w:rPr>
        <w:t>Integration</w:t>
      </w:r>
      <w:r w:rsidRPr="00E24CFA">
        <w:rPr>
          <w:rStyle w:val="Strong"/>
          <w:rFonts w:eastAsiaTheme="majorEastAsia"/>
        </w:rPr>
        <w:t>:</w:t>
      </w:r>
      <w:r w:rsidRPr="00E24CFA">
        <w:t xml:space="preserve"> findings were triangulated using </w:t>
      </w:r>
      <w:r w:rsidRPr="00E24CFA">
        <w:rPr>
          <w:rStyle w:val="Strong"/>
          <w:rFonts w:eastAsiaTheme="majorEastAsia"/>
          <w:b w:val="0"/>
        </w:rPr>
        <w:t>joint displays</w:t>
      </w:r>
      <w:r w:rsidRPr="00E24CFA">
        <w:t>, allowing quantitative trends and qualitative narratives to be interpreted together for deeper policy and practice relevance.</w:t>
      </w:r>
    </w:p>
    <w:p w:rsidR="00E24CFA" w:rsidRPr="00E24CFA" w:rsidRDefault="00E24CFA" w:rsidP="00E24CFA">
      <w:pPr>
        <w:pStyle w:val="NormalWeb"/>
        <w:spacing w:line="480" w:lineRule="auto"/>
        <w:jc w:val="both"/>
      </w:pPr>
      <w:r w:rsidRPr="00E24CFA">
        <w:lastRenderedPageBreak/>
        <w:t xml:space="preserve">This rigorous methodological framework enhanced </w:t>
      </w:r>
      <w:r w:rsidRPr="00E24CFA">
        <w:rPr>
          <w:rStyle w:val="Strong"/>
          <w:rFonts w:eastAsiaTheme="majorEastAsia"/>
          <w:b w:val="0"/>
        </w:rPr>
        <w:t>validity, reliability, and contextual richness</w:t>
      </w:r>
      <w:r w:rsidRPr="00E24CFA">
        <w:rPr>
          <w:b/>
        </w:rPr>
        <w:t>,</w:t>
      </w:r>
      <w:r w:rsidRPr="00E24CFA">
        <w:t xml:space="preserve"> ensuring the study produced evidence that is both statistically robust and socially grounded.</w:t>
      </w:r>
    </w:p>
    <w:p w:rsidR="00E24CFA" w:rsidRPr="00E24CFA" w:rsidRDefault="00E24CFA" w:rsidP="00E24CFA">
      <w:pPr>
        <w:pStyle w:val="Heading2"/>
        <w:rPr>
          <w:sz w:val="24"/>
          <w:szCs w:val="24"/>
        </w:rPr>
      </w:pPr>
    </w:p>
    <w:p w:rsidR="00E24CFA" w:rsidRPr="00E24CFA" w:rsidRDefault="00E24CFA" w:rsidP="00E24CFA">
      <w:pPr>
        <w:pStyle w:val="Heading2"/>
        <w:rPr>
          <w:sz w:val="24"/>
          <w:szCs w:val="24"/>
        </w:rPr>
      </w:pPr>
    </w:p>
    <w:p w:rsidR="00E24CFA" w:rsidRPr="00E24CFA" w:rsidRDefault="00E24CFA" w:rsidP="00E24CFA">
      <w:pPr>
        <w:rPr>
          <w:rFonts w:ascii="Times New Roman" w:hAnsi="Times New Roman" w:cs="Times New Roman"/>
          <w:sz w:val="24"/>
          <w:szCs w:val="24"/>
        </w:rPr>
      </w:pPr>
    </w:p>
    <w:p w:rsidR="00E24CFA" w:rsidRPr="00E24CFA" w:rsidRDefault="00E24CFA" w:rsidP="00E24CFA">
      <w:pPr>
        <w:jc w:val="center"/>
        <w:rPr>
          <w:rFonts w:ascii="Times New Roman" w:hAnsi="Times New Roman" w:cs="Times New Roman"/>
          <w:sz w:val="24"/>
          <w:szCs w:val="24"/>
        </w:rPr>
      </w:pPr>
      <w:r w:rsidRPr="00E24CFA">
        <w:rPr>
          <w:rFonts w:ascii="Times New Roman" w:hAnsi="Times New Roman" w:cs="Times New Roman"/>
          <w:noProof/>
          <w:sz w:val="24"/>
          <w:szCs w:val="24"/>
        </w:rPr>
        <w:drawing>
          <wp:inline distT="0" distB="0" distL="0" distR="0">
            <wp:extent cx="5486400" cy="20744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486400" cy="2074484"/>
                    </a:xfrm>
                    <a:prstGeom prst="rect">
                      <a:avLst/>
                    </a:prstGeom>
                  </pic:spPr>
                </pic:pic>
              </a:graphicData>
            </a:graphic>
          </wp:inline>
        </w:drawing>
      </w:r>
      <w:r>
        <w:rPr>
          <w:rFonts w:ascii="Times New Roman" w:hAnsi="Times New Roman" w:cs="Times New Roman"/>
          <w:sz w:val="24"/>
          <w:szCs w:val="24"/>
        </w:rPr>
        <w:t>Figure2</w:t>
      </w:r>
      <w:r w:rsidRPr="00E24CFA">
        <w:rPr>
          <w:rFonts w:ascii="Times New Roman" w:hAnsi="Times New Roman" w:cs="Times New Roman"/>
          <w:sz w:val="24"/>
          <w:szCs w:val="24"/>
        </w:rPr>
        <w:t xml:space="preserve"> Conceptual framework linking socio-demographic, institutional, and cultural factors to household waste-management practices and environmental outcomes.</w:t>
      </w:r>
    </w:p>
    <w:p w:rsidR="00E24CFA" w:rsidRPr="00E24CFA" w:rsidRDefault="00E24CFA" w:rsidP="00E24CFA">
      <w:pPr>
        <w:pStyle w:val="Heading2"/>
        <w:rPr>
          <w:sz w:val="24"/>
          <w:szCs w:val="24"/>
        </w:rPr>
      </w:pPr>
    </w:p>
    <w:p w:rsidR="00E24CFA" w:rsidRPr="00E24CFA" w:rsidRDefault="00E24CFA" w:rsidP="00E24CFA">
      <w:pPr>
        <w:pStyle w:val="Heading2"/>
        <w:rPr>
          <w:sz w:val="24"/>
          <w:szCs w:val="24"/>
        </w:rPr>
      </w:pPr>
      <w:r w:rsidRPr="00E24CFA">
        <w:rPr>
          <w:sz w:val="24"/>
          <w:szCs w:val="24"/>
        </w:rPr>
        <w:t>9. Data Presentation and Analysis</w:t>
      </w:r>
    </w:p>
    <w:p w:rsidR="00E24CFA" w:rsidRPr="00E24CFA" w:rsidRDefault="00E24CFA" w:rsidP="00E24CFA">
      <w:pPr>
        <w:rPr>
          <w:rFonts w:ascii="Times New Roman" w:hAnsi="Times New Roman" w:cs="Times New Roman"/>
          <w:sz w:val="24"/>
          <w:szCs w:val="24"/>
        </w:rPr>
      </w:pP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This section presents the quantitative and qualitative findings. Quantitative tables summarize socio-demographic characteristics, waste practices, and inferential test results; qualitative themes contextualize barriers and enabling factors.</w:t>
      </w:r>
    </w:p>
    <w:p w:rsidR="00E24CFA" w:rsidRPr="00E24CFA" w:rsidRDefault="00E24CFA" w:rsidP="00E24CFA">
      <w:pPr>
        <w:rPr>
          <w:rFonts w:ascii="Times New Roman" w:hAnsi="Times New Roman" w:cs="Times New Roman"/>
          <w:sz w:val="24"/>
          <w:szCs w:val="24"/>
        </w:rPr>
      </w:pPr>
      <w:r w:rsidRPr="00E24CFA">
        <w:rPr>
          <w:rFonts w:ascii="Times New Roman" w:hAnsi="Times New Roman" w:cs="Times New Roman"/>
          <w:sz w:val="24"/>
          <w:szCs w:val="24"/>
        </w:rPr>
        <w:t>Table 1. Socio-Demographic Characteristics of Respondents (n = 500)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E24CFA" w:rsidRPr="00E24CFA" w:rsidTr="00E530B0">
        <w:trPr>
          <w:jc w:val="center"/>
        </w:trPr>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Variable</w:t>
            </w:r>
          </w:p>
        </w:tc>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Category</w:t>
            </w:r>
          </w:p>
        </w:tc>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Frequency</w:t>
            </w:r>
          </w:p>
        </w:tc>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Percentage (%)</w:t>
            </w:r>
          </w:p>
        </w:tc>
      </w:tr>
      <w:tr w:rsidR="00E24CFA" w:rsidRPr="00E24CFA" w:rsidTr="00E530B0">
        <w:trPr>
          <w:jc w:val="center"/>
        </w:trPr>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Gender</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Male</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230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46.0</w:t>
            </w:r>
          </w:p>
        </w:tc>
      </w:tr>
      <w:tr w:rsidR="00E24CFA" w:rsidRPr="00E24CFA" w:rsidTr="00E530B0">
        <w:trPr>
          <w:jc w:val="center"/>
        </w:trPr>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Gender</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Female</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270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54.0</w:t>
            </w:r>
          </w:p>
        </w:tc>
      </w:tr>
      <w:tr w:rsidR="00E24CFA" w:rsidRPr="00E24CFA" w:rsidTr="00E530B0">
        <w:trPr>
          <w:jc w:val="center"/>
        </w:trPr>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lastRenderedPageBreak/>
              <w:t>Age Group</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18-30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140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28.0</w:t>
            </w:r>
          </w:p>
        </w:tc>
      </w:tr>
      <w:tr w:rsidR="00E24CFA" w:rsidRPr="00E24CFA" w:rsidTr="00E530B0">
        <w:trPr>
          <w:jc w:val="center"/>
        </w:trPr>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Age Group</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31-50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230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46.0</w:t>
            </w:r>
          </w:p>
        </w:tc>
      </w:tr>
      <w:tr w:rsidR="00E24CFA" w:rsidRPr="00E24CFA" w:rsidTr="00E530B0">
        <w:trPr>
          <w:jc w:val="center"/>
        </w:trPr>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Age Group</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51+</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130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26.0</w:t>
            </w:r>
          </w:p>
        </w:tc>
      </w:tr>
      <w:tr w:rsidR="00E24CFA" w:rsidRPr="00E24CFA" w:rsidTr="00E530B0">
        <w:trPr>
          <w:jc w:val="center"/>
        </w:trPr>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Education</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No formal</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70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14.0</w:t>
            </w:r>
          </w:p>
        </w:tc>
      </w:tr>
      <w:tr w:rsidR="00E24CFA" w:rsidRPr="00E24CFA" w:rsidTr="00E530B0">
        <w:trPr>
          <w:jc w:val="center"/>
        </w:trPr>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Education</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Primary</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90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18.0</w:t>
            </w:r>
          </w:p>
        </w:tc>
      </w:tr>
      <w:tr w:rsidR="00E24CFA" w:rsidRPr="00E24CFA" w:rsidTr="00E530B0">
        <w:trPr>
          <w:jc w:val="center"/>
        </w:trPr>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Education</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Secondary</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160</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32.0</w:t>
            </w:r>
          </w:p>
        </w:tc>
      </w:tr>
      <w:tr w:rsidR="00E24CFA" w:rsidRPr="00E24CFA" w:rsidTr="00E530B0">
        <w:trPr>
          <w:jc w:val="center"/>
        </w:trPr>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Education</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Tertiary</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180</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36.0</w:t>
            </w:r>
          </w:p>
        </w:tc>
      </w:tr>
      <w:tr w:rsidR="00E24CFA" w:rsidRPr="00E24CFA" w:rsidTr="00E530B0">
        <w:trPr>
          <w:jc w:val="center"/>
        </w:trPr>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Household Income</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Low (&lt;₦50,000)</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210</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42.0</w:t>
            </w:r>
          </w:p>
        </w:tc>
      </w:tr>
      <w:tr w:rsidR="00E24CFA" w:rsidRPr="00E24CFA" w:rsidTr="00E530B0">
        <w:trPr>
          <w:jc w:val="center"/>
        </w:trPr>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Household Income</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Middle (₦50k-₦150k)</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190</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38.0</w:t>
            </w:r>
          </w:p>
        </w:tc>
      </w:tr>
      <w:tr w:rsidR="00E24CFA" w:rsidRPr="00E24CFA" w:rsidTr="00E530B0">
        <w:trPr>
          <w:jc w:val="center"/>
        </w:trPr>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Household Income</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High (&gt;₦150,000)</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100</w:t>
            </w:r>
          </w:p>
        </w:tc>
        <w:tc>
          <w:tcPr>
            <w:tcW w:w="216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20.0</w:t>
            </w:r>
          </w:p>
        </w:tc>
      </w:tr>
    </w:tbl>
    <w:p w:rsidR="00E24CFA" w:rsidRPr="00E24CFA" w:rsidRDefault="00E24CFA" w:rsidP="00E24CFA">
      <w:pPr>
        <w:rPr>
          <w:rFonts w:ascii="Times New Roman" w:hAnsi="Times New Roman" w:cs="Times New Roman"/>
          <w:sz w:val="24"/>
          <w:szCs w:val="24"/>
        </w:rPr>
      </w:pPr>
      <w:r w:rsidRPr="00E24CFA">
        <w:rPr>
          <w:rFonts w:ascii="Times New Roman" w:hAnsi="Times New Roman" w:cs="Times New Roman"/>
          <w:sz w:val="24"/>
          <w:szCs w:val="24"/>
        </w:rPr>
        <w:br/>
        <w:t>(Source: Field Research, 2025)</w:t>
      </w:r>
    </w:p>
    <w:p w:rsidR="00E24CFA" w:rsidRPr="00E24CFA" w:rsidRDefault="00E24CFA" w:rsidP="00E24CFA">
      <w:pPr>
        <w:rPr>
          <w:rFonts w:ascii="Times New Roman" w:hAnsi="Times New Roman" w:cs="Times New Roman"/>
          <w:sz w:val="24"/>
          <w:szCs w:val="24"/>
        </w:rPr>
      </w:pPr>
    </w:p>
    <w:p w:rsidR="00E24CFA" w:rsidRPr="00E24CFA" w:rsidRDefault="00E24CFA" w:rsidP="00E24CFA">
      <w:pPr>
        <w:rPr>
          <w:rFonts w:ascii="Times New Roman" w:hAnsi="Times New Roman" w:cs="Times New Roman"/>
          <w:sz w:val="24"/>
          <w:szCs w:val="24"/>
        </w:rPr>
      </w:pPr>
      <w:r w:rsidRPr="00E24CFA">
        <w:rPr>
          <w:rFonts w:ascii="Times New Roman" w:hAnsi="Times New Roman" w:cs="Times New Roman"/>
          <w:sz w:val="24"/>
          <w:szCs w:val="24"/>
        </w:rPr>
        <w:t>Table 2. Household Waste Management Practices (n = 500)</w:t>
      </w:r>
      <w:r w:rsidRPr="00E24CFA">
        <w:rPr>
          <w:rFonts w:ascii="Times New Roman" w:hAnsi="Times New Roman" w:cs="Times New Roman"/>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E24CFA" w:rsidRPr="00E24CFA" w:rsidTr="00E530B0">
        <w:trPr>
          <w:jc w:val="center"/>
        </w:trPr>
        <w:tc>
          <w:tcPr>
            <w:tcW w:w="288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Practice</w:t>
            </w:r>
          </w:p>
        </w:tc>
        <w:tc>
          <w:tcPr>
            <w:tcW w:w="288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Yes (%)</w:t>
            </w:r>
          </w:p>
        </w:tc>
        <w:tc>
          <w:tcPr>
            <w:tcW w:w="2880" w:type="dxa"/>
          </w:tcPr>
          <w:p w:rsidR="00E24CFA" w:rsidRPr="00E24CFA" w:rsidRDefault="00E24CFA" w:rsidP="00E530B0">
            <w:pPr>
              <w:rPr>
                <w:rFonts w:ascii="Times New Roman" w:hAnsi="Times New Roman" w:cs="Times New Roman"/>
                <w:sz w:val="24"/>
                <w:szCs w:val="24"/>
              </w:rPr>
            </w:pPr>
            <w:r w:rsidRPr="00E24CFA">
              <w:rPr>
                <w:rFonts w:ascii="Times New Roman" w:hAnsi="Times New Roman" w:cs="Times New Roman"/>
                <w:sz w:val="24"/>
                <w:szCs w:val="24"/>
              </w:rPr>
              <w:t>No (%)</w:t>
            </w:r>
          </w:p>
        </w:tc>
      </w:tr>
      <w:tr w:rsidR="00E24CFA" w:rsidRPr="00E24CFA" w:rsidTr="00E530B0">
        <w:trPr>
          <w:jc w:val="center"/>
        </w:trPr>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Segregates waste at source</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35.4</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64.6</w:t>
            </w:r>
          </w:p>
        </w:tc>
      </w:tr>
      <w:tr w:rsidR="00E24CFA" w:rsidRPr="00E24CFA" w:rsidTr="00E530B0">
        <w:trPr>
          <w:jc w:val="center"/>
        </w:trPr>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Participates in recycling</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28.6</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71.4</w:t>
            </w:r>
          </w:p>
        </w:tc>
      </w:tr>
      <w:tr w:rsidR="00E24CFA" w:rsidRPr="00E24CFA" w:rsidTr="00E530B0">
        <w:trPr>
          <w:jc w:val="center"/>
        </w:trPr>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Burns waste in open areas</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41.2</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58.8</w:t>
            </w:r>
          </w:p>
        </w:tc>
      </w:tr>
      <w:tr w:rsidR="00E24CFA" w:rsidRPr="00E24CFA" w:rsidTr="00E530B0">
        <w:trPr>
          <w:jc w:val="center"/>
        </w:trPr>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Uses municipal collection services</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52.0</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48.0</w:t>
            </w:r>
          </w:p>
        </w:tc>
      </w:tr>
      <w:tr w:rsidR="00E24CFA" w:rsidRPr="00E24CFA" w:rsidTr="00E530B0">
        <w:trPr>
          <w:jc w:val="center"/>
        </w:trPr>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Participates in community clean-ups</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47.8</w:t>
            </w:r>
          </w:p>
        </w:tc>
        <w:tc>
          <w:tcPr>
            <w:tcW w:w="288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52.2</w:t>
            </w:r>
          </w:p>
        </w:tc>
      </w:tr>
    </w:tbl>
    <w:p w:rsidR="00E24CFA" w:rsidRPr="00E24CFA" w:rsidRDefault="00E24CFA" w:rsidP="00E24CFA">
      <w:pPr>
        <w:spacing w:line="480" w:lineRule="auto"/>
        <w:rPr>
          <w:rFonts w:ascii="Times New Roman" w:hAnsi="Times New Roman" w:cs="Times New Roman"/>
          <w:sz w:val="24"/>
          <w:szCs w:val="24"/>
        </w:rPr>
      </w:pPr>
      <w:r w:rsidRPr="00E24CFA">
        <w:rPr>
          <w:rFonts w:ascii="Times New Roman" w:hAnsi="Times New Roman" w:cs="Times New Roman"/>
          <w:sz w:val="24"/>
          <w:szCs w:val="24"/>
        </w:rPr>
        <w:t>(Source: Author’s Computation, 2025)</w:t>
      </w:r>
      <w:r w:rsidRPr="00E24CFA">
        <w:rPr>
          <w:rFonts w:ascii="Times New Roman" w:hAnsi="Times New Roman" w:cs="Times New Roman"/>
          <w:sz w:val="24"/>
          <w:szCs w:val="24"/>
        </w:rPr>
        <w:br/>
        <w:t>Inferential Results (selected):</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lastRenderedPageBreak/>
        <w:t>Chi-square test showed a strong association between education level and waste segregation (χ²(3) = 28.67, p &lt; 0.001). ANOVA indicated significant differences in recycling participation across income groups (F = 15.24, p &lt; 0.001). Logistic regression (adjusted) identified tertiary education, high income, and access to municipal collection as significant predictors of recycling participation ( see table 5).</w:t>
      </w:r>
    </w:p>
    <w:p w:rsidR="00E24CFA" w:rsidRPr="00E24CFA" w:rsidRDefault="00E24CFA" w:rsidP="00E24CFA">
      <w:pPr>
        <w:jc w:val="center"/>
        <w:rPr>
          <w:rFonts w:ascii="Times New Roman" w:hAnsi="Times New Roman" w:cs="Times New Roman"/>
          <w:sz w:val="24"/>
          <w:szCs w:val="24"/>
        </w:rPr>
      </w:pPr>
      <w:r w:rsidRPr="00E24CFA">
        <w:rPr>
          <w:rFonts w:ascii="Times New Roman" w:hAnsi="Times New Roman" w:cs="Times New Roman"/>
          <w:noProof/>
          <w:sz w:val="24"/>
          <w:szCs w:val="24"/>
        </w:rPr>
        <w:drawing>
          <wp:inline distT="0" distB="0" distL="0" distR="0">
            <wp:extent cx="5802206" cy="3793067"/>
            <wp:effectExtent l="19050" t="0" r="8044"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816889" cy="3802666"/>
                    </a:xfrm>
                    <a:prstGeom prst="rect">
                      <a:avLst/>
                    </a:prstGeom>
                  </pic:spPr>
                </pic:pic>
              </a:graphicData>
            </a:graphic>
          </wp:inline>
        </w:drawing>
      </w:r>
    </w:p>
    <w:p w:rsidR="00E24CFA" w:rsidRPr="00E24CFA" w:rsidRDefault="00E24CFA" w:rsidP="00E24CFA">
      <w:pPr>
        <w:jc w:val="center"/>
        <w:rPr>
          <w:rFonts w:ascii="Times New Roman" w:hAnsi="Times New Roman" w:cs="Times New Roman"/>
          <w:sz w:val="24"/>
          <w:szCs w:val="24"/>
        </w:rPr>
      </w:pPr>
      <w:r w:rsidRPr="00E24CFA">
        <w:rPr>
          <w:rFonts w:ascii="Times New Roman" w:hAnsi="Times New Roman" w:cs="Times New Roman"/>
          <w:sz w:val="24"/>
          <w:szCs w:val="24"/>
        </w:rPr>
        <w:t>Figure 3. Percentage of households reporting segregation at source by education level (survey data, 2025).</w:t>
      </w:r>
    </w:p>
    <w:p w:rsidR="00E24CFA" w:rsidRPr="00E24CFA" w:rsidRDefault="00E24CFA" w:rsidP="00E24CFA">
      <w:pPr>
        <w:pStyle w:val="Heading2"/>
        <w:rPr>
          <w:sz w:val="24"/>
          <w:szCs w:val="24"/>
        </w:rPr>
      </w:pPr>
    </w:p>
    <w:p w:rsidR="00E24CFA" w:rsidRPr="00E24CFA" w:rsidRDefault="00E24CFA" w:rsidP="00E24CFA">
      <w:pPr>
        <w:pStyle w:val="Heading2"/>
        <w:rPr>
          <w:sz w:val="24"/>
          <w:szCs w:val="24"/>
        </w:rPr>
      </w:pPr>
      <w:r w:rsidRPr="00E24CFA">
        <w:rPr>
          <w:sz w:val="24"/>
          <w:szCs w:val="24"/>
        </w:rPr>
        <w:t>9.1  Inferential Statistics</w:t>
      </w:r>
    </w:p>
    <w:p w:rsidR="00E24CFA" w:rsidRPr="00E24CFA" w:rsidRDefault="00E24CFA" w:rsidP="00E24CFA">
      <w:pPr>
        <w:pStyle w:val="Heading2"/>
        <w:rPr>
          <w:b w:val="0"/>
          <w:sz w:val="24"/>
          <w:szCs w:val="24"/>
        </w:rPr>
      </w:pPr>
      <w:r w:rsidRPr="00E24CFA">
        <w:rPr>
          <w:b w:val="0"/>
          <w:sz w:val="24"/>
          <w:szCs w:val="24"/>
        </w:rPr>
        <w:t>Table 3: Chi-Square Test of Education and Waste Segregation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E24CFA" w:rsidRPr="00E24CFA" w:rsidTr="00E530B0">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Education Level</w:t>
            </w:r>
          </w:p>
        </w:tc>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Segregates Waste (%)</w:t>
            </w:r>
          </w:p>
        </w:tc>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χ² (df)</w:t>
            </w:r>
          </w:p>
        </w:tc>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p-value</w:t>
            </w:r>
          </w:p>
        </w:tc>
      </w:tr>
      <w:tr w:rsidR="00E24CFA" w:rsidRPr="00E24CFA" w:rsidTr="00E530B0">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lastRenderedPageBreak/>
              <w:t>No formal</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12.5</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28.67 (3)</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0.000</w:t>
            </w:r>
          </w:p>
        </w:tc>
      </w:tr>
      <w:tr w:rsidR="00E24CFA" w:rsidRPr="00E24CFA" w:rsidTr="00E530B0">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Primary</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18.9</w:t>
            </w:r>
          </w:p>
        </w:tc>
        <w:tc>
          <w:tcPr>
            <w:tcW w:w="2160" w:type="dxa"/>
          </w:tcPr>
          <w:p w:rsidR="00E24CFA" w:rsidRPr="00E24CFA" w:rsidRDefault="00E24CFA" w:rsidP="00E530B0">
            <w:pPr>
              <w:jc w:val="center"/>
              <w:rPr>
                <w:rFonts w:ascii="Times New Roman" w:hAnsi="Times New Roman" w:cs="Times New Roman"/>
                <w:sz w:val="24"/>
                <w:szCs w:val="24"/>
              </w:rPr>
            </w:pPr>
          </w:p>
        </w:tc>
        <w:tc>
          <w:tcPr>
            <w:tcW w:w="2160" w:type="dxa"/>
          </w:tcPr>
          <w:p w:rsidR="00E24CFA" w:rsidRPr="00E24CFA" w:rsidRDefault="00E24CFA" w:rsidP="00E530B0">
            <w:pPr>
              <w:jc w:val="center"/>
              <w:rPr>
                <w:rFonts w:ascii="Times New Roman" w:hAnsi="Times New Roman" w:cs="Times New Roman"/>
                <w:sz w:val="24"/>
                <w:szCs w:val="24"/>
              </w:rPr>
            </w:pPr>
          </w:p>
        </w:tc>
      </w:tr>
      <w:tr w:rsidR="00E24CFA" w:rsidRPr="00E24CFA" w:rsidTr="00E530B0">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Secondary</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36.3</w:t>
            </w:r>
          </w:p>
        </w:tc>
        <w:tc>
          <w:tcPr>
            <w:tcW w:w="2160" w:type="dxa"/>
          </w:tcPr>
          <w:p w:rsidR="00E24CFA" w:rsidRPr="00E24CFA" w:rsidRDefault="00E24CFA" w:rsidP="00E530B0">
            <w:pPr>
              <w:jc w:val="center"/>
              <w:rPr>
                <w:rFonts w:ascii="Times New Roman" w:hAnsi="Times New Roman" w:cs="Times New Roman"/>
                <w:sz w:val="24"/>
                <w:szCs w:val="24"/>
              </w:rPr>
            </w:pPr>
          </w:p>
        </w:tc>
        <w:tc>
          <w:tcPr>
            <w:tcW w:w="2160" w:type="dxa"/>
          </w:tcPr>
          <w:p w:rsidR="00E24CFA" w:rsidRPr="00E24CFA" w:rsidRDefault="00E24CFA" w:rsidP="00E530B0">
            <w:pPr>
              <w:jc w:val="center"/>
              <w:rPr>
                <w:rFonts w:ascii="Times New Roman" w:hAnsi="Times New Roman" w:cs="Times New Roman"/>
                <w:sz w:val="24"/>
                <w:szCs w:val="24"/>
              </w:rPr>
            </w:pPr>
          </w:p>
        </w:tc>
      </w:tr>
      <w:tr w:rsidR="00E24CFA" w:rsidRPr="00E24CFA" w:rsidTr="00E530B0">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Tertiary</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54.1</w:t>
            </w:r>
          </w:p>
        </w:tc>
        <w:tc>
          <w:tcPr>
            <w:tcW w:w="2160" w:type="dxa"/>
          </w:tcPr>
          <w:p w:rsidR="00E24CFA" w:rsidRPr="00E24CFA" w:rsidRDefault="00E24CFA" w:rsidP="00E530B0">
            <w:pPr>
              <w:jc w:val="center"/>
              <w:rPr>
                <w:rFonts w:ascii="Times New Roman" w:hAnsi="Times New Roman" w:cs="Times New Roman"/>
                <w:sz w:val="24"/>
                <w:szCs w:val="24"/>
              </w:rPr>
            </w:pPr>
          </w:p>
        </w:tc>
        <w:tc>
          <w:tcPr>
            <w:tcW w:w="2160" w:type="dxa"/>
          </w:tcPr>
          <w:p w:rsidR="00E24CFA" w:rsidRPr="00E24CFA" w:rsidRDefault="00E24CFA" w:rsidP="00E530B0">
            <w:pPr>
              <w:jc w:val="center"/>
              <w:rPr>
                <w:rFonts w:ascii="Times New Roman" w:hAnsi="Times New Roman" w:cs="Times New Roman"/>
                <w:sz w:val="24"/>
                <w:szCs w:val="24"/>
              </w:rPr>
            </w:pPr>
          </w:p>
        </w:tc>
      </w:tr>
    </w:tbl>
    <w:p w:rsidR="00E24CFA" w:rsidRPr="00E24CFA" w:rsidRDefault="00E24CFA" w:rsidP="00E24CFA">
      <w:pPr>
        <w:pStyle w:val="NormalWeb"/>
        <w:spacing w:line="480" w:lineRule="auto"/>
        <w:jc w:val="both"/>
        <w:rPr>
          <w:rStyle w:val="Strong"/>
          <w:rFonts w:eastAsiaTheme="majorEastAsia"/>
          <w:b w:val="0"/>
        </w:rPr>
      </w:pPr>
      <w:r w:rsidRPr="00E24CFA">
        <w:rPr>
          <w:rStyle w:val="Strong"/>
          <w:rFonts w:eastAsiaTheme="majorEastAsia"/>
        </w:rPr>
        <w:t>(Source:Spss Vs 2)</w:t>
      </w:r>
    </w:p>
    <w:p w:rsidR="00E24CFA" w:rsidRPr="00E24CFA" w:rsidRDefault="00E24CFA" w:rsidP="00E24CFA">
      <w:pPr>
        <w:pStyle w:val="NormalWeb"/>
        <w:spacing w:line="480" w:lineRule="auto"/>
        <w:jc w:val="both"/>
      </w:pPr>
      <w:r w:rsidRPr="00E24CFA">
        <w:rPr>
          <w:rStyle w:val="Strong"/>
          <w:rFonts w:eastAsiaTheme="majorEastAsia"/>
        </w:rPr>
        <w:t>Interpretation:</w:t>
      </w:r>
      <w:r w:rsidRPr="00E24CFA">
        <w:t xml:space="preserve"> Education significantly influenced waste segregation practices (p &lt; 0.001).</w:t>
      </w:r>
    </w:p>
    <w:p w:rsidR="00E24CFA" w:rsidRPr="00E24CFA" w:rsidRDefault="00E24CFA" w:rsidP="00E24CFA">
      <w:pPr>
        <w:pStyle w:val="NormalWeb"/>
        <w:spacing w:line="480" w:lineRule="auto"/>
        <w:jc w:val="both"/>
      </w:pPr>
    </w:p>
    <w:p w:rsidR="00E24CFA" w:rsidRPr="00E24CFA" w:rsidRDefault="00E24CFA" w:rsidP="00E24CFA">
      <w:pPr>
        <w:pStyle w:val="Heading2"/>
        <w:rPr>
          <w:b w:val="0"/>
          <w:sz w:val="24"/>
          <w:szCs w:val="24"/>
        </w:rPr>
      </w:pPr>
      <w:r w:rsidRPr="00E24CFA">
        <w:rPr>
          <w:b w:val="0"/>
          <w:sz w:val="24"/>
          <w:szCs w:val="24"/>
        </w:rPr>
        <w:t>Table 4: ANOVA – Household Income and Recycling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728"/>
        <w:gridCol w:w="1728"/>
        <w:gridCol w:w="1728"/>
        <w:gridCol w:w="1728"/>
      </w:tblGrid>
      <w:tr w:rsidR="00E24CFA" w:rsidRPr="00E24CFA" w:rsidTr="00E530B0">
        <w:tc>
          <w:tcPr>
            <w:tcW w:w="1728"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Income Level</w:t>
            </w:r>
          </w:p>
        </w:tc>
        <w:tc>
          <w:tcPr>
            <w:tcW w:w="1728"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Mean Recycling Score</w:t>
            </w:r>
          </w:p>
        </w:tc>
        <w:tc>
          <w:tcPr>
            <w:tcW w:w="1728"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Std. Dev.</w:t>
            </w:r>
          </w:p>
        </w:tc>
        <w:tc>
          <w:tcPr>
            <w:tcW w:w="1728"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F-value</w:t>
            </w:r>
          </w:p>
        </w:tc>
        <w:tc>
          <w:tcPr>
            <w:tcW w:w="1728"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p-value</w:t>
            </w:r>
          </w:p>
        </w:tc>
      </w:tr>
      <w:tr w:rsidR="00E24CFA" w:rsidRPr="00E24CFA" w:rsidTr="00E530B0">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Low (&lt;₦50,000)</w:t>
            </w:r>
          </w:p>
        </w:tc>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1.42</w:t>
            </w:r>
          </w:p>
        </w:tc>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0.60</w:t>
            </w:r>
          </w:p>
        </w:tc>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15.24</w:t>
            </w:r>
          </w:p>
        </w:tc>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0.000</w:t>
            </w:r>
          </w:p>
        </w:tc>
      </w:tr>
      <w:tr w:rsidR="00E24CFA" w:rsidRPr="00E24CFA" w:rsidTr="00E530B0">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Middle (₦50k–₦150k)</w:t>
            </w:r>
          </w:p>
        </w:tc>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2.18</w:t>
            </w:r>
          </w:p>
        </w:tc>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0.73</w:t>
            </w:r>
          </w:p>
        </w:tc>
        <w:tc>
          <w:tcPr>
            <w:tcW w:w="1728" w:type="dxa"/>
          </w:tcPr>
          <w:p w:rsidR="00E24CFA" w:rsidRPr="00E24CFA" w:rsidRDefault="00E24CFA" w:rsidP="00E530B0">
            <w:pPr>
              <w:jc w:val="center"/>
              <w:rPr>
                <w:rFonts w:ascii="Times New Roman" w:hAnsi="Times New Roman" w:cs="Times New Roman"/>
                <w:sz w:val="24"/>
                <w:szCs w:val="24"/>
              </w:rPr>
            </w:pPr>
          </w:p>
        </w:tc>
        <w:tc>
          <w:tcPr>
            <w:tcW w:w="1728" w:type="dxa"/>
          </w:tcPr>
          <w:p w:rsidR="00E24CFA" w:rsidRPr="00E24CFA" w:rsidRDefault="00E24CFA" w:rsidP="00E530B0">
            <w:pPr>
              <w:jc w:val="center"/>
              <w:rPr>
                <w:rFonts w:ascii="Times New Roman" w:hAnsi="Times New Roman" w:cs="Times New Roman"/>
                <w:sz w:val="24"/>
                <w:szCs w:val="24"/>
              </w:rPr>
            </w:pPr>
          </w:p>
        </w:tc>
      </w:tr>
      <w:tr w:rsidR="00E24CFA" w:rsidRPr="00E24CFA" w:rsidTr="00E530B0">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High (&gt;₦150,000)</w:t>
            </w:r>
          </w:p>
        </w:tc>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2.65</w:t>
            </w:r>
          </w:p>
        </w:tc>
        <w:tc>
          <w:tcPr>
            <w:tcW w:w="1728"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0.81</w:t>
            </w:r>
          </w:p>
        </w:tc>
        <w:tc>
          <w:tcPr>
            <w:tcW w:w="1728" w:type="dxa"/>
          </w:tcPr>
          <w:p w:rsidR="00E24CFA" w:rsidRPr="00E24CFA" w:rsidRDefault="00E24CFA" w:rsidP="00E530B0">
            <w:pPr>
              <w:jc w:val="center"/>
              <w:rPr>
                <w:rFonts w:ascii="Times New Roman" w:hAnsi="Times New Roman" w:cs="Times New Roman"/>
                <w:sz w:val="24"/>
                <w:szCs w:val="24"/>
              </w:rPr>
            </w:pPr>
          </w:p>
        </w:tc>
        <w:tc>
          <w:tcPr>
            <w:tcW w:w="1728" w:type="dxa"/>
          </w:tcPr>
          <w:p w:rsidR="00E24CFA" w:rsidRPr="00E24CFA" w:rsidRDefault="00E24CFA" w:rsidP="00E530B0">
            <w:pPr>
              <w:jc w:val="center"/>
              <w:rPr>
                <w:rFonts w:ascii="Times New Roman" w:hAnsi="Times New Roman" w:cs="Times New Roman"/>
                <w:sz w:val="24"/>
                <w:szCs w:val="24"/>
              </w:rPr>
            </w:pPr>
          </w:p>
        </w:tc>
      </w:tr>
    </w:tbl>
    <w:p w:rsidR="00E24CFA" w:rsidRPr="00E24CFA" w:rsidRDefault="00E24CFA" w:rsidP="00E24CFA">
      <w:pPr>
        <w:pStyle w:val="Heading2"/>
        <w:rPr>
          <w:b w:val="0"/>
          <w:sz w:val="24"/>
          <w:szCs w:val="24"/>
        </w:rPr>
      </w:pPr>
      <w:r w:rsidRPr="00E24CFA">
        <w:rPr>
          <w:b w:val="0"/>
          <w:sz w:val="24"/>
          <w:szCs w:val="24"/>
        </w:rPr>
        <w:t>(Source: Spss Vs 27)</w:t>
      </w:r>
    </w:p>
    <w:p w:rsidR="00E24CFA" w:rsidRPr="00E24CFA" w:rsidRDefault="00E24CFA" w:rsidP="00E24CFA">
      <w:pPr>
        <w:pStyle w:val="Heading2"/>
        <w:rPr>
          <w:b w:val="0"/>
          <w:sz w:val="24"/>
          <w:szCs w:val="24"/>
        </w:rPr>
      </w:pPr>
      <w:r w:rsidRPr="00E24CFA">
        <w:rPr>
          <w:rStyle w:val="Strong"/>
          <w:sz w:val="24"/>
          <w:szCs w:val="24"/>
        </w:rPr>
        <w:t>Interpretation:</w:t>
      </w:r>
      <w:r w:rsidRPr="00E24CFA">
        <w:rPr>
          <w:sz w:val="24"/>
          <w:szCs w:val="24"/>
        </w:rPr>
        <w:t xml:space="preserve"> </w:t>
      </w:r>
      <w:r w:rsidRPr="00E24CFA">
        <w:rPr>
          <w:b w:val="0"/>
          <w:sz w:val="24"/>
          <w:szCs w:val="24"/>
        </w:rPr>
        <w:t>Higher-income households had significantly greater participation in recycling (p &lt; 0.001).</w:t>
      </w:r>
    </w:p>
    <w:p w:rsidR="00E24CFA" w:rsidRPr="00E24CFA" w:rsidRDefault="00E24CFA" w:rsidP="00E24CFA">
      <w:pPr>
        <w:pStyle w:val="Heading2"/>
        <w:rPr>
          <w:sz w:val="24"/>
          <w:szCs w:val="24"/>
        </w:rPr>
      </w:pPr>
    </w:p>
    <w:p w:rsidR="00E24CFA" w:rsidRPr="00E24CFA" w:rsidRDefault="00E24CFA" w:rsidP="00E24CFA">
      <w:pPr>
        <w:pStyle w:val="Heading2"/>
        <w:jc w:val="center"/>
        <w:rPr>
          <w:b w:val="0"/>
          <w:sz w:val="24"/>
          <w:szCs w:val="24"/>
        </w:rPr>
      </w:pPr>
      <w:r w:rsidRPr="00E24CFA">
        <w:rPr>
          <w:b w:val="0"/>
          <w:sz w:val="24"/>
          <w:szCs w:val="24"/>
        </w:rPr>
        <w:t>Table 5: Logistic Regression Predicting Recycling Participation</w:t>
      </w:r>
    </w:p>
    <w:p w:rsidR="00E24CFA" w:rsidRPr="00E24CFA" w:rsidRDefault="00E24CFA" w:rsidP="00E24CF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E24CFA" w:rsidRPr="00E24CFA" w:rsidTr="00E530B0">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lastRenderedPageBreak/>
              <w:t>Predictor Variable</w:t>
            </w:r>
          </w:p>
        </w:tc>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Odds Ratio (OR)</w:t>
            </w:r>
          </w:p>
        </w:tc>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95% CI</w:t>
            </w:r>
          </w:p>
        </w:tc>
        <w:tc>
          <w:tcPr>
            <w:tcW w:w="2160" w:type="dxa"/>
          </w:tcPr>
          <w:p w:rsidR="00E24CFA" w:rsidRPr="00E24CFA" w:rsidRDefault="00E24CFA" w:rsidP="00E530B0">
            <w:pPr>
              <w:jc w:val="center"/>
              <w:rPr>
                <w:rFonts w:ascii="Times New Roman" w:hAnsi="Times New Roman" w:cs="Times New Roman"/>
                <w:b/>
                <w:sz w:val="24"/>
                <w:szCs w:val="24"/>
              </w:rPr>
            </w:pPr>
            <w:r w:rsidRPr="00E24CFA">
              <w:rPr>
                <w:rFonts w:ascii="Times New Roman" w:hAnsi="Times New Roman" w:cs="Times New Roman"/>
                <w:b/>
                <w:sz w:val="24"/>
                <w:szCs w:val="24"/>
              </w:rPr>
              <w:t>p-value</w:t>
            </w:r>
          </w:p>
        </w:tc>
      </w:tr>
      <w:tr w:rsidR="00E24CFA" w:rsidRPr="00E24CFA" w:rsidTr="00E530B0">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Education (tertiary vs none)</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3.12</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1.87–5.21</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0.000</w:t>
            </w:r>
          </w:p>
        </w:tc>
      </w:tr>
      <w:tr w:rsidR="00E24CFA" w:rsidRPr="00E24CFA" w:rsidTr="00E530B0">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Household income (high vs low)</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2.78</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1.55–4.95</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0.001</w:t>
            </w:r>
          </w:p>
        </w:tc>
      </w:tr>
      <w:tr w:rsidR="00E24CFA" w:rsidRPr="00E24CFA" w:rsidTr="00E530B0">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Access to municipal collection</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2.41</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1.32–4.02</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0.002</w:t>
            </w:r>
          </w:p>
        </w:tc>
      </w:tr>
      <w:tr w:rsidR="00E24CFA" w:rsidRPr="00E24CFA" w:rsidTr="00E530B0">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Distance to recycling point</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0.68</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0.47–0.92</w:t>
            </w:r>
          </w:p>
        </w:tc>
        <w:tc>
          <w:tcPr>
            <w:tcW w:w="2160" w:type="dxa"/>
          </w:tcPr>
          <w:p w:rsidR="00E24CFA" w:rsidRPr="00E24CFA" w:rsidRDefault="00E24CFA" w:rsidP="00E530B0">
            <w:pPr>
              <w:jc w:val="center"/>
              <w:rPr>
                <w:rFonts w:ascii="Times New Roman" w:hAnsi="Times New Roman" w:cs="Times New Roman"/>
                <w:sz w:val="24"/>
                <w:szCs w:val="24"/>
              </w:rPr>
            </w:pPr>
            <w:r w:rsidRPr="00E24CFA">
              <w:rPr>
                <w:rFonts w:ascii="Times New Roman" w:hAnsi="Times New Roman" w:cs="Times New Roman"/>
                <w:sz w:val="24"/>
                <w:szCs w:val="24"/>
              </w:rPr>
              <w:t>0.018</w:t>
            </w:r>
          </w:p>
        </w:tc>
      </w:tr>
    </w:tbl>
    <w:p w:rsidR="00E24CFA" w:rsidRPr="00E24CFA" w:rsidRDefault="00E24CFA" w:rsidP="00E24CFA">
      <w:pPr>
        <w:pStyle w:val="NormalWeb"/>
        <w:spacing w:line="480" w:lineRule="auto"/>
        <w:jc w:val="both"/>
        <w:rPr>
          <w:rStyle w:val="Strong"/>
          <w:rFonts w:eastAsiaTheme="majorEastAsia"/>
          <w:b w:val="0"/>
        </w:rPr>
      </w:pPr>
      <w:r w:rsidRPr="00E24CFA">
        <w:rPr>
          <w:rStyle w:val="Strong"/>
          <w:rFonts w:eastAsiaTheme="majorEastAsia"/>
        </w:rPr>
        <w:t>(Source: Spss Vs 2025)</w:t>
      </w:r>
    </w:p>
    <w:p w:rsidR="00E24CFA" w:rsidRPr="00E24CFA" w:rsidRDefault="00E24CFA" w:rsidP="00E24CFA">
      <w:pPr>
        <w:pStyle w:val="NormalWeb"/>
        <w:spacing w:line="480" w:lineRule="auto"/>
        <w:jc w:val="both"/>
      </w:pPr>
      <w:r w:rsidRPr="00E24CFA">
        <w:rPr>
          <w:rStyle w:val="Strong"/>
          <w:rFonts w:eastAsiaTheme="majorEastAsia"/>
        </w:rPr>
        <w:t>Interpretation:</w:t>
      </w:r>
      <w:r w:rsidRPr="00E24CFA">
        <w:t xml:space="preserve"> Education, income, and service access significantly predicted recycling participation, while greater distance reduced the likelihood</w:t>
      </w:r>
    </w:p>
    <w:p w:rsidR="00E24CFA" w:rsidRPr="00E24CFA" w:rsidRDefault="00E24CFA" w:rsidP="00E24CFA">
      <w:pPr>
        <w:pStyle w:val="Heading3"/>
        <w:rPr>
          <w:rFonts w:ascii="Times New Roman" w:hAnsi="Times New Roman" w:cs="Times New Roman"/>
          <w:color w:val="auto"/>
          <w:sz w:val="24"/>
          <w:szCs w:val="24"/>
        </w:rPr>
      </w:pPr>
      <w:r w:rsidRPr="00E24CFA">
        <w:rPr>
          <w:rFonts w:ascii="Times New Roman" w:hAnsi="Times New Roman" w:cs="Times New Roman"/>
          <w:color w:val="auto"/>
          <w:sz w:val="24"/>
          <w:szCs w:val="24"/>
        </w:rPr>
        <w:t>9.2 Qualitative Findings (Thematic Summary)</w:t>
      </w:r>
    </w:p>
    <w:p w:rsidR="00E24CFA" w:rsidRPr="00E24CFA" w:rsidRDefault="00E24CFA" w:rsidP="00E24CFA">
      <w:pPr>
        <w:rPr>
          <w:rFonts w:ascii="Times New Roman" w:hAnsi="Times New Roman" w:cs="Times New Roman"/>
          <w:sz w:val="24"/>
          <w:szCs w:val="24"/>
        </w:rPr>
      </w:pPr>
    </w:p>
    <w:p w:rsidR="00E24CFA" w:rsidRPr="00E24CFA" w:rsidRDefault="00E24CFA" w:rsidP="00E24CFA">
      <w:pPr>
        <w:pStyle w:val="ListParagraph"/>
        <w:numPr>
          <w:ilvl w:val="1"/>
          <w:numId w:val="16"/>
        </w:num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 xml:space="preserve"> Barriers to Recycling: inadequate infrastructure, irregular municipal collection, and weak market demand for recyclables.</w:t>
      </w:r>
    </w:p>
    <w:p w:rsidR="00E24CFA" w:rsidRPr="00E24CFA" w:rsidRDefault="00E24CFA" w:rsidP="00E24CFA">
      <w:pPr>
        <w:pStyle w:val="ListParagraph"/>
        <w:numPr>
          <w:ilvl w:val="1"/>
          <w:numId w:val="16"/>
        </w:num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Cooperative Action: communities with active cooperatives show higher reuse rates and better local cleanliness.</w:t>
      </w:r>
    </w:p>
    <w:p w:rsidR="00E24CFA" w:rsidRPr="00E24CFA" w:rsidRDefault="00E24CFA" w:rsidP="00E24CFA">
      <w:pPr>
        <w:pStyle w:val="ListParagraph"/>
        <w:numPr>
          <w:ilvl w:val="1"/>
          <w:numId w:val="16"/>
        </w:num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 xml:space="preserve"> Indigenous Practices: informal reuse (e.g., composting of organic waste) supports household-level circularity where applicable.</w:t>
      </w:r>
    </w:p>
    <w:p w:rsidR="00E24CFA" w:rsidRPr="00E24CFA" w:rsidRDefault="00E24CFA" w:rsidP="00E24CFA">
      <w:pPr>
        <w:pStyle w:val="ListParagraph"/>
        <w:numPr>
          <w:ilvl w:val="1"/>
          <w:numId w:val="16"/>
        </w:num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Policy and Institutional Gaps: limited enforcement and lack of local incentives reduce formal recycling uptake.</w:t>
      </w:r>
    </w:p>
    <w:p w:rsidR="00E24CFA" w:rsidRPr="00E24CFA" w:rsidRDefault="00E24CFA" w:rsidP="00E24CFA">
      <w:pPr>
        <w:pStyle w:val="Heading2"/>
        <w:rPr>
          <w:sz w:val="24"/>
          <w:szCs w:val="24"/>
        </w:rPr>
      </w:pPr>
      <w:r w:rsidRPr="00E24CFA">
        <w:rPr>
          <w:sz w:val="24"/>
          <w:szCs w:val="24"/>
        </w:rPr>
        <w:t>10.  Discussion of Findings</w:t>
      </w:r>
    </w:p>
    <w:p w:rsidR="00E24CFA" w:rsidRPr="00E24CFA" w:rsidRDefault="00E24CFA" w:rsidP="00E24CFA">
      <w:pPr>
        <w:rPr>
          <w:rFonts w:ascii="Times New Roman" w:hAnsi="Times New Roman" w:cs="Times New Roman"/>
          <w:sz w:val="24"/>
          <w:szCs w:val="24"/>
        </w:rPr>
      </w:pP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This study's results confirm that awareness alone does not guarantee sustainable household behaviour in the Niger Delta. Consistent with rapid reviews and national analyses, infrastructural and market barriers significantly constrain the translation of awareness into practice (Fakunle, 2024; Ezeudu et al., 2024).</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The positive association between education and segregation aligns with recent Nigerian studies showing that education increases environmental literacy and practical adoption of waste-sorting behaviours (Kolawole et al., 2024).</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National-level analyses indicate large volumes of municipal solid waste with low collection and recycling rates: Ezeudu et al. (2024) estimate that Nigeria generates over 27 million tonnes of municipal solid waste annually in urban areas, of which only about 11.2 million tonnes are collected and an estimated 1.1 million tonnes are plastics that require targeted circular economy interventions. These macro patterns contextualize the Niger Delta findings where household-level recycling remains low despite local initiatives.</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The federal policy move toward restricting single-use plastics (announced in 2024) creates both challenges and opportunities for household recycling systems; news reports and policy analyses highlight the need for enforcement and alternatives to avoid unintended socioeconomic impacts (Reuters, 2024; The Guardian, 2024).</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 xml:space="preserve">Evidence from recent municipal studies (Obio-Akpor suitability mapping, 2023; Bayelsa plastic bank initiatives, 2023) demonstrates that state-level programs are emerging to convert waste into income and to improve collection coverage, but these remain limited in scale and require </w:t>
      </w:r>
      <w:r w:rsidRPr="00E24CFA">
        <w:rPr>
          <w:rFonts w:ascii="Times New Roman" w:hAnsi="Times New Roman" w:cs="Times New Roman"/>
          <w:sz w:val="24"/>
          <w:szCs w:val="24"/>
        </w:rPr>
        <w:lastRenderedPageBreak/>
        <w:t>stronger market linkages (Bayelsa State Ministry releases, 2023; suitability mapping studies, 2023).</w:t>
      </w:r>
    </w:p>
    <w:p w:rsidR="00E24CFA" w:rsidRPr="00E24CFA" w:rsidRDefault="00E24CFA" w:rsidP="00E24CFA">
      <w:pPr>
        <w:spacing w:line="480" w:lineRule="auto"/>
        <w:jc w:val="both"/>
        <w:rPr>
          <w:rFonts w:ascii="Times New Roman" w:hAnsi="Times New Roman" w:cs="Times New Roman"/>
          <w:sz w:val="24"/>
          <w:szCs w:val="24"/>
        </w:rPr>
      </w:pPr>
      <w:r w:rsidRPr="00E24CFA">
        <w:rPr>
          <w:rFonts w:ascii="Times New Roman" w:hAnsi="Times New Roman" w:cs="Times New Roman"/>
          <w:sz w:val="24"/>
          <w:szCs w:val="24"/>
        </w:rPr>
        <w:t>Collectively, the 2024–2025 literature suggests hybrid governance models  combining municipal investment, private sector recycling incentives, and community cooperatives are the most promising pathway to scale household recycling in the Niger Delta (Eneh et al., 2025; Umar, 2024).</w:t>
      </w:r>
    </w:p>
    <w:p w:rsidR="00E24CFA" w:rsidRPr="00E24CFA" w:rsidRDefault="00E24CFA" w:rsidP="00E24CFA">
      <w:pPr>
        <w:pStyle w:val="Heading2"/>
        <w:rPr>
          <w:sz w:val="24"/>
          <w:szCs w:val="24"/>
        </w:rPr>
      </w:pPr>
      <w:r w:rsidRPr="00E24CFA">
        <w:rPr>
          <w:sz w:val="24"/>
          <w:szCs w:val="24"/>
        </w:rPr>
        <w:t>11. Conclusion</w:t>
      </w:r>
    </w:p>
    <w:p w:rsidR="00E24CFA" w:rsidRPr="00E24CFA" w:rsidRDefault="00E24CFA" w:rsidP="00E24CFA">
      <w:pPr>
        <w:pStyle w:val="NormalWeb"/>
        <w:spacing w:line="480" w:lineRule="auto"/>
        <w:jc w:val="both"/>
      </w:pPr>
      <w:r w:rsidRPr="00E24CFA">
        <w:t>This study investigated household home-management practices in the Niger Delta and their contribution to environmental sustainability, with a focus on waste management and recycling. Findings revealed that although awareness of environmental challenges is widespread, consistent adoption of sustainable household practices remains limited due to infrastructural deficits, irregular municipal services, weak recycling incentives, and certain cultural habits. Socio-economic factors such as education, income, and proximity to facilities significantly influenced positive behaviours, while communities with cooperative initiatives achieved better waste outcomes.</w:t>
      </w:r>
    </w:p>
    <w:p w:rsidR="00E24CFA" w:rsidRPr="00E24CFA" w:rsidRDefault="00E24CFA" w:rsidP="00E24CFA">
      <w:pPr>
        <w:pStyle w:val="NormalWeb"/>
        <w:spacing w:line="480" w:lineRule="auto"/>
        <w:jc w:val="both"/>
      </w:pPr>
      <w:r w:rsidRPr="00E24CFA">
        <w:t>The study concludes that household environmental practices cannot be divorced from broader structural, socio-economic, and cultural realities. Sustainable household waste management in the Niger Delta requires interventions that combine policy reforms, institutional strengthening, and grassroots engagement.</w:t>
      </w:r>
    </w:p>
    <w:p w:rsidR="00E24CFA" w:rsidRPr="00E24CFA" w:rsidRDefault="00E24CFA" w:rsidP="00E24CFA">
      <w:pPr>
        <w:pStyle w:val="Heading2"/>
        <w:rPr>
          <w:sz w:val="24"/>
          <w:szCs w:val="24"/>
        </w:rPr>
      </w:pPr>
      <w:r w:rsidRPr="00E24CFA">
        <w:rPr>
          <w:sz w:val="24"/>
          <w:szCs w:val="24"/>
        </w:rPr>
        <w:t>12. Recommendations</w:t>
      </w:r>
    </w:p>
    <w:p w:rsidR="00E24CFA" w:rsidRPr="00E24CFA" w:rsidRDefault="00E24CFA" w:rsidP="00E24CFA">
      <w:pPr>
        <w:pStyle w:val="Heading3"/>
        <w:rPr>
          <w:rFonts w:ascii="Times New Roman" w:hAnsi="Times New Roman" w:cs="Times New Roman"/>
          <w:b w:val="0"/>
          <w:color w:val="auto"/>
          <w:sz w:val="24"/>
          <w:szCs w:val="24"/>
        </w:rPr>
      </w:pPr>
      <w:r w:rsidRPr="00E24CFA">
        <w:rPr>
          <w:rFonts w:ascii="Times New Roman" w:hAnsi="Times New Roman" w:cs="Times New Roman"/>
          <w:b w:val="0"/>
          <w:color w:val="auto"/>
          <w:sz w:val="24"/>
          <w:szCs w:val="24"/>
        </w:rPr>
        <w:lastRenderedPageBreak/>
        <w:t>Academic Contribution:</w:t>
      </w:r>
    </w:p>
    <w:p w:rsidR="00E24CFA" w:rsidRPr="00E24CFA" w:rsidRDefault="00E24CFA" w:rsidP="00E24CFA">
      <w:pPr>
        <w:pStyle w:val="NormalWeb"/>
        <w:numPr>
          <w:ilvl w:val="0"/>
          <w:numId w:val="19"/>
        </w:numPr>
        <w:spacing w:line="480" w:lineRule="auto"/>
        <w:jc w:val="both"/>
      </w:pPr>
      <w:r w:rsidRPr="00E24CFA">
        <w:t>Future research should expand comparative analyses across other ecological regions of Nigeria to deepen understanding of household environmental practices.</w:t>
      </w:r>
    </w:p>
    <w:p w:rsidR="00E24CFA" w:rsidRPr="00E24CFA" w:rsidRDefault="00E24CFA" w:rsidP="00E24CFA">
      <w:pPr>
        <w:pStyle w:val="NormalWeb"/>
        <w:numPr>
          <w:ilvl w:val="0"/>
          <w:numId w:val="19"/>
        </w:numPr>
        <w:spacing w:line="480" w:lineRule="auto"/>
        <w:jc w:val="both"/>
      </w:pPr>
      <w:r w:rsidRPr="00E24CFA">
        <w:t>Longitudinal studies are encouraged to track behavioural changes over time, especially under evolving policy and infrastructural reforms.</w:t>
      </w:r>
    </w:p>
    <w:p w:rsidR="00E24CFA" w:rsidRPr="00E24CFA" w:rsidRDefault="00E24CFA" w:rsidP="00E24CFA">
      <w:pPr>
        <w:pStyle w:val="Heading3"/>
        <w:rPr>
          <w:rFonts w:ascii="Times New Roman" w:hAnsi="Times New Roman" w:cs="Times New Roman"/>
          <w:color w:val="auto"/>
          <w:sz w:val="24"/>
          <w:szCs w:val="24"/>
        </w:rPr>
      </w:pPr>
      <w:r w:rsidRPr="00E24CFA">
        <w:rPr>
          <w:rFonts w:ascii="Times New Roman" w:hAnsi="Times New Roman" w:cs="Times New Roman"/>
          <w:b w:val="0"/>
          <w:color w:val="auto"/>
          <w:sz w:val="24"/>
          <w:szCs w:val="24"/>
        </w:rPr>
        <w:t>Policy Contribution</w:t>
      </w:r>
      <w:r w:rsidRPr="00E24CFA">
        <w:rPr>
          <w:rFonts w:ascii="Times New Roman" w:hAnsi="Times New Roman" w:cs="Times New Roman"/>
          <w:color w:val="auto"/>
          <w:sz w:val="24"/>
          <w:szCs w:val="24"/>
        </w:rPr>
        <w:t>:</w:t>
      </w:r>
    </w:p>
    <w:p w:rsidR="00E24CFA" w:rsidRPr="00E24CFA" w:rsidRDefault="00E24CFA" w:rsidP="00E24CFA">
      <w:pPr>
        <w:pStyle w:val="NormalWeb"/>
        <w:numPr>
          <w:ilvl w:val="0"/>
          <w:numId w:val="20"/>
        </w:numPr>
        <w:spacing w:line="480" w:lineRule="auto"/>
        <w:jc w:val="both"/>
      </w:pPr>
      <w:r w:rsidRPr="00E24CFA">
        <w:t>Governments should prioritize investment in reliable municipal waste collection systems and recycling infrastructure.</w:t>
      </w:r>
    </w:p>
    <w:p w:rsidR="00E24CFA" w:rsidRPr="00E24CFA" w:rsidRDefault="00E24CFA" w:rsidP="00E24CFA">
      <w:pPr>
        <w:pStyle w:val="NormalWeb"/>
        <w:numPr>
          <w:ilvl w:val="0"/>
          <w:numId w:val="20"/>
        </w:numPr>
        <w:spacing w:line="480" w:lineRule="auto"/>
        <w:jc w:val="both"/>
      </w:pPr>
      <w:r w:rsidRPr="00E24CFA">
        <w:t>Policy frameworks must incorporate incentives such as subsidies, buy-back schemes, and tax relief to stimulate formal recycling markets.</w:t>
      </w:r>
    </w:p>
    <w:p w:rsidR="00E24CFA" w:rsidRPr="00E24CFA" w:rsidRDefault="00E24CFA" w:rsidP="00E24CFA">
      <w:pPr>
        <w:pStyle w:val="NormalWeb"/>
        <w:numPr>
          <w:ilvl w:val="0"/>
          <w:numId w:val="20"/>
        </w:numPr>
        <w:spacing w:line="480" w:lineRule="auto"/>
        <w:jc w:val="both"/>
      </w:pPr>
      <w:r w:rsidRPr="00E24CFA">
        <w:t>Integration of indigenous knowledge and local governance structures into environmental policy design is essential for context-sensitive solutions.</w:t>
      </w:r>
    </w:p>
    <w:p w:rsidR="00E24CFA" w:rsidRPr="00E24CFA" w:rsidRDefault="00E24CFA" w:rsidP="00E24CFA">
      <w:pPr>
        <w:pStyle w:val="Heading3"/>
        <w:rPr>
          <w:rFonts w:ascii="Times New Roman" w:hAnsi="Times New Roman" w:cs="Times New Roman"/>
          <w:b w:val="0"/>
          <w:color w:val="auto"/>
          <w:sz w:val="24"/>
          <w:szCs w:val="24"/>
        </w:rPr>
      </w:pPr>
      <w:r w:rsidRPr="00E24CFA">
        <w:rPr>
          <w:rFonts w:ascii="Times New Roman" w:hAnsi="Times New Roman" w:cs="Times New Roman"/>
          <w:b w:val="0"/>
          <w:color w:val="auto"/>
          <w:sz w:val="24"/>
          <w:szCs w:val="24"/>
        </w:rPr>
        <w:t>Practical Contribution</w:t>
      </w:r>
    </w:p>
    <w:p w:rsidR="00E24CFA" w:rsidRPr="00E24CFA" w:rsidRDefault="00E24CFA" w:rsidP="00E24CFA">
      <w:pPr>
        <w:pStyle w:val="NormalWeb"/>
        <w:numPr>
          <w:ilvl w:val="0"/>
          <w:numId w:val="21"/>
        </w:numPr>
        <w:spacing w:line="480" w:lineRule="auto"/>
        <w:jc w:val="both"/>
      </w:pPr>
      <w:r w:rsidRPr="00E24CFA">
        <w:t>Community-based waste cooperatives should be scaled up as effective grassroots mechanisms for recycling and reuse.</w:t>
      </w:r>
    </w:p>
    <w:p w:rsidR="00E24CFA" w:rsidRPr="00E24CFA" w:rsidRDefault="00E24CFA" w:rsidP="00E24CFA">
      <w:pPr>
        <w:pStyle w:val="NormalWeb"/>
        <w:numPr>
          <w:ilvl w:val="0"/>
          <w:numId w:val="21"/>
        </w:numPr>
        <w:spacing w:line="480" w:lineRule="auto"/>
        <w:jc w:val="both"/>
      </w:pPr>
      <w:r w:rsidRPr="00E24CFA">
        <w:t>Public education campaigns must go beyond awareness to practical demonstrations of waste segregation and recycling.</w:t>
      </w:r>
    </w:p>
    <w:p w:rsidR="00E24CFA" w:rsidRPr="00E24CFA" w:rsidRDefault="00E24CFA" w:rsidP="00E24CFA">
      <w:pPr>
        <w:pStyle w:val="NormalWeb"/>
        <w:numPr>
          <w:ilvl w:val="0"/>
          <w:numId w:val="21"/>
        </w:numPr>
        <w:spacing w:line="480" w:lineRule="auto"/>
        <w:jc w:val="both"/>
      </w:pPr>
      <w:r w:rsidRPr="00E24CFA">
        <w:t>Partnerships between local governments, NGOs, and private recyclers can create sustainable value chains that make recycling economically viable for households.</w:t>
      </w:r>
    </w:p>
    <w:p w:rsidR="00E24CFA" w:rsidRDefault="00E24CFA" w:rsidP="00D72684">
      <w:pPr>
        <w:rPr>
          <w:highlight w:val="yellow"/>
        </w:rPr>
      </w:pPr>
    </w:p>
    <w:p w:rsidR="00E24CFA" w:rsidRDefault="00E24CFA" w:rsidP="00D72684">
      <w:pPr>
        <w:rPr>
          <w:highlight w:val="yellow"/>
        </w:rPr>
      </w:pPr>
    </w:p>
    <w:p w:rsidR="00E24CFA" w:rsidRDefault="00E24CFA" w:rsidP="00D72684">
      <w:pPr>
        <w:rPr>
          <w:highlight w:val="yellow"/>
        </w:rPr>
      </w:pPr>
    </w:p>
    <w:p w:rsidR="00D72684" w:rsidRPr="00270720" w:rsidRDefault="00D72684" w:rsidP="00D72684">
      <w:pPr>
        <w:rPr>
          <w:highlight w:val="yellow"/>
        </w:rPr>
      </w:pPr>
      <w:r w:rsidRPr="00270720">
        <w:rPr>
          <w:highlight w:val="yellow"/>
        </w:rPr>
        <w:lastRenderedPageBreak/>
        <w:t>Disclaimer (Artificial intelligence)</w:t>
      </w:r>
    </w:p>
    <w:p w:rsidR="00D72684" w:rsidRPr="00270720" w:rsidRDefault="00D72684" w:rsidP="00D72684">
      <w:pPr>
        <w:rPr>
          <w:highlight w:val="yellow"/>
        </w:rPr>
      </w:pPr>
    </w:p>
    <w:p w:rsidR="00D72684" w:rsidRPr="00270720" w:rsidRDefault="00D72684" w:rsidP="00D72684">
      <w:pPr>
        <w:rPr>
          <w:highlight w:val="yellow"/>
        </w:rPr>
      </w:pPr>
      <w:r w:rsidRPr="00270720">
        <w:rPr>
          <w:highlight w:val="yellow"/>
        </w:rPr>
        <w:t xml:space="preserve">Option 1: </w:t>
      </w:r>
    </w:p>
    <w:p w:rsidR="00D72684" w:rsidRPr="00270720" w:rsidRDefault="00D72684" w:rsidP="00D72684">
      <w:pPr>
        <w:rPr>
          <w:highlight w:val="yellow"/>
        </w:rPr>
      </w:pPr>
    </w:p>
    <w:p w:rsidR="00D72684" w:rsidRPr="00270720" w:rsidRDefault="00D72684" w:rsidP="00D7268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E24CFA" w:rsidRDefault="00E24CFA" w:rsidP="00E24CFA">
      <w:pPr>
        <w:rPr>
          <w:rFonts w:ascii="Times New Roman" w:hAnsi="Times New Roman" w:cs="Times New Roman"/>
          <w:b/>
          <w:sz w:val="24"/>
          <w:szCs w:val="24"/>
        </w:rPr>
      </w:pPr>
    </w:p>
    <w:p w:rsidR="00E24CFA" w:rsidRDefault="00E24CFA" w:rsidP="00E24CFA">
      <w:pPr>
        <w:rPr>
          <w:rFonts w:ascii="Times New Roman" w:hAnsi="Times New Roman" w:cs="Times New Roman"/>
          <w:b/>
          <w:sz w:val="24"/>
          <w:szCs w:val="24"/>
        </w:rPr>
      </w:pPr>
    </w:p>
    <w:p w:rsidR="00E24CFA" w:rsidRDefault="00E24CFA" w:rsidP="00E24CFA">
      <w:pPr>
        <w:rPr>
          <w:rFonts w:ascii="Times New Roman" w:hAnsi="Times New Roman" w:cs="Times New Roman"/>
          <w:b/>
          <w:sz w:val="24"/>
          <w:szCs w:val="24"/>
        </w:rPr>
      </w:pPr>
    </w:p>
    <w:p w:rsidR="00E24CFA" w:rsidRPr="00E24CFA" w:rsidRDefault="00E24CFA" w:rsidP="00E24CFA">
      <w:pPr>
        <w:rPr>
          <w:rFonts w:ascii="Times New Roman" w:hAnsi="Times New Roman" w:cs="Times New Roman"/>
          <w:b/>
          <w:sz w:val="24"/>
          <w:szCs w:val="24"/>
        </w:rPr>
      </w:pPr>
      <w:r w:rsidRPr="00E24CFA">
        <w:rPr>
          <w:rFonts w:ascii="Times New Roman" w:hAnsi="Times New Roman" w:cs="Times New Roman"/>
          <w:b/>
          <w:sz w:val="24"/>
          <w:szCs w:val="24"/>
        </w:rPr>
        <w:t>References</w:t>
      </w:r>
    </w:p>
    <w:p w:rsidR="00E24CFA" w:rsidRPr="00E24CFA" w:rsidRDefault="00E24CFA" w:rsidP="00E24CFA">
      <w:pPr>
        <w:pStyle w:val="ListNumber"/>
        <w:numPr>
          <w:ilvl w:val="0"/>
          <w:numId w:val="0"/>
        </w:numPr>
        <w:ind w:left="360" w:hanging="360"/>
        <w:rPr>
          <w:rFonts w:cs="Times New Roman"/>
          <w:sz w:val="24"/>
          <w:szCs w:val="24"/>
        </w:rPr>
      </w:pPr>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Ajzen, I. (1991). The theory of planned behavior. Organizational Behavior and Human Decision Processes, 50(2), 179–211. </w:t>
      </w:r>
      <w:hyperlink r:id="rId10" w:history="1">
        <w:r w:rsidRPr="00E24CFA">
          <w:rPr>
            <w:rStyle w:val="Hyperlink"/>
            <w:rFonts w:cs="Times New Roman"/>
            <w:sz w:val="24"/>
            <w:szCs w:val="24"/>
          </w:rPr>
          <w:t>https://doi.org/10.1016/0749-5978(91)90020-T</w:t>
        </w:r>
      </w:hyperlink>
    </w:p>
    <w:p w:rsidR="00E24CFA" w:rsidRPr="00E24CFA" w:rsidRDefault="00E24CFA" w:rsidP="00E24CFA">
      <w:pPr>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Ajzen, I. (n.d.). </w:t>
      </w:r>
      <w:r w:rsidRPr="00E24CFA">
        <w:rPr>
          <w:rStyle w:val="Emphasis"/>
          <w:rFonts w:ascii="Times New Roman" w:hAnsi="Times New Roman" w:cs="Times New Roman"/>
          <w:sz w:val="24"/>
          <w:szCs w:val="24"/>
        </w:rPr>
        <w:t>The theory of planned behavior: Frequently asked questions</w:t>
      </w:r>
      <w:r w:rsidRPr="00E24CFA">
        <w:rPr>
          <w:rFonts w:ascii="Times New Roman" w:hAnsi="Times New Roman" w:cs="Times New Roman"/>
          <w:sz w:val="24"/>
          <w:szCs w:val="24"/>
        </w:rPr>
        <w:t xml:space="preserve">. </w:t>
      </w:r>
      <w:hyperlink r:id="rId11" w:tgtFrame="_new" w:history="1">
        <w:r w:rsidRPr="00E24CFA">
          <w:rPr>
            <w:rStyle w:val="Hyperlink"/>
            <w:rFonts w:ascii="Times New Roman" w:hAnsi="Times New Roman" w:cs="Times New Roman"/>
            <w:sz w:val="24"/>
            <w:szCs w:val="24"/>
          </w:rPr>
          <w:t>https://people.umass.edu/aizen/pubs/tpb-faq.pdf</w:t>
        </w:r>
      </w:hyperlink>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Angaye, T. C., Daokoru-Olukole, C., &amp; Abowei, J. F. N. (2017). Characterization of household solid wastes in the Niger Delta: A case study of 100 domestic units in Yenagoa Metropolis, Nigeria. International Journal of Sustainable Development Research, 3(5), 50–53. </w:t>
      </w:r>
      <w:hyperlink r:id="rId12" w:history="1">
        <w:r w:rsidRPr="00E24CFA">
          <w:rPr>
            <w:rStyle w:val="Hyperlink"/>
            <w:rFonts w:cs="Times New Roman"/>
            <w:sz w:val="24"/>
            <w:szCs w:val="24"/>
          </w:rPr>
          <w:t>https://doi.org/10.11648/j.ijsdr.20170305.12</w:t>
        </w:r>
      </w:hyperlink>
    </w:p>
    <w:p w:rsidR="00E24CFA" w:rsidRPr="00E24CFA" w:rsidRDefault="00E24CFA" w:rsidP="00E24CFA">
      <w:pPr>
        <w:tabs>
          <w:tab w:val="left" w:pos="6080"/>
        </w:tabs>
        <w:ind w:left="720" w:hanging="720"/>
        <w:jc w:val="both"/>
        <w:rPr>
          <w:rFonts w:ascii="Times New Roman" w:hAnsi="Times New Roman" w:cs="Times New Roman"/>
          <w:sz w:val="24"/>
          <w:szCs w:val="24"/>
        </w:rPr>
      </w:pPr>
      <w:r w:rsidRPr="00E24CFA">
        <w:rPr>
          <w:rFonts w:ascii="Times New Roman" w:hAnsi="Times New Roman" w:cs="Times New Roman"/>
          <w:sz w:val="24"/>
          <w:szCs w:val="24"/>
        </w:rPr>
        <w:t xml:space="preserve">Bandura, A. (2001). Social cognitive theory: An agentic perspective. </w:t>
      </w:r>
      <w:r w:rsidRPr="00E24CFA">
        <w:rPr>
          <w:rStyle w:val="Emphasis"/>
          <w:rFonts w:ascii="Times New Roman" w:hAnsi="Times New Roman" w:cs="Times New Roman"/>
          <w:sz w:val="24"/>
          <w:szCs w:val="24"/>
        </w:rPr>
        <w:t>Annual Review of Psychology, 52</w:t>
      </w:r>
      <w:r w:rsidRPr="00E24CFA">
        <w:rPr>
          <w:rFonts w:ascii="Times New Roman" w:hAnsi="Times New Roman" w:cs="Times New Roman"/>
          <w:sz w:val="24"/>
          <w:szCs w:val="24"/>
        </w:rPr>
        <w:t xml:space="preserve">, 1–26. </w:t>
      </w:r>
      <w:hyperlink r:id="rId13" w:history="1">
        <w:r w:rsidRPr="00E24CFA">
          <w:rPr>
            <w:rStyle w:val="Hyperlink"/>
            <w:rFonts w:ascii="Times New Roman" w:hAnsi="Times New Roman" w:cs="Times New Roman"/>
            <w:sz w:val="24"/>
            <w:szCs w:val="24"/>
          </w:rPr>
          <w:t>https://doi.org/10.1146/annurev.psych.52.1.1</w:t>
        </w:r>
      </w:hyperlink>
    </w:p>
    <w:p w:rsidR="00E24CFA" w:rsidRPr="00E24CFA" w:rsidRDefault="00E24CFA" w:rsidP="00E24CFA">
      <w:pPr>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Ebuete, A. W., Douye, W. P., &amp; Eluan, E. (2023). Dumping on waters: The lacunae in waste management in the Niger Delta, Nigeria. </w:t>
      </w:r>
      <w:r w:rsidRPr="00E24CFA">
        <w:rPr>
          <w:rStyle w:val="Emphasis"/>
          <w:rFonts w:ascii="Times New Roman" w:hAnsi="Times New Roman" w:cs="Times New Roman"/>
          <w:sz w:val="24"/>
          <w:szCs w:val="24"/>
        </w:rPr>
        <w:t>American Journal of Environment and Climate, 2</w:t>
      </w:r>
      <w:r w:rsidRPr="00E24CFA">
        <w:rPr>
          <w:rFonts w:ascii="Times New Roman" w:hAnsi="Times New Roman" w:cs="Times New Roman"/>
          <w:sz w:val="24"/>
          <w:szCs w:val="24"/>
        </w:rPr>
        <w:t xml:space="preserve">(3), 1–13. </w:t>
      </w:r>
      <w:hyperlink r:id="rId14" w:tgtFrame="_new" w:history="1">
        <w:r w:rsidRPr="00E24CFA">
          <w:rPr>
            <w:rStyle w:val="Hyperlink"/>
            <w:rFonts w:ascii="Times New Roman" w:hAnsi="Times New Roman" w:cs="Times New Roman"/>
            <w:sz w:val="24"/>
            <w:szCs w:val="24"/>
          </w:rPr>
          <w:t>https://e-palli.org/index.php/ajec/article/view/602</w:t>
        </w:r>
      </w:hyperlink>
    </w:p>
    <w:p w:rsidR="00E24CFA" w:rsidRPr="00E24CFA" w:rsidRDefault="00E24CFA" w:rsidP="00E24CFA">
      <w:pPr>
        <w:tabs>
          <w:tab w:val="left" w:pos="6080"/>
        </w:tabs>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Eneh, O. C., et al. (2025). Municipal solid waste recycling, resource recovery and policy implications: A case study from Enugu, Nigeria. </w:t>
      </w:r>
      <w:r w:rsidRPr="00E24CFA">
        <w:rPr>
          <w:rStyle w:val="Emphasis"/>
          <w:rFonts w:ascii="Times New Roman" w:hAnsi="Times New Roman" w:cs="Times New Roman"/>
          <w:sz w:val="24"/>
          <w:szCs w:val="24"/>
        </w:rPr>
        <w:t>Environmental Health and Preventive Medicine / SpringerOpen</w:t>
      </w:r>
      <w:r w:rsidRPr="00E24CFA">
        <w:rPr>
          <w:rFonts w:ascii="Times New Roman" w:hAnsi="Times New Roman" w:cs="Times New Roman"/>
          <w:sz w:val="24"/>
          <w:szCs w:val="24"/>
        </w:rPr>
        <w:t xml:space="preserve">. </w:t>
      </w:r>
      <w:hyperlink r:id="rId15" w:tgtFrame="_new" w:history="1">
        <w:r w:rsidRPr="00E24CFA">
          <w:rPr>
            <w:rStyle w:val="Hyperlink"/>
            <w:rFonts w:ascii="Times New Roman" w:hAnsi="Times New Roman" w:cs="Times New Roman"/>
            <w:sz w:val="24"/>
            <w:szCs w:val="24"/>
          </w:rPr>
          <w:t>https://link.springer.com/article/10.1186/s12982-025-00688-2</w:t>
        </w:r>
      </w:hyperlink>
    </w:p>
    <w:p w:rsidR="00E24CFA" w:rsidRPr="00E24CFA" w:rsidRDefault="00E24CFA" w:rsidP="00E24CFA">
      <w:pPr>
        <w:tabs>
          <w:tab w:val="left" w:pos="6080"/>
        </w:tabs>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Etim, E. (2024). Municipal solid waste management in Lagos State: public awareness and institutional roles. </w:t>
      </w:r>
      <w:r w:rsidRPr="00E24CFA">
        <w:rPr>
          <w:rStyle w:val="Emphasis"/>
          <w:rFonts w:ascii="Times New Roman" w:hAnsi="Times New Roman" w:cs="Times New Roman"/>
          <w:sz w:val="24"/>
          <w:szCs w:val="24"/>
        </w:rPr>
        <w:t>Journal of Environmental Management &amp; Health (Elsevier)</w:t>
      </w:r>
      <w:r w:rsidRPr="00E24CFA">
        <w:rPr>
          <w:rFonts w:ascii="Times New Roman" w:hAnsi="Times New Roman" w:cs="Times New Roman"/>
          <w:sz w:val="24"/>
          <w:szCs w:val="24"/>
        </w:rPr>
        <w:t xml:space="preserve">. </w:t>
      </w:r>
      <w:hyperlink r:id="rId16" w:tgtFrame="_new" w:history="1">
        <w:r w:rsidRPr="00E24CFA">
          <w:rPr>
            <w:rStyle w:val="Hyperlink"/>
            <w:rFonts w:ascii="Times New Roman" w:hAnsi="Times New Roman" w:cs="Times New Roman"/>
            <w:sz w:val="24"/>
            <w:szCs w:val="24"/>
          </w:rPr>
          <w:t>https://www.sciencedirect.com/science/article/pii/S0956053X24005191</w:t>
        </w:r>
      </w:hyperlink>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lastRenderedPageBreak/>
        <w:t xml:space="preserve">Ezeudu, O. B., Tenebe, I. T., &amp; Ujah, C. O. (2024). Status of production, consumption, and end-of-life waste management of plastic and plastic products in Nigeria: Prospects for circular plastics economy. Sustainability, 16(18), 7900. </w:t>
      </w:r>
      <w:hyperlink r:id="rId17" w:history="1">
        <w:r w:rsidRPr="00E24CFA">
          <w:rPr>
            <w:rStyle w:val="Hyperlink"/>
            <w:rFonts w:cs="Times New Roman"/>
            <w:sz w:val="24"/>
            <w:szCs w:val="24"/>
          </w:rPr>
          <w:t>https://doi.org/10.3390/su16187900</w:t>
        </w:r>
      </w:hyperlink>
    </w:p>
    <w:p w:rsidR="00E24CFA" w:rsidRPr="00E24CFA" w:rsidRDefault="00E24CFA" w:rsidP="00E24CFA">
      <w:pPr>
        <w:pStyle w:val="ListNumber"/>
        <w:numPr>
          <w:ilvl w:val="0"/>
          <w:numId w:val="0"/>
        </w:numPr>
        <w:ind w:left="360" w:hanging="360"/>
        <w:rPr>
          <w:rFonts w:cs="Times New Roman"/>
          <w:sz w:val="24"/>
          <w:szCs w:val="24"/>
        </w:rPr>
      </w:pPr>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Fakunle, S. O. (2024). Peculiarities in household solid waste management in Nigeria: A quick review. Frontiers in Sustainability. </w:t>
      </w:r>
      <w:hyperlink r:id="rId18" w:history="1">
        <w:r w:rsidRPr="00E24CFA">
          <w:rPr>
            <w:rStyle w:val="Hyperlink"/>
            <w:rFonts w:cs="Times New Roman"/>
            <w:sz w:val="24"/>
            <w:szCs w:val="24"/>
          </w:rPr>
          <w:t>https://www.frontiersin.org/articles/10.3389/frsus.2024.1440758/full</w:t>
        </w:r>
      </w:hyperlink>
    </w:p>
    <w:p w:rsidR="00E24CFA" w:rsidRPr="00E24CFA" w:rsidRDefault="00E24CFA" w:rsidP="00E24CFA">
      <w:pPr>
        <w:pStyle w:val="ListNumber"/>
        <w:numPr>
          <w:ilvl w:val="0"/>
          <w:numId w:val="0"/>
        </w:numPr>
        <w:ind w:left="360" w:hanging="360"/>
        <w:rPr>
          <w:rFonts w:cs="Times New Roman"/>
          <w:sz w:val="24"/>
          <w:szCs w:val="24"/>
        </w:rPr>
      </w:pPr>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Hoornweg, D., &amp; Bhada-Tata, P. (2012). What a Waste: A global review of solid waste management. World Bank. </w:t>
      </w:r>
      <w:hyperlink r:id="rId19" w:history="1">
        <w:r w:rsidRPr="00E24CFA">
          <w:rPr>
            <w:rStyle w:val="Hyperlink"/>
            <w:rFonts w:cs="Times New Roman"/>
            <w:sz w:val="24"/>
            <w:szCs w:val="24"/>
          </w:rPr>
          <w:t>https://openknowledge.worldbank.org/entities/publication/1a464650-9d7a-58bb-b0ea-33ac4cd1f73c</w:t>
        </w:r>
      </w:hyperlink>
    </w:p>
    <w:p w:rsidR="00E24CFA" w:rsidRPr="00E24CFA" w:rsidRDefault="00E24CFA" w:rsidP="00E24CFA">
      <w:pPr>
        <w:tabs>
          <w:tab w:val="left" w:pos="6080"/>
        </w:tabs>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Ike, C. C., Ezeibe, C. C., Anijiofor, S. C., &amp; Daud, N. N. (2021). Solid waste management in Nigeria: Problems, prospects, and policies. </w:t>
      </w:r>
      <w:r w:rsidRPr="00E24CFA">
        <w:rPr>
          <w:rStyle w:val="Emphasis"/>
          <w:rFonts w:ascii="Times New Roman" w:hAnsi="Times New Roman" w:cs="Times New Roman"/>
          <w:sz w:val="24"/>
          <w:szCs w:val="24"/>
        </w:rPr>
        <w:t>Journal of Solid Waste Technology and Management, 47</w:t>
      </w:r>
      <w:r w:rsidRPr="00E24CFA">
        <w:rPr>
          <w:rFonts w:ascii="Times New Roman" w:hAnsi="Times New Roman" w:cs="Times New Roman"/>
          <w:sz w:val="24"/>
          <w:szCs w:val="24"/>
        </w:rPr>
        <w:t xml:space="preserve">(1), 91–102. </w:t>
      </w:r>
      <w:hyperlink r:id="rId20" w:history="1">
        <w:r w:rsidRPr="00E24CFA">
          <w:rPr>
            <w:rStyle w:val="Hyperlink"/>
            <w:rFonts w:ascii="Times New Roman" w:hAnsi="Times New Roman" w:cs="Times New Roman"/>
            <w:sz w:val="24"/>
            <w:szCs w:val="24"/>
          </w:rPr>
          <w:t>https://doi.org/10.5276/JSWTM/2021.91</w:t>
        </w:r>
      </w:hyperlink>
    </w:p>
    <w:p w:rsidR="00E24CFA" w:rsidRPr="00E24CFA" w:rsidRDefault="00E24CFA" w:rsidP="00E24CFA">
      <w:pPr>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Journal of Material Cycles and Waste Management. (2015). Characterization and quantification of solid waste generation in the Niger Delta Region of Nigeria: A case study of Ogbe-Ijoh community in Delta State. </w:t>
      </w:r>
      <w:r w:rsidRPr="00E24CFA">
        <w:rPr>
          <w:rStyle w:val="Emphasis"/>
          <w:rFonts w:ascii="Times New Roman" w:hAnsi="Times New Roman" w:cs="Times New Roman"/>
          <w:sz w:val="24"/>
          <w:szCs w:val="24"/>
        </w:rPr>
        <w:t>Journal of Material Cycles and Waste Management, 19</w:t>
      </w:r>
      <w:r w:rsidRPr="00E24CFA">
        <w:rPr>
          <w:rFonts w:ascii="Times New Roman" w:hAnsi="Times New Roman" w:cs="Times New Roman"/>
          <w:sz w:val="24"/>
          <w:szCs w:val="24"/>
        </w:rPr>
        <w:t xml:space="preserve">(1), 366–373. </w:t>
      </w:r>
      <w:hyperlink r:id="rId21" w:history="1">
        <w:r w:rsidRPr="00E24CFA">
          <w:rPr>
            <w:rStyle w:val="Hyperlink"/>
            <w:rFonts w:ascii="Times New Roman" w:hAnsi="Times New Roman" w:cs="Times New Roman"/>
            <w:sz w:val="24"/>
            <w:szCs w:val="24"/>
          </w:rPr>
          <w:t>https://doi.org/10.1007/s10163-015-0426-3</w:t>
        </w:r>
      </w:hyperlink>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Kolawole, I. D., et al. (2024). Assessment of knowledge, attitude and practices towards household food waste management in Nigeria. Resources, Conservation &amp; Recycling Reports. </w:t>
      </w:r>
      <w:hyperlink r:id="rId22" w:history="1">
        <w:r w:rsidRPr="00E24CFA">
          <w:rPr>
            <w:rStyle w:val="Hyperlink"/>
            <w:rFonts w:cs="Times New Roman"/>
            <w:sz w:val="24"/>
            <w:szCs w:val="24"/>
          </w:rPr>
          <w:t>https://www.sciencedirect.com/science/article/abs/pii/S2949824424001605</w:t>
        </w:r>
      </w:hyperlink>
    </w:p>
    <w:p w:rsidR="00E24CFA" w:rsidRPr="00E24CFA" w:rsidRDefault="00E24CFA" w:rsidP="00E24CFA">
      <w:pPr>
        <w:tabs>
          <w:tab w:val="left" w:pos="6080"/>
        </w:tabs>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Nwachukwu, M. U., Feng, H., &amp; Achilike, K. (2017). Integrated study for municipal solid waste management in Aba, Nigeria. </w:t>
      </w:r>
      <w:r w:rsidRPr="00E24CFA">
        <w:rPr>
          <w:rStyle w:val="Emphasis"/>
          <w:rFonts w:ascii="Times New Roman" w:hAnsi="Times New Roman" w:cs="Times New Roman"/>
          <w:sz w:val="24"/>
          <w:szCs w:val="24"/>
        </w:rPr>
        <w:t>Journal of the Air &amp; Waste Management Association, 67</w:t>
      </w:r>
      <w:r w:rsidRPr="00E24CFA">
        <w:rPr>
          <w:rFonts w:ascii="Times New Roman" w:hAnsi="Times New Roman" w:cs="Times New Roman"/>
          <w:sz w:val="24"/>
          <w:szCs w:val="24"/>
        </w:rPr>
        <w:t xml:space="preserve">(3), 291–301. </w:t>
      </w:r>
      <w:hyperlink r:id="rId23" w:history="1">
        <w:r w:rsidRPr="00E24CFA">
          <w:rPr>
            <w:rStyle w:val="Hyperlink"/>
            <w:rFonts w:ascii="Times New Roman" w:hAnsi="Times New Roman" w:cs="Times New Roman"/>
            <w:sz w:val="24"/>
            <w:szCs w:val="24"/>
          </w:rPr>
          <w:t>https://doi.org/10.1080/10962247.2016.1241193</w:t>
        </w:r>
      </w:hyperlink>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Ogbonna, D. N., Amangabara, G. T., &amp; Ekere, T. O. (2007). Urban solid waste generation in Port Harcourt metropolis and its implications for waste management. </w:t>
      </w:r>
      <w:r w:rsidRPr="00E24CFA">
        <w:rPr>
          <w:rFonts w:cs="Times New Roman"/>
          <w:i/>
          <w:sz w:val="24"/>
          <w:szCs w:val="24"/>
        </w:rPr>
        <w:t>Management of Environmental Quality:</w:t>
      </w:r>
      <w:r w:rsidRPr="00E24CFA">
        <w:rPr>
          <w:rFonts w:cs="Times New Roman"/>
          <w:sz w:val="24"/>
          <w:szCs w:val="24"/>
        </w:rPr>
        <w:t xml:space="preserve"> </w:t>
      </w:r>
      <w:r w:rsidRPr="00E24CFA">
        <w:rPr>
          <w:rFonts w:cs="Times New Roman"/>
          <w:i/>
          <w:sz w:val="24"/>
          <w:szCs w:val="24"/>
        </w:rPr>
        <w:t>An International Journal</w:t>
      </w:r>
      <w:r w:rsidRPr="00E24CFA">
        <w:rPr>
          <w:rFonts w:cs="Times New Roman"/>
          <w:sz w:val="24"/>
          <w:szCs w:val="24"/>
        </w:rPr>
        <w:t xml:space="preserve">, 18(1), 71–88. </w:t>
      </w:r>
      <w:hyperlink r:id="rId24" w:history="1">
        <w:r w:rsidRPr="00E24CFA">
          <w:rPr>
            <w:rStyle w:val="Hyperlink"/>
            <w:rFonts w:cs="Times New Roman"/>
            <w:sz w:val="24"/>
            <w:szCs w:val="24"/>
          </w:rPr>
          <w:t>https://doi.org/10.1108/14777830710717730</w:t>
        </w:r>
      </w:hyperlink>
    </w:p>
    <w:p w:rsidR="00E24CFA" w:rsidRPr="00E24CFA" w:rsidRDefault="00E24CFA" w:rsidP="00E24CFA">
      <w:pPr>
        <w:tabs>
          <w:tab w:val="left" w:pos="6080"/>
        </w:tabs>
        <w:ind w:left="720" w:hanging="720"/>
        <w:jc w:val="both"/>
        <w:rPr>
          <w:rFonts w:ascii="Times New Roman" w:hAnsi="Times New Roman" w:cs="Times New Roman"/>
          <w:sz w:val="24"/>
          <w:szCs w:val="24"/>
        </w:rPr>
      </w:pPr>
      <w:r w:rsidRPr="00E24CFA">
        <w:rPr>
          <w:rFonts w:ascii="Times New Roman" w:hAnsi="Times New Roman" w:cs="Times New Roman"/>
          <w:sz w:val="24"/>
          <w:szCs w:val="24"/>
        </w:rPr>
        <w:t xml:space="preserve">Ogbonna, D. N., Amangabara, G. T., &amp; Ekere, T. O. (2020). Urban solid waste generation in Port Harcourt metropolis and its implications for waste management. </w:t>
      </w:r>
      <w:r w:rsidRPr="00E24CFA">
        <w:rPr>
          <w:rStyle w:val="Emphasis"/>
          <w:rFonts w:ascii="Times New Roman" w:hAnsi="Times New Roman" w:cs="Times New Roman"/>
          <w:sz w:val="24"/>
          <w:szCs w:val="24"/>
        </w:rPr>
        <w:t>Management of Environmental Quality, 31</w:t>
      </w:r>
      <w:r w:rsidRPr="00E24CFA">
        <w:rPr>
          <w:rFonts w:ascii="Times New Roman" w:hAnsi="Times New Roman" w:cs="Times New Roman"/>
          <w:sz w:val="24"/>
          <w:szCs w:val="24"/>
        </w:rPr>
        <w:t xml:space="preserve">(2), 407–423. </w:t>
      </w:r>
      <w:hyperlink r:id="rId25" w:history="1">
        <w:r w:rsidRPr="00E24CFA">
          <w:rPr>
            <w:rStyle w:val="Hyperlink"/>
            <w:rFonts w:ascii="Times New Roman" w:hAnsi="Times New Roman" w:cs="Times New Roman"/>
            <w:sz w:val="24"/>
            <w:szCs w:val="24"/>
          </w:rPr>
          <w:t>https://doi.org/10.1108/MEQ-09-2019-0194</w:t>
        </w:r>
      </w:hyperlink>
    </w:p>
    <w:p w:rsidR="00E24CFA" w:rsidRPr="00E24CFA" w:rsidRDefault="00E24CFA" w:rsidP="00E24CFA">
      <w:pPr>
        <w:tabs>
          <w:tab w:val="left" w:pos="6080"/>
        </w:tabs>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Olorunfemi, O. (2024). From bin to bedside: Understanding the health burden of poor waste disposal in Nigeria. </w:t>
      </w:r>
      <w:r w:rsidRPr="00E24CFA">
        <w:rPr>
          <w:rStyle w:val="Emphasis"/>
          <w:rFonts w:ascii="Times New Roman" w:hAnsi="Times New Roman" w:cs="Times New Roman"/>
          <w:sz w:val="24"/>
          <w:szCs w:val="24"/>
        </w:rPr>
        <w:t>Health &amp; Risk Management</w:t>
      </w:r>
      <w:r w:rsidRPr="00E24CFA">
        <w:rPr>
          <w:rFonts w:ascii="Times New Roman" w:hAnsi="Times New Roman" w:cs="Times New Roman"/>
          <w:sz w:val="24"/>
          <w:szCs w:val="24"/>
        </w:rPr>
        <w:t xml:space="preserve">. </w:t>
      </w:r>
      <w:hyperlink r:id="rId26" w:history="1">
        <w:r w:rsidRPr="00E24CFA">
          <w:rPr>
            <w:rStyle w:val="Hyperlink"/>
            <w:rFonts w:ascii="Times New Roman" w:hAnsi="Times New Roman" w:cs="Times New Roman"/>
            <w:sz w:val="24"/>
            <w:szCs w:val="24"/>
          </w:rPr>
          <w:t>https://journals.lww.com/hrcm/fulltext/2024/01020/from_bin_to_bedside__understanding_the_health.2.aspx</w:t>
        </w:r>
      </w:hyperlink>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lastRenderedPageBreak/>
        <w:t xml:space="preserve">Reuters. (2024, June 26). Nigeria to ban single-use plastics next year. </w:t>
      </w:r>
      <w:hyperlink r:id="rId27" w:history="1">
        <w:r w:rsidRPr="00E24CFA">
          <w:rPr>
            <w:rStyle w:val="Hyperlink"/>
            <w:rFonts w:cs="Times New Roman"/>
            <w:sz w:val="24"/>
            <w:szCs w:val="24"/>
          </w:rPr>
          <w:t>https://www.reuters.com/sustainability/nigeria-ban-single-use-plastics-next-year-2024-06-26/</w:t>
        </w:r>
      </w:hyperlink>
    </w:p>
    <w:p w:rsidR="00E24CFA" w:rsidRPr="00E24CFA" w:rsidRDefault="00E24CFA" w:rsidP="00E24CFA">
      <w:pPr>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Sustainable Environment Research. (2020). Proliferation of household waste irregular dumpsites in Niger Delta region (Nigeria): Unsustainable public health monitoring and future restitution. </w:t>
      </w:r>
      <w:r w:rsidRPr="00E24CFA">
        <w:rPr>
          <w:rStyle w:val="Emphasis"/>
          <w:rFonts w:ascii="Times New Roman" w:hAnsi="Times New Roman" w:cs="Times New Roman"/>
          <w:sz w:val="24"/>
          <w:szCs w:val="24"/>
        </w:rPr>
        <w:t>Sustainable Environment Research, 30</w:t>
      </w:r>
      <w:r w:rsidRPr="00E24CFA">
        <w:rPr>
          <w:rFonts w:ascii="Times New Roman" w:hAnsi="Times New Roman" w:cs="Times New Roman"/>
          <w:sz w:val="24"/>
          <w:szCs w:val="24"/>
        </w:rPr>
        <w:t xml:space="preserve">(1), Article 5. </w:t>
      </w:r>
      <w:hyperlink r:id="rId28" w:history="1">
        <w:r w:rsidRPr="00E24CFA">
          <w:rPr>
            <w:rStyle w:val="Hyperlink"/>
            <w:rFonts w:ascii="Times New Roman" w:hAnsi="Times New Roman" w:cs="Times New Roman"/>
            <w:sz w:val="24"/>
            <w:szCs w:val="24"/>
          </w:rPr>
          <w:t>https://doi.org/10.1186/s42834-020-00077-1</w:t>
        </w:r>
      </w:hyperlink>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The Guardian. (2024, December 24). Single-use plastic will soon be banned in Nigeria - but is the country ready? </w:t>
      </w:r>
      <w:hyperlink r:id="rId29" w:history="1">
        <w:r w:rsidRPr="00E24CFA">
          <w:rPr>
            <w:rStyle w:val="Hyperlink"/>
            <w:rFonts w:cs="Times New Roman"/>
            <w:sz w:val="24"/>
            <w:szCs w:val="24"/>
          </w:rPr>
          <w:t>https://www.theguardian.com/world/2024/dec/24/single-use-plastic-banned-nigeria-is-country-ready</w:t>
        </w:r>
      </w:hyperlink>
    </w:p>
    <w:p w:rsidR="00E24CFA" w:rsidRPr="00E24CFA" w:rsidRDefault="00E24CFA" w:rsidP="00E24CFA">
      <w:pPr>
        <w:tabs>
          <w:tab w:val="left" w:pos="6080"/>
        </w:tabs>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Ufua, D. E. (2025). Household food waste management among working class families in Nigeria: drivers and interventions. </w:t>
      </w:r>
      <w:r w:rsidRPr="00E24CFA">
        <w:rPr>
          <w:rStyle w:val="Emphasis"/>
          <w:rFonts w:ascii="Times New Roman" w:hAnsi="Times New Roman" w:cs="Times New Roman"/>
          <w:sz w:val="24"/>
          <w:szCs w:val="24"/>
        </w:rPr>
        <w:t>Sustainable Production and Consumption</w:t>
      </w:r>
      <w:r w:rsidRPr="00E24CFA">
        <w:rPr>
          <w:rFonts w:ascii="Times New Roman" w:hAnsi="Times New Roman" w:cs="Times New Roman"/>
          <w:sz w:val="24"/>
          <w:szCs w:val="24"/>
        </w:rPr>
        <w:t xml:space="preserve">. </w:t>
      </w:r>
      <w:hyperlink r:id="rId30" w:tgtFrame="_new" w:history="1">
        <w:r w:rsidRPr="00E24CFA">
          <w:rPr>
            <w:rStyle w:val="Hyperlink"/>
            <w:rFonts w:ascii="Times New Roman" w:hAnsi="Times New Roman" w:cs="Times New Roman"/>
            <w:sz w:val="24"/>
            <w:szCs w:val="24"/>
          </w:rPr>
          <w:t>https://link.springer.com/article/10.1007/s43621-025-01702-y</w:t>
        </w:r>
      </w:hyperlink>
    </w:p>
    <w:p w:rsidR="00E24CFA" w:rsidRPr="00E24CFA" w:rsidRDefault="00E24CFA" w:rsidP="00E24CFA">
      <w:pPr>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Ukala, D. C., Akaun, H. I., &amp; Owamah, H. I. (2020). A review of solid waste management practice in Nigeria. </w:t>
      </w:r>
      <w:r w:rsidRPr="00E24CFA">
        <w:rPr>
          <w:rStyle w:val="Emphasis"/>
          <w:rFonts w:ascii="Times New Roman" w:hAnsi="Times New Roman" w:cs="Times New Roman"/>
          <w:sz w:val="24"/>
          <w:szCs w:val="24"/>
        </w:rPr>
        <w:t>NIPES Journal of Science and Technology Research, 2</w:t>
      </w:r>
      <w:r w:rsidRPr="00E24CFA">
        <w:rPr>
          <w:rFonts w:ascii="Times New Roman" w:hAnsi="Times New Roman" w:cs="Times New Roman"/>
          <w:sz w:val="24"/>
          <w:szCs w:val="24"/>
        </w:rPr>
        <w:t xml:space="preserve">(3), 1–11. </w:t>
      </w:r>
      <w:hyperlink r:id="rId31" w:tgtFrame="_new" w:history="1">
        <w:r w:rsidRPr="00E24CFA">
          <w:rPr>
            <w:rStyle w:val="Hyperlink"/>
            <w:rFonts w:ascii="Times New Roman" w:hAnsi="Times New Roman" w:cs="Times New Roman"/>
            <w:sz w:val="24"/>
            <w:szCs w:val="24"/>
          </w:rPr>
          <w:t>https://journals.nipes.org/index.php/njstr/article/view/138</w:t>
        </w:r>
      </w:hyperlink>
      <w:r w:rsidRPr="00E24CFA">
        <w:rPr>
          <w:rFonts w:ascii="Times New Roman" w:hAnsi="Times New Roman" w:cs="Times New Roman"/>
          <w:sz w:val="24"/>
          <w:szCs w:val="24"/>
        </w:rPr>
        <w:tab/>
      </w:r>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Umar, Y. (2024). Exploring Nigeria's waste-to-energy potential. The Chemical Engineer. </w:t>
      </w:r>
      <w:hyperlink r:id="rId32" w:history="1">
        <w:r w:rsidRPr="00E24CFA">
          <w:rPr>
            <w:rStyle w:val="Hyperlink"/>
            <w:rFonts w:cs="Times New Roman"/>
            <w:sz w:val="24"/>
            <w:szCs w:val="24"/>
          </w:rPr>
          <w:t>https://academic.oup.com/ce/article/8/6/82/7826453</w:t>
        </w:r>
      </w:hyperlink>
    </w:p>
    <w:p w:rsidR="00E24CFA" w:rsidRPr="00E24CFA" w:rsidRDefault="00E24CFA" w:rsidP="00E24CFA">
      <w:pPr>
        <w:pStyle w:val="ListNumber"/>
        <w:numPr>
          <w:ilvl w:val="0"/>
          <w:numId w:val="0"/>
        </w:numPr>
        <w:ind w:left="360" w:hanging="360"/>
        <w:rPr>
          <w:rFonts w:cs="Times New Roman"/>
          <w:sz w:val="24"/>
          <w:szCs w:val="24"/>
        </w:rPr>
      </w:pPr>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UNEP. (2011). Environmental assessment of Ogoniland. United Nations Environment Programme. </w:t>
      </w:r>
      <w:hyperlink r:id="rId33" w:history="1">
        <w:r w:rsidRPr="00E24CFA">
          <w:rPr>
            <w:rStyle w:val="Hyperlink"/>
            <w:rFonts w:cs="Times New Roman"/>
            <w:sz w:val="24"/>
            <w:szCs w:val="24"/>
          </w:rPr>
          <w:t>https://www.unep.org/resources/environmental-assessment-ogoniland</w:t>
        </w:r>
      </w:hyperlink>
    </w:p>
    <w:p w:rsidR="00E24CFA" w:rsidRPr="00E24CFA" w:rsidRDefault="00E24CFA" w:rsidP="00E24CFA">
      <w:pPr>
        <w:tabs>
          <w:tab w:val="left" w:pos="6080"/>
        </w:tabs>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United Nations Environment Programme (UNEP). (2011). </w:t>
      </w:r>
      <w:r w:rsidRPr="00E24CFA">
        <w:rPr>
          <w:rStyle w:val="Emphasis"/>
          <w:rFonts w:ascii="Times New Roman" w:hAnsi="Times New Roman" w:cs="Times New Roman"/>
          <w:sz w:val="24"/>
          <w:szCs w:val="24"/>
        </w:rPr>
        <w:t>Environmental assessment of Ogoniland</w:t>
      </w:r>
      <w:r w:rsidRPr="00E24CFA">
        <w:rPr>
          <w:rFonts w:ascii="Times New Roman" w:hAnsi="Times New Roman" w:cs="Times New Roman"/>
          <w:sz w:val="24"/>
          <w:szCs w:val="24"/>
        </w:rPr>
        <w:t xml:space="preserve">. United Nations Environment Programme. </w:t>
      </w:r>
      <w:hyperlink r:id="rId34" w:history="1">
        <w:r w:rsidRPr="00E24CFA">
          <w:rPr>
            <w:rStyle w:val="Hyperlink"/>
            <w:rFonts w:ascii="Times New Roman" w:hAnsi="Times New Roman" w:cs="Times New Roman"/>
            <w:sz w:val="24"/>
            <w:szCs w:val="24"/>
          </w:rPr>
          <w:t>https://www.unep.org/resources/environmental-assessment-ogoniland</w:t>
        </w:r>
      </w:hyperlink>
    </w:p>
    <w:p w:rsidR="00E24CFA" w:rsidRPr="00E24CFA" w:rsidRDefault="00E24CFA" w:rsidP="00E24CFA">
      <w:pPr>
        <w:tabs>
          <w:tab w:val="left" w:pos="6080"/>
        </w:tabs>
        <w:ind w:left="720" w:hanging="720"/>
        <w:rPr>
          <w:rFonts w:ascii="Times New Roman" w:hAnsi="Times New Roman" w:cs="Times New Roman"/>
          <w:sz w:val="24"/>
          <w:szCs w:val="24"/>
        </w:rPr>
      </w:pPr>
      <w:r w:rsidRPr="00E24CFA">
        <w:rPr>
          <w:rFonts w:ascii="Times New Roman" w:hAnsi="Times New Roman" w:cs="Times New Roman"/>
          <w:sz w:val="24"/>
          <w:szCs w:val="24"/>
        </w:rPr>
        <w:t xml:space="preserve">Wajim, J., &amp; Harry, S. G. (2025). Public health risks associated with solid waste disposal in Southern Taraba, Nigeria. </w:t>
      </w:r>
      <w:r w:rsidRPr="00E24CFA">
        <w:rPr>
          <w:rStyle w:val="Emphasis"/>
          <w:rFonts w:ascii="Times New Roman" w:hAnsi="Times New Roman" w:cs="Times New Roman"/>
          <w:sz w:val="24"/>
          <w:szCs w:val="24"/>
        </w:rPr>
        <w:t>International Journal of Emerging Multidisciplinaries: Social Science, 4</w:t>
      </w:r>
      <w:r w:rsidRPr="00E24CFA">
        <w:rPr>
          <w:rFonts w:ascii="Times New Roman" w:hAnsi="Times New Roman" w:cs="Times New Roman"/>
          <w:sz w:val="24"/>
          <w:szCs w:val="24"/>
        </w:rPr>
        <w:t xml:space="preserve">(1). </w:t>
      </w:r>
      <w:hyperlink r:id="rId35" w:history="1">
        <w:r w:rsidRPr="00E24CFA">
          <w:rPr>
            <w:rStyle w:val="Hyperlink"/>
            <w:rFonts w:ascii="Times New Roman" w:hAnsi="Times New Roman" w:cs="Times New Roman"/>
            <w:sz w:val="24"/>
            <w:szCs w:val="24"/>
          </w:rPr>
          <w:t>https://doi.org/10.54938/ijemdss.2025.04.1.341</w:t>
        </w:r>
      </w:hyperlink>
    </w:p>
    <w:p w:rsidR="00E24CFA" w:rsidRPr="00E24CFA" w:rsidRDefault="00E24CFA" w:rsidP="00E24CFA">
      <w:pPr>
        <w:pStyle w:val="ListNumber"/>
        <w:numPr>
          <w:ilvl w:val="0"/>
          <w:numId w:val="0"/>
        </w:numPr>
        <w:ind w:left="360" w:hanging="360"/>
        <w:rPr>
          <w:rFonts w:cs="Times New Roman"/>
          <w:sz w:val="24"/>
          <w:szCs w:val="24"/>
        </w:rPr>
      </w:pPr>
      <w:r w:rsidRPr="00E24CFA">
        <w:rPr>
          <w:rFonts w:cs="Times New Roman"/>
          <w:sz w:val="24"/>
          <w:szCs w:val="24"/>
        </w:rPr>
        <w:t xml:space="preserve">World Bank. (2012). What a Waste: A global review of solid waste management. World Bank. </w:t>
      </w:r>
      <w:hyperlink r:id="rId36" w:history="1">
        <w:r w:rsidRPr="00E24CFA">
          <w:rPr>
            <w:rStyle w:val="Hyperlink"/>
            <w:rFonts w:cs="Times New Roman"/>
            <w:sz w:val="24"/>
            <w:szCs w:val="24"/>
          </w:rPr>
          <w:t>https://openknowledge.worldbank.org/handle/10986/17388</w:t>
        </w:r>
      </w:hyperlink>
    </w:p>
    <w:p w:rsidR="00E24CFA" w:rsidRPr="00506FE6" w:rsidRDefault="00E24CFA" w:rsidP="00E24CFA">
      <w:pPr>
        <w:tabs>
          <w:tab w:val="left" w:pos="6080"/>
        </w:tabs>
        <w:ind w:left="720" w:hanging="720"/>
        <w:rPr>
          <w:rFonts w:cs="Times New Roman"/>
          <w:sz w:val="24"/>
          <w:szCs w:val="24"/>
        </w:rPr>
      </w:pPr>
      <w:r w:rsidRPr="00E24CFA">
        <w:rPr>
          <w:rFonts w:ascii="Times New Roman" w:hAnsi="Times New Roman" w:cs="Times New Roman"/>
          <w:sz w:val="24"/>
          <w:szCs w:val="24"/>
        </w:rPr>
        <w:t xml:space="preserve">Zhang, Z., et al. (2024). Municipal solid waste management challenges in developing countries (2013–2023): lessons for Africa and Asia. </w:t>
      </w:r>
      <w:r w:rsidRPr="00E24CFA">
        <w:rPr>
          <w:rStyle w:val="Emphasis"/>
          <w:rFonts w:ascii="Times New Roman" w:hAnsi="Times New Roman" w:cs="Times New Roman"/>
          <w:sz w:val="24"/>
          <w:szCs w:val="24"/>
        </w:rPr>
        <w:t>Science of the Total Environment</w:t>
      </w:r>
      <w:r w:rsidRPr="00E24CFA">
        <w:rPr>
          <w:rFonts w:ascii="Times New Roman" w:hAnsi="Times New Roman" w:cs="Times New Roman"/>
          <w:sz w:val="24"/>
          <w:szCs w:val="24"/>
        </w:rPr>
        <w:t xml:space="preserve">. </w:t>
      </w:r>
      <w:hyperlink r:id="rId37" w:tgtFrame="_new" w:history="1">
        <w:r w:rsidRPr="00E24CFA">
          <w:rPr>
            <w:rStyle w:val="Hyperlink"/>
            <w:rFonts w:ascii="Times New Roman" w:hAnsi="Times New Roman" w:cs="Times New Roman"/>
            <w:sz w:val="24"/>
            <w:szCs w:val="24"/>
          </w:rPr>
          <w:t>https://www.sciencedirect.com/science/article/pii/S0048969724029413</w:t>
        </w:r>
      </w:hyperlink>
    </w:p>
    <w:p w:rsidR="00E24CFA" w:rsidRPr="003A76BD" w:rsidRDefault="00E24CFA" w:rsidP="00E24CFA">
      <w:pPr>
        <w:rPr>
          <w:sz w:val="24"/>
          <w:szCs w:val="24"/>
        </w:rPr>
      </w:pPr>
    </w:p>
    <w:p w:rsidR="00D72684" w:rsidRPr="00270720" w:rsidRDefault="00D72684" w:rsidP="00D72684">
      <w:pPr>
        <w:rPr>
          <w:highlight w:val="yellow"/>
        </w:rPr>
      </w:pPr>
    </w:p>
    <w:p w:rsidR="00D72684" w:rsidRPr="00BF56CE" w:rsidRDefault="00D72684" w:rsidP="00D72684">
      <w:pPr>
        <w:pStyle w:val="NormalWeb"/>
        <w:tabs>
          <w:tab w:val="left" w:pos="720"/>
        </w:tabs>
        <w:spacing w:line="480" w:lineRule="auto"/>
        <w:jc w:val="both"/>
      </w:pPr>
      <w:bookmarkStart w:id="0" w:name="_GoBack"/>
      <w:bookmarkEnd w:id="0"/>
    </w:p>
    <w:p w:rsidR="00DF52EA" w:rsidRDefault="00DF52EA">
      <w:pPr>
        <w:tabs>
          <w:tab w:val="left" w:pos="6080"/>
        </w:tabs>
        <w:jc w:val="both"/>
        <w:rPr>
          <w:rFonts w:ascii="Times New Roman" w:hAnsi="Times New Roman" w:cs="Times New Roman"/>
          <w:sz w:val="24"/>
          <w:szCs w:val="24"/>
        </w:rPr>
      </w:pPr>
    </w:p>
    <w:sectPr w:rsidR="00DF52EA" w:rsidSect="00F70D88">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7F3" w:rsidRDefault="003477F3">
      <w:pPr>
        <w:spacing w:after="0" w:line="240" w:lineRule="auto"/>
      </w:pPr>
      <w:r>
        <w:separator/>
      </w:r>
    </w:p>
  </w:endnote>
  <w:endnote w:type="continuationSeparator" w:id="1">
    <w:p w:rsidR="003477F3" w:rsidRDefault="00347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07" w:rsidRDefault="00452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2EA" w:rsidRDefault="00F70D88">
    <w:pPr>
      <w:pStyle w:val="Footer"/>
      <w:jc w:val="center"/>
    </w:pPr>
    <w:r>
      <w:fldChar w:fldCharType="begin"/>
    </w:r>
    <w:r w:rsidR="002953DC">
      <w:instrText xml:space="preserve"> PAGE   \* MERGEFORMAT </w:instrText>
    </w:r>
    <w:r>
      <w:fldChar w:fldCharType="separate"/>
    </w:r>
    <w:r w:rsidR="007D4C19">
      <w:rPr>
        <w:noProof/>
      </w:rPr>
      <w:t>1</w:t>
    </w:r>
    <w:r>
      <w:fldChar w:fldCharType="end"/>
    </w:r>
  </w:p>
  <w:p w:rsidR="00DF52EA" w:rsidRDefault="00DF52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07" w:rsidRDefault="00452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7F3" w:rsidRDefault="003477F3">
      <w:pPr>
        <w:spacing w:after="0" w:line="240" w:lineRule="auto"/>
      </w:pPr>
      <w:r>
        <w:separator/>
      </w:r>
    </w:p>
  </w:footnote>
  <w:footnote w:type="continuationSeparator" w:id="1">
    <w:p w:rsidR="003477F3" w:rsidRDefault="00347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07" w:rsidRDefault="00F70D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4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07" w:rsidRDefault="00F70D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4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07" w:rsidRDefault="00F70D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4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EBC6BE0"/>
    <w:lvl w:ilvl="0">
      <w:start w:val="1"/>
      <w:numFmt w:val="decimal"/>
      <w:pStyle w:val="ListNumber"/>
      <w:lvlText w:val="%1."/>
      <w:lvlJc w:val="left"/>
      <w:pPr>
        <w:tabs>
          <w:tab w:val="num" w:pos="360"/>
        </w:tabs>
        <w:ind w:left="360" w:hanging="360"/>
      </w:pPr>
    </w:lvl>
  </w:abstractNum>
  <w:abstractNum w:abstractNumId="1">
    <w:nsid w:val="00000001"/>
    <w:multiLevelType w:val="hybridMultilevel"/>
    <w:tmpl w:val="AA12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AC7220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055262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D63672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4E7A38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6"/>
    <w:multiLevelType w:val="multilevel"/>
    <w:tmpl w:val="BBB0C9F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7"/>
    <w:multiLevelType w:val="multilevel"/>
    <w:tmpl w:val="0C36E8D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8"/>
    <w:multiLevelType w:val="multilevel"/>
    <w:tmpl w:val="0A88707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E5DE340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multilevel"/>
    <w:tmpl w:val="30EE6A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6870C41"/>
    <w:multiLevelType w:val="multilevel"/>
    <w:tmpl w:val="38A221A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A973AA"/>
    <w:multiLevelType w:val="hybridMultilevel"/>
    <w:tmpl w:val="C53AC9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6703C"/>
    <w:multiLevelType w:val="multilevel"/>
    <w:tmpl w:val="E5DE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8A5200"/>
    <w:multiLevelType w:val="multilevel"/>
    <w:tmpl w:val="4E7A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D1317E"/>
    <w:multiLevelType w:val="multilevel"/>
    <w:tmpl w:val="BBB0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A73DCE"/>
    <w:multiLevelType w:val="multilevel"/>
    <w:tmpl w:val="AC722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CF755D"/>
    <w:multiLevelType w:val="multilevel"/>
    <w:tmpl w:val="0C36E8D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7D0675"/>
    <w:multiLevelType w:val="multilevel"/>
    <w:tmpl w:val="23E438A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B4302D"/>
    <w:multiLevelType w:val="multilevel"/>
    <w:tmpl w:val="0A88707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7906DD"/>
    <w:multiLevelType w:val="multilevel"/>
    <w:tmpl w:val="38A221A4"/>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7793062D"/>
    <w:multiLevelType w:val="multilevel"/>
    <w:tmpl w:val="30EE6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5"/>
  </w:num>
  <w:num w:numId="3">
    <w:abstractNumId w:val="9"/>
  </w:num>
  <w:num w:numId="4">
    <w:abstractNumId w:val="10"/>
  </w:num>
  <w:num w:numId="5">
    <w:abstractNumId w:val="8"/>
  </w:num>
  <w:num w:numId="6">
    <w:abstractNumId w:val="7"/>
  </w:num>
  <w:num w:numId="7">
    <w:abstractNumId w:val="4"/>
  </w:num>
  <w:num w:numId="8">
    <w:abstractNumId w:val="1"/>
  </w:num>
  <w:num w:numId="9">
    <w:abstractNumId w:val="6"/>
  </w:num>
  <w:num w:numId="10">
    <w:abstractNumId w:val="2"/>
  </w:num>
  <w:num w:numId="11">
    <w:abstractNumId w:val="3"/>
  </w:num>
  <w:num w:numId="12">
    <w:abstractNumId w:val="14"/>
  </w:num>
  <w:num w:numId="13">
    <w:abstractNumId w:val="16"/>
  </w:num>
  <w:num w:numId="14">
    <w:abstractNumId w:val="15"/>
  </w:num>
  <w:num w:numId="15">
    <w:abstractNumId w:val="21"/>
  </w:num>
  <w:num w:numId="16">
    <w:abstractNumId w:val="18"/>
  </w:num>
  <w:num w:numId="17">
    <w:abstractNumId w:val="13"/>
  </w:num>
  <w:num w:numId="18">
    <w:abstractNumId w:val="12"/>
  </w:num>
  <w:num w:numId="19">
    <w:abstractNumId w:val="17"/>
  </w:num>
  <w:num w:numId="20">
    <w:abstractNumId w:val="11"/>
  </w:num>
  <w:num w:numId="21">
    <w:abstractNumId w:val="19"/>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F52EA"/>
    <w:rsid w:val="00013497"/>
    <w:rsid w:val="000336A5"/>
    <w:rsid w:val="00033CF7"/>
    <w:rsid w:val="002953DC"/>
    <w:rsid w:val="00310BF6"/>
    <w:rsid w:val="003477F3"/>
    <w:rsid w:val="00452D07"/>
    <w:rsid w:val="004B5271"/>
    <w:rsid w:val="006B1EDD"/>
    <w:rsid w:val="007D4C19"/>
    <w:rsid w:val="00933A62"/>
    <w:rsid w:val="00AA2F12"/>
    <w:rsid w:val="00BC6987"/>
    <w:rsid w:val="00BF56CE"/>
    <w:rsid w:val="00C131C5"/>
    <w:rsid w:val="00C822DE"/>
    <w:rsid w:val="00CA191F"/>
    <w:rsid w:val="00D11660"/>
    <w:rsid w:val="00D72684"/>
    <w:rsid w:val="00DF52EA"/>
    <w:rsid w:val="00E24CFA"/>
    <w:rsid w:val="00E26BCF"/>
    <w:rsid w:val="00E47754"/>
    <w:rsid w:val="00F70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88"/>
  </w:style>
  <w:style w:type="paragraph" w:styleId="Heading1">
    <w:name w:val="heading 1"/>
    <w:basedOn w:val="Normal"/>
    <w:next w:val="Normal"/>
    <w:link w:val="Heading1Char"/>
    <w:uiPriority w:val="9"/>
    <w:qFormat/>
    <w:rsid w:val="00F70D88"/>
    <w:pPr>
      <w:keepNext/>
      <w:keepLines/>
      <w:spacing w:before="480" w:after="0"/>
      <w:outlineLvl w:val="0"/>
    </w:pPr>
    <w:rPr>
      <w:rFonts w:ascii="Cambria" w:eastAsia="SimSun" w:hAnsi="Cambria"/>
      <w:b/>
      <w:bCs/>
      <w:color w:val="365F91"/>
      <w:sz w:val="28"/>
      <w:szCs w:val="28"/>
    </w:rPr>
  </w:style>
  <w:style w:type="paragraph" w:styleId="Heading2">
    <w:name w:val="heading 2"/>
    <w:basedOn w:val="Normal"/>
    <w:link w:val="Heading2Char"/>
    <w:uiPriority w:val="9"/>
    <w:qFormat/>
    <w:rsid w:val="00F70D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F70D88"/>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D88"/>
    <w:rPr>
      <w:rFonts w:ascii="Times New Roman" w:eastAsia="Times New Roman" w:hAnsi="Times New Roman" w:cs="Times New Roman"/>
      <w:b/>
      <w:bCs/>
      <w:sz w:val="36"/>
      <w:szCs w:val="36"/>
    </w:rPr>
  </w:style>
  <w:style w:type="paragraph" w:styleId="NormalWeb">
    <w:name w:val="Normal (Web)"/>
    <w:basedOn w:val="Normal"/>
    <w:uiPriority w:val="99"/>
    <w:rsid w:val="00F70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D88"/>
    <w:rPr>
      <w:b/>
      <w:bCs/>
    </w:rPr>
  </w:style>
  <w:style w:type="paragraph" w:styleId="Header">
    <w:name w:val="header"/>
    <w:basedOn w:val="Normal"/>
    <w:link w:val="HeaderChar"/>
    <w:uiPriority w:val="99"/>
    <w:rsid w:val="00F70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D88"/>
  </w:style>
  <w:style w:type="paragraph" w:styleId="Footer">
    <w:name w:val="footer"/>
    <w:basedOn w:val="Normal"/>
    <w:link w:val="FooterChar"/>
    <w:uiPriority w:val="99"/>
    <w:rsid w:val="00F70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D88"/>
  </w:style>
  <w:style w:type="character" w:styleId="Emphasis">
    <w:name w:val="Emphasis"/>
    <w:basedOn w:val="DefaultParagraphFont"/>
    <w:uiPriority w:val="20"/>
    <w:qFormat/>
    <w:rsid w:val="00F70D88"/>
    <w:rPr>
      <w:i/>
      <w:iCs/>
    </w:rPr>
  </w:style>
  <w:style w:type="character" w:styleId="Hyperlink">
    <w:name w:val="Hyperlink"/>
    <w:basedOn w:val="DefaultParagraphFont"/>
    <w:uiPriority w:val="99"/>
    <w:rsid w:val="00F70D88"/>
    <w:rPr>
      <w:color w:val="0000FF"/>
      <w:u w:val="single"/>
    </w:rPr>
  </w:style>
  <w:style w:type="character" w:customStyle="1" w:styleId="Heading3Char">
    <w:name w:val="Heading 3 Char"/>
    <w:basedOn w:val="DefaultParagraphFont"/>
    <w:link w:val="Heading3"/>
    <w:uiPriority w:val="9"/>
    <w:rsid w:val="00F70D88"/>
    <w:rPr>
      <w:rFonts w:ascii="Cambria" w:eastAsia="SimSun" w:hAnsi="Cambria" w:cs="SimSun"/>
      <w:b/>
      <w:bCs/>
      <w:color w:val="4F81BD"/>
    </w:rPr>
  </w:style>
  <w:style w:type="character" w:customStyle="1" w:styleId="Heading1Char">
    <w:name w:val="Heading 1 Char"/>
    <w:basedOn w:val="DefaultParagraphFont"/>
    <w:link w:val="Heading1"/>
    <w:uiPriority w:val="9"/>
    <w:rsid w:val="00F70D88"/>
    <w:rPr>
      <w:rFonts w:ascii="Cambria" w:eastAsia="SimSun" w:hAnsi="Cambria" w:cs="SimSun"/>
      <w:b/>
      <w:bCs/>
      <w:color w:val="365F91"/>
      <w:sz w:val="28"/>
      <w:szCs w:val="28"/>
    </w:rPr>
  </w:style>
  <w:style w:type="paragraph" w:styleId="ListParagraph">
    <w:name w:val="List Paragraph"/>
    <w:basedOn w:val="Normal"/>
    <w:uiPriority w:val="34"/>
    <w:qFormat/>
    <w:rsid w:val="00F70D88"/>
    <w:pPr>
      <w:ind w:left="720"/>
      <w:contextualSpacing/>
    </w:pPr>
  </w:style>
  <w:style w:type="character" w:customStyle="1" w:styleId="go">
    <w:name w:val="go"/>
    <w:basedOn w:val="DefaultParagraphFont"/>
    <w:rsid w:val="00933A62"/>
  </w:style>
  <w:style w:type="character" w:customStyle="1" w:styleId="gd">
    <w:name w:val="gd"/>
    <w:basedOn w:val="DefaultParagraphFont"/>
    <w:rsid w:val="00C131C5"/>
  </w:style>
  <w:style w:type="paragraph" w:styleId="BalloonText">
    <w:name w:val="Balloon Text"/>
    <w:basedOn w:val="Normal"/>
    <w:link w:val="BalloonTextChar"/>
    <w:uiPriority w:val="99"/>
    <w:semiHidden/>
    <w:unhideWhenUsed/>
    <w:rsid w:val="00E24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FA"/>
    <w:rPr>
      <w:rFonts w:ascii="Tahoma" w:hAnsi="Tahoma" w:cs="Tahoma"/>
      <w:sz w:val="16"/>
      <w:szCs w:val="16"/>
    </w:rPr>
  </w:style>
  <w:style w:type="paragraph" w:styleId="ListNumber">
    <w:name w:val="List Number"/>
    <w:basedOn w:val="Normal"/>
    <w:uiPriority w:val="99"/>
    <w:unhideWhenUsed/>
    <w:rsid w:val="00E24CFA"/>
    <w:pPr>
      <w:numPr>
        <w:numId w:val="22"/>
      </w:numPr>
      <w:contextualSpacing/>
    </w:pPr>
    <w:rPr>
      <w:rFonts w:ascii="Times New Roman" w:eastAsiaTheme="minorEastAsia" w:hAnsi="Times New Roman" w:cstheme="minorBidi"/>
    </w:rPr>
  </w:style>
</w:styles>
</file>

<file path=word/webSettings.xml><?xml version="1.0" encoding="utf-8"?>
<w:webSettings xmlns:r="http://schemas.openxmlformats.org/officeDocument/2006/relationships" xmlns:w="http://schemas.openxmlformats.org/wordprocessingml/2006/main">
  <w:divs>
    <w:div w:id="716975029">
      <w:bodyDiv w:val="1"/>
      <w:marLeft w:val="0"/>
      <w:marRight w:val="0"/>
      <w:marTop w:val="0"/>
      <w:marBottom w:val="0"/>
      <w:divBdr>
        <w:top w:val="none" w:sz="0" w:space="0" w:color="auto"/>
        <w:left w:val="none" w:sz="0" w:space="0" w:color="auto"/>
        <w:bottom w:val="none" w:sz="0" w:space="0" w:color="auto"/>
        <w:right w:val="none" w:sz="0" w:space="0" w:color="auto"/>
      </w:divBdr>
    </w:div>
    <w:div w:id="1665619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46/annurev.psych.52.1.1" TargetMode="External"/><Relationship Id="rId18" Type="http://schemas.openxmlformats.org/officeDocument/2006/relationships/hyperlink" Target="https://www.frontiersin.org/articles/10.3389/frsus.2024.1440758/full" TargetMode="External"/><Relationship Id="rId26" Type="http://schemas.openxmlformats.org/officeDocument/2006/relationships/hyperlink" Target="https://journals.lww.com/hrcm/fulltext/2024/01020/from_bin_to_bedside__understanding_the_health.2.aspx"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7/s10163-015-0426-3" TargetMode="External"/><Relationship Id="rId34" Type="http://schemas.openxmlformats.org/officeDocument/2006/relationships/hyperlink" Target="https://www.unep.org/resources/environmental-assessment-ogoniland" TargetMode="External"/><Relationship Id="rId42"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1648/j.ijsdr.20170305.12" TargetMode="External"/><Relationship Id="rId17" Type="http://schemas.openxmlformats.org/officeDocument/2006/relationships/hyperlink" Target="https://doi.org/10.3390/su16187900" TargetMode="External"/><Relationship Id="rId25" Type="http://schemas.openxmlformats.org/officeDocument/2006/relationships/hyperlink" Target="https://doi.org/10.1108/MEQ-09-2019-0194" TargetMode="External"/><Relationship Id="rId33" Type="http://schemas.openxmlformats.org/officeDocument/2006/relationships/hyperlink" Target="https://www.unep.org/resources/environmental-assessment-ogoniland"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ncedirect.com/science/article/pii/S0956053X24005191?utm_source=chatgpt.com" TargetMode="External"/><Relationship Id="rId20" Type="http://schemas.openxmlformats.org/officeDocument/2006/relationships/hyperlink" Target="https://doi.org/10.5276/JSWTM/2021.91" TargetMode="External"/><Relationship Id="rId29" Type="http://schemas.openxmlformats.org/officeDocument/2006/relationships/hyperlink" Target="https://www.theguardian.com/world/2024/dec/24/single-use-plastic-banned-nigeria-is-country-ready"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ople.umass.edu/aizen/pubs/tpb-faq.pdf?utm_source=chatgpt.com" TargetMode="External"/><Relationship Id="rId24" Type="http://schemas.openxmlformats.org/officeDocument/2006/relationships/hyperlink" Target="https://doi.org/10.1108/14777830710717730" TargetMode="External"/><Relationship Id="rId32" Type="http://schemas.openxmlformats.org/officeDocument/2006/relationships/hyperlink" Target="https://academic.oup.com/ce/article/8/6/82/7826453" TargetMode="External"/><Relationship Id="rId37" Type="http://schemas.openxmlformats.org/officeDocument/2006/relationships/hyperlink" Target="https://www.sciencedirect.com/science/article/pii/S0048969724029413?utm_source=chatgpt.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ink.springer.com/article/10.1186/s12982-025-00688-2?utm_source=chatgpt.com" TargetMode="External"/><Relationship Id="rId23" Type="http://schemas.openxmlformats.org/officeDocument/2006/relationships/hyperlink" Target="https://doi.org/10.1080/10962247.2016.1241193" TargetMode="External"/><Relationship Id="rId28" Type="http://schemas.openxmlformats.org/officeDocument/2006/relationships/hyperlink" Target="https://doi.org/10.1186/s42834-020-00077-1" TargetMode="External"/><Relationship Id="rId36" Type="http://schemas.openxmlformats.org/officeDocument/2006/relationships/hyperlink" Target="https://openknowledge.worldbank.org/handle/10986/17388" TargetMode="External"/><Relationship Id="rId10" Type="http://schemas.openxmlformats.org/officeDocument/2006/relationships/hyperlink" Target="https://doi.org/10.1016/0749-5978(91)90020-T" TargetMode="External"/><Relationship Id="rId19" Type="http://schemas.openxmlformats.org/officeDocument/2006/relationships/hyperlink" Target="https://openknowledge.worldbank.org/entities/publication/1a464650-9d7a-58bb-b0ea-33ac4cd1f73c" TargetMode="External"/><Relationship Id="rId31" Type="http://schemas.openxmlformats.org/officeDocument/2006/relationships/hyperlink" Target="https://journals.nipes.org/index.php/njstr/article/view/138?utm_source=chatgpt.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palli.org/index.php/ajec/article/view/602?utm_source=chatgpt.com" TargetMode="External"/><Relationship Id="rId22" Type="http://schemas.openxmlformats.org/officeDocument/2006/relationships/hyperlink" Target="https://www.sciencedirect.com/science/article/abs/pii/S2949824424001605" TargetMode="External"/><Relationship Id="rId27" Type="http://schemas.openxmlformats.org/officeDocument/2006/relationships/hyperlink" Target="https://www.reuters.com/sustainability/nigeria-ban-single-use-plastics-next-year-2024-06-26/" TargetMode="External"/><Relationship Id="rId30" Type="http://schemas.openxmlformats.org/officeDocument/2006/relationships/hyperlink" Target="https://link.springer.com/article/10.1007/s43621-025-01702-y?utm_source=chatgpt.com" TargetMode="External"/><Relationship Id="rId35" Type="http://schemas.openxmlformats.org/officeDocument/2006/relationships/hyperlink" Target="https://doi.org/10.54938/ijemdss.2025.04.1.341"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5001</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2025-10-07T12:12:00Z</dcterms:created>
  <dcterms:modified xsi:type="dcterms:W3CDTF">2025-10-07T12:12:00Z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6b3d7e41560a4443805ff8528a16abdb</vt:lpwstr>
  </property>
</Properties>
</file>