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19A39" w14:textId="13DBA461" w:rsidR="0081180C" w:rsidRPr="006E5EE9" w:rsidRDefault="00945E7D" w:rsidP="004F2B7E">
      <w:pPr>
        <w:rPr>
          <w:rFonts w:ascii="Palatino Linotype" w:hAnsi="Palatino Linotype"/>
          <w:b/>
          <w:bCs/>
          <w:sz w:val="32"/>
          <w:szCs w:val="32"/>
          <w:lang w:val="en-US"/>
        </w:rPr>
      </w:pPr>
      <w:r w:rsidRPr="006E5EE9">
        <w:rPr>
          <w:rFonts w:ascii="Palatino Linotype" w:hAnsi="Palatino Linotype"/>
          <w:b/>
          <w:bCs/>
          <w:sz w:val="32"/>
          <w:szCs w:val="32"/>
          <w:lang w:val="en-US"/>
        </w:rPr>
        <w:t xml:space="preserve">Towards Earthquake Predictability: A </w:t>
      </w:r>
      <w:proofErr w:type="spellStart"/>
      <w:r w:rsidRPr="006E5EE9">
        <w:rPr>
          <w:rFonts w:ascii="Palatino Linotype" w:hAnsi="Palatino Linotype"/>
          <w:b/>
          <w:bCs/>
          <w:sz w:val="32"/>
          <w:szCs w:val="32"/>
          <w:lang w:val="en-US"/>
        </w:rPr>
        <w:t>Seismo</w:t>
      </w:r>
      <w:proofErr w:type="spellEnd"/>
      <w:r w:rsidRPr="006E5EE9">
        <w:rPr>
          <w:rFonts w:ascii="Palatino Linotype" w:hAnsi="Palatino Linotype"/>
          <w:b/>
          <w:bCs/>
          <w:sz w:val="32"/>
          <w:szCs w:val="32"/>
          <w:lang w:val="en-US"/>
        </w:rPr>
        <w:t>-Ionospheric Approach Using TEC Anomalies and ARIMA Forecasting</w:t>
      </w:r>
    </w:p>
    <w:p w14:paraId="68EC9D6F" w14:textId="77777777" w:rsidR="0081180C" w:rsidRPr="006E5EE9" w:rsidRDefault="0081180C" w:rsidP="0081180C">
      <w:pPr>
        <w:jc w:val="center"/>
        <w:rPr>
          <w:rFonts w:ascii="Palatino Linotype" w:hAnsi="Palatino Linotype"/>
          <w:b/>
          <w:bCs/>
          <w:sz w:val="24"/>
          <w:szCs w:val="24"/>
          <w:lang w:val="en-US"/>
        </w:rPr>
      </w:pPr>
    </w:p>
    <w:p w14:paraId="6A448B2D" w14:textId="0E1749D1" w:rsidR="00A95865" w:rsidRPr="006E5EE9" w:rsidRDefault="00A95865" w:rsidP="00C84C6E">
      <w:pPr>
        <w:rPr>
          <w:rFonts w:ascii="Palatino Linotype" w:hAnsi="Palatino Linotype"/>
          <w:b/>
          <w:bCs/>
          <w:sz w:val="24"/>
          <w:szCs w:val="24"/>
          <w:lang w:val="en-US"/>
        </w:rPr>
      </w:pPr>
      <w:r w:rsidRPr="006E5EE9">
        <w:rPr>
          <w:rFonts w:ascii="Palatino Linotype" w:hAnsi="Palatino Linotype"/>
          <w:b/>
          <w:bCs/>
          <w:sz w:val="24"/>
          <w:szCs w:val="24"/>
          <w:lang w:val="en-US"/>
        </w:rPr>
        <w:t>Abstract</w:t>
      </w:r>
    </w:p>
    <w:p w14:paraId="4132D8AF" w14:textId="141A1935" w:rsidR="00A95865" w:rsidRPr="006E5EE9" w:rsidRDefault="00A95865" w:rsidP="00A95865">
      <w:pPr>
        <w:jc w:val="both"/>
        <w:rPr>
          <w:rFonts w:ascii="Palatino Linotype" w:hAnsi="Palatino Linotype"/>
        </w:rPr>
      </w:pPr>
      <w:r w:rsidRPr="006E5EE9">
        <w:rPr>
          <w:rFonts w:ascii="Palatino Linotype" w:hAnsi="Palatino Linotype"/>
        </w:rPr>
        <w:t>Earthquakes have always been a permanent threat to humanity. Monitoring the earthquake precursors using space-based methods can be a new introduction to earthquake studies. The promising analysis of the earthquake precursors such as Ionospheric Perturbations is based on the detection of</w:t>
      </w:r>
      <w:r w:rsidR="00122A91" w:rsidRPr="006E5EE9">
        <w:rPr>
          <w:rFonts w:ascii="Palatino Linotype" w:hAnsi="Palatino Linotype"/>
        </w:rPr>
        <w:t xml:space="preserve"> </w:t>
      </w:r>
      <w:r w:rsidRPr="006E5EE9">
        <w:rPr>
          <w:rFonts w:ascii="Palatino Linotype" w:hAnsi="Palatino Linotype"/>
        </w:rPr>
        <w:t xml:space="preserve">Ionospheric electron content. Within approximately 3 weeks before an event, negative TEC anomalies have been witnessed. A careful examination of solar and geomagnetic perturbations has been done </w:t>
      </w:r>
      <w:r w:rsidR="00247318" w:rsidRPr="006E5EE9">
        <w:rPr>
          <w:rFonts w:ascii="Palatino Linotype" w:hAnsi="Palatino Linotype"/>
        </w:rPr>
        <w:t>to</w:t>
      </w:r>
      <w:r w:rsidRPr="006E5EE9">
        <w:rPr>
          <w:rFonts w:ascii="Palatino Linotype" w:hAnsi="Palatino Linotype"/>
        </w:rPr>
        <w:t xml:space="preserve"> ensure that TEC fluctuation in the ionosphere over the investigated time period can be attributed solely to the seismic activity within the earth. Major tectonic plate boundaries, 2-D maps of global ionospheric anomalies, and Earthquake Preparation Zone have all been considered in order to evaluate the TEC fluctuations in the spatial domain during the time leading up to the earthquake. Statistical ARIMA model is used in order to give the backup for the data availability which matches with the data derived from the IGS. 2-D zone-time series LLT maps show how anomaly is spreading in the nearest fault position and EPZ. </w:t>
      </w:r>
    </w:p>
    <w:p w14:paraId="17621BB4" w14:textId="45ECD835" w:rsidR="00247318" w:rsidRPr="006E5EE9" w:rsidRDefault="00247318" w:rsidP="00A95865">
      <w:pPr>
        <w:jc w:val="both"/>
        <w:rPr>
          <w:rFonts w:ascii="Palatino Linotype" w:hAnsi="Palatino Linotype"/>
        </w:rPr>
      </w:pPr>
      <w:r w:rsidRPr="006E5EE9">
        <w:rPr>
          <w:rFonts w:ascii="Palatino Linotype" w:hAnsi="Palatino Linotype"/>
          <w:b/>
          <w:bCs/>
        </w:rPr>
        <w:t>Keywords:</w:t>
      </w:r>
      <w:r w:rsidRPr="006E5EE9">
        <w:rPr>
          <w:rFonts w:ascii="Palatino Linotype" w:hAnsi="Palatino Linotype"/>
        </w:rPr>
        <w:t xml:space="preserve"> Earthquake Precursors, Ionospheric Anomalies, </w:t>
      </w:r>
      <w:proofErr w:type="spellStart"/>
      <w:r w:rsidRPr="006E5EE9">
        <w:rPr>
          <w:rFonts w:ascii="Palatino Linotype" w:hAnsi="Palatino Linotype"/>
        </w:rPr>
        <w:t>Seismo</w:t>
      </w:r>
      <w:proofErr w:type="spellEnd"/>
      <w:r w:rsidRPr="006E5EE9">
        <w:rPr>
          <w:rFonts w:ascii="Palatino Linotype" w:hAnsi="Palatino Linotype"/>
        </w:rPr>
        <w:t>-ionospheric perturbation, Total Electron Content, GIM.</w:t>
      </w:r>
    </w:p>
    <w:p w14:paraId="6028AB4A" w14:textId="77777777" w:rsidR="00247318" w:rsidRPr="006E5EE9" w:rsidRDefault="00247318" w:rsidP="00A95865">
      <w:pPr>
        <w:jc w:val="both"/>
        <w:rPr>
          <w:rFonts w:ascii="Palatino Linotype" w:hAnsi="Palatino Linotype"/>
        </w:rPr>
      </w:pPr>
    </w:p>
    <w:p w14:paraId="0606953C" w14:textId="77777777" w:rsidR="00950D00" w:rsidRPr="006E5EE9" w:rsidRDefault="00950D00" w:rsidP="00A95865">
      <w:pPr>
        <w:jc w:val="both"/>
        <w:rPr>
          <w:rFonts w:ascii="Palatino Linotype" w:hAnsi="Palatino Linotype"/>
          <w:b/>
          <w:bCs/>
          <w:sz w:val="24"/>
          <w:szCs w:val="24"/>
        </w:rPr>
        <w:sectPr w:rsidR="00950D00" w:rsidRPr="006E5EE9">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p>
    <w:p w14:paraId="4EF578B4" w14:textId="56D57636" w:rsidR="00247318" w:rsidRPr="006E5EE9" w:rsidRDefault="00247318" w:rsidP="00A95865">
      <w:pPr>
        <w:jc w:val="both"/>
        <w:rPr>
          <w:rFonts w:ascii="Palatino Linotype" w:hAnsi="Palatino Linotype"/>
          <w:b/>
          <w:bCs/>
          <w:sz w:val="24"/>
          <w:szCs w:val="24"/>
        </w:rPr>
      </w:pPr>
      <w:r w:rsidRPr="006E5EE9">
        <w:rPr>
          <w:rFonts w:ascii="Palatino Linotype" w:hAnsi="Palatino Linotype"/>
          <w:b/>
          <w:bCs/>
          <w:sz w:val="24"/>
          <w:szCs w:val="24"/>
        </w:rPr>
        <w:t>Introduction</w:t>
      </w:r>
    </w:p>
    <w:p w14:paraId="0EEC3ED1" w14:textId="12F497B7" w:rsidR="00113FCA" w:rsidRPr="006E5EE9" w:rsidRDefault="00247318" w:rsidP="007B3C75">
      <w:pPr>
        <w:spacing w:line="276" w:lineRule="auto"/>
        <w:jc w:val="both"/>
        <w:rPr>
          <w:rFonts w:ascii="Palatino Linotype" w:hAnsi="Palatino Linotype"/>
          <w:color w:val="000000" w:themeColor="text1"/>
        </w:rPr>
      </w:pPr>
      <w:r w:rsidRPr="006E5EE9">
        <w:rPr>
          <w:rFonts w:ascii="Palatino Linotype" w:hAnsi="Palatino Linotype"/>
        </w:rPr>
        <w:t xml:space="preserve">Earthquake is one of the most dangerous natural calamities, originating from surging tectonic stress; it can cause moderate to disastrous (catastrophic) widespread damages and loss of human life. A new theory for earthquake forecasting still is an immature science that can be further developed using the theory of earthquake precursor. </w:t>
      </w:r>
      <w:r w:rsidR="007B3C75" w:rsidRPr="006E5EE9">
        <w:rPr>
          <w:rFonts w:ascii="Palatino Linotype" w:hAnsi="Palatino Linotype" w:cs="Times New Roman"/>
        </w:rPr>
        <w:t>Various types of initiatives are there for earthquake-forecasting as Collaboratory for the Study of Earthquake Predictability (CSEP) (Zechar et al., 2010)</w:t>
      </w:r>
      <w:r w:rsidR="0098134B" w:rsidRPr="006E5EE9">
        <w:rPr>
          <w:rFonts w:ascii="Palatino Linotype" w:hAnsi="Palatino Linotype" w:cs="Times New Roman"/>
        </w:rPr>
        <w:t xml:space="preserve">, earthquake prediction platform (Richter X) for testing earthquake prediction in a user defined magnitude, space, time anywhere in the world (Kamer </w:t>
      </w:r>
      <w:r w:rsidR="0098134B" w:rsidRPr="006E5EE9">
        <w:rPr>
          <w:rFonts w:ascii="Palatino Linotype" w:hAnsi="Palatino Linotype" w:cs="Times New Roman"/>
        </w:rPr>
        <w:t>et al., 2021)</w:t>
      </w:r>
      <w:r w:rsidR="007B3C75" w:rsidRPr="006E5EE9">
        <w:rPr>
          <w:rFonts w:ascii="Palatino Linotype" w:hAnsi="Palatino Linotype" w:cs="Times New Roman"/>
        </w:rPr>
        <w:t>.</w:t>
      </w:r>
      <w:r w:rsidR="007B3C75" w:rsidRPr="006E5EE9">
        <w:t xml:space="preserve"> </w:t>
      </w:r>
      <w:r w:rsidRPr="006E5EE9">
        <w:rPr>
          <w:rFonts w:ascii="Palatino Linotype" w:hAnsi="Palatino Linotype"/>
        </w:rPr>
        <w:t>However, several new remote sensing methods have achieved success in scientifically forecasting earthquakes. Monitoring of the earthquake precursors can be a new introduction to earthquake studies which is increasing due to the availability of satellite images and space methods rather than conventional methods (</w:t>
      </w:r>
      <w:proofErr w:type="spellStart"/>
      <w:r w:rsidRPr="006E5EE9">
        <w:rPr>
          <w:rFonts w:ascii="Palatino Linotype" w:hAnsi="Palatino Linotype"/>
        </w:rPr>
        <w:t>Tronin</w:t>
      </w:r>
      <w:proofErr w:type="spellEnd"/>
      <w:r w:rsidRPr="006E5EE9">
        <w:rPr>
          <w:rFonts w:ascii="Palatino Linotype" w:hAnsi="Palatino Linotype"/>
        </w:rPr>
        <w:t xml:space="preserve">, 2005). </w:t>
      </w:r>
      <w:r w:rsidR="00950D00" w:rsidRPr="006E5EE9">
        <w:rPr>
          <w:rFonts w:ascii="Palatino Linotype" w:hAnsi="Palatino Linotype"/>
        </w:rPr>
        <w:t xml:space="preserve"> The promising methods of the earthquake precursor studies using space-based monitoring methods a</w:t>
      </w:r>
      <w:r w:rsidR="000209AA" w:rsidRPr="006E5EE9">
        <w:rPr>
          <w:rFonts w:ascii="Palatino Linotype" w:hAnsi="Palatino Linotype"/>
        </w:rPr>
        <w:t xml:space="preserve">s </w:t>
      </w:r>
      <w:r w:rsidR="00950D00" w:rsidRPr="006E5EE9">
        <w:rPr>
          <w:rFonts w:ascii="Palatino Linotype" w:hAnsi="Palatino Linotype"/>
        </w:rPr>
        <w:t xml:space="preserve">Ionospheric Perturbation Analysis based on the detection of Ionospheric electron content (Rathje &amp; Adams, 2008). The study of </w:t>
      </w:r>
      <w:proofErr w:type="spellStart"/>
      <w:r w:rsidR="00950D00" w:rsidRPr="006E5EE9">
        <w:rPr>
          <w:rFonts w:ascii="Palatino Linotype" w:hAnsi="Palatino Linotype"/>
        </w:rPr>
        <w:t>seismo</w:t>
      </w:r>
      <w:proofErr w:type="spellEnd"/>
      <w:r w:rsidR="00950D00" w:rsidRPr="006E5EE9">
        <w:rPr>
          <w:rFonts w:ascii="Palatino Linotype" w:hAnsi="Palatino Linotype"/>
        </w:rPr>
        <w:t xml:space="preserve">-ionospheric anomaly variation before large earthquakes (Mw &gt; 5) has been treated as a new attractive technique for several years. Results from monitoring </w:t>
      </w:r>
      <w:r w:rsidR="00950D00" w:rsidRPr="006E5EE9">
        <w:rPr>
          <w:rFonts w:ascii="Palatino Linotype" w:hAnsi="Palatino Linotype"/>
        </w:rPr>
        <w:lastRenderedPageBreak/>
        <w:t xml:space="preserve">seismically endangered regions using the method of detection of Total Electron Content (Ionospheric Perturbation) are presented in this study work. The feasibility of using this method is predicated on the idea that the ionospheric total electron content </w:t>
      </w:r>
      <w:proofErr w:type="gramStart"/>
      <w:r w:rsidR="00950D00" w:rsidRPr="006E5EE9">
        <w:rPr>
          <w:rFonts w:ascii="Palatino Linotype" w:hAnsi="Palatino Linotype"/>
        </w:rPr>
        <w:t>are</w:t>
      </w:r>
      <w:proofErr w:type="gramEnd"/>
      <w:r w:rsidR="00950D00" w:rsidRPr="006E5EE9">
        <w:rPr>
          <w:rFonts w:ascii="Palatino Linotype" w:hAnsi="Palatino Linotype"/>
        </w:rPr>
        <w:t xml:space="preserve"> strongly connected with the seismic zone and respond to changes in the pre-seismic pattern.  The main </w:t>
      </w:r>
      <w:r w:rsidR="00113FCA" w:rsidRPr="006E5EE9">
        <w:rPr>
          <w:rFonts w:ascii="Palatino Linotype" w:hAnsi="Palatino Linotype"/>
        </w:rPr>
        <w:t xml:space="preserve">ionosphere regions </w:t>
      </w:r>
      <w:r w:rsidR="00950D00" w:rsidRPr="006E5EE9">
        <w:rPr>
          <w:rFonts w:ascii="Palatino Linotype" w:hAnsi="Palatino Linotype"/>
        </w:rPr>
        <w:t>are divided into various layers, like - D, E, F1 and F2</w:t>
      </w:r>
      <w:r w:rsidR="00113FCA" w:rsidRPr="006E5EE9">
        <w:rPr>
          <w:rFonts w:ascii="Palatino Linotype" w:hAnsi="Palatino Linotype"/>
        </w:rPr>
        <w:t xml:space="preserve"> which </w:t>
      </w:r>
      <w:r w:rsidR="00113FCA" w:rsidRPr="006E5EE9">
        <w:rPr>
          <w:rFonts w:ascii="Palatino Linotype" w:hAnsi="Palatino Linotype"/>
          <w:color w:val="000000" w:themeColor="text1"/>
        </w:rPr>
        <w:t>are made up of electrons and ions. With the help of the Total Electron Content (TEC) parameter, one can calculate electron concentration. TECu is used as a TEC unit that equals 10</w:t>
      </w:r>
      <w:r w:rsidR="00113FCA" w:rsidRPr="006E5EE9">
        <w:rPr>
          <w:rFonts w:ascii="Palatino Linotype" w:hAnsi="Palatino Linotype"/>
          <w:color w:val="000000" w:themeColor="text1"/>
          <w:vertAlign w:val="superscript"/>
        </w:rPr>
        <w:t>16</w:t>
      </w:r>
      <w:r w:rsidR="00113FCA" w:rsidRPr="006E5EE9">
        <w:rPr>
          <w:rFonts w:ascii="Palatino Linotype" w:hAnsi="Palatino Linotype"/>
          <w:color w:val="000000" w:themeColor="text1"/>
        </w:rPr>
        <w:t xml:space="preserve"> Line-of-sight (LOS) of 10</w:t>
      </w:r>
      <w:r w:rsidR="00113FCA" w:rsidRPr="006E5EE9">
        <w:rPr>
          <w:rFonts w:ascii="Palatino Linotype" w:hAnsi="Palatino Linotype"/>
          <w:color w:val="000000" w:themeColor="text1"/>
          <w:vertAlign w:val="superscript"/>
        </w:rPr>
        <w:t>16</w:t>
      </w:r>
      <w:r w:rsidR="00113FCA" w:rsidRPr="006E5EE9">
        <w:rPr>
          <w:rFonts w:ascii="Palatino Linotype" w:hAnsi="Palatino Linotype"/>
          <w:color w:val="000000" w:themeColor="text1"/>
        </w:rPr>
        <w:t xml:space="preserve"> electrons in a cylinder with a base area of </w:t>
      </w:r>
      <w:proofErr w:type="gramStart"/>
      <w:r w:rsidR="00113FCA" w:rsidRPr="006E5EE9">
        <w:rPr>
          <w:rFonts w:ascii="Palatino Linotype" w:hAnsi="Palatino Linotype"/>
          <w:color w:val="000000" w:themeColor="text1"/>
        </w:rPr>
        <w:t>1</w:t>
      </w:r>
      <w:r w:rsidR="006E03E3" w:rsidRPr="006E5EE9">
        <w:rPr>
          <w:rFonts w:ascii="Palatino Linotype" w:hAnsi="Palatino Linotype"/>
          <w:color w:val="000000" w:themeColor="text1"/>
        </w:rPr>
        <w:t xml:space="preserve"> </w:t>
      </w:r>
      <w:r w:rsidR="00113FCA" w:rsidRPr="006E5EE9">
        <w:rPr>
          <w:rFonts w:ascii="Palatino Linotype" w:hAnsi="Palatino Linotype"/>
          <w:color w:val="000000" w:themeColor="text1"/>
        </w:rPr>
        <w:t>meter</w:t>
      </w:r>
      <w:proofErr w:type="gramEnd"/>
      <w:r w:rsidR="00113FCA" w:rsidRPr="006E5EE9">
        <w:rPr>
          <w:rFonts w:ascii="Palatino Linotype" w:hAnsi="Palatino Linotype"/>
          <w:color w:val="000000" w:themeColor="text1"/>
        </w:rPr>
        <w:t xml:space="preserve"> square. TEC variations are used to indicate the influence of the ionosphere on the GPS satellites' signals as they travel towards Earth. The carrier phase delay of the received radio signals from satellites that are above the ionosphere essentially serves as a marker for it. The location of the receiving station, geomagnetic storm, and solar activity all have a significant impact on the TEC variation (time-space). The geomagnetic storm develops currents and energy, increasing the TEC or the quantity of ionospheric electrons. (Danilov &amp; </w:t>
      </w:r>
      <w:proofErr w:type="spellStart"/>
      <w:r w:rsidR="00113FCA" w:rsidRPr="006E5EE9">
        <w:rPr>
          <w:rFonts w:ascii="Palatino Linotype" w:hAnsi="Palatino Linotype"/>
          <w:color w:val="000000" w:themeColor="text1"/>
        </w:rPr>
        <w:t>Berbeneva</w:t>
      </w:r>
      <w:proofErr w:type="spellEnd"/>
      <w:r w:rsidR="00113FCA" w:rsidRPr="006E5EE9">
        <w:rPr>
          <w:rFonts w:ascii="Palatino Linotype" w:hAnsi="Palatino Linotype"/>
          <w:color w:val="000000" w:themeColor="text1"/>
        </w:rPr>
        <w:t xml:space="preserve">, 2021). The energy from the solar wind dissipates into the thermosphere and ionosphere during a geomagnetic storm, and the ionosphere's energy transport changes dramatically and becomes more challenging (Hargreaves, 1992). When a storm occurs, this magnetosphere-ionosphere coupling causes the electron density to vary more. As a result of the Sun's energy release and </w:t>
      </w:r>
      <w:r w:rsidR="00113FCA" w:rsidRPr="006E5EE9">
        <w:rPr>
          <w:rFonts w:ascii="Palatino Linotype" w:hAnsi="Palatino Linotype"/>
          <w:color w:val="000000" w:themeColor="text1"/>
        </w:rPr>
        <w:t>EMR's interference with ion formation in the ionosphere, which delays GPS signals in the ionospheric region, these phenomena have an impact on radio communications and navigation.</w:t>
      </w:r>
    </w:p>
    <w:p w14:paraId="027DC4A7" w14:textId="04DC0E5C" w:rsidR="007050A5" w:rsidRPr="006E5EE9" w:rsidRDefault="007050A5" w:rsidP="00FC2B00">
      <w:pPr>
        <w:spacing w:line="276" w:lineRule="auto"/>
        <w:jc w:val="both"/>
        <w:rPr>
          <w:rFonts w:ascii="Palatino Linotype" w:hAnsi="Palatino Linotype"/>
        </w:rPr>
      </w:pPr>
      <w:r w:rsidRPr="006E5EE9">
        <w:rPr>
          <w:rFonts w:ascii="Palatino Linotype" w:hAnsi="Palatino Linotype"/>
          <w:b/>
          <w:bCs/>
        </w:rPr>
        <w:t>Lithosphere-Ionosphere Coupling</w:t>
      </w:r>
    </w:p>
    <w:p w14:paraId="54996CDB" w14:textId="2717E014" w:rsidR="006E03E3" w:rsidRPr="006E5EE9" w:rsidRDefault="007050A5" w:rsidP="00FC2B00">
      <w:pPr>
        <w:spacing w:line="276" w:lineRule="auto"/>
        <w:jc w:val="both"/>
        <w:rPr>
          <w:rFonts w:ascii="Palatino Linotype" w:hAnsi="Palatino Linotype"/>
        </w:rPr>
      </w:pPr>
      <w:r w:rsidRPr="006E5EE9">
        <w:rPr>
          <w:rFonts w:ascii="Palatino Linotype" w:hAnsi="Palatino Linotype"/>
        </w:rPr>
        <w:t>The extreme tectonic stress breaks the "</w:t>
      </w:r>
      <w:proofErr w:type="spellStart"/>
      <w:r w:rsidRPr="006E5EE9">
        <w:rPr>
          <w:rFonts w:ascii="Palatino Linotype" w:hAnsi="Palatino Linotype"/>
        </w:rPr>
        <w:t>Peroxy</w:t>
      </w:r>
      <w:proofErr w:type="spellEnd"/>
      <w:r w:rsidRPr="006E5EE9">
        <w:rPr>
          <w:rFonts w:ascii="Palatino Linotype" w:hAnsi="Palatino Linotype"/>
        </w:rPr>
        <w:t xml:space="preserve"> Bonds" and activates the "h•" charge and the electrons. These "h•" are movable and can spread from the compressed rock and to the nearby volume of unstrained rock; and the electrons are trapped at the locations of '</w:t>
      </w:r>
      <w:proofErr w:type="spellStart"/>
      <w:r w:rsidRPr="006E5EE9">
        <w:rPr>
          <w:rFonts w:ascii="Palatino Linotype" w:hAnsi="Palatino Linotype"/>
        </w:rPr>
        <w:t>Peroxy</w:t>
      </w:r>
      <w:proofErr w:type="spellEnd"/>
      <w:r w:rsidRPr="006E5EE9">
        <w:rPr>
          <w:rFonts w:ascii="Palatino Linotype" w:hAnsi="Palatino Linotype"/>
        </w:rPr>
        <w:t xml:space="preserve"> bonds' that broke. (Freund, 2013). These carriers of positive charge reach the planet's surface, a powerful positive E field develops there, eventually ionising the molecules of the atmosphere. O2 creates positive airborne ions for field ionisation because it has a comparatively low ionisation threshold. The rock surface produced aerial ions. at the rate of 10</w:t>
      </w:r>
      <w:r w:rsidR="006E03E3" w:rsidRPr="006E5EE9">
        <w:rPr>
          <w:rFonts w:ascii="Palatino Linotype" w:hAnsi="Palatino Linotype"/>
          <w:vertAlign w:val="superscript"/>
        </w:rPr>
        <w:t>7</w:t>
      </w:r>
      <w:r w:rsidRPr="006E5EE9">
        <w:rPr>
          <w:rFonts w:ascii="Palatino Linotype" w:hAnsi="Palatino Linotype"/>
        </w:rPr>
        <w:t xml:space="preserve"> – 10</w:t>
      </w:r>
      <w:r w:rsidR="006E03E3" w:rsidRPr="006E5EE9">
        <w:rPr>
          <w:rFonts w:ascii="Palatino Linotype" w:hAnsi="Palatino Linotype"/>
          <w:vertAlign w:val="superscript"/>
        </w:rPr>
        <w:t>9</w:t>
      </w:r>
      <w:r w:rsidRPr="006E5EE9">
        <w:rPr>
          <w:rFonts w:ascii="Palatino Linotype" w:hAnsi="Palatino Linotype"/>
        </w:rPr>
        <w:t xml:space="preserve"> /s/cm</w:t>
      </w:r>
      <w:r w:rsidR="006E03E3" w:rsidRPr="006E5EE9">
        <w:rPr>
          <w:rFonts w:ascii="Palatino Linotype" w:hAnsi="Palatino Linotype"/>
          <w:vertAlign w:val="superscript"/>
        </w:rPr>
        <w:t>2</w:t>
      </w:r>
      <w:r w:rsidRPr="006E5EE9">
        <w:rPr>
          <w:rFonts w:ascii="Palatino Linotype" w:hAnsi="Palatino Linotype"/>
        </w:rPr>
        <w:t xml:space="preserve"> (Freund, 2013). The internal electrostatic repulsion tends the positive air bubble to expand in the upward direction which accelerates more by the prevailing E field. When this air bubble reaches the atmosphere and acts as condensation nuclei due to relative humidity. Hence, forms water droplets and clouds. During this condensation latent heat released which increases the air temperature. The risen air temperature produces thermal anomalies found in satellite infrared images (LST).</w:t>
      </w:r>
      <w:r w:rsidRPr="006E5EE9">
        <w:t xml:space="preserve"> </w:t>
      </w:r>
      <w:r w:rsidRPr="006E5EE9">
        <w:rPr>
          <w:rFonts w:ascii="Palatino Linotype" w:hAnsi="Palatino Linotype"/>
        </w:rPr>
        <w:t xml:space="preserve">Due to </w:t>
      </w:r>
      <w:proofErr w:type="spellStart"/>
      <w:r w:rsidRPr="006E5EE9">
        <w:rPr>
          <w:rFonts w:ascii="Palatino Linotype" w:hAnsi="Palatino Linotype"/>
        </w:rPr>
        <w:t>peroxy</w:t>
      </w:r>
      <w:proofErr w:type="spellEnd"/>
      <w:r w:rsidRPr="006E5EE9">
        <w:rPr>
          <w:rFonts w:ascii="Palatino Linotype" w:hAnsi="Palatino Linotype"/>
        </w:rPr>
        <w:t xml:space="preserve"> defect the massive portion of charged particles migrate upward as a result of air ionisation. This phenomenon causes flow of vertical current for upward migration of the charged particles. Hence, a downward pull of electrons produces </w:t>
      </w:r>
      <w:r w:rsidRPr="006E5EE9">
        <w:rPr>
          <w:rFonts w:ascii="Palatino Linotype" w:hAnsi="Palatino Linotype"/>
        </w:rPr>
        <w:lastRenderedPageBreak/>
        <w:t xml:space="preserve">electromagnetic anomalies in the lower portion of the ionosphere layer, which impact the ionosphere plasma perturbation. As this perturbation also alters due to geomagnetic activities, solar storms, and magnetic storms; these anomalies should be excluded from the detection of signals which are only due to earthquakes (Storm, 2020). The presence of a geomagnetic storm induces the TEC which reduces prior to any significant earthquake (Mw &gt; 5). As a result, the TEC value should be associated when geomagnetic activity is </w:t>
      </w:r>
      <w:r w:rsidR="001913D8" w:rsidRPr="006E5EE9">
        <w:rPr>
          <w:rFonts w:ascii="Palatino Linotype" w:hAnsi="Palatino Linotype"/>
        </w:rPr>
        <w:t>present,</w:t>
      </w:r>
      <w:r w:rsidRPr="006E5EE9">
        <w:rPr>
          <w:rFonts w:ascii="Palatino Linotype" w:hAnsi="Palatino Linotype"/>
        </w:rPr>
        <w:t xml:space="preserve"> yet the TEC value is steeply declining, which must be taken into consideration as an earthquake precursor (Kumar, 2021). So, for the ionosphere anomalies, the solar terrestrial environment must be considered and compared with the TEC. The main drawback of using the GPS (IGS) derived data is its availability. It has a delay of </w:t>
      </w:r>
      <w:r w:rsidR="006E03E3" w:rsidRPr="006E5EE9">
        <w:rPr>
          <w:rFonts w:ascii="Palatino Linotype" w:hAnsi="Palatino Linotype"/>
        </w:rPr>
        <w:t>3-</w:t>
      </w:r>
      <w:r w:rsidRPr="006E5EE9">
        <w:rPr>
          <w:rFonts w:ascii="Palatino Linotype" w:hAnsi="Palatino Linotype"/>
        </w:rPr>
        <w:t>5 days (CODG or CORG</w:t>
      </w:r>
      <w:r w:rsidR="006E03E3" w:rsidRPr="006E5EE9">
        <w:rPr>
          <w:rFonts w:ascii="Palatino Linotype" w:hAnsi="Palatino Linotype"/>
        </w:rPr>
        <w:t xml:space="preserve"> format</w:t>
      </w:r>
      <w:r w:rsidRPr="006E5EE9">
        <w:rPr>
          <w:rFonts w:ascii="Palatino Linotype" w:hAnsi="Palatino Linotype"/>
        </w:rPr>
        <w:t xml:space="preserve">) which may cause an unnoticed perturbation prior to an earthquake. Statistical variations confirm the reduction of TEC values prior to an earthquake, which is going to be independent of the solar-terrestrial environment (solar flare and magnetic storm). </w:t>
      </w:r>
      <w:r w:rsidR="006E03E3" w:rsidRPr="006E5EE9">
        <w:rPr>
          <w:rFonts w:ascii="Palatino Linotype" w:hAnsi="Palatino Linotype"/>
        </w:rPr>
        <w:t xml:space="preserve"> </w:t>
      </w:r>
      <w:r w:rsidRPr="006E5EE9">
        <w:rPr>
          <w:rFonts w:ascii="Palatino Linotype" w:hAnsi="Palatino Linotype"/>
        </w:rPr>
        <w:t xml:space="preserve">In order to overcome it, to make the data real-time </w:t>
      </w:r>
      <w:r w:rsidR="0066275C" w:rsidRPr="006E5EE9">
        <w:rPr>
          <w:rFonts w:ascii="Palatino Linotype" w:hAnsi="Palatino Linotype"/>
        </w:rPr>
        <w:t>statistics based</w:t>
      </w:r>
      <w:r w:rsidRPr="006E5EE9">
        <w:rPr>
          <w:rFonts w:ascii="Palatino Linotype" w:hAnsi="Palatino Linotype"/>
        </w:rPr>
        <w:t xml:space="preserve"> ARIMA model </w:t>
      </w:r>
      <w:r w:rsidR="006E03E3" w:rsidRPr="006E5EE9">
        <w:rPr>
          <w:rFonts w:ascii="Palatino Linotype" w:hAnsi="Palatino Linotype"/>
        </w:rPr>
        <w:t xml:space="preserve">is used </w:t>
      </w:r>
      <w:r w:rsidRPr="006E5EE9">
        <w:rPr>
          <w:rFonts w:ascii="Palatino Linotype" w:hAnsi="Palatino Linotype"/>
        </w:rPr>
        <w:t xml:space="preserve">to ensure the data availability backup (Saqib et al., 2021), and has proved to be very effective in monitoring the ionospheric TEC perturbation. This made it possible that without a delay of a single day, the </w:t>
      </w:r>
      <w:proofErr w:type="spellStart"/>
      <w:r w:rsidRPr="006E5EE9">
        <w:rPr>
          <w:rFonts w:ascii="Palatino Linotype" w:hAnsi="Palatino Linotype"/>
        </w:rPr>
        <w:t>seismo</w:t>
      </w:r>
      <w:proofErr w:type="spellEnd"/>
      <w:r w:rsidRPr="006E5EE9">
        <w:rPr>
          <w:rFonts w:ascii="Palatino Linotype" w:hAnsi="Palatino Linotype"/>
        </w:rPr>
        <w:t xml:space="preserve">-ionospheric coupling and the degree of its variation can be ensured. </w:t>
      </w:r>
    </w:p>
    <w:p w14:paraId="1F694D9A" w14:textId="3730634B" w:rsidR="00950D00" w:rsidRPr="006E5EE9" w:rsidRDefault="007050A5" w:rsidP="00FC2B00">
      <w:pPr>
        <w:spacing w:line="276" w:lineRule="auto"/>
        <w:jc w:val="both"/>
        <w:rPr>
          <w:rFonts w:ascii="Palatino Linotype" w:hAnsi="Palatino Linotype"/>
        </w:rPr>
      </w:pPr>
      <w:r w:rsidRPr="006E5EE9">
        <w:rPr>
          <w:rFonts w:ascii="Palatino Linotype" w:hAnsi="Palatino Linotype"/>
        </w:rPr>
        <w:t xml:space="preserve">The objective of the work is the early detection of earthquake precursors over the </w:t>
      </w:r>
      <w:r w:rsidR="0066275C" w:rsidRPr="006E5EE9">
        <w:rPr>
          <w:rFonts w:ascii="Palatino Linotype" w:hAnsi="Palatino Linotype"/>
        </w:rPr>
        <w:t>epicentre</w:t>
      </w:r>
      <w:r w:rsidRPr="006E5EE9">
        <w:rPr>
          <w:rFonts w:ascii="Palatino Linotype" w:hAnsi="Palatino Linotype"/>
        </w:rPr>
        <w:t xml:space="preserve"> zones</w:t>
      </w:r>
      <w:r w:rsidR="006E03E3" w:rsidRPr="006E5EE9">
        <w:rPr>
          <w:rFonts w:ascii="Palatino Linotype" w:hAnsi="Palatino Linotype"/>
        </w:rPr>
        <w:t xml:space="preserve"> by</w:t>
      </w:r>
      <w:r w:rsidR="0035236D" w:rsidRPr="006E5EE9">
        <w:rPr>
          <w:rFonts w:ascii="Palatino Linotype" w:hAnsi="Palatino Linotype"/>
        </w:rPr>
        <w:t>-</w:t>
      </w:r>
      <w:r w:rsidRPr="006E5EE9">
        <w:rPr>
          <w:rFonts w:ascii="Palatino Linotype" w:hAnsi="Palatino Linotype"/>
        </w:rPr>
        <w:t xml:space="preserve"> 1) Identifying and </w:t>
      </w:r>
      <w:r w:rsidR="0066275C" w:rsidRPr="006E5EE9">
        <w:rPr>
          <w:rFonts w:ascii="Palatino Linotype" w:hAnsi="Palatino Linotype"/>
        </w:rPr>
        <w:t>analysing</w:t>
      </w:r>
      <w:r w:rsidRPr="006E5EE9">
        <w:rPr>
          <w:rFonts w:ascii="Palatino Linotype" w:hAnsi="Palatino Linotype"/>
        </w:rPr>
        <w:t xml:space="preserve"> real-time Global Ionospheric Perturbation in the spatial domain (2-D GIM</w:t>
      </w:r>
      <w:r w:rsidR="001913D8" w:rsidRPr="006E5EE9">
        <w:rPr>
          <w:rFonts w:ascii="Palatino Linotype" w:hAnsi="Palatino Linotype"/>
        </w:rPr>
        <w:t>), 2</w:t>
      </w:r>
      <w:r w:rsidRPr="006E5EE9">
        <w:rPr>
          <w:rFonts w:ascii="Palatino Linotype" w:hAnsi="Palatino Linotype"/>
        </w:rPr>
        <w:t>) Real-Time TEC forecast using statistical ARIMA model</w:t>
      </w:r>
      <w:r w:rsidR="0035236D" w:rsidRPr="006E5EE9">
        <w:rPr>
          <w:rFonts w:ascii="Palatino Linotype" w:hAnsi="Palatino Linotype"/>
        </w:rPr>
        <w:t xml:space="preserve"> </w:t>
      </w:r>
      <w:r w:rsidRPr="006E5EE9">
        <w:rPr>
          <w:rFonts w:ascii="Palatino Linotype" w:hAnsi="Palatino Linotype"/>
        </w:rPr>
        <w:t>prior to an Earthquake in the Earthquake Preparation Zone</w:t>
      </w:r>
      <w:r w:rsidR="0035236D" w:rsidRPr="006E5EE9">
        <w:rPr>
          <w:rFonts w:ascii="Palatino Linotype" w:hAnsi="Palatino Linotype"/>
        </w:rPr>
        <w:t xml:space="preserve">. </w:t>
      </w:r>
      <w:r w:rsidR="006E03E3" w:rsidRPr="006E5EE9">
        <w:rPr>
          <w:rFonts w:ascii="Palatino Linotype" w:hAnsi="Palatino Linotype"/>
        </w:rPr>
        <w:t xml:space="preserve"> </w:t>
      </w:r>
    </w:p>
    <w:p w14:paraId="4EEAB8D5" w14:textId="54634154" w:rsidR="006E03E3" w:rsidRPr="006E5EE9" w:rsidRDefault="006E03E3" w:rsidP="00FC2B00">
      <w:pPr>
        <w:spacing w:line="276" w:lineRule="auto"/>
        <w:jc w:val="both"/>
        <w:rPr>
          <w:rFonts w:ascii="Palatino Linotype" w:hAnsi="Palatino Linotype"/>
          <w:b/>
          <w:bCs/>
          <w:sz w:val="24"/>
          <w:szCs w:val="24"/>
        </w:rPr>
      </w:pPr>
      <w:r w:rsidRPr="006E5EE9">
        <w:rPr>
          <w:rFonts w:ascii="Palatino Linotype" w:hAnsi="Palatino Linotype"/>
          <w:b/>
          <w:bCs/>
          <w:sz w:val="24"/>
          <w:szCs w:val="24"/>
        </w:rPr>
        <w:t>STUDY AREA</w:t>
      </w:r>
    </w:p>
    <w:p w14:paraId="16C6EF8D" w14:textId="19C95C91" w:rsidR="006E03E3" w:rsidRPr="006E5EE9" w:rsidRDefault="006E03E3" w:rsidP="00FC2B00">
      <w:pPr>
        <w:spacing w:line="276" w:lineRule="auto"/>
        <w:jc w:val="both"/>
      </w:pPr>
      <w:r w:rsidRPr="006E5EE9">
        <w:rPr>
          <w:rFonts w:ascii="Palatino Linotype" w:hAnsi="Palatino Linotype"/>
        </w:rPr>
        <w:t>This work identified the</w:t>
      </w:r>
      <w:r w:rsidR="00292085" w:rsidRPr="006E5EE9">
        <w:rPr>
          <w:rFonts w:ascii="Palatino Linotype" w:hAnsi="Palatino Linotype"/>
        </w:rPr>
        <w:t xml:space="preserve"> </w:t>
      </w:r>
      <w:r w:rsidRPr="006E5EE9">
        <w:rPr>
          <w:rFonts w:ascii="Palatino Linotype" w:hAnsi="Palatino Linotype"/>
        </w:rPr>
        <w:t>devastating earthquake at Turkey (Gaziantep, 37.166</w:t>
      </w:r>
      <w:r w:rsidRPr="006E5EE9">
        <w:rPr>
          <w:rFonts w:ascii="Palatino Linotype" w:hAnsi="Palatino Linotype"/>
          <w:vertAlign w:val="superscript"/>
        </w:rPr>
        <w:t>0</w:t>
      </w:r>
      <w:r w:rsidRPr="006E5EE9">
        <w:rPr>
          <w:rFonts w:ascii="Palatino Linotype" w:hAnsi="Palatino Linotype"/>
        </w:rPr>
        <w:t xml:space="preserve"> N, 37.032</w:t>
      </w:r>
      <w:r w:rsidRPr="006E5EE9">
        <w:rPr>
          <w:rFonts w:ascii="Palatino Linotype" w:hAnsi="Palatino Linotype"/>
          <w:vertAlign w:val="superscript"/>
        </w:rPr>
        <w:t>0</w:t>
      </w:r>
      <w:r w:rsidRPr="006E5EE9">
        <w:rPr>
          <w:rFonts w:ascii="Palatino Linotype" w:hAnsi="Palatino Linotype"/>
        </w:rPr>
        <w:t xml:space="preserve"> E, 6th </w:t>
      </w:r>
      <w:r w:rsidR="00292085" w:rsidRPr="006E5EE9">
        <w:rPr>
          <w:rFonts w:ascii="Palatino Linotype" w:hAnsi="Palatino Linotype"/>
        </w:rPr>
        <w:t>February</w:t>
      </w:r>
      <w:r w:rsidRPr="006E5EE9">
        <w:rPr>
          <w:rFonts w:ascii="Palatino Linotype" w:hAnsi="Palatino Linotype"/>
        </w:rPr>
        <w:t xml:space="preserve"> 2023; Mw 7.8) falling under the UGSG Prompt Assessment of Global Earthquakes for Response (PAGER) criteria alert levels. </w:t>
      </w:r>
      <w:r w:rsidR="00292085" w:rsidRPr="006E5EE9">
        <w:rPr>
          <w:rFonts w:ascii="Palatino Linotype" w:hAnsi="Palatino Linotype"/>
        </w:rPr>
        <w:t xml:space="preserve">The Seismic Map shows all the epicentres (Mw &gt; 4) are concentrated within the three-active fault zone (Dead Sea Transform, North Anatolian, and East Anatolian Fault) and rest are surrounded by them between the Anatolian and Arabic Plate. As there is an interaction between three tectonic </w:t>
      </w:r>
      <w:r w:rsidR="001913D8" w:rsidRPr="006E5EE9">
        <w:rPr>
          <w:rFonts w:ascii="Palatino Linotype" w:hAnsi="Palatino Linotype"/>
        </w:rPr>
        <w:t>plates:</w:t>
      </w:r>
      <w:r w:rsidR="00292085" w:rsidRPr="006E5EE9">
        <w:rPr>
          <w:rFonts w:ascii="Palatino Linotype" w:hAnsi="Palatino Linotype"/>
        </w:rPr>
        <w:t xml:space="preserve"> prone to </w:t>
      </w:r>
      <w:r w:rsidR="0066275C" w:rsidRPr="006E5EE9">
        <w:rPr>
          <w:rFonts w:ascii="Palatino Linotype" w:hAnsi="Palatino Linotype"/>
        </w:rPr>
        <w:t>earthquakes</w:t>
      </w:r>
      <w:r w:rsidR="00292085" w:rsidRPr="006E5EE9">
        <w:rPr>
          <w:rFonts w:ascii="Palatino Linotype" w:hAnsi="Palatino Linotype"/>
        </w:rPr>
        <w:t xml:space="preserve">. At the Marash Triple Junction, the DST and EAF come together. The North Anatolian Fault Zone is one of the most important geological factors causing earthquakes in Turkey. The fault is characterised by </w:t>
      </w:r>
      <w:r w:rsidR="0066275C" w:rsidRPr="006E5EE9">
        <w:rPr>
          <w:rFonts w:ascii="Palatino Linotype" w:hAnsi="Palatino Linotype"/>
        </w:rPr>
        <w:t>several</w:t>
      </w:r>
      <w:r w:rsidR="00292085" w:rsidRPr="006E5EE9">
        <w:rPr>
          <w:rFonts w:ascii="Palatino Linotype" w:hAnsi="Palatino Linotype"/>
        </w:rPr>
        <w:t xml:space="preserve"> strike-slip faults, which happen when the two sides of the fault slide past one another horizontally and cause earthquakes. </w:t>
      </w:r>
      <w:r w:rsidR="004A51C8" w:rsidRPr="006E5EE9">
        <w:rPr>
          <w:rFonts w:ascii="Palatino Linotype" w:hAnsi="Palatino Linotype"/>
        </w:rPr>
        <w:t xml:space="preserve">The earthquake affected southern and central Turkey as well as northern and western Syria on February 6, 2023, at 04:17 TRT (01:17 UTC). The epicentre was located 23 miles (37 km) west-northwest of Gaziantep. At 13:24, a Mw 7.7 earthquake struck in its wake. The second quake's </w:t>
      </w:r>
      <w:r w:rsidR="004A51C8" w:rsidRPr="006E5EE9">
        <w:rPr>
          <w:rFonts w:ascii="Palatino Linotype" w:hAnsi="Palatino Linotype"/>
        </w:rPr>
        <w:lastRenderedPageBreak/>
        <w:t>centre was 95 kilometres (59 miles) to the north-northeast of the first. There was</w:t>
      </w:r>
      <w:r w:rsidR="009E1C3A" w:rsidRPr="006E5EE9">
        <w:rPr>
          <w:rFonts w:ascii="Palatino Linotype" w:hAnsi="Palatino Linotype"/>
        </w:rPr>
        <w:t xml:space="preserve"> </w:t>
      </w:r>
      <w:r w:rsidR="004A51C8" w:rsidRPr="006E5EE9">
        <w:rPr>
          <w:rFonts w:ascii="Palatino Linotype" w:hAnsi="Palatino Linotype"/>
        </w:rPr>
        <w:t xml:space="preserve">significant devastation, and thousands of </w:t>
      </w:r>
      <w:r w:rsidR="00295D22" w:rsidRPr="006E5EE9">
        <w:rPr>
          <w:rFonts w:ascii="Palatino Linotype" w:hAnsi="Palatino Linotype"/>
          <w:noProof/>
        </w:rPr>
        <w:drawing>
          <wp:anchor distT="0" distB="0" distL="114300" distR="114300" simplePos="0" relativeHeight="251658240" behindDoc="0" locked="0" layoutInCell="1" allowOverlap="1" wp14:anchorId="78BC9377" wp14:editId="1DBCFF3A">
            <wp:simplePos x="0" y="0"/>
            <wp:positionH relativeFrom="margin">
              <wp:align>right</wp:align>
            </wp:positionH>
            <wp:positionV relativeFrom="paragraph">
              <wp:posOffset>1369971</wp:posOffset>
            </wp:positionV>
            <wp:extent cx="5720080" cy="4293870"/>
            <wp:effectExtent l="19050" t="19050" r="13970" b="11430"/>
            <wp:wrapSquare wrapText="bothSides"/>
            <wp:docPr id="19281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333" name="Picture 19281333"/>
                    <pic:cNvPicPr/>
                  </pic:nvPicPr>
                  <pic:blipFill>
                    <a:blip r:embed="rId12">
                      <a:extLst>
                        <a:ext uri="{28A0092B-C50C-407E-A947-70E740481C1C}">
                          <a14:useLocalDpi xmlns:a14="http://schemas.microsoft.com/office/drawing/2010/main" val="0"/>
                        </a:ext>
                      </a:extLst>
                    </a:blip>
                    <a:stretch>
                      <a:fillRect/>
                    </a:stretch>
                  </pic:blipFill>
                  <pic:spPr>
                    <a:xfrm>
                      <a:off x="0" y="0"/>
                      <a:ext cx="5720080" cy="4293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A51C8" w:rsidRPr="006E5EE9">
        <w:rPr>
          <w:rFonts w:ascii="Palatino Linotype" w:hAnsi="Palatino Linotype"/>
        </w:rPr>
        <w:t>people died.</w:t>
      </w:r>
      <w:r w:rsidR="004A51C8" w:rsidRPr="006E5EE9">
        <w:t xml:space="preserve"> </w:t>
      </w:r>
    </w:p>
    <w:p w14:paraId="708DFAA0" w14:textId="77777777" w:rsidR="00862305" w:rsidRPr="006E5EE9" w:rsidRDefault="00862305" w:rsidP="00FC2B00">
      <w:pPr>
        <w:spacing w:line="276" w:lineRule="auto"/>
        <w:jc w:val="both"/>
      </w:pPr>
    </w:p>
    <w:p w14:paraId="4B7D81DC" w14:textId="40DCC568" w:rsidR="00822668" w:rsidRPr="006E5EE9" w:rsidRDefault="00822668" w:rsidP="00FC2B00">
      <w:pPr>
        <w:spacing w:line="276" w:lineRule="auto"/>
        <w:jc w:val="both"/>
        <w:rPr>
          <w:rFonts w:ascii="Palatino Linotype" w:hAnsi="Palatino Linotype"/>
        </w:rPr>
      </w:pPr>
      <w:r w:rsidRPr="006E5EE9">
        <w:t xml:space="preserve">PICTURE 1. </w:t>
      </w:r>
      <w:r w:rsidR="005E68BE" w:rsidRPr="006E5EE9">
        <w:t>Regional Seismicity Map: Turkey [2019-2023]</w:t>
      </w:r>
    </w:p>
    <w:p w14:paraId="517F6D84" w14:textId="13573293" w:rsidR="0066275C" w:rsidRPr="006E5EE9" w:rsidRDefault="0066275C" w:rsidP="00FC2B00">
      <w:pPr>
        <w:spacing w:line="276" w:lineRule="auto"/>
        <w:jc w:val="both"/>
        <w:rPr>
          <w:rFonts w:ascii="Palatino Linotype" w:hAnsi="Palatino Linotype"/>
        </w:rPr>
      </w:pPr>
    </w:p>
    <w:p w14:paraId="3143517D" w14:textId="4B673CE0" w:rsidR="0066275C" w:rsidRPr="006E5EE9" w:rsidRDefault="0066275C" w:rsidP="00FC2B00">
      <w:pPr>
        <w:spacing w:line="276" w:lineRule="auto"/>
        <w:jc w:val="both"/>
        <w:rPr>
          <w:rFonts w:ascii="Palatino Linotype" w:hAnsi="Palatino Linotype"/>
        </w:rPr>
      </w:pPr>
    </w:p>
    <w:p w14:paraId="19C7B937" w14:textId="6E4FEF90" w:rsidR="00FC2B00" w:rsidRPr="006E5EE9" w:rsidRDefault="00822095" w:rsidP="00FC2B00">
      <w:pPr>
        <w:rPr>
          <w:rFonts w:ascii="Palatino Linotype" w:hAnsi="Palatino Linotype"/>
          <w:b/>
          <w:bCs/>
          <w:sz w:val="24"/>
          <w:szCs w:val="24"/>
          <w:lang w:val="en-US"/>
        </w:rPr>
      </w:pPr>
      <w:r w:rsidRPr="006E5EE9">
        <w:rPr>
          <w:rFonts w:ascii="Palatino Linotype" w:hAnsi="Palatino Linotype"/>
          <w:b/>
          <w:bCs/>
          <w:sz w:val="24"/>
          <w:szCs w:val="24"/>
          <w:lang w:val="en-US"/>
        </w:rPr>
        <w:t>DATASET &amp; METHODOLOGY</w:t>
      </w:r>
    </w:p>
    <w:p w14:paraId="0A9E9C1D" w14:textId="323C7644" w:rsidR="00822095" w:rsidRPr="006E5EE9" w:rsidRDefault="00822095" w:rsidP="00822095">
      <w:pPr>
        <w:jc w:val="both"/>
        <w:rPr>
          <w:rFonts w:ascii="Palatino Linotype" w:hAnsi="Palatino Linotype"/>
          <w:b/>
          <w:bCs/>
          <w:i/>
          <w:iCs/>
        </w:rPr>
      </w:pPr>
      <w:r w:rsidRPr="006E5EE9">
        <w:rPr>
          <w:rFonts w:ascii="Palatino Linotype" w:hAnsi="Palatino Linotype"/>
          <w:b/>
          <w:bCs/>
          <w:i/>
          <w:iCs/>
        </w:rPr>
        <w:t>Total Electron Content</w:t>
      </w:r>
    </w:p>
    <w:p w14:paraId="4146B8F4" w14:textId="77777777" w:rsidR="00295D22" w:rsidRPr="006E5EE9" w:rsidRDefault="00822095" w:rsidP="00822095">
      <w:pPr>
        <w:jc w:val="both"/>
        <w:rPr>
          <w:rFonts w:ascii="Palatino Linotype" w:hAnsi="Palatino Linotype"/>
        </w:rPr>
      </w:pPr>
      <w:r w:rsidRPr="006E5EE9">
        <w:rPr>
          <w:rFonts w:ascii="Palatino Linotype" w:hAnsi="Palatino Linotype"/>
        </w:rPr>
        <w:t xml:space="preserve">As an additional GNSS observational product, global ionosphere maps (GIM) are regularly produced by analysing the so-called geometry-free linear combination, which contains data on ionospheric refraction through a series of spherical harmonics using a single-layer model in a </w:t>
      </w:r>
      <w:r w:rsidRPr="006E5EE9">
        <w:rPr>
          <w:rFonts w:ascii="Palatino Linotype" w:hAnsi="Palatino Linotype"/>
        </w:rPr>
        <w:t xml:space="preserve">Sun-fixed reference system (Schaer et al., 1995). It makes use of ionosphere-related range delays. The </w:t>
      </w:r>
      <w:proofErr w:type="spellStart"/>
      <w:r w:rsidRPr="006E5EE9">
        <w:rPr>
          <w:rFonts w:ascii="Palatino Linotype" w:hAnsi="Palatino Linotype"/>
        </w:rPr>
        <w:t>Center</w:t>
      </w:r>
      <w:proofErr w:type="spellEnd"/>
      <w:r w:rsidRPr="006E5EE9">
        <w:rPr>
          <w:rFonts w:ascii="Palatino Linotype" w:hAnsi="Palatino Linotype"/>
        </w:rPr>
        <w:t xml:space="preserve"> for Orbit Determination in Europe (CODE) GIM file exchange format, which represents TEC in </w:t>
      </w:r>
    </w:p>
    <w:p w14:paraId="112A2EFA" w14:textId="77777777" w:rsidR="00295D22" w:rsidRPr="006E5EE9" w:rsidRDefault="00295D22" w:rsidP="00822095">
      <w:pPr>
        <w:jc w:val="both"/>
        <w:rPr>
          <w:rFonts w:ascii="Palatino Linotype" w:hAnsi="Palatino Linotype"/>
        </w:rPr>
      </w:pPr>
    </w:p>
    <w:p w14:paraId="7F461A95" w14:textId="77777777" w:rsidR="00295D22" w:rsidRPr="006E5EE9" w:rsidRDefault="00295D22" w:rsidP="00822095">
      <w:pPr>
        <w:jc w:val="both"/>
        <w:rPr>
          <w:rFonts w:ascii="Palatino Linotype" w:hAnsi="Palatino Linotype"/>
        </w:rPr>
      </w:pPr>
    </w:p>
    <w:p w14:paraId="4CC88400" w14:textId="77777777" w:rsidR="00295D22" w:rsidRPr="006E5EE9" w:rsidRDefault="00295D22" w:rsidP="00822095">
      <w:pPr>
        <w:jc w:val="both"/>
        <w:rPr>
          <w:rFonts w:ascii="Palatino Linotype" w:hAnsi="Palatino Linotype"/>
        </w:rPr>
      </w:pPr>
    </w:p>
    <w:p w14:paraId="24FD2DC6" w14:textId="77777777" w:rsidR="00295D22" w:rsidRPr="006E5EE9" w:rsidRDefault="00295D22" w:rsidP="00822095">
      <w:pPr>
        <w:jc w:val="both"/>
        <w:rPr>
          <w:rFonts w:ascii="Palatino Linotype" w:hAnsi="Palatino Linotype"/>
        </w:rPr>
      </w:pPr>
    </w:p>
    <w:p w14:paraId="7A9904ED" w14:textId="437CC778" w:rsidR="00822095" w:rsidRPr="006E5EE9" w:rsidRDefault="00822095" w:rsidP="00822095">
      <w:pPr>
        <w:jc w:val="both"/>
        <w:rPr>
          <w:rFonts w:ascii="Palatino Linotype" w:hAnsi="Palatino Linotype"/>
        </w:rPr>
      </w:pPr>
      <w:r w:rsidRPr="006E5EE9">
        <w:rPr>
          <w:rFonts w:ascii="Palatino Linotype" w:hAnsi="Palatino Linotype"/>
        </w:rPr>
        <w:t xml:space="preserve">the geographical grid with a spatial resolution of 2.5° (latitude) 5° (longitude) points, with a temporal resolution of 1 hour was introduced in 1998. NASA also regularly provides the same information to an anonymous ftp server (ftp:/cddis.gsfc.nasa.gov). By interpolating all of the regional data obtained at more than 280 IGS stations utilising more than 50 GNSS (Global Navigation Satellite Systems) satellites, it is possible to obtain </w:t>
      </w:r>
      <w:r w:rsidRPr="006E5EE9">
        <w:rPr>
          <w:rFonts w:ascii="Palatino Linotype" w:hAnsi="Palatino Linotype"/>
        </w:rPr>
        <w:lastRenderedPageBreak/>
        <w:t>TEC readings for the entire planet (</w:t>
      </w:r>
      <w:proofErr w:type="spellStart"/>
      <w:r w:rsidRPr="006E5EE9">
        <w:rPr>
          <w:rFonts w:ascii="Palatino Linotype" w:hAnsi="Palatino Linotype"/>
        </w:rPr>
        <w:t>Thammaboribal</w:t>
      </w:r>
      <w:proofErr w:type="spellEnd"/>
      <w:r w:rsidRPr="006E5EE9">
        <w:rPr>
          <w:rFonts w:ascii="Palatino Linotype" w:hAnsi="Palatino Linotype"/>
        </w:rPr>
        <w:t xml:space="preserve"> et al., 2022). The data is presented in IONEX format and contains the TEC values for each grid point (71 X 73=5183), the grid point's geographic coordinates, and the time stamp of the observation. The work was done by using collected data continuously for forty-five days before the earthquake. The data used in the present study is accessible to the public through the server hosted at http://ftp.aiub.unibe.ch/. The data provides the ionospheric variation of TEC for the 24 epochs in a day, allowing investigation of the ionospheric TEC variations over the globe with spatial variations as well as over the near epicentre areas. </w:t>
      </w:r>
    </w:p>
    <w:p w14:paraId="3256CC81" w14:textId="05FE382E" w:rsidR="00822095" w:rsidRPr="006E5EE9" w:rsidRDefault="00822095" w:rsidP="00822095">
      <w:pPr>
        <w:jc w:val="both"/>
        <w:rPr>
          <w:rFonts w:ascii="Palatino Linotype" w:hAnsi="Palatino Linotype"/>
          <w:b/>
          <w:bCs/>
          <w:i/>
          <w:iCs/>
        </w:rPr>
      </w:pPr>
      <w:r w:rsidRPr="006E5EE9">
        <w:rPr>
          <w:rFonts w:ascii="Palatino Linotype" w:hAnsi="Palatino Linotype"/>
          <w:b/>
          <w:bCs/>
          <w:i/>
          <w:iCs/>
        </w:rPr>
        <w:t>Geomagnetic storm and solar activity</w:t>
      </w:r>
    </w:p>
    <w:p w14:paraId="3800B5E6" w14:textId="6362FB79" w:rsidR="00822095" w:rsidRPr="006E5EE9" w:rsidRDefault="00822095" w:rsidP="00822095">
      <w:pPr>
        <w:jc w:val="both"/>
        <w:rPr>
          <w:rFonts w:ascii="Palatino Linotype" w:hAnsi="Palatino Linotype"/>
        </w:rPr>
      </w:pPr>
      <w:r w:rsidRPr="006E5EE9">
        <w:rPr>
          <w:rFonts w:ascii="Palatino Linotype" w:hAnsi="Palatino Linotype"/>
        </w:rPr>
        <w:t xml:space="preserve">TEC measurements can be significantly impacted by solar and magnetic storms. TEC variations can occur when the sun discharges a rush of charged particles, such as electrons and protons, during a solar storm. A rise in electron density may result in an increase in TEC, whereas a fall in electron density may result in a fall in TEC. While TEC measurements can also be impacted by solar winds, magnetic storms happen when the Earth's geomagnetic field is perturbed. During a magnetic storm, the Earth's magnetic field may become perturbed, which may lead to changes in the ionosphere's electron density and, as a result, changes in TEC (Dutta et al., 2019). The level of both phenomena on anomalous days must be studied in order to determine if the TEC anomaly is caused by such phenomena or the earthquake preparation process. The severity of the geomagnetic storm, the condition of the ionosphere, and the location and time of the observation are some of the variables </w:t>
      </w:r>
      <w:r w:rsidRPr="006E5EE9">
        <w:rPr>
          <w:rFonts w:ascii="Palatino Linotype" w:hAnsi="Palatino Linotype"/>
        </w:rPr>
        <w:t xml:space="preserve">that might affect the complex relationship between the TEC and indices. However, because of the electric field and ionospheric plasma redistribution, it is generally assumed that the TEC values will rise during a geomagnetic storm. </w:t>
      </w:r>
      <w:r w:rsidR="00BF6C0A" w:rsidRPr="006E5EE9">
        <w:rPr>
          <w:rFonts w:ascii="Palatino Linotype" w:hAnsi="Palatino Linotype"/>
        </w:rPr>
        <w:t>In order to exclude the influence of geomagnetic storms and solar activities from the ionospheric disturbance, the levels of such phenomena were monitored from the server</w:t>
      </w:r>
      <w:r w:rsidR="00BF6C0A" w:rsidRPr="006E5EE9">
        <w:t xml:space="preserve"> </w:t>
      </w:r>
      <w:r w:rsidR="00BF6C0A" w:rsidRPr="006E5EE9">
        <w:rPr>
          <w:rFonts w:ascii="Palatino Linotype" w:hAnsi="Palatino Linotype"/>
        </w:rPr>
        <w:t xml:space="preserve">https://omniweb.gsfc.nasa.gov/. The NSSDC OMNI data set can be browsed and retrieved using </w:t>
      </w:r>
      <w:proofErr w:type="spellStart"/>
      <w:r w:rsidR="00BF6C0A" w:rsidRPr="006E5EE9">
        <w:rPr>
          <w:rFonts w:ascii="Palatino Linotype" w:hAnsi="Palatino Linotype"/>
        </w:rPr>
        <w:t>OMNIWeb</w:t>
      </w:r>
      <w:proofErr w:type="spellEnd"/>
      <w:r w:rsidR="00BF6C0A" w:rsidRPr="006E5EE9">
        <w:rPr>
          <w:rFonts w:ascii="Palatino Linotype" w:hAnsi="Palatino Linotype"/>
        </w:rPr>
        <w:t>, a Web-based tool. The default access resolution for the data is stored as hourly averaged values (24 records per day).</w:t>
      </w:r>
    </w:p>
    <w:p w14:paraId="42CE14A9" w14:textId="6583D624" w:rsidR="004B4778" w:rsidRPr="006E5EE9" w:rsidRDefault="004B4778" w:rsidP="00822095">
      <w:pPr>
        <w:jc w:val="both"/>
        <w:rPr>
          <w:rFonts w:ascii="Palatino Linotype" w:hAnsi="Palatino Linotype"/>
        </w:rPr>
      </w:pPr>
      <w:r w:rsidRPr="006E5EE9">
        <w:rPr>
          <w:rFonts w:ascii="Palatino Linotype" w:hAnsi="Palatino Linotype"/>
        </w:rPr>
        <w:t>CHART 1.</w:t>
      </w:r>
      <w:r w:rsidR="005E68BE" w:rsidRPr="006E5EE9">
        <w:rPr>
          <w:rFonts w:ascii="Palatino Linotype" w:hAnsi="Palatino Linotype"/>
        </w:rPr>
        <w:t xml:space="preserve"> Solar and Geomagnetic Activity Classification by Space Weather Indices </w:t>
      </w:r>
    </w:p>
    <w:tbl>
      <w:tblPr>
        <w:tblStyle w:val="TableGrid"/>
        <w:tblW w:w="0" w:type="auto"/>
        <w:jc w:val="center"/>
        <w:tblLook w:val="04A0" w:firstRow="1" w:lastRow="0" w:firstColumn="1" w:lastColumn="0" w:noHBand="0" w:noVBand="1"/>
      </w:tblPr>
      <w:tblGrid>
        <w:gridCol w:w="886"/>
        <w:gridCol w:w="608"/>
        <w:gridCol w:w="1053"/>
        <w:gridCol w:w="886"/>
        <w:gridCol w:w="716"/>
      </w:tblGrid>
      <w:tr w:rsidR="00BF6C0A" w:rsidRPr="006E5EE9" w14:paraId="11321658" w14:textId="77777777" w:rsidTr="00822668">
        <w:trPr>
          <w:trHeight w:val="437"/>
          <w:jc w:val="center"/>
        </w:trPr>
        <w:tc>
          <w:tcPr>
            <w:tcW w:w="886" w:type="dxa"/>
          </w:tcPr>
          <w:p w14:paraId="163AA081" w14:textId="69DE0DF9" w:rsidR="00BF6C0A" w:rsidRPr="006E5EE9" w:rsidRDefault="00BF6C0A" w:rsidP="00822095">
            <w:pPr>
              <w:jc w:val="both"/>
              <w:rPr>
                <w:rFonts w:ascii="Palatino Linotype" w:hAnsi="Palatino Linotype"/>
                <w:b/>
                <w:bCs/>
                <w:i/>
                <w:iCs/>
                <w:sz w:val="16"/>
                <w:szCs w:val="16"/>
              </w:rPr>
            </w:pPr>
            <w:r w:rsidRPr="006E5EE9">
              <w:rPr>
                <w:rFonts w:ascii="Palatino Linotype" w:hAnsi="Palatino Linotype"/>
                <w:b/>
                <w:bCs/>
                <w:i/>
                <w:iCs/>
                <w:sz w:val="16"/>
                <w:szCs w:val="16"/>
              </w:rPr>
              <w:t>Weather</w:t>
            </w:r>
          </w:p>
        </w:tc>
        <w:tc>
          <w:tcPr>
            <w:tcW w:w="608" w:type="dxa"/>
          </w:tcPr>
          <w:p w14:paraId="622C2D22" w14:textId="426D0B59" w:rsidR="00BF6C0A" w:rsidRPr="006E5EE9" w:rsidRDefault="00BF6C0A" w:rsidP="00822095">
            <w:pPr>
              <w:jc w:val="both"/>
              <w:rPr>
                <w:rFonts w:ascii="Palatino Linotype" w:hAnsi="Palatino Linotype"/>
                <w:b/>
                <w:bCs/>
                <w:i/>
                <w:iCs/>
                <w:sz w:val="16"/>
                <w:szCs w:val="16"/>
              </w:rPr>
            </w:pPr>
            <w:proofErr w:type="spellStart"/>
            <w:r w:rsidRPr="006E5EE9">
              <w:rPr>
                <w:rFonts w:ascii="Palatino Linotype" w:hAnsi="Palatino Linotype"/>
                <w:b/>
                <w:bCs/>
                <w:i/>
                <w:iCs/>
                <w:sz w:val="16"/>
                <w:szCs w:val="16"/>
              </w:rPr>
              <w:t>Kp</w:t>
            </w:r>
            <w:proofErr w:type="spellEnd"/>
            <w:r w:rsidRPr="006E5EE9">
              <w:rPr>
                <w:rFonts w:ascii="Palatino Linotype" w:hAnsi="Palatino Linotype"/>
                <w:b/>
                <w:bCs/>
                <w:i/>
                <w:iCs/>
                <w:sz w:val="16"/>
                <w:szCs w:val="16"/>
              </w:rPr>
              <w:t xml:space="preserve"> Index</w:t>
            </w:r>
          </w:p>
        </w:tc>
        <w:tc>
          <w:tcPr>
            <w:tcW w:w="1053" w:type="dxa"/>
          </w:tcPr>
          <w:p w14:paraId="53CC5B00" w14:textId="16E2CCFF" w:rsidR="00BF6C0A" w:rsidRPr="006E5EE9" w:rsidRDefault="00BF6C0A" w:rsidP="00822095">
            <w:pPr>
              <w:jc w:val="both"/>
              <w:rPr>
                <w:rFonts w:ascii="Palatino Linotype" w:hAnsi="Palatino Linotype"/>
                <w:b/>
                <w:bCs/>
                <w:i/>
                <w:iCs/>
                <w:sz w:val="16"/>
                <w:szCs w:val="16"/>
              </w:rPr>
            </w:pPr>
            <w:proofErr w:type="spellStart"/>
            <w:r w:rsidRPr="006E5EE9">
              <w:rPr>
                <w:rFonts w:ascii="Palatino Linotype" w:hAnsi="Palatino Linotype"/>
                <w:b/>
                <w:bCs/>
                <w:i/>
                <w:iCs/>
                <w:sz w:val="16"/>
                <w:szCs w:val="16"/>
              </w:rPr>
              <w:t>Dst</w:t>
            </w:r>
            <w:proofErr w:type="spellEnd"/>
            <w:r w:rsidRPr="006E5EE9">
              <w:rPr>
                <w:rFonts w:ascii="Palatino Linotype" w:hAnsi="Palatino Linotype"/>
                <w:b/>
                <w:bCs/>
                <w:i/>
                <w:iCs/>
                <w:sz w:val="16"/>
                <w:szCs w:val="16"/>
              </w:rPr>
              <w:t xml:space="preserve"> Index</w:t>
            </w:r>
          </w:p>
        </w:tc>
        <w:tc>
          <w:tcPr>
            <w:tcW w:w="886" w:type="dxa"/>
          </w:tcPr>
          <w:p w14:paraId="61CBED2F" w14:textId="0C5E670B" w:rsidR="00BF6C0A" w:rsidRPr="006E5EE9" w:rsidRDefault="00BF6C0A" w:rsidP="00822095">
            <w:pPr>
              <w:jc w:val="both"/>
              <w:rPr>
                <w:rFonts w:ascii="Palatino Linotype" w:hAnsi="Palatino Linotype"/>
                <w:b/>
                <w:bCs/>
                <w:i/>
                <w:iCs/>
                <w:sz w:val="16"/>
                <w:szCs w:val="16"/>
              </w:rPr>
            </w:pPr>
            <w:r w:rsidRPr="006E5EE9">
              <w:rPr>
                <w:rFonts w:ascii="Palatino Linotype" w:hAnsi="Palatino Linotype"/>
                <w:b/>
                <w:bCs/>
                <w:i/>
                <w:iCs/>
                <w:sz w:val="16"/>
                <w:szCs w:val="16"/>
              </w:rPr>
              <w:t>Ap Index</w:t>
            </w:r>
          </w:p>
        </w:tc>
        <w:tc>
          <w:tcPr>
            <w:tcW w:w="716" w:type="dxa"/>
          </w:tcPr>
          <w:p w14:paraId="67570A46" w14:textId="05AE4FEB" w:rsidR="00BF6C0A" w:rsidRPr="006E5EE9" w:rsidRDefault="00BF6C0A" w:rsidP="00822095">
            <w:pPr>
              <w:jc w:val="both"/>
              <w:rPr>
                <w:rFonts w:ascii="Palatino Linotype" w:hAnsi="Palatino Linotype"/>
                <w:b/>
                <w:bCs/>
                <w:i/>
                <w:iCs/>
                <w:sz w:val="16"/>
                <w:szCs w:val="16"/>
              </w:rPr>
            </w:pPr>
            <w:r w:rsidRPr="006E5EE9">
              <w:rPr>
                <w:rFonts w:ascii="Palatino Linotype" w:hAnsi="Palatino Linotype"/>
                <w:b/>
                <w:bCs/>
                <w:i/>
                <w:iCs/>
                <w:sz w:val="16"/>
                <w:szCs w:val="16"/>
              </w:rPr>
              <w:t>F10.7 Index</w:t>
            </w:r>
          </w:p>
        </w:tc>
      </w:tr>
      <w:tr w:rsidR="00BF6C0A" w:rsidRPr="006E5EE9" w14:paraId="7C88ABE9" w14:textId="77777777" w:rsidTr="00822668">
        <w:trPr>
          <w:trHeight w:val="428"/>
          <w:jc w:val="center"/>
        </w:trPr>
        <w:tc>
          <w:tcPr>
            <w:tcW w:w="886" w:type="dxa"/>
          </w:tcPr>
          <w:p w14:paraId="498FEB8F" w14:textId="0085DDD6"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Quiet</w:t>
            </w:r>
          </w:p>
        </w:tc>
        <w:tc>
          <w:tcPr>
            <w:tcW w:w="608" w:type="dxa"/>
          </w:tcPr>
          <w:p w14:paraId="314CB2A1" w14:textId="7B4E8771"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0-1</w:t>
            </w:r>
          </w:p>
        </w:tc>
        <w:tc>
          <w:tcPr>
            <w:tcW w:w="1053" w:type="dxa"/>
          </w:tcPr>
          <w:p w14:paraId="666D909F" w14:textId="05754438"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&gt;(-20nT)</w:t>
            </w:r>
          </w:p>
        </w:tc>
        <w:tc>
          <w:tcPr>
            <w:tcW w:w="886" w:type="dxa"/>
          </w:tcPr>
          <w:p w14:paraId="1451FE34" w14:textId="4B009A5F"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&lt; 5</w:t>
            </w:r>
          </w:p>
        </w:tc>
        <w:tc>
          <w:tcPr>
            <w:tcW w:w="716" w:type="dxa"/>
          </w:tcPr>
          <w:p w14:paraId="2891CD96" w14:textId="3422025A"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&lt;70</w:t>
            </w:r>
          </w:p>
        </w:tc>
      </w:tr>
      <w:tr w:rsidR="00BF6C0A" w:rsidRPr="006E5EE9" w14:paraId="770660A8" w14:textId="77777777" w:rsidTr="00822668">
        <w:trPr>
          <w:trHeight w:val="437"/>
          <w:jc w:val="center"/>
        </w:trPr>
        <w:tc>
          <w:tcPr>
            <w:tcW w:w="886" w:type="dxa"/>
          </w:tcPr>
          <w:p w14:paraId="4E5035D0" w14:textId="77777777"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Unsettled/</w:t>
            </w:r>
          </w:p>
          <w:p w14:paraId="40072534" w14:textId="77777777"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 xml:space="preserve">Slightly </w:t>
            </w:r>
          </w:p>
          <w:p w14:paraId="2238013B" w14:textId="762D3996"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Active</w:t>
            </w:r>
          </w:p>
        </w:tc>
        <w:tc>
          <w:tcPr>
            <w:tcW w:w="608" w:type="dxa"/>
          </w:tcPr>
          <w:p w14:paraId="59940A60" w14:textId="41BEF333"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2-3</w:t>
            </w:r>
          </w:p>
        </w:tc>
        <w:tc>
          <w:tcPr>
            <w:tcW w:w="1053" w:type="dxa"/>
          </w:tcPr>
          <w:p w14:paraId="1F5EEBD4" w14:textId="77AE99FE"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(-20nT) - (50nT)</w:t>
            </w:r>
          </w:p>
        </w:tc>
        <w:tc>
          <w:tcPr>
            <w:tcW w:w="886" w:type="dxa"/>
          </w:tcPr>
          <w:p w14:paraId="1789ED86" w14:textId="6CC78924"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5 – 15</w:t>
            </w:r>
          </w:p>
        </w:tc>
        <w:tc>
          <w:tcPr>
            <w:tcW w:w="716" w:type="dxa"/>
          </w:tcPr>
          <w:p w14:paraId="2169E86D" w14:textId="77777777" w:rsidR="00BF6C0A" w:rsidRPr="006E5EE9" w:rsidRDefault="00BF6C0A" w:rsidP="00822095">
            <w:pPr>
              <w:jc w:val="both"/>
              <w:rPr>
                <w:rFonts w:ascii="Palatino Linotype" w:hAnsi="Palatino Linotype"/>
                <w:i/>
                <w:iCs/>
                <w:sz w:val="16"/>
                <w:szCs w:val="16"/>
              </w:rPr>
            </w:pPr>
          </w:p>
        </w:tc>
      </w:tr>
      <w:tr w:rsidR="00BF6C0A" w:rsidRPr="006E5EE9" w14:paraId="3E5011D6" w14:textId="77777777" w:rsidTr="00822668">
        <w:trPr>
          <w:trHeight w:val="865"/>
          <w:jc w:val="center"/>
        </w:trPr>
        <w:tc>
          <w:tcPr>
            <w:tcW w:w="886" w:type="dxa"/>
          </w:tcPr>
          <w:p w14:paraId="0508E551" w14:textId="77777777"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Active/</w:t>
            </w:r>
          </w:p>
          <w:p w14:paraId="4AB6FCAD" w14:textId="0DAAEFEC"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Moderate</w:t>
            </w:r>
          </w:p>
        </w:tc>
        <w:tc>
          <w:tcPr>
            <w:tcW w:w="608" w:type="dxa"/>
          </w:tcPr>
          <w:p w14:paraId="69084533" w14:textId="666BE1FD"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4-5</w:t>
            </w:r>
          </w:p>
        </w:tc>
        <w:tc>
          <w:tcPr>
            <w:tcW w:w="1053" w:type="dxa"/>
          </w:tcPr>
          <w:p w14:paraId="7D5392E2" w14:textId="429E8A27"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(-50</w:t>
            </w:r>
            <w:proofErr w:type="gramStart"/>
            <w:r w:rsidRPr="006E5EE9">
              <w:rPr>
                <w:rFonts w:ascii="Palatino Linotype" w:hAnsi="Palatino Linotype"/>
                <w:i/>
                <w:iCs/>
                <w:sz w:val="16"/>
                <w:szCs w:val="16"/>
              </w:rPr>
              <w:t>nT)-(</w:t>
            </w:r>
            <w:proofErr w:type="gramEnd"/>
            <w:r w:rsidRPr="006E5EE9">
              <w:rPr>
                <w:rFonts w:ascii="Palatino Linotype" w:hAnsi="Palatino Linotype"/>
                <w:i/>
                <w:iCs/>
                <w:sz w:val="16"/>
                <w:szCs w:val="16"/>
              </w:rPr>
              <w:t>-100nT)</w:t>
            </w:r>
          </w:p>
        </w:tc>
        <w:tc>
          <w:tcPr>
            <w:tcW w:w="886" w:type="dxa"/>
          </w:tcPr>
          <w:p w14:paraId="0A36F4BF" w14:textId="0925E428"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15 – 30</w:t>
            </w:r>
          </w:p>
        </w:tc>
        <w:tc>
          <w:tcPr>
            <w:tcW w:w="716" w:type="dxa"/>
          </w:tcPr>
          <w:p w14:paraId="7957F49D" w14:textId="5EA46E12"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70-120</w:t>
            </w:r>
          </w:p>
        </w:tc>
      </w:tr>
      <w:tr w:rsidR="00BF6C0A" w:rsidRPr="006E5EE9" w14:paraId="7AFF5CD7" w14:textId="77777777" w:rsidTr="00822668">
        <w:trPr>
          <w:trHeight w:val="865"/>
          <w:jc w:val="center"/>
        </w:trPr>
        <w:tc>
          <w:tcPr>
            <w:tcW w:w="886" w:type="dxa"/>
          </w:tcPr>
          <w:p w14:paraId="626CDE0E" w14:textId="77777777"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Minor</w:t>
            </w:r>
          </w:p>
          <w:p w14:paraId="20C920AD" w14:textId="5346E931"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Storm</w:t>
            </w:r>
          </w:p>
        </w:tc>
        <w:tc>
          <w:tcPr>
            <w:tcW w:w="608" w:type="dxa"/>
          </w:tcPr>
          <w:p w14:paraId="5EF74FD5" w14:textId="51A3CCAC"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6-7</w:t>
            </w:r>
          </w:p>
        </w:tc>
        <w:tc>
          <w:tcPr>
            <w:tcW w:w="1053" w:type="dxa"/>
          </w:tcPr>
          <w:p w14:paraId="50BE870E" w14:textId="5A135152"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(-100</w:t>
            </w:r>
            <w:proofErr w:type="gramStart"/>
            <w:r w:rsidRPr="006E5EE9">
              <w:rPr>
                <w:rFonts w:ascii="Palatino Linotype" w:hAnsi="Palatino Linotype"/>
                <w:i/>
                <w:iCs/>
                <w:sz w:val="16"/>
                <w:szCs w:val="16"/>
              </w:rPr>
              <w:t>nT)-(</w:t>
            </w:r>
            <w:proofErr w:type="gramEnd"/>
            <w:r w:rsidRPr="006E5EE9">
              <w:rPr>
                <w:rFonts w:ascii="Palatino Linotype" w:hAnsi="Palatino Linotype"/>
                <w:i/>
                <w:iCs/>
                <w:sz w:val="16"/>
                <w:szCs w:val="16"/>
              </w:rPr>
              <w:t>-250nT)</w:t>
            </w:r>
          </w:p>
        </w:tc>
        <w:tc>
          <w:tcPr>
            <w:tcW w:w="886" w:type="dxa"/>
          </w:tcPr>
          <w:p w14:paraId="384FF469" w14:textId="39D87D0A"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30 – 50</w:t>
            </w:r>
          </w:p>
        </w:tc>
        <w:tc>
          <w:tcPr>
            <w:tcW w:w="716" w:type="dxa"/>
          </w:tcPr>
          <w:p w14:paraId="6E602F31" w14:textId="77777777" w:rsidR="00BF6C0A" w:rsidRPr="006E5EE9" w:rsidRDefault="00BF6C0A" w:rsidP="00822095">
            <w:pPr>
              <w:jc w:val="both"/>
              <w:rPr>
                <w:rFonts w:ascii="Palatino Linotype" w:hAnsi="Palatino Linotype"/>
                <w:i/>
                <w:iCs/>
                <w:sz w:val="16"/>
                <w:szCs w:val="16"/>
              </w:rPr>
            </w:pPr>
          </w:p>
        </w:tc>
      </w:tr>
      <w:tr w:rsidR="00BF6C0A" w:rsidRPr="006E5EE9" w14:paraId="2EE57EFC" w14:textId="77777777" w:rsidTr="00822668">
        <w:trPr>
          <w:trHeight w:val="865"/>
          <w:jc w:val="center"/>
        </w:trPr>
        <w:tc>
          <w:tcPr>
            <w:tcW w:w="886" w:type="dxa"/>
          </w:tcPr>
          <w:p w14:paraId="6A731DE8" w14:textId="77777777"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Major/</w:t>
            </w:r>
          </w:p>
          <w:p w14:paraId="75571AD0" w14:textId="3D455E36"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 xml:space="preserve">High </w:t>
            </w:r>
          </w:p>
          <w:p w14:paraId="31998FA1" w14:textId="058FB673"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storm</w:t>
            </w:r>
          </w:p>
        </w:tc>
        <w:tc>
          <w:tcPr>
            <w:tcW w:w="608" w:type="dxa"/>
          </w:tcPr>
          <w:p w14:paraId="6B27E023" w14:textId="0C971B55"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8-9</w:t>
            </w:r>
          </w:p>
        </w:tc>
        <w:tc>
          <w:tcPr>
            <w:tcW w:w="1053" w:type="dxa"/>
          </w:tcPr>
          <w:p w14:paraId="73CE97F2" w14:textId="4DA4B0B5"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(-250</w:t>
            </w:r>
            <w:proofErr w:type="gramStart"/>
            <w:r w:rsidRPr="006E5EE9">
              <w:rPr>
                <w:rFonts w:ascii="Palatino Linotype" w:hAnsi="Palatino Linotype"/>
                <w:i/>
                <w:iCs/>
                <w:sz w:val="16"/>
                <w:szCs w:val="16"/>
              </w:rPr>
              <w:t>nT)-(</w:t>
            </w:r>
            <w:proofErr w:type="gramEnd"/>
            <w:r w:rsidRPr="006E5EE9">
              <w:rPr>
                <w:rFonts w:ascii="Palatino Linotype" w:hAnsi="Palatino Linotype"/>
                <w:i/>
                <w:iCs/>
                <w:sz w:val="16"/>
                <w:szCs w:val="16"/>
              </w:rPr>
              <w:t>-400nT)</w:t>
            </w:r>
          </w:p>
        </w:tc>
        <w:tc>
          <w:tcPr>
            <w:tcW w:w="886" w:type="dxa"/>
          </w:tcPr>
          <w:p w14:paraId="57A81B38" w14:textId="6300860D"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50 – 100</w:t>
            </w:r>
          </w:p>
        </w:tc>
        <w:tc>
          <w:tcPr>
            <w:tcW w:w="716" w:type="dxa"/>
          </w:tcPr>
          <w:p w14:paraId="67291A5E" w14:textId="7747670D"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&gt;120</w:t>
            </w:r>
          </w:p>
        </w:tc>
      </w:tr>
      <w:tr w:rsidR="00BF6C0A" w:rsidRPr="006E5EE9" w14:paraId="34A6A5BA" w14:textId="77777777" w:rsidTr="00822668">
        <w:trPr>
          <w:trHeight w:val="428"/>
          <w:jc w:val="center"/>
        </w:trPr>
        <w:tc>
          <w:tcPr>
            <w:tcW w:w="886" w:type="dxa"/>
          </w:tcPr>
          <w:p w14:paraId="35456689" w14:textId="54E1EDD5"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Severe</w:t>
            </w:r>
          </w:p>
        </w:tc>
        <w:tc>
          <w:tcPr>
            <w:tcW w:w="608" w:type="dxa"/>
          </w:tcPr>
          <w:p w14:paraId="427B5935" w14:textId="77777777" w:rsidR="00BF6C0A" w:rsidRPr="006E5EE9" w:rsidRDefault="00BF6C0A" w:rsidP="00822095">
            <w:pPr>
              <w:jc w:val="both"/>
              <w:rPr>
                <w:rFonts w:ascii="Palatino Linotype" w:hAnsi="Palatino Linotype"/>
                <w:i/>
                <w:iCs/>
                <w:sz w:val="16"/>
                <w:szCs w:val="16"/>
              </w:rPr>
            </w:pPr>
          </w:p>
        </w:tc>
        <w:tc>
          <w:tcPr>
            <w:tcW w:w="1053" w:type="dxa"/>
          </w:tcPr>
          <w:p w14:paraId="111A0C04" w14:textId="0651DA41"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&lt;-400nT</w:t>
            </w:r>
          </w:p>
        </w:tc>
        <w:tc>
          <w:tcPr>
            <w:tcW w:w="886" w:type="dxa"/>
          </w:tcPr>
          <w:p w14:paraId="2F4BAD0D" w14:textId="434E0366" w:rsidR="00BF6C0A" w:rsidRPr="006E5EE9" w:rsidRDefault="00BF6C0A" w:rsidP="00822095">
            <w:pPr>
              <w:jc w:val="both"/>
              <w:rPr>
                <w:rFonts w:ascii="Palatino Linotype" w:hAnsi="Palatino Linotype"/>
                <w:i/>
                <w:iCs/>
                <w:sz w:val="16"/>
                <w:szCs w:val="16"/>
              </w:rPr>
            </w:pPr>
            <w:r w:rsidRPr="006E5EE9">
              <w:rPr>
                <w:rFonts w:ascii="Palatino Linotype" w:hAnsi="Palatino Linotype"/>
                <w:i/>
                <w:iCs/>
                <w:sz w:val="16"/>
                <w:szCs w:val="16"/>
              </w:rPr>
              <w:t>&gt; 100</w:t>
            </w:r>
          </w:p>
        </w:tc>
        <w:tc>
          <w:tcPr>
            <w:tcW w:w="716" w:type="dxa"/>
          </w:tcPr>
          <w:p w14:paraId="053A9D06" w14:textId="77777777" w:rsidR="00BF6C0A" w:rsidRPr="006E5EE9" w:rsidRDefault="00BF6C0A" w:rsidP="00822095">
            <w:pPr>
              <w:jc w:val="both"/>
              <w:rPr>
                <w:rFonts w:ascii="Palatino Linotype" w:hAnsi="Palatino Linotype"/>
                <w:i/>
                <w:iCs/>
                <w:sz w:val="16"/>
                <w:szCs w:val="16"/>
              </w:rPr>
            </w:pPr>
          </w:p>
        </w:tc>
      </w:tr>
    </w:tbl>
    <w:p w14:paraId="62DECED6" w14:textId="77777777" w:rsidR="00BF6C0A" w:rsidRPr="006E5EE9" w:rsidRDefault="00BF6C0A" w:rsidP="00822095">
      <w:pPr>
        <w:jc w:val="both"/>
        <w:rPr>
          <w:rFonts w:ascii="Palatino Linotype" w:hAnsi="Palatino Linotype"/>
        </w:rPr>
      </w:pPr>
    </w:p>
    <w:p w14:paraId="7D060864" w14:textId="2EDA36A9" w:rsidR="00BF6C0A" w:rsidRPr="006E5EE9" w:rsidRDefault="004B4778" w:rsidP="00822095">
      <w:pPr>
        <w:jc w:val="both"/>
        <w:rPr>
          <w:rFonts w:ascii="Palatino Linotype" w:hAnsi="Palatino Linotype"/>
          <w:b/>
          <w:bCs/>
          <w:i/>
          <w:iCs/>
          <w:lang w:val="en-US"/>
        </w:rPr>
      </w:pPr>
      <w:r w:rsidRPr="006E5EE9">
        <w:rPr>
          <w:rFonts w:ascii="Palatino Linotype" w:hAnsi="Palatino Linotype"/>
          <w:b/>
          <w:bCs/>
          <w:i/>
          <w:iCs/>
          <w:lang w:val="en-US"/>
        </w:rPr>
        <w:t xml:space="preserve">CHART 2. </w:t>
      </w:r>
      <w:r w:rsidR="000209AA" w:rsidRPr="006E5EE9">
        <w:rPr>
          <w:rFonts w:ascii="Palatino Linotype" w:hAnsi="Palatino Linotype"/>
          <w:b/>
          <w:bCs/>
          <w:i/>
          <w:iCs/>
          <w:lang w:val="en-US"/>
        </w:rPr>
        <w:t>Software Used</w:t>
      </w:r>
    </w:p>
    <w:tbl>
      <w:tblPr>
        <w:tblStyle w:val="TableGrid"/>
        <w:tblW w:w="0" w:type="auto"/>
        <w:tblLook w:val="04A0" w:firstRow="1" w:lastRow="0" w:firstColumn="1" w:lastColumn="0" w:noHBand="0" w:noVBand="1"/>
      </w:tblPr>
      <w:tblGrid>
        <w:gridCol w:w="1696"/>
        <w:gridCol w:w="2453"/>
      </w:tblGrid>
      <w:tr w:rsidR="000209AA" w:rsidRPr="006E5EE9" w14:paraId="72CB4648" w14:textId="77777777" w:rsidTr="00B67CD3">
        <w:tc>
          <w:tcPr>
            <w:tcW w:w="1696" w:type="dxa"/>
          </w:tcPr>
          <w:p w14:paraId="58D16A08" w14:textId="475BF268" w:rsidR="000209AA" w:rsidRPr="006E5EE9" w:rsidRDefault="000209AA" w:rsidP="00822095">
            <w:pPr>
              <w:jc w:val="both"/>
              <w:rPr>
                <w:rFonts w:ascii="Palatino Linotype" w:hAnsi="Palatino Linotype"/>
                <w:b/>
                <w:bCs/>
                <w:i/>
                <w:iCs/>
                <w:sz w:val="16"/>
                <w:szCs w:val="16"/>
                <w:lang w:val="en-US"/>
              </w:rPr>
            </w:pPr>
            <w:r w:rsidRPr="006E5EE9">
              <w:rPr>
                <w:rFonts w:ascii="Palatino Linotype" w:hAnsi="Palatino Linotype"/>
                <w:b/>
                <w:bCs/>
                <w:i/>
                <w:iCs/>
                <w:sz w:val="16"/>
                <w:szCs w:val="16"/>
              </w:rPr>
              <w:t>Software</w:t>
            </w:r>
          </w:p>
        </w:tc>
        <w:tc>
          <w:tcPr>
            <w:tcW w:w="2453" w:type="dxa"/>
          </w:tcPr>
          <w:p w14:paraId="74DD8F31" w14:textId="3056EA19" w:rsidR="000209AA" w:rsidRPr="006E5EE9" w:rsidRDefault="000209AA" w:rsidP="00822095">
            <w:pPr>
              <w:jc w:val="both"/>
              <w:rPr>
                <w:rFonts w:ascii="Palatino Linotype" w:hAnsi="Palatino Linotype"/>
                <w:b/>
                <w:bCs/>
                <w:i/>
                <w:iCs/>
                <w:sz w:val="16"/>
                <w:szCs w:val="16"/>
                <w:lang w:val="en-US"/>
              </w:rPr>
            </w:pPr>
            <w:r w:rsidRPr="006E5EE9">
              <w:rPr>
                <w:rFonts w:ascii="Palatino Linotype" w:hAnsi="Palatino Linotype"/>
                <w:b/>
                <w:bCs/>
                <w:i/>
                <w:iCs/>
                <w:sz w:val="16"/>
                <w:szCs w:val="16"/>
                <w:lang w:val="en-US"/>
              </w:rPr>
              <w:t>Remarks</w:t>
            </w:r>
          </w:p>
        </w:tc>
      </w:tr>
      <w:tr w:rsidR="000209AA" w:rsidRPr="006E5EE9" w14:paraId="74CC9DCA" w14:textId="77777777" w:rsidTr="00B67CD3">
        <w:tc>
          <w:tcPr>
            <w:tcW w:w="1696" w:type="dxa"/>
          </w:tcPr>
          <w:p w14:paraId="7B541F2E" w14:textId="1C14B0A9" w:rsidR="000209AA" w:rsidRPr="006E5EE9" w:rsidRDefault="000209AA" w:rsidP="00822095">
            <w:pPr>
              <w:jc w:val="both"/>
              <w:rPr>
                <w:rFonts w:ascii="Palatino Linotype" w:hAnsi="Palatino Linotype"/>
                <w:b/>
                <w:bCs/>
                <w:i/>
                <w:iCs/>
                <w:sz w:val="16"/>
                <w:szCs w:val="16"/>
                <w:lang w:val="en-US"/>
              </w:rPr>
            </w:pPr>
            <w:r w:rsidRPr="006E5EE9">
              <w:rPr>
                <w:rFonts w:ascii="Palatino Linotype" w:hAnsi="Palatino Linotype"/>
                <w:i/>
                <w:iCs/>
                <w:sz w:val="16"/>
                <w:szCs w:val="16"/>
              </w:rPr>
              <w:t>Notepad ++</w:t>
            </w:r>
          </w:p>
        </w:tc>
        <w:tc>
          <w:tcPr>
            <w:tcW w:w="2453" w:type="dxa"/>
          </w:tcPr>
          <w:p w14:paraId="653D1E9F" w14:textId="515AA87F" w:rsidR="000209AA" w:rsidRPr="006E5EE9" w:rsidRDefault="000209AA" w:rsidP="00822095">
            <w:pPr>
              <w:jc w:val="both"/>
              <w:rPr>
                <w:rFonts w:ascii="Palatino Linotype" w:hAnsi="Palatino Linotype"/>
                <w:i/>
                <w:iCs/>
                <w:sz w:val="16"/>
                <w:szCs w:val="16"/>
              </w:rPr>
            </w:pPr>
            <w:r w:rsidRPr="006E5EE9">
              <w:rPr>
                <w:rFonts w:ascii="Palatino Linotype" w:hAnsi="Palatino Linotype"/>
                <w:i/>
                <w:iCs/>
                <w:sz w:val="16"/>
                <w:szCs w:val="16"/>
              </w:rPr>
              <w:t>Data viewing</w:t>
            </w:r>
            <w:r w:rsidR="00B67CD3" w:rsidRPr="006E5EE9">
              <w:rPr>
                <w:rFonts w:ascii="Palatino Linotype" w:hAnsi="Palatino Linotype"/>
                <w:i/>
                <w:iCs/>
                <w:sz w:val="16"/>
                <w:szCs w:val="16"/>
              </w:rPr>
              <w:t xml:space="preserve">, </w:t>
            </w:r>
            <w:r w:rsidRPr="006E5EE9">
              <w:rPr>
                <w:rFonts w:ascii="Palatino Linotype" w:hAnsi="Palatino Linotype"/>
                <w:i/>
                <w:iCs/>
                <w:sz w:val="16"/>
                <w:szCs w:val="16"/>
              </w:rPr>
              <w:t>Inspection,</w:t>
            </w:r>
            <w:r w:rsidR="00B67CD3" w:rsidRPr="006E5EE9">
              <w:rPr>
                <w:rFonts w:ascii="Palatino Linotype" w:hAnsi="Palatino Linotype"/>
                <w:i/>
                <w:iCs/>
                <w:sz w:val="16"/>
                <w:szCs w:val="16"/>
              </w:rPr>
              <w:t xml:space="preserve"> </w:t>
            </w:r>
            <w:r w:rsidRPr="006E5EE9">
              <w:rPr>
                <w:rFonts w:ascii="Palatino Linotype" w:hAnsi="Palatino Linotype"/>
                <w:i/>
                <w:iCs/>
                <w:sz w:val="16"/>
                <w:szCs w:val="16"/>
              </w:rPr>
              <w:t>Cleaning</w:t>
            </w:r>
            <w:r w:rsidR="00B67CD3" w:rsidRPr="006E5EE9">
              <w:rPr>
                <w:rFonts w:ascii="Palatino Linotype" w:hAnsi="Palatino Linotype"/>
                <w:i/>
                <w:iCs/>
                <w:sz w:val="16"/>
                <w:szCs w:val="16"/>
              </w:rPr>
              <w:t>,</w:t>
            </w:r>
            <w:r w:rsidRPr="006E5EE9">
              <w:rPr>
                <w:rFonts w:ascii="Palatino Linotype" w:hAnsi="Palatino Linotype"/>
                <w:i/>
                <w:iCs/>
                <w:sz w:val="16"/>
                <w:szCs w:val="16"/>
              </w:rPr>
              <w:t xml:space="preserve"> Pre-processing,</w:t>
            </w:r>
            <w:r w:rsidR="00B67CD3" w:rsidRPr="006E5EE9">
              <w:rPr>
                <w:rFonts w:ascii="Palatino Linotype" w:hAnsi="Palatino Linotype"/>
                <w:i/>
                <w:iCs/>
                <w:sz w:val="16"/>
                <w:szCs w:val="16"/>
              </w:rPr>
              <w:t xml:space="preserve"> </w:t>
            </w:r>
            <w:r w:rsidRPr="006E5EE9">
              <w:rPr>
                <w:rFonts w:ascii="Palatino Linotype" w:hAnsi="Palatino Linotype"/>
                <w:i/>
                <w:iCs/>
                <w:sz w:val="16"/>
                <w:szCs w:val="16"/>
              </w:rPr>
              <w:t>Extraction, Retrieve specific data points or extract subsets of TEC data for further analysis</w:t>
            </w:r>
          </w:p>
        </w:tc>
      </w:tr>
      <w:tr w:rsidR="000209AA" w:rsidRPr="006E5EE9" w14:paraId="11FAC8EE" w14:textId="77777777" w:rsidTr="00B67CD3">
        <w:tc>
          <w:tcPr>
            <w:tcW w:w="1696" w:type="dxa"/>
          </w:tcPr>
          <w:p w14:paraId="68CE3B07" w14:textId="7347E1EC" w:rsidR="000209AA" w:rsidRPr="006E5EE9" w:rsidRDefault="000209AA" w:rsidP="00822095">
            <w:pPr>
              <w:jc w:val="both"/>
              <w:rPr>
                <w:rFonts w:ascii="Palatino Linotype" w:hAnsi="Palatino Linotype"/>
                <w:b/>
                <w:bCs/>
                <w:i/>
                <w:iCs/>
                <w:sz w:val="16"/>
                <w:szCs w:val="16"/>
                <w:lang w:val="en-US"/>
              </w:rPr>
            </w:pPr>
            <w:r w:rsidRPr="006E5EE9">
              <w:rPr>
                <w:rFonts w:ascii="Palatino Linotype" w:hAnsi="Palatino Linotype"/>
                <w:i/>
                <w:iCs/>
                <w:sz w:val="16"/>
                <w:szCs w:val="16"/>
              </w:rPr>
              <w:t>MATLAB R2022a</w:t>
            </w:r>
          </w:p>
        </w:tc>
        <w:tc>
          <w:tcPr>
            <w:tcW w:w="2453" w:type="dxa"/>
          </w:tcPr>
          <w:p w14:paraId="4ABB6411" w14:textId="0FAA8407" w:rsidR="00B67CD3" w:rsidRPr="006E5EE9" w:rsidRDefault="000209AA" w:rsidP="00822095">
            <w:pPr>
              <w:jc w:val="both"/>
              <w:rPr>
                <w:rFonts w:ascii="Palatino Linotype" w:hAnsi="Palatino Linotype"/>
                <w:i/>
                <w:iCs/>
                <w:sz w:val="16"/>
                <w:szCs w:val="16"/>
              </w:rPr>
            </w:pPr>
            <w:r w:rsidRPr="006E5EE9">
              <w:rPr>
                <w:rFonts w:ascii="Palatino Linotype" w:hAnsi="Palatino Linotype"/>
                <w:i/>
                <w:iCs/>
                <w:sz w:val="16"/>
                <w:szCs w:val="16"/>
              </w:rPr>
              <w:t xml:space="preserve">Reading, writing data files: IONEX formats, Data format exchange: To import the IONEX format TEC data into MATLAB </w:t>
            </w:r>
            <w:r w:rsidRPr="006E5EE9">
              <w:rPr>
                <w:rFonts w:ascii="Palatino Linotype" w:hAnsi="Palatino Linotype"/>
                <w:i/>
                <w:iCs/>
                <w:sz w:val="16"/>
                <w:szCs w:val="16"/>
              </w:rPr>
              <w:lastRenderedPageBreak/>
              <w:t>variables, Data Processing and Analysing: binding</w:t>
            </w:r>
            <w:r w:rsidR="00B67CD3" w:rsidRPr="006E5EE9">
              <w:rPr>
                <w:rFonts w:ascii="Palatino Linotype" w:hAnsi="Palatino Linotype"/>
                <w:i/>
                <w:iCs/>
                <w:sz w:val="16"/>
                <w:szCs w:val="16"/>
              </w:rPr>
              <w:t xml:space="preserve">, Model Identification: autocorrelation function (ACF) and partial autocorrelation function (PACF), Model </w:t>
            </w:r>
            <w:proofErr w:type="gramStart"/>
            <w:r w:rsidR="00B67CD3" w:rsidRPr="006E5EE9">
              <w:rPr>
                <w:rFonts w:ascii="Palatino Linotype" w:hAnsi="Palatino Linotype"/>
                <w:i/>
                <w:iCs/>
                <w:sz w:val="16"/>
                <w:szCs w:val="16"/>
              </w:rPr>
              <w:t>Forecasting,  Visualization</w:t>
            </w:r>
            <w:proofErr w:type="gramEnd"/>
            <w:r w:rsidR="00B67CD3" w:rsidRPr="006E5EE9">
              <w:rPr>
                <w:rFonts w:ascii="Palatino Linotype" w:hAnsi="Palatino Linotype"/>
                <w:i/>
                <w:iCs/>
                <w:sz w:val="16"/>
                <w:szCs w:val="16"/>
              </w:rPr>
              <w:t xml:space="preserve"> and Evaluation: (RMSE) Model Refinement and Iteration.</w:t>
            </w:r>
          </w:p>
        </w:tc>
      </w:tr>
      <w:tr w:rsidR="000209AA" w:rsidRPr="006E5EE9" w14:paraId="23045608" w14:textId="77777777" w:rsidTr="00B67CD3">
        <w:tc>
          <w:tcPr>
            <w:tcW w:w="1696" w:type="dxa"/>
          </w:tcPr>
          <w:p w14:paraId="5CFB0363" w14:textId="48204C20" w:rsidR="000209AA" w:rsidRPr="006E5EE9" w:rsidRDefault="000209AA" w:rsidP="00822095">
            <w:pPr>
              <w:jc w:val="both"/>
              <w:rPr>
                <w:rFonts w:ascii="Palatino Linotype" w:hAnsi="Palatino Linotype"/>
                <w:b/>
                <w:bCs/>
                <w:i/>
                <w:iCs/>
                <w:sz w:val="16"/>
                <w:szCs w:val="16"/>
                <w:lang w:val="en-US"/>
              </w:rPr>
            </w:pPr>
            <w:r w:rsidRPr="006E5EE9">
              <w:rPr>
                <w:rFonts w:ascii="Palatino Linotype" w:hAnsi="Palatino Linotype"/>
                <w:i/>
                <w:iCs/>
                <w:sz w:val="16"/>
                <w:szCs w:val="16"/>
              </w:rPr>
              <w:lastRenderedPageBreak/>
              <w:t>ArcGIS 10.3</w:t>
            </w:r>
          </w:p>
        </w:tc>
        <w:tc>
          <w:tcPr>
            <w:tcW w:w="2453" w:type="dxa"/>
          </w:tcPr>
          <w:p w14:paraId="24BDDE42" w14:textId="5B00B5AE" w:rsidR="000209AA" w:rsidRPr="006E5EE9" w:rsidRDefault="000209AA" w:rsidP="00822095">
            <w:pPr>
              <w:jc w:val="both"/>
              <w:rPr>
                <w:rFonts w:ascii="Palatino Linotype" w:hAnsi="Palatino Linotype"/>
                <w:b/>
                <w:bCs/>
                <w:i/>
                <w:iCs/>
                <w:sz w:val="16"/>
                <w:szCs w:val="16"/>
                <w:lang w:val="en-US"/>
              </w:rPr>
            </w:pPr>
            <w:r w:rsidRPr="006E5EE9">
              <w:rPr>
                <w:rFonts w:ascii="Palatino Linotype" w:hAnsi="Palatino Linotype"/>
                <w:i/>
                <w:iCs/>
                <w:sz w:val="16"/>
                <w:szCs w:val="16"/>
              </w:rPr>
              <w:t>Data Interpolation and Visualization</w:t>
            </w:r>
          </w:p>
        </w:tc>
      </w:tr>
      <w:tr w:rsidR="000209AA" w:rsidRPr="006E5EE9" w14:paraId="25A7D173" w14:textId="77777777" w:rsidTr="00B67CD3">
        <w:tc>
          <w:tcPr>
            <w:tcW w:w="1696" w:type="dxa"/>
          </w:tcPr>
          <w:p w14:paraId="78653264" w14:textId="2CAE8211" w:rsidR="000209AA" w:rsidRPr="006E5EE9" w:rsidRDefault="000209AA" w:rsidP="00822095">
            <w:pPr>
              <w:jc w:val="both"/>
              <w:rPr>
                <w:rFonts w:ascii="Palatino Linotype" w:hAnsi="Palatino Linotype"/>
                <w:b/>
                <w:bCs/>
                <w:i/>
                <w:iCs/>
                <w:sz w:val="16"/>
                <w:szCs w:val="16"/>
                <w:lang w:val="en-US"/>
              </w:rPr>
            </w:pPr>
            <w:r w:rsidRPr="006E5EE9">
              <w:rPr>
                <w:rFonts w:ascii="Palatino Linotype" w:hAnsi="Palatino Linotype"/>
                <w:i/>
                <w:iCs/>
                <w:sz w:val="16"/>
                <w:szCs w:val="16"/>
              </w:rPr>
              <w:t>Microsoft Excel</w:t>
            </w:r>
          </w:p>
        </w:tc>
        <w:tc>
          <w:tcPr>
            <w:tcW w:w="2453" w:type="dxa"/>
          </w:tcPr>
          <w:p w14:paraId="5D4B1D17" w14:textId="50BE54E6" w:rsidR="000209AA" w:rsidRPr="006E5EE9" w:rsidRDefault="00B67CD3" w:rsidP="00822095">
            <w:pPr>
              <w:jc w:val="both"/>
              <w:rPr>
                <w:rFonts w:ascii="Palatino Linotype" w:hAnsi="Palatino Linotype"/>
                <w:b/>
                <w:bCs/>
                <w:i/>
                <w:iCs/>
                <w:sz w:val="16"/>
                <w:szCs w:val="16"/>
                <w:lang w:val="en-US"/>
              </w:rPr>
            </w:pPr>
            <w:r w:rsidRPr="006E5EE9">
              <w:rPr>
                <w:rFonts w:ascii="Palatino Linotype" w:hAnsi="Palatino Linotype"/>
                <w:i/>
                <w:iCs/>
                <w:sz w:val="16"/>
                <w:szCs w:val="16"/>
              </w:rPr>
              <w:t>Data Calculations, Data Visualization: Time Series TEC visualization with confidence interval</w:t>
            </w:r>
          </w:p>
        </w:tc>
      </w:tr>
    </w:tbl>
    <w:p w14:paraId="0B0ED228" w14:textId="59CEAE65" w:rsidR="000209AA" w:rsidRPr="006E5EE9" w:rsidRDefault="000209AA" w:rsidP="00822095">
      <w:pPr>
        <w:jc w:val="both"/>
        <w:rPr>
          <w:rFonts w:ascii="Palatino Linotype" w:hAnsi="Palatino Linotype"/>
          <w:b/>
          <w:bCs/>
          <w:i/>
          <w:iCs/>
          <w:lang w:val="en-US"/>
        </w:rPr>
      </w:pPr>
    </w:p>
    <w:p w14:paraId="79766A62" w14:textId="2732951D" w:rsidR="00B67CD3" w:rsidRPr="006E5EE9" w:rsidRDefault="00B67CD3" w:rsidP="00B67CD3">
      <w:pPr>
        <w:jc w:val="both"/>
        <w:rPr>
          <w:rFonts w:ascii="Palatino Linotype" w:hAnsi="Palatino Linotype"/>
        </w:rPr>
      </w:pPr>
      <w:r w:rsidRPr="006E5EE9">
        <w:rPr>
          <w:rFonts w:ascii="Palatino Linotype" w:hAnsi="Palatino Linotype"/>
        </w:rPr>
        <w:t xml:space="preserve">Using the suggested datasets, the following methodology is used to detect </w:t>
      </w:r>
      <w:proofErr w:type="spellStart"/>
      <w:r w:rsidRPr="006E5EE9">
        <w:rPr>
          <w:rFonts w:ascii="Palatino Linotype" w:hAnsi="Palatino Linotype"/>
        </w:rPr>
        <w:t>seismo</w:t>
      </w:r>
      <w:proofErr w:type="spellEnd"/>
      <w:r w:rsidRPr="006E5EE9">
        <w:rPr>
          <w:rFonts w:ascii="Palatino Linotype" w:hAnsi="Palatino Linotype"/>
        </w:rPr>
        <w:t xml:space="preserve">-ionospheric anomalies before earthquakes occur: </w:t>
      </w:r>
    </w:p>
    <w:p w14:paraId="37D03723" w14:textId="2FD04E0A" w:rsidR="0098672A" w:rsidRPr="006E5EE9" w:rsidRDefault="00B67CD3" w:rsidP="00B67CD3">
      <w:pPr>
        <w:jc w:val="both"/>
        <w:rPr>
          <w:rFonts w:ascii="Palatino Linotype" w:hAnsi="Palatino Linotype"/>
          <w:b/>
          <w:bCs/>
          <w:i/>
          <w:iCs/>
        </w:rPr>
      </w:pPr>
      <w:r w:rsidRPr="006E5EE9">
        <w:rPr>
          <w:rFonts w:ascii="Palatino Linotype" w:hAnsi="Palatino Linotype"/>
          <w:b/>
          <w:bCs/>
          <w:i/>
          <w:iCs/>
        </w:rPr>
        <w:t xml:space="preserve">Earthquake preparation zone determination </w:t>
      </w:r>
    </w:p>
    <w:p w14:paraId="6E72B48C" w14:textId="3E2C78FB" w:rsidR="00B67CD3" w:rsidRPr="006E5EE9" w:rsidRDefault="00B67CD3" w:rsidP="00B67CD3">
      <w:pPr>
        <w:jc w:val="both"/>
        <w:rPr>
          <w:rFonts w:ascii="Palatino Linotype" w:hAnsi="Palatino Linotype"/>
        </w:rPr>
      </w:pPr>
      <w:r w:rsidRPr="006E5EE9">
        <w:rPr>
          <w:rFonts w:ascii="Palatino Linotype" w:hAnsi="Palatino Linotype"/>
        </w:rPr>
        <w:t xml:space="preserve">According to the formula suggested by Dobrovosky et al. and expressed in Eq. (1), the earthquake preparation zone (EPZ) was established. </w:t>
      </w:r>
    </w:p>
    <w:p w14:paraId="4DDD9051" w14:textId="58A939F7" w:rsidR="00B67CD3" w:rsidRPr="006E5EE9" w:rsidRDefault="00B67CD3" w:rsidP="00B67CD3">
      <w:pPr>
        <w:jc w:val="both"/>
        <w:rPr>
          <w:rFonts w:ascii="Palatino Linotype" w:hAnsi="Palatino Linotype"/>
        </w:rPr>
      </w:pPr>
      <w:r w:rsidRPr="006E5EE9">
        <w:rPr>
          <w:rFonts w:ascii="Palatino Linotype" w:hAnsi="Palatino Linotype"/>
          <w:b/>
          <w:bCs/>
        </w:rPr>
        <w:t>R = 10</w:t>
      </w:r>
      <w:r w:rsidRPr="006E5EE9">
        <w:rPr>
          <w:rFonts w:ascii="Palatino Linotype" w:hAnsi="Palatino Linotype"/>
          <w:b/>
          <w:bCs/>
          <w:vertAlign w:val="superscript"/>
        </w:rPr>
        <w:t>0.43M</w:t>
      </w:r>
      <w:r w:rsidRPr="006E5EE9">
        <w:rPr>
          <w:rFonts w:ascii="Palatino Linotype" w:hAnsi="Palatino Linotype"/>
          <w:vertAlign w:val="superscript"/>
        </w:rPr>
        <w:t xml:space="preserve"> ………………………………………………………</w:t>
      </w:r>
      <w:proofErr w:type="gramStart"/>
      <w:r w:rsidRPr="006E5EE9">
        <w:rPr>
          <w:rFonts w:ascii="Palatino Linotype" w:hAnsi="Palatino Linotype"/>
          <w:vertAlign w:val="superscript"/>
        </w:rPr>
        <w:t>…</w:t>
      </w:r>
      <w:r w:rsidRPr="006E5EE9">
        <w:rPr>
          <w:rFonts w:ascii="Palatino Linotype" w:hAnsi="Palatino Linotype"/>
        </w:rPr>
        <w:t>(</w:t>
      </w:r>
      <w:proofErr w:type="gramEnd"/>
      <w:r w:rsidRPr="006E5EE9">
        <w:rPr>
          <w:rFonts w:ascii="Palatino Linotype" w:hAnsi="Palatino Linotype"/>
        </w:rPr>
        <w:t xml:space="preserve">1) </w:t>
      </w:r>
    </w:p>
    <w:p w14:paraId="56818268" w14:textId="76BA16BB" w:rsidR="00B67CD3" w:rsidRPr="006E5EE9" w:rsidRDefault="00B67CD3" w:rsidP="00B67CD3">
      <w:pPr>
        <w:jc w:val="both"/>
        <w:rPr>
          <w:rFonts w:ascii="Palatino Linotype" w:hAnsi="Palatino Linotype"/>
        </w:rPr>
      </w:pPr>
      <w:r w:rsidRPr="006E5EE9">
        <w:rPr>
          <w:rFonts w:ascii="Palatino Linotype" w:hAnsi="Palatino Linotype"/>
        </w:rPr>
        <w:t xml:space="preserve">where, </w:t>
      </w:r>
    </w:p>
    <w:p w14:paraId="50214E50" w14:textId="46C2180E" w:rsidR="00B67CD3" w:rsidRPr="006E5EE9" w:rsidRDefault="00B67CD3" w:rsidP="00B67CD3">
      <w:pPr>
        <w:jc w:val="both"/>
        <w:rPr>
          <w:rFonts w:ascii="Palatino Linotype" w:hAnsi="Palatino Linotype"/>
        </w:rPr>
      </w:pPr>
      <w:r w:rsidRPr="006E5EE9">
        <w:rPr>
          <w:rFonts w:ascii="Palatino Linotype" w:hAnsi="Palatino Linotype"/>
          <w:b/>
          <w:bCs/>
        </w:rPr>
        <w:t>M</w:t>
      </w:r>
      <w:r w:rsidRPr="006E5EE9">
        <w:rPr>
          <w:rFonts w:ascii="Palatino Linotype" w:hAnsi="Palatino Linotype"/>
        </w:rPr>
        <w:t xml:space="preserve">; Moment magnitude of the earthquake, </w:t>
      </w:r>
    </w:p>
    <w:p w14:paraId="35AFD282" w14:textId="4CDD693B" w:rsidR="00B67CD3" w:rsidRPr="006E5EE9" w:rsidRDefault="00B67CD3" w:rsidP="00B67CD3">
      <w:pPr>
        <w:jc w:val="both"/>
        <w:rPr>
          <w:rFonts w:ascii="Palatino Linotype" w:hAnsi="Palatino Linotype"/>
        </w:rPr>
      </w:pPr>
      <w:r w:rsidRPr="006E5EE9">
        <w:rPr>
          <w:rFonts w:ascii="Palatino Linotype" w:hAnsi="Palatino Linotype"/>
          <w:b/>
          <w:bCs/>
        </w:rPr>
        <w:t>R;</w:t>
      </w:r>
      <w:r w:rsidRPr="006E5EE9">
        <w:rPr>
          <w:rFonts w:ascii="Palatino Linotype" w:hAnsi="Palatino Linotype"/>
        </w:rPr>
        <w:t xml:space="preserve"> radius of the earthquake preparation zone (in kilometres) measured from the </w:t>
      </w:r>
      <w:proofErr w:type="spellStart"/>
      <w:r w:rsidRPr="006E5EE9">
        <w:rPr>
          <w:rFonts w:ascii="Palatino Linotype" w:hAnsi="Palatino Linotype"/>
        </w:rPr>
        <w:t>epicenter</w:t>
      </w:r>
      <w:proofErr w:type="spellEnd"/>
      <w:r w:rsidRPr="006E5EE9">
        <w:rPr>
          <w:rFonts w:ascii="Palatino Linotype" w:hAnsi="Palatino Linotype"/>
        </w:rPr>
        <w:t xml:space="preserve"> (Sharma, 2022). </w:t>
      </w:r>
    </w:p>
    <w:p w14:paraId="44B98E36" w14:textId="34F45068" w:rsidR="004B4778" w:rsidRPr="006E5EE9" w:rsidRDefault="00B67CD3" w:rsidP="00B67CD3">
      <w:pPr>
        <w:jc w:val="both"/>
        <w:rPr>
          <w:rFonts w:ascii="Palatino Linotype" w:hAnsi="Palatino Linotype"/>
        </w:rPr>
      </w:pPr>
      <w:r w:rsidRPr="006E5EE9">
        <w:rPr>
          <w:rFonts w:ascii="Palatino Linotype" w:hAnsi="Palatino Linotype"/>
        </w:rPr>
        <w:t xml:space="preserve">When an earthquake occurs, information on its magnitude, </w:t>
      </w:r>
      <w:proofErr w:type="spellStart"/>
      <w:r w:rsidRPr="006E5EE9">
        <w:rPr>
          <w:rFonts w:ascii="Palatino Linotype" w:hAnsi="Palatino Linotype"/>
        </w:rPr>
        <w:t>epicenter</w:t>
      </w:r>
      <w:proofErr w:type="spellEnd"/>
      <w:r w:rsidRPr="006E5EE9">
        <w:rPr>
          <w:rFonts w:ascii="Palatino Linotype" w:hAnsi="Palatino Linotype"/>
        </w:rPr>
        <w:t xml:space="preserve"> location, date, and time can be found online from </w:t>
      </w:r>
      <w:proofErr w:type="spellStart"/>
      <w:r w:rsidRPr="006E5EE9">
        <w:rPr>
          <w:rFonts w:ascii="Palatino Linotype" w:hAnsi="Palatino Linotype"/>
        </w:rPr>
        <w:t>Shakemap</w:t>
      </w:r>
      <w:proofErr w:type="spellEnd"/>
      <w:r w:rsidRPr="006E5EE9">
        <w:rPr>
          <w:rFonts w:ascii="Palatino Linotype" w:hAnsi="Palatino Linotype"/>
        </w:rPr>
        <w:t xml:space="preserve">, a service offered by the United </w:t>
      </w:r>
    </w:p>
    <w:p w14:paraId="768F0657" w14:textId="0E6DD5BE" w:rsidR="00B67CD3" w:rsidRPr="006E5EE9" w:rsidRDefault="004B4778" w:rsidP="00B67CD3">
      <w:pPr>
        <w:jc w:val="both"/>
        <w:rPr>
          <w:rFonts w:ascii="Palatino Linotype" w:hAnsi="Palatino Linotype"/>
        </w:rPr>
      </w:pPr>
      <w:r w:rsidRPr="006E5EE9">
        <w:rPr>
          <w:rFonts w:ascii="Palatino Linotype" w:hAnsi="Palatino Linotype"/>
        </w:rPr>
        <w:t xml:space="preserve">CHART </w:t>
      </w:r>
      <w:proofErr w:type="gramStart"/>
      <w:r w:rsidRPr="006E5EE9">
        <w:rPr>
          <w:rFonts w:ascii="Palatino Linotype" w:hAnsi="Palatino Linotype"/>
        </w:rPr>
        <w:t>3.</w:t>
      </w:r>
      <w:r w:rsidR="00B67CD3" w:rsidRPr="006E5EE9">
        <w:rPr>
          <w:rFonts w:ascii="Palatino Linotype" w:hAnsi="Palatino Linotype"/>
        </w:rPr>
        <w:t>States</w:t>
      </w:r>
      <w:proofErr w:type="gramEnd"/>
      <w:r w:rsidR="00B67CD3" w:rsidRPr="006E5EE9">
        <w:rPr>
          <w:rFonts w:ascii="Palatino Linotype" w:hAnsi="Palatino Linotype"/>
        </w:rPr>
        <w:t xml:space="preserve"> Geological Survey (USGS), at </w:t>
      </w:r>
      <w:hyperlink r:id="rId13" w:history="1">
        <w:r w:rsidR="00B67CD3" w:rsidRPr="006E5EE9">
          <w:rPr>
            <w:rStyle w:val="Hyperlink"/>
            <w:rFonts w:ascii="Palatino Linotype" w:hAnsi="Palatino Linotype"/>
          </w:rPr>
          <w:t>https://earthquake.usgs.gov/</w:t>
        </w:r>
      </w:hyperlink>
      <w:r w:rsidR="00B67CD3" w:rsidRPr="006E5EE9">
        <w:rPr>
          <w:rFonts w:ascii="Palatino Linotype" w:hAnsi="Palatino Linotype"/>
        </w:rPr>
        <w:t>.</w:t>
      </w:r>
    </w:p>
    <w:tbl>
      <w:tblPr>
        <w:tblStyle w:val="TableGrid"/>
        <w:tblW w:w="0" w:type="auto"/>
        <w:tblLook w:val="04A0" w:firstRow="1" w:lastRow="0" w:firstColumn="1" w:lastColumn="0" w:noHBand="0" w:noVBand="1"/>
      </w:tblPr>
      <w:tblGrid>
        <w:gridCol w:w="2074"/>
        <w:gridCol w:w="2075"/>
      </w:tblGrid>
      <w:tr w:rsidR="0068503D" w:rsidRPr="006E5EE9" w14:paraId="0AF39F0A" w14:textId="77777777" w:rsidTr="0068503D">
        <w:tc>
          <w:tcPr>
            <w:tcW w:w="2074" w:type="dxa"/>
          </w:tcPr>
          <w:p w14:paraId="593CF1AB" w14:textId="531F66E1"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rPr>
              <w:t>Date &amp; Time</w:t>
            </w:r>
          </w:p>
        </w:tc>
        <w:tc>
          <w:tcPr>
            <w:tcW w:w="2075" w:type="dxa"/>
          </w:tcPr>
          <w:p w14:paraId="12100099" w14:textId="107E3545"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lang w:val="en-US"/>
              </w:rPr>
              <w:t>6 Feb 2023; 04:17 TRT</w:t>
            </w:r>
          </w:p>
        </w:tc>
      </w:tr>
      <w:tr w:rsidR="0068503D" w:rsidRPr="006E5EE9" w14:paraId="7D13A36A" w14:textId="77777777" w:rsidTr="0068503D">
        <w:tc>
          <w:tcPr>
            <w:tcW w:w="2074" w:type="dxa"/>
          </w:tcPr>
          <w:p w14:paraId="3F28F19D" w14:textId="77021F16"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rPr>
              <w:t>Epicentre</w:t>
            </w:r>
          </w:p>
        </w:tc>
        <w:tc>
          <w:tcPr>
            <w:tcW w:w="2075" w:type="dxa"/>
          </w:tcPr>
          <w:p w14:paraId="20C9E99B" w14:textId="7D49D84F" w:rsidR="0068503D" w:rsidRPr="006E5EE9" w:rsidRDefault="0068503D" w:rsidP="00B67CD3">
            <w:pPr>
              <w:jc w:val="both"/>
              <w:rPr>
                <w:rFonts w:ascii="Palatino Linotype" w:hAnsi="Palatino Linotype"/>
                <w:b/>
                <w:bCs/>
                <w:i/>
                <w:iCs/>
                <w:sz w:val="16"/>
                <w:szCs w:val="16"/>
                <w:lang w:val="en-US"/>
              </w:rPr>
            </w:pPr>
            <w:proofErr w:type="spellStart"/>
            <w:r w:rsidRPr="006E5EE9">
              <w:rPr>
                <w:rFonts w:ascii="Palatino Linotype" w:hAnsi="Palatino Linotype"/>
                <w:b/>
                <w:bCs/>
                <w:i/>
                <w:iCs/>
                <w:sz w:val="16"/>
                <w:szCs w:val="16"/>
                <w:lang w:val="en-US"/>
              </w:rPr>
              <w:t>Sehitkamil</w:t>
            </w:r>
            <w:proofErr w:type="spellEnd"/>
            <w:r w:rsidRPr="006E5EE9">
              <w:rPr>
                <w:rFonts w:ascii="Palatino Linotype" w:hAnsi="Palatino Linotype"/>
                <w:b/>
                <w:bCs/>
                <w:i/>
                <w:iCs/>
                <w:sz w:val="16"/>
                <w:szCs w:val="16"/>
                <w:lang w:val="en-US"/>
              </w:rPr>
              <w:t>, Gaziantep</w:t>
            </w:r>
          </w:p>
        </w:tc>
      </w:tr>
      <w:tr w:rsidR="0068503D" w:rsidRPr="006E5EE9" w14:paraId="5614AE9D" w14:textId="77777777" w:rsidTr="0068503D">
        <w:tc>
          <w:tcPr>
            <w:tcW w:w="2074" w:type="dxa"/>
          </w:tcPr>
          <w:p w14:paraId="75711DFA" w14:textId="2B518AAB"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rPr>
              <w:t>Depth</w:t>
            </w:r>
          </w:p>
        </w:tc>
        <w:tc>
          <w:tcPr>
            <w:tcW w:w="2075" w:type="dxa"/>
          </w:tcPr>
          <w:p w14:paraId="0F98056C" w14:textId="1E16F642"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lang w:val="en-US"/>
              </w:rPr>
              <w:t>10 km</w:t>
            </w:r>
          </w:p>
        </w:tc>
      </w:tr>
      <w:tr w:rsidR="0068503D" w:rsidRPr="006E5EE9" w14:paraId="77B7A070" w14:textId="77777777" w:rsidTr="0068503D">
        <w:tc>
          <w:tcPr>
            <w:tcW w:w="2074" w:type="dxa"/>
          </w:tcPr>
          <w:p w14:paraId="727BA795" w14:textId="3C141816"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rPr>
              <w:t>Lat &amp; Long</w:t>
            </w:r>
          </w:p>
        </w:tc>
        <w:tc>
          <w:tcPr>
            <w:tcW w:w="2075" w:type="dxa"/>
          </w:tcPr>
          <w:p w14:paraId="0CD8E436" w14:textId="1E79DB3D"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lang w:val="en-US"/>
              </w:rPr>
              <w:t>37.166</w:t>
            </w:r>
            <w:r w:rsidRPr="006E5EE9">
              <w:rPr>
                <w:rFonts w:ascii="Palatino Linotype" w:hAnsi="Palatino Linotype"/>
                <w:b/>
                <w:bCs/>
                <w:i/>
                <w:iCs/>
                <w:sz w:val="16"/>
                <w:szCs w:val="16"/>
                <w:vertAlign w:val="superscript"/>
                <w:lang w:val="en-US"/>
              </w:rPr>
              <w:t xml:space="preserve">0 </w:t>
            </w:r>
            <w:r w:rsidRPr="006E5EE9">
              <w:rPr>
                <w:rFonts w:ascii="Palatino Linotype" w:hAnsi="Palatino Linotype"/>
                <w:b/>
                <w:bCs/>
                <w:i/>
                <w:iCs/>
                <w:sz w:val="16"/>
                <w:szCs w:val="16"/>
                <w:lang w:val="en-US"/>
              </w:rPr>
              <w:t>N, 37.032</w:t>
            </w:r>
            <w:r w:rsidRPr="006E5EE9">
              <w:rPr>
                <w:rFonts w:ascii="Palatino Linotype" w:hAnsi="Palatino Linotype"/>
                <w:b/>
                <w:bCs/>
                <w:i/>
                <w:iCs/>
                <w:sz w:val="16"/>
                <w:szCs w:val="16"/>
                <w:vertAlign w:val="superscript"/>
                <w:lang w:val="en-US"/>
              </w:rPr>
              <w:t xml:space="preserve">0 </w:t>
            </w:r>
            <w:r w:rsidRPr="006E5EE9">
              <w:rPr>
                <w:rFonts w:ascii="Palatino Linotype" w:hAnsi="Palatino Linotype"/>
                <w:b/>
                <w:bCs/>
                <w:i/>
                <w:iCs/>
                <w:sz w:val="16"/>
                <w:szCs w:val="16"/>
                <w:lang w:val="en-US"/>
              </w:rPr>
              <w:t>E</w:t>
            </w:r>
          </w:p>
        </w:tc>
      </w:tr>
      <w:tr w:rsidR="0068503D" w:rsidRPr="006E5EE9" w14:paraId="1D33BAB9" w14:textId="77777777" w:rsidTr="0068503D">
        <w:tc>
          <w:tcPr>
            <w:tcW w:w="2074" w:type="dxa"/>
          </w:tcPr>
          <w:p w14:paraId="5A92EB10" w14:textId="4EA6D192"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rPr>
              <w:t>Earthquake Preparation Zone (EPZ) 100.43M</w:t>
            </w:r>
          </w:p>
        </w:tc>
        <w:tc>
          <w:tcPr>
            <w:tcW w:w="2075" w:type="dxa"/>
          </w:tcPr>
          <w:p w14:paraId="5150A0C0" w14:textId="50900EBF"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lang w:val="en-US"/>
              </w:rPr>
              <w:t>2260 km</w:t>
            </w:r>
          </w:p>
        </w:tc>
      </w:tr>
      <w:tr w:rsidR="0068503D" w:rsidRPr="006E5EE9" w14:paraId="7CF2945E" w14:textId="77777777" w:rsidTr="0068503D">
        <w:tc>
          <w:tcPr>
            <w:tcW w:w="2074" w:type="dxa"/>
          </w:tcPr>
          <w:p w14:paraId="648EFDEE" w14:textId="18675DDC"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rPr>
              <w:t>Magnitude</w:t>
            </w:r>
          </w:p>
        </w:tc>
        <w:tc>
          <w:tcPr>
            <w:tcW w:w="2075" w:type="dxa"/>
          </w:tcPr>
          <w:p w14:paraId="5CB0928A" w14:textId="0C4A782C"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lang w:val="en-US"/>
              </w:rPr>
              <w:t>7.8</w:t>
            </w:r>
          </w:p>
        </w:tc>
      </w:tr>
      <w:tr w:rsidR="0068503D" w:rsidRPr="006E5EE9" w14:paraId="2EBF63B2" w14:textId="77777777" w:rsidTr="0068503D">
        <w:tc>
          <w:tcPr>
            <w:tcW w:w="2074" w:type="dxa"/>
          </w:tcPr>
          <w:p w14:paraId="0132CAFF" w14:textId="3C2D548F"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rPr>
              <w:t>Intensity</w:t>
            </w:r>
          </w:p>
        </w:tc>
        <w:tc>
          <w:tcPr>
            <w:tcW w:w="2075" w:type="dxa"/>
          </w:tcPr>
          <w:p w14:paraId="14A23B08" w14:textId="50853469" w:rsidR="0068503D" w:rsidRPr="006E5EE9" w:rsidRDefault="0068503D" w:rsidP="00B67CD3">
            <w:pPr>
              <w:jc w:val="both"/>
              <w:rPr>
                <w:rFonts w:ascii="Palatino Linotype" w:hAnsi="Palatino Linotype"/>
                <w:b/>
                <w:bCs/>
                <w:i/>
                <w:iCs/>
                <w:sz w:val="16"/>
                <w:szCs w:val="16"/>
                <w:lang w:val="en-US"/>
              </w:rPr>
            </w:pPr>
            <w:r w:rsidRPr="006E5EE9">
              <w:rPr>
                <w:rFonts w:ascii="Palatino Linotype" w:hAnsi="Palatino Linotype"/>
                <w:b/>
                <w:bCs/>
                <w:i/>
                <w:iCs/>
                <w:sz w:val="16"/>
                <w:szCs w:val="16"/>
                <w:lang w:val="en-US"/>
              </w:rPr>
              <w:t>XII (Extreme)</w:t>
            </w:r>
          </w:p>
        </w:tc>
      </w:tr>
    </w:tbl>
    <w:p w14:paraId="67E80C2F" w14:textId="77777777" w:rsidR="003224F7" w:rsidRPr="006E5EE9" w:rsidRDefault="003224F7" w:rsidP="00B67CD3">
      <w:pPr>
        <w:jc w:val="both"/>
        <w:rPr>
          <w:rFonts w:ascii="Palatino Linotype" w:hAnsi="Palatino Linotype"/>
          <w:b/>
          <w:bCs/>
          <w:i/>
          <w:iCs/>
        </w:rPr>
      </w:pPr>
    </w:p>
    <w:p w14:paraId="5B6EB16C" w14:textId="724B84EC" w:rsidR="003224F7" w:rsidRPr="006E5EE9" w:rsidRDefault="003224F7" w:rsidP="00B67CD3">
      <w:pPr>
        <w:jc w:val="both"/>
        <w:rPr>
          <w:rFonts w:ascii="Palatino Linotype" w:hAnsi="Palatino Linotype"/>
          <w:b/>
          <w:bCs/>
          <w:i/>
          <w:iCs/>
        </w:rPr>
      </w:pPr>
      <w:r w:rsidRPr="006E5EE9">
        <w:rPr>
          <w:noProof/>
        </w:rPr>
        <w:drawing>
          <wp:anchor distT="0" distB="0" distL="114300" distR="114300" simplePos="0" relativeHeight="251682816" behindDoc="0" locked="0" layoutInCell="1" allowOverlap="1" wp14:anchorId="44896E4E" wp14:editId="31F43F44">
            <wp:simplePos x="0" y="0"/>
            <wp:positionH relativeFrom="column">
              <wp:align>left</wp:align>
            </wp:positionH>
            <wp:positionV relativeFrom="paragraph">
              <wp:posOffset>268541</wp:posOffset>
            </wp:positionV>
            <wp:extent cx="2679700" cy="2069465"/>
            <wp:effectExtent l="19050" t="19050" r="25400" b="26035"/>
            <wp:wrapSquare wrapText="bothSides"/>
            <wp:docPr id="4" name="Picture 4" descr="A map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with a red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944" cy="2073968"/>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6E5EE9">
        <w:rPr>
          <w:rFonts w:ascii="Palatino Linotype" w:hAnsi="Palatino Linotype"/>
          <w:b/>
          <w:bCs/>
          <w:sz w:val="24"/>
          <w:szCs w:val="24"/>
          <w:lang w:val="en-US"/>
        </w:rPr>
        <w:t>PICTURE 2</w:t>
      </w:r>
    </w:p>
    <w:p w14:paraId="5B22609E" w14:textId="140AC177" w:rsidR="0068503D" w:rsidRPr="006E5EE9" w:rsidRDefault="0068503D" w:rsidP="00B67CD3">
      <w:pPr>
        <w:jc w:val="both"/>
        <w:rPr>
          <w:rFonts w:ascii="Palatino Linotype" w:hAnsi="Palatino Linotype"/>
          <w:b/>
          <w:bCs/>
          <w:i/>
          <w:iCs/>
        </w:rPr>
      </w:pPr>
      <w:r w:rsidRPr="006E5EE9">
        <w:rPr>
          <w:rFonts w:ascii="Palatino Linotype" w:hAnsi="Palatino Linotype"/>
          <w:b/>
          <w:bCs/>
          <w:i/>
          <w:iCs/>
        </w:rPr>
        <w:t>TEC Anomaly Detection</w:t>
      </w:r>
    </w:p>
    <w:p w14:paraId="24B79D99" w14:textId="77777777" w:rsidR="0098672A" w:rsidRPr="006E5EE9" w:rsidRDefault="0068503D" w:rsidP="00B67CD3">
      <w:pPr>
        <w:jc w:val="both"/>
        <w:rPr>
          <w:rFonts w:ascii="Palatino Linotype" w:hAnsi="Palatino Linotype"/>
        </w:rPr>
      </w:pPr>
      <w:r w:rsidRPr="006E5EE9">
        <w:rPr>
          <w:rFonts w:ascii="Palatino Linotype" w:hAnsi="Palatino Linotype"/>
        </w:rPr>
        <w:t xml:space="preserve">The GIM files were processed </w:t>
      </w:r>
      <w:r w:rsidR="0098672A" w:rsidRPr="006E5EE9">
        <w:rPr>
          <w:rFonts w:ascii="Palatino Linotype" w:hAnsi="Palatino Linotype"/>
        </w:rPr>
        <w:t>o</w:t>
      </w:r>
      <w:r w:rsidRPr="006E5EE9">
        <w:rPr>
          <w:rFonts w:ascii="Palatino Linotype" w:hAnsi="Palatino Linotype"/>
        </w:rPr>
        <w:t xml:space="preserve">ne month before the occurrence of the main events. Graphical analysis of hourly TEC variation data at a grid point near the epicentre was done in relation to the median and standard deviation of the 15-day prior event. The maximum and minimum TEC variation is fixed at a confidence level of 82%. The lower (LB) and upper (UB) bounds are defined by equations 3 – 4 to state the level of the divergence: </w:t>
      </w:r>
    </w:p>
    <w:p w14:paraId="48A33FFB" w14:textId="1035A643" w:rsidR="0098672A" w:rsidRPr="006E5EE9" w:rsidRDefault="0068503D" w:rsidP="00B67CD3">
      <w:pPr>
        <w:jc w:val="both"/>
        <w:rPr>
          <w:rFonts w:ascii="Palatino Linotype" w:hAnsi="Palatino Linotype"/>
        </w:rPr>
      </w:pPr>
      <w:r w:rsidRPr="006E5EE9">
        <w:rPr>
          <w:rFonts w:ascii="Palatino Linotype" w:hAnsi="Palatino Linotype"/>
        </w:rPr>
        <w:t>Lower Bound = M(RM) – 1.34</w:t>
      </w:r>
      <w:r w:rsidR="0098672A" w:rsidRPr="006E5EE9">
        <w:rPr>
          <w:rFonts w:ascii="Palatino Linotype" w:hAnsi="Palatino Linotype"/>
        </w:rPr>
        <w:t>s</w:t>
      </w:r>
      <w:r w:rsidRPr="006E5EE9">
        <w:rPr>
          <w:rFonts w:ascii="Palatino Linotype" w:hAnsi="Palatino Linotype"/>
        </w:rPr>
        <w:t xml:space="preserve"> </w:t>
      </w:r>
      <w:r w:rsidR="0098672A" w:rsidRPr="006E5EE9">
        <w:rPr>
          <w:rFonts w:ascii="Palatino Linotype" w:hAnsi="Palatino Linotype"/>
        </w:rPr>
        <w:t xml:space="preserve">………... </w:t>
      </w:r>
      <w:r w:rsidRPr="006E5EE9">
        <w:rPr>
          <w:rFonts w:ascii="Palatino Linotype" w:hAnsi="Palatino Linotype"/>
        </w:rPr>
        <w:t xml:space="preserve">(3) </w:t>
      </w:r>
    </w:p>
    <w:p w14:paraId="2FED6F08" w14:textId="05D61850" w:rsidR="0098672A" w:rsidRPr="006E5EE9" w:rsidRDefault="0068503D" w:rsidP="00B67CD3">
      <w:pPr>
        <w:jc w:val="both"/>
        <w:rPr>
          <w:rFonts w:ascii="Palatino Linotype" w:hAnsi="Palatino Linotype"/>
        </w:rPr>
      </w:pPr>
      <w:r w:rsidRPr="006E5EE9">
        <w:rPr>
          <w:rFonts w:ascii="Palatino Linotype" w:hAnsi="Palatino Linotype"/>
        </w:rPr>
        <w:t>Upper Bound = M(RM) + 1.34</w:t>
      </w:r>
      <w:r w:rsidR="0098672A" w:rsidRPr="006E5EE9">
        <w:rPr>
          <w:rFonts w:ascii="Palatino Linotype" w:hAnsi="Palatino Linotype"/>
        </w:rPr>
        <w:t>s</w:t>
      </w:r>
      <w:r w:rsidRPr="006E5EE9">
        <w:rPr>
          <w:rFonts w:ascii="Palatino Linotype" w:hAnsi="Palatino Linotype"/>
        </w:rPr>
        <w:t xml:space="preserve"> </w:t>
      </w:r>
      <w:r w:rsidR="0098672A" w:rsidRPr="006E5EE9">
        <w:rPr>
          <w:rFonts w:ascii="Palatino Linotype" w:hAnsi="Palatino Linotype"/>
        </w:rPr>
        <w:t xml:space="preserve">………... </w:t>
      </w:r>
      <w:r w:rsidRPr="006E5EE9">
        <w:rPr>
          <w:rFonts w:ascii="Palatino Linotype" w:hAnsi="Palatino Linotype"/>
        </w:rPr>
        <w:t xml:space="preserve">(4) </w:t>
      </w:r>
    </w:p>
    <w:p w14:paraId="48AFAFF0" w14:textId="77777777" w:rsidR="0098672A" w:rsidRPr="006E5EE9" w:rsidRDefault="0068503D" w:rsidP="00B67CD3">
      <w:pPr>
        <w:jc w:val="both"/>
        <w:rPr>
          <w:rFonts w:ascii="Palatino Linotype" w:hAnsi="Palatino Linotype"/>
        </w:rPr>
      </w:pPr>
      <w:r w:rsidRPr="006E5EE9">
        <w:rPr>
          <w:rFonts w:ascii="Palatino Linotype" w:hAnsi="Palatino Linotype"/>
        </w:rPr>
        <w:t xml:space="preserve">where, M(RM); Running Median, </w:t>
      </w:r>
    </w:p>
    <w:p w14:paraId="21E6339B" w14:textId="77777777" w:rsidR="0098672A" w:rsidRPr="006E5EE9" w:rsidRDefault="0098672A" w:rsidP="00B67CD3">
      <w:pPr>
        <w:jc w:val="both"/>
        <w:rPr>
          <w:rFonts w:ascii="Palatino Linotype" w:hAnsi="Palatino Linotype"/>
        </w:rPr>
      </w:pPr>
      <w:r w:rsidRPr="006E5EE9">
        <w:rPr>
          <w:rFonts w:ascii="Palatino Linotype" w:hAnsi="Palatino Linotype"/>
        </w:rPr>
        <w:t>s</w:t>
      </w:r>
      <w:r w:rsidR="0068503D" w:rsidRPr="006E5EE9">
        <w:rPr>
          <w:rFonts w:ascii="Palatino Linotype" w:hAnsi="Palatino Linotype"/>
        </w:rPr>
        <w:t xml:space="preserve">; Standard Deviation. </w:t>
      </w:r>
    </w:p>
    <w:p w14:paraId="1F06FA25" w14:textId="6D51D797" w:rsidR="0068503D" w:rsidRPr="006E5EE9" w:rsidRDefault="0068503D" w:rsidP="00B67CD3">
      <w:pPr>
        <w:jc w:val="both"/>
        <w:rPr>
          <w:rFonts w:ascii="Palatino Linotype" w:hAnsi="Palatino Linotype"/>
        </w:rPr>
      </w:pPr>
      <w:r w:rsidRPr="006E5EE9">
        <w:rPr>
          <w:rFonts w:ascii="Palatino Linotype" w:hAnsi="Palatino Linotype"/>
        </w:rPr>
        <w:t xml:space="preserve">According to the divergence of 1.34, anomalies are identified with a confidence level of roughly 82% for TEC values that are assumed to be distributed normally with M and </w:t>
      </w:r>
      <w:r w:rsidR="0098672A" w:rsidRPr="006E5EE9">
        <w:rPr>
          <w:rFonts w:ascii="Palatino Linotype" w:hAnsi="Palatino Linotype"/>
        </w:rPr>
        <w:t>s</w:t>
      </w:r>
      <w:r w:rsidRPr="006E5EE9">
        <w:rPr>
          <w:rFonts w:ascii="Palatino Linotype" w:hAnsi="Palatino Linotype"/>
        </w:rPr>
        <w:t xml:space="preserve">. Anomalies are classified as positive or negative depending on whether the observed TEC exceeds UB or LB. The TECs that have been seen in UB or LB point to normal circumstances. To rule out any potential contributions from magnetic storm and solar flare data, the unusual </w:t>
      </w:r>
      <w:r w:rsidRPr="006E5EE9">
        <w:rPr>
          <w:rFonts w:ascii="Palatino Linotype" w:hAnsi="Palatino Linotype"/>
        </w:rPr>
        <w:lastRenderedPageBreak/>
        <w:t xml:space="preserve">values were also cross-checked with those sources of data. To get a sense of the space weather, magnetic storm and solar storm (identified by the letters </w:t>
      </w:r>
      <w:proofErr w:type="spellStart"/>
      <w:r w:rsidRPr="006E5EE9">
        <w:rPr>
          <w:rFonts w:ascii="Palatino Linotype" w:hAnsi="Palatino Linotype"/>
        </w:rPr>
        <w:t>Dst</w:t>
      </w:r>
      <w:proofErr w:type="spellEnd"/>
      <w:r w:rsidRPr="006E5EE9">
        <w:rPr>
          <w:rFonts w:ascii="Palatino Linotype" w:hAnsi="Palatino Linotype"/>
        </w:rPr>
        <w:t xml:space="preserve">, </w:t>
      </w:r>
      <w:proofErr w:type="spellStart"/>
      <w:r w:rsidRPr="006E5EE9">
        <w:rPr>
          <w:rFonts w:ascii="Palatino Linotype" w:hAnsi="Palatino Linotype"/>
        </w:rPr>
        <w:t>Kp</w:t>
      </w:r>
      <w:proofErr w:type="spellEnd"/>
      <w:r w:rsidRPr="006E5EE9">
        <w:rPr>
          <w:rFonts w:ascii="Palatino Linotype" w:hAnsi="Palatino Linotype"/>
        </w:rPr>
        <w:t xml:space="preserve">, Ap and F10.7, respectively) are measured. It has been determined that the space weather can be considered quiet, meaning that there is no magnetic storm or solar storm, if the Ap &lt; 35, the F10.7&lt; 85, the </w:t>
      </w:r>
      <w:proofErr w:type="spellStart"/>
      <w:r w:rsidRPr="006E5EE9">
        <w:rPr>
          <w:rFonts w:ascii="Palatino Linotype" w:hAnsi="Palatino Linotype"/>
        </w:rPr>
        <w:t>Kp</w:t>
      </w:r>
      <w:proofErr w:type="spellEnd"/>
      <w:r w:rsidRPr="006E5EE9">
        <w:rPr>
          <w:rFonts w:ascii="Palatino Linotype" w:hAnsi="Palatino Linotype"/>
        </w:rPr>
        <w:t xml:space="preserve"> &lt; 5, and </w:t>
      </w:r>
      <w:proofErr w:type="spellStart"/>
      <w:r w:rsidRPr="006E5EE9">
        <w:rPr>
          <w:rFonts w:ascii="Palatino Linotype" w:hAnsi="Palatino Linotype"/>
        </w:rPr>
        <w:t>Dst</w:t>
      </w:r>
      <w:proofErr w:type="spellEnd"/>
      <w:r w:rsidRPr="006E5EE9">
        <w:rPr>
          <w:rFonts w:ascii="Palatino Linotype" w:hAnsi="Palatino Linotype"/>
        </w:rPr>
        <w:t xml:space="preserve"> &gt; -50. The TEC concentration was examined in relation to the nearest plate border and the earthquake epicentre for the days that were anomalous (as probable zone of earthquakes). Using the same upper and lower bounds, the anomaly is also discovered in the </w:t>
      </w:r>
      <w:proofErr w:type="spellStart"/>
      <w:r w:rsidRPr="006E5EE9">
        <w:rPr>
          <w:rFonts w:ascii="Palatino Linotype" w:hAnsi="Palatino Linotype"/>
        </w:rPr>
        <w:t>spatio</w:t>
      </w:r>
      <w:proofErr w:type="spellEnd"/>
      <w:r w:rsidRPr="006E5EE9">
        <w:rPr>
          <w:rFonts w:ascii="Palatino Linotype" w:hAnsi="Palatino Linotype"/>
        </w:rPr>
        <w:t xml:space="preserve">-temporal domain, and it is typically found close to the epicentre and the nearest plate boundary. Hence, based on TEC high and gradient on anomalous days, distance to nearest plate boundary, and repetition of the anomaly on subsequent anomalous days, an attempt was made to correlate the TEC anomaly with the </w:t>
      </w:r>
      <w:proofErr w:type="spellStart"/>
      <w:r w:rsidRPr="006E5EE9">
        <w:rPr>
          <w:rFonts w:ascii="Palatino Linotype" w:hAnsi="Palatino Linotype"/>
        </w:rPr>
        <w:t>epicenters</w:t>
      </w:r>
      <w:proofErr w:type="spellEnd"/>
      <w:r w:rsidRPr="006E5EE9">
        <w:rPr>
          <w:rFonts w:ascii="Palatino Linotype" w:hAnsi="Palatino Linotype"/>
        </w:rPr>
        <w:t xml:space="preserve">. The TEC data provides hourly TEC values (0-24 hour), having a data point of 5134 (Grid 71 X 73) for each day. These daily data </w:t>
      </w:r>
      <w:proofErr w:type="gramStart"/>
      <w:r w:rsidRPr="006E5EE9">
        <w:rPr>
          <w:rFonts w:ascii="Palatino Linotype" w:hAnsi="Palatino Linotype"/>
        </w:rPr>
        <w:t>( 5134</w:t>
      </w:r>
      <w:proofErr w:type="gramEnd"/>
      <w:r w:rsidRPr="006E5EE9">
        <w:rPr>
          <w:rFonts w:ascii="Palatino Linotype" w:hAnsi="Palatino Linotype"/>
        </w:rPr>
        <w:t xml:space="preserve"> X 24 hour = 129575 Data point) are then will be used for TEC time series to conclude the TEC variations considering the effect of geomagnetic and solar environment (Ap, </w:t>
      </w:r>
      <w:proofErr w:type="spellStart"/>
      <w:r w:rsidRPr="006E5EE9">
        <w:rPr>
          <w:rFonts w:ascii="Palatino Linotype" w:hAnsi="Palatino Linotype"/>
        </w:rPr>
        <w:t>Kp</w:t>
      </w:r>
      <w:proofErr w:type="spellEnd"/>
      <w:r w:rsidRPr="006E5EE9">
        <w:rPr>
          <w:rFonts w:ascii="Palatino Linotype" w:hAnsi="Palatino Linotype"/>
        </w:rPr>
        <w:t xml:space="preserve">, </w:t>
      </w:r>
      <w:proofErr w:type="spellStart"/>
      <w:r w:rsidRPr="006E5EE9">
        <w:rPr>
          <w:rFonts w:ascii="Palatino Linotype" w:hAnsi="Palatino Linotype"/>
        </w:rPr>
        <w:t>Dst</w:t>
      </w:r>
      <w:proofErr w:type="spellEnd"/>
      <w:r w:rsidRPr="006E5EE9">
        <w:rPr>
          <w:rFonts w:ascii="Palatino Linotype" w:hAnsi="Palatino Linotype"/>
        </w:rPr>
        <w:t xml:space="preserve">, F10.7). The TEC values which cross the lower bound will be flagged as anomaly (negative anomaly) due to earthquake, if is not correlated with the geomatic and solar environment. The TEC anomaly highlighting the EPZ zone will be focused more to attain a zone of influence which specify the epicentral zone. </w:t>
      </w:r>
    </w:p>
    <w:p w14:paraId="3D10C7F9" w14:textId="2F338A13" w:rsidR="0068503D" w:rsidRPr="006E5EE9" w:rsidRDefault="0068503D" w:rsidP="00B67CD3">
      <w:pPr>
        <w:jc w:val="both"/>
        <w:rPr>
          <w:rFonts w:ascii="Palatino Linotype" w:hAnsi="Palatino Linotype"/>
          <w:b/>
          <w:bCs/>
          <w:i/>
          <w:iCs/>
        </w:rPr>
      </w:pPr>
      <w:r w:rsidRPr="006E5EE9">
        <w:rPr>
          <w:rFonts w:ascii="Palatino Linotype" w:hAnsi="Palatino Linotype"/>
          <w:b/>
          <w:bCs/>
          <w:i/>
          <w:iCs/>
        </w:rPr>
        <w:t>Real-time TEC prediction using ARIMA Model</w:t>
      </w:r>
    </w:p>
    <w:p w14:paraId="14D06AE2" w14:textId="4AB510E1" w:rsidR="00D11505" w:rsidRPr="006E5EE9" w:rsidRDefault="0068503D" w:rsidP="00B67CD3">
      <w:pPr>
        <w:jc w:val="both"/>
        <w:rPr>
          <w:rFonts w:ascii="Palatino Linotype" w:hAnsi="Palatino Linotype"/>
        </w:rPr>
      </w:pPr>
      <w:r w:rsidRPr="006E5EE9">
        <w:rPr>
          <w:rFonts w:ascii="Palatino Linotype" w:hAnsi="Palatino Linotype"/>
        </w:rPr>
        <w:t xml:space="preserve">The goal of this project is to establish a statistical perturbation of the TEC levels prior to earthquakes, which should be independent of the solar terrestrial environment (solar flare and magnetic storm). Also, using the 2D Latitude- Longitude Time (LLT) TEC anomaly maps, an epicentral zone can be mapped with a high degree of accuracy. This model has proven to be quite successful in tracking the ionospheric TEC perturbation (Dutta et al., 2019). This allowed the </w:t>
      </w:r>
      <w:proofErr w:type="spellStart"/>
      <w:r w:rsidRPr="006E5EE9">
        <w:rPr>
          <w:rFonts w:ascii="Palatino Linotype" w:hAnsi="Palatino Linotype"/>
        </w:rPr>
        <w:t>seismo</w:t>
      </w:r>
      <w:proofErr w:type="spellEnd"/>
      <w:r w:rsidRPr="006E5EE9">
        <w:rPr>
          <w:rFonts w:ascii="Palatino Linotype" w:hAnsi="Palatino Linotype"/>
        </w:rPr>
        <w:t xml:space="preserve">-ionospheric connection and the degree of its change to be guaranteed without a delay of even one day. The ARIMA model was trained on historical TEC data and used to forecast future values of TEC after the best model parameters have been identified. The anticipated TEC values and the related confidence intervals (82%), which give a sense of how certain the predictions are, are included in the model output. Time series data analysis and modelling often involve the use of autocorrelation and partial autocorrelation functions, notably for ARIMA models. The correlation coefficients between the time series and its lagged values at various time lags are plotted in the autocorrelation function (ACF), specifically. A significant ACF value at a given lag signifies that the time series and its lagged value at that lag have a strong correlation. Partial autocorrelation (PACF) measures the correlation between a time series and its lagged values while taking into consideration the influence of intermediate lags. By applying differencing techniques, seasonality in time series data is eliminated using ARIMA models. In the differencing process, the difference between the present observation and a previous observation is calculated. The autocorrelation and partial </w:t>
      </w:r>
      <w:r w:rsidRPr="006E5EE9">
        <w:rPr>
          <w:rFonts w:ascii="Palatino Linotype" w:hAnsi="Palatino Linotype"/>
        </w:rPr>
        <w:lastRenderedPageBreak/>
        <w:t>autocorrelation functions (ACF and PACF) of the differenced data can be used to calculate the values of p, d, and q</w:t>
      </w:r>
      <w:r w:rsidR="00563947" w:rsidRPr="006E5EE9">
        <w:rPr>
          <w:rFonts w:ascii="Palatino Linotype" w:hAnsi="Palatino Linotype"/>
        </w:rPr>
        <w:t xml:space="preserve"> </w:t>
      </w:r>
      <w:r w:rsidRPr="006E5EE9">
        <w:rPr>
          <w:rFonts w:ascii="Palatino Linotype" w:hAnsi="Palatino Linotype"/>
        </w:rPr>
        <w:t>parameters for the ARIMA model after th</w:t>
      </w:r>
      <w:r w:rsidR="00563947" w:rsidRPr="006E5EE9">
        <w:rPr>
          <w:rFonts w:ascii="Palatino Linotype" w:hAnsi="Palatino Linotype"/>
        </w:rPr>
        <w:t xml:space="preserve">e </w:t>
      </w:r>
      <w:r w:rsidRPr="006E5EE9">
        <w:rPr>
          <w:rFonts w:ascii="Palatino Linotype" w:hAnsi="Palatino Linotype"/>
        </w:rPr>
        <w:t>ARIMA model has been fitted to the</w:t>
      </w:r>
      <w:r w:rsidR="00295D22" w:rsidRPr="006E5EE9">
        <w:rPr>
          <w:rFonts w:ascii="Palatino Linotype" w:hAnsi="Palatino Linotype"/>
        </w:rPr>
        <w:t xml:space="preserve"> </w:t>
      </w:r>
      <w:r w:rsidRPr="006E5EE9">
        <w:rPr>
          <w:rFonts w:ascii="Palatino Linotype" w:hAnsi="Palatino Linotype"/>
        </w:rPr>
        <w:t>differenced time series data. Utilising t</w:t>
      </w:r>
      <w:r w:rsidR="00295D22" w:rsidRPr="006E5EE9">
        <w:rPr>
          <w:rFonts w:ascii="Palatino Linotype" w:hAnsi="Palatino Linotype"/>
        </w:rPr>
        <w:t xml:space="preserve">he </w:t>
      </w:r>
      <w:r w:rsidRPr="006E5EE9">
        <w:rPr>
          <w:rFonts w:ascii="Palatino Linotype" w:hAnsi="Palatino Linotype"/>
        </w:rPr>
        <w:t xml:space="preserve">ARIMA model, the prediction will be based on the seasonality removed from the differenced data. The ARIMA model will train the past data and these training will forecast the Real-Time TEC, where the training data and test TEC data </w:t>
      </w:r>
      <w:r w:rsidR="00862305" w:rsidRPr="006E5EE9">
        <w:rPr>
          <w:rFonts w:ascii="Palatino Linotype" w:hAnsi="Palatino Linotype"/>
        </w:rPr>
        <w:t>was divided</w:t>
      </w:r>
      <w:r w:rsidRPr="006E5EE9">
        <w:rPr>
          <w:rFonts w:ascii="Palatino Linotype" w:hAnsi="Palatino Linotype"/>
        </w:rPr>
        <w:t xml:space="preserve"> into 15:1 ratio. After establishing the parameter values for ARIMA, the model</w:t>
      </w:r>
      <w:r w:rsidR="00BE2FE8" w:rsidRPr="006E5EE9">
        <w:rPr>
          <w:rFonts w:ascii="Palatino Linotype" w:hAnsi="Palatino Linotype"/>
        </w:rPr>
        <w:t xml:space="preserve"> is trained</w:t>
      </w:r>
      <w:r w:rsidRPr="006E5EE9">
        <w:rPr>
          <w:rFonts w:ascii="Palatino Linotype" w:hAnsi="Palatino Linotype"/>
        </w:rPr>
        <w:t xml:space="preserve"> using the training dataset and used a fitted model on the testing dataset to project TEC values for the following 15 days. In order to evaluate the performance of the ARIMA, running median (RM), </w:t>
      </w:r>
      <w:r w:rsidR="00D11505" w:rsidRPr="006E5EE9">
        <w:rPr>
          <w:rFonts w:ascii="Palatino Linotype" w:hAnsi="Palatino Linotype"/>
        </w:rPr>
        <w:t>a traditional</w:t>
      </w:r>
      <w:r w:rsidRPr="006E5EE9">
        <w:rPr>
          <w:rFonts w:ascii="Palatino Linotype" w:hAnsi="Palatino Linotype"/>
        </w:rPr>
        <w:t xml:space="preserve"> anomaly detection technique for </w:t>
      </w:r>
      <w:proofErr w:type="spellStart"/>
      <w:r w:rsidRPr="006E5EE9">
        <w:rPr>
          <w:rFonts w:ascii="Palatino Linotype" w:hAnsi="Palatino Linotype"/>
        </w:rPr>
        <w:t>seismo</w:t>
      </w:r>
      <w:proofErr w:type="spellEnd"/>
      <w:r w:rsidRPr="006E5EE9">
        <w:rPr>
          <w:rFonts w:ascii="Palatino Linotype" w:hAnsi="Palatino Linotype"/>
        </w:rPr>
        <w:t xml:space="preserve">-ionospheric studies, was applied to the TEC time series. In the RM approach, the distribution moments mean (M) or median (M) are used to model the TEC times series, and the standard deviation (σ) or interquartile </w:t>
      </w:r>
      <w:r w:rsidR="00BE2FE8" w:rsidRPr="006E5EE9">
        <w:rPr>
          <w:rFonts w:ascii="Palatino Linotype" w:hAnsi="Palatino Linotype"/>
        </w:rPr>
        <w:t xml:space="preserve">ranges (IQR) are used to define anomalies. The medians </w:t>
      </w:r>
      <w:r w:rsidR="0098672A" w:rsidRPr="006E5EE9">
        <w:rPr>
          <w:rFonts w:ascii="Palatino Linotype" w:hAnsi="Palatino Linotype"/>
        </w:rPr>
        <w:t>o</w:t>
      </w:r>
      <w:r w:rsidR="00D11505" w:rsidRPr="006E5EE9">
        <w:rPr>
          <w:rFonts w:ascii="Palatino Linotype" w:hAnsi="Palatino Linotype"/>
        </w:rPr>
        <w:t>f TEC values during the previous 15 days were computed to find the difference from the observed TECs of the 16th day. To clearly see anomalies, errors were calculated by comparing actual and predicted TEC values. An error matrix will show the RMSE error of the test statistic, which will justify the capability of the model.</w:t>
      </w:r>
    </w:p>
    <w:p w14:paraId="66037BBA" w14:textId="77777777" w:rsidR="004A51C8" w:rsidRPr="006E5EE9" w:rsidRDefault="004A51C8" w:rsidP="00B67CD3">
      <w:pPr>
        <w:jc w:val="both"/>
        <w:rPr>
          <w:rFonts w:ascii="Palatino Linotype" w:hAnsi="Palatino Linotype"/>
        </w:rPr>
      </w:pPr>
    </w:p>
    <w:p w14:paraId="73C82805" w14:textId="77777777" w:rsidR="00862305" w:rsidRPr="006E5EE9" w:rsidRDefault="00862305" w:rsidP="00B67CD3">
      <w:pPr>
        <w:jc w:val="both"/>
        <w:rPr>
          <w:rFonts w:ascii="Palatino Linotype" w:hAnsi="Palatino Linotype"/>
        </w:rPr>
      </w:pPr>
    </w:p>
    <w:p w14:paraId="30420273" w14:textId="77777777" w:rsidR="00862305" w:rsidRPr="006E5EE9" w:rsidRDefault="00862305" w:rsidP="00B67CD3">
      <w:pPr>
        <w:jc w:val="both"/>
        <w:rPr>
          <w:rFonts w:ascii="Palatino Linotype" w:hAnsi="Palatino Linotype"/>
        </w:rPr>
      </w:pPr>
    </w:p>
    <w:p w14:paraId="0963D33D" w14:textId="77777777" w:rsidR="00862305" w:rsidRPr="006E5EE9" w:rsidRDefault="00862305" w:rsidP="00B67CD3">
      <w:pPr>
        <w:jc w:val="both"/>
        <w:rPr>
          <w:rFonts w:ascii="Palatino Linotype" w:hAnsi="Palatino Linotype"/>
        </w:rPr>
      </w:pPr>
    </w:p>
    <w:p w14:paraId="2EE6C7BC" w14:textId="77777777" w:rsidR="00862305" w:rsidRPr="006E5EE9" w:rsidRDefault="00862305" w:rsidP="00B67CD3">
      <w:pPr>
        <w:jc w:val="both"/>
        <w:rPr>
          <w:rFonts w:ascii="Palatino Linotype" w:hAnsi="Palatino Linotype"/>
        </w:rPr>
      </w:pPr>
    </w:p>
    <w:p w14:paraId="39402853" w14:textId="77777777" w:rsidR="00862305" w:rsidRPr="006E5EE9" w:rsidRDefault="00862305" w:rsidP="00B67CD3">
      <w:pPr>
        <w:jc w:val="both"/>
        <w:rPr>
          <w:rFonts w:ascii="Palatino Linotype" w:hAnsi="Palatino Linotype"/>
        </w:rPr>
      </w:pPr>
    </w:p>
    <w:p w14:paraId="5B2025F7" w14:textId="77777777" w:rsidR="00862305" w:rsidRPr="006E5EE9" w:rsidRDefault="00862305" w:rsidP="00B67CD3">
      <w:pPr>
        <w:jc w:val="both"/>
        <w:rPr>
          <w:rFonts w:ascii="Palatino Linotype" w:hAnsi="Palatino Linotype"/>
        </w:rPr>
      </w:pPr>
    </w:p>
    <w:p w14:paraId="463D0178" w14:textId="77777777" w:rsidR="00862305" w:rsidRPr="006E5EE9" w:rsidRDefault="00862305" w:rsidP="00B67CD3">
      <w:pPr>
        <w:jc w:val="both"/>
        <w:rPr>
          <w:rFonts w:ascii="Palatino Linotype" w:hAnsi="Palatino Linotype"/>
        </w:rPr>
      </w:pPr>
    </w:p>
    <w:p w14:paraId="776F1F8B" w14:textId="77777777" w:rsidR="00862305" w:rsidRPr="006E5EE9" w:rsidRDefault="00862305" w:rsidP="00B67CD3">
      <w:pPr>
        <w:jc w:val="both"/>
        <w:rPr>
          <w:rFonts w:ascii="Palatino Linotype" w:hAnsi="Palatino Linotype"/>
        </w:rPr>
      </w:pPr>
    </w:p>
    <w:p w14:paraId="6EA42D68" w14:textId="77777777" w:rsidR="00862305" w:rsidRPr="006E5EE9" w:rsidRDefault="00862305" w:rsidP="00B67CD3">
      <w:pPr>
        <w:jc w:val="both"/>
        <w:rPr>
          <w:rFonts w:ascii="Palatino Linotype" w:hAnsi="Palatino Linotype"/>
        </w:rPr>
      </w:pPr>
    </w:p>
    <w:p w14:paraId="595A50B9" w14:textId="77777777" w:rsidR="00862305" w:rsidRPr="006E5EE9" w:rsidRDefault="00862305" w:rsidP="00B67CD3">
      <w:pPr>
        <w:jc w:val="both"/>
        <w:rPr>
          <w:rFonts w:ascii="Palatino Linotype" w:hAnsi="Palatino Linotype"/>
        </w:rPr>
      </w:pPr>
    </w:p>
    <w:p w14:paraId="078207E6" w14:textId="77777777" w:rsidR="00862305" w:rsidRPr="006E5EE9" w:rsidRDefault="00862305" w:rsidP="00B67CD3">
      <w:pPr>
        <w:jc w:val="both"/>
        <w:rPr>
          <w:rFonts w:ascii="Palatino Linotype" w:hAnsi="Palatino Linotype"/>
        </w:rPr>
      </w:pPr>
    </w:p>
    <w:p w14:paraId="1BB50179" w14:textId="77777777" w:rsidR="00862305" w:rsidRPr="006E5EE9" w:rsidRDefault="00862305" w:rsidP="00B67CD3">
      <w:pPr>
        <w:jc w:val="both"/>
        <w:rPr>
          <w:rFonts w:ascii="Palatino Linotype" w:hAnsi="Palatino Linotype"/>
        </w:rPr>
      </w:pPr>
    </w:p>
    <w:p w14:paraId="2D983DAB" w14:textId="77777777" w:rsidR="00862305" w:rsidRPr="006E5EE9" w:rsidRDefault="00862305" w:rsidP="00B67CD3">
      <w:pPr>
        <w:jc w:val="both"/>
        <w:rPr>
          <w:rFonts w:ascii="Palatino Linotype" w:hAnsi="Palatino Linotype"/>
        </w:rPr>
      </w:pPr>
    </w:p>
    <w:p w14:paraId="5DB64275" w14:textId="77777777" w:rsidR="00862305" w:rsidRPr="006E5EE9" w:rsidRDefault="00862305" w:rsidP="00B67CD3">
      <w:pPr>
        <w:jc w:val="both"/>
        <w:rPr>
          <w:rFonts w:ascii="Palatino Linotype" w:hAnsi="Palatino Linotype"/>
        </w:rPr>
      </w:pPr>
    </w:p>
    <w:p w14:paraId="5C718060" w14:textId="77777777" w:rsidR="00862305" w:rsidRPr="006E5EE9" w:rsidRDefault="00862305" w:rsidP="00B67CD3">
      <w:pPr>
        <w:jc w:val="both"/>
        <w:rPr>
          <w:rFonts w:ascii="Palatino Linotype" w:hAnsi="Palatino Linotype"/>
        </w:rPr>
      </w:pPr>
    </w:p>
    <w:p w14:paraId="61D17049" w14:textId="77777777" w:rsidR="00862305" w:rsidRPr="006E5EE9" w:rsidRDefault="00862305" w:rsidP="00B67CD3">
      <w:pPr>
        <w:jc w:val="both"/>
        <w:rPr>
          <w:rFonts w:ascii="Palatino Linotype" w:hAnsi="Palatino Linotype"/>
        </w:rPr>
      </w:pPr>
    </w:p>
    <w:p w14:paraId="7AC18BB9" w14:textId="77777777" w:rsidR="00862305" w:rsidRPr="006E5EE9" w:rsidRDefault="00862305" w:rsidP="00B67CD3">
      <w:pPr>
        <w:jc w:val="both"/>
        <w:rPr>
          <w:rFonts w:ascii="Palatino Linotype" w:hAnsi="Palatino Linotype"/>
        </w:rPr>
      </w:pPr>
    </w:p>
    <w:p w14:paraId="008553CA" w14:textId="77777777" w:rsidR="00862305" w:rsidRPr="006E5EE9" w:rsidRDefault="00862305" w:rsidP="00B67CD3">
      <w:pPr>
        <w:jc w:val="both"/>
        <w:rPr>
          <w:rFonts w:ascii="Palatino Linotype" w:hAnsi="Palatino Linotype"/>
        </w:rPr>
      </w:pPr>
    </w:p>
    <w:p w14:paraId="1F5283CE" w14:textId="77777777" w:rsidR="00862305" w:rsidRPr="006E5EE9" w:rsidRDefault="00862305" w:rsidP="00B67CD3">
      <w:pPr>
        <w:jc w:val="both"/>
        <w:rPr>
          <w:rFonts w:ascii="Palatino Linotype" w:hAnsi="Palatino Linotype"/>
        </w:rPr>
      </w:pPr>
    </w:p>
    <w:p w14:paraId="310044D6" w14:textId="77777777" w:rsidR="00862305" w:rsidRPr="006E5EE9" w:rsidRDefault="00862305" w:rsidP="00B67CD3">
      <w:pPr>
        <w:jc w:val="both"/>
        <w:rPr>
          <w:rFonts w:ascii="Palatino Linotype" w:hAnsi="Palatino Linotype"/>
        </w:rPr>
      </w:pPr>
    </w:p>
    <w:p w14:paraId="56625C2D" w14:textId="77777777" w:rsidR="00862305" w:rsidRPr="006E5EE9" w:rsidRDefault="00862305" w:rsidP="00B67CD3">
      <w:pPr>
        <w:jc w:val="both"/>
        <w:rPr>
          <w:rFonts w:ascii="Palatino Linotype" w:hAnsi="Palatino Linotype"/>
        </w:rPr>
      </w:pPr>
    </w:p>
    <w:p w14:paraId="6DDA4343" w14:textId="77777777" w:rsidR="00862305" w:rsidRPr="006E5EE9" w:rsidRDefault="00862305" w:rsidP="00B67CD3">
      <w:pPr>
        <w:jc w:val="both"/>
        <w:rPr>
          <w:rFonts w:ascii="Palatino Linotype" w:hAnsi="Palatino Linotype"/>
        </w:rPr>
      </w:pPr>
    </w:p>
    <w:p w14:paraId="3F505D8E" w14:textId="77777777" w:rsidR="00862305" w:rsidRPr="006E5EE9" w:rsidRDefault="00862305" w:rsidP="00B67CD3">
      <w:pPr>
        <w:jc w:val="both"/>
        <w:rPr>
          <w:rFonts w:ascii="Palatino Linotype" w:hAnsi="Palatino Linotype"/>
        </w:rPr>
      </w:pPr>
    </w:p>
    <w:p w14:paraId="71F7EE20" w14:textId="77777777" w:rsidR="00862305" w:rsidRPr="006E5EE9" w:rsidRDefault="00862305" w:rsidP="00B67CD3">
      <w:pPr>
        <w:jc w:val="both"/>
        <w:rPr>
          <w:rFonts w:ascii="Palatino Linotype" w:hAnsi="Palatino Linotype"/>
        </w:rPr>
      </w:pPr>
    </w:p>
    <w:p w14:paraId="2ADDADF1" w14:textId="77777777" w:rsidR="00862305" w:rsidRPr="006E5EE9" w:rsidRDefault="00862305" w:rsidP="00B67CD3">
      <w:pPr>
        <w:jc w:val="both"/>
        <w:rPr>
          <w:rFonts w:ascii="Palatino Linotype" w:hAnsi="Palatino Linotype"/>
        </w:rPr>
      </w:pPr>
    </w:p>
    <w:p w14:paraId="23278B95" w14:textId="77777777" w:rsidR="00862305" w:rsidRPr="006E5EE9" w:rsidRDefault="00862305" w:rsidP="00B67CD3">
      <w:pPr>
        <w:jc w:val="both"/>
        <w:rPr>
          <w:rFonts w:ascii="Palatino Linotype" w:hAnsi="Palatino Linotype"/>
        </w:rPr>
      </w:pPr>
    </w:p>
    <w:p w14:paraId="2C1C8844" w14:textId="77777777" w:rsidR="00862305" w:rsidRPr="006E5EE9" w:rsidRDefault="00862305" w:rsidP="00B67CD3">
      <w:pPr>
        <w:jc w:val="both"/>
        <w:rPr>
          <w:rFonts w:ascii="Palatino Linotype" w:hAnsi="Palatino Linotype"/>
        </w:rPr>
      </w:pPr>
    </w:p>
    <w:p w14:paraId="049AE069" w14:textId="77777777" w:rsidR="00862305" w:rsidRPr="006E5EE9" w:rsidRDefault="00862305" w:rsidP="00B67CD3">
      <w:pPr>
        <w:jc w:val="both"/>
        <w:rPr>
          <w:rFonts w:ascii="Palatino Linotype" w:hAnsi="Palatino Linotype"/>
        </w:rPr>
      </w:pPr>
    </w:p>
    <w:p w14:paraId="424034AF" w14:textId="77777777" w:rsidR="00862305" w:rsidRPr="006E5EE9" w:rsidRDefault="00862305" w:rsidP="00B67CD3">
      <w:pPr>
        <w:jc w:val="both"/>
        <w:rPr>
          <w:rFonts w:ascii="Palatino Linotype" w:hAnsi="Palatino Linotype"/>
        </w:rPr>
      </w:pPr>
    </w:p>
    <w:p w14:paraId="7B329795" w14:textId="77777777" w:rsidR="00862305" w:rsidRPr="006E5EE9" w:rsidRDefault="00862305" w:rsidP="00B67CD3">
      <w:pPr>
        <w:jc w:val="both"/>
        <w:rPr>
          <w:rFonts w:ascii="Palatino Linotype" w:hAnsi="Palatino Linotype"/>
        </w:rPr>
      </w:pPr>
    </w:p>
    <w:p w14:paraId="726F837D" w14:textId="77777777" w:rsidR="00862305" w:rsidRPr="006E5EE9" w:rsidRDefault="00862305" w:rsidP="00B67CD3">
      <w:pPr>
        <w:jc w:val="both"/>
        <w:rPr>
          <w:rFonts w:ascii="Palatino Linotype" w:hAnsi="Palatino Linotype"/>
        </w:rPr>
      </w:pPr>
    </w:p>
    <w:p w14:paraId="1364DD5F" w14:textId="77777777" w:rsidR="00862305" w:rsidRPr="006E5EE9" w:rsidRDefault="00862305" w:rsidP="00B67CD3">
      <w:pPr>
        <w:jc w:val="both"/>
        <w:rPr>
          <w:rFonts w:ascii="Palatino Linotype" w:hAnsi="Palatino Linotype"/>
        </w:rPr>
      </w:pPr>
    </w:p>
    <w:p w14:paraId="09F51AE2" w14:textId="77777777" w:rsidR="00862305" w:rsidRPr="006E5EE9" w:rsidRDefault="00862305" w:rsidP="00B67CD3">
      <w:pPr>
        <w:jc w:val="both"/>
        <w:rPr>
          <w:rFonts w:ascii="Palatino Linotype" w:hAnsi="Palatino Linotype"/>
        </w:rPr>
      </w:pPr>
    </w:p>
    <w:p w14:paraId="12EBD746" w14:textId="77777777" w:rsidR="00862305" w:rsidRPr="006E5EE9" w:rsidRDefault="00862305" w:rsidP="00B67CD3">
      <w:pPr>
        <w:jc w:val="both"/>
        <w:rPr>
          <w:rFonts w:ascii="Palatino Linotype" w:hAnsi="Palatino Linotype"/>
        </w:rPr>
      </w:pPr>
    </w:p>
    <w:p w14:paraId="46356E5C" w14:textId="77777777" w:rsidR="00862305" w:rsidRPr="006E5EE9" w:rsidRDefault="00862305" w:rsidP="00B67CD3">
      <w:pPr>
        <w:jc w:val="both"/>
        <w:rPr>
          <w:rFonts w:ascii="Palatino Linotype" w:hAnsi="Palatino Linotype"/>
        </w:rPr>
      </w:pPr>
    </w:p>
    <w:p w14:paraId="0950D159" w14:textId="7ABA2419" w:rsidR="00862305" w:rsidRPr="006E5EE9" w:rsidRDefault="00862305" w:rsidP="00B67CD3">
      <w:pPr>
        <w:jc w:val="both"/>
        <w:rPr>
          <w:rFonts w:ascii="Palatino Linotype" w:hAnsi="Palatino Linotype"/>
          <w:b/>
          <w:bCs/>
        </w:rPr>
      </w:pPr>
      <w:r w:rsidRPr="006E5EE9">
        <w:rPr>
          <w:noProof/>
        </w:rPr>
        <w:drawing>
          <wp:anchor distT="0" distB="0" distL="114300" distR="114300" simplePos="0" relativeHeight="251683840" behindDoc="0" locked="0" layoutInCell="1" allowOverlap="1" wp14:anchorId="346A3CFC" wp14:editId="0EA6CFEE">
            <wp:simplePos x="0" y="0"/>
            <wp:positionH relativeFrom="margin">
              <wp:align>left</wp:align>
            </wp:positionH>
            <wp:positionV relativeFrom="paragraph">
              <wp:posOffset>606056</wp:posOffset>
            </wp:positionV>
            <wp:extent cx="5560828" cy="6400501"/>
            <wp:effectExtent l="0" t="0" r="1905" b="635"/>
            <wp:wrapSquare wrapText="bothSides"/>
            <wp:docPr id="1338746640" name="Picture 3" descr="A screenshot of a computer&#10;&#10;Description automatically generated">
              <a:extLst xmlns:a="http://schemas.openxmlformats.org/drawingml/2006/main">
                <a:ext uri="{FF2B5EF4-FFF2-40B4-BE49-F238E27FC236}">
                  <a16:creationId xmlns:a16="http://schemas.microsoft.com/office/drawing/2014/main" id="{BBDEA245-6B41-CFB0-CCE7-27217932B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46640" name="Picture 3" descr="A screenshot of a computer&#10;&#10;Description automatically generated">
                      <a:extLst>
                        <a:ext uri="{FF2B5EF4-FFF2-40B4-BE49-F238E27FC236}">
                          <a16:creationId xmlns:a16="http://schemas.microsoft.com/office/drawing/2014/main" id="{BBDEA245-6B41-CFB0-CCE7-27217932B683}"/>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0828" cy="6400501"/>
                    </a:xfrm>
                    <a:prstGeom prst="rect">
                      <a:avLst/>
                    </a:prstGeom>
                    <a:noFill/>
                  </pic:spPr>
                </pic:pic>
              </a:graphicData>
            </a:graphic>
          </wp:anchor>
        </w:drawing>
      </w:r>
      <w:r w:rsidRPr="006E5EE9">
        <w:rPr>
          <w:rFonts w:ascii="Palatino Linotype" w:hAnsi="Palatino Linotype"/>
          <w:b/>
          <w:bCs/>
        </w:rPr>
        <w:t xml:space="preserve">FIGURE </w:t>
      </w:r>
      <w:r w:rsidR="00867249" w:rsidRPr="006E5EE9">
        <w:rPr>
          <w:rFonts w:ascii="Palatino Linotype" w:hAnsi="Palatino Linotype"/>
          <w:b/>
          <w:bCs/>
        </w:rPr>
        <w:t>1</w:t>
      </w:r>
      <w:r w:rsidR="004732F9" w:rsidRPr="006E5EE9">
        <w:rPr>
          <w:rFonts w:ascii="Palatino Linotype" w:hAnsi="Palatino Linotype"/>
          <w:b/>
          <w:bCs/>
        </w:rPr>
        <w:t xml:space="preserve">. Study framework </w:t>
      </w:r>
    </w:p>
    <w:p w14:paraId="39D23F38" w14:textId="0C08384D" w:rsidR="00862305" w:rsidRPr="006E5EE9" w:rsidRDefault="00862305" w:rsidP="00B67CD3">
      <w:pPr>
        <w:jc w:val="both"/>
        <w:rPr>
          <w:rFonts w:ascii="Palatino Linotype" w:hAnsi="Palatino Linotype"/>
          <w:b/>
          <w:bCs/>
        </w:rPr>
      </w:pPr>
    </w:p>
    <w:p w14:paraId="3634752A" w14:textId="02C07087" w:rsidR="00862305" w:rsidRPr="006E5EE9" w:rsidRDefault="00862305" w:rsidP="00B67CD3">
      <w:pPr>
        <w:jc w:val="both"/>
        <w:rPr>
          <w:rFonts w:ascii="Palatino Linotype" w:hAnsi="Palatino Linotype"/>
          <w:b/>
          <w:bCs/>
        </w:rPr>
      </w:pPr>
    </w:p>
    <w:p w14:paraId="5BB52E88" w14:textId="77777777" w:rsidR="00862305" w:rsidRPr="006E5EE9" w:rsidRDefault="00862305" w:rsidP="00B67CD3">
      <w:pPr>
        <w:jc w:val="both"/>
        <w:rPr>
          <w:rFonts w:ascii="Palatino Linotype" w:hAnsi="Palatino Linotype"/>
          <w:b/>
          <w:bCs/>
        </w:rPr>
      </w:pPr>
    </w:p>
    <w:p w14:paraId="7BABC959" w14:textId="77777777" w:rsidR="00862305" w:rsidRPr="006E5EE9" w:rsidRDefault="00862305" w:rsidP="00B67CD3">
      <w:pPr>
        <w:jc w:val="both"/>
        <w:rPr>
          <w:rFonts w:ascii="Palatino Linotype" w:hAnsi="Palatino Linotype"/>
          <w:b/>
          <w:bCs/>
        </w:rPr>
      </w:pPr>
    </w:p>
    <w:p w14:paraId="3FC533A3" w14:textId="77777777" w:rsidR="00862305" w:rsidRPr="006E5EE9" w:rsidRDefault="00862305" w:rsidP="00B67CD3">
      <w:pPr>
        <w:jc w:val="both"/>
        <w:rPr>
          <w:rFonts w:ascii="Palatino Linotype" w:hAnsi="Palatino Linotype"/>
          <w:b/>
          <w:bCs/>
        </w:rPr>
      </w:pPr>
    </w:p>
    <w:p w14:paraId="37F885BB" w14:textId="77777777" w:rsidR="00862305" w:rsidRPr="006E5EE9" w:rsidRDefault="00862305" w:rsidP="00B67CD3">
      <w:pPr>
        <w:jc w:val="both"/>
        <w:rPr>
          <w:rFonts w:ascii="Palatino Linotype" w:hAnsi="Palatino Linotype"/>
          <w:b/>
          <w:bCs/>
        </w:rPr>
      </w:pPr>
    </w:p>
    <w:p w14:paraId="2EC5AC41" w14:textId="77777777" w:rsidR="00862305" w:rsidRPr="006E5EE9" w:rsidRDefault="00862305" w:rsidP="00B67CD3">
      <w:pPr>
        <w:jc w:val="both"/>
        <w:rPr>
          <w:rFonts w:ascii="Palatino Linotype" w:hAnsi="Palatino Linotype"/>
          <w:b/>
          <w:bCs/>
        </w:rPr>
      </w:pPr>
    </w:p>
    <w:p w14:paraId="46BF9F69" w14:textId="77777777" w:rsidR="00862305" w:rsidRPr="006E5EE9" w:rsidRDefault="00862305" w:rsidP="00B67CD3">
      <w:pPr>
        <w:jc w:val="both"/>
        <w:rPr>
          <w:rFonts w:ascii="Palatino Linotype" w:hAnsi="Palatino Linotype"/>
          <w:b/>
          <w:bCs/>
        </w:rPr>
      </w:pPr>
    </w:p>
    <w:p w14:paraId="5AC8735A" w14:textId="77777777" w:rsidR="00862305" w:rsidRPr="006E5EE9" w:rsidRDefault="00862305" w:rsidP="00B67CD3">
      <w:pPr>
        <w:jc w:val="both"/>
        <w:rPr>
          <w:rFonts w:ascii="Palatino Linotype" w:hAnsi="Palatino Linotype"/>
          <w:b/>
          <w:bCs/>
        </w:rPr>
      </w:pPr>
    </w:p>
    <w:p w14:paraId="70A58113" w14:textId="77777777" w:rsidR="00862305" w:rsidRPr="006E5EE9" w:rsidRDefault="00862305" w:rsidP="00B67CD3">
      <w:pPr>
        <w:jc w:val="both"/>
        <w:rPr>
          <w:rFonts w:ascii="Palatino Linotype" w:hAnsi="Palatino Linotype"/>
          <w:b/>
          <w:bCs/>
        </w:rPr>
      </w:pPr>
    </w:p>
    <w:p w14:paraId="270AABAB" w14:textId="77777777" w:rsidR="00862305" w:rsidRPr="006E5EE9" w:rsidRDefault="00862305" w:rsidP="00B67CD3">
      <w:pPr>
        <w:jc w:val="both"/>
        <w:rPr>
          <w:rFonts w:ascii="Palatino Linotype" w:hAnsi="Palatino Linotype"/>
          <w:b/>
          <w:bCs/>
        </w:rPr>
      </w:pPr>
    </w:p>
    <w:p w14:paraId="45C1C097" w14:textId="77777777" w:rsidR="00862305" w:rsidRPr="006E5EE9" w:rsidRDefault="00862305" w:rsidP="00B67CD3">
      <w:pPr>
        <w:jc w:val="both"/>
        <w:rPr>
          <w:rFonts w:ascii="Palatino Linotype" w:hAnsi="Palatino Linotype"/>
          <w:b/>
          <w:bCs/>
        </w:rPr>
      </w:pPr>
    </w:p>
    <w:p w14:paraId="49D2FE2C" w14:textId="77777777" w:rsidR="00862305" w:rsidRPr="006E5EE9" w:rsidRDefault="00862305" w:rsidP="00B67CD3">
      <w:pPr>
        <w:jc w:val="both"/>
        <w:rPr>
          <w:rFonts w:ascii="Palatino Linotype" w:hAnsi="Palatino Linotype"/>
          <w:b/>
          <w:bCs/>
        </w:rPr>
      </w:pPr>
    </w:p>
    <w:p w14:paraId="14F7EB62" w14:textId="77777777" w:rsidR="00862305" w:rsidRPr="006E5EE9" w:rsidRDefault="00862305" w:rsidP="00B67CD3">
      <w:pPr>
        <w:jc w:val="both"/>
        <w:rPr>
          <w:rFonts w:ascii="Palatino Linotype" w:hAnsi="Palatino Linotype"/>
          <w:b/>
          <w:bCs/>
        </w:rPr>
      </w:pPr>
    </w:p>
    <w:p w14:paraId="5B790CCE" w14:textId="77777777" w:rsidR="00862305" w:rsidRPr="006E5EE9" w:rsidRDefault="00862305" w:rsidP="00B67CD3">
      <w:pPr>
        <w:jc w:val="both"/>
        <w:rPr>
          <w:rFonts w:ascii="Palatino Linotype" w:hAnsi="Palatino Linotype"/>
          <w:b/>
          <w:bCs/>
        </w:rPr>
      </w:pPr>
    </w:p>
    <w:p w14:paraId="52C3F873" w14:textId="4F2268F1" w:rsidR="004A51C8" w:rsidRPr="006E5EE9" w:rsidRDefault="004A51C8" w:rsidP="00B67CD3">
      <w:pPr>
        <w:jc w:val="both"/>
        <w:rPr>
          <w:rFonts w:ascii="Palatino Linotype" w:hAnsi="Palatino Linotype"/>
          <w:b/>
          <w:bCs/>
        </w:rPr>
      </w:pPr>
      <w:r w:rsidRPr="006E5EE9">
        <w:rPr>
          <w:rFonts w:ascii="Palatino Linotype" w:hAnsi="Palatino Linotype"/>
          <w:b/>
          <w:bCs/>
        </w:rPr>
        <w:t>RESULTS &amp; DISCUSSIONS</w:t>
      </w:r>
    </w:p>
    <w:p w14:paraId="714AB2D8" w14:textId="7B74CFE6" w:rsidR="0098672A" w:rsidRPr="006E5EE9" w:rsidRDefault="0098672A" w:rsidP="00B67CD3">
      <w:pPr>
        <w:jc w:val="both"/>
        <w:rPr>
          <w:rFonts w:ascii="Palatino Linotype" w:hAnsi="Palatino Linotype"/>
          <w:b/>
          <w:bCs/>
          <w:i/>
          <w:iCs/>
        </w:rPr>
      </w:pPr>
      <w:r w:rsidRPr="006E5EE9">
        <w:rPr>
          <w:rFonts w:ascii="Palatino Linotype" w:hAnsi="Palatino Linotype"/>
          <w:b/>
          <w:bCs/>
          <w:i/>
          <w:iCs/>
        </w:rPr>
        <w:t>The Hourly- TEC Time Series</w:t>
      </w:r>
    </w:p>
    <w:p w14:paraId="258A0FFB" w14:textId="15D9C551" w:rsidR="0098672A" w:rsidRPr="006E5EE9" w:rsidRDefault="0098672A" w:rsidP="00B67CD3">
      <w:pPr>
        <w:jc w:val="both"/>
        <w:rPr>
          <w:rFonts w:ascii="Palatino Linotype" w:hAnsi="Palatino Linotype"/>
        </w:rPr>
      </w:pPr>
      <w:r w:rsidRPr="006E5EE9">
        <w:rPr>
          <w:rFonts w:ascii="Palatino Linotype" w:hAnsi="Palatino Linotype"/>
        </w:rPr>
        <w:t xml:space="preserve">TEC information can be displayed as a time series that illustrates how TEC values alter over the course of time at a certain location or along a specific path. Since TEC values are ranging from 0 hours (UTC 0:00 hours, TRT 03:00 AM) to 24 hours (UTC 23:00 hours, TRT 2:00 AM), only the </w:t>
      </w:r>
      <w:r w:rsidR="00BE2FE8" w:rsidRPr="006E5EE9">
        <w:rPr>
          <w:rFonts w:ascii="Palatino Linotype" w:hAnsi="Palatino Linotype"/>
        </w:rPr>
        <w:t>daytime</w:t>
      </w:r>
      <w:r w:rsidRPr="006E5EE9">
        <w:rPr>
          <w:rFonts w:ascii="Palatino Linotype" w:hAnsi="Palatino Linotype"/>
        </w:rPr>
        <w:t xml:space="preserve"> TEC </w:t>
      </w:r>
      <w:r w:rsidR="00404F83" w:rsidRPr="006E5EE9">
        <w:rPr>
          <w:rFonts w:ascii="Palatino Linotype" w:hAnsi="Palatino Linotype"/>
        </w:rPr>
        <w:t xml:space="preserve">is considered </w:t>
      </w:r>
      <w:r w:rsidRPr="006E5EE9">
        <w:rPr>
          <w:rFonts w:ascii="Palatino Linotype" w:hAnsi="Palatino Linotype"/>
        </w:rPr>
        <w:t xml:space="preserve">to justify only the true anomalies. From 25th to 1st January, the continuous TEC time series plot reveals considerably (lower) TEC values. Here, there are several negative anomalies, but the two days with the highest negative anomalies are on 27th and 28th January. </w:t>
      </w:r>
      <w:r w:rsidR="00404F83" w:rsidRPr="006E5EE9">
        <w:rPr>
          <w:rFonts w:ascii="Palatino Linotype" w:hAnsi="Palatino Linotype"/>
        </w:rPr>
        <w:t>These negative anomalies</w:t>
      </w:r>
      <w:r w:rsidRPr="006E5EE9">
        <w:rPr>
          <w:rFonts w:ascii="Palatino Linotype" w:hAnsi="Palatino Linotype"/>
        </w:rPr>
        <w:t xml:space="preserve"> were found to be around </w:t>
      </w:r>
      <w:r w:rsidR="00404F83" w:rsidRPr="006E5EE9">
        <w:rPr>
          <w:rFonts w:ascii="Palatino Linotype" w:hAnsi="Palatino Linotype"/>
        </w:rPr>
        <w:t>-</w:t>
      </w:r>
      <w:r w:rsidRPr="006E5EE9">
        <w:rPr>
          <w:rFonts w:ascii="Palatino Linotype" w:hAnsi="Palatino Linotype"/>
        </w:rPr>
        <w:t xml:space="preserve">15 and </w:t>
      </w:r>
      <w:r w:rsidR="00404F83" w:rsidRPr="006E5EE9">
        <w:rPr>
          <w:rFonts w:ascii="Palatino Linotype" w:hAnsi="Palatino Linotype"/>
        </w:rPr>
        <w:t>-</w:t>
      </w:r>
      <w:r w:rsidRPr="006E5EE9">
        <w:rPr>
          <w:rFonts w:ascii="Palatino Linotype" w:hAnsi="Palatino Linotype"/>
        </w:rPr>
        <w:t xml:space="preserve">14 TECu respectively. To rule out any potential involvement of solar activity and a geomagnetic storm during 10th January to 8th </w:t>
      </w:r>
      <w:r w:rsidR="00404F83" w:rsidRPr="006E5EE9">
        <w:rPr>
          <w:rFonts w:ascii="Palatino Linotype" w:hAnsi="Palatino Linotype"/>
        </w:rPr>
        <w:t>February</w:t>
      </w:r>
      <w:r w:rsidRPr="006E5EE9">
        <w:rPr>
          <w:rFonts w:ascii="Palatino Linotype" w:hAnsi="Palatino Linotype"/>
        </w:rPr>
        <w:t xml:space="preserve"> 2015 four indices were </w:t>
      </w:r>
      <w:r w:rsidR="00404F83" w:rsidRPr="006E5EE9">
        <w:rPr>
          <w:rFonts w:ascii="Palatino Linotype" w:hAnsi="Palatino Linotype"/>
        </w:rPr>
        <w:t>analysed</w:t>
      </w:r>
      <w:r w:rsidRPr="006E5EE9">
        <w:rPr>
          <w:rFonts w:ascii="Palatino Linotype" w:hAnsi="Palatino Linotype"/>
        </w:rPr>
        <w:t xml:space="preserve"> (Figure). The below figure revealed the presence of high continuous solar storm is there for the entire duration as the Time-Series (Figure.) due to high value of F10.7 (&gt;120units). No geomagnetic storm was detected except for 14th and 15th January (Ap &gt; 30). Therefore, all the negative anomalies were considered for the entire 30-day TEC Time-Series due to the influence of solar activity was included continuously. The anomalies were showed with the grey columns corresponding with the </w:t>
      </w:r>
      <w:proofErr w:type="spellStart"/>
      <w:r w:rsidRPr="006E5EE9">
        <w:rPr>
          <w:rFonts w:ascii="Palatino Linotype" w:hAnsi="Palatino Linotype"/>
        </w:rPr>
        <w:t>Dst</w:t>
      </w:r>
      <w:proofErr w:type="spellEnd"/>
      <w:r w:rsidRPr="006E5EE9">
        <w:rPr>
          <w:rFonts w:ascii="Palatino Linotype" w:hAnsi="Palatino Linotype"/>
        </w:rPr>
        <w:t xml:space="preserve">, Ap, F10.7 &amp; </w:t>
      </w:r>
      <w:proofErr w:type="spellStart"/>
      <w:r w:rsidRPr="006E5EE9">
        <w:rPr>
          <w:rFonts w:ascii="Palatino Linotype" w:hAnsi="Palatino Linotype"/>
        </w:rPr>
        <w:t>Kp</w:t>
      </w:r>
      <w:proofErr w:type="spellEnd"/>
      <w:r w:rsidRPr="006E5EE9">
        <w:rPr>
          <w:rFonts w:ascii="Palatino Linotype" w:hAnsi="Palatino Linotype"/>
        </w:rPr>
        <w:t xml:space="preserve"> indices (Figure). Thus, showing a negative TEC anomaly 4, 5, 6, 7, 8, 9, 10, 11, and 12 days before the main shock on 6th </w:t>
      </w:r>
      <w:r w:rsidR="00404F83" w:rsidRPr="006E5EE9">
        <w:rPr>
          <w:rFonts w:ascii="Palatino Linotype" w:hAnsi="Palatino Linotype"/>
        </w:rPr>
        <w:t>February</w:t>
      </w:r>
      <w:r w:rsidRPr="006E5EE9">
        <w:rPr>
          <w:rFonts w:ascii="Palatino Linotype" w:hAnsi="Palatino Linotype"/>
        </w:rPr>
        <w:t xml:space="preserve"> 2023. From the time series highest negatives anomalies were highlighted </w:t>
      </w:r>
      <w:r w:rsidRPr="006E5EE9">
        <w:rPr>
          <w:rFonts w:ascii="Palatino Linotype" w:hAnsi="Palatino Linotype"/>
        </w:rPr>
        <w:t xml:space="preserve">along with its UTC time in the </w:t>
      </w:r>
      <w:proofErr w:type="gramStart"/>
      <w:r w:rsidRPr="006E5EE9">
        <w:rPr>
          <w:rFonts w:ascii="Palatino Linotype" w:hAnsi="Palatino Linotype"/>
        </w:rPr>
        <w:t>Figure  by</w:t>
      </w:r>
      <w:proofErr w:type="gramEnd"/>
      <w:r w:rsidRPr="006E5EE9">
        <w:rPr>
          <w:rFonts w:ascii="Palatino Linotype" w:hAnsi="Palatino Linotype"/>
        </w:rPr>
        <w:t xml:space="preserve"> considering anomalies lie below the confidence interval.</w:t>
      </w:r>
    </w:p>
    <w:p w14:paraId="5C82BE2A" w14:textId="77777777" w:rsidR="00404F83" w:rsidRPr="006E5EE9" w:rsidRDefault="00404F83" w:rsidP="00B67CD3">
      <w:pPr>
        <w:jc w:val="both"/>
        <w:rPr>
          <w:rFonts w:ascii="Palatino Linotype" w:hAnsi="Palatino Linotype"/>
          <w:b/>
          <w:bCs/>
          <w:i/>
          <w:iCs/>
        </w:rPr>
      </w:pPr>
      <w:r w:rsidRPr="006E5EE9">
        <w:rPr>
          <w:rFonts w:ascii="Palatino Linotype" w:hAnsi="Palatino Linotype"/>
          <w:b/>
          <w:bCs/>
          <w:i/>
          <w:iCs/>
        </w:rPr>
        <w:t xml:space="preserve">Global Ionosphere Map (Latitude-Longitude-Time Map): </w:t>
      </w:r>
    </w:p>
    <w:p w14:paraId="451DE99E" w14:textId="4D679FD7" w:rsidR="00404F83" w:rsidRPr="006E5EE9" w:rsidRDefault="00404F83" w:rsidP="00B67CD3">
      <w:pPr>
        <w:jc w:val="both"/>
        <w:rPr>
          <w:rFonts w:ascii="Palatino Linotype" w:hAnsi="Palatino Linotype"/>
        </w:rPr>
      </w:pPr>
      <w:r w:rsidRPr="006E5EE9">
        <w:rPr>
          <w:rFonts w:ascii="Palatino Linotype" w:hAnsi="Palatino Linotype"/>
        </w:rPr>
        <w:t xml:space="preserve">The shifting of the anomalous zone is found to be in the direction of North-East; which might be correlate the present of active faults direction. The major concern for Turkey-Syria earthquake was about strike slip fault of East Anatolian Fault and Dead Sea Transform which were on a North-East direction. In a strike-slip fault the dominant movement occurs horizontally along the fault plane, with minimal vertical displacement. While the direct vertical displacement is limited, the associated stress and strain within the lithosphere can indirectly affect the ionosphere thus affecting the direction of the TEC perturbations. The stress accumulation and release along the fault plane can lead to the generation of secondary phenomena, such as aftershocks (Mw 7.8 after the main shock Mw 7.5) have a more significant impact on TEC distribution; produces larger ionospheric perturbations. Thus, the spreading of the anomalous zone towards the north and north-east of the actual epicentre is because of the North-East orientation of the Strike Slip Faults; thereby proving the theory of </w:t>
      </w:r>
      <w:proofErr w:type="spellStart"/>
      <w:r w:rsidRPr="006E5EE9">
        <w:rPr>
          <w:rFonts w:ascii="Palatino Linotype" w:hAnsi="Palatino Linotype"/>
        </w:rPr>
        <w:t>seismoionospheric</w:t>
      </w:r>
      <w:proofErr w:type="spellEnd"/>
      <w:r w:rsidRPr="006E5EE9">
        <w:rPr>
          <w:rFonts w:ascii="Palatino Linotype" w:hAnsi="Palatino Linotype"/>
        </w:rPr>
        <w:t xml:space="preserve"> coupling. The entire zone is revealed to be a prelude to both impending large magnitude earthquakes by the TEC anomalies that were discovered to be covering and coinciding with negative anomalies. </w:t>
      </w:r>
    </w:p>
    <w:p w14:paraId="44310EA2" w14:textId="77777777" w:rsidR="00404F83" w:rsidRPr="006E5EE9" w:rsidRDefault="00404F83" w:rsidP="00B67CD3">
      <w:pPr>
        <w:jc w:val="both"/>
        <w:rPr>
          <w:rFonts w:ascii="Palatino Linotype" w:hAnsi="Palatino Linotype"/>
        </w:rPr>
      </w:pPr>
    </w:p>
    <w:p w14:paraId="2DDF1A3E" w14:textId="77777777" w:rsidR="00404F83" w:rsidRPr="006E5EE9" w:rsidRDefault="00404F83" w:rsidP="00B67CD3">
      <w:pPr>
        <w:jc w:val="both"/>
        <w:rPr>
          <w:rFonts w:ascii="Palatino Linotype" w:hAnsi="Palatino Linotype"/>
        </w:rPr>
      </w:pPr>
    </w:p>
    <w:p w14:paraId="592C3E5D" w14:textId="77777777" w:rsidR="00404F83" w:rsidRPr="006E5EE9" w:rsidRDefault="00404F83" w:rsidP="00B67CD3">
      <w:pPr>
        <w:jc w:val="both"/>
        <w:rPr>
          <w:rFonts w:ascii="Palatino Linotype" w:hAnsi="Palatino Linotype"/>
        </w:rPr>
      </w:pPr>
    </w:p>
    <w:p w14:paraId="6106F2F4" w14:textId="543E635E" w:rsidR="00404F83" w:rsidRPr="006E5EE9" w:rsidRDefault="00A47E4B" w:rsidP="00B67CD3">
      <w:pPr>
        <w:jc w:val="both"/>
        <w:rPr>
          <w:rFonts w:ascii="Palatino Linotype" w:hAnsi="Palatino Linotype"/>
        </w:rPr>
      </w:pPr>
      <w:r w:rsidRPr="006E5EE9">
        <w:rPr>
          <w:rFonts w:ascii="Palatino Linotype" w:hAnsi="Palatino Linotype"/>
          <w:noProof/>
        </w:rPr>
        <w:lastRenderedPageBreak/>
        <w:drawing>
          <wp:anchor distT="0" distB="0" distL="114300" distR="114300" simplePos="0" relativeHeight="251663360" behindDoc="1" locked="0" layoutInCell="1" allowOverlap="1" wp14:anchorId="37F9F1BA" wp14:editId="7876DE25">
            <wp:simplePos x="0" y="0"/>
            <wp:positionH relativeFrom="margin">
              <wp:align>right</wp:align>
            </wp:positionH>
            <wp:positionV relativeFrom="paragraph">
              <wp:posOffset>0</wp:posOffset>
            </wp:positionV>
            <wp:extent cx="5666740" cy="7508875"/>
            <wp:effectExtent l="0" t="0" r="0" b="0"/>
            <wp:wrapTight wrapText="bothSides">
              <wp:wrapPolygon edited="0">
                <wp:start x="0" y="0"/>
                <wp:lineTo x="0" y="21536"/>
                <wp:lineTo x="21494" y="21536"/>
                <wp:lineTo x="21494" y="0"/>
                <wp:lineTo x="0" y="0"/>
              </wp:wrapPolygon>
            </wp:wrapTight>
            <wp:docPr id="106564762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47629" name="Picture 1" descr="A screenshot of a grap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66740" cy="7508875"/>
                    </a:xfrm>
                    <a:prstGeom prst="rect">
                      <a:avLst/>
                    </a:prstGeom>
                  </pic:spPr>
                </pic:pic>
              </a:graphicData>
            </a:graphic>
            <wp14:sizeRelH relativeFrom="margin">
              <wp14:pctWidth>0</wp14:pctWidth>
            </wp14:sizeRelH>
            <wp14:sizeRelV relativeFrom="margin">
              <wp14:pctHeight>0</wp14:pctHeight>
            </wp14:sizeRelV>
          </wp:anchor>
        </w:drawing>
      </w:r>
      <w:r w:rsidR="00404F83" w:rsidRPr="006E5EE9">
        <w:rPr>
          <w:rFonts w:ascii="Palatino Linotype" w:hAnsi="Palatino Linotype"/>
          <w:noProof/>
        </w:rPr>
        <mc:AlternateContent>
          <mc:Choice Requires="wps">
            <w:drawing>
              <wp:anchor distT="0" distB="0" distL="114300" distR="114300" simplePos="0" relativeHeight="251662336" behindDoc="0" locked="0" layoutInCell="1" allowOverlap="1" wp14:anchorId="09B9042E" wp14:editId="4B8FAFCC">
                <wp:simplePos x="0" y="0"/>
                <wp:positionH relativeFrom="column">
                  <wp:posOffset>75460</wp:posOffset>
                </wp:positionH>
                <wp:positionV relativeFrom="paragraph">
                  <wp:posOffset>88777</wp:posOffset>
                </wp:positionV>
                <wp:extent cx="5720752" cy="7620000"/>
                <wp:effectExtent l="0" t="0" r="13335" b="19050"/>
                <wp:wrapNone/>
                <wp:docPr id="546203589" name="Rectangle 3"/>
                <wp:cNvGraphicFramePr/>
                <a:graphic xmlns:a="http://schemas.openxmlformats.org/drawingml/2006/main">
                  <a:graphicData uri="http://schemas.microsoft.com/office/word/2010/wordprocessingShape">
                    <wps:wsp>
                      <wps:cNvSpPr/>
                      <wps:spPr>
                        <a:xfrm>
                          <a:off x="0" y="0"/>
                          <a:ext cx="5720752" cy="76200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520A6E" id="Rectangle 3" o:spid="_x0000_s1026" style="position:absolute;margin-left:5.95pt;margin-top:7pt;width:450.45pt;height:60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" filled="f" strokecolor="#747070 [1614]" strokeweight="1pt"/>
            </w:pict>
          </mc:Fallback>
        </mc:AlternateContent>
      </w:r>
    </w:p>
    <w:p w14:paraId="33026564" w14:textId="736E95C9" w:rsidR="004A51C8" w:rsidRPr="006E5EE9" w:rsidRDefault="008A0499" w:rsidP="00B67CD3">
      <w:pPr>
        <w:jc w:val="both"/>
        <w:rPr>
          <w:rFonts w:ascii="Palatino Linotype" w:hAnsi="Palatino Linotype"/>
          <w:b/>
          <w:bCs/>
          <w:sz w:val="24"/>
          <w:szCs w:val="24"/>
          <w:lang w:val="en-US"/>
        </w:rPr>
      </w:pPr>
      <w:r w:rsidRPr="006E5EE9">
        <w:rPr>
          <w:rFonts w:ascii="Palatino Linotype" w:hAnsi="Palatino Linotype"/>
          <w:b/>
          <w:bCs/>
          <w:sz w:val="24"/>
          <w:szCs w:val="24"/>
          <w:lang w:val="en-US"/>
        </w:rPr>
        <w:t xml:space="preserve">FIG </w:t>
      </w:r>
      <w:r w:rsidR="00867249" w:rsidRPr="006E5EE9">
        <w:rPr>
          <w:rFonts w:ascii="Palatino Linotype" w:hAnsi="Palatino Linotype"/>
          <w:b/>
          <w:bCs/>
          <w:sz w:val="24"/>
          <w:szCs w:val="24"/>
          <w:lang w:val="en-US"/>
        </w:rPr>
        <w:t>2</w:t>
      </w:r>
      <w:r w:rsidRPr="006E5EE9">
        <w:rPr>
          <w:rFonts w:ascii="Palatino Linotype" w:hAnsi="Palatino Linotype"/>
          <w:b/>
          <w:bCs/>
          <w:sz w:val="24"/>
          <w:szCs w:val="24"/>
          <w:lang w:val="en-US"/>
        </w:rPr>
        <w:t xml:space="preserve">. </w:t>
      </w:r>
      <w:r w:rsidR="005E68BE" w:rsidRPr="006E5EE9">
        <w:rPr>
          <w:rFonts w:ascii="Palatino Linotype" w:hAnsi="Palatino Linotype"/>
          <w:b/>
          <w:bCs/>
          <w:sz w:val="24"/>
          <w:szCs w:val="24"/>
          <w:lang w:val="en-US"/>
        </w:rPr>
        <w:t xml:space="preserve">30 </w:t>
      </w:r>
      <w:proofErr w:type="spellStart"/>
      <w:r w:rsidR="005E68BE" w:rsidRPr="006E5EE9">
        <w:rPr>
          <w:rFonts w:ascii="Palatino Linotype" w:hAnsi="Palatino Linotype"/>
          <w:b/>
          <w:bCs/>
          <w:sz w:val="24"/>
          <w:szCs w:val="24"/>
          <w:lang w:val="en-US"/>
        </w:rPr>
        <w:t>Days Time</w:t>
      </w:r>
      <w:proofErr w:type="spellEnd"/>
      <w:r w:rsidR="005E68BE" w:rsidRPr="006E5EE9">
        <w:rPr>
          <w:rFonts w:ascii="Palatino Linotype" w:hAnsi="Palatino Linotype"/>
          <w:b/>
          <w:bCs/>
          <w:sz w:val="24"/>
          <w:szCs w:val="24"/>
          <w:lang w:val="en-US"/>
        </w:rPr>
        <w:t xml:space="preserve"> series of Hourly TEC Variation prior Turkey-Syria Earthquake on 6</w:t>
      </w:r>
      <w:r w:rsidR="005E68BE" w:rsidRPr="006E5EE9">
        <w:rPr>
          <w:rFonts w:ascii="Palatino Linotype" w:hAnsi="Palatino Linotype"/>
          <w:b/>
          <w:bCs/>
          <w:sz w:val="24"/>
          <w:szCs w:val="24"/>
          <w:vertAlign w:val="superscript"/>
          <w:lang w:val="en-US"/>
        </w:rPr>
        <w:t>th</w:t>
      </w:r>
      <w:r w:rsidR="005E68BE" w:rsidRPr="006E5EE9">
        <w:rPr>
          <w:rFonts w:ascii="Palatino Linotype" w:hAnsi="Palatino Linotype"/>
          <w:b/>
          <w:bCs/>
          <w:sz w:val="24"/>
          <w:szCs w:val="24"/>
          <w:lang w:val="en-US"/>
        </w:rPr>
        <w:t xml:space="preserve"> February 2023[10</w:t>
      </w:r>
      <w:r w:rsidR="005E68BE" w:rsidRPr="006E5EE9">
        <w:rPr>
          <w:rFonts w:ascii="Palatino Linotype" w:hAnsi="Palatino Linotype"/>
          <w:b/>
          <w:bCs/>
          <w:sz w:val="24"/>
          <w:szCs w:val="24"/>
          <w:vertAlign w:val="superscript"/>
          <w:lang w:val="en-US"/>
        </w:rPr>
        <w:t>th</w:t>
      </w:r>
      <w:r w:rsidR="005E68BE" w:rsidRPr="006E5EE9">
        <w:rPr>
          <w:rFonts w:ascii="Palatino Linotype" w:hAnsi="Palatino Linotype"/>
          <w:b/>
          <w:bCs/>
          <w:sz w:val="24"/>
          <w:szCs w:val="24"/>
          <w:lang w:val="en-US"/>
        </w:rPr>
        <w:t xml:space="preserve"> Jan- 8</w:t>
      </w:r>
      <w:r w:rsidR="005E68BE" w:rsidRPr="006E5EE9">
        <w:rPr>
          <w:rFonts w:ascii="Palatino Linotype" w:hAnsi="Palatino Linotype"/>
          <w:b/>
          <w:bCs/>
          <w:sz w:val="24"/>
          <w:szCs w:val="24"/>
          <w:vertAlign w:val="superscript"/>
          <w:lang w:val="en-US"/>
        </w:rPr>
        <w:t>th</w:t>
      </w:r>
      <w:r w:rsidR="005E68BE" w:rsidRPr="006E5EE9">
        <w:rPr>
          <w:rFonts w:ascii="Palatino Linotype" w:hAnsi="Palatino Linotype"/>
          <w:b/>
          <w:bCs/>
          <w:sz w:val="24"/>
          <w:szCs w:val="24"/>
          <w:lang w:val="en-US"/>
        </w:rPr>
        <w:t xml:space="preserve"> Feb]</w:t>
      </w:r>
    </w:p>
    <w:p w14:paraId="039C2A05" w14:textId="77777777" w:rsidR="00AE59EA" w:rsidRPr="006E5EE9" w:rsidRDefault="00AE59EA" w:rsidP="00B67CD3">
      <w:pPr>
        <w:jc w:val="both"/>
        <w:rPr>
          <w:rFonts w:ascii="Palatino Linotype" w:hAnsi="Palatino Linotype"/>
          <w:b/>
          <w:bCs/>
          <w:sz w:val="24"/>
          <w:szCs w:val="24"/>
          <w:lang w:val="en-US"/>
        </w:rPr>
      </w:pPr>
    </w:p>
    <w:p w14:paraId="4E2E2A16" w14:textId="77777777" w:rsidR="00AE59EA" w:rsidRPr="006E5EE9" w:rsidRDefault="00AE59EA" w:rsidP="00B67CD3">
      <w:pPr>
        <w:jc w:val="both"/>
        <w:rPr>
          <w:rFonts w:ascii="Palatino Linotype" w:hAnsi="Palatino Linotype"/>
          <w:b/>
          <w:bCs/>
          <w:sz w:val="24"/>
          <w:szCs w:val="24"/>
          <w:lang w:val="en-US"/>
        </w:rPr>
      </w:pPr>
      <w:r w:rsidRPr="006E5EE9">
        <w:rPr>
          <w:rFonts w:ascii="Palatino Linotype" w:hAnsi="Palatino Linotype"/>
          <w:b/>
          <w:bCs/>
          <w:sz w:val="24"/>
          <w:szCs w:val="24"/>
          <w:lang w:val="en-US"/>
        </w:rPr>
        <w:t xml:space="preserve">                                                                     </w:t>
      </w:r>
    </w:p>
    <w:p w14:paraId="23AF1DB5" w14:textId="77777777" w:rsidR="00AE59EA" w:rsidRPr="006E5EE9" w:rsidRDefault="00AE59EA" w:rsidP="00B67CD3">
      <w:pPr>
        <w:jc w:val="both"/>
        <w:rPr>
          <w:rFonts w:ascii="Palatino Linotype" w:hAnsi="Palatino Linotype"/>
          <w:b/>
          <w:bCs/>
          <w:sz w:val="24"/>
          <w:szCs w:val="24"/>
          <w:lang w:val="en-US"/>
        </w:rPr>
      </w:pPr>
    </w:p>
    <w:p w14:paraId="540ABAFB" w14:textId="77777777" w:rsidR="00AE59EA" w:rsidRPr="006E5EE9" w:rsidRDefault="00AE59EA" w:rsidP="00B67CD3">
      <w:pPr>
        <w:jc w:val="both"/>
        <w:rPr>
          <w:rFonts w:ascii="Palatino Linotype" w:hAnsi="Palatino Linotype"/>
          <w:b/>
          <w:bCs/>
          <w:sz w:val="24"/>
          <w:szCs w:val="24"/>
          <w:lang w:val="en-US"/>
        </w:rPr>
      </w:pPr>
    </w:p>
    <w:p w14:paraId="297469B7" w14:textId="53C0D5DF" w:rsidR="00AE59EA" w:rsidRPr="006E5EE9" w:rsidRDefault="007201B0" w:rsidP="00B67CD3">
      <w:pPr>
        <w:jc w:val="both"/>
        <w:rPr>
          <w:rFonts w:ascii="Palatino Linotype" w:hAnsi="Palatino Linotype"/>
          <w:b/>
          <w:bCs/>
          <w:sz w:val="24"/>
          <w:szCs w:val="24"/>
          <w:lang w:val="en-US"/>
        </w:rPr>
      </w:pPr>
      <w:r w:rsidRPr="006E5EE9">
        <w:rPr>
          <w:rFonts w:ascii="Palatino Linotype" w:hAnsi="Palatino Linotype"/>
          <w:b/>
          <w:bCs/>
          <w:noProof/>
          <w:sz w:val="24"/>
          <w:szCs w:val="24"/>
          <w:lang w:val="en-US"/>
        </w:rPr>
        <w:lastRenderedPageBreak/>
        <w:drawing>
          <wp:anchor distT="0" distB="0" distL="114300" distR="114300" simplePos="0" relativeHeight="251678720" behindDoc="0" locked="0" layoutInCell="1" allowOverlap="1" wp14:anchorId="5598AF87" wp14:editId="2452802E">
            <wp:simplePos x="0" y="0"/>
            <wp:positionH relativeFrom="margin">
              <wp:posOffset>24524</wp:posOffset>
            </wp:positionH>
            <wp:positionV relativeFrom="paragraph">
              <wp:posOffset>219</wp:posOffset>
            </wp:positionV>
            <wp:extent cx="5833110" cy="8373110"/>
            <wp:effectExtent l="0" t="0" r="0" b="8890"/>
            <wp:wrapSquare wrapText="bothSides"/>
            <wp:docPr id="1555632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3110" cy="8373110"/>
                    </a:xfrm>
                    <a:prstGeom prst="rect">
                      <a:avLst/>
                    </a:prstGeom>
                    <a:noFill/>
                  </pic:spPr>
                </pic:pic>
              </a:graphicData>
            </a:graphic>
            <wp14:sizeRelH relativeFrom="margin">
              <wp14:pctWidth>0</wp14:pctWidth>
            </wp14:sizeRelH>
            <wp14:sizeRelV relativeFrom="margin">
              <wp14:pctHeight>0</wp14:pctHeight>
            </wp14:sizeRelV>
          </wp:anchor>
        </w:drawing>
      </w:r>
    </w:p>
    <w:p w14:paraId="178DBD98" w14:textId="6CCFD6C6" w:rsidR="00AE59EA" w:rsidRPr="006E5EE9" w:rsidRDefault="008A0499" w:rsidP="00B67CD3">
      <w:pPr>
        <w:jc w:val="both"/>
        <w:rPr>
          <w:rFonts w:ascii="Palatino Linotype" w:hAnsi="Palatino Linotype"/>
          <w:b/>
          <w:bCs/>
          <w:sz w:val="24"/>
          <w:szCs w:val="24"/>
          <w:lang w:val="en-US"/>
        </w:rPr>
      </w:pPr>
      <w:r w:rsidRPr="006E5EE9">
        <w:rPr>
          <w:rFonts w:ascii="Palatino Linotype" w:hAnsi="Palatino Linotype"/>
          <w:b/>
          <w:bCs/>
          <w:sz w:val="24"/>
          <w:szCs w:val="24"/>
          <w:lang w:val="en-US"/>
        </w:rPr>
        <w:t xml:space="preserve">FIG </w:t>
      </w:r>
      <w:r w:rsidR="00867249" w:rsidRPr="006E5EE9">
        <w:rPr>
          <w:rFonts w:ascii="Palatino Linotype" w:hAnsi="Palatino Linotype"/>
          <w:b/>
          <w:bCs/>
          <w:sz w:val="24"/>
          <w:szCs w:val="24"/>
          <w:lang w:val="en-US"/>
        </w:rPr>
        <w:t>3</w:t>
      </w:r>
      <w:r w:rsidRPr="006E5EE9">
        <w:rPr>
          <w:rFonts w:ascii="Palatino Linotype" w:hAnsi="Palatino Linotype"/>
          <w:b/>
          <w:bCs/>
          <w:sz w:val="24"/>
          <w:szCs w:val="24"/>
          <w:lang w:val="en-US"/>
        </w:rPr>
        <w:t xml:space="preserve">. </w:t>
      </w:r>
      <w:r w:rsidR="005E68BE" w:rsidRPr="006E5EE9">
        <w:rPr>
          <w:rFonts w:ascii="Palatino Linotype" w:hAnsi="Palatino Linotype"/>
          <w:b/>
          <w:bCs/>
          <w:sz w:val="24"/>
          <w:szCs w:val="24"/>
          <w:lang w:val="en-US"/>
        </w:rPr>
        <w:t>TEC Anomaly</w:t>
      </w:r>
    </w:p>
    <w:p w14:paraId="2FB77365" w14:textId="59642ACE" w:rsidR="00AE59EA" w:rsidRPr="006E5EE9" w:rsidRDefault="00265EB0" w:rsidP="00B67CD3">
      <w:pPr>
        <w:jc w:val="both"/>
        <w:rPr>
          <w:rFonts w:ascii="Palatino Linotype" w:hAnsi="Palatino Linotype"/>
          <w:b/>
          <w:bCs/>
          <w:sz w:val="24"/>
          <w:szCs w:val="24"/>
          <w:lang w:val="en-US"/>
        </w:rPr>
      </w:pPr>
      <w:r w:rsidRPr="006E5EE9">
        <w:rPr>
          <w:rFonts w:ascii="Palatino Linotype" w:hAnsi="Palatino Linotype"/>
          <w:b/>
          <w:bCs/>
          <w:noProof/>
          <w:sz w:val="24"/>
          <w:szCs w:val="24"/>
          <w:lang w:val="en-US"/>
        </w:rPr>
        <w:lastRenderedPageBreak/>
        <w:drawing>
          <wp:anchor distT="0" distB="0" distL="114300" distR="114300" simplePos="0" relativeHeight="251675648" behindDoc="0" locked="0" layoutInCell="1" allowOverlap="1" wp14:anchorId="58D8BE92" wp14:editId="4DFC5F6D">
            <wp:simplePos x="0" y="0"/>
            <wp:positionH relativeFrom="margin">
              <wp:align>left</wp:align>
            </wp:positionH>
            <wp:positionV relativeFrom="paragraph">
              <wp:posOffset>323850</wp:posOffset>
            </wp:positionV>
            <wp:extent cx="6040120" cy="7042150"/>
            <wp:effectExtent l="0" t="0" r="0" b="6350"/>
            <wp:wrapSquare wrapText="bothSides"/>
            <wp:docPr id="1350651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0120" cy="7042150"/>
                    </a:xfrm>
                    <a:prstGeom prst="rect">
                      <a:avLst/>
                    </a:prstGeom>
                    <a:noFill/>
                  </pic:spPr>
                </pic:pic>
              </a:graphicData>
            </a:graphic>
            <wp14:sizeRelH relativeFrom="margin">
              <wp14:pctWidth>0</wp14:pctWidth>
            </wp14:sizeRelH>
            <wp14:sizeRelV relativeFrom="margin">
              <wp14:pctHeight>0</wp14:pctHeight>
            </wp14:sizeRelV>
          </wp:anchor>
        </w:drawing>
      </w:r>
      <w:r w:rsidR="008A0499" w:rsidRPr="006E5EE9">
        <w:rPr>
          <w:rFonts w:ascii="Palatino Linotype" w:hAnsi="Palatino Linotype"/>
          <w:b/>
          <w:bCs/>
          <w:sz w:val="24"/>
          <w:szCs w:val="24"/>
          <w:lang w:val="en-US"/>
        </w:rPr>
        <w:t xml:space="preserve">FIG </w:t>
      </w:r>
      <w:r w:rsidR="00867249" w:rsidRPr="006E5EE9">
        <w:rPr>
          <w:rFonts w:ascii="Palatino Linotype" w:hAnsi="Palatino Linotype"/>
          <w:b/>
          <w:bCs/>
          <w:sz w:val="24"/>
          <w:szCs w:val="24"/>
          <w:lang w:val="en-US"/>
        </w:rPr>
        <w:t>4</w:t>
      </w:r>
      <w:r w:rsidR="008A0499" w:rsidRPr="006E5EE9">
        <w:rPr>
          <w:rFonts w:ascii="Palatino Linotype" w:hAnsi="Palatino Linotype"/>
          <w:b/>
          <w:bCs/>
          <w:sz w:val="24"/>
          <w:szCs w:val="24"/>
          <w:lang w:val="en-US"/>
        </w:rPr>
        <w:t>.</w:t>
      </w:r>
    </w:p>
    <w:p w14:paraId="4DE39E41" w14:textId="62A0FC60" w:rsidR="00AE59EA" w:rsidRPr="006E5EE9" w:rsidRDefault="00AE59EA" w:rsidP="00B67CD3">
      <w:pPr>
        <w:jc w:val="both"/>
        <w:rPr>
          <w:rFonts w:ascii="Palatino Linotype" w:hAnsi="Palatino Linotype"/>
          <w:b/>
          <w:bCs/>
          <w:sz w:val="24"/>
          <w:szCs w:val="24"/>
          <w:lang w:val="en-US"/>
        </w:rPr>
      </w:pPr>
    </w:p>
    <w:p w14:paraId="60A46DA0" w14:textId="7B9AAAA0" w:rsidR="00AE59EA" w:rsidRPr="006E5EE9" w:rsidRDefault="00AE59EA" w:rsidP="00B67CD3">
      <w:pPr>
        <w:jc w:val="both"/>
        <w:rPr>
          <w:rFonts w:ascii="Palatino Linotype" w:hAnsi="Palatino Linotype"/>
          <w:b/>
          <w:bCs/>
          <w:sz w:val="24"/>
          <w:szCs w:val="24"/>
          <w:lang w:val="en-US"/>
        </w:rPr>
      </w:pPr>
    </w:p>
    <w:p w14:paraId="07321483" w14:textId="19C07C36" w:rsidR="00AE59EA" w:rsidRPr="006E5EE9" w:rsidRDefault="00AE59EA" w:rsidP="00B67CD3">
      <w:pPr>
        <w:jc w:val="both"/>
        <w:rPr>
          <w:rFonts w:ascii="Palatino Linotype" w:hAnsi="Palatino Linotype"/>
          <w:b/>
          <w:bCs/>
          <w:sz w:val="24"/>
          <w:szCs w:val="24"/>
          <w:lang w:val="en-US"/>
        </w:rPr>
      </w:pPr>
    </w:p>
    <w:p w14:paraId="4B03CF8F" w14:textId="161313A6" w:rsidR="00AE59EA" w:rsidRPr="006E5EE9" w:rsidRDefault="00AE59EA" w:rsidP="00B67CD3">
      <w:pPr>
        <w:jc w:val="both"/>
        <w:rPr>
          <w:rFonts w:ascii="Palatino Linotype" w:hAnsi="Palatino Linotype"/>
          <w:b/>
          <w:bCs/>
          <w:sz w:val="24"/>
          <w:szCs w:val="24"/>
          <w:lang w:val="en-US"/>
        </w:rPr>
      </w:pPr>
    </w:p>
    <w:p w14:paraId="4A808C17" w14:textId="77777777" w:rsidR="00265EB0" w:rsidRPr="006E5EE9" w:rsidRDefault="00265EB0" w:rsidP="00B67CD3">
      <w:pPr>
        <w:jc w:val="both"/>
        <w:rPr>
          <w:rFonts w:ascii="Palatino Linotype" w:hAnsi="Palatino Linotype"/>
          <w:b/>
          <w:bCs/>
          <w:sz w:val="24"/>
          <w:szCs w:val="24"/>
          <w:lang w:val="en-US"/>
        </w:rPr>
      </w:pPr>
    </w:p>
    <w:p w14:paraId="36EC3837" w14:textId="77777777" w:rsidR="00265EB0" w:rsidRPr="006E5EE9" w:rsidRDefault="00265EB0" w:rsidP="00B67CD3">
      <w:pPr>
        <w:jc w:val="both"/>
        <w:rPr>
          <w:rFonts w:ascii="Palatino Linotype" w:hAnsi="Palatino Linotype"/>
          <w:b/>
          <w:bCs/>
          <w:sz w:val="24"/>
          <w:szCs w:val="24"/>
          <w:lang w:val="en-US"/>
        </w:rPr>
      </w:pPr>
    </w:p>
    <w:p w14:paraId="5FCAA010" w14:textId="77777777" w:rsidR="00265EB0" w:rsidRPr="006E5EE9" w:rsidRDefault="00265EB0" w:rsidP="00B67CD3">
      <w:pPr>
        <w:jc w:val="both"/>
        <w:rPr>
          <w:rFonts w:ascii="Palatino Linotype" w:hAnsi="Palatino Linotype"/>
          <w:b/>
          <w:bCs/>
          <w:sz w:val="24"/>
          <w:szCs w:val="24"/>
          <w:lang w:val="en-US"/>
        </w:rPr>
      </w:pPr>
    </w:p>
    <w:p w14:paraId="6482F5D5" w14:textId="77777777" w:rsidR="00265EB0" w:rsidRPr="006E5EE9" w:rsidRDefault="00265EB0" w:rsidP="00B67CD3">
      <w:pPr>
        <w:jc w:val="both"/>
        <w:rPr>
          <w:rFonts w:ascii="Palatino Linotype" w:hAnsi="Palatino Linotype"/>
          <w:b/>
          <w:bCs/>
          <w:sz w:val="24"/>
          <w:szCs w:val="24"/>
          <w:lang w:val="en-US"/>
        </w:rPr>
      </w:pPr>
    </w:p>
    <w:p w14:paraId="09186CAB" w14:textId="77777777" w:rsidR="00265EB0" w:rsidRPr="006E5EE9" w:rsidRDefault="00265EB0" w:rsidP="00B67CD3">
      <w:pPr>
        <w:jc w:val="both"/>
        <w:rPr>
          <w:rFonts w:ascii="Palatino Linotype" w:hAnsi="Palatino Linotype"/>
          <w:b/>
          <w:bCs/>
          <w:sz w:val="24"/>
          <w:szCs w:val="24"/>
          <w:lang w:val="en-US"/>
        </w:rPr>
      </w:pPr>
    </w:p>
    <w:p w14:paraId="685BF17A" w14:textId="4D500B13" w:rsidR="00265EB0" w:rsidRPr="006E5EE9" w:rsidRDefault="00265EB0" w:rsidP="00B67CD3">
      <w:pPr>
        <w:jc w:val="both"/>
        <w:rPr>
          <w:rFonts w:ascii="Palatino Linotype" w:hAnsi="Palatino Linotype"/>
          <w:b/>
          <w:bCs/>
          <w:sz w:val="24"/>
          <w:szCs w:val="24"/>
          <w:lang w:val="en-US"/>
        </w:rPr>
      </w:pPr>
      <w:r w:rsidRPr="006E5EE9">
        <w:rPr>
          <w:rFonts w:ascii="Palatino Linotype" w:hAnsi="Palatino Linotype"/>
          <w:b/>
          <w:bCs/>
          <w:noProof/>
          <w:sz w:val="24"/>
          <w:szCs w:val="24"/>
          <w:lang w:val="en-US"/>
        </w:rPr>
        <w:lastRenderedPageBreak/>
        <w:drawing>
          <wp:anchor distT="0" distB="0" distL="114300" distR="114300" simplePos="0" relativeHeight="251676672" behindDoc="0" locked="0" layoutInCell="1" allowOverlap="1" wp14:anchorId="7D476AFA" wp14:editId="2057A6E0">
            <wp:simplePos x="0" y="0"/>
            <wp:positionH relativeFrom="margin">
              <wp:align>left</wp:align>
            </wp:positionH>
            <wp:positionV relativeFrom="paragraph">
              <wp:posOffset>0</wp:posOffset>
            </wp:positionV>
            <wp:extent cx="5974715" cy="6965950"/>
            <wp:effectExtent l="0" t="0" r="6985" b="6350"/>
            <wp:wrapSquare wrapText="bothSides"/>
            <wp:docPr id="2051301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4715" cy="6965950"/>
                    </a:xfrm>
                    <a:prstGeom prst="rect">
                      <a:avLst/>
                    </a:prstGeom>
                    <a:noFill/>
                  </pic:spPr>
                </pic:pic>
              </a:graphicData>
            </a:graphic>
            <wp14:sizeRelH relativeFrom="margin">
              <wp14:pctWidth>0</wp14:pctWidth>
            </wp14:sizeRelH>
            <wp14:sizeRelV relativeFrom="margin">
              <wp14:pctHeight>0</wp14:pctHeight>
            </wp14:sizeRelV>
          </wp:anchor>
        </w:drawing>
      </w:r>
    </w:p>
    <w:p w14:paraId="368572CE" w14:textId="77777777" w:rsidR="00265EB0" w:rsidRPr="006E5EE9" w:rsidRDefault="00265EB0" w:rsidP="00B67CD3">
      <w:pPr>
        <w:jc w:val="both"/>
        <w:rPr>
          <w:rFonts w:ascii="Palatino Linotype" w:hAnsi="Palatino Linotype"/>
          <w:b/>
          <w:bCs/>
          <w:sz w:val="24"/>
          <w:szCs w:val="24"/>
          <w:lang w:val="en-US"/>
        </w:rPr>
      </w:pPr>
    </w:p>
    <w:p w14:paraId="59C1D316" w14:textId="77777777" w:rsidR="00265EB0" w:rsidRPr="006E5EE9" w:rsidRDefault="00265EB0" w:rsidP="00B67CD3">
      <w:pPr>
        <w:jc w:val="both"/>
        <w:rPr>
          <w:rFonts w:ascii="Palatino Linotype" w:hAnsi="Palatino Linotype"/>
          <w:b/>
          <w:bCs/>
          <w:sz w:val="24"/>
          <w:szCs w:val="24"/>
          <w:lang w:val="en-US"/>
        </w:rPr>
      </w:pPr>
    </w:p>
    <w:p w14:paraId="573B397F" w14:textId="77777777" w:rsidR="00265EB0" w:rsidRPr="006E5EE9" w:rsidRDefault="00265EB0" w:rsidP="00B67CD3">
      <w:pPr>
        <w:jc w:val="both"/>
        <w:rPr>
          <w:rFonts w:ascii="Palatino Linotype" w:hAnsi="Palatino Linotype"/>
          <w:b/>
          <w:bCs/>
          <w:sz w:val="24"/>
          <w:szCs w:val="24"/>
          <w:lang w:val="en-US"/>
        </w:rPr>
      </w:pPr>
    </w:p>
    <w:p w14:paraId="6D7FD4F9" w14:textId="77777777" w:rsidR="00265EB0" w:rsidRPr="006E5EE9" w:rsidRDefault="00265EB0" w:rsidP="00B67CD3">
      <w:pPr>
        <w:jc w:val="both"/>
        <w:rPr>
          <w:rFonts w:ascii="Palatino Linotype" w:hAnsi="Palatino Linotype"/>
          <w:b/>
          <w:bCs/>
          <w:sz w:val="24"/>
          <w:szCs w:val="24"/>
          <w:lang w:val="en-US"/>
        </w:rPr>
      </w:pPr>
    </w:p>
    <w:p w14:paraId="794B67D8" w14:textId="77777777" w:rsidR="00265EB0" w:rsidRPr="006E5EE9" w:rsidRDefault="00265EB0" w:rsidP="00B67CD3">
      <w:pPr>
        <w:jc w:val="both"/>
        <w:rPr>
          <w:rFonts w:ascii="Palatino Linotype" w:hAnsi="Palatino Linotype"/>
          <w:b/>
          <w:bCs/>
          <w:sz w:val="24"/>
          <w:szCs w:val="24"/>
          <w:lang w:val="en-US"/>
        </w:rPr>
      </w:pPr>
    </w:p>
    <w:p w14:paraId="776176D1" w14:textId="77777777" w:rsidR="00265EB0" w:rsidRPr="006E5EE9" w:rsidRDefault="00265EB0" w:rsidP="00B67CD3">
      <w:pPr>
        <w:jc w:val="both"/>
        <w:rPr>
          <w:rFonts w:ascii="Palatino Linotype" w:hAnsi="Palatino Linotype"/>
          <w:b/>
          <w:bCs/>
          <w:sz w:val="24"/>
          <w:szCs w:val="24"/>
          <w:lang w:val="en-US"/>
        </w:rPr>
      </w:pPr>
    </w:p>
    <w:p w14:paraId="3307F3EB" w14:textId="708F4A0D" w:rsidR="00AE59EA" w:rsidRPr="006E5EE9" w:rsidRDefault="008A0499" w:rsidP="00B67CD3">
      <w:pPr>
        <w:jc w:val="both"/>
        <w:rPr>
          <w:rFonts w:ascii="Palatino Linotype" w:hAnsi="Palatino Linotype"/>
          <w:b/>
          <w:bCs/>
          <w:sz w:val="24"/>
          <w:szCs w:val="24"/>
          <w:lang w:val="en-US"/>
        </w:rPr>
      </w:pPr>
      <w:r w:rsidRPr="006E5EE9">
        <w:rPr>
          <w:rFonts w:ascii="Palatino Linotype" w:hAnsi="Palatino Linotype"/>
          <w:b/>
          <w:bCs/>
          <w:sz w:val="24"/>
          <w:szCs w:val="24"/>
          <w:lang w:val="en-US"/>
        </w:rPr>
        <w:t xml:space="preserve">FIG </w:t>
      </w:r>
      <w:r w:rsidR="00867249" w:rsidRPr="006E5EE9">
        <w:rPr>
          <w:rFonts w:ascii="Palatino Linotype" w:hAnsi="Palatino Linotype"/>
          <w:b/>
          <w:bCs/>
          <w:sz w:val="24"/>
          <w:szCs w:val="24"/>
          <w:lang w:val="en-US"/>
        </w:rPr>
        <w:t>5</w:t>
      </w:r>
      <w:r w:rsidRPr="006E5EE9">
        <w:rPr>
          <w:rFonts w:ascii="Palatino Linotype" w:hAnsi="Palatino Linotype"/>
          <w:b/>
          <w:bCs/>
          <w:sz w:val="24"/>
          <w:szCs w:val="24"/>
          <w:lang w:val="en-US"/>
        </w:rPr>
        <w:t>.</w:t>
      </w:r>
      <w:r w:rsidR="005E68BE" w:rsidRPr="006E5EE9">
        <w:rPr>
          <w:rFonts w:ascii="Palatino Linotype" w:hAnsi="Palatino Linotype"/>
          <w:b/>
          <w:bCs/>
          <w:sz w:val="24"/>
          <w:szCs w:val="24"/>
          <w:lang w:val="en-US"/>
        </w:rPr>
        <w:t xml:space="preserve"> TEC Anomaly: Global Ionosphere</w:t>
      </w:r>
    </w:p>
    <w:p w14:paraId="5ACCE041" w14:textId="41F7C364" w:rsidR="00AE59EA" w:rsidRPr="006E5EE9" w:rsidRDefault="00AE59EA" w:rsidP="00B67CD3">
      <w:pPr>
        <w:jc w:val="both"/>
        <w:rPr>
          <w:rFonts w:ascii="Palatino Linotype" w:hAnsi="Palatino Linotype"/>
          <w:b/>
          <w:bCs/>
          <w:sz w:val="24"/>
          <w:szCs w:val="24"/>
          <w:lang w:val="en-US"/>
        </w:rPr>
      </w:pPr>
    </w:p>
    <w:p w14:paraId="79B6A646" w14:textId="5FF6EE47" w:rsidR="00AE59EA" w:rsidRPr="006E5EE9" w:rsidRDefault="00AE59EA" w:rsidP="00B67CD3">
      <w:pPr>
        <w:jc w:val="both"/>
        <w:rPr>
          <w:rFonts w:ascii="Palatino Linotype" w:hAnsi="Palatino Linotype"/>
          <w:b/>
          <w:bCs/>
          <w:sz w:val="24"/>
          <w:szCs w:val="24"/>
          <w:lang w:val="en-US"/>
        </w:rPr>
      </w:pPr>
    </w:p>
    <w:p w14:paraId="319C69DD" w14:textId="77777777" w:rsidR="00AE59EA" w:rsidRPr="006E5EE9" w:rsidRDefault="00AE59EA" w:rsidP="00B67CD3">
      <w:pPr>
        <w:jc w:val="both"/>
        <w:rPr>
          <w:rFonts w:ascii="Palatino Linotype" w:hAnsi="Palatino Linotype"/>
          <w:b/>
          <w:bCs/>
          <w:sz w:val="24"/>
          <w:szCs w:val="24"/>
          <w:lang w:val="en-US"/>
        </w:rPr>
      </w:pPr>
    </w:p>
    <w:p w14:paraId="105B7826" w14:textId="0C34209C" w:rsidR="00AE59EA" w:rsidRPr="006E5EE9" w:rsidRDefault="00265EB0" w:rsidP="00B67CD3">
      <w:pPr>
        <w:jc w:val="both"/>
        <w:rPr>
          <w:rFonts w:ascii="Palatino Linotype" w:hAnsi="Palatino Linotype"/>
          <w:b/>
          <w:bCs/>
          <w:sz w:val="24"/>
          <w:szCs w:val="24"/>
          <w:lang w:val="en-US"/>
        </w:rPr>
      </w:pPr>
      <w:r w:rsidRPr="006E5EE9">
        <w:rPr>
          <w:rFonts w:ascii="Palatino Linotype" w:hAnsi="Palatino Linotype"/>
          <w:b/>
          <w:bCs/>
          <w:noProof/>
          <w:sz w:val="24"/>
          <w:szCs w:val="24"/>
          <w:lang w:val="en-US"/>
        </w:rPr>
        <w:lastRenderedPageBreak/>
        <w:drawing>
          <wp:anchor distT="0" distB="0" distL="114300" distR="114300" simplePos="0" relativeHeight="251677696" behindDoc="0" locked="0" layoutInCell="1" allowOverlap="1" wp14:anchorId="6E94A880" wp14:editId="0F25B03C">
            <wp:simplePos x="0" y="0"/>
            <wp:positionH relativeFrom="margin">
              <wp:align>left</wp:align>
            </wp:positionH>
            <wp:positionV relativeFrom="paragraph">
              <wp:posOffset>0</wp:posOffset>
            </wp:positionV>
            <wp:extent cx="6110605" cy="7124065"/>
            <wp:effectExtent l="0" t="0" r="4445" b="635"/>
            <wp:wrapSquare wrapText="bothSides"/>
            <wp:docPr id="2012473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0605" cy="7124065"/>
                    </a:xfrm>
                    <a:prstGeom prst="rect">
                      <a:avLst/>
                    </a:prstGeom>
                    <a:noFill/>
                  </pic:spPr>
                </pic:pic>
              </a:graphicData>
            </a:graphic>
            <wp14:sizeRelH relativeFrom="margin">
              <wp14:pctWidth>0</wp14:pctWidth>
            </wp14:sizeRelH>
            <wp14:sizeRelV relativeFrom="margin">
              <wp14:pctHeight>0</wp14:pctHeight>
            </wp14:sizeRelV>
          </wp:anchor>
        </w:drawing>
      </w:r>
    </w:p>
    <w:p w14:paraId="46898639" w14:textId="77777777" w:rsidR="00265EB0" w:rsidRPr="006E5EE9" w:rsidRDefault="00265EB0" w:rsidP="00B67CD3">
      <w:pPr>
        <w:jc w:val="both"/>
        <w:rPr>
          <w:rFonts w:ascii="Palatino Linotype" w:hAnsi="Palatino Linotype"/>
          <w:b/>
          <w:bCs/>
          <w:sz w:val="24"/>
          <w:szCs w:val="24"/>
          <w:lang w:val="en-US"/>
        </w:rPr>
      </w:pPr>
    </w:p>
    <w:p w14:paraId="058A154C" w14:textId="77777777" w:rsidR="00265EB0" w:rsidRPr="006E5EE9" w:rsidRDefault="00265EB0" w:rsidP="00B67CD3">
      <w:pPr>
        <w:jc w:val="both"/>
        <w:rPr>
          <w:rFonts w:ascii="Palatino Linotype" w:hAnsi="Palatino Linotype"/>
          <w:b/>
          <w:bCs/>
          <w:sz w:val="24"/>
          <w:szCs w:val="24"/>
          <w:lang w:val="en-US"/>
        </w:rPr>
      </w:pPr>
    </w:p>
    <w:p w14:paraId="7E567C71" w14:textId="77777777" w:rsidR="00265EB0" w:rsidRPr="006E5EE9" w:rsidRDefault="00265EB0" w:rsidP="00B67CD3">
      <w:pPr>
        <w:jc w:val="both"/>
        <w:rPr>
          <w:rFonts w:ascii="Palatino Linotype" w:hAnsi="Palatino Linotype"/>
          <w:b/>
          <w:bCs/>
          <w:sz w:val="24"/>
          <w:szCs w:val="24"/>
          <w:lang w:val="en-US"/>
        </w:rPr>
      </w:pPr>
    </w:p>
    <w:p w14:paraId="76201B91" w14:textId="77777777" w:rsidR="00265EB0" w:rsidRPr="006E5EE9" w:rsidRDefault="00265EB0" w:rsidP="00B67CD3">
      <w:pPr>
        <w:jc w:val="both"/>
        <w:rPr>
          <w:rFonts w:ascii="Palatino Linotype" w:hAnsi="Palatino Linotype"/>
          <w:b/>
          <w:bCs/>
          <w:sz w:val="24"/>
          <w:szCs w:val="24"/>
          <w:lang w:val="en-US"/>
        </w:rPr>
      </w:pPr>
    </w:p>
    <w:p w14:paraId="35028047" w14:textId="77777777" w:rsidR="00265EB0" w:rsidRPr="006E5EE9" w:rsidRDefault="00265EB0" w:rsidP="00B67CD3">
      <w:pPr>
        <w:jc w:val="both"/>
        <w:rPr>
          <w:rFonts w:ascii="Palatino Linotype" w:hAnsi="Palatino Linotype"/>
          <w:b/>
          <w:bCs/>
          <w:sz w:val="24"/>
          <w:szCs w:val="24"/>
          <w:lang w:val="en-US"/>
        </w:rPr>
      </w:pPr>
    </w:p>
    <w:p w14:paraId="780BCBFD" w14:textId="0579F332" w:rsidR="00AE59EA" w:rsidRPr="006E5EE9" w:rsidRDefault="008A0499" w:rsidP="00B67CD3">
      <w:pPr>
        <w:jc w:val="both"/>
        <w:rPr>
          <w:rFonts w:ascii="Palatino Linotype" w:hAnsi="Palatino Linotype"/>
          <w:b/>
          <w:bCs/>
          <w:sz w:val="24"/>
          <w:szCs w:val="24"/>
          <w:lang w:val="en-US"/>
        </w:rPr>
      </w:pPr>
      <w:r w:rsidRPr="006E5EE9">
        <w:rPr>
          <w:rFonts w:ascii="Palatino Linotype" w:hAnsi="Palatino Linotype"/>
          <w:b/>
          <w:bCs/>
          <w:sz w:val="24"/>
          <w:szCs w:val="24"/>
          <w:lang w:val="en-US"/>
        </w:rPr>
        <w:t xml:space="preserve">FIG </w:t>
      </w:r>
      <w:r w:rsidR="00867249" w:rsidRPr="006E5EE9">
        <w:rPr>
          <w:rFonts w:ascii="Palatino Linotype" w:hAnsi="Palatino Linotype"/>
          <w:b/>
          <w:bCs/>
          <w:sz w:val="24"/>
          <w:szCs w:val="24"/>
          <w:lang w:val="en-US"/>
        </w:rPr>
        <w:t>6</w:t>
      </w:r>
      <w:r w:rsidRPr="006E5EE9">
        <w:rPr>
          <w:rFonts w:ascii="Palatino Linotype" w:hAnsi="Palatino Linotype"/>
          <w:b/>
          <w:bCs/>
          <w:sz w:val="24"/>
          <w:szCs w:val="24"/>
          <w:lang w:val="en-US"/>
        </w:rPr>
        <w:t>.</w:t>
      </w:r>
      <w:r w:rsidR="005E68BE" w:rsidRPr="006E5EE9">
        <w:rPr>
          <w:rFonts w:ascii="Palatino Linotype" w:hAnsi="Palatino Linotype"/>
          <w:b/>
          <w:bCs/>
          <w:sz w:val="24"/>
          <w:szCs w:val="24"/>
          <w:lang w:val="en-US"/>
        </w:rPr>
        <w:t xml:space="preserve"> </w:t>
      </w:r>
      <w:r w:rsidR="005E68BE" w:rsidRPr="006E5EE9">
        <w:t xml:space="preserve">Global Ionosphere TEC Anomaly Maps for </w:t>
      </w:r>
      <w:r w:rsidR="005E68BE" w:rsidRPr="006E5EE9">
        <w:rPr>
          <w:rStyle w:val="mord"/>
        </w:rPr>
        <w:t>30th</w:t>
      </w:r>
      <w:r w:rsidR="005E68BE" w:rsidRPr="006E5EE9">
        <w:t xml:space="preserve"> and </w:t>
      </w:r>
      <w:r w:rsidR="005E68BE" w:rsidRPr="006E5EE9">
        <w:rPr>
          <w:rStyle w:val="mord"/>
        </w:rPr>
        <w:t>31st</w:t>
      </w:r>
      <w:r w:rsidR="005E68BE" w:rsidRPr="006E5EE9">
        <w:t xml:space="preserve"> January 2023</w:t>
      </w:r>
    </w:p>
    <w:p w14:paraId="74D84197" w14:textId="1BDC6057" w:rsidR="00AE59EA" w:rsidRPr="006E5EE9" w:rsidRDefault="00AE59EA" w:rsidP="00B67CD3">
      <w:pPr>
        <w:jc w:val="both"/>
        <w:rPr>
          <w:rFonts w:ascii="Palatino Linotype" w:hAnsi="Palatino Linotype"/>
          <w:b/>
          <w:bCs/>
          <w:sz w:val="24"/>
          <w:szCs w:val="24"/>
          <w:lang w:val="en-US"/>
        </w:rPr>
      </w:pPr>
    </w:p>
    <w:p w14:paraId="22CEB84E" w14:textId="04432F9F" w:rsidR="00AE59EA" w:rsidRPr="006E5EE9" w:rsidRDefault="00AE59EA" w:rsidP="00B67CD3">
      <w:pPr>
        <w:jc w:val="both"/>
        <w:rPr>
          <w:rFonts w:ascii="Palatino Linotype" w:hAnsi="Palatino Linotype"/>
          <w:b/>
          <w:bCs/>
          <w:sz w:val="24"/>
          <w:szCs w:val="24"/>
          <w:lang w:val="en-US"/>
        </w:rPr>
      </w:pPr>
    </w:p>
    <w:p w14:paraId="09921855" w14:textId="77777777" w:rsidR="00265EB0" w:rsidRPr="006E5EE9" w:rsidRDefault="00265EB0" w:rsidP="00B67CD3">
      <w:pPr>
        <w:jc w:val="both"/>
        <w:rPr>
          <w:rFonts w:ascii="Palatino Linotype" w:hAnsi="Palatino Linotype"/>
          <w:b/>
          <w:bCs/>
          <w:sz w:val="24"/>
          <w:szCs w:val="24"/>
          <w:lang w:val="en-US"/>
        </w:rPr>
      </w:pPr>
    </w:p>
    <w:p w14:paraId="270E89B7" w14:textId="77777777" w:rsidR="00A47E4B" w:rsidRPr="006E5EE9" w:rsidRDefault="00A47E4B" w:rsidP="00B67CD3">
      <w:pPr>
        <w:jc w:val="both"/>
        <w:rPr>
          <w:rFonts w:ascii="Palatino Linotype" w:hAnsi="Palatino Linotype"/>
          <w:b/>
          <w:bCs/>
          <w:i/>
          <w:iCs/>
        </w:rPr>
      </w:pPr>
      <w:r w:rsidRPr="006E5EE9">
        <w:rPr>
          <w:rFonts w:ascii="Palatino Linotype" w:hAnsi="Palatino Linotype"/>
          <w:b/>
          <w:bCs/>
          <w:i/>
          <w:iCs/>
        </w:rPr>
        <w:lastRenderedPageBreak/>
        <w:t xml:space="preserve">Real-Time TEC forecast using ARIMA Model </w:t>
      </w:r>
    </w:p>
    <w:p w14:paraId="696CAC31" w14:textId="0E428CF0" w:rsidR="00A47E4B" w:rsidRPr="006E5EE9" w:rsidRDefault="00A47E4B" w:rsidP="00B67CD3">
      <w:pPr>
        <w:jc w:val="both"/>
        <w:rPr>
          <w:rFonts w:ascii="Palatino Linotype" w:hAnsi="Palatino Linotype"/>
          <w:b/>
          <w:bCs/>
          <w:sz w:val="24"/>
          <w:szCs w:val="24"/>
          <w:lang w:val="en-US"/>
        </w:rPr>
      </w:pPr>
      <w:r w:rsidRPr="006E5EE9">
        <w:rPr>
          <w:rFonts w:ascii="Palatino Linotype" w:hAnsi="Palatino Linotype"/>
          <w:b/>
          <w:bCs/>
          <w:noProof/>
          <w:sz w:val="24"/>
          <w:szCs w:val="24"/>
          <w:lang w:val="en-US"/>
        </w:rPr>
        <w:drawing>
          <wp:anchor distT="0" distB="0" distL="114300" distR="114300" simplePos="0" relativeHeight="251668480" behindDoc="1" locked="0" layoutInCell="1" allowOverlap="1" wp14:anchorId="6CCD31F7" wp14:editId="0B203090">
            <wp:simplePos x="0" y="0"/>
            <wp:positionH relativeFrom="margin">
              <wp:posOffset>297505</wp:posOffset>
            </wp:positionH>
            <wp:positionV relativeFrom="paragraph">
              <wp:posOffset>2648851</wp:posOffset>
            </wp:positionV>
            <wp:extent cx="4752340" cy="2181860"/>
            <wp:effectExtent l="0" t="0" r="0" b="8890"/>
            <wp:wrapTight wrapText="bothSides">
              <wp:wrapPolygon edited="0">
                <wp:start x="0" y="0"/>
                <wp:lineTo x="0" y="21499"/>
                <wp:lineTo x="21473" y="21499"/>
                <wp:lineTo x="21473" y="0"/>
                <wp:lineTo x="0" y="0"/>
              </wp:wrapPolygon>
            </wp:wrapTight>
            <wp:docPr id="1758670061"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70061" name="Picture 1" descr="A graph of different colored lin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2340" cy="2181860"/>
                    </a:xfrm>
                    <a:prstGeom prst="rect">
                      <a:avLst/>
                    </a:prstGeom>
                  </pic:spPr>
                </pic:pic>
              </a:graphicData>
            </a:graphic>
            <wp14:sizeRelH relativeFrom="margin">
              <wp14:pctWidth>0</wp14:pctWidth>
            </wp14:sizeRelH>
            <wp14:sizeRelV relativeFrom="margin">
              <wp14:pctHeight>0</wp14:pctHeight>
            </wp14:sizeRelV>
          </wp:anchor>
        </w:drawing>
      </w:r>
      <w:r w:rsidRPr="006E5EE9">
        <w:rPr>
          <w:rFonts w:ascii="Palatino Linotype" w:hAnsi="Palatino Linotype"/>
        </w:rPr>
        <w:t>This statistical ARIMA model is used to analyse the devastating Turkey-Syria earthquake that occurred on February 6, 2023. I also attempted to correlate the global ionospheric TEC anomaly map (LLT) in spatial domain considering the closest plate boundaries utilising both the TEC data from GPS (IGS) produced as well as statistics based ARIMA Model with a high degree of accuracy. Below figure (</w:t>
      </w:r>
      <w:proofErr w:type="gramStart"/>
      <w:r w:rsidRPr="006E5EE9">
        <w:rPr>
          <w:rFonts w:ascii="Palatino Linotype" w:hAnsi="Palatino Linotype"/>
        </w:rPr>
        <w:t>Figure )</w:t>
      </w:r>
      <w:proofErr w:type="gramEnd"/>
      <w:r w:rsidRPr="006E5EE9">
        <w:rPr>
          <w:rFonts w:ascii="Palatino Linotype" w:hAnsi="Palatino Linotype"/>
        </w:rPr>
        <w:t xml:space="preserve"> represents the training data from where the forecasted TEC is deducted using ARIMA Model. </w:t>
      </w:r>
    </w:p>
    <w:p w14:paraId="722B59D8" w14:textId="4AFB9BE8" w:rsidR="00A47E4B" w:rsidRPr="006E5EE9" w:rsidRDefault="00235B71" w:rsidP="00B67CD3">
      <w:pPr>
        <w:jc w:val="both"/>
        <w:rPr>
          <w:rFonts w:ascii="Palatino Linotype" w:hAnsi="Palatino Linotype"/>
          <w:b/>
          <w:bCs/>
          <w:sz w:val="24"/>
          <w:szCs w:val="24"/>
          <w:lang w:val="en-US"/>
        </w:rPr>
      </w:pPr>
      <w:r w:rsidRPr="006E5EE9">
        <w:rPr>
          <w:rFonts w:ascii="Palatino Linotype" w:hAnsi="Palatino Linotype"/>
          <w:b/>
          <w:bCs/>
          <w:noProof/>
          <w:sz w:val="24"/>
          <w:szCs w:val="24"/>
          <w:lang w:val="en-US"/>
        </w:rPr>
        <w:drawing>
          <wp:anchor distT="0" distB="0" distL="114300" distR="114300" simplePos="0" relativeHeight="251669504" behindDoc="1" locked="0" layoutInCell="1" allowOverlap="1" wp14:anchorId="3CA74E6E" wp14:editId="267E98A1">
            <wp:simplePos x="0" y="0"/>
            <wp:positionH relativeFrom="column">
              <wp:posOffset>360680</wp:posOffset>
            </wp:positionH>
            <wp:positionV relativeFrom="paragraph">
              <wp:posOffset>2487372</wp:posOffset>
            </wp:positionV>
            <wp:extent cx="2640965" cy="1393825"/>
            <wp:effectExtent l="0" t="0" r="6985" b="0"/>
            <wp:wrapTight wrapText="bothSides">
              <wp:wrapPolygon edited="0">
                <wp:start x="0" y="0"/>
                <wp:lineTo x="0" y="21256"/>
                <wp:lineTo x="21501" y="21256"/>
                <wp:lineTo x="21501" y="0"/>
                <wp:lineTo x="0" y="0"/>
              </wp:wrapPolygon>
            </wp:wrapTight>
            <wp:docPr id="858561848" name="Picture 1" descr="A graph showing the number of day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61848" name="Picture 1" descr="A graph showing the number of days and month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965" cy="1393825"/>
                    </a:xfrm>
                    <a:prstGeom prst="rect">
                      <a:avLst/>
                    </a:prstGeom>
                  </pic:spPr>
                </pic:pic>
              </a:graphicData>
            </a:graphic>
          </wp:anchor>
        </w:drawing>
      </w:r>
    </w:p>
    <w:p w14:paraId="40D55082" w14:textId="5E899764" w:rsidR="00A47E4B" w:rsidRPr="006E5EE9" w:rsidRDefault="00A47E4B" w:rsidP="00B67CD3">
      <w:pPr>
        <w:jc w:val="both"/>
        <w:rPr>
          <w:rFonts w:ascii="Palatino Linotype" w:hAnsi="Palatino Linotype"/>
          <w:b/>
          <w:bCs/>
          <w:sz w:val="24"/>
          <w:szCs w:val="24"/>
          <w:lang w:val="en-US"/>
        </w:rPr>
      </w:pPr>
    </w:p>
    <w:p w14:paraId="3F2F547D" w14:textId="1A29562D" w:rsidR="00A47E4B" w:rsidRPr="006E5EE9" w:rsidRDefault="00A47E4B" w:rsidP="00B67CD3">
      <w:pPr>
        <w:jc w:val="both"/>
        <w:rPr>
          <w:rFonts w:ascii="Palatino Linotype" w:hAnsi="Palatino Linotype"/>
          <w:b/>
          <w:bCs/>
          <w:sz w:val="24"/>
          <w:szCs w:val="24"/>
          <w:lang w:val="en-US"/>
        </w:rPr>
      </w:pPr>
    </w:p>
    <w:p w14:paraId="5E730293" w14:textId="0AF2071E" w:rsidR="00A47E4B" w:rsidRPr="006E5EE9" w:rsidRDefault="00A47E4B" w:rsidP="00B67CD3">
      <w:pPr>
        <w:jc w:val="both"/>
        <w:rPr>
          <w:rFonts w:ascii="Palatino Linotype" w:hAnsi="Palatino Linotype"/>
          <w:b/>
          <w:bCs/>
          <w:sz w:val="24"/>
          <w:szCs w:val="24"/>
          <w:lang w:val="en-US"/>
        </w:rPr>
      </w:pPr>
    </w:p>
    <w:p w14:paraId="37D9728D" w14:textId="1303006C" w:rsidR="00A47E4B" w:rsidRPr="006E5EE9" w:rsidRDefault="00A47E4B" w:rsidP="00B67CD3">
      <w:pPr>
        <w:jc w:val="both"/>
        <w:rPr>
          <w:rFonts w:ascii="Palatino Linotype" w:hAnsi="Palatino Linotype"/>
          <w:b/>
          <w:bCs/>
          <w:sz w:val="24"/>
          <w:szCs w:val="24"/>
          <w:lang w:val="en-US"/>
        </w:rPr>
      </w:pPr>
    </w:p>
    <w:p w14:paraId="7231EC9F" w14:textId="2322BE20" w:rsidR="00A47E4B" w:rsidRPr="006E5EE9" w:rsidRDefault="00576E8E" w:rsidP="00B67CD3">
      <w:pPr>
        <w:jc w:val="both"/>
        <w:rPr>
          <w:rFonts w:ascii="Palatino Linotype" w:hAnsi="Palatino Linotype"/>
          <w:b/>
          <w:bCs/>
          <w:sz w:val="24"/>
          <w:szCs w:val="24"/>
          <w:lang w:val="en-US"/>
        </w:rPr>
      </w:pPr>
      <w:r w:rsidRPr="006E5EE9">
        <w:rPr>
          <w:rFonts w:ascii="Palatino Linotype" w:hAnsi="Palatino Linotype"/>
          <w:b/>
          <w:bCs/>
          <w:sz w:val="24"/>
          <w:szCs w:val="24"/>
          <w:lang w:val="en-US"/>
        </w:rPr>
        <w:t>Fig.</w:t>
      </w:r>
      <w:r w:rsidR="00867249" w:rsidRPr="006E5EE9">
        <w:rPr>
          <w:rFonts w:ascii="Palatino Linotype" w:hAnsi="Palatino Linotype"/>
          <w:b/>
          <w:bCs/>
          <w:sz w:val="24"/>
          <w:szCs w:val="24"/>
          <w:lang w:val="en-US"/>
        </w:rPr>
        <w:t>8</w:t>
      </w:r>
      <w:r w:rsidRPr="006E5EE9">
        <w:rPr>
          <w:rFonts w:ascii="Palatino Linotype" w:hAnsi="Palatino Linotype"/>
          <w:b/>
          <w:bCs/>
          <w:sz w:val="24"/>
          <w:szCs w:val="24"/>
          <w:lang w:val="en-US"/>
        </w:rPr>
        <w:t xml:space="preserve"> </w:t>
      </w:r>
      <w:r w:rsidR="00531888" w:rsidRPr="006E5EE9">
        <w:rPr>
          <w:rFonts w:ascii="Palatino Linotype" w:hAnsi="Palatino Linotype"/>
          <w:b/>
          <w:bCs/>
          <w:sz w:val="24"/>
          <w:szCs w:val="24"/>
          <w:lang w:val="en-US"/>
        </w:rPr>
        <w:t>Anomaly Visualization</w:t>
      </w:r>
    </w:p>
    <w:p w14:paraId="587935D5" w14:textId="351A0D03" w:rsidR="00A47E4B" w:rsidRPr="006E5EE9" w:rsidRDefault="00435951" w:rsidP="00B67CD3">
      <w:pPr>
        <w:jc w:val="both"/>
        <w:rPr>
          <w:rFonts w:ascii="Palatino Linotype" w:hAnsi="Palatino Linotype"/>
          <w:b/>
          <w:bCs/>
          <w:sz w:val="24"/>
          <w:szCs w:val="24"/>
          <w:lang w:val="en-US"/>
        </w:rPr>
      </w:pPr>
      <w:r w:rsidRPr="006E5EE9">
        <w:rPr>
          <w:rFonts w:ascii="Palatino Linotype" w:hAnsi="Palatino Linotype"/>
          <w:b/>
          <w:bCs/>
          <w:noProof/>
          <w:sz w:val="24"/>
          <w:szCs w:val="24"/>
          <w:lang w:val="en-US"/>
        </w:rPr>
        <w:t xml:space="preserve">                                                                                     </w:t>
      </w:r>
    </w:p>
    <w:p w14:paraId="221573A6" w14:textId="77777777" w:rsidR="00A47E4B" w:rsidRPr="006E5EE9" w:rsidRDefault="00A47E4B" w:rsidP="00B67CD3">
      <w:pPr>
        <w:jc w:val="both"/>
        <w:rPr>
          <w:rFonts w:ascii="Palatino Linotype" w:hAnsi="Palatino Linotype"/>
          <w:b/>
          <w:bCs/>
          <w:sz w:val="24"/>
          <w:szCs w:val="24"/>
          <w:lang w:val="en-US"/>
        </w:rPr>
      </w:pPr>
    </w:p>
    <w:p w14:paraId="760D4687" w14:textId="77777777" w:rsidR="00A47E4B" w:rsidRPr="006E5EE9" w:rsidRDefault="00A47E4B" w:rsidP="00B67CD3">
      <w:pPr>
        <w:jc w:val="both"/>
        <w:rPr>
          <w:rFonts w:ascii="Palatino Linotype" w:hAnsi="Palatino Linotype"/>
          <w:b/>
          <w:bCs/>
          <w:sz w:val="24"/>
          <w:szCs w:val="24"/>
          <w:lang w:val="en-US"/>
        </w:rPr>
      </w:pPr>
    </w:p>
    <w:p w14:paraId="17FF95EF" w14:textId="77777777" w:rsidR="00A47E4B" w:rsidRPr="006E5EE9" w:rsidRDefault="00A47E4B" w:rsidP="00B67CD3">
      <w:pPr>
        <w:jc w:val="both"/>
        <w:rPr>
          <w:rFonts w:ascii="Palatino Linotype" w:hAnsi="Palatino Linotype"/>
          <w:b/>
          <w:bCs/>
          <w:sz w:val="24"/>
          <w:szCs w:val="24"/>
          <w:lang w:val="en-US"/>
        </w:rPr>
      </w:pPr>
    </w:p>
    <w:p w14:paraId="64E6EC3E" w14:textId="29787015" w:rsidR="00A47E4B" w:rsidRPr="006E5EE9" w:rsidRDefault="00A47E4B" w:rsidP="00B67CD3">
      <w:pPr>
        <w:jc w:val="both"/>
        <w:rPr>
          <w:rFonts w:ascii="Palatino Linotype" w:hAnsi="Palatino Linotype"/>
        </w:rPr>
      </w:pPr>
      <w:r w:rsidRPr="006E5EE9">
        <w:rPr>
          <w:rFonts w:ascii="Palatino Linotype" w:hAnsi="Palatino Linotype"/>
        </w:rPr>
        <w:t>The forecasted TEC data plotted with the training data shows a good correlation with the actual TEC value with a RMSE error calculated as 2.09 for anomalous days and 2.49 for the non</w:t>
      </w:r>
      <w:r w:rsidR="00BE2FE8" w:rsidRPr="006E5EE9">
        <w:rPr>
          <w:rFonts w:ascii="Palatino Linotype" w:hAnsi="Palatino Linotype"/>
        </w:rPr>
        <w:t>-</w:t>
      </w:r>
      <w:r w:rsidRPr="006E5EE9">
        <w:rPr>
          <w:rFonts w:ascii="Palatino Linotype" w:hAnsi="Palatino Linotype"/>
        </w:rPr>
        <w:t xml:space="preserve">anomalous days (Figure). The average RMSE error for forecasted TEC value is found to be 2.30, which justifies a </w:t>
      </w:r>
      <w:r w:rsidR="00BE2FE8" w:rsidRPr="006E5EE9">
        <w:rPr>
          <w:rFonts w:ascii="Palatino Linotype" w:hAnsi="Palatino Linotype"/>
        </w:rPr>
        <w:t>good result</w:t>
      </w:r>
      <w:r w:rsidRPr="006E5EE9">
        <w:rPr>
          <w:rFonts w:ascii="Palatino Linotype" w:hAnsi="Palatino Linotype"/>
        </w:rPr>
        <w:t xml:space="preserve"> with a 15:1 dataset ratio. The </w:t>
      </w:r>
      <w:proofErr w:type="gramStart"/>
      <w:r w:rsidRPr="006E5EE9">
        <w:rPr>
          <w:rFonts w:ascii="Palatino Linotype" w:hAnsi="Palatino Linotype"/>
        </w:rPr>
        <w:t>Figure .</w:t>
      </w:r>
      <w:proofErr w:type="gramEnd"/>
      <w:r w:rsidRPr="006E5EE9">
        <w:rPr>
          <w:rFonts w:ascii="Palatino Linotype" w:hAnsi="Palatino Linotype"/>
        </w:rPr>
        <w:t xml:space="preserve"> shows the RMSE error along with upper and lower bound and found to be crossed the upper bound on 4 th,5th, and 6th February and lower bound at 8th February. The error ranges show in below table. </w:t>
      </w:r>
    </w:p>
    <w:p w14:paraId="3E990264" w14:textId="77777777" w:rsidR="00576E8E" w:rsidRPr="006E5EE9" w:rsidRDefault="00576E8E" w:rsidP="00B67CD3">
      <w:pPr>
        <w:jc w:val="both"/>
        <w:rPr>
          <w:rFonts w:ascii="Palatino Linotype" w:hAnsi="Palatino Linotype"/>
        </w:rPr>
      </w:pPr>
    </w:p>
    <w:p w14:paraId="32CC998F" w14:textId="77777777" w:rsidR="00576E8E" w:rsidRPr="006E5EE9" w:rsidRDefault="00576E8E" w:rsidP="00B67CD3">
      <w:pPr>
        <w:jc w:val="both"/>
        <w:rPr>
          <w:rFonts w:ascii="Palatino Linotype" w:hAnsi="Palatino Linotype"/>
        </w:rPr>
      </w:pPr>
    </w:p>
    <w:p w14:paraId="393A7058" w14:textId="77777777" w:rsidR="00235B71" w:rsidRPr="006E5EE9" w:rsidRDefault="00235B71" w:rsidP="00B67CD3">
      <w:pPr>
        <w:jc w:val="both"/>
        <w:rPr>
          <w:rFonts w:ascii="Palatino Linotype" w:hAnsi="Palatino Linotype"/>
        </w:rPr>
      </w:pPr>
    </w:p>
    <w:p w14:paraId="7577A122" w14:textId="77777777" w:rsidR="00235B71" w:rsidRPr="006E5EE9" w:rsidRDefault="00235B71" w:rsidP="00B67CD3">
      <w:pPr>
        <w:jc w:val="both"/>
        <w:rPr>
          <w:rFonts w:ascii="Palatino Linotype" w:hAnsi="Palatino Linotype"/>
        </w:rPr>
      </w:pPr>
    </w:p>
    <w:p w14:paraId="4C799579" w14:textId="77777777" w:rsidR="00235B71" w:rsidRPr="006E5EE9" w:rsidRDefault="00235B71" w:rsidP="00B67CD3">
      <w:pPr>
        <w:jc w:val="both"/>
        <w:rPr>
          <w:rFonts w:ascii="Palatino Linotype" w:hAnsi="Palatino Linotype"/>
        </w:rPr>
      </w:pPr>
    </w:p>
    <w:p w14:paraId="0839AEE1" w14:textId="77777777" w:rsidR="00235B71" w:rsidRPr="006E5EE9" w:rsidRDefault="00235B71" w:rsidP="00B67CD3">
      <w:pPr>
        <w:jc w:val="both"/>
        <w:rPr>
          <w:rFonts w:ascii="Palatino Linotype" w:hAnsi="Palatino Linotype"/>
        </w:rPr>
      </w:pPr>
    </w:p>
    <w:p w14:paraId="3CF23CE0" w14:textId="77777777" w:rsidR="00235B71" w:rsidRPr="006E5EE9" w:rsidRDefault="00235B71" w:rsidP="00B67CD3">
      <w:pPr>
        <w:jc w:val="both"/>
        <w:rPr>
          <w:rFonts w:ascii="Palatino Linotype" w:hAnsi="Palatino Linotype"/>
        </w:rPr>
      </w:pPr>
    </w:p>
    <w:p w14:paraId="6CE3C889" w14:textId="77777777" w:rsidR="00235B71" w:rsidRPr="006E5EE9" w:rsidRDefault="00235B71" w:rsidP="00B67CD3">
      <w:pPr>
        <w:jc w:val="both"/>
        <w:rPr>
          <w:rFonts w:ascii="Palatino Linotype" w:hAnsi="Palatino Linotype"/>
        </w:rPr>
      </w:pPr>
    </w:p>
    <w:p w14:paraId="2185FCCB" w14:textId="14328E61" w:rsidR="00576E8E" w:rsidRPr="006E5EE9" w:rsidRDefault="005E68BE" w:rsidP="00235B71">
      <w:pPr>
        <w:jc w:val="center"/>
        <w:rPr>
          <w:rFonts w:ascii="Palatino Linotype" w:hAnsi="Palatino Linotype"/>
        </w:rPr>
      </w:pPr>
      <w:r w:rsidRPr="006E5EE9">
        <w:rPr>
          <w:rFonts w:ascii="Palatino Linotype" w:hAnsi="Palatino Linotype"/>
        </w:rPr>
        <w:t>Fig.</w:t>
      </w:r>
      <w:r w:rsidR="00867249" w:rsidRPr="006E5EE9">
        <w:rPr>
          <w:rFonts w:ascii="Palatino Linotype" w:hAnsi="Palatino Linotype"/>
        </w:rPr>
        <w:t>7</w:t>
      </w:r>
      <w:r w:rsidR="00D500A5" w:rsidRPr="006E5EE9">
        <w:rPr>
          <w:rFonts w:ascii="Palatino Linotype" w:hAnsi="Palatino Linotype"/>
        </w:rPr>
        <w:t>: TEC Variation &amp; Forecasted series</w:t>
      </w:r>
    </w:p>
    <w:p w14:paraId="23B4E311" w14:textId="77777777" w:rsidR="00576E8E" w:rsidRPr="006E5EE9" w:rsidRDefault="00576E8E" w:rsidP="00B67CD3">
      <w:pPr>
        <w:jc w:val="both"/>
        <w:rPr>
          <w:rFonts w:ascii="Palatino Linotype" w:hAnsi="Palatino Linotype"/>
        </w:rPr>
      </w:pPr>
    </w:p>
    <w:p w14:paraId="293601D6" w14:textId="77777777" w:rsidR="00576E8E" w:rsidRPr="006E5EE9" w:rsidRDefault="00576E8E" w:rsidP="00B67CD3">
      <w:pPr>
        <w:jc w:val="both"/>
        <w:rPr>
          <w:rFonts w:ascii="Palatino Linotype" w:hAnsi="Palatino Linotype"/>
        </w:rPr>
      </w:pPr>
    </w:p>
    <w:p w14:paraId="1AE27730" w14:textId="7626BD46" w:rsidR="00576E8E" w:rsidRDefault="00576E8E" w:rsidP="00B67CD3">
      <w:pPr>
        <w:jc w:val="both"/>
        <w:rPr>
          <w:rFonts w:ascii="Palatino Linotype" w:hAnsi="Palatino Linotype"/>
        </w:rPr>
      </w:pPr>
    </w:p>
    <w:p w14:paraId="473820CA" w14:textId="4F4EBC39" w:rsidR="00CE3BB5" w:rsidRDefault="00CE3BB5" w:rsidP="00B67CD3">
      <w:pPr>
        <w:jc w:val="both"/>
        <w:rPr>
          <w:rFonts w:ascii="Palatino Linotype" w:hAnsi="Palatino Linotype"/>
        </w:rPr>
      </w:pPr>
    </w:p>
    <w:p w14:paraId="1A97C48E" w14:textId="77777777" w:rsidR="00CE3BB5" w:rsidRPr="006E5EE9" w:rsidRDefault="00CE3BB5" w:rsidP="00B67CD3">
      <w:pPr>
        <w:jc w:val="both"/>
        <w:rPr>
          <w:rFonts w:ascii="Palatino Linotype" w:hAnsi="Palatino Linotype"/>
        </w:rPr>
      </w:pPr>
    </w:p>
    <w:tbl>
      <w:tblPr>
        <w:tblpPr w:leftFromText="180" w:rightFromText="180" w:vertAnchor="text" w:horzAnchor="margin" w:tblpY="1608"/>
        <w:tblW w:w="3992" w:type="dxa"/>
        <w:tblCellMar>
          <w:left w:w="0" w:type="dxa"/>
          <w:right w:w="0" w:type="dxa"/>
        </w:tblCellMar>
        <w:tblLook w:val="0420" w:firstRow="1" w:lastRow="0" w:firstColumn="0" w:lastColumn="0" w:noHBand="0" w:noVBand="1"/>
      </w:tblPr>
      <w:tblGrid>
        <w:gridCol w:w="2499"/>
        <w:gridCol w:w="1493"/>
      </w:tblGrid>
      <w:tr w:rsidR="00CE3BB5" w:rsidRPr="006E5EE9" w14:paraId="10C1DB7F" w14:textId="77777777" w:rsidTr="00CE3BB5">
        <w:trPr>
          <w:trHeight w:val="22"/>
        </w:trPr>
        <w:tc>
          <w:tcPr>
            <w:tcW w:w="2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BD5B72" w14:textId="77777777" w:rsidR="00CE3BB5" w:rsidRPr="006E5EE9" w:rsidRDefault="00CE3BB5" w:rsidP="00CE3BB5">
            <w:pPr>
              <w:jc w:val="both"/>
              <w:rPr>
                <w:rFonts w:ascii="Palatino Linotype" w:hAnsi="Palatino Linotype"/>
                <w:sz w:val="18"/>
                <w:szCs w:val="18"/>
              </w:rPr>
            </w:pPr>
            <w:r w:rsidRPr="006E5EE9">
              <w:rPr>
                <w:rFonts w:ascii="Palatino Linotype" w:hAnsi="Palatino Linotype"/>
                <w:b/>
                <w:bCs/>
                <w:sz w:val="18"/>
                <w:szCs w:val="18"/>
                <w:lang w:val="en-US"/>
              </w:rPr>
              <w:lastRenderedPageBreak/>
              <w:t>Days</w:t>
            </w:r>
          </w:p>
        </w:tc>
        <w:tc>
          <w:tcPr>
            <w:tcW w:w="14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69FAA9" w14:textId="77777777" w:rsidR="00CE3BB5" w:rsidRPr="006E5EE9" w:rsidRDefault="00CE3BB5" w:rsidP="00CE3BB5">
            <w:pPr>
              <w:jc w:val="both"/>
              <w:rPr>
                <w:rFonts w:ascii="Palatino Linotype" w:hAnsi="Palatino Linotype"/>
                <w:sz w:val="18"/>
                <w:szCs w:val="18"/>
              </w:rPr>
            </w:pPr>
            <w:r w:rsidRPr="006E5EE9">
              <w:rPr>
                <w:rFonts w:ascii="Palatino Linotype" w:hAnsi="Palatino Linotype"/>
                <w:b/>
                <w:bCs/>
                <w:sz w:val="18"/>
                <w:szCs w:val="18"/>
                <w:lang w:val="en-US"/>
              </w:rPr>
              <w:t>RMSE Error</w:t>
            </w:r>
          </w:p>
        </w:tc>
      </w:tr>
      <w:tr w:rsidR="00CE3BB5" w:rsidRPr="006E5EE9" w14:paraId="42A0A70D" w14:textId="77777777" w:rsidTr="00CE3BB5">
        <w:trPr>
          <w:trHeight w:val="165"/>
        </w:trPr>
        <w:tc>
          <w:tcPr>
            <w:tcW w:w="2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0E5027" w14:textId="77777777" w:rsidR="00CE3BB5" w:rsidRPr="006E5EE9" w:rsidRDefault="00CE3BB5" w:rsidP="00CE3BB5">
            <w:pPr>
              <w:jc w:val="both"/>
              <w:rPr>
                <w:rFonts w:ascii="Palatino Linotype" w:hAnsi="Palatino Linotype"/>
                <w:sz w:val="18"/>
                <w:szCs w:val="18"/>
              </w:rPr>
            </w:pPr>
            <w:r w:rsidRPr="006E5EE9">
              <w:rPr>
                <w:rFonts w:ascii="Palatino Linotype" w:hAnsi="Palatino Linotype"/>
                <w:b/>
                <w:bCs/>
                <w:sz w:val="18"/>
                <w:szCs w:val="18"/>
                <w:lang w:val="en-US"/>
              </w:rPr>
              <w:t>Non-Anomalous Days</w:t>
            </w:r>
          </w:p>
        </w:tc>
        <w:tc>
          <w:tcPr>
            <w:tcW w:w="14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25F123" w14:textId="77777777" w:rsidR="00CE3BB5" w:rsidRPr="006E5EE9" w:rsidRDefault="00CE3BB5" w:rsidP="00CE3BB5">
            <w:pPr>
              <w:jc w:val="both"/>
              <w:rPr>
                <w:rFonts w:ascii="Palatino Linotype" w:hAnsi="Palatino Linotype"/>
                <w:sz w:val="18"/>
                <w:szCs w:val="18"/>
              </w:rPr>
            </w:pPr>
            <w:r w:rsidRPr="006E5EE9">
              <w:rPr>
                <w:rFonts w:ascii="Palatino Linotype" w:hAnsi="Palatino Linotype"/>
                <w:b/>
                <w:bCs/>
                <w:sz w:val="18"/>
                <w:szCs w:val="18"/>
                <w:lang w:val="en-US"/>
              </w:rPr>
              <w:t>2.49</w:t>
            </w:r>
          </w:p>
        </w:tc>
      </w:tr>
      <w:tr w:rsidR="00CE3BB5" w:rsidRPr="006E5EE9" w14:paraId="02A7AB6F" w14:textId="77777777" w:rsidTr="00CE3BB5">
        <w:trPr>
          <w:trHeight w:val="296"/>
        </w:trPr>
        <w:tc>
          <w:tcPr>
            <w:tcW w:w="2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3587AC" w14:textId="77777777" w:rsidR="00CE3BB5" w:rsidRPr="006E5EE9" w:rsidRDefault="00CE3BB5" w:rsidP="00CE3BB5">
            <w:pPr>
              <w:jc w:val="both"/>
              <w:rPr>
                <w:rFonts w:ascii="Palatino Linotype" w:hAnsi="Palatino Linotype"/>
                <w:sz w:val="18"/>
                <w:szCs w:val="18"/>
              </w:rPr>
            </w:pPr>
            <w:r w:rsidRPr="006E5EE9">
              <w:rPr>
                <w:rFonts w:ascii="Palatino Linotype" w:hAnsi="Palatino Linotype"/>
                <w:b/>
                <w:bCs/>
                <w:sz w:val="18"/>
                <w:szCs w:val="18"/>
                <w:lang w:val="en-US"/>
              </w:rPr>
              <w:t xml:space="preserve">Anomalous Days </w:t>
            </w:r>
            <w:r w:rsidRPr="006E5EE9">
              <w:rPr>
                <w:rFonts w:ascii="Palatino Linotype" w:hAnsi="Palatino Linotype"/>
                <w:b/>
                <w:bCs/>
                <w:color w:val="FF0000"/>
                <w:sz w:val="18"/>
                <w:szCs w:val="18"/>
                <w:lang w:val="en-US"/>
              </w:rPr>
              <w:t>*</w:t>
            </w:r>
          </w:p>
        </w:tc>
        <w:tc>
          <w:tcPr>
            <w:tcW w:w="14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A2A52E" w14:textId="77777777" w:rsidR="00CE3BB5" w:rsidRPr="006E5EE9" w:rsidRDefault="00CE3BB5" w:rsidP="00CE3BB5">
            <w:pPr>
              <w:jc w:val="both"/>
              <w:rPr>
                <w:rFonts w:ascii="Palatino Linotype" w:hAnsi="Palatino Linotype"/>
                <w:sz w:val="18"/>
                <w:szCs w:val="18"/>
              </w:rPr>
            </w:pPr>
            <w:r w:rsidRPr="006E5EE9">
              <w:rPr>
                <w:rFonts w:ascii="Palatino Linotype" w:hAnsi="Palatino Linotype"/>
                <w:b/>
                <w:bCs/>
                <w:sz w:val="18"/>
                <w:szCs w:val="18"/>
                <w:lang w:val="en-US"/>
              </w:rPr>
              <w:t>2.09</w:t>
            </w:r>
          </w:p>
        </w:tc>
      </w:tr>
      <w:tr w:rsidR="00CE3BB5" w:rsidRPr="006E5EE9" w14:paraId="7C6BAD47" w14:textId="77777777" w:rsidTr="00CE3BB5">
        <w:trPr>
          <w:trHeight w:val="281"/>
        </w:trPr>
        <w:tc>
          <w:tcPr>
            <w:tcW w:w="2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686D01" w14:textId="77777777" w:rsidR="00CE3BB5" w:rsidRPr="006E5EE9" w:rsidRDefault="00CE3BB5" w:rsidP="00CE3BB5">
            <w:pPr>
              <w:jc w:val="both"/>
              <w:rPr>
                <w:rFonts w:ascii="Palatino Linotype" w:hAnsi="Palatino Linotype"/>
                <w:sz w:val="18"/>
                <w:szCs w:val="18"/>
              </w:rPr>
            </w:pPr>
            <w:r w:rsidRPr="006E5EE9">
              <w:rPr>
                <w:rFonts w:ascii="Palatino Linotype" w:hAnsi="Palatino Linotype"/>
                <w:b/>
                <w:bCs/>
                <w:sz w:val="18"/>
                <w:szCs w:val="18"/>
                <w:lang w:val="en-US"/>
              </w:rPr>
              <w:t>Overall Error</w:t>
            </w:r>
          </w:p>
        </w:tc>
        <w:tc>
          <w:tcPr>
            <w:tcW w:w="14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22ABB99" w14:textId="77777777" w:rsidR="00CE3BB5" w:rsidRPr="006E5EE9" w:rsidRDefault="00CE3BB5" w:rsidP="00CE3BB5">
            <w:pPr>
              <w:jc w:val="both"/>
              <w:rPr>
                <w:rFonts w:ascii="Palatino Linotype" w:hAnsi="Palatino Linotype"/>
                <w:sz w:val="18"/>
                <w:szCs w:val="18"/>
              </w:rPr>
            </w:pPr>
            <w:r w:rsidRPr="006E5EE9">
              <w:rPr>
                <w:rFonts w:ascii="Palatino Linotype" w:hAnsi="Palatino Linotype"/>
                <w:b/>
                <w:bCs/>
                <w:sz w:val="18"/>
                <w:szCs w:val="18"/>
                <w:lang w:val="en-US"/>
              </w:rPr>
              <w:t>2.30</w:t>
            </w:r>
          </w:p>
        </w:tc>
      </w:tr>
    </w:tbl>
    <w:p w14:paraId="7E02CD9F" w14:textId="4B5C3A00" w:rsidR="00576E8E" w:rsidRDefault="00576E8E" w:rsidP="00B67CD3">
      <w:pPr>
        <w:jc w:val="both"/>
        <w:rPr>
          <w:rFonts w:ascii="Palatino Linotype" w:hAnsi="Palatino Linotype"/>
        </w:rPr>
      </w:pPr>
    </w:p>
    <w:p w14:paraId="2C29F79B" w14:textId="10FFFCA0" w:rsidR="00CE3BB5" w:rsidRPr="00CE3BB5" w:rsidRDefault="00CE3BB5" w:rsidP="00B67CD3">
      <w:pPr>
        <w:jc w:val="both"/>
        <w:rPr>
          <w:rFonts w:ascii="Palatino Linotype" w:hAnsi="Palatino Linotype"/>
          <w:b/>
        </w:rPr>
      </w:pPr>
      <w:r w:rsidRPr="00CE3BB5">
        <w:rPr>
          <w:rFonts w:ascii="Palatino Linotype" w:hAnsi="Palatino Linotype"/>
          <w:b/>
        </w:rPr>
        <w:t>TABLE 1: The error ranges</w:t>
      </w:r>
    </w:p>
    <w:p w14:paraId="3F746484" w14:textId="6F40FEA2" w:rsidR="00CE3BB5" w:rsidRDefault="00CE3BB5" w:rsidP="00B67CD3">
      <w:pPr>
        <w:jc w:val="both"/>
        <w:rPr>
          <w:rFonts w:ascii="Palatino Linotype" w:hAnsi="Palatino Linotype"/>
        </w:rPr>
      </w:pPr>
    </w:p>
    <w:p w14:paraId="2B756F29" w14:textId="77777777" w:rsidR="00CE3BB5" w:rsidRPr="006E5EE9" w:rsidRDefault="00CE3BB5" w:rsidP="00B67CD3">
      <w:pPr>
        <w:jc w:val="both"/>
        <w:rPr>
          <w:rFonts w:ascii="Palatino Linotype" w:hAnsi="Palatino Linotype"/>
        </w:rPr>
      </w:pPr>
    </w:p>
    <w:p w14:paraId="56536724" w14:textId="77777777" w:rsidR="00862305" w:rsidRPr="006E5EE9" w:rsidRDefault="00862305" w:rsidP="009E1C3A">
      <w:pPr>
        <w:rPr>
          <w:rFonts w:ascii="Palatino Linotype" w:hAnsi="Palatino Linotype"/>
        </w:rPr>
      </w:pPr>
    </w:p>
    <w:p w14:paraId="271E2AB4" w14:textId="487547E1" w:rsidR="00D87004" w:rsidRPr="006E5EE9" w:rsidRDefault="00D87004" w:rsidP="009E1C3A">
      <w:pPr>
        <w:rPr>
          <w:rFonts w:ascii="Palatino Linotype" w:hAnsi="Palatino Linotype"/>
        </w:rPr>
      </w:pPr>
      <w:r w:rsidRPr="006E5EE9">
        <w:rPr>
          <w:rFonts w:ascii="Palatino Linotype" w:hAnsi="Palatino Linotype"/>
        </w:rPr>
        <w:t>Result shows,</w:t>
      </w:r>
    </w:p>
    <w:p w14:paraId="2F127DD6" w14:textId="68629D51" w:rsidR="00D87004" w:rsidRPr="006E5EE9" w:rsidRDefault="00D87004" w:rsidP="00D87004">
      <w:pPr>
        <w:jc w:val="center"/>
        <w:rPr>
          <w:rFonts w:ascii="Palatino Linotype" w:hAnsi="Palatino Linotype"/>
        </w:rPr>
      </w:pPr>
      <w:r w:rsidRPr="006E5EE9">
        <w:rPr>
          <w:rFonts w:ascii="Palatino Linotype" w:hAnsi="Palatino Linotype"/>
        </w:rPr>
        <w:t>E (Non-anomalous Days) &gt; E (Anomalous Days)</w:t>
      </w:r>
    </w:p>
    <w:p w14:paraId="2C670B33" w14:textId="4B58F742" w:rsidR="00A47E4B" w:rsidRPr="006E5EE9" w:rsidRDefault="00D87004" w:rsidP="00D87004">
      <w:pPr>
        <w:jc w:val="center"/>
        <w:rPr>
          <w:rFonts w:ascii="Palatino Linotype" w:hAnsi="Palatino Linotype"/>
          <w:b/>
          <w:bCs/>
          <w:sz w:val="24"/>
          <w:szCs w:val="24"/>
          <w:lang w:val="en-US"/>
        </w:rPr>
      </w:pPr>
      <w:r w:rsidRPr="006E5EE9">
        <w:rPr>
          <w:rFonts w:ascii="Palatino Linotype" w:hAnsi="Palatino Linotype"/>
        </w:rPr>
        <w:t>E: Error</w:t>
      </w:r>
    </w:p>
    <w:p w14:paraId="20F114B4" w14:textId="77777777" w:rsidR="00A47E4B" w:rsidRPr="006E5EE9" w:rsidRDefault="00A47E4B" w:rsidP="00B67CD3">
      <w:pPr>
        <w:jc w:val="both"/>
        <w:rPr>
          <w:rFonts w:ascii="Palatino Linotype" w:hAnsi="Palatino Linotype"/>
          <w:b/>
          <w:bCs/>
          <w:sz w:val="24"/>
          <w:szCs w:val="24"/>
          <w:lang w:val="en-US"/>
        </w:rPr>
      </w:pPr>
    </w:p>
    <w:p w14:paraId="2262B85B" w14:textId="77777777" w:rsidR="00A47E4B" w:rsidRPr="006E5EE9" w:rsidRDefault="00A47E4B" w:rsidP="00B67CD3">
      <w:pPr>
        <w:jc w:val="both"/>
        <w:rPr>
          <w:rFonts w:ascii="Palatino Linotype" w:hAnsi="Palatino Linotype"/>
          <w:b/>
          <w:bCs/>
          <w:sz w:val="24"/>
          <w:szCs w:val="24"/>
          <w:lang w:val="en-US"/>
        </w:rPr>
      </w:pPr>
    </w:p>
    <w:p w14:paraId="080A35D7" w14:textId="35FBF224" w:rsidR="00A47E4B" w:rsidRPr="006E5EE9" w:rsidRDefault="00D87004" w:rsidP="00B67CD3">
      <w:pPr>
        <w:jc w:val="both"/>
        <w:rPr>
          <w:rFonts w:ascii="Palatino Linotype" w:hAnsi="Palatino Linotype"/>
          <w:b/>
          <w:bCs/>
          <w:sz w:val="24"/>
          <w:szCs w:val="24"/>
        </w:rPr>
      </w:pPr>
      <w:r w:rsidRPr="006E5EE9">
        <w:rPr>
          <w:rFonts w:ascii="Palatino Linotype" w:hAnsi="Palatino Linotype"/>
          <w:b/>
          <w:bCs/>
          <w:sz w:val="24"/>
          <w:szCs w:val="24"/>
        </w:rPr>
        <w:t>CONCLUSION</w:t>
      </w:r>
    </w:p>
    <w:p w14:paraId="17E737E6" w14:textId="4A4A7A05" w:rsidR="00D87004" w:rsidRPr="006E5EE9" w:rsidRDefault="00D87004" w:rsidP="00B67CD3">
      <w:pPr>
        <w:jc w:val="both"/>
        <w:rPr>
          <w:rFonts w:ascii="Palatino Linotype" w:hAnsi="Palatino Linotype"/>
        </w:rPr>
      </w:pPr>
      <w:r w:rsidRPr="006E5EE9">
        <w:rPr>
          <w:rFonts w:ascii="Palatino Linotype" w:hAnsi="Palatino Linotype"/>
        </w:rPr>
        <w:t xml:space="preserve">The goal of this paper was to find a possible correlation between the earthquake and TEC anomalies, </w:t>
      </w:r>
      <w:r w:rsidR="00BE2FE8" w:rsidRPr="006E5EE9">
        <w:rPr>
          <w:rFonts w:ascii="Palatino Linotype" w:hAnsi="Palatino Linotype"/>
        </w:rPr>
        <w:t>and</w:t>
      </w:r>
      <w:r w:rsidRPr="006E5EE9">
        <w:rPr>
          <w:rFonts w:ascii="Palatino Linotype" w:hAnsi="Palatino Linotype"/>
        </w:rPr>
        <w:t xml:space="preserve"> to forecast the TEC data using ARIMA Model. It has been observed that the ionospheric abnormalities covered in this research work typically occurred one to two weeks before the events. The ionospheric anomalies (in the F2 region) discussed in this work occurs in between afternoon and evening (~10:00 LT-17:00 LT) when the electron concentration is supposed to be at its peak. It has been further noted that the ionospheric disturbances were mostly directed along the major fault line confined to the earthquake preparation zone. The observational findings have shown striking </w:t>
      </w:r>
      <w:r w:rsidRPr="006E5EE9">
        <w:rPr>
          <w:rFonts w:ascii="Palatino Linotype" w:hAnsi="Palatino Linotype"/>
        </w:rPr>
        <w:t xml:space="preserve">correlation among the plate boundaries, spatial 2-D TEC anomalies, within the earthquake preparation zone. 2D spatial profiles of the TEC anomalies were successfully able to establish the correlation of both the precursors across and away from the epicentres within the Earthquake Preparation Zone. This allowed us to better visualise the trend of both anomaly within its earthquake preparation zone surrounding the epicentre. Thus, the Continuous TEC monitoring based on the continuous GPS networks provided a practical tool for tracking the ionosphere before an earthquake and found a rough correlation in the EPZ, which strengthened the case for using TEC as a promising earthquake </w:t>
      </w:r>
      <w:r w:rsidR="00BE2FE8" w:rsidRPr="006E5EE9">
        <w:rPr>
          <w:rFonts w:ascii="Palatino Linotype" w:hAnsi="Palatino Linotype"/>
        </w:rPr>
        <w:t>precursor</w:t>
      </w:r>
      <w:r w:rsidRPr="006E5EE9">
        <w:rPr>
          <w:rFonts w:ascii="Palatino Linotype" w:hAnsi="Palatino Linotype"/>
        </w:rPr>
        <w:t xml:space="preserve">. To overcome the problem of delay in TEC data, </w:t>
      </w:r>
      <w:r w:rsidR="00BE2FE8" w:rsidRPr="006E5EE9">
        <w:rPr>
          <w:rFonts w:ascii="Palatino Linotype" w:hAnsi="Palatino Linotype"/>
        </w:rPr>
        <w:t>statistics based</w:t>
      </w:r>
      <w:r w:rsidRPr="006E5EE9">
        <w:rPr>
          <w:rFonts w:ascii="Palatino Linotype" w:hAnsi="Palatino Linotype"/>
        </w:rPr>
        <w:t xml:space="preserve"> ARIMA model has been used to forecast the TEC data and subsequently monitor the ionospheric TEC perturbation using a ratio of 15:1; the ARIMA model successfully was able to accurately identify and forecast significant evidence for pre-seismic ionospheric TEC anomalies with a good RMSE error range. This allowed for a one-day delay-free monitoring of the </w:t>
      </w:r>
      <w:proofErr w:type="spellStart"/>
      <w:r w:rsidRPr="006E5EE9">
        <w:rPr>
          <w:rFonts w:ascii="Palatino Linotype" w:hAnsi="Palatino Linotype"/>
        </w:rPr>
        <w:t>seismo</w:t>
      </w:r>
      <w:proofErr w:type="spellEnd"/>
      <w:r w:rsidRPr="006E5EE9">
        <w:rPr>
          <w:rFonts w:ascii="Palatino Linotype" w:hAnsi="Palatino Linotype"/>
        </w:rPr>
        <w:t xml:space="preserve"> ionospheric connection and the extent of its change. The research carried out here may be pursued further with more earthquakes, and the future researchers may try to draw concrete correlations among various earthquake precursors.</w:t>
      </w:r>
    </w:p>
    <w:p w14:paraId="099D580D" w14:textId="77777777" w:rsidR="0011770E" w:rsidRPr="006E5EE9" w:rsidRDefault="0011770E" w:rsidP="0011770E">
      <w:pPr>
        <w:rPr>
          <w:rFonts w:ascii="Calibri" w:eastAsia="Calibri" w:hAnsi="Calibri" w:cs="Times New Roman"/>
          <w:lang w:val="en-US"/>
        </w:rPr>
      </w:pPr>
      <w:bookmarkStart w:id="0" w:name="_Hlk192511329"/>
      <w:bookmarkStart w:id="1" w:name="_Hlk187485061"/>
      <w:bookmarkStart w:id="2" w:name="_Hlk194655630"/>
      <w:bookmarkStart w:id="3" w:name="_Hlk209008097"/>
      <w:bookmarkStart w:id="4" w:name="_GoBack"/>
      <w:bookmarkEnd w:id="4"/>
    </w:p>
    <w:p w14:paraId="7447AED4" w14:textId="77777777" w:rsidR="0011770E" w:rsidRPr="00CE3BB5" w:rsidRDefault="0011770E" w:rsidP="0011770E">
      <w:pPr>
        <w:rPr>
          <w:rFonts w:ascii="Palatino Linotype" w:eastAsia="Calibri" w:hAnsi="Palatino Linotype" w:cs="Times New Roman"/>
          <w:b/>
          <w:lang w:val="en-US"/>
        </w:rPr>
      </w:pPr>
      <w:bookmarkStart w:id="5" w:name="_Hlk204003461"/>
      <w:bookmarkStart w:id="6" w:name="_Hlk209007716"/>
      <w:bookmarkEnd w:id="0"/>
      <w:bookmarkEnd w:id="1"/>
      <w:bookmarkEnd w:id="2"/>
      <w:r w:rsidRPr="00CE3BB5">
        <w:rPr>
          <w:rFonts w:ascii="Palatino Linotype" w:eastAsia="Calibri" w:hAnsi="Palatino Linotype" w:cs="Times New Roman"/>
          <w:b/>
          <w:lang w:val="en-US"/>
        </w:rPr>
        <w:t>Disclaimer (Artificial intelligence)</w:t>
      </w:r>
    </w:p>
    <w:p w14:paraId="29F83DA5" w14:textId="507CF246" w:rsidR="0011770E" w:rsidRPr="006E5EE9" w:rsidRDefault="0011770E" w:rsidP="00411F93">
      <w:pPr>
        <w:jc w:val="both"/>
        <w:rPr>
          <w:rFonts w:ascii="Palatino Linotype" w:eastAsia="Calibri" w:hAnsi="Palatino Linotype" w:cs="Times New Roman"/>
          <w:lang w:val="en-US"/>
        </w:rPr>
      </w:pPr>
      <w:r w:rsidRPr="006E5EE9">
        <w:rPr>
          <w:rFonts w:ascii="Palatino Linotype" w:eastAsia="Calibri" w:hAnsi="Palatino Linotype" w:cs="Times New Roman"/>
          <w:lang w:val="en-US"/>
        </w:rPr>
        <w:t xml:space="preserve">Author(s) hereby declare that NO generative AI technologies such as Large Language Models (ChatGPT, COPILOT, etc.) and text-to-image generators have </w:t>
      </w:r>
      <w:r w:rsidRPr="006E5EE9">
        <w:rPr>
          <w:rFonts w:ascii="Palatino Linotype" w:eastAsia="Calibri" w:hAnsi="Palatino Linotype" w:cs="Times New Roman"/>
          <w:lang w:val="en-US"/>
        </w:rPr>
        <w:lastRenderedPageBreak/>
        <w:t>been</w:t>
      </w:r>
      <w:r w:rsidR="00D233EC" w:rsidRPr="006E5EE9">
        <w:rPr>
          <w:rFonts w:ascii="Palatino Linotype" w:eastAsia="Calibri" w:hAnsi="Palatino Linotype" w:cs="Times New Roman"/>
          <w:lang w:val="en-US"/>
        </w:rPr>
        <w:t xml:space="preserve"> </w:t>
      </w:r>
      <w:r w:rsidR="00D233EC" w:rsidRPr="006E5EE9">
        <w:rPr>
          <w:rFonts w:ascii="Palatino Linotype" w:eastAsia="Calibri" w:hAnsi="Palatino Linotype" w:cs="Times New Roman"/>
        </w:rPr>
        <w:t>consciously</w:t>
      </w:r>
      <w:r w:rsidRPr="006E5EE9">
        <w:rPr>
          <w:rFonts w:ascii="Palatino Linotype" w:eastAsia="Calibri" w:hAnsi="Palatino Linotype" w:cs="Times New Roman"/>
          <w:lang w:val="en-US"/>
        </w:rPr>
        <w:t xml:space="preserve"> used during the writing or editing of this manuscript. </w:t>
      </w:r>
    </w:p>
    <w:bookmarkEnd w:id="3"/>
    <w:bookmarkEnd w:id="5"/>
    <w:bookmarkEnd w:id="6"/>
    <w:p w14:paraId="6FA2C76D" w14:textId="77777777" w:rsidR="009E1C3A" w:rsidRPr="00CE3BB5" w:rsidRDefault="009E1C3A" w:rsidP="00B67CD3">
      <w:pPr>
        <w:jc w:val="both"/>
        <w:rPr>
          <w:rFonts w:ascii="Palatino Linotype" w:hAnsi="Palatino Linotype"/>
          <w:b/>
          <w:sz w:val="24"/>
          <w:szCs w:val="24"/>
        </w:rPr>
      </w:pPr>
    </w:p>
    <w:p w14:paraId="75665958" w14:textId="026ECC5D" w:rsidR="00D87004" w:rsidRPr="00CE3BB5" w:rsidRDefault="00D87004" w:rsidP="00B67CD3">
      <w:pPr>
        <w:jc w:val="both"/>
        <w:rPr>
          <w:rFonts w:ascii="Palatino Linotype" w:hAnsi="Palatino Linotype"/>
          <w:b/>
          <w:sz w:val="24"/>
          <w:szCs w:val="24"/>
        </w:rPr>
      </w:pPr>
      <w:r w:rsidRPr="00CE3BB5">
        <w:rPr>
          <w:rFonts w:ascii="Palatino Linotype" w:hAnsi="Palatino Linotype"/>
          <w:b/>
          <w:sz w:val="24"/>
          <w:szCs w:val="24"/>
        </w:rPr>
        <w:t xml:space="preserve">REFERENCES </w:t>
      </w:r>
    </w:p>
    <w:p w14:paraId="1C86F423" w14:textId="7F40310C"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Alizadeh, M. M., Schuh, H., Todorova, S., &amp; Schmidt, M. (2011). Global Ionosphere Maps of VTEC from GNSS, satellite altimetry, and formosat-3/COSMIC data. Journal of Geodesy, 85(12), 975–987. </w:t>
      </w:r>
      <w:hyperlink r:id="rId23" w:history="1">
        <w:r w:rsidRPr="006E5EE9">
          <w:rPr>
            <w:rStyle w:val="Hyperlink"/>
            <w:rFonts w:ascii="Palatino Linotype" w:hAnsi="Palatino Linotype"/>
            <w:i/>
            <w:iCs/>
          </w:rPr>
          <w:t>https://doi.org/10.1007/s00190-011-0449-z</w:t>
        </w:r>
      </w:hyperlink>
      <w:r w:rsidRPr="006E5EE9">
        <w:rPr>
          <w:rFonts w:ascii="Palatino Linotype" w:hAnsi="Palatino Linotype"/>
          <w:i/>
          <w:iCs/>
        </w:rPr>
        <w:t xml:space="preserve"> </w:t>
      </w:r>
    </w:p>
    <w:p w14:paraId="003B2598" w14:textId="26792EE7"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Alvan, H. V., &amp; Azad, F. H. (2011). Satellite remote sensing in earthquake prediction. A review. 2011 National Postgraduate Conference - Energy and Sustainability: Exploring the Innovative Minds, NPC 2011. </w:t>
      </w:r>
      <w:hyperlink r:id="rId24" w:history="1">
        <w:r w:rsidRPr="006E5EE9">
          <w:rPr>
            <w:rStyle w:val="Hyperlink"/>
            <w:rFonts w:ascii="Palatino Linotype" w:hAnsi="Palatino Linotype"/>
            <w:i/>
            <w:iCs/>
          </w:rPr>
          <w:t>https://doi.org/10.1109/NatPC.2011.6136371</w:t>
        </w:r>
      </w:hyperlink>
      <w:r w:rsidRPr="006E5EE9">
        <w:rPr>
          <w:rFonts w:ascii="Palatino Linotype" w:hAnsi="Palatino Linotype"/>
          <w:i/>
          <w:iCs/>
        </w:rPr>
        <w:t xml:space="preserve"> </w:t>
      </w:r>
    </w:p>
    <w:p w14:paraId="04E28084" w14:textId="600403B2"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Bhardwaj, A., Singh, S., Sam, L., Bhardwaj, A., Martín-Torres, F. J., Singh, A., &amp; Kumar, R. (2017). MODIS-based estimates of strong snow surface temperature anomaly related to high altitude earthquakes of 2015. Remote Sensing of Environment, 188, 1–8. </w:t>
      </w:r>
      <w:hyperlink r:id="rId25" w:history="1">
        <w:r w:rsidRPr="006E5EE9">
          <w:rPr>
            <w:rStyle w:val="Hyperlink"/>
            <w:rFonts w:ascii="Palatino Linotype" w:hAnsi="Palatino Linotype"/>
            <w:i/>
            <w:iCs/>
          </w:rPr>
          <w:t>https://doi.org/10.1016/j.rse.2016.11.005</w:t>
        </w:r>
      </w:hyperlink>
      <w:r w:rsidRPr="006E5EE9">
        <w:rPr>
          <w:rFonts w:ascii="Palatino Linotype" w:hAnsi="Palatino Linotype"/>
          <w:i/>
          <w:iCs/>
        </w:rPr>
        <w:t xml:space="preserve"> </w:t>
      </w:r>
    </w:p>
    <w:p w14:paraId="6E2A3F1C" w14:textId="77777777"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Bhatia, A., </w:t>
      </w:r>
      <w:proofErr w:type="spellStart"/>
      <w:r w:rsidRPr="006E5EE9">
        <w:rPr>
          <w:rFonts w:ascii="Palatino Linotype" w:hAnsi="Palatino Linotype"/>
          <w:i/>
          <w:iCs/>
        </w:rPr>
        <w:t>Pasari</w:t>
      </w:r>
      <w:proofErr w:type="spellEnd"/>
      <w:r w:rsidRPr="006E5EE9">
        <w:rPr>
          <w:rFonts w:ascii="Palatino Linotype" w:hAnsi="Palatino Linotype"/>
          <w:i/>
          <w:iCs/>
        </w:rPr>
        <w:t xml:space="preserve">, S., &amp; Mehta, A. (2018). Earthquake forecasting using artificial neural networks. International Archives of the Photogrammetry, Remote Sensing and Spatial Information Sciences - ISPRS Archives, 42(5), 823–827. https://doi.org/10.5194/isprsarchives-XLII-5-823-2018 </w:t>
      </w:r>
    </w:p>
    <w:p w14:paraId="2AB1E0DF" w14:textId="5E2C699E" w:rsidR="00D87004" w:rsidRPr="006E5EE9" w:rsidRDefault="00D87004" w:rsidP="00B67CD3">
      <w:pPr>
        <w:jc w:val="both"/>
        <w:rPr>
          <w:rFonts w:ascii="Palatino Linotype" w:hAnsi="Palatino Linotype"/>
          <w:i/>
          <w:iCs/>
          <w:lang w:val="it-IT"/>
        </w:rPr>
      </w:pPr>
      <w:r w:rsidRPr="006E5EE9">
        <w:rPr>
          <w:rFonts w:ascii="Palatino Linotype" w:hAnsi="Palatino Linotype"/>
          <w:i/>
          <w:iCs/>
          <w:lang w:val="it-IT"/>
        </w:rPr>
        <w:t xml:space="preserve">Cicerone, R. D., Ebel, J. E., &amp; Britton, J. (2009). </w:t>
      </w:r>
      <w:r w:rsidRPr="006E5EE9">
        <w:rPr>
          <w:rFonts w:ascii="Palatino Linotype" w:hAnsi="Palatino Linotype"/>
          <w:i/>
          <w:iCs/>
        </w:rPr>
        <w:t>A systematic compilation of</w:t>
      </w:r>
      <w:r w:rsidRPr="006E5EE9">
        <w:rPr>
          <w:rFonts w:ascii="Palatino Linotype" w:hAnsi="Palatino Linotype"/>
        </w:rPr>
        <w:t xml:space="preserve"> </w:t>
      </w:r>
      <w:r w:rsidRPr="006E5EE9">
        <w:rPr>
          <w:rFonts w:ascii="Palatino Linotype" w:hAnsi="Palatino Linotype"/>
          <w:i/>
          <w:iCs/>
        </w:rPr>
        <w:t xml:space="preserve">earthquake precursors. </w:t>
      </w:r>
      <w:r w:rsidRPr="006E5EE9">
        <w:rPr>
          <w:rFonts w:ascii="Palatino Linotype" w:hAnsi="Palatino Linotype"/>
          <w:i/>
          <w:iCs/>
          <w:lang w:val="it-IT"/>
        </w:rPr>
        <w:t xml:space="preserve">Tectonophysics, 476(3–4), 371–396. </w:t>
      </w:r>
      <w:hyperlink r:id="rId26" w:history="1">
        <w:r w:rsidRPr="006E5EE9">
          <w:rPr>
            <w:rStyle w:val="Hyperlink"/>
            <w:rFonts w:ascii="Palatino Linotype" w:hAnsi="Palatino Linotype"/>
            <w:i/>
            <w:iCs/>
            <w:lang w:val="it-IT"/>
          </w:rPr>
          <w:t>https://doi.org/10.1016/j.tecto.2009.06.008</w:t>
        </w:r>
      </w:hyperlink>
      <w:r w:rsidRPr="006E5EE9">
        <w:rPr>
          <w:rFonts w:ascii="Palatino Linotype" w:hAnsi="Palatino Linotype"/>
          <w:i/>
          <w:iCs/>
          <w:lang w:val="it-IT"/>
        </w:rPr>
        <w:t xml:space="preserve"> </w:t>
      </w:r>
    </w:p>
    <w:p w14:paraId="7740D561" w14:textId="1925ED75" w:rsidR="00D87004" w:rsidRPr="006E5EE9" w:rsidRDefault="00D87004" w:rsidP="00B67CD3">
      <w:pPr>
        <w:jc w:val="both"/>
        <w:rPr>
          <w:rFonts w:ascii="Palatino Linotype" w:hAnsi="Palatino Linotype"/>
          <w:i/>
          <w:iCs/>
        </w:rPr>
      </w:pPr>
      <w:r w:rsidRPr="006E5EE9">
        <w:rPr>
          <w:rFonts w:ascii="Palatino Linotype" w:hAnsi="Palatino Linotype"/>
          <w:i/>
          <w:iCs/>
          <w:lang w:val="it-IT"/>
        </w:rPr>
        <w:t xml:space="preserve">Console, R., Murru, M., &amp; Lombardi, A. M. (2003). </w:t>
      </w:r>
      <w:r w:rsidRPr="006E5EE9">
        <w:rPr>
          <w:rFonts w:ascii="Palatino Linotype" w:hAnsi="Palatino Linotype"/>
          <w:i/>
          <w:iCs/>
        </w:rPr>
        <w:t xml:space="preserve">Refining earthquake clustering models. </w:t>
      </w:r>
      <w:r w:rsidRPr="006E5EE9">
        <w:rPr>
          <w:rFonts w:ascii="Palatino Linotype" w:hAnsi="Palatino Linotype"/>
          <w:i/>
          <w:iCs/>
        </w:rPr>
        <w:t xml:space="preserve">108(March), 1–9. </w:t>
      </w:r>
      <w:hyperlink r:id="rId27" w:history="1">
        <w:r w:rsidRPr="006E5EE9">
          <w:rPr>
            <w:rStyle w:val="Hyperlink"/>
            <w:rFonts w:ascii="Palatino Linotype" w:hAnsi="Palatino Linotype"/>
            <w:i/>
            <w:iCs/>
          </w:rPr>
          <w:t>https://doi.org/10.1029/2002JB002130</w:t>
        </w:r>
      </w:hyperlink>
      <w:r w:rsidRPr="006E5EE9">
        <w:rPr>
          <w:rFonts w:ascii="Palatino Linotype" w:hAnsi="Palatino Linotype"/>
          <w:i/>
          <w:iCs/>
        </w:rPr>
        <w:t xml:space="preserve"> </w:t>
      </w:r>
    </w:p>
    <w:p w14:paraId="06E60DDF" w14:textId="7AAA1358" w:rsidR="00D87004" w:rsidRPr="006E5EE9" w:rsidRDefault="00D87004" w:rsidP="00B67CD3">
      <w:pPr>
        <w:jc w:val="both"/>
        <w:rPr>
          <w:rFonts w:ascii="Palatino Linotype" w:hAnsi="Palatino Linotype"/>
          <w:i/>
          <w:iCs/>
          <w:lang w:val="it-IT"/>
        </w:rPr>
      </w:pPr>
      <w:r w:rsidRPr="006E5EE9">
        <w:rPr>
          <w:rFonts w:ascii="Palatino Linotype" w:hAnsi="Palatino Linotype"/>
          <w:i/>
          <w:iCs/>
        </w:rPr>
        <w:t xml:space="preserve">Danilov, A. D., &amp; </w:t>
      </w:r>
      <w:proofErr w:type="spellStart"/>
      <w:r w:rsidRPr="006E5EE9">
        <w:rPr>
          <w:rFonts w:ascii="Palatino Linotype" w:hAnsi="Palatino Linotype"/>
          <w:i/>
          <w:iCs/>
        </w:rPr>
        <w:t>Berbeneva</w:t>
      </w:r>
      <w:proofErr w:type="spellEnd"/>
      <w:r w:rsidRPr="006E5EE9">
        <w:rPr>
          <w:rFonts w:ascii="Palatino Linotype" w:hAnsi="Palatino Linotype"/>
          <w:i/>
          <w:iCs/>
        </w:rPr>
        <w:t xml:space="preserve">, N. A. (2021). Some Applied Aspects of the Study of Trends in the Upper and Middle Atmosphere. </w:t>
      </w:r>
      <w:r w:rsidRPr="006E5EE9">
        <w:rPr>
          <w:rFonts w:ascii="Palatino Linotype" w:hAnsi="Palatino Linotype"/>
          <w:i/>
          <w:iCs/>
          <w:lang w:val="it-IT"/>
        </w:rPr>
        <w:t xml:space="preserve">61(4), 578–588. </w:t>
      </w:r>
      <w:hyperlink r:id="rId28" w:history="1">
        <w:r w:rsidRPr="006E5EE9">
          <w:rPr>
            <w:rStyle w:val="Hyperlink"/>
            <w:rFonts w:ascii="Palatino Linotype" w:hAnsi="Palatino Linotype"/>
            <w:i/>
            <w:iCs/>
            <w:lang w:val="it-IT"/>
          </w:rPr>
          <w:t>https://doi.org/10.1134/S0016793221040046</w:t>
        </w:r>
      </w:hyperlink>
      <w:r w:rsidRPr="006E5EE9">
        <w:rPr>
          <w:rFonts w:ascii="Palatino Linotype" w:hAnsi="Palatino Linotype"/>
          <w:i/>
          <w:iCs/>
          <w:lang w:val="it-IT"/>
        </w:rPr>
        <w:t xml:space="preserve"> </w:t>
      </w:r>
    </w:p>
    <w:p w14:paraId="11A8C3D3" w14:textId="02596AD7" w:rsidR="00D87004" w:rsidRPr="006E5EE9" w:rsidRDefault="00D87004" w:rsidP="00B67CD3">
      <w:pPr>
        <w:jc w:val="both"/>
        <w:rPr>
          <w:rFonts w:ascii="Palatino Linotype" w:hAnsi="Palatino Linotype"/>
          <w:i/>
          <w:iCs/>
        </w:rPr>
      </w:pPr>
      <w:r w:rsidRPr="006E5EE9">
        <w:rPr>
          <w:rFonts w:ascii="Palatino Linotype" w:hAnsi="Palatino Linotype"/>
          <w:i/>
          <w:iCs/>
          <w:lang w:val="it-IT"/>
        </w:rPr>
        <w:t xml:space="preserve">Dutta, B., Mondal, I., Champatiray, P. K., &amp; Agrawal, M. (2019). </w:t>
      </w:r>
      <w:r w:rsidRPr="006E5EE9">
        <w:rPr>
          <w:rFonts w:ascii="Palatino Linotype" w:hAnsi="Palatino Linotype"/>
          <w:i/>
          <w:iCs/>
        </w:rPr>
        <w:t xml:space="preserve">Forecasting of global ionospheric perturbation maps using GIM and ARIMA as a precursor of earthquake. 81st EAGE Conference and Exhibition 2019, June. </w:t>
      </w:r>
      <w:hyperlink r:id="rId29" w:history="1">
        <w:r w:rsidRPr="006E5EE9">
          <w:rPr>
            <w:rStyle w:val="Hyperlink"/>
            <w:rFonts w:ascii="Palatino Linotype" w:hAnsi="Palatino Linotype"/>
            <w:i/>
            <w:iCs/>
          </w:rPr>
          <w:t>https://doi.org/10.3997/2214- 4609.201901068</w:t>
        </w:r>
      </w:hyperlink>
      <w:r w:rsidRPr="006E5EE9">
        <w:rPr>
          <w:rFonts w:ascii="Palatino Linotype" w:hAnsi="Palatino Linotype"/>
          <w:i/>
          <w:iCs/>
        </w:rPr>
        <w:t xml:space="preserve"> </w:t>
      </w:r>
    </w:p>
    <w:p w14:paraId="14265D54" w14:textId="1B9C551A"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Freund, F. (2002). Charge generation and propagation in igneous rocks. Journal of 68 Geodynamics, 33(4–5), 543–570. </w:t>
      </w:r>
      <w:hyperlink r:id="rId30" w:history="1">
        <w:r w:rsidRPr="006E5EE9">
          <w:rPr>
            <w:rStyle w:val="Hyperlink"/>
            <w:rFonts w:ascii="Palatino Linotype" w:hAnsi="Palatino Linotype"/>
            <w:i/>
            <w:iCs/>
          </w:rPr>
          <w:t>https://doi.org/10.1016/S0264-3707(02)00015-7</w:t>
        </w:r>
      </w:hyperlink>
      <w:r w:rsidRPr="006E5EE9">
        <w:rPr>
          <w:rFonts w:ascii="Palatino Linotype" w:hAnsi="Palatino Linotype"/>
          <w:i/>
          <w:iCs/>
        </w:rPr>
        <w:t xml:space="preserve"> </w:t>
      </w:r>
    </w:p>
    <w:p w14:paraId="6D4F417C" w14:textId="0A140639"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Freund, F. (2013). Earthquake forewarning - A multidisciplinary challenge from the ground up to space. In Acta </w:t>
      </w:r>
      <w:proofErr w:type="spellStart"/>
      <w:r w:rsidRPr="006E5EE9">
        <w:rPr>
          <w:rFonts w:ascii="Palatino Linotype" w:hAnsi="Palatino Linotype"/>
          <w:i/>
          <w:iCs/>
        </w:rPr>
        <w:t>Geophysica</w:t>
      </w:r>
      <w:proofErr w:type="spellEnd"/>
      <w:r w:rsidRPr="006E5EE9">
        <w:rPr>
          <w:rFonts w:ascii="Palatino Linotype" w:hAnsi="Palatino Linotype"/>
          <w:i/>
          <w:iCs/>
        </w:rPr>
        <w:t xml:space="preserve"> (Vol. 61, Issue 4). </w:t>
      </w:r>
      <w:hyperlink r:id="rId31" w:history="1">
        <w:r w:rsidRPr="006E5EE9">
          <w:rPr>
            <w:rStyle w:val="Hyperlink"/>
            <w:rFonts w:ascii="Palatino Linotype" w:hAnsi="Palatino Linotype"/>
            <w:i/>
            <w:iCs/>
          </w:rPr>
          <w:t>https://doi.org/10.2478/s11600-013- 0130-4</w:t>
        </w:r>
      </w:hyperlink>
      <w:r w:rsidRPr="006E5EE9">
        <w:rPr>
          <w:rFonts w:ascii="Palatino Linotype" w:hAnsi="Palatino Linotype"/>
          <w:i/>
          <w:iCs/>
        </w:rPr>
        <w:t xml:space="preserve"> </w:t>
      </w:r>
    </w:p>
    <w:p w14:paraId="45FACF2D" w14:textId="57097731"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Hargreaves, J. K. (1992). Principles of the ionosphere at middle and low latitudes. In </w:t>
      </w:r>
      <w:proofErr w:type="gramStart"/>
      <w:r w:rsidRPr="006E5EE9">
        <w:rPr>
          <w:rFonts w:ascii="Palatino Linotype" w:hAnsi="Palatino Linotype"/>
          <w:i/>
          <w:iCs/>
        </w:rPr>
        <w:t>The</w:t>
      </w:r>
      <w:proofErr w:type="gramEnd"/>
      <w:r w:rsidRPr="006E5EE9">
        <w:rPr>
          <w:rFonts w:ascii="Palatino Linotype" w:hAnsi="Palatino Linotype"/>
          <w:i/>
          <w:iCs/>
        </w:rPr>
        <w:t xml:space="preserve"> </w:t>
      </w:r>
      <w:proofErr w:type="spellStart"/>
      <w:r w:rsidRPr="006E5EE9">
        <w:rPr>
          <w:rFonts w:ascii="Palatino Linotype" w:hAnsi="Palatino Linotype"/>
          <w:i/>
          <w:iCs/>
        </w:rPr>
        <w:t>SolarTerrestrial</w:t>
      </w:r>
      <w:proofErr w:type="spellEnd"/>
      <w:r w:rsidRPr="006E5EE9">
        <w:rPr>
          <w:rFonts w:ascii="Palatino Linotype" w:hAnsi="Palatino Linotype"/>
          <w:i/>
          <w:iCs/>
        </w:rPr>
        <w:t xml:space="preserve"> Environment (pp. 208–248). Cambridge University Press. </w:t>
      </w:r>
      <w:hyperlink r:id="rId32" w:history="1">
        <w:r w:rsidRPr="006E5EE9">
          <w:rPr>
            <w:rStyle w:val="Hyperlink"/>
            <w:rFonts w:ascii="Palatino Linotype" w:hAnsi="Palatino Linotype"/>
            <w:i/>
            <w:iCs/>
          </w:rPr>
          <w:t>https://doi.org/10.1017/CBO9780511628924.007</w:t>
        </w:r>
      </w:hyperlink>
      <w:r w:rsidRPr="006E5EE9">
        <w:rPr>
          <w:rFonts w:ascii="Palatino Linotype" w:hAnsi="Palatino Linotype"/>
          <w:i/>
          <w:iCs/>
        </w:rPr>
        <w:t xml:space="preserve"> </w:t>
      </w:r>
    </w:p>
    <w:p w14:paraId="0ECDFB56" w14:textId="1F9FD22C"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Hargreaves, J. K. (2010). Principles of the ionosphere at middle and low latitudes. The </w:t>
      </w:r>
      <w:proofErr w:type="spellStart"/>
      <w:r w:rsidRPr="006E5EE9">
        <w:rPr>
          <w:rFonts w:ascii="Palatino Linotype" w:hAnsi="Palatino Linotype"/>
          <w:i/>
          <w:iCs/>
        </w:rPr>
        <w:t>SolarTerrestrial</w:t>
      </w:r>
      <w:proofErr w:type="spellEnd"/>
      <w:r w:rsidRPr="006E5EE9">
        <w:rPr>
          <w:rFonts w:ascii="Palatino Linotype" w:hAnsi="Palatino Linotype"/>
          <w:i/>
          <w:iCs/>
        </w:rPr>
        <w:t xml:space="preserve"> Environment, 208–248. </w:t>
      </w:r>
      <w:hyperlink r:id="rId33" w:history="1">
        <w:r w:rsidRPr="006E5EE9">
          <w:rPr>
            <w:rStyle w:val="Hyperlink"/>
            <w:rFonts w:ascii="Palatino Linotype" w:hAnsi="Palatino Linotype"/>
            <w:i/>
            <w:iCs/>
          </w:rPr>
          <w:t>https://doi.org/10.1017/cbo9780511628924.007</w:t>
        </w:r>
      </w:hyperlink>
      <w:r w:rsidRPr="006E5EE9">
        <w:rPr>
          <w:rFonts w:ascii="Palatino Linotype" w:hAnsi="Palatino Linotype"/>
          <w:i/>
          <w:iCs/>
        </w:rPr>
        <w:t xml:space="preserve"> </w:t>
      </w:r>
    </w:p>
    <w:p w14:paraId="4FE254DD" w14:textId="75A7F1A3"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Hassini, A., &amp; Belbachir, A. H. (2014). Thermal method of remote sensing for prediction and monitoring earthquake. 2014 1st International Conference on Information and Communication Technologies for Disaster Management, ICT-DM 2014. </w:t>
      </w:r>
      <w:hyperlink r:id="rId34" w:history="1">
        <w:r w:rsidRPr="006E5EE9">
          <w:rPr>
            <w:rStyle w:val="Hyperlink"/>
            <w:rFonts w:ascii="Palatino Linotype" w:hAnsi="Palatino Linotype"/>
            <w:i/>
            <w:iCs/>
          </w:rPr>
          <w:t>https://doi.org/10.1109/ICT-DM.2014.6917790</w:t>
        </w:r>
      </w:hyperlink>
      <w:r w:rsidRPr="006E5EE9">
        <w:rPr>
          <w:rFonts w:ascii="Palatino Linotype" w:hAnsi="Palatino Linotype"/>
          <w:i/>
          <w:iCs/>
        </w:rPr>
        <w:t xml:space="preserve"> </w:t>
      </w:r>
    </w:p>
    <w:p w14:paraId="31033FC2" w14:textId="062D3A63"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Holzer, T., &amp; Savage, J. (2013). Global Earthquake Fatalities and Population. Earthquake Spectra, 29, 155–175. https://doi.org/10.1193/1.4000106 Kumar, A. (2021). Investigation of the Ionosphere TEC Anomalies for Earthquake Precursor detection using Machine Learning Models. December, 1–2. </w:t>
      </w:r>
      <w:hyperlink r:id="rId35" w:history="1">
        <w:r w:rsidRPr="006E5EE9">
          <w:rPr>
            <w:rStyle w:val="Hyperlink"/>
            <w:rFonts w:ascii="Palatino Linotype" w:hAnsi="Palatino Linotype"/>
            <w:i/>
            <w:iCs/>
          </w:rPr>
          <w:t>https://doi.org/10.1002/essoar.10509852.1</w:t>
        </w:r>
      </w:hyperlink>
      <w:r w:rsidRPr="006E5EE9">
        <w:rPr>
          <w:rFonts w:ascii="Palatino Linotype" w:hAnsi="Palatino Linotype"/>
          <w:i/>
          <w:iCs/>
        </w:rPr>
        <w:t xml:space="preserve"> </w:t>
      </w:r>
    </w:p>
    <w:p w14:paraId="6B187BD4" w14:textId="48135719"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Marano, K. D., Wald, Æ. D. J., &amp; Allen, Æ. T. I. (2010). Global earthquake casualties due to secondary </w:t>
      </w:r>
      <w:proofErr w:type="gramStart"/>
      <w:r w:rsidRPr="006E5EE9">
        <w:rPr>
          <w:rFonts w:ascii="Palatino Linotype" w:hAnsi="Palatino Linotype"/>
          <w:i/>
          <w:iCs/>
        </w:rPr>
        <w:t>effects</w:t>
      </w:r>
      <w:r w:rsidRPr="006E5EE9">
        <w:rPr>
          <w:rFonts w:ascii="Times New Roman" w:hAnsi="Times New Roman" w:cs="Times New Roman"/>
          <w:i/>
          <w:iCs/>
        </w:rPr>
        <w:t> </w:t>
      </w:r>
      <w:r w:rsidRPr="006E5EE9">
        <w:rPr>
          <w:rFonts w:ascii="Palatino Linotype" w:hAnsi="Palatino Linotype"/>
          <w:i/>
          <w:iCs/>
        </w:rPr>
        <w:t>:</w:t>
      </w:r>
      <w:proofErr w:type="gramEnd"/>
      <w:r w:rsidRPr="006E5EE9">
        <w:rPr>
          <w:rFonts w:ascii="Palatino Linotype" w:hAnsi="Palatino Linotype"/>
          <w:i/>
          <w:iCs/>
        </w:rPr>
        <w:t xml:space="preserve"> a quantitative analysis for improving rapid loss analyses. 319</w:t>
      </w:r>
      <w:r w:rsidRPr="006E5EE9">
        <w:rPr>
          <w:rFonts w:ascii="Palatino Linotype" w:hAnsi="Palatino Linotype" w:cs="Palatino Linotype"/>
          <w:i/>
          <w:iCs/>
        </w:rPr>
        <w:t>–</w:t>
      </w:r>
      <w:r w:rsidRPr="006E5EE9">
        <w:rPr>
          <w:rFonts w:ascii="Palatino Linotype" w:hAnsi="Palatino Linotype"/>
          <w:i/>
          <w:iCs/>
        </w:rPr>
        <w:t xml:space="preserve">328. </w:t>
      </w:r>
      <w:hyperlink r:id="rId36" w:history="1">
        <w:r w:rsidRPr="006E5EE9">
          <w:rPr>
            <w:rStyle w:val="Hyperlink"/>
            <w:rFonts w:ascii="Palatino Linotype" w:hAnsi="Palatino Linotype"/>
            <w:i/>
            <w:iCs/>
          </w:rPr>
          <w:t>https://doi.org/10.1007/s11069-009-9372-5</w:t>
        </w:r>
      </w:hyperlink>
      <w:r w:rsidRPr="006E5EE9">
        <w:rPr>
          <w:rFonts w:ascii="Palatino Linotype" w:hAnsi="Palatino Linotype"/>
          <w:i/>
          <w:iCs/>
        </w:rPr>
        <w:t xml:space="preserve"> </w:t>
      </w:r>
    </w:p>
    <w:p w14:paraId="2D73FEF1" w14:textId="4AD8FCE8" w:rsidR="00D87004" w:rsidRPr="006E5EE9" w:rsidRDefault="00D87004" w:rsidP="00B67CD3">
      <w:pPr>
        <w:jc w:val="both"/>
        <w:rPr>
          <w:rFonts w:ascii="Palatino Linotype" w:hAnsi="Palatino Linotype"/>
          <w:i/>
          <w:iCs/>
        </w:rPr>
      </w:pPr>
      <w:r w:rsidRPr="006E5EE9">
        <w:rPr>
          <w:rFonts w:ascii="Palatino Linotype" w:hAnsi="Palatino Linotype"/>
          <w:i/>
          <w:iCs/>
        </w:rPr>
        <w:t xml:space="preserve">Pavlidou, E., van der </w:t>
      </w:r>
      <w:proofErr w:type="spellStart"/>
      <w:r w:rsidRPr="006E5EE9">
        <w:rPr>
          <w:rFonts w:ascii="Palatino Linotype" w:hAnsi="Palatino Linotype"/>
          <w:i/>
          <w:iCs/>
        </w:rPr>
        <w:t>Meijde</w:t>
      </w:r>
      <w:proofErr w:type="spellEnd"/>
      <w:r w:rsidRPr="006E5EE9">
        <w:rPr>
          <w:rFonts w:ascii="Palatino Linotype" w:hAnsi="Palatino Linotype"/>
          <w:i/>
          <w:iCs/>
        </w:rPr>
        <w:t xml:space="preserve">, M., van der Werff, H., &amp; Hecker, C. (2019). Time series analysis of land surface temperatures in 20 earthquake </w:t>
      </w:r>
      <w:proofErr w:type="spellStart"/>
      <w:r w:rsidRPr="006E5EE9">
        <w:rPr>
          <w:rFonts w:ascii="Palatino Linotype" w:hAnsi="Palatino Linotype"/>
          <w:i/>
          <w:iCs/>
        </w:rPr>
        <w:t>casesworldwide</w:t>
      </w:r>
      <w:proofErr w:type="spellEnd"/>
      <w:r w:rsidRPr="006E5EE9">
        <w:rPr>
          <w:rFonts w:ascii="Palatino Linotype" w:hAnsi="Palatino Linotype"/>
          <w:i/>
          <w:iCs/>
        </w:rPr>
        <w:t xml:space="preserve">. Remote Sensing, 11(1). </w:t>
      </w:r>
      <w:hyperlink r:id="rId37" w:history="1">
        <w:r w:rsidRPr="006E5EE9">
          <w:rPr>
            <w:rStyle w:val="Hyperlink"/>
            <w:rFonts w:ascii="Palatino Linotype" w:hAnsi="Palatino Linotype"/>
            <w:i/>
            <w:iCs/>
          </w:rPr>
          <w:t>https://doi.org/10.3390/rs11010061</w:t>
        </w:r>
      </w:hyperlink>
      <w:r w:rsidRPr="006E5EE9">
        <w:rPr>
          <w:rFonts w:ascii="Palatino Linotype" w:hAnsi="Palatino Linotype"/>
          <w:i/>
          <w:iCs/>
        </w:rPr>
        <w:t xml:space="preserve"> </w:t>
      </w:r>
    </w:p>
    <w:p w14:paraId="6BB35B56" w14:textId="593BACAB" w:rsidR="00A47E4B" w:rsidRPr="006E5EE9" w:rsidRDefault="00D87004" w:rsidP="00B67CD3">
      <w:pPr>
        <w:jc w:val="both"/>
        <w:rPr>
          <w:rStyle w:val="Hyperlink"/>
          <w:rFonts w:ascii="Palatino Linotype" w:hAnsi="Palatino Linotype"/>
          <w:i/>
          <w:iCs/>
        </w:rPr>
      </w:pPr>
      <w:proofErr w:type="spellStart"/>
      <w:r w:rsidRPr="006E5EE9">
        <w:rPr>
          <w:rFonts w:ascii="Palatino Linotype" w:hAnsi="Palatino Linotype"/>
          <w:i/>
          <w:iCs/>
        </w:rPr>
        <w:t>Pulinets</w:t>
      </w:r>
      <w:proofErr w:type="spellEnd"/>
      <w:r w:rsidRPr="006E5EE9">
        <w:rPr>
          <w:rFonts w:ascii="Palatino Linotype" w:hAnsi="Palatino Linotype"/>
          <w:i/>
          <w:iCs/>
        </w:rPr>
        <w:t xml:space="preserve">, S. A., </w:t>
      </w:r>
      <w:proofErr w:type="spellStart"/>
      <w:r w:rsidRPr="006E5EE9">
        <w:rPr>
          <w:rFonts w:ascii="Palatino Linotype" w:hAnsi="Palatino Linotype"/>
          <w:i/>
          <w:iCs/>
        </w:rPr>
        <w:t>Gaivoronska</w:t>
      </w:r>
      <w:proofErr w:type="spellEnd"/>
      <w:r w:rsidRPr="006E5EE9">
        <w:rPr>
          <w:rFonts w:ascii="Palatino Linotype" w:hAnsi="Palatino Linotype"/>
          <w:i/>
          <w:iCs/>
        </w:rPr>
        <w:t xml:space="preserve">, T. B., Leyva Contreras, A., &amp; Ciraolo, L. (2004). Correlation analysis technique revealing ionospheric precursors of earthquakes. Natural Hazards and Earth System Sciences, 4(5/6), 697–702. </w:t>
      </w:r>
      <w:hyperlink r:id="rId38" w:history="1">
        <w:r w:rsidRPr="006E5EE9">
          <w:rPr>
            <w:rStyle w:val="Hyperlink"/>
            <w:rFonts w:ascii="Palatino Linotype" w:hAnsi="Palatino Linotype"/>
            <w:i/>
            <w:iCs/>
          </w:rPr>
          <w:t>https://doi.org/10.5194/nhess-4-697-2004</w:t>
        </w:r>
      </w:hyperlink>
    </w:p>
    <w:p w14:paraId="3693180E" w14:textId="77777777" w:rsidR="0098134B" w:rsidRPr="006E5EE9" w:rsidRDefault="0098134B" w:rsidP="0098134B">
      <w:pPr>
        <w:pStyle w:val="NormalWeb"/>
        <w:rPr>
          <w:rFonts w:ascii="Palatino Linotype" w:hAnsi="Palatino Linotype"/>
          <w:i/>
          <w:iCs/>
          <w:sz w:val="22"/>
          <w:szCs w:val="22"/>
        </w:rPr>
      </w:pPr>
      <w:r w:rsidRPr="006E5EE9">
        <w:rPr>
          <w:rFonts w:ascii="Palatino Linotype" w:hAnsi="Palatino Linotype"/>
          <w:i/>
          <w:iCs/>
          <w:sz w:val="22"/>
          <w:szCs w:val="22"/>
        </w:rPr>
        <w:t xml:space="preserve">Zechar, J. D., Schorlemmer, D., Liukis, M., Yu, J., Euchner, F., </w:t>
      </w:r>
      <w:proofErr w:type="spellStart"/>
      <w:r w:rsidRPr="006E5EE9">
        <w:rPr>
          <w:rFonts w:ascii="Palatino Linotype" w:hAnsi="Palatino Linotype"/>
          <w:i/>
          <w:iCs/>
          <w:sz w:val="22"/>
          <w:szCs w:val="22"/>
        </w:rPr>
        <w:t>Maechling</w:t>
      </w:r>
      <w:proofErr w:type="spellEnd"/>
      <w:r w:rsidRPr="006E5EE9">
        <w:rPr>
          <w:rFonts w:ascii="Palatino Linotype" w:hAnsi="Palatino Linotype"/>
          <w:i/>
          <w:iCs/>
          <w:sz w:val="22"/>
          <w:szCs w:val="22"/>
        </w:rPr>
        <w:t xml:space="preserve">, P. J., &amp; Jordan, T. H. (2010). </w:t>
      </w:r>
      <w:r w:rsidRPr="006E5EE9">
        <w:rPr>
          <w:rStyle w:val="Emphasis"/>
          <w:rFonts w:ascii="Palatino Linotype" w:hAnsi="Palatino Linotype"/>
          <w:sz w:val="22"/>
          <w:szCs w:val="22"/>
        </w:rPr>
        <w:t>The Collaboratory for the Study of Earthquake Predictability: Perspective on computational earthquake science.</w:t>
      </w:r>
      <w:r w:rsidRPr="006E5EE9">
        <w:rPr>
          <w:rFonts w:ascii="Palatino Linotype" w:hAnsi="Palatino Linotype"/>
          <w:sz w:val="22"/>
          <w:szCs w:val="22"/>
        </w:rPr>
        <w:t xml:space="preserve"> </w:t>
      </w:r>
      <w:r w:rsidRPr="006E5EE9">
        <w:rPr>
          <w:rStyle w:val="Emphasis"/>
          <w:rFonts w:ascii="Palatino Linotype" w:hAnsi="Palatino Linotype"/>
          <w:sz w:val="22"/>
          <w:szCs w:val="22"/>
        </w:rPr>
        <w:t>Concurrency and Computation: Practice and Experience</w:t>
      </w:r>
      <w:r w:rsidRPr="006E5EE9">
        <w:rPr>
          <w:rStyle w:val="Emphasis"/>
          <w:rFonts w:ascii="Palatino Linotype" w:hAnsi="Palatino Linotype"/>
          <w:i w:val="0"/>
          <w:iCs w:val="0"/>
          <w:sz w:val="22"/>
          <w:szCs w:val="22"/>
        </w:rPr>
        <w:t>, 22</w:t>
      </w:r>
      <w:r w:rsidRPr="006E5EE9">
        <w:rPr>
          <w:rFonts w:ascii="Palatino Linotype" w:hAnsi="Palatino Linotype"/>
          <w:i/>
          <w:iCs/>
          <w:sz w:val="22"/>
          <w:szCs w:val="22"/>
        </w:rPr>
        <w:t xml:space="preserve">(12), 1836–1847. </w:t>
      </w:r>
      <w:hyperlink r:id="rId39" w:tgtFrame="_new" w:history="1">
        <w:r w:rsidRPr="006E5EE9">
          <w:rPr>
            <w:rStyle w:val="Hyperlink"/>
            <w:rFonts w:ascii="Palatino Linotype" w:hAnsi="Palatino Linotype"/>
            <w:i/>
            <w:iCs/>
            <w:sz w:val="22"/>
            <w:szCs w:val="22"/>
          </w:rPr>
          <w:t>https://doi.org/10.1002/cpe.1519</w:t>
        </w:r>
      </w:hyperlink>
    </w:p>
    <w:p w14:paraId="6D2E083D" w14:textId="35B8C6CD" w:rsidR="0098134B" w:rsidRPr="0098134B" w:rsidRDefault="0098134B" w:rsidP="0098134B">
      <w:pPr>
        <w:pStyle w:val="NormalWeb"/>
        <w:rPr>
          <w:rFonts w:ascii="Palatino Linotype" w:hAnsi="Palatino Linotype"/>
          <w:i/>
          <w:iCs/>
          <w:sz w:val="22"/>
          <w:szCs w:val="22"/>
        </w:rPr>
      </w:pPr>
      <w:r w:rsidRPr="006E5EE9">
        <w:rPr>
          <w:rFonts w:ascii="Palatino Linotype" w:hAnsi="Palatino Linotype"/>
          <w:i/>
          <w:iCs/>
          <w:sz w:val="22"/>
          <w:szCs w:val="22"/>
        </w:rPr>
        <w:t xml:space="preserve">Kamer, Y., Nandan, S., </w:t>
      </w:r>
      <w:proofErr w:type="spellStart"/>
      <w:r w:rsidRPr="006E5EE9">
        <w:rPr>
          <w:rFonts w:ascii="Palatino Linotype" w:hAnsi="Palatino Linotype"/>
          <w:i/>
          <w:iCs/>
          <w:sz w:val="22"/>
          <w:szCs w:val="22"/>
        </w:rPr>
        <w:t>Ouillon</w:t>
      </w:r>
      <w:proofErr w:type="spellEnd"/>
      <w:r w:rsidRPr="006E5EE9">
        <w:rPr>
          <w:rFonts w:ascii="Palatino Linotype" w:hAnsi="Palatino Linotype"/>
          <w:i/>
          <w:iCs/>
          <w:sz w:val="22"/>
          <w:szCs w:val="22"/>
        </w:rPr>
        <w:t xml:space="preserve">, G., Hiemer, S., &amp; </w:t>
      </w:r>
      <w:proofErr w:type="spellStart"/>
      <w:r w:rsidRPr="006E5EE9">
        <w:rPr>
          <w:rFonts w:ascii="Palatino Linotype" w:hAnsi="Palatino Linotype"/>
          <w:i/>
          <w:iCs/>
          <w:sz w:val="22"/>
          <w:szCs w:val="22"/>
        </w:rPr>
        <w:t>Sornette</w:t>
      </w:r>
      <w:proofErr w:type="spellEnd"/>
      <w:r w:rsidRPr="006E5EE9">
        <w:rPr>
          <w:rFonts w:ascii="Palatino Linotype" w:hAnsi="Palatino Linotype"/>
          <w:i/>
          <w:iCs/>
          <w:sz w:val="22"/>
          <w:szCs w:val="22"/>
        </w:rPr>
        <w:t xml:space="preserve">, D. (2021). Democratizing earthquake predictability research: Introducing the </w:t>
      </w:r>
      <w:proofErr w:type="spellStart"/>
      <w:r w:rsidRPr="006E5EE9">
        <w:rPr>
          <w:rFonts w:ascii="Palatino Linotype" w:hAnsi="Palatino Linotype"/>
          <w:i/>
          <w:iCs/>
          <w:sz w:val="22"/>
          <w:szCs w:val="22"/>
        </w:rPr>
        <w:t>RichterX</w:t>
      </w:r>
      <w:proofErr w:type="spellEnd"/>
      <w:r w:rsidRPr="006E5EE9">
        <w:rPr>
          <w:rFonts w:ascii="Palatino Linotype" w:hAnsi="Palatino Linotype"/>
          <w:i/>
          <w:iCs/>
          <w:sz w:val="22"/>
          <w:szCs w:val="22"/>
        </w:rPr>
        <w:t xml:space="preserve"> platform. </w:t>
      </w:r>
      <w:r w:rsidRPr="006E5EE9">
        <w:rPr>
          <w:rStyle w:val="Emphasis"/>
          <w:rFonts w:ascii="Palatino Linotype" w:hAnsi="Palatino Linotype"/>
          <w:sz w:val="22"/>
          <w:szCs w:val="22"/>
        </w:rPr>
        <w:t>The European Physical Journal Special Topics</w:t>
      </w:r>
      <w:r w:rsidRPr="006E5EE9">
        <w:rPr>
          <w:rStyle w:val="Emphasis"/>
          <w:rFonts w:ascii="Palatino Linotype" w:hAnsi="Palatino Linotype"/>
          <w:i w:val="0"/>
          <w:iCs w:val="0"/>
          <w:sz w:val="22"/>
          <w:szCs w:val="22"/>
        </w:rPr>
        <w:t>, 230</w:t>
      </w:r>
      <w:r w:rsidRPr="006E5EE9">
        <w:rPr>
          <w:rFonts w:ascii="Palatino Linotype" w:hAnsi="Palatino Linotype"/>
          <w:i/>
          <w:iCs/>
          <w:sz w:val="22"/>
          <w:szCs w:val="22"/>
        </w:rPr>
        <w:t xml:space="preserve">, 451–471. </w:t>
      </w:r>
      <w:hyperlink r:id="rId40" w:history="1">
        <w:r w:rsidRPr="006E5EE9">
          <w:rPr>
            <w:rStyle w:val="Hyperlink"/>
            <w:rFonts w:ascii="Palatino Linotype" w:hAnsi="Palatino Linotype"/>
            <w:i/>
            <w:iCs/>
            <w:sz w:val="22"/>
            <w:szCs w:val="22"/>
          </w:rPr>
          <w:t>https://doi.org/10.1140/epjst/e2020-000260-2</w:t>
        </w:r>
      </w:hyperlink>
    </w:p>
    <w:p w14:paraId="3FAED9C6" w14:textId="77777777" w:rsidR="0098134B" w:rsidRPr="0098134B" w:rsidRDefault="0098134B" w:rsidP="0098134B">
      <w:pPr>
        <w:pStyle w:val="NormalWeb"/>
        <w:rPr>
          <w:rFonts w:ascii="Palatino Linotype" w:hAnsi="Palatino Linotype"/>
          <w:i/>
          <w:iCs/>
          <w:sz w:val="22"/>
          <w:szCs w:val="22"/>
        </w:rPr>
      </w:pPr>
    </w:p>
    <w:p w14:paraId="0F1D5590" w14:textId="77777777" w:rsidR="0098134B" w:rsidRPr="00D87004" w:rsidRDefault="0098134B" w:rsidP="00B67CD3">
      <w:pPr>
        <w:jc w:val="both"/>
        <w:rPr>
          <w:rFonts w:ascii="Palatino Linotype" w:hAnsi="Palatino Linotype"/>
          <w:i/>
          <w:iCs/>
        </w:rPr>
      </w:pPr>
    </w:p>
    <w:p w14:paraId="067281FD" w14:textId="77777777" w:rsidR="00D87004" w:rsidRPr="00D87004" w:rsidRDefault="00D87004" w:rsidP="00B67CD3">
      <w:pPr>
        <w:jc w:val="both"/>
        <w:rPr>
          <w:rFonts w:ascii="Palatino Linotype" w:hAnsi="Palatino Linotype"/>
          <w:b/>
          <w:bCs/>
          <w:i/>
          <w:iCs/>
          <w:sz w:val="24"/>
          <w:szCs w:val="24"/>
          <w:lang w:val="en-US"/>
        </w:rPr>
      </w:pPr>
    </w:p>
    <w:p w14:paraId="288F644E" w14:textId="77777777" w:rsidR="00A47E4B" w:rsidRPr="00D87004" w:rsidRDefault="00A47E4B" w:rsidP="00B67CD3">
      <w:pPr>
        <w:jc w:val="both"/>
        <w:rPr>
          <w:rFonts w:ascii="Palatino Linotype" w:hAnsi="Palatino Linotype"/>
          <w:b/>
          <w:bCs/>
          <w:i/>
          <w:iCs/>
          <w:sz w:val="24"/>
          <w:szCs w:val="24"/>
          <w:lang w:val="en-US"/>
        </w:rPr>
      </w:pPr>
    </w:p>
    <w:p w14:paraId="638813B5" w14:textId="77777777" w:rsidR="00A47E4B" w:rsidRPr="00D87004" w:rsidRDefault="00A47E4B" w:rsidP="00B67CD3">
      <w:pPr>
        <w:jc w:val="both"/>
        <w:rPr>
          <w:rFonts w:ascii="Palatino Linotype" w:hAnsi="Palatino Linotype"/>
          <w:b/>
          <w:bCs/>
          <w:i/>
          <w:iCs/>
          <w:sz w:val="24"/>
          <w:szCs w:val="24"/>
          <w:lang w:val="en-US"/>
        </w:rPr>
      </w:pPr>
    </w:p>
    <w:p w14:paraId="31CD49C3" w14:textId="77777777" w:rsidR="00A47E4B" w:rsidRPr="00D87004" w:rsidRDefault="00A47E4B" w:rsidP="00B67CD3">
      <w:pPr>
        <w:jc w:val="both"/>
        <w:rPr>
          <w:rFonts w:ascii="Palatino Linotype" w:hAnsi="Palatino Linotype"/>
          <w:b/>
          <w:bCs/>
          <w:i/>
          <w:iCs/>
          <w:sz w:val="24"/>
          <w:szCs w:val="24"/>
          <w:lang w:val="en-US"/>
        </w:rPr>
      </w:pPr>
    </w:p>
    <w:p w14:paraId="54DBE62A" w14:textId="77777777" w:rsidR="00A47E4B" w:rsidRPr="00D87004" w:rsidRDefault="00A47E4B" w:rsidP="00B67CD3">
      <w:pPr>
        <w:jc w:val="both"/>
        <w:rPr>
          <w:rFonts w:ascii="Palatino Linotype" w:hAnsi="Palatino Linotype"/>
          <w:b/>
          <w:bCs/>
          <w:i/>
          <w:iCs/>
          <w:sz w:val="24"/>
          <w:szCs w:val="24"/>
          <w:lang w:val="en-US"/>
        </w:rPr>
      </w:pPr>
    </w:p>
    <w:p w14:paraId="5ABC65FA" w14:textId="77777777" w:rsidR="00A47E4B" w:rsidRPr="00D87004" w:rsidRDefault="00A47E4B" w:rsidP="00B67CD3">
      <w:pPr>
        <w:jc w:val="both"/>
        <w:rPr>
          <w:rFonts w:ascii="Palatino Linotype" w:hAnsi="Palatino Linotype"/>
          <w:b/>
          <w:bCs/>
          <w:i/>
          <w:iCs/>
          <w:sz w:val="24"/>
          <w:szCs w:val="24"/>
          <w:lang w:val="en-US"/>
        </w:rPr>
      </w:pPr>
    </w:p>
    <w:p w14:paraId="2869CCC9" w14:textId="77777777" w:rsidR="00A47E4B" w:rsidRPr="00D87004" w:rsidRDefault="00A47E4B" w:rsidP="00B67CD3">
      <w:pPr>
        <w:jc w:val="both"/>
        <w:rPr>
          <w:rFonts w:ascii="Palatino Linotype" w:hAnsi="Palatino Linotype"/>
          <w:b/>
          <w:bCs/>
          <w:sz w:val="24"/>
          <w:szCs w:val="24"/>
          <w:lang w:val="en-US"/>
        </w:rPr>
      </w:pPr>
    </w:p>
    <w:p w14:paraId="63BA5F70" w14:textId="77777777" w:rsidR="00A47E4B" w:rsidRPr="00D87004" w:rsidRDefault="00A47E4B" w:rsidP="00B67CD3">
      <w:pPr>
        <w:jc w:val="both"/>
        <w:rPr>
          <w:rFonts w:ascii="Palatino Linotype" w:hAnsi="Palatino Linotype"/>
          <w:b/>
          <w:bCs/>
          <w:sz w:val="24"/>
          <w:szCs w:val="24"/>
          <w:lang w:val="en-US"/>
        </w:rPr>
      </w:pPr>
    </w:p>
    <w:p w14:paraId="261447EB" w14:textId="77777777" w:rsidR="00A47E4B" w:rsidRPr="00D87004" w:rsidRDefault="00A47E4B" w:rsidP="00B67CD3">
      <w:pPr>
        <w:jc w:val="both"/>
        <w:rPr>
          <w:rFonts w:ascii="Palatino Linotype" w:hAnsi="Palatino Linotype"/>
          <w:b/>
          <w:bCs/>
          <w:sz w:val="24"/>
          <w:szCs w:val="24"/>
          <w:lang w:val="en-US"/>
        </w:rPr>
      </w:pPr>
    </w:p>
    <w:p w14:paraId="1B7BB8D7" w14:textId="77777777" w:rsidR="00A47E4B" w:rsidRPr="00D87004" w:rsidRDefault="00A47E4B" w:rsidP="00B67CD3">
      <w:pPr>
        <w:jc w:val="both"/>
        <w:rPr>
          <w:rFonts w:ascii="Palatino Linotype" w:hAnsi="Palatino Linotype"/>
          <w:b/>
          <w:bCs/>
          <w:sz w:val="24"/>
          <w:szCs w:val="24"/>
          <w:lang w:val="en-US"/>
        </w:rPr>
      </w:pPr>
    </w:p>
    <w:p w14:paraId="597CEF5A" w14:textId="77777777" w:rsidR="00A47E4B" w:rsidRPr="00D87004" w:rsidRDefault="00A47E4B" w:rsidP="00B67CD3">
      <w:pPr>
        <w:jc w:val="both"/>
        <w:rPr>
          <w:rFonts w:ascii="Palatino Linotype" w:hAnsi="Palatino Linotype"/>
          <w:b/>
          <w:bCs/>
          <w:sz w:val="24"/>
          <w:szCs w:val="24"/>
          <w:lang w:val="en-US"/>
        </w:rPr>
      </w:pPr>
    </w:p>
    <w:p w14:paraId="2BF8CA57" w14:textId="77777777" w:rsidR="00A47E4B" w:rsidRPr="00D87004" w:rsidRDefault="00A47E4B" w:rsidP="00B67CD3">
      <w:pPr>
        <w:jc w:val="both"/>
        <w:rPr>
          <w:rFonts w:ascii="Palatino Linotype" w:hAnsi="Palatino Linotype"/>
          <w:b/>
          <w:bCs/>
          <w:sz w:val="24"/>
          <w:szCs w:val="24"/>
          <w:lang w:val="en-US"/>
        </w:rPr>
      </w:pPr>
    </w:p>
    <w:p w14:paraId="33F2409F" w14:textId="77777777" w:rsidR="00A47E4B" w:rsidRPr="00D87004" w:rsidRDefault="00A47E4B" w:rsidP="00B67CD3">
      <w:pPr>
        <w:jc w:val="both"/>
        <w:rPr>
          <w:rFonts w:ascii="Palatino Linotype" w:hAnsi="Palatino Linotype"/>
          <w:b/>
          <w:bCs/>
          <w:sz w:val="24"/>
          <w:szCs w:val="24"/>
          <w:lang w:val="en-US"/>
        </w:rPr>
      </w:pPr>
    </w:p>
    <w:p w14:paraId="4C0C1072" w14:textId="77777777" w:rsidR="00A47E4B" w:rsidRPr="00D87004" w:rsidRDefault="00A47E4B" w:rsidP="00B67CD3">
      <w:pPr>
        <w:jc w:val="both"/>
        <w:rPr>
          <w:rFonts w:ascii="Palatino Linotype" w:hAnsi="Palatino Linotype"/>
          <w:b/>
          <w:bCs/>
          <w:sz w:val="24"/>
          <w:szCs w:val="24"/>
          <w:lang w:val="en-US"/>
        </w:rPr>
      </w:pPr>
    </w:p>
    <w:p w14:paraId="76599405" w14:textId="77777777" w:rsidR="00A47E4B" w:rsidRPr="00D87004" w:rsidRDefault="00A47E4B" w:rsidP="00B67CD3">
      <w:pPr>
        <w:jc w:val="both"/>
        <w:rPr>
          <w:rFonts w:ascii="Palatino Linotype" w:hAnsi="Palatino Linotype"/>
          <w:b/>
          <w:bCs/>
          <w:sz w:val="24"/>
          <w:szCs w:val="24"/>
          <w:lang w:val="en-US"/>
        </w:rPr>
      </w:pPr>
    </w:p>
    <w:p w14:paraId="734B0F64" w14:textId="77777777" w:rsidR="00A47E4B" w:rsidRPr="00D87004" w:rsidRDefault="00A47E4B" w:rsidP="00B67CD3">
      <w:pPr>
        <w:jc w:val="both"/>
        <w:rPr>
          <w:rFonts w:ascii="Palatino Linotype" w:hAnsi="Palatino Linotype"/>
          <w:b/>
          <w:bCs/>
          <w:sz w:val="24"/>
          <w:szCs w:val="24"/>
          <w:lang w:val="en-US"/>
        </w:rPr>
      </w:pPr>
    </w:p>
    <w:p w14:paraId="38E15254" w14:textId="77777777" w:rsidR="00A47E4B" w:rsidRPr="00D87004" w:rsidRDefault="00A47E4B" w:rsidP="00B67CD3">
      <w:pPr>
        <w:jc w:val="both"/>
        <w:rPr>
          <w:rFonts w:ascii="Palatino Linotype" w:hAnsi="Palatino Linotype"/>
          <w:b/>
          <w:bCs/>
          <w:sz w:val="24"/>
          <w:szCs w:val="24"/>
          <w:lang w:val="en-US"/>
        </w:rPr>
      </w:pPr>
    </w:p>
    <w:p w14:paraId="6A51A7E4" w14:textId="77777777" w:rsidR="00A47E4B" w:rsidRPr="00D87004" w:rsidRDefault="00A47E4B" w:rsidP="00B67CD3">
      <w:pPr>
        <w:jc w:val="both"/>
        <w:rPr>
          <w:rFonts w:ascii="Palatino Linotype" w:hAnsi="Palatino Linotype"/>
          <w:b/>
          <w:bCs/>
          <w:sz w:val="24"/>
          <w:szCs w:val="24"/>
          <w:lang w:val="en-US"/>
        </w:rPr>
      </w:pPr>
    </w:p>
    <w:p w14:paraId="56B7A58D" w14:textId="77777777" w:rsidR="00A47E4B" w:rsidRPr="00D87004" w:rsidRDefault="00A47E4B" w:rsidP="00B67CD3">
      <w:pPr>
        <w:jc w:val="both"/>
        <w:rPr>
          <w:rFonts w:ascii="Palatino Linotype" w:hAnsi="Palatino Linotype"/>
          <w:b/>
          <w:bCs/>
          <w:sz w:val="24"/>
          <w:szCs w:val="24"/>
          <w:lang w:val="en-US"/>
        </w:rPr>
      </w:pPr>
    </w:p>
    <w:p w14:paraId="4A4E7518" w14:textId="77777777" w:rsidR="00A47E4B" w:rsidRPr="00D87004" w:rsidRDefault="00A47E4B" w:rsidP="00B67CD3">
      <w:pPr>
        <w:jc w:val="both"/>
        <w:rPr>
          <w:rFonts w:ascii="Palatino Linotype" w:hAnsi="Palatino Linotype"/>
          <w:b/>
          <w:bCs/>
          <w:sz w:val="24"/>
          <w:szCs w:val="24"/>
          <w:lang w:val="en-US"/>
        </w:rPr>
      </w:pPr>
    </w:p>
    <w:p w14:paraId="6E89F78F" w14:textId="77777777" w:rsidR="00A47E4B" w:rsidRPr="00D87004" w:rsidRDefault="00A47E4B" w:rsidP="00B67CD3">
      <w:pPr>
        <w:jc w:val="both"/>
        <w:rPr>
          <w:rFonts w:ascii="Palatino Linotype" w:hAnsi="Palatino Linotype"/>
          <w:b/>
          <w:bCs/>
          <w:sz w:val="24"/>
          <w:szCs w:val="24"/>
          <w:lang w:val="en-US"/>
        </w:rPr>
      </w:pPr>
    </w:p>
    <w:p w14:paraId="01EFAAFC" w14:textId="77777777" w:rsidR="00A47E4B" w:rsidRPr="00D87004" w:rsidRDefault="00A47E4B" w:rsidP="00B67CD3">
      <w:pPr>
        <w:jc w:val="both"/>
        <w:rPr>
          <w:rFonts w:ascii="Palatino Linotype" w:hAnsi="Palatino Linotype"/>
          <w:b/>
          <w:bCs/>
          <w:sz w:val="24"/>
          <w:szCs w:val="24"/>
          <w:lang w:val="en-US"/>
        </w:rPr>
      </w:pPr>
    </w:p>
    <w:p w14:paraId="45DB0B6E" w14:textId="77777777" w:rsidR="00A47E4B" w:rsidRPr="00D87004" w:rsidRDefault="00A47E4B" w:rsidP="00B67CD3">
      <w:pPr>
        <w:jc w:val="both"/>
        <w:rPr>
          <w:rFonts w:ascii="Palatino Linotype" w:hAnsi="Palatino Linotype"/>
          <w:b/>
          <w:bCs/>
          <w:sz w:val="24"/>
          <w:szCs w:val="24"/>
          <w:lang w:val="en-US"/>
        </w:rPr>
      </w:pPr>
    </w:p>
    <w:p w14:paraId="16E1F33F" w14:textId="77777777" w:rsidR="00A47E4B" w:rsidRPr="00D87004" w:rsidRDefault="00A47E4B" w:rsidP="00B67CD3">
      <w:pPr>
        <w:jc w:val="both"/>
        <w:rPr>
          <w:rFonts w:ascii="Palatino Linotype" w:hAnsi="Palatino Linotype"/>
          <w:b/>
          <w:bCs/>
          <w:sz w:val="24"/>
          <w:szCs w:val="24"/>
          <w:lang w:val="en-US"/>
        </w:rPr>
      </w:pPr>
    </w:p>
    <w:p w14:paraId="5406F585" w14:textId="77777777" w:rsidR="00A47E4B" w:rsidRPr="00D87004" w:rsidRDefault="00A47E4B" w:rsidP="00B67CD3">
      <w:pPr>
        <w:jc w:val="both"/>
        <w:rPr>
          <w:rFonts w:ascii="Palatino Linotype" w:hAnsi="Palatino Linotype"/>
          <w:b/>
          <w:bCs/>
          <w:sz w:val="24"/>
          <w:szCs w:val="24"/>
          <w:lang w:val="en-US"/>
        </w:rPr>
      </w:pPr>
    </w:p>
    <w:p w14:paraId="1B9D5F33" w14:textId="713607F9" w:rsidR="000508DD" w:rsidRPr="003224F7" w:rsidRDefault="000508DD" w:rsidP="00B67CD3">
      <w:pPr>
        <w:jc w:val="both"/>
        <w:rPr>
          <w:rFonts w:ascii="Palatino Linotype" w:hAnsi="Palatino Linotype"/>
          <w:noProof/>
          <w:lang w:val="en-US"/>
        </w:rPr>
      </w:pPr>
      <w:r>
        <w:rPr>
          <w:rFonts w:ascii="Palatino Linotype" w:hAnsi="Palatino Linotype"/>
          <w:b/>
          <w:bCs/>
          <w:sz w:val="24"/>
          <w:szCs w:val="24"/>
          <w:lang w:val="en-US"/>
        </w:rPr>
        <w:lastRenderedPageBreak/>
        <w:t xml:space="preserve">     </w:t>
      </w:r>
    </w:p>
    <w:p w14:paraId="3946F817" w14:textId="0D838A56" w:rsidR="000508DD" w:rsidRPr="00D87004" w:rsidRDefault="000508DD" w:rsidP="00B67CD3">
      <w:pPr>
        <w:jc w:val="both"/>
        <w:rPr>
          <w:rFonts w:ascii="Palatino Linotype" w:hAnsi="Palatino Linotype"/>
          <w:b/>
          <w:bCs/>
          <w:sz w:val="24"/>
          <w:szCs w:val="24"/>
          <w:lang w:val="en-US"/>
        </w:rPr>
      </w:pPr>
    </w:p>
    <w:sectPr w:rsidR="000508DD" w:rsidRPr="00D87004" w:rsidSect="00950D00">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8BCA6" w14:textId="77777777" w:rsidR="006E59EF" w:rsidRDefault="006E59EF" w:rsidP="008A0499">
      <w:pPr>
        <w:spacing w:after="0" w:line="240" w:lineRule="auto"/>
      </w:pPr>
      <w:r>
        <w:separator/>
      </w:r>
    </w:p>
  </w:endnote>
  <w:endnote w:type="continuationSeparator" w:id="0">
    <w:p w14:paraId="0D34E655" w14:textId="77777777" w:rsidR="006E59EF" w:rsidRDefault="006E59EF" w:rsidP="008A0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F149" w14:textId="77777777" w:rsidR="0019639E" w:rsidRDefault="001963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CEF74" w14:textId="77777777" w:rsidR="0019639E" w:rsidRDefault="001963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DA0C2" w14:textId="77777777" w:rsidR="0019639E" w:rsidRDefault="00196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26DC7" w14:textId="77777777" w:rsidR="006E59EF" w:rsidRDefault="006E59EF" w:rsidP="008A0499">
      <w:pPr>
        <w:spacing w:after="0" w:line="240" w:lineRule="auto"/>
      </w:pPr>
      <w:r>
        <w:separator/>
      </w:r>
    </w:p>
  </w:footnote>
  <w:footnote w:type="continuationSeparator" w:id="0">
    <w:p w14:paraId="2F3B3544" w14:textId="77777777" w:rsidR="006E59EF" w:rsidRDefault="006E59EF" w:rsidP="008A0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9F20" w14:textId="30BE3876" w:rsidR="0019639E" w:rsidRDefault="006E59EF">
    <w:pPr>
      <w:pStyle w:val="Header"/>
    </w:pPr>
    <w:r>
      <w:rPr>
        <w:noProof/>
      </w:rPr>
      <w:pict w14:anchorId="1988D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68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62123" w14:textId="6CA8DB2C" w:rsidR="0019639E" w:rsidRDefault="006E59EF">
    <w:pPr>
      <w:pStyle w:val="Header"/>
    </w:pPr>
    <w:r>
      <w:rPr>
        <w:noProof/>
      </w:rPr>
      <w:pict w14:anchorId="24AF1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68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546F" w14:textId="5EBC10E5" w:rsidR="0019639E" w:rsidRDefault="006E59EF">
    <w:pPr>
      <w:pStyle w:val="Header"/>
    </w:pPr>
    <w:r>
      <w:rPr>
        <w:noProof/>
      </w:rPr>
      <w:pict w14:anchorId="34593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68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2MDQ3MDOyMDEyMLFU0lEKTi0uzszPAykwrAUAPy8JNiwAAAA="/>
  </w:docVars>
  <w:rsids>
    <w:rsidRoot w:val="00A95865"/>
    <w:rsid w:val="000209AA"/>
    <w:rsid w:val="00032268"/>
    <w:rsid w:val="0004086E"/>
    <w:rsid w:val="000508DD"/>
    <w:rsid w:val="000606E5"/>
    <w:rsid w:val="00061622"/>
    <w:rsid w:val="000700F8"/>
    <w:rsid w:val="00075A06"/>
    <w:rsid w:val="001106B7"/>
    <w:rsid w:val="00113FCA"/>
    <w:rsid w:val="0011770E"/>
    <w:rsid w:val="00122A91"/>
    <w:rsid w:val="001447DD"/>
    <w:rsid w:val="00183346"/>
    <w:rsid w:val="001913D8"/>
    <w:rsid w:val="0019639E"/>
    <w:rsid w:val="001F3F79"/>
    <w:rsid w:val="00201EC9"/>
    <w:rsid w:val="00206F05"/>
    <w:rsid w:val="00235B71"/>
    <w:rsid w:val="00247318"/>
    <w:rsid w:val="00265EB0"/>
    <w:rsid w:val="00292085"/>
    <w:rsid w:val="00295D22"/>
    <w:rsid w:val="002F3B19"/>
    <w:rsid w:val="003224F7"/>
    <w:rsid w:val="0035236D"/>
    <w:rsid w:val="00404F83"/>
    <w:rsid w:val="00411F93"/>
    <w:rsid w:val="00435951"/>
    <w:rsid w:val="004732F9"/>
    <w:rsid w:val="004852B9"/>
    <w:rsid w:val="00495AF2"/>
    <w:rsid w:val="004A51C8"/>
    <w:rsid w:val="004B160C"/>
    <w:rsid w:val="004B4778"/>
    <w:rsid w:val="004C4C14"/>
    <w:rsid w:val="004E423E"/>
    <w:rsid w:val="004F2B7E"/>
    <w:rsid w:val="00501B3E"/>
    <w:rsid w:val="00523590"/>
    <w:rsid w:val="00530277"/>
    <w:rsid w:val="00531888"/>
    <w:rsid w:val="00555F47"/>
    <w:rsid w:val="00563947"/>
    <w:rsid w:val="00576E8E"/>
    <w:rsid w:val="005D0842"/>
    <w:rsid w:val="005E68BE"/>
    <w:rsid w:val="006160BF"/>
    <w:rsid w:val="0063571A"/>
    <w:rsid w:val="0066275C"/>
    <w:rsid w:val="0068503D"/>
    <w:rsid w:val="006A7328"/>
    <w:rsid w:val="006E03E3"/>
    <w:rsid w:val="006E59EF"/>
    <w:rsid w:val="006E5EE9"/>
    <w:rsid w:val="007050A5"/>
    <w:rsid w:val="007201B0"/>
    <w:rsid w:val="007B3C75"/>
    <w:rsid w:val="0081180C"/>
    <w:rsid w:val="00822095"/>
    <w:rsid w:val="00822668"/>
    <w:rsid w:val="00831E11"/>
    <w:rsid w:val="00832263"/>
    <w:rsid w:val="00862305"/>
    <w:rsid w:val="00864C38"/>
    <w:rsid w:val="00867249"/>
    <w:rsid w:val="00896C6D"/>
    <w:rsid w:val="008A0499"/>
    <w:rsid w:val="009120E9"/>
    <w:rsid w:val="00945E7D"/>
    <w:rsid w:val="00950D00"/>
    <w:rsid w:val="00962880"/>
    <w:rsid w:val="0098134B"/>
    <w:rsid w:val="0098672A"/>
    <w:rsid w:val="009A0ABD"/>
    <w:rsid w:val="009E1C3A"/>
    <w:rsid w:val="00A47E4B"/>
    <w:rsid w:val="00A95865"/>
    <w:rsid w:val="00AC0726"/>
    <w:rsid w:val="00AE59EA"/>
    <w:rsid w:val="00B16339"/>
    <w:rsid w:val="00B67CD3"/>
    <w:rsid w:val="00BE2FE8"/>
    <w:rsid w:val="00BF6C0A"/>
    <w:rsid w:val="00BF779F"/>
    <w:rsid w:val="00C84C6E"/>
    <w:rsid w:val="00CE3BB5"/>
    <w:rsid w:val="00D11505"/>
    <w:rsid w:val="00D233EC"/>
    <w:rsid w:val="00D463F1"/>
    <w:rsid w:val="00D500A5"/>
    <w:rsid w:val="00D80B8C"/>
    <w:rsid w:val="00D85D39"/>
    <w:rsid w:val="00D87004"/>
    <w:rsid w:val="00E32FB1"/>
    <w:rsid w:val="00EB2A71"/>
    <w:rsid w:val="00F404CE"/>
    <w:rsid w:val="00FC2B0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AFD2B73"/>
  <w15:chartTrackingRefBased/>
  <w15:docId w15:val="{EC436BDA-49E6-4371-936D-5725F562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7CD3"/>
    <w:rPr>
      <w:color w:val="0563C1" w:themeColor="hyperlink"/>
      <w:u w:val="single"/>
    </w:rPr>
  </w:style>
  <w:style w:type="character" w:styleId="UnresolvedMention">
    <w:name w:val="Unresolved Mention"/>
    <w:basedOn w:val="DefaultParagraphFont"/>
    <w:uiPriority w:val="99"/>
    <w:semiHidden/>
    <w:unhideWhenUsed/>
    <w:rsid w:val="00B67CD3"/>
    <w:rPr>
      <w:color w:val="605E5C"/>
      <w:shd w:val="clear" w:color="auto" w:fill="E1DFDD"/>
    </w:rPr>
  </w:style>
  <w:style w:type="paragraph" w:styleId="Header">
    <w:name w:val="header"/>
    <w:basedOn w:val="Normal"/>
    <w:link w:val="HeaderChar"/>
    <w:uiPriority w:val="99"/>
    <w:unhideWhenUsed/>
    <w:rsid w:val="008A0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499"/>
  </w:style>
  <w:style w:type="paragraph" w:styleId="Footer">
    <w:name w:val="footer"/>
    <w:basedOn w:val="Normal"/>
    <w:link w:val="FooterChar"/>
    <w:uiPriority w:val="99"/>
    <w:unhideWhenUsed/>
    <w:rsid w:val="008A0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499"/>
  </w:style>
  <w:style w:type="character" w:customStyle="1" w:styleId="mord">
    <w:name w:val="mord"/>
    <w:basedOn w:val="DefaultParagraphFont"/>
    <w:rsid w:val="005E68BE"/>
  </w:style>
  <w:style w:type="character" w:styleId="Strong">
    <w:name w:val="Strong"/>
    <w:basedOn w:val="DefaultParagraphFont"/>
    <w:uiPriority w:val="22"/>
    <w:qFormat/>
    <w:rsid w:val="007B3C75"/>
    <w:rPr>
      <w:b/>
      <w:bCs/>
    </w:rPr>
  </w:style>
  <w:style w:type="character" w:styleId="Emphasis">
    <w:name w:val="Emphasis"/>
    <w:basedOn w:val="DefaultParagraphFont"/>
    <w:uiPriority w:val="20"/>
    <w:qFormat/>
    <w:rsid w:val="007B3C75"/>
    <w:rPr>
      <w:i/>
      <w:iCs/>
    </w:rPr>
  </w:style>
  <w:style w:type="paragraph" w:styleId="NormalWeb">
    <w:name w:val="Normal (Web)"/>
    <w:basedOn w:val="Normal"/>
    <w:uiPriority w:val="99"/>
    <w:semiHidden/>
    <w:unhideWhenUsed/>
    <w:rsid w:val="0098134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338945">
      <w:bodyDiv w:val="1"/>
      <w:marLeft w:val="0"/>
      <w:marRight w:val="0"/>
      <w:marTop w:val="0"/>
      <w:marBottom w:val="0"/>
      <w:divBdr>
        <w:top w:val="none" w:sz="0" w:space="0" w:color="auto"/>
        <w:left w:val="none" w:sz="0" w:space="0" w:color="auto"/>
        <w:bottom w:val="none" w:sz="0" w:space="0" w:color="auto"/>
        <w:right w:val="none" w:sz="0" w:space="0" w:color="auto"/>
      </w:divBdr>
    </w:div>
    <w:div w:id="498473146">
      <w:bodyDiv w:val="1"/>
      <w:marLeft w:val="0"/>
      <w:marRight w:val="0"/>
      <w:marTop w:val="0"/>
      <w:marBottom w:val="0"/>
      <w:divBdr>
        <w:top w:val="none" w:sz="0" w:space="0" w:color="auto"/>
        <w:left w:val="none" w:sz="0" w:space="0" w:color="auto"/>
        <w:bottom w:val="none" w:sz="0" w:space="0" w:color="auto"/>
        <w:right w:val="none" w:sz="0" w:space="0" w:color="auto"/>
      </w:divBdr>
    </w:div>
    <w:div w:id="171877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thquake.usgs.gov/" TargetMode="External"/><Relationship Id="rId18" Type="http://schemas.openxmlformats.org/officeDocument/2006/relationships/image" Target="media/image6.png"/><Relationship Id="rId26" Type="http://schemas.openxmlformats.org/officeDocument/2006/relationships/hyperlink" Target="https://doi.org/10.1016/j.tecto.2009.06.008" TargetMode="External"/><Relationship Id="rId39" Type="http://schemas.openxmlformats.org/officeDocument/2006/relationships/hyperlink" Target="https://doi.org/10.1002/cpe.1519" TargetMode="External"/><Relationship Id="rId21" Type="http://schemas.openxmlformats.org/officeDocument/2006/relationships/image" Target="media/image9.png"/><Relationship Id="rId34" Type="http://schemas.openxmlformats.org/officeDocument/2006/relationships/hyperlink" Target="https://doi.org/10.1109/ICT-DM.2014.6917790" TargetMode="Externa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3997/2214-%204609.201901068"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109/NatPC.2011.6136371" TargetMode="External"/><Relationship Id="rId32" Type="http://schemas.openxmlformats.org/officeDocument/2006/relationships/hyperlink" Target="https://doi.org/10.1017/CBO9780511628924.007" TargetMode="External"/><Relationship Id="rId37" Type="http://schemas.openxmlformats.org/officeDocument/2006/relationships/hyperlink" Target="https://doi.org/10.3390/rs11010061" TargetMode="External"/><Relationship Id="rId40" Type="http://schemas.openxmlformats.org/officeDocument/2006/relationships/hyperlink" Target="https://doi.org/10.1140/epjst/e2020-000260-2"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007/s00190-011-0449-z" TargetMode="External"/><Relationship Id="rId28" Type="http://schemas.openxmlformats.org/officeDocument/2006/relationships/hyperlink" Target="https://doi.org/10.1134/S0016793221040046" TargetMode="External"/><Relationship Id="rId36" Type="http://schemas.openxmlformats.org/officeDocument/2006/relationships/hyperlink" Target="https://doi.org/10.1007/s11069-009-9372-5" TargetMode="External"/><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hyperlink" Target="https://doi.org/10.2478/s11600-013-%200130-4"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doi.org/10.1029/2002JB002130" TargetMode="External"/><Relationship Id="rId30" Type="http://schemas.openxmlformats.org/officeDocument/2006/relationships/hyperlink" Target="https://doi.org/10.1016/S0264-3707(02)00015-7" TargetMode="External"/><Relationship Id="rId35" Type="http://schemas.openxmlformats.org/officeDocument/2006/relationships/hyperlink" Target="https://doi.org/10.1002/essoar.10509852.1" TargetMode="Externa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doi.org/10.1016/j.rse.2016.11.005" TargetMode="External"/><Relationship Id="rId33" Type="http://schemas.openxmlformats.org/officeDocument/2006/relationships/hyperlink" Target="https://doi.org/10.1017/cbo9780511628924.007" TargetMode="External"/><Relationship Id="rId38" Type="http://schemas.openxmlformats.org/officeDocument/2006/relationships/hyperlink" Target="https://doi.org/10.5194/nhess-4-697-2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20</Pages>
  <Words>4949</Words>
  <Characters>28213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Sayanta Ghosh</dc:creator>
  <cp:keywords/>
  <dc:description/>
  <cp:lastModifiedBy>SDI 1158</cp:lastModifiedBy>
  <cp:revision>34</cp:revision>
  <dcterms:created xsi:type="dcterms:W3CDTF">2025-09-24T11:01:00Z</dcterms:created>
  <dcterms:modified xsi:type="dcterms:W3CDTF">2025-10-18T12:37:00Z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d3473436-14ad-436a-8873-0ea7d4a4a054</vt:lpwstr>
  </property>
</Properties>
</file>