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7F017" w14:textId="77777777" w:rsidR="00EE377D" w:rsidRPr="00EE377D" w:rsidRDefault="00EE377D" w:rsidP="00EE377D">
      <w:pPr>
        <w:jc w:val="center"/>
        <w:rPr>
          <w:rFonts w:ascii="Times New Roman" w:hAnsi="Times New Roman" w:cs="Times New Roman"/>
          <w:b/>
          <w:bCs/>
          <w:sz w:val="24"/>
          <w:szCs w:val="24"/>
        </w:rPr>
      </w:pPr>
    </w:p>
    <w:p w14:paraId="0B585AE0" w14:textId="47FC03BB" w:rsidR="00EE377D" w:rsidRPr="00EE377D" w:rsidRDefault="00EE377D" w:rsidP="00EE377D">
      <w:pPr>
        <w:jc w:val="center"/>
        <w:rPr>
          <w:rFonts w:ascii="Times New Roman" w:hAnsi="Times New Roman" w:cs="Times New Roman"/>
          <w:b/>
          <w:bCs/>
          <w:sz w:val="24"/>
          <w:szCs w:val="24"/>
        </w:rPr>
      </w:pPr>
      <w:r w:rsidRPr="00EE377D">
        <w:rPr>
          <w:rFonts w:ascii="Times New Roman" w:hAnsi="Times New Roman" w:cs="Times New Roman"/>
          <w:b/>
          <w:bCs/>
          <w:sz w:val="24"/>
          <w:szCs w:val="24"/>
        </w:rPr>
        <w:t xml:space="preserve">Non-tree Carbon Pools and Tree Trait Effects in Polavaram Range, Andhra Pradesh” or “Litter, Herbaceous and Soil Carbon in </w:t>
      </w:r>
      <w:proofErr w:type="spellStart"/>
      <w:r w:rsidRPr="00EE377D">
        <w:rPr>
          <w:rFonts w:ascii="Times New Roman" w:hAnsi="Times New Roman" w:cs="Times New Roman"/>
          <w:b/>
          <w:bCs/>
          <w:sz w:val="24"/>
          <w:szCs w:val="24"/>
        </w:rPr>
        <w:t>Polavaram</w:t>
      </w:r>
      <w:proofErr w:type="spellEnd"/>
      <w:r w:rsidRPr="00EE377D">
        <w:rPr>
          <w:rFonts w:ascii="Times New Roman" w:hAnsi="Times New Roman" w:cs="Times New Roman"/>
          <w:b/>
          <w:bCs/>
          <w:sz w:val="24"/>
          <w:szCs w:val="24"/>
        </w:rPr>
        <w:t xml:space="preserve"> Range (Andhra Pradesh</w:t>
      </w:r>
      <w:r w:rsidR="001006A6">
        <w:rPr>
          <w:rFonts w:ascii="Times New Roman" w:hAnsi="Times New Roman" w:cs="Times New Roman"/>
          <w:b/>
          <w:bCs/>
          <w:sz w:val="24"/>
          <w:szCs w:val="24"/>
        </w:rPr>
        <w:t>, India</w:t>
      </w:r>
      <w:r w:rsidRPr="00EE377D">
        <w:rPr>
          <w:rFonts w:ascii="Times New Roman" w:hAnsi="Times New Roman" w:cs="Times New Roman"/>
          <w:b/>
          <w:bCs/>
          <w:sz w:val="24"/>
          <w:szCs w:val="24"/>
        </w:rPr>
        <w:t>): influence of tree height, DBH and density</w:t>
      </w:r>
    </w:p>
    <w:p w14:paraId="58AB5950" w14:textId="46F3A045" w:rsidR="008223CF" w:rsidRDefault="008223CF" w:rsidP="008223CF">
      <w:pPr>
        <w:jc w:val="both"/>
        <w:rPr>
          <w:rFonts w:ascii="Times New Roman" w:hAnsi="Times New Roman" w:cs="Times New Roman"/>
          <w:b/>
          <w:bCs/>
          <w:sz w:val="28"/>
          <w:szCs w:val="28"/>
        </w:rPr>
      </w:pPr>
      <w:r w:rsidRPr="002F4C02">
        <w:rPr>
          <w:rFonts w:ascii="Times New Roman" w:hAnsi="Times New Roman" w:cs="Times New Roman"/>
          <w:b/>
          <w:bCs/>
          <w:sz w:val="28"/>
          <w:szCs w:val="28"/>
        </w:rPr>
        <w:t>Abstract</w:t>
      </w:r>
    </w:p>
    <w:p w14:paraId="7EC4EFFC" w14:textId="66A1CAFD" w:rsidR="00EE377D" w:rsidRPr="00EE377D" w:rsidRDefault="00EE377D" w:rsidP="004518CF">
      <w:pPr>
        <w:spacing w:line="360" w:lineRule="auto"/>
        <w:jc w:val="both"/>
        <w:rPr>
          <w:rFonts w:ascii="Times New Roman" w:hAnsi="Times New Roman" w:cs="Times New Roman"/>
          <w:sz w:val="24"/>
          <w:szCs w:val="24"/>
        </w:rPr>
      </w:pPr>
      <w:r w:rsidRPr="00EE377D">
        <w:rPr>
          <w:rFonts w:ascii="Times New Roman" w:hAnsi="Times New Roman" w:cs="Times New Roman"/>
          <w:sz w:val="24"/>
          <w:szCs w:val="24"/>
        </w:rPr>
        <w:t xml:space="preserve">This study quantifies carbon stocks in non-tree pools-litter, herbaceous vegetation, and soil organic carbon (SOC)—in tropical dry deciduous forests of Polavaram Range, Andhra Pradesh, India, spanning 24,331.42 ha. These pools are vital for carbon sequestration, supporting climate change mitigation. Field sampling in September 2024 used 20 m × 20 m plots, with litter and herbaceous vegetation collected from 1 m × 1 m quadrats and soil sampled at 0–30 cm depths. Carbon content, analysed via the Walkley-Black method, revealed total carbon stocks of 40.34-111.25 Mg C ha⁻¹, predominantly driven by SOC (36.44-108.37 Mg C ha⁻¹). Statistical analysis using SPSS showed that tree height and density significantly influenced litter carbon (p &lt; 05, R² = 75), while species like Millettia auriculata enhanced SOC, and </w:t>
      </w:r>
      <w:r w:rsidRPr="00EE377D">
        <w:rPr>
          <w:rFonts w:ascii="Times New Roman" w:hAnsi="Times New Roman" w:cs="Times New Roman"/>
          <w:b/>
          <w:bCs/>
          <w:i/>
          <w:iCs/>
          <w:sz w:val="24"/>
          <w:szCs w:val="24"/>
        </w:rPr>
        <w:t xml:space="preserve">Terminalia </w:t>
      </w:r>
      <w:proofErr w:type="spellStart"/>
      <w:r w:rsidRPr="00EE377D">
        <w:rPr>
          <w:rFonts w:ascii="Times New Roman" w:hAnsi="Times New Roman" w:cs="Times New Roman"/>
          <w:b/>
          <w:bCs/>
          <w:i/>
          <w:iCs/>
          <w:sz w:val="24"/>
          <w:szCs w:val="24"/>
        </w:rPr>
        <w:t>corlacea</w:t>
      </w:r>
      <w:proofErr w:type="spellEnd"/>
      <w:r w:rsidRPr="00EE377D">
        <w:rPr>
          <w:rFonts w:ascii="Times New Roman" w:hAnsi="Times New Roman" w:cs="Times New Roman"/>
          <w:sz w:val="24"/>
          <w:szCs w:val="24"/>
        </w:rPr>
        <w:t xml:space="preserve"> and </w:t>
      </w:r>
      <w:proofErr w:type="spellStart"/>
      <w:r w:rsidRPr="00EE377D">
        <w:rPr>
          <w:rFonts w:ascii="Times New Roman" w:hAnsi="Times New Roman" w:cs="Times New Roman"/>
          <w:b/>
          <w:bCs/>
          <w:i/>
          <w:iCs/>
          <w:sz w:val="24"/>
          <w:szCs w:val="24"/>
        </w:rPr>
        <w:t>Tectona</w:t>
      </w:r>
      <w:proofErr w:type="spellEnd"/>
      <w:r w:rsidRPr="00EE377D">
        <w:rPr>
          <w:rFonts w:ascii="Times New Roman" w:hAnsi="Times New Roman" w:cs="Times New Roman"/>
          <w:b/>
          <w:bCs/>
          <w:i/>
          <w:iCs/>
          <w:sz w:val="24"/>
          <w:szCs w:val="24"/>
        </w:rPr>
        <w:t xml:space="preserve"> </w:t>
      </w:r>
      <w:proofErr w:type="spellStart"/>
      <w:r w:rsidRPr="00EE377D">
        <w:rPr>
          <w:rFonts w:ascii="Times New Roman" w:hAnsi="Times New Roman" w:cs="Times New Roman"/>
          <w:b/>
          <w:bCs/>
          <w:i/>
          <w:iCs/>
          <w:sz w:val="24"/>
          <w:szCs w:val="24"/>
        </w:rPr>
        <w:t>grandis</w:t>
      </w:r>
      <w:proofErr w:type="spellEnd"/>
      <w:r w:rsidRPr="00EE377D">
        <w:rPr>
          <w:rFonts w:ascii="Times New Roman" w:hAnsi="Times New Roman" w:cs="Times New Roman"/>
          <w:sz w:val="24"/>
          <w:szCs w:val="24"/>
        </w:rPr>
        <w:t xml:space="preserve"> shaped litterfall dynamics. These findings underscore the critical role of non-tree carbon pools in sustainable forest management and carbon credit programs. By identifying species-specific contributions, this research offers actionable strategies to optimize carbon storage in tropical forests, advancing climate resilience and informing policy for effective forest conservation.</w:t>
      </w:r>
    </w:p>
    <w:p w14:paraId="5BCE16D6" w14:textId="214100B6" w:rsidR="00E87500" w:rsidRPr="001533C1" w:rsidRDefault="00B159DB" w:rsidP="004518CF">
      <w:pPr>
        <w:spacing w:line="360" w:lineRule="auto"/>
        <w:jc w:val="both"/>
        <w:rPr>
          <w:rFonts w:ascii="Times New Roman" w:hAnsi="Times New Roman" w:cs="Times New Roman"/>
          <w:i/>
          <w:iCs/>
          <w:sz w:val="24"/>
          <w:szCs w:val="24"/>
        </w:rPr>
      </w:pPr>
      <w:r w:rsidRPr="00B159DB">
        <w:rPr>
          <w:rFonts w:ascii="Times New Roman" w:hAnsi="Times New Roman" w:cs="Times New Roman"/>
          <w:b/>
          <w:bCs/>
          <w:sz w:val="24"/>
          <w:szCs w:val="24"/>
        </w:rPr>
        <w:t>Keywords:</w:t>
      </w:r>
      <w:r w:rsidRPr="00B159DB">
        <w:rPr>
          <w:rFonts w:ascii="Times New Roman" w:hAnsi="Times New Roman" w:cs="Times New Roman"/>
          <w:sz w:val="24"/>
          <w:szCs w:val="24"/>
        </w:rPr>
        <w:t xml:space="preserve"> </w:t>
      </w:r>
      <w:r w:rsidR="006A4222" w:rsidRPr="006A4222">
        <w:rPr>
          <w:rFonts w:ascii="Times New Roman" w:hAnsi="Times New Roman" w:cs="Times New Roman"/>
          <w:sz w:val="24"/>
          <w:szCs w:val="24"/>
        </w:rPr>
        <w:t>Carbon Stock Assessment, Litterfall Production, Forest Management, Nutrient Cycling, Climate Change Mitigation</w:t>
      </w:r>
    </w:p>
    <w:p w14:paraId="514EF3BA" w14:textId="77777777" w:rsidR="002C1A27" w:rsidRDefault="002C1A27" w:rsidP="004518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7F362B1" w14:textId="77777777" w:rsidR="002C1A27" w:rsidRDefault="002C1A27" w:rsidP="004518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4DDAB873" w14:textId="5317826D" w:rsidR="00A7562F" w:rsidRPr="00A7562F" w:rsidRDefault="00A7562F" w:rsidP="004518C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A7562F">
        <w:rPr>
          <w:rFonts w:ascii="Times New Roman" w:hAnsi="Times New Roman" w:cs="Times New Roman"/>
          <w:sz w:val="24"/>
          <w:szCs w:val="24"/>
        </w:rPr>
        <w:t xml:space="preserve">ropical dry deciduous forests are critical global carbon sinks, playing a vital role in climate change mitigation by sequestering atmospheric carbon in biomass and soil </w:t>
      </w:r>
      <w:r w:rsidRPr="00A7562F">
        <w:rPr>
          <w:rFonts w:ascii="Times New Roman" w:hAnsi="Times New Roman" w:cs="Times New Roman"/>
          <w:b/>
          <w:bCs/>
          <w:sz w:val="24"/>
          <w:szCs w:val="24"/>
        </w:rPr>
        <w:t xml:space="preserve">(Pan </w:t>
      </w:r>
      <w:r w:rsidRPr="002F4C02">
        <w:rPr>
          <w:rFonts w:ascii="Times New Roman" w:hAnsi="Times New Roman" w:cs="Times New Roman"/>
          <w:b/>
          <w:bCs/>
          <w:i/>
          <w:iCs/>
          <w:sz w:val="24"/>
          <w:szCs w:val="24"/>
        </w:rPr>
        <w:t>et al</w:t>
      </w:r>
      <w:r w:rsidRPr="00A7562F">
        <w:rPr>
          <w:rFonts w:ascii="Times New Roman" w:hAnsi="Times New Roman" w:cs="Times New Roman"/>
          <w:b/>
          <w:bCs/>
          <w:sz w:val="24"/>
          <w:szCs w:val="24"/>
        </w:rPr>
        <w:t>., 2011).</w:t>
      </w:r>
      <w:r w:rsidRPr="00A7562F">
        <w:rPr>
          <w:rFonts w:ascii="Times New Roman" w:hAnsi="Times New Roman" w:cs="Times New Roman"/>
          <w:sz w:val="24"/>
          <w:szCs w:val="24"/>
        </w:rPr>
        <w:t xml:space="preserve"> While much of the research focus has been on carbon stored in tree biomass, the non-tree ecosystem components—litter, herbaceous vegetation, and soil organic carbon (SOC)—often constitute 50–70% of the total ecosystem carbon pool </w:t>
      </w:r>
      <w:r w:rsidRPr="00A7562F">
        <w:rPr>
          <w:rFonts w:ascii="Times New Roman" w:hAnsi="Times New Roman" w:cs="Times New Roman"/>
          <w:b/>
          <w:bCs/>
          <w:sz w:val="24"/>
          <w:szCs w:val="24"/>
        </w:rPr>
        <w:t>(Lal, 2005).</w:t>
      </w:r>
      <w:r w:rsidRPr="00A7562F">
        <w:rPr>
          <w:rFonts w:ascii="Times New Roman" w:hAnsi="Times New Roman" w:cs="Times New Roman"/>
          <w:sz w:val="24"/>
          <w:szCs w:val="24"/>
        </w:rPr>
        <w:t xml:space="preserve"> These pools are essential for nutrient cycling and provide a mechanism for long-term carbon storage. Litter, comprising fallen leaves and twigs, contributes directly to SOC formation through decomposition, while herbaceous vegetation supports understory biodiversity and contributes to short-term carbon accumulation.</w:t>
      </w:r>
    </w:p>
    <w:p w14:paraId="5AE2F9AE" w14:textId="20D371EF" w:rsidR="00A7562F" w:rsidRPr="00A7562F" w:rsidRDefault="00A7562F" w:rsidP="004518CF">
      <w:pPr>
        <w:spacing w:line="360" w:lineRule="auto"/>
        <w:jc w:val="both"/>
        <w:rPr>
          <w:rFonts w:ascii="Times New Roman" w:hAnsi="Times New Roman" w:cs="Times New Roman"/>
          <w:sz w:val="24"/>
          <w:szCs w:val="24"/>
        </w:rPr>
      </w:pPr>
      <w:r w:rsidRPr="00A7562F">
        <w:rPr>
          <w:rFonts w:ascii="Times New Roman" w:hAnsi="Times New Roman" w:cs="Times New Roman"/>
          <w:sz w:val="24"/>
          <w:szCs w:val="24"/>
        </w:rPr>
        <w:lastRenderedPageBreak/>
        <w:t xml:space="preserve">The quantity and quality of these non-tree carbon pools are not autonomous but are profoundly influenced by the overlying tree community. Tree structural characteristics such as height, diameter at breast height (DBH), and stand density can regulate microclimatic conditions, litter production, and decomposition rates, thereby indirectly shaping carbon storage in litter and soil </w:t>
      </w:r>
      <w:r w:rsidRPr="00A7562F">
        <w:rPr>
          <w:rFonts w:ascii="Times New Roman" w:hAnsi="Times New Roman" w:cs="Times New Roman"/>
          <w:b/>
          <w:bCs/>
          <w:sz w:val="24"/>
          <w:szCs w:val="24"/>
        </w:rPr>
        <w:t>(</w:t>
      </w:r>
      <w:r w:rsidR="00784E43" w:rsidRPr="00784E43">
        <w:rPr>
          <w:rFonts w:ascii="Times New Roman" w:hAnsi="Times New Roman" w:cs="Times New Roman"/>
          <w:b/>
          <w:bCs/>
          <w:sz w:val="24"/>
          <w:szCs w:val="24"/>
        </w:rPr>
        <w:t xml:space="preserve">Meister </w:t>
      </w:r>
      <w:r w:rsidR="00784E43">
        <w:rPr>
          <w:rFonts w:ascii="Times New Roman" w:hAnsi="Times New Roman" w:cs="Times New Roman"/>
          <w:b/>
          <w:bCs/>
          <w:sz w:val="24"/>
          <w:szCs w:val="24"/>
        </w:rPr>
        <w:t xml:space="preserve">et al., </w:t>
      </w:r>
      <w:r w:rsidR="00784E43" w:rsidRPr="00784E43">
        <w:rPr>
          <w:rFonts w:ascii="Times New Roman" w:hAnsi="Times New Roman" w:cs="Times New Roman"/>
          <w:b/>
          <w:bCs/>
          <w:i/>
          <w:iCs/>
          <w:sz w:val="24"/>
          <w:szCs w:val="24"/>
        </w:rPr>
        <w:t>2011</w:t>
      </w:r>
      <w:r w:rsidRPr="00A7562F">
        <w:rPr>
          <w:rFonts w:ascii="Times New Roman" w:hAnsi="Times New Roman" w:cs="Times New Roman"/>
          <w:b/>
          <w:bCs/>
          <w:sz w:val="24"/>
          <w:szCs w:val="24"/>
        </w:rPr>
        <w:t>).</w:t>
      </w:r>
      <w:r w:rsidRPr="00A7562F">
        <w:rPr>
          <w:rFonts w:ascii="Times New Roman" w:hAnsi="Times New Roman" w:cs="Times New Roman"/>
          <w:sz w:val="24"/>
          <w:szCs w:val="24"/>
        </w:rPr>
        <w:t xml:space="preserve"> Furthermore, tree species identity, through traits like leaf litter quality and root exudates, can significantly alter SOC dynamics. Despite their importance, the independent contributions of these tree-level attributes to non-tree carbon pools remain inadequately quantified, as most studies remain focused on above-ground biomass carbon.</w:t>
      </w:r>
    </w:p>
    <w:p w14:paraId="74995C53" w14:textId="50316FE8" w:rsidR="00A7562F" w:rsidRPr="00A7562F" w:rsidRDefault="00A7562F" w:rsidP="004518CF">
      <w:pPr>
        <w:spacing w:line="360" w:lineRule="auto"/>
        <w:jc w:val="both"/>
        <w:rPr>
          <w:rFonts w:ascii="Times New Roman" w:hAnsi="Times New Roman" w:cs="Times New Roman"/>
          <w:sz w:val="24"/>
          <w:szCs w:val="24"/>
        </w:rPr>
      </w:pPr>
      <w:r w:rsidRPr="00A7562F">
        <w:rPr>
          <w:rFonts w:ascii="Times New Roman" w:hAnsi="Times New Roman" w:cs="Times New Roman"/>
          <w:sz w:val="24"/>
          <w:szCs w:val="24"/>
        </w:rPr>
        <w:t xml:space="preserve">The Polavaram Range within the </w:t>
      </w:r>
      <w:proofErr w:type="spellStart"/>
      <w:r w:rsidRPr="00A7562F">
        <w:rPr>
          <w:rFonts w:ascii="Times New Roman" w:hAnsi="Times New Roman" w:cs="Times New Roman"/>
          <w:sz w:val="24"/>
          <w:szCs w:val="24"/>
        </w:rPr>
        <w:t>Eluru</w:t>
      </w:r>
      <w:proofErr w:type="spellEnd"/>
      <w:r w:rsidRPr="00A7562F">
        <w:rPr>
          <w:rFonts w:ascii="Times New Roman" w:hAnsi="Times New Roman" w:cs="Times New Roman"/>
          <w:sz w:val="24"/>
          <w:szCs w:val="24"/>
        </w:rPr>
        <w:t xml:space="preserve"> Forest Division, Andhra Pradesh, represents a significant tropical dry deciduous forest landscape in India's Eastern Ghats. Characterized by species such as </w:t>
      </w:r>
      <w:proofErr w:type="spellStart"/>
      <w:r w:rsidRPr="00A7562F">
        <w:rPr>
          <w:rFonts w:ascii="Times New Roman" w:hAnsi="Times New Roman" w:cs="Times New Roman"/>
          <w:b/>
          <w:bCs/>
          <w:i/>
          <w:iCs/>
          <w:sz w:val="24"/>
          <w:szCs w:val="24"/>
        </w:rPr>
        <w:t>Tectona</w:t>
      </w:r>
      <w:proofErr w:type="spellEnd"/>
      <w:r w:rsidRPr="00A7562F">
        <w:rPr>
          <w:rFonts w:ascii="Times New Roman" w:hAnsi="Times New Roman" w:cs="Times New Roman"/>
          <w:b/>
          <w:bCs/>
          <w:i/>
          <w:iCs/>
          <w:sz w:val="24"/>
          <w:szCs w:val="24"/>
        </w:rPr>
        <w:t xml:space="preserve"> </w:t>
      </w:r>
      <w:proofErr w:type="spellStart"/>
      <w:r w:rsidRPr="00A7562F">
        <w:rPr>
          <w:rFonts w:ascii="Times New Roman" w:hAnsi="Times New Roman" w:cs="Times New Roman"/>
          <w:b/>
          <w:bCs/>
          <w:i/>
          <w:iCs/>
          <w:sz w:val="24"/>
          <w:szCs w:val="24"/>
        </w:rPr>
        <w:t>grandis</w:t>
      </w:r>
      <w:proofErr w:type="spellEnd"/>
      <w:r w:rsidRPr="00A7562F">
        <w:rPr>
          <w:rFonts w:ascii="Times New Roman" w:hAnsi="Times New Roman" w:cs="Times New Roman"/>
          <w:b/>
          <w:bCs/>
          <w:i/>
          <w:iCs/>
          <w:sz w:val="24"/>
          <w:szCs w:val="24"/>
        </w:rPr>
        <w:t xml:space="preserve">, Terminalia </w:t>
      </w:r>
      <w:proofErr w:type="spellStart"/>
      <w:r w:rsidRPr="00A7562F">
        <w:rPr>
          <w:rFonts w:ascii="Times New Roman" w:hAnsi="Times New Roman" w:cs="Times New Roman"/>
          <w:b/>
          <w:bCs/>
          <w:i/>
          <w:iCs/>
          <w:sz w:val="24"/>
          <w:szCs w:val="24"/>
        </w:rPr>
        <w:t>corlacea</w:t>
      </w:r>
      <w:proofErr w:type="spellEnd"/>
      <w:r w:rsidRPr="00A7562F">
        <w:rPr>
          <w:rFonts w:ascii="Times New Roman" w:hAnsi="Times New Roman" w:cs="Times New Roman"/>
          <w:b/>
          <w:bCs/>
          <w:i/>
          <w:iCs/>
          <w:sz w:val="24"/>
          <w:szCs w:val="24"/>
        </w:rPr>
        <w:t xml:space="preserve">, </w:t>
      </w:r>
      <w:proofErr w:type="spellStart"/>
      <w:r w:rsidRPr="00A7562F">
        <w:rPr>
          <w:rFonts w:ascii="Times New Roman" w:hAnsi="Times New Roman" w:cs="Times New Roman"/>
          <w:b/>
          <w:bCs/>
          <w:i/>
          <w:iCs/>
          <w:sz w:val="24"/>
          <w:szCs w:val="24"/>
        </w:rPr>
        <w:t>Milletia</w:t>
      </w:r>
      <w:proofErr w:type="spellEnd"/>
      <w:r w:rsidRPr="00A7562F">
        <w:rPr>
          <w:rFonts w:ascii="Times New Roman" w:hAnsi="Times New Roman" w:cs="Times New Roman"/>
          <w:b/>
          <w:bCs/>
          <w:i/>
          <w:iCs/>
          <w:sz w:val="24"/>
          <w:szCs w:val="24"/>
        </w:rPr>
        <w:t xml:space="preserve"> </w:t>
      </w:r>
      <w:proofErr w:type="spellStart"/>
      <w:r w:rsidRPr="00A7562F">
        <w:rPr>
          <w:rFonts w:ascii="Times New Roman" w:hAnsi="Times New Roman" w:cs="Times New Roman"/>
          <w:b/>
          <w:bCs/>
          <w:i/>
          <w:iCs/>
          <w:sz w:val="24"/>
          <w:szCs w:val="24"/>
        </w:rPr>
        <w:t>auriculata</w:t>
      </w:r>
      <w:proofErr w:type="spellEnd"/>
      <w:r w:rsidRPr="00A7562F">
        <w:rPr>
          <w:rFonts w:ascii="Times New Roman" w:hAnsi="Times New Roman" w:cs="Times New Roman"/>
          <w:b/>
          <w:bCs/>
          <w:i/>
          <w:iCs/>
          <w:sz w:val="24"/>
          <w:szCs w:val="24"/>
        </w:rPr>
        <w:t>,</w:t>
      </w:r>
      <w:r w:rsidRPr="00A7562F">
        <w:rPr>
          <w:rFonts w:ascii="Times New Roman" w:hAnsi="Times New Roman" w:cs="Times New Roman"/>
          <w:sz w:val="24"/>
          <w:szCs w:val="24"/>
        </w:rPr>
        <w:t xml:space="preserve"> and </w:t>
      </w:r>
      <w:proofErr w:type="spellStart"/>
      <w:r w:rsidRPr="00A7562F">
        <w:rPr>
          <w:rFonts w:ascii="Times New Roman" w:hAnsi="Times New Roman" w:cs="Times New Roman"/>
          <w:b/>
          <w:bCs/>
          <w:i/>
          <w:iCs/>
          <w:sz w:val="24"/>
          <w:szCs w:val="24"/>
        </w:rPr>
        <w:t>Chloroxylon</w:t>
      </w:r>
      <w:proofErr w:type="spellEnd"/>
      <w:r w:rsidRPr="00A7562F">
        <w:rPr>
          <w:rFonts w:ascii="Times New Roman" w:hAnsi="Times New Roman" w:cs="Times New Roman"/>
          <w:b/>
          <w:bCs/>
          <w:i/>
          <w:iCs/>
          <w:sz w:val="24"/>
          <w:szCs w:val="24"/>
        </w:rPr>
        <w:t xml:space="preserve"> swietenia,</w:t>
      </w:r>
      <w:r w:rsidRPr="00A7562F">
        <w:rPr>
          <w:rFonts w:ascii="Times New Roman" w:hAnsi="Times New Roman" w:cs="Times New Roman"/>
          <w:sz w:val="24"/>
          <w:szCs w:val="24"/>
        </w:rPr>
        <w:t xml:space="preserve"> this region faces pressures from land-use change, potentially compromising its carbon sequestration capacity </w:t>
      </w:r>
      <w:r w:rsidRPr="00A7562F">
        <w:rPr>
          <w:rFonts w:ascii="Times New Roman" w:hAnsi="Times New Roman" w:cs="Times New Roman"/>
          <w:b/>
          <w:bCs/>
          <w:sz w:val="24"/>
          <w:szCs w:val="24"/>
        </w:rPr>
        <w:t xml:space="preserve">(Kumar, 2009; Solomon </w:t>
      </w:r>
      <w:r w:rsidR="002C1A27">
        <w:rPr>
          <w:rFonts w:ascii="Times New Roman" w:hAnsi="Times New Roman" w:cs="Times New Roman"/>
          <w:b/>
          <w:bCs/>
          <w:sz w:val="24"/>
          <w:szCs w:val="24"/>
        </w:rPr>
        <w:t>2019</w:t>
      </w:r>
      <w:r w:rsidRPr="00A7562F">
        <w:rPr>
          <w:rFonts w:ascii="Times New Roman" w:hAnsi="Times New Roman" w:cs="Times New Roman"/>
          <w:b/>
          <w:bCs/>
          <w:sz w:val="24"/>
          <w:szCs w:val="24"/>
        </w:rPr>
        <w:t>)</w:t>
      </w:r>
      <w:r w:rsidRPr="00A7562F">
        <w:rPr>
          <w:rFonts w:ascii="Times New Roman" w:hAnsi="Times New Roman" w:cs="Times New Roman"/>
          <w:sz w:val="24"/>
          <w:szCs w:val="24"/>
        </w:rPr>
        <w:t>. A comprehensive assessment of its carbon stocks, particularly in the understudied non-tree pools, is therefore essential for informed forest management</w:t>
      </w:r>
    </w:p>
    <w:p w14:paraId="4052493D" w14:textId="3BEE0646" w:rsidR="00A7562F" w:rsidRPr="00A7562F" w:rsidRDefault="00A7562F" w:rsidP="004518CF">
      <w:pPr>
        <w:spacing w:line="360" w:lineRule="auto"/>
        <w:jc w:val="both"/>
        <w:rPr>
          <w:rFonts w:ascii="Times New Roman" w:hAnsi="Times New Roman" w:cs="Times New Roman"/>
          <w:sz w:val="24"/>
          <w:szCs w:val="24"/>
        </w:rPr>
      </w:pPr>
      <w:r w:rsidRPr="00A7562F">
        <w:rPr>
          <w:rFonts w:ascii="Times New Roman" w:hAnsi="Times New Roman" w:cs="Times New Roman"/>
          <w:sz w:val="24"/>
          <w:szCs w:val="24"/>
        </w:rPr>
        <w:t>This study aims to quantify carbon stocks in litter, herbaceous vegetation, and SOC across eight beats of the Polavaram Range. Furthermore, it seeks to evaluate the specific influence of dominant tree species' structural characteristics (height, DBH, and density) on these non-tree carbon pools. The objectives are: (1) to measure carbon stocks in litter, herbaceous vegetation, and SOC (0-30 cm) through field and laboratory methods, and (2) to use statistical modelling to determine how tree traits and species identity affect the magnitude of these carbon pools. By focusing on these critical yet often overlooked components, this research aims to provide insights for sustainable forest carbon management strategies that enhance sequestration and support conservation efforts in tropical dry deciduous ecosystems.</w:t>
      </w:r>
    </w:p>
    <w:p w14:paraId="3D4F1CDA" w14:textId="61EF9C76" w:rsidR="00851169" w:rsidRPr="00851169" w:rsidRDefault="00851169" w:rsidP="004518CF">
      <w:pPr>
        <w:spacing w:line="360" w:lineRule="auto"/>
        <w:jc w:val="both"/>
        <w:rPr>
          <w:rFonts w:ascii="Times New Roman" w:hAnsi="Times New Roman" w:cs="Times New Roman"/>
          <w:b/>
          <w:bCs/>
          <w:sz w:val="24"/>
          <w:szCs w:val="24"/>
        </w:rPr>
      </w:pPr>
      <w:r w:rsidRPr="00851169">
        <w:rPr>
          <w:rFonts w:ascii="Times New Roman" w:hAnsi="Times New Roman" w:cs="Times New Roman"/>
          <w:b/>
          <w:bCs/>
          <w:sz w:val="24"/>
          <w:szCs w:val="24"/>
        </w:rPr>
        <w:t>Materials and Methods</w:t>
      </w:r>
    </w:p>
    <w:p w14:paraId="1F12A799" w14:textId="77777777" w:rsidR="00851169" w:rsidRPr="00851169" w:rsidRDefault="00851169" w:rsidP="004518CF">
      <w:pPr>
        <w:spacing w:line="360" w:lineRule="auto"/>
        <w:jc w:val="both"/>
        <w:rPr>
          <w:rFonts w:ascii="Times New Roman" w:hAnsi="Times New Roman" w:cs="Times New Roman"/>
          <w:b/>
          <w:bCs/>
          <w:sz w:val="24"/>
          <w:szCs w:val="24"/>
        </w:rPr>
      </w:pPr>
      <w:r w:rsidRPr="00851169">
        <w:rPr>
          <w:rFonts w:ascii="Times New Roman" w:hAnsi="Times New Roman" w:cs="Times New Roman"/>
          <w:b/>
          <w:bCs/>
          <w:sz w:val="24"/>
          <w:szCs w:val="24"/>
        </w:rPr>
        <w:t>Study Area</w:t>
      </w:r>
    </w:p>
    <w:p w14:paraId="170B82DA" w14:textId="144607C9" w:rsidR="00851169" w:rsidRDefault="00851169" w:rsidP="004518CF">
      <w:pPr>
        <w:spacing w:line="360" w:lineRule="auto"/>
        <w:jc w:val="both"/>
        <w:rPr>
          <w:rFonts w:ascii="Times New Roman" w:hAnsi="Times New Roman" w:cs="Times New Roman"/>
          <w:sz w:val="24"/>
          <w:szCs w:val="24"/>
        </w:rPr>
      </w:pPr>
      <w:r w:rsidRPr="00851169">
        <w:rPr>
          <w:rFonts w:ascii="Times New Roman" w:hAnsi="Times New Roman" w:cs="Times New Roman"/>
          <w:sz w:val="24"/>
          <w:szCs w:val="24"/>
        </w:rPr>
        <w:t xml:space="preserve">Polavaram Range, located in </w:t>
      </w:r>
      <w:proofErr w:type="spellStart"/>
      <w:r w:rsidRPr="00851169">
        <w:rPr>
          <w:rFonts w:ascii="Times New Roman" w:hAnsi="Times New Roman" w:cs="Times New Roman"/>
          <w:sz w:val="24"/>
          <w:szCs w:val="24"/>
        </w:rPr>
        <w:t>Eluru</w:t>
      </w:r>
      <w:proofErr w:type="spellEnd"/>
      <w:r w:rsidRPr="00851169">
        <w:rPr>
          <w:rFonts w:ascii="Times New Roman" w:hAnsi="Times New Roman" w:cs="Times New Roman"/>
          <w:sz w:val="24"/>
          <w:szCs w:val="24"/>
        </w:rPr>
        <w:t xml:space="preserve"> Forest Division, Andhra Pradesh, covers 24,331.42 ha of tropical dry deciduous forest, accounting for 17.23% of the Polavaram subdivision’s area. Situated at 17°30</w:t>
      </w:r>
      <w:r w:rsidR="005A3E89">
        <w:rPr>
          <w:rFonts w:ascii="Times New Roman" w:hAnsi="Times New Roman" w:cs="Times New Roman"/>
          <w:sz w:val="24"/>
          <w:szCs w:val="24"/>
        </w:rPr>
        <w:t>'</w:t>
      </w:r>
      <w:r w:rsidRPr="00851169">
        <w:rPr>
          <w:rFonts w:ascii="Times New Roman" w:hAnsi="Times New Roman" w:cs="Times New Roman"/>
          <w:sz w:val="24"/>
          <w:szCs w:val="24"/>
        </w:rPr>
        <w:t xml:space="preserve">–18°30′ N and 81°00′–82°00′ E, it features elevations of 50–200 m, an average annual rainfall of 1,200 mm, and a mean temperature of 28°C. The vegetation includes dominant species like </w:t>
      </w:r>
      <w:proofErr w:type="spellStart"/>
      <w:r w:rsidRPr="00766EDA">
        <w:rPr>
          <w:rFonts w:ascii="Times New Roman" w:hAnsi="Times New Roman" w:cs="Times New Roman"/>
          <w:b/>
          <w:bCs/>
          <w:i/>
          <w:iCs/>
          <w:sz w:val="24"/>
          <w:szCs w:val="24"/>
        </w:rPr>
        <w:t>Tectona</w:t>
      </w:r>
      <w:proofErr w:type="spellEnd"/>
      <w:r w:rsidRPr="00766EDA">
        <w:rPr>
          <w:rFonts w:ascii="Times New Roman" w:hAnsi="Times New Roman" w:cs="Times New Roman"/>
          <w:b/>
          <w:bCs/>
          <w:i/>
          <w:iCs/>
          <w:sz w:val="24"/>
          <w:szCs w:val="24"/>
        </w:rPr>
        <w:t xml:space="preserve"> </w:t>
      </w:r>
      <w:proofErr w:type="spellStart"/>
      <w:r w:rsidRPr="00766EDA">
        <w:rPr>
          <w:rFonts w:ascii="Times New Roman" w:hAnsi="Times New Roman" w:cs="Times New Roman"/>
          <w:b/>
          <w:bCs/>
          <w:i/>
          <w:iCs/>
          <w:sz w:val="24"/>
          <w:szCs w:val="24"/>
        </w:rPr>
        <w:t>grandis</w:t>
      </w:r>
      <w:proofErr w:type="spellEnd"/>
      <w:r w:rsidRPr="00766EDA">
        <w:rPr>
          <w:rFonts w:ascii="Times New Roman" w:hAnsi="Times New Roman" w:cs="Times New Roman"/>
          <w:b/>
          <w:bCs/>
          <w:i/>
          <w:iCs/>
          <w:sz w:val="24"/>
          <w:szCs w:val="24"/>
        </w:rPr>
        <w:t xml:space="preserve">, Terminalia </w:t>
      </w:r>
      <w:proofErr w:type="spellStart"/>
      <w:r w:rsidRPr="00766EDA">
        <w:rPr>
          <w:rFonts w:ascii="Times New Roman" w:hAnsi="Times New Roman" w:cs="Times New Roman"/>
          <w:b/>
          <w:bCs/>
          <w:i/>
          <w:iCs/>
          <w:sz w:val="24"/>
          <w:szCs w:val="24"/>
        </w:rPr>
        <w:t>corlacea</w:t>
      </w:r>
      <w:proofErr w:type="spellEnd"/>
      <w:r w:rsidRPr="00766EDA">
        <w:rPr>
          <w:rFonts w:ascii="Times New Roman" w:hAnsi="Times New Roman" w:cs="Times New Roman"/>
          <w:b/>
          <w:bCs/>
          <w:i/>
          <w:iCs/>
          <w:sz w:val="24"/>
          <w:szCs w:val="24"/>
        </w:rPr>
        <w:t xml:space="preserve">, </w:t>
      </w:r>
      <w:proofErr w:type="spellStart"/>
      <w:r w:rsidRPr="00766EDA">
        <w:rPr>
          <w:rFonts w:ascii="Times New Roman" w:hAnsi="Times New Roman" w:cs="Times New Roman"/>
          <w:b/>
          <w:bCs/>
          <w:i/>
          <w:iCs/>
          <w:sz w:val="24"/>
          <w:szCs w:val="24"/>
        </w:rPr>
        <w:t>Milletia</w:t>
      </w:r>
      <w:proofErr w:type="spellEnd"/>
      <w:r w:rsidRPr="00766EDA">
        <w:rPr>
          <w:rFonts w:ascii="Times New Roman" w:hAnsi="Times New Roman" w:cs="Times New Roman"/>
          <w:b/>
          <w:bCs/>
          <w:i/>
          <w:iCs/>
          <w:sz w:val="24"/>
          <w:szCs w:val="24"/>
        </w:rPr>
        <w:t xml:space="preserve"> </w:t>
      </w:r>
      <w:proofErr w:type="spellStart"/>
      <w:r w:rsidRPr="00766EDA">
        <w:rPr>
          <w:rFonts w:ascii="Times New Roman" w:hAnsi="Times New Roman" w:cs="Times New Roman"/>
          <w:b/>
          <w:bCs/>
          <w:i/>
          <w:iCs/>
          <w:sz w:val="24"/>
          <w:szCs w:val="24"/>
        </w:rPr>
        <w:t>auriculata</w:t>
      </w:r>
      <w:proofErr w:type="spellEnd"/>
      <w:r w:rsidRPr="007003DE">
        <w:rPr>
          <w:rFonts w:ascii="Times New Roman" w:hAnsi="Times New Roman" w:cs="Times New Roman"/>
          <w:i/>
          <w:iCs/>
          <w:sz w:val="24"/>
          <w:szCs w:val="24"/>
        </w:rPr>
        <w:t>,</w:t>
      </w:r>
      <w:r w:rsidRPr="00851169">
        <w:rPr>
          <w:rFonts w:ascii="Times New Roman" w:hAnsi="Times New Roman" w:cs="Times New Roman"/>
          <w:sz w:val="24"/>
          <w:szCs w:val="24"/>
        </w:rPr>
        <w:t xml:space="preserve"> and </w:t>
      </w:r>
      <w:proofErr w:type="spellStart"/>
      <w:r w:rsidRPr="00766EDA">
        <w:rPr>
          <w:rFonts w:ascii="Times New Roman" w:hAnsi="Times New Roman" w:cs="Times New Roman"/>
          <w:b/>
          <w:bCs/>
          <w:i/>
          <w:iCs/>
          <w:sz w:val="24"/>
          <w:szCs w:val="24"/>
        </w:rPr>
        <w:lastRenderedPageBreak/>
        <w:t>Chloroxylon</w:t>
      </w:r>
      <w:proofErr w:type="spellEnd"/>
      <w:r w:rsidRPr="00766EDA">
        <w:rPr>
          <w:rFonts w:ascii="Times New Roman" w:hAnsi="Times New Roman" w:cs="Times New Roman"/>
          <w:b/>
          <w:bCs/>
          <w:i/>
          <w:iCs/>
          <w:sz w:val="24"/>
          <w:szCs w:val="24"/>
        </w:rPr>
        <w:t xml:space="preserve"> swietenia</w:t>
      </w:r>
      <w:r w:rsidRPr="00851169">
        <w:rPr>
          <w:rFonts w:ascii="Times New Roman" w:hAnsi="Times New Roman" w:cs="Times New Roman"/>
          <w:sz w:val="24"/>
          <w:szCs w:val="24"/>
        </w:rPr>
        <w:t>, growing on red loamy and lateritic soils conducive to organic matter accumulation (</w:t>
      </w:r>
      <w:r w:rsidRPr="002F4C02">
        <w:rPr>
          <w:rFonts w:ascii="Times New Roman" w:hAnsi="Times New Roman" w:cs="Times New Roman"/>
          <w:b/>
          <w:bCs/>
          <w:sz w:val="24"/>
          <w:szCs w:val="24"/>
        </w:rPr>
        <w:t>Kumar, 2009</w:t>
      </w:r>
      <w:r w:rsidRPr="00851169">
        <w:rPr>
          <w:rFonts w:ascii="Times New Roman" w:hAnsi="Times New Roman" w:cs="Times New Roman"/>
          <w:sz w:val="24"/>
          <w:szCs w:val="24"/>
        </w:rPr>
        <w:t>).</w:t>
      </w:r>
    </w:p>
    <w:p w14:paraId="43B36479" w14:textId="7F779357" w:rsidR="00C93747" w:rsidRPr="00C93747" w:rsidRDefault="00C93747" w:rsidP="004518CF">
      <w:pPr>
        <w:spacing w:line="360" w:lineRule="auto"/>
        <w:jc w:val="both"/>
        <w:rPr>
          <w:noProof/>
        </w:rPr>
      </w:pPr>
      <w:r w:rsidRPr="00C93747">
        <w:rPr>
          <w:noProof/>
        </w:rPr>
        <w:t xml:space="preserve">  </w:t>
      </w:r>
      <w:r w:rsidR="00851C0F">
        <w:rPr>
          <w:noProof/>
        </w:rPr>
        <w:drawing>
          <wp:inline distT="0" distB="0" distL="0" distR="0" wp14:anchorId="295C6772" wp14:editId="758528C7">
            <wp:extent cx="5731510" cy="1995805"/>
            <wp:effectExtent l="0" t="0" r="2540" b="4445"/>
            <wp:docPr id="2175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1620" name="Picture 21751620"/>
                    <pic:cNvPicPr/>
                  </pic:nvPicPr>
                  <pic:blipFill>
                    <a:blip r:embed="rId7">
                      <a:extLst>
                        <a:ext uri="{28A0092B-C50C-407E-A947-70E740481C1C}">
                          <a14:useLocalDpi xmlns:a14="http://schemas.microsoft.com/office/drawing/2010/main" val="0"/>
                        </a:ext>
                      </a:extLst>
                    </a:blip>
                    <a:stretch>
                      <a:fillRect/>
                    </a:stretch>
                  </pic:blipFill>
                  <pic:spPr>
                    <a:xfrm>
                      <a:off x="0" y="0"/>
                      <a:ext cx="5731510" cy="1995805"/>
                    </a:xfrm>
                    <a:prstGeom prst="rect">
                      <a:avLst/>
                    </a:prstGeom>
                  </pic:spPr>
                </pic:pic>
              </a:graphicData>
            </a:graphic>
          </wp:inline>
        </w:drawing>
      </w:r>
    </w:p>
    <w:p w14:paraId="2C022F6A" w14:textId="26F49170" w:rsidR="00AE7055" w:rsidRDefault="00AE7055" w:rsidP="004518CF">
      <w:pPr>
        <w:jc w:val="center"/>
        <w:rPr>
          <w:rFonts w:ascii="Times New Roman" w:hAnsi="Times New Roman" w:cs="Times New Roman"/>
          <w:b/>
          <w:bCs/>
          <w:sz w:val="24"/>
          <w:szCs w:val="24"/>
        </w:rPr>
      </w:pPr>
      <w:r>
        <w:rPr>
          <w:rFonts w:ascii="Times New Roman" w:hAnsi="Times New Roman" w:cs="Times New Roman"/>
          <w:b/>
          <w:bCs/>
          <w:sz w:val="24"/>
          <w:szCs w:val="24"/>
        </w:rPr>
        <w:t xml:space="preserve">Map </w:t>
      </w:r>
      <w:r w:rsidR="002F4C02">
        <w:rPr>
          <w:rFonts w:ascii="Times New Roman" w:hAnsi="Times New Roman" w:cs="Times New Roman"/>
          <w:b/>
          <w:bCs/>
          <w:sz w:val="24"/>
          <w:szCs w:val="24"/>
        </w:rPr>
        <w:t>1:</w:t>
      </w:r>
      <w:r>
        <w:rPr>
          <w:rFonts w:ascii="Times New Roman" w:hAnsi="Times New Roman" w:cs="Times New Roman"/>
          <w:b/>
          <w:bCs/>
          <w:sz w:val="24"/>
          <w:szCs w:val="24"/>
        </w:rPr>
        <w:t xml:space="preserve"> Study area</w:t>
      </w:r>
    </w:p>
    <w:p w14:paraId="335BC329" w14:textId="06F2CF2A" w:rsidR="00851169" w:rsidRPr="00851169" w:rsidRDefault="00851169" w:rsidP="004518CF">
      <w:pPr>
        <w:spacing w:line="360" w:lineRule="auto"/>
        <w:jc w:val="both"/>
        <w:rPr>
          <w:rFonts w:ascii="Times New Roman" w:hAnsi="Times New Roman" w:cs="Times New Roman"/>
          <w:b/>
          <w:bCs/>
          <w:sz w:val="24"/>
          <w:szCs w:val="24"/>
        </w:rPr>
      </w:pPr>
      <w:r w:rsidRPr="00851169">
        <w:rPr>
          <w:rFonts w:ascii="Times New Roman" w:hAnsi="Times New Roman" w:cs="Times New Roman"/>
          <w:b/>
          <w:bCs/>
          <w:sz w:val="24"/>
          <w:szCs w:val="24"/>
        </w:rPr>
        <w:t>Field Sampling</w:t>
      </w:r>
    </w:p>
    <w:p w14:paraId="0ED650DA" w14:textId="3E92A4BF" w:rsidR="00F75A5E" w:rsidRPr="00D93ADC" w:rsidRDefault="00851169" w:rsidP="004518CF">
      <w:pPr>
        <w:spacing w:line="360" w:lineRule="auto"/>
        <w:jc w:val="both"/>
        <w:rPr>
          <w:rFonts w:ascii="Times New Roman" w:hAnsi="Times New Roman" w:cs="Times New Roman"/>
          <w:sz w:val="24"/>
          <w:szCs w:val="24"/>
        </w:rPr>
      </w:pPr>
      <w:r w:rsidRPr="00851169">
        <w:rPr>
          <w:rFonts w:ascii="Times New Roman" w:hAnsi="Times New Roman" w:cs="Times New Roman"/>
          <w:sz w:val="24"/>
          <w:szCs w:val="24"/>
        </w:rPr>
        <w:t>Fieldwork was conducted in September 2024. One 20 m × 20 m plot (400 m²) was established in each of the eight administrative beats using stratified random sampling to capture vegetation diversity. For trees with a DBH of at least 10 cm, height was measured with a clinometer (in meters), DBH was measured at 1.3 m above ground with a diameter tape (in cm), density was calculated as the number of trees per plot multiplied by 25 to convert to trees per hectare, and species were identified using standard field guides (</w:t>
      </w:r>
      <w:r w:rsidRPr="002F4C02">
        <w:rPr>
          <w:rFonts w:ascii="Times New Roman" w:hAnsi="Times New Roman" w:cs="Times New Roman"/>
          <w:b/>
          <w:bCs/>
          <w:sz w:val="24"/>
          <w:szCs w:val="24"/>
        </w:rPr>
        <w:t xml:space="preserve">Pascal &amp; Ramesh, </w:t>
      </w:r>
      <w:r w:rsidR="007F274B">
        <w:rPr>
          <w:rFonts w:ascii="Times New Roman" w:hAnsi="Times New Roman" w:cs="Times New Roman"/>
          <w:b/>
          <w:bCs/>
          <w:sz w:val="24"/>
          <w:szCs w:val="24"/>
        </w:rPr>
        <w:t>1987</w:t>
      </w:r>
      <w:r w:rsidRPr="00851169">
        <w:rPr>
          <w:rFonts w:ascii="Times New Roman" w:hAnsi="Times New Roman" w:cs="Times New Roman"/>
          <w:sz w:val="24"/>
          <w:szCs w:val="24"/>
        </w:rPr>
        <w:t>). Litter (fallen leaves, twigs) and herbaceous vegetation (grasses, herbs) were collected from 3–5 randomly placed 1 m × 1 m quadrats per plot. Soil samples were collected at depths of 0–15 cm and 15–30 cm using a 5 cm diameter corer (3–5 cores per quadrat, combined per plot), and bulk density was measured using the core method.</w:t>
      </w:r>
    </w:p>
    <w:p w14:paraId="6B8CF758" w14:textId="77777777" w:rsidR="00D93ADC" w:rsidRPr="00D93ADC" w:rsidRDefault="00D93ADC" w:rsidP="004518CF">
      <w:pPr>
        <w:spacing w:line="360" w:lineRule="auto"/>
        <w:jc w:val="both"/>
        <w:rPr>
          <w:rFonts w:ascii="Times New Roman" w:hAnsi="Times New Roman" w:cs="Times New Roman"/>
          <w:b/>
          <w:bCs/>
          <w:sz w:val="24"/>
          <w:szCs w:val="24"/>
        </w:rPr>
      </w:pPr>
      <w:r w:rsidRPr="00D93ADC">
        <w:rPr>
          <w:rFonts w:ascii="Times New Roman" w:hAnsi="Times New Roman" w:cs="Times New Roman"/>
          <w:b/>
          <w:bCs/>
          <w:sz w:val="24"/>
          <w:szCs w:val="24"/>
        </w:rPr>
        <w:t>Herbaceous Vegetation and Litter Layer Biomass and Carbon</w:t>
      </w:r>
    </w:p>
    <w:p w14:paraId="7CD7F0F4" w14:textId="19F9EC73" w:rsidR="00D93ADC" w:rsidRPr="00D93ADC" w:rsidRDefault="00D93ADC" w:rsidP="004518CF">
      <w:pPr>
        <w:spacing w:line="360" w:lineRule="auto"/>
        <w:jc w:val="both"/>
        <w:rPr>
          <w:rFonts w:ascii="Times New Roman" w:hAnsi="Times New Roman" w:cs="Times New Roman"/>
          <w:sz w:val="24"/>
          <w:szCs w:val="24"/>
        </w:rPr>
      </w:pPr>
      <w:r w:rsidRPr="00D93ADC">
        <w:rPr>
          <w:rFonts w:ascii="Times New Roman" w:hAnsi="Times New Roman" w:cs="Times New Roman"/>
          <w:sz w:val="24"/>
          <w:szCs w:val="24"/>
        </w:rPr>
        <w:t>Samples of herbaceous vegetation (plant matter &lt;5 cm diameter) and litter were collected from five 1 m × 1 m quadrats (</w:t>
      </w:r>
      <w:proofErr w:type="spellStart"/>
      <w:r w:rsidRPr="00D93ADC">
        <w:rPr>
          <w:rFonts w:ascii="Times New Roman" w:hAnsi="Times New Roman" w:cs="Times New Roman"/>
          <w:sz w:val="24"/>
          <w:szCs w:val="24"/>
        </w:rPr>
        <w:t>center</w:t>
      </w:r>
      <w:proofErr w:type="spellEnd"/>
      <w:r w:rsidRPr="00D93ADC">
        <w:rPr>
          <w:rFonts w:ascii="Times New Roman" w:hAnsi="Times New Roman" w:cs="Times New Roman"/>
          <w:sz w:val="24"/>
          <w:szCs w:val="24"/>
        </w:rPr>
        <w:t xml:space="preserve"> and four cardinal directions) within each 20 m × 20 m main plot, positioned 1 m inward from the boundary. Biomass was harvested destructively using an </w:t>
      </w:r>
      <w:proofErr w:type="spellStart"/>
      <w:r w:rsidRPr="00D93ADC">
        <w:rPr>
          <w:rFonts w:ascii="Times New Roman" w:hAnsi="Times New Roman" w:cs="Times New Roman"/>
          <w:sz w:val="24"/>
          <w:szCs w:val="24"/>
        </w:rPr>
        <w:t>aluminum</w:t>
      </w:r>
      <w:proofErr w:type="spellEnd"/>
      <w:r w:rsidRPr="00D93ADC">
        <w:rPr>
          <w:rFonts w:ascii="Times New Roman" w:hAnsi="Times New Roman" w:cs="Times New Roman"/>
          <w:sz w:val="24"/>
          <w:szCs w:val="24"/>
        </w:rPr>
        <w:t xml:space="preserve"> or wooden frame, separating herbaceous material (leaves, stems, flowers) and surface litter (excluding stones and large twigs). Fresh weights were recorded with a digital scale, and 100 g subsamples were oven-dried at 65–70°C for ≥48 hours to determine moisture content and calculate total dry weight using the formula:</w:t>
      </w:r>
    </w:p>
    <w:p w14:paraId="2C34FBA3" w14:textId="77777777" w:rsidR="00D93ADC" w:rsidRPr="00FD3905" w:rsidRDefault="00D93ADC" w:rsidP="004518CF">
      <w:pPr>
        <w:spacing w:line="360" w:lineRule="auto"/>
        <w:ind w:left="-1418" w:right="95" w:firstLine="425"/>
        <w:jc w:val="both"/>
        <w:rPr>
          <w:rFonts w:ascii="Times New Roman" w:hAnsi="Times New Roman" w:cs="Times New Roman"/>
          <w:sz w:val="24"/>
          <w:szCs w:val="24"/>
        </w:rPr>
      </w:pPr>
      <m:oMathPara>
        <m:oMathParaPr>
          <m:jc m:val="left"/>
        </m:oMathParaPr>
        <m:oMath>
          <m:r>
            <m:rPr>
              <m:sty m:val="bi"/>
            </m:rPr>
            <w:rPr>
              <w:rFonts w:ascii="Cambria Math" w:eastAsiaTheme="minorEastAsia" w:hAnsi="Cambria Math" w:cs="Times New Roman"/>
              <w:sz w:val="20"/>
              <w:szCs w:val="20"/>
            </w:rPr>
            <w:lastRenderedPageBreak/>
            <m:t xml:space="preserve">Total Dry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 xml:space="preserve">Kg m-2 </m:t>
              </m:r>
            </m:e>
          </m:d>
          <m:r>
            <m:rPr>
              <m:sty m:val="bi"/>
            </m:rPr>
            <w:rPr>
              <w:rFonts w:ascii="Cambria Math" w:eastAsiaTheme="minorEastAsia" w:hAnsi="Cambria Math" w:cs="Times New Roman"/>
              <w:sz w:val="20"/>
              <w:szCs w:val="20"/>
            </w:rPr>
            <m:t xml:space="preserve">= </m:t>
          </m:r>
          <m:f>
            <m:fPr>
              <m:ctrlPr>
                <w:rPr>
                  <w:rFonts w:ascii="Cambria Math" w:eastAsiaTheme="minorEastAsia" w:hAnsi="Cambria Math" w:cs="Times New Roman"/>
                  <w:b/>
                  <w:i/>
                  <w:sz w:val="20"/>
                  <w:szCs w:val="20"/>
                </w:rPr>
              </m:ctrlPr>
            </m:fPr>
            <m:num>
              <m:r>
                <m:rPr>
                  <m:sty m:val="bi"/>
                </m:rPr>
                <w:rPr>
                  <w:rFonts w:ascii="Cambria Math" w:eastAsiaTheme="minorEastAsia" w:hAnsi="Cambria Math" w:cs="Times New Roman"/>
                  <w:sz w:val="20"/>
                  <w:szCs w:val="20"/>
                </w:rPr>
                <m:t xml:space="preserve">Total Fresh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Kg</m:t>
                  </m:r>
                </m:e>
              </m:d>
              <m:r>
                <m:rPr>
                  <m:sty m:val="bi"/>
                </m:rPr>
                <w:rPr>
                  <w:rFonts w:ascii="Cambria Math" w:eastAsiaTheme="minorEastAsia" w:hAnsi="Cambria Math" w:cs="Times New Roman"/>
                  <w:sz w:val="20"/>
                  <w:szCs w:val="20"/>
                </w:rPr>
                <m:t xml:space="preserve">×Sub Sample Dry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g</m:t>
                  </m:r>
                </m:e>
              </m:d>
            </m:num>
            <m:den>
              <m:r>
                <m:rPr>
                  <m:sty m:val="bi"/>
                </m:rPr>
                <w:rPr>
                  <w:rFonts w:ascii="Cambria Math" w:eastAsiaTheme="minorEastAsia" w:hAnsi="Cambria Math" w:cs="Times New Roman"/>
                  <w:sz w:val="20"/>
                  <w:szCs w:val="20"/>
                </w:rPr>
                <m:t xml:space="preserve">Sub Sample Fresh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g</m:t>
                  </m:r>
                </m:e>
              </m:d>
              <m:r>
                <m:rPr>
                  <m:sty m:val="bi"/>
                </m:rPr>
                <w:rPr>
                  <w:rFonts w:ascii="Cambria Math" w:eastAsiaTheme="minorEastAsia" w:hAnsi="Cambria Math" w:cs="Times New Roman"/>
                  <w:sz w:val="20"/>
                  <w:szCs w:val="20"/>
                </w:rPr>
                <m:t xml:space="preserve">×Smple Area  </m:t>
              </m:r>
              <m:r>
                <m:rPr>
                  <m:sty m:val="b"/>
                </m:rPr>
                <w:rPr>
                  <w:rFonts w:ascii="Cambria Math" w:hAnsi="Cambria Math" w:cs="Times New Roman"/>
                  <w:sz w:val="20"/>
                  <w:szCs w:val="20"/>
                </w:rPr>
                <m:t>m</m:t>
              </m:r>
              <m:r>
                <m:rPr>
                  <m:sty m:val="b"/>
                </m:rPr>
                <w:rPr>
                  <w:rFonts w:ascii="Cambria Math" w:hAnsi="Cambria Math" w:cs="Times New Roman"/>
                  <w:sz w:val="20"/>
                  <w:szCs w:val="20"/>
                  <w:vertAlign w:val="superscript"/>
                </w:rPr>
                <m:t>2</m:t>
              </m:r>
            </m:den>
          </m:f>
        </m:oMath>
      </m:oMathPara>
    </w:p>
    <w:p w14:paraId="03A0B505" w14:textId="77777777" w:rsidR="00D93ADC" w:rsidRPr="00D93ADC" w:rsidRDefault="00D93ADC" w:rsidP="004518CF">
      <w:pPr>
        <w:spacing w:line="360" w:lineRule="auto"/>
        <w:ind w:right="-46"/>
        <w:jc w:val="both"/>
        <w:rPr>
          <w:rFonts w:ascii="Times New Roman" w:hAnsi="Times New Roman" w:cs="Times New Roman"/>
          <w:sz w:val="24"/>
          <w:szCs w:val="24"/>
        </w:rPr>
      </w:pPr>
      <w:r w:rsidRPr="00D93ADC">
        <w:rPr>
          <w:rFonts w:ascii="Times New Roman" w:hAnsi="Times New Roman" w:cs="Times New Roman"/>
          <w:sz w:val="24"/>
          <w:szCs w:val="24"/>
        </w:rPr>
        <w:t>Subsequently, ash content and carbon fraction were calculated using the appropriate standard equations.</w:t>
      </w:r>
    </w:p>
    <w:p w14:paraId="474D3A49" w14:textId="77777777" w:rsidR="00D93ADC" w:rsidRPr="00D93ADC" w:rsidRDefault="00D93ADC" w:rsidP="004518CF">
      <w:pPr>
        <w:spacing w:line="360" w:lineRule="auto"/>
        <w:ind w:right="-188"/>
        <w:jc w:val="center"/>
        <w:rPr>
          <w:rFonts w:ascii="Times New Roman" w:eastAsiaTheme="minorEastAsia" w:hAnsi="Times New Roman" w:cs="Times New Roman"/>
          <w:b/>
          <w:sz w:val="24"/>
          <w:szCs w:val="24"/>
        </w:rPr>
      </w:pPr>
      <m:oMath>
        <m:r>
          <m:rPr>
            <m:sty m:val="bi"/>
          </m:rPr>
          <w:rPr>
            <w:rFonts w:ascii="Cambria Math" w:eastAsiaTheme="minorEastAsia" w:hAnsi="Cambria Math" w:cs="Times New Roman"/>
            <w:sz w:val="24"/>
            <w:szCs w:val="24"/>
          </w:rPr>
          <m:t xml:space="preserve">Ash % =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W</m:t>
            </m:r>
            <m:r>
              <m:rPr>
                <m:sty m:val="bi"/>
              </m:rPr>
              <w:rPr>
                <w:rFonts w:ascii="Cambria Math" w:eastAsiaTheme="minorEastAsia" w:hAnsi="Cambria Math" w:cs="Times New Roman"/>
                <w:sz w:val="24"/>
                <w:szCs w:val="24"/>
              </w:rPr>
              <m:t>3-W</m:t>
            </m:r>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W</m:t>
            </m:r>
            <m:r>
              <m:rPr>
                <m:sty m:val="bi"/>
              </m:rPr>
              <w:rPr>
                <w:rFonts w:ascii="Cambria Math" w:eastAsiaTheme="minorEastAsia" w:hAnsi="Cambria Math" w:cs="Times New Roman"/>
                <w:sz w:val="24"/>
                <w:szCs w:val="24"/>
              </w:rPr>
              <m:t>2-W</m:t>
            </m:r>
            <m:r>
              <m:rPr>
                <m:sty m:val="bi"/>
              </m:rPr>
              <w:rPr>
                <w:rFonts w:ascii="Cambria Math" w:eastAsiaTheme="minorEastAsia" w:hAnsi="Cambria Math" w:cs="Times New Roman"/>
                <w:sz w:val="24"/>
                <w:szCs w:val="24"/>
              </w:rPr>
              <m:t>1</m:t>
            </m:r>
          </m:den>
        </m:f>
      </m:oMath>
      <w:r w:rsidRPr="00D93ADC">
        <w:rPr>
          <w:rFonts w:ascii="Times New Roman" w:eastAsiaTheme="minorEastAsia" w:hAnsi="Times New Roman" w:cs="Times New Roman"/>
          <w:b/>
          <w:sz w:val="24"/>
          <w:szCs w:val="24"/>
        </w:rPr>
        <w:t>× 100</w:t>
      </w:r>
    </w:p>
    <w:p w14:paraId="78C1E892" w14:textId="77777777" w:rsidR="00D93ADC" w:rsidRPr="00D93ADC" w:rsidRDefault="00D93ADC" w:rsidP="004518CF">
      <w:pPr>
        <w:spacing w:line="360" w:lineRule="auto"/>
        <w:ind w:right="-188"/>
        <w:jc w:val="center"/>
        <w:rPr>
          <w:rFonts w:ascii="Times New Roman" w:eastAsiaTheme="minorEastAsia" w:hAnsi="Times New Roman" w:cs="Times New Roman"/>
          <w:b/>
          <w:sz w:val="24"/>
          <w:szCs w:val="24"/>
        </w:rPr>
      </w:pPr>
      <w:r w:rsidRPr="00D93ADC">
        <w:rPr>
          <w:rFonts w:ascii="Times New Roman" w:eastAsiaTheme="minorEastAsia" w:hAnsi="Times New Roman" w:cs="Times New Roman"/>
          <w:b/>
          <w:sz w:val="24"/>
          <w:szCs w:val="24"/>
        </w:rPr>
        <w:t>CF%= (100-ash%) × 0.58</w:t>
      </w:r>
    </w:p>
    <w:p w14:paraId="42041204" w14:textId="77777777" w:rsidR="00D93ADC" w:rsidRPr="00D93ADC" w:rsidRDefault="00D93ADC" w:rsidP="004518CF">
      <w:pPr>
        <w:spacing w:line="360" w:lineRule="auto"/>
        <w:ind w:right="-188"/>
        <w:rPr>
          <w:rFonts w:ascii="Times New Roman" w:eastAsiaTheme="minorEastAsia" w:hAnsi="Times New Roman" w:cs="Times New Roman"/>
          <w:b/>
          <w:sz w:val="24"/>
          <w:szCs w:val="24"/>
        </w:rPr>
      </w:pPr>
      <w:r w:rsidRPr="00D93ADC">
        <w:rPr>
          <w:rFonts w:ascii="Times New Roman" w:eastAsiaTheme="minorEastAsia" w:hAnsi="Times New Roman" w:cs="Times New Roman"/>
          <w:b/>
          <w:sz w:val="24"/>
          <w:szCs w:val="24"/>
        </w:rPr>
        <w:t>Converting Carbon Percentage to Carbon Fraction for Analysis:</w:t>
      </w:r>
    </w:p>
    <w:p w14:paraId="3133E95D" w14:textId="52ABC75E" w:rsidR="00D93ADC" w:rsidRPr="005538C4" w:rsidRDefault="00D93ADC" w:rsidP="004518CF">
      <w:pPr>
        <w:spacing w:line="360" w:lineRule="auto"/>
        <w:ind w:right="-188"/>
        <w:jc w:val="center"/>
        <w:rPr>
          <w:rFonts w:ascii="Times New Roman" w:eastAsiaTheme="minorEastAsia" w:hAnsi="Times New Roman" w:cs="Times New Roman"/>
          <w:b/>
          <w:sz w:val="28"/>
          <w:szCs w:val="28"/>
          <w:lang w:val="fr-FR"/>
        </w:rPr>
      </w:pPr>
      <w:r w:rsidRPr="005538C4">
        <w:rPr>
          <w:rFonts w:ascii="Times New Roman" w:eastAsiaTheme="minorEastAsia" w:hAnsi="Times New Roman" w:cs="Times New Roman"/>
          <w:b/>
          <w:sz w:val="28"/>
          <w:szCs w:val="28"/>
          <w:lang w:val="fr-FR"/>
        </w:rPr>
        <w:t xml:space="preserve">Carbon Content (Fraction) = </w:t>
      </w:r>
      <m:oMath>
        <m:f>
          <m:fPr>
            <m:ctrlPr>
              <w:rPr>
                <w:rFonts w:ascii="Cambria Math" w:eastAsiaTheme="minorEastAsia" w:hAnsi="Cambria Math" w:cs="Times New Roman"/>
                <w:b/>
                <w:i/>
                <w:sz w:val="28"/>
                <w:szCs w:val="28"/>
              </w:rPr>
            </m:ctrlPr>
          </m:fPr>
          <m:num>
            <m:d>
              <m:dPr>
                <m:ctrlPr>
                  <w:rPr>
                    <w:rFonts w:ascii="Cambria Math" w:eastAsiaTheme="minorEastAsia" w:hAnsi="Cambria Math" w:cs="Times New Roman"/>
                    <w:b/>
                    <w:i/>
                    <w:sz w:val="28"/>
                    <w:szCs w:val="28"/>
                  </w:rPr>
                </m:ctrlPr>
              </m:dPr>
              <m:e>
                <m:r>
                  <m:rPr>
                    <m:sty m:val="bi"/>
                  </m:rPr>
                  <w:rPr>
                    <w:rFonts w:ascii="Cambria Math" w:eastAsiaTheme="minorEastAsia" w:hAnsi="Cambria Math" w:cs="Times New Roman"/>
                    <w:sz w:val="28"/>
                    <w:szCs w:val="28"/>
                  </w:rPr>
                  <m:t>100</m:t>
                </m:r>
                <m:r>
                  <m:rPr>
                    <m:sty m:val="bi"/>
                  </m:rPr>
                  <w:rPr>
                    <w:rFonts w:ascii="Cambria Math" w:eastAsiaTheme="minorEastAsia" w:hAnsi="Cambria Math" w:cs="Times New Roman"/>
                    <w:sz w:val="28"/>
                    <w:szCs w:val="28"/>
                    <w:lang w:val="fr-FR"/>
                  </w:rPr>
                  <m:t>-</m:t>
                </m:r>
                <m:r>
                  <m:rPr>
                    <m:sty m:val="bi"/>
                  </m:rPr>
                  <w:rPr>
                    <w:rFonts w:ascii="Cambria Math" w:eastAsiaTheme="minorEastAsia" w:hAnsi="Cambria Math" w:cs="Times New Roman"/>
                    <w:sz w:val="28"/>
                    <w:szCs w:val="28"/>
                  </w:rPr>
                  <m:t>Ash</m:t>
                </m:r>
                <m:r>
                  <m:rPr>
                    <m:sty m:val="bi"/>
                  </m:rPr>
                  <w:rPr>
                    <w:rFonts w:ascii="Cambria Math" w:eastAsiaTheme="minorEastAsia" w:hAnsi="Cambria Math" w:cs="Times New Roman"/>
                    <w:sz w:val="28"/>
                    <w:szCs w:val="28"/>
                    <w:lang w:val="fr-FR"/>
                  </w:rPr>
                  <m:t xml:space="preserve"> %</m:t>
                </m:r>
              </m:e>
            </m:d>
            <m:r>
              <m:rPr>
                <m:sty m:val="bi"/>
              </m:rPr>
              <w:rPr>
                <w:rFonts w:ascii="Cambria Math" w:eastAsiaTheme="minorEastAsia" w:hAnsi="Cambria Math" w:cs="Times New Roman"/>
                <w:sz w:val="28"/>
                <w:szCs w:val="28"/>
                <w:lang w:val="fr-FR"/>
              </w:rPr>
              <m:t>×</m:t>
            </m:r>
            <m:r>
              <m:rPr>
                <m:sty m:val="bi"/>
              </m:rPr>
              <w:rPr>
                <w:rFonts w:ascii="Cambria Math" w:eastAsiaTheme="minorEastAsia" w:hAnsi="Cambria Math" w:cs="Times New Roman"/>
                <w:sz w:val="28"/>
                <w:szCs w:val="28"/>
              </w:rPr>
              <m:t>0</m:t>
            </m:r>
            <m:r>
              <m:rPr>
                <m:sty m:val="bi"/>
              </m:rPr>
              <w:rPr>
                <w:rFonts w:ascii="Cambria Math" w:eastAsiaTheme="minorEastAsia" w:hAnsi="Cambria Math" w:cs="Times New Roman"/>
                <w:sz w:val="28"/>
                <w:szCs w:val="28"/>
                <w:lang w:val="fr-FR"/>
              </w:rPr>
              <m:t>.</m:t>
            </m:r>
            <m:r>
              <m:rPr>
                <m:sty m:val="bi"/>
              </m:rPr>
              <w:rPr>
                <w:rFonts w:ascii="Cambria Math" w:eastAsiaTheme="minorEastAsia" w:hAnsi="Cambria Math" w:cs="Times New Roman"/>
                <w:sz w:val="28"/>
                <w:szCs w:val="28"/>
              </w:rPr>
              <m:t>58</m:t>
            </m:r>
          </m:num>
          <m:den>
            <m:r>
              <m:rPr>
                <m:sty m:val="bi"/>
              </m:rPr>
              <w:rPr>
                <w:rFonts w:ascii="Cambria Math" w:eastAsiaTheme="minorEastAsia" w:hAnsi="Cambria Math" w:cs="Times New Roman"/>
                <w:sz w:val="28"/>
                <w:szCs w:val="28"/>
              </w:rPr>
              <m:t>100</m:t>
            </m:r>
          </m:den>
        </m:f>
      </m:oMath>
    </w:p>
    <w:p w14:paraId="2F8C5A52" w14:textId="77777777" w:rsidR="00D93ADC" w:rsidRPr="005538C4" w:rsidRDefault="00D93ADC" w:rsidP="004518CF">
      <w:pPr>
        <w:spacing w:line="360" w:lineRule="auto"/>
        <w:ind w:right="-188"/>
        <w:jc w:val="center"/>
        <w:rPr>
          <w:rFonts w:ascii="Times New Roman" w:eastAsiaTheme="minorEastAsia" w:hAnsi="Times New Roman" w:cs="Times New Roman"/>
          <w:bCs/>
          <w:sz w:val="24"/>
          <w:szCs w:val="24"/>
          <w:lang w:val="fr-FR"/>
        </w:rPr>
      </w:pPr>
    </w:p>
    <w:p w14:paraId="36EED7DE" w14:textId="77777777" w:rsidR="00FD3905" w:rsidRDefault="00D93ADC" w:rsidP="004518CF">
      <w:pPr>
        <w:spacing w:line="360" w:lineRule="auto"/>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 xml:space="preserve">where; </w:t>
      </w:r>
    </w:p>
    <w:p w14:paraId="3671C4D8" w14:textId="590BDB74" w:rsidR="00D93ADC" w:rsidRPr="00D93ADC" w:rsidRDefault="00D93ADC" w:rsidP="004518CF">
      <w:pPr>
        <w:spacing w:line="360" w:lineRule="auto"/>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W1 = weight of crucible; W2 = weight of oven dried tree samples + empty crucible weight;</w:t>
      </w:r>
    </w:p>
    <w:p w14:paraId="2A6F7DC7" w14:textId="03DC3A9E" w:rsidR="00D93ADC" w:rsidRPr="00D93ADC" w:rsidRDefault="00D93ADC" w:rsidP="004518CF">
      <w:pPr>
        <w:spacing w:line="360" w:lineRule="auto"/>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W3 = weight of ash + empty crucible weight; CF = carbon fraction and 0.58 = a conversion factor.</w:t>
      </w:r>
    </w:p>
    <w:p w14:paraId="301B0B7C" w14:textId="447575D7" w:rsidR="00D93ADC" w:rsidRPr="00D93ADC" w:rsidRDefault="00D93ADC" w:rsidP="004518CF">
      <w:pPr>
        <w:spacing w:line="360" w:lineRule="auto"/>
        <w:ind w:right="95"/>
        <w:rPr>
          <w:rFonts w:ascii="Times New Roman" w:eastAsiaTheme="minorEastAsia" w:hAnsi="Times New Roman" w:cs="Times New Roman"/>
          <w:b/>
          <w:sz w:val="24"/>
          <w:szCs w:val="24"/>
        </w:rPr>
      </w:pPr>
      <w:r w:rsidRPr="00D93ADC">
        <w:rPr>
          <w:rFonts w:ascii="Times New Roman" w:eastAsiaTheme="minorEastAsia" w:hAnsi="Times New Roman" w:cs="Times New Roman"/>
          <w:bCs/>
          <w:sz w:val="24"/>
          <w:szCs w:val="24"/>
        </w:rPr>
        <w:t xml:space="preserve">Carbon storage in herbaceous vegetation and litter layer was estimated using the formula </w:t>
      </w:r>
      <w:r w:rsidRPr="00D93ADC">
        <w:rPr>
          <w:rFonts w:ascii="Times New Roman" w:eastAsiaTheme="minorEastAsia" w:hAnsi="Times New Roman" w:cs="Times New Roman"/>
          <w:b/>
          <w:sz w:val="24"/>
          <w:szCs w:val="24"/>
        </w:rPr>
        <w:t>(Lasco 2006):</w:t>
      </w:r>
    </w:p>
    <w:p w14:paraId="1100925F" w14:textId="77777777" w:rsidR="00D93ADC" w:rsidRPr="00D93ADC" w:rsidRDefault="00D93ADC" w:rsidP="004518CF">
      <w:pPr>
        <w:spacing w:line="360" w:lineRule="auto"/>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Carbon Sequestration/Carbon Density in Herbaceous Vegetation and Litter (</w:t>
      </w:r>
      <w:r w:rsidRPr="00D93ADC">
        <w:rPr>
          <w:rFonts w:ascii="Cambria Math" w:eastAsiaTheme="minorEastAsia" w:hAnsi="Cambria Math" w:cs="Cambria Math"/>
          <w:bCs/>
          <w:sz w:val="24"/>
          <w:szCs w:val="24"/>
        </w:rPr>
        <w:t>𝑀𝑔</w:t>
      </w:r>
      <w:r w:rsidRPr="00D93ADC">
        <w:rPr>
          <w:rFonts w:ascii="Times New Roman" w:eastAsiaTheme="minorEastAsia" w:hAnsi="Times New Roman" w:cs="Times New Roman"/>
          <w:bCs/>
          <w:sz w:val="24"/>
          <w:szCs w:val="24"/>
        </w:rPr>
        <w:t xml:space="preserve"> </w:t>
      </w:r>
      <w:r w:rsidRPr="00D93ADC">
        <w:rPr>
          <w:rFonts w:ascii="Cambria Math" w:eastAsiaTheme="minorEastAsia" w:hAnsi="Cambria Math" w:cs="Cambria Math"/>
          <w:bCs/>
          <w:sz w:val="24"/>
          <w:szCs w:val="24"/>
        </w:rPr>
        <w:t>𝐶</w:t>
      </w:r>
      <w:r w:rsidRPr="00D93ADC">
        <w:rPr>
          <w:rFonts w:ascii="Times New Roman" w:eastAsiaTheme="minorEastAsia" w:hAnsi="Times New Roman" w:cs="Times New Roman"/>
          <w:bCs/>
          <w:sz w:val="24"/>
          <w:szCs w:val="24"/>
        </w:rPr>
        <w:t xml:space="preserve"> ℎ</w:t>
      </w:r>
      <w:r w:rsidRPr="00D93ADC">
        <w:rPr>
          <w:rFonts w:ascii="Cambria Math" w:eastAsiaTheme="minorEastAsia" w:hAnsi="Cambria Math" w:cs="Cambria Math"/>
          <w:bCs/>
          <w:sz w:val="24"/>
          <w:szCs w:val="24"/>
        </w:rPr>
        <w:t>𝑎</w:t>
      </w:r>
      <w:r w:rsidRPr="00D93ADC">
        <w:rPr>
          <w:rFonts w:ascii="Times New Roman" w:eastAsiaTheme="minorEastAsia" w:hAnsi="Times New Roman" w:cs="Times New Roman"/>
          <w:bCs/>
          <w:sz w:val="24"/>
          <w:szCs w:val="24"/>
        </w:rPr>
        <w:t>)</w:t>
      </w:r>
    </w:p>
    <w:p w14:paraId="5DFC13D6" w14:textId="77777777" w:rsidR="00D93ADC" w:rsidRPr="00D93ADC" w:rsidRDefault="00D93ADC" w:rsidP="004518CF">
      <w:pPr>
        <w:spacing w:line="360" w:lineRule="auto"/>
        <w:ind w:right="95"/>
        <w:jc w:val="center"/>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 Total Dry Weight (</w:t>
      </w:r>
      <w:r w:rsidRPr="00D93ADC">
        <w:rPr>
          <w:rFonts w:ascii="Cambria Math" w:eastAsiaTheme="minorEastAsia" w:hAnsi="Cambria Math" w:cs="Cambria Math"/>
          <w:bCs/>
          <w:sz w:val="24"/>
          <w:szCs w:val="24"/>
        </w:rPr>
        <w:t>𝑀𝑔</w:t>
      </w:r>
      <w:r w:rsidRPr="00D93ADC">
        <w:rPr>
          <w:rFonts w:ascii="Times New Roman" w:eastAsiaTheme="minorEastAsia" w:hAnsi="Times New Roman" w:cs="Times New Roman"/>
          <w:bCs/>
          <w:sz w:val="24"/>
          <w:szCs w:val="24"/>
        </w:rPr>
        <w:t xml:space="preserve"> ℎ</w:t>
      </w:r>
      <w:r w:rsidRPr="00D93ADC">
        <w:rPr>
          <w:rFonts w:ascii="Cambria Math" w:eastAsiaTheme="minorEastAsia" w:hAnsi="Cambria Math" w:cs="Cambria Math"/>
          <w:bCs/>
          <w:sz w:val="24"/>
          <w:szCs w:val="24"/>
        </w:rPr>
        <w:t>𝑎</w:t>
      </w:r>
      <w:r w:rsidRPr="00D93ADC">
        <w:rPr>
          <w:rFonts w:ascii="Times New Roman" w:eastAsiaTheme="minorEastAsia" w:hAnsi="Times New Roman" w:cs="Times New Roman"/>
          <w:bCs/>
          <w:sz w:val="24"/>
          <w:szCs w:val="24"/>
        </w:rPr>
        <w:t>) × Carbon Conc. %</w:t>
      </w:r>
    </w:p>
    <w:p w14:paraId="44DF3974" w14:textId="77777777" w:rsidR="004518CF" w:rsidRDefault="004518CF" w:rsidP="004518CF">
      <w:pPr>
        <w:spacing w:line="360" w:lineRule="auto"/>
        <w:ind w:right="95"/>
        <w:rPr>
          <w:rFonts w:ascii="Times New Roman" w:eastAsiaTheme="minorEastAsia" w:hAnsi="Times New Roman" w:cs="Times New Roman"/>
          <w:bCs/>
          <w:sz w:val="24"/>
          <w:szCs w:val="24"/>
        </w:rPr>
      </w:pPr>
    </w:p>
    <w:p w14:paraId="3F922D61" w14:textId="29769281" w:rsidR="00FD3905" w:rsidRDefault="00D93ADC" w:rsidP="004518CF">
      <w:pPr>
        <w:spacing w:line="360" w:lineRule="auto"/>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 xml:space="preserve">where; </w:t>
      </w:r>
    </w:p>
    <w:p w14:paraId="39E351CC" w14:textId="32C16025" w:rsidR="00D93ADC" w:rsidRPr="00D93ADC" w:rsidRDefault="00D93ADC" w:rsidP="004518CF">
      <w:pPr>
        <w:spacing w:line="360" w:lineRule="auto"/>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Total Dry Weight = Mg/ ha; Carbon Conc. (%) = g C/ 100 g biomass.</w:t>
      </w:r>
    </w:p>
    <w:p w14:paraId="45810873" w14:textId="77777777" w:rsidR="000C5794" w:rsidRPr="000C5794" w:rsidRDefault="000C5794" w:rsidP="004518CF">
      <w:pPr>
        <w:spacing w:line="360" w:lineRule="auto"/>
        <w:jc w:val="both"/>
        <w:rPr>
          <w:rFonts w:ascii="Times New Roman" w:hAnsi="Times New Roman" w:cs="Times New Roman"/>
          <w:b/>
          <w:bCs/>
          <w:sz w:val="24"/>
          <w:szCs w:val="24"/>
        </w:rPr>
      </w:pPr>
      <w:r w:rsidRPr="000C5794">
        <w:rPr>
          <w:rFonts w:ascii="Times New Roman" w:hAnsi="Times New Roman" w:cs="Times New Roman"/>
          <w:b/>
          <w:bCs/>
          <w:sz w:val="24"/>
          <w:szCs w:val="24"/>
        </w:rPr>
        <w:t>Estimation of Soil Organic Carbon (SOC)</w:t>
      </w:r>
    </w:p>
    <w:p w14:paraId="022DF42E" w14:textId="77777777"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Soil organic carbon (SOC) was estimated for the upper 30 cm soil layer, a zone critical for carbon dynamics. Sampling was conducted within the same five 1 m² quadrats used for herbaceous biomass assessment in each main plot. From each quadrat, soil cores were taken at two depth intervals: 0–15 cm and 15–30 cm.</w:t>
      </w:r>
    </w:p>
    <w:p w14:paraId="086835B6" w14:textId="77777777"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lastRenderedPageBreak/>
        <w:t>Samples from each depth were composited by plot, air-dried, and homogenized. Visible organic debris and stones were removed. The soil was then crushed and passed through a 2 mm sieve to ensure uniformity. A representative subsample was taken from this composited sample for laboratory analysis.</w:t>
      </w:r>
    </w:p>
    <w:p w14:paraId="7BF3667D" w14:textId="322F5BC0"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 xml:space="preserve">The SOC concentration was determined using the standard Walkley-Black wet oxidation </w:t>
      </w:r>
      <w:r w:rsidR="005A3E89" w:rsidRPr="000C5794">
        <w:rPr>
          <w:rFonts w:ascii="Times New Roman" w:hAnsi="Times New Roman" w:cs="Times New Roman"/>
          <w:sz w:val="24"/>
          <w:szCs w:val="24"/>
        </w:rPr>
        <w:t>method. The</w:t>
      </w:r>
      <w:r w:rsidRPr="000C5794">
        <w:rPr>
          <w:rFonts w:ascii="Times New Roman" w:hAnsi="Times New Roman" w:cs="Times New Roman"/>
          <w:sz w:val="24"/>
          <w:szCs w:val="24"/>
        </w:rPr>
        <w:t xml:space="preserve"> procedure is summarized as follows:</w:t>
      </w:r>
    </w:p>
    <w:p w14:paraId="5727C735" w14:textId="6BA3F997"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Digestion: One gram of the prepared soil was digested with a mixture of 1N potassium dichromate (</w:t>
      </w:r>
      <w:proofErr w:type="spellStart"/>
      <w:r w:rsidRPr="000C5794">
        <w:rPr>
          <w:rFonts w:ascii="Times New Roman" w:hAnsi="Times New Roman" w:cs="Times New Roman"/>
          <w:sz w:val="24"/>
          <w:szCs w:val="24"/>
        </w:rPr>
        <w:t>K₂Cr₂O</w:t>
      </w:r>
      <w:proofErr w:type="spellEnd"/>
      <w:r w:rsidRPr="000C5794">
        <w:rPr>
          <w:rFonts w:ascii="Times New Roman" w:hAnsi="Times New Roman" w:cs="Times New Roman"/>
          <w:sz w:val="24"/>
          <w:szCs w:val="24"/>
        </w:rPr>
        <w:t>₇) and concentrated sulfuric acid (H₂SO₄) at room temperature for 30 minutes.</w:t>
      </w:r>
    </w:p>
    <w:p w14:paraId="4E73168B" w14:textId="2A892D84"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 xml:space="preserve">Titration: After digestion, the mixture was diluted with distilled water, and orthophosphoric acid (H₃PO₄) and a diphenylamine indicator were added. The solution was titrated against a standardized ferrous ammonium </w:t>
      </w:r>
      <w:proofErr w:type="spellStart"/>
      <w:r w:rsidRPr="000C5794">
        <w:rPr>
          <w:rFonts w:ascii="Times New Roman" w:hAnsi="Times New Roman" w:cs="Times New Roman"/>
          <w:sz w:val="24"/>
          <w:szCs w:val="24"/>
        </w:rPr>
        <w:t>sulfate</w:t>
      </w:r>
      <w:proofErr w:type="spellEnd"/>
      <w:r w:rsidRPr="000C5794">
        <w:rPr>
          <w:rFonts w:ascii="Times New Roman" w:hAnsi="Times New Roman" w:cs="Times New Roman"/>
          <w:sz w:val="24"/>
          <w:szCs w:val="24"/>
        </w:rPr>
        <w:t xml:space="preserve"> (FAS) solution until the endpoint (a </w:t>
      </w:r>
      <w:proofErr w:type="spellStart"/>
      <w:r w:rsidRPr="000C5794">
        <w:rPr>
          <w:rFonts w:ascii="Times New Roman" w:hAnsi="Times New Roman" w:cs="Times New Roman"/>
          <w:sz w:val="24"/>
          <w:szCs w:val="24"/>
        </w:rPr>
        <w:t>color</w:t>
      </w:r>
      <w:proofErr w:type="spellEnd"/>
      <w:r w:rsidRPr="000C5794">
        <w:rPr>
          <w:rFonts w:ascii="Times New Roman" w:hAnsi="Times New Roman" w:cs="Times New Roman"/>
          <w:sz w:val="24"/>
          <w:szCs w:val="24"/>
        </w:rPr>
        <w:t xml:space="preserve"> change from violet-blue to green) was reached.</w:t>
      </w:r>
    </w:p>
    <w:p w14:paraId="70B5A60C" w14:textId="6B580372"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Blank Correction: A blank titration (without soil) was performed to account for the amount of dichromate reduced by the reagents themselves.</w:t>
      </w:r>
    </w:p>
    <w:p w14:paraId="0EDBB82B" w14:textId="03B01938" w:rsidR="00D93ADC"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The SOC content was calculated using the following formula:</w:t>
      </w:r>
    </w:p>
    <w:p w14:paraId="111A1C2E" w14:textId="77777777" w:rsidR="000C5794" w:rsidRPr="0000235E" w:rsidRDefault="000C5794" w:rsidP="004518CF">
      <w:pPr>
        <w:spacing w:line="360" w:lineRule="auto"/>
        <w:ind w:right="-188"/>
        <w:jc w:val="center"/>
        <w:rPr>
          <w:rFonts w:ascii="Times New Roman" w:hAnsi="Times New Roman" w:cs="Times New Roman"/>
          <w:b/>
        </w:rPr>
      </w:pPr>
      <w:r w:rsidRPr="00CD374E">
        <w:rPr>
          <w:rFonts w:ascii="Times New Roman" w:hAnsi="Times New Roman" w:cs="Times New Roman"/>
          <w:b/>
        </w:rPr>
        <w:t xml:space="preserve">%Organic Carbon In soil =(B-S) x N x </w:t>
      </w:r>
      <w:proofErr w:type="spellStart"/>
      <w:r w:rsidRPr="00CD374E">
        <w:rPr>
          <w:rFonts w:ascii="Times New Roman" w:hAnsi="Times New Roman" w:cs="Times New Roman"/>
          <w:b/>
        </w:rPr>
        <w:t>meq.wt</w:t>
      </w:r>
      <w:proofErr w:type="spellEnd"/>
      <w:r w:rsidRPr="00CD374E">
        <w:rPr>
          <w:rFonts w:ascii="Times New Roman" w:hAnsi="Times New Roman" w:cs="Times New Roman"/>
          <w:b/>
        </w:rPr>
        <w:t xml:space="preserve">. Of C x 100/mass of soil in gram                                                                                                                                Where N=10.5 x 1.00/Blank litre and </w:t>
      </w:r>
      <w:proofErr w:type="spellStart"/>
      <w:r w:rsidRPr="00CD374E">
        <w:rPr>
          <w:rFonts w:ascii="Times New Roman" w:hAnsi="Times New Roman" w:cs="Times New Roman"/>
          <w:b/>
        </w:rPr>
        <w:t>meq</w:t>
      </w:r>
      <w:proofErr w:type="spellEnd"/>
      <w:r w:rsidRPr="00CD374E">
        <w:rPr>
          <w:rFonts w:ascii="Times New Roman" w:hAnsi="Times New Roman" w:cs="Times New Roman"/>
          <w:b/>
        </w:rPr>
        <w:t xml:space="preserve"> </w:t>
      </w:r>
      <w:proofErr w:type="spellStart"/>
      <w:r w:rsidRPr="00CD374E">
        <w:rPr>
          <w:rFonts w:ascii="Times New Roman" w:hAnsi="Times New Roman" w:cs="Times New Roman"/>
          <w:b/>
        </w:rPr>
        <w:t>wt</w:t>
      </w:r>
      <w:proofErr w:type="spellEnd"/>
      <w:r w:rsidRPr="00CD374E">
        <w:rPr>
          <w:rFonts w:ascii="Times New Roman" w:hAnsi="Times New Roman" w:cs="Times New Roman"/>
          <w:b/>
        </w:rPr>
        <w:t>=0.003</w:t>
      </w:r>
    </w:p>
    <w:p w14:paraId="31B7C982" w14:textId="77777777" w:rsidR="000C5794" w:rsidRPr="00CD374E" w:rsidRDefault="000C5794" w:rsidP="004518CF">
      <w:pPr>
        <w:spacing w:line="360" w:lineRule="auto"/>
        <w:ind w:right="95"/>
        <w:jc w:val="both"/>
        <w:rPr>
          <w:rFonts w:ascii="Times New Roman" w:hAnsi="Times New Roman" w:cs="Times New Roman"/>
        </w:rPr>
      </w:pPr>
      <w:r w:rsidRPr="00CD374E">
        <w:rPr>
          <w:rFonts w:ascii="Times New Roman" w:hAnsi="Times New Roman" w:cs="Times New Roman"/>
        </w:rPr>
        <w:t>Where B is the Blank titre i.e., ml of Fe (NH</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(SO</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used for titration of 10.5 ml of N K</w:t>
      </w:r>
      <w:r w:rsidRPr="00CD374E">
        <w:rPr>
          <w:rFonts w:ascii="Times New Roman" w:hAnsi="Times New Roman" w:cs="Times New Roman"/>
          <w:vertAlign w:val="subscript"/>
        </w:rPr>
        <w:t>2</w:t>
      </w:r>
      <w:r w:rsidRPr="00CD374E">
        <w:rPr>
          <w:rFonts w:ascii="Times New Roman" w:hAnsi="Times New Roman" w:cs="Times New Roman"/>
        </w:rPr>
        <w:t>Cr</w:t>
      </w:r>
      <w:r w:rsidRPr="00CD374E">
        <w:rPr>
          <w:rFonts w:ascii="Times New Roman" w:hAnsi="Times New Roman" w:cs="Times New Roman"/>
          <w:vertAlign w:val="subscript"/>
        </w:rPr>
        <w:t>2</w:t>
      </w:r>
      <w:r w:rsidRPr="00CD374E">
        <w:rPr>
          <w:rFonts w:ascii="Times New Roman" w:hAnsi="Times New Roman" w:cs="Times New Roman"/>
        </w:rPr>
        <w:t>O</w:t>
      </w:r>
      <w:r w:rsidRPr="00CD374E">
        <w:rPr>
          <w:rFonts w:ascii="Times New Roman" w:hAnsi="Times New Roman" w:cs="Times New Roman"/>
          <w:vertAlign w:val="subscript"/>
        </w:rPr>
        <w:t>7</w:t>
      </w:r>
      <w:r w:rsidRPr="00CD374E">
        <w:rPr>
          <w:rFonts w:ascii="Times New Roman" w:hAnsi="Times New Roman" w:cs="Times New Roman"/>
        </w:rPr>
        <w:t>, S is the Sample titre i.e. ml of Fe (NH</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(SO</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used for titration of soil sample + 10.5 ml of 1.0 </w:t>
      </w:r>
    </w:p>
    <w:p w14:paraId="72BA4DED" w14:textId="77777777" w:rsidR="000C5794" w:rsidRPr="00CD374E" w:rsidRDefault="000C5794" w:rsidP="004518CF">
      <w:pPr>
        <w:spacing w:line="360" w:lineRule="auto"/>
        <w:ind w:right="-188"/>
        <w:jc w:val="both"/>
        <w:rPr>
          <w:rFonts w:ascii="Times New Roman" w:hAnsi="Times New Roman" w:cs="Times New Roman"/>
        </w:rPr>
      </w:pPr>
      <w:r w:rsidRPr="00CD374E">
        <w:rPr>
          <w:rFonts w:ascii="Times New Roman" w:hAnsi="Times New Roman" w:cs="Times New Roman"/>
        </w:rPr>
        <w:t xml:space="preserve">N </w:t>
      </w:r>
      <w:proofErr w:type="spellStart"/>
      <w:r w:rsidRPr="00CD374E">
        <w:rPr>
          <w:rFonts w:ascii="Times New Roman" w:hAnsi="Times New Roman" w:cs="Times New Roman"/>
        </w:rPr>
        <w:t>K₂Cr₂O</w:t>
      </w:r>
      <w:proofErr w:type="spellEnd"/>
      <w:r w:rsidRPr="00CD374E">
        <w:rPr>
          <w:rFonts w:ascii="Times New Roman" w:hAnsi="Times New Roman" w:cs="Times New Roman"/>
        </w:rPr>
        <w:t xml:space="preserve">₇, </w:t>
      </w:r>
      <w:proofErr w:type="spellStart"/>
      <w:r w:rsidRPr="00CD374E">
        <w:rPr>
          <w:rFonts w:ascii="Times New Roman" w:hAnsi="Times New Roman" w:cs="Times New Roman"/>
        </w:rPr>
        <w:t>meq.wt</w:t>
      </w:r>
      <w:proofErr w:type="spellEnd"/>
      <w:r w:rsidRPr="00CD374E">
        <w:rPr>
          <w:rFonts w:ascii="Times New Roman" w:hAnsi="Times New Roman" w:cs="Times New Roman"/>
        </w:rPr>
        <w:t>. of C =0.003, N is the normality of Fe (NH</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(SO</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w:t>
      </w:r>
    </w:p>
    <w:p w14:paraId="56082256" w14:textId="5AE5363E" w:rsidR="000C5794" w:rsidRDefault="000C5794" w:rsidP="004518CF">
      <w:pPr>
        <w:spacing w:line="360" w:lineRule="auto"/>
        <w:jc w:val="both"/>
        <w:rPr>
          <w:rFonts w:ascii="Times New Roman" w:hAnsi="Times New Roman" w:cs="Times New Roman"/>
        </w:rPr>
      </w:pPr>
      <w:r w:rsidRPr="00CD374E">
        <w:rPr>
          <w:rFonts w:ascii="Times New Roman" w:hAnsi="Times New Roman" w:cs="Times New Roman"/>
        </w:rPr>
        <w:t>N = 10.5 × 1.00)/ Blank titr</w:t>
      </w:r>
      <w:r>
        <w:rPr>
          <w:rFonts w:ascii="Times New Roman" w:hAnsi="Times New Roman" w:cs="Times New Roman"/>
        </w:rPr>
        <w:t>ation.</w:t>
      </w:r>
    </w:p>
    <w:p w14:paraId="737213D6" w14:textId="77777777" w:rsidR="000C5794" w:rsidRPr="000C5794" w:rsidRDefault="000C5794" w:rsidP="004518CF">
      <w:pPr>
        <w:spacing w:line="360" w:lineRule="auto"/>
        <w:jc w:val="both"/>
        <w:rPr>
          <w:rFonts w:ascii="Times New Roman" w:hAnsi="Times New Roman" w:cs="Times New Roman"/>
          <w:b/>
          <w:bCs/>
        </w:rPr>
      </w:pPr>
      <w:r w:rsidRPr="000C5794">
        <w:rPr>
          <w:rFonts w:ascii="Times New Roman" w:hAnsi="Times New Roman" w:cs="Times New Roman"/>
          <w:b/>
          <w:bCs/>
        </w:rPr>
        <w:t>Estimation of Soil Bulk Density and Carbon Stock</w:t>
      </w:r>
    </w:p>
    <w:p w14:paraId="7A6FFAD1" w14:textId="77777777"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Soil bulk density (g cm⁻³) was determined by measuring the volume occupied by a known mass of dry, sieved soil in a graduated cylinder. It was calculated as:</w:t>
      </w:r>
    </w:p>
    <w:p w14:paraId="5DF80439" w14:textId="77777777"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Bulk Density = Mass of Dry Soil (g) / Volume of Soil (cm³)</w:t>
      </w:r>
    </w:p>
    <w:p w14:paraId="7E235C61" w14:textId="77777777"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The soil organic carbon (SOC) stock (Mg C ha⁻¹) for the 0–30 cm layer was calculated by integrating the SOC concentration, bulk density, and soil depth:</w:t>
      </w:r>
    </w:p>
    <w:p w14:paraId="5468931C" w14:textId="77777777"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t>SOC Stock = SOC (%) × Bulk Density (g cm⁻³) × Depth (cm) × 0.1</w:t>
      </w:r>
    </w:p>
    <w:p w14:paraId="78D628FF" w14:textId="1ECBB5B9"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sz w:val="24"/>
          <w:szCs w:val="24"/>
        </w:rPr>
        <w:lastRenderedPageBreak/>
        <w:t>The factor 0.1 converts the result into megagrams per hectare (Mg ha⁻¹), providing an estimate of the total carbon stored per unit area.</w:t>
      </w:r>
    </w:p>
    <w:p w14:paraId="148CCD8D" w14:textId="36C2668E" w:rsidR="000C5794" w:rsidRPr="000C5794" w:rsidRDefault="000C5794" w:rsidP="004518CF">
      <w:pPr>
        <w:spacing w:line="360" w:lineRule="auto"/>
        <w:jc w:val="both"/>
        <w:rPr>
          <w:rFonts w:ascii="Times New Roman" w:hAnsi="Times New Roman" w:cs="Times New Roman"/>
          <w:b/>
          <w:bCs/>
        </w:rPr>
      </w:pPr>
      <w:r w:rsidRPr="000C5794">
        <w:rPr>
          <w:rFonts w:ascii="Times New Roman" w:hAnsi="Times New Roman" w:cs="Times New Roman"/>
          <w:b/>
          <w:bCs/>
        </w:rPr>
        <w:t>Total Ecosystem Carbon Stock</w:t>
      </w:r>
    </w:p>
    <w:p w14:paraId="40335B29" w14:textId="31EFFDE2" w:rsidR="000C5794" w:rsidRPr="000C5794" w:rsidRDefault="000C5794" w:rsidP="004518CF">
      <w:pPr>
        <w:spacing w:line="360" w:lineRule="auto"/>
        <w:jc w:val="both"/>
        <w:rPr>
          <w:rFonts w:ascii="Times New Roman" w:hAnsi="Times New Roman" w:cs="Times New Roman"/>
          <w:sz w:val="24"/>
          <w:szCs w:val="24"/>
        </w:rPr>
      </w:pPr>
      <w:r w:rsidRPr="000C5794">
        <w:rPr>
          <w:rFonts w:ascii="Times New Roman" w:hAnsi="Times New Roman" w:cs="Times New Roman"/>
        </w:rPr>
        <w:t>Total Carbon (Mg C ha⁻¹) = L</w:t>
      </w:r>
      <w:r>
        <w:rPr>
          <w:rFonts w:ascii="Times New Roman" w:hAnsi="Times New Roman" w:cs="Times New Roman"/>
        </w:rPr>
        <w:t xml:space="preserve">itter </w:t>
      </w:r>
      <w:r w:rsidRPr="000C5794">
        <w:rPr>
          <w:rFonts w:ascii="Times New Roman" w:hAnsi="Times New Roman" w:cs="Times New Roman"/>
        </w:rPr>
        <w:t>C</w:t>
      </w:r>
      <w:r>
        <w:rPr>
          <w:rFonts w:ascii="Times New Roman" w:hAnsi="Times New Roman" w:cs="Times New Roman"/>
        </w:rPr>
        <w:t>arbon</w:t>
      </w:r>
      <w:r w:rsidRPr="000C5794">
        <w:rPr>
          <w:rFonts w:ascii="Times New Roman" w:hAnsi="Times New Roman" w:cs="Times New Roman"/>
        </w:rPr>
        <w:t>+ H</w:t>
      </w:r>
      <w:r>
        <w:rPr>
          <w:rFonts w:ascii="Times New Roman" w:hAnsi="Times New Roman" w:cs="Times New Roman"/>
        </w:rPr>
        <w:t>erbaceous Carbon</w:t>
      </w:r>
      <w:r w:rsidRPr="000C5794">
        <w:rPr>
          <w:rFonts w:ascii="Times New Roman" w:hAnsi="Times New Roman" w:cs="Times New Roman"/>
        </w:rPr>
        <w:t xml:space="preserve"> + SOC</w:t>
      </w:r>
    </w:p>
    <w:p w14:paraId="5805BE46" w14:textId="62EA4052" w:rsidR="00766EDA" w:rsidRPr="00766EDA" w:rsidRDefault="00766EDA" w:rsidP="004518CF">
      <w:pPr>
        <w:spacing w:line="360" w:lineRule="auto"/>
        <w:jc w:val="both"/>
        <w:rPr>
          <w:rFonts w:ascii="Times New Roman" w:hAnsi="Times New Roman" w:cs="Times New Roman"/>
          <w:b/>
          <w:bCs/>
          <w:sz w:val="24"/>
          <w:szCs w:val="24"/>
        </w:rPr>
      </w:pPr>
      <w:r w:rsidRPr="00766EDA">
        <w:rPr>
          <w:rFonts w:ascii="Times New Roman" w:hAnsi="Times New Roman" w:cs="Times New Roman"/>
          <w:b/>
          <w:bCs/>
          <w:sz w:val="24"/>
          <w:szCs w:val="24"/>
        </w:rPr>
        <w:t>Data Analysis</w:t>
      </w:r>
    </w:p>
    <w:p w14:paraId="6F6155B3" w14:textId="3E3FC2C6" w:rsidR="00766EDA" w:rsidRPr="00766EDA" w:rsidRDefault="00766EDA" w:rsidP="004518CF">
      <w:pPr>
        <w:spacing w:line="360" w:lineRule="auto"/>
        <w:jc w:val="both"/>
        <w:rPr>
          <w:rFonts w:ascii="Times New Roman" w:hAnsi="Times New Roman" w:cs="Times New Roman"/>
          <w:sz w:val="24"/>
          <w:szCs w:val="24"/>
        </w:rPr>
      </w:pPr>
      <w:r w:rsidRPr="00766EDA">
        <w:rPr>
          <w:rFonts w:ascii="Times New Roman" w:hAnsi="Times New Roman" w:cs="Times New Roman"/>
          <w:sz w:val="24"/>
          <w:szCs w:val="24"/>
        </w:rPr>
        <w:t xml:space="preserve">Carbon stocks for litter and herbaceous vegetation were calculated by multiplying dry biomass by carbon content and converting to megagrams per hectare (Mg </w:t>
      </w:r>
      <w:r w:rsidR="002C1A27" w:rsidRPr="00766EDA">
        <w:rPr>
          <w:rFonts w:ascii="Times New Roman" w:hAnsi="Times New Roman" w:cs="Times New Roman"/>
          <w:sz w:val="24"/>
          <w:szCs w:val="24"/>
        </w:rPr>
        <w:t>ha</w:t>
      </w:r>
      <w:r w:rsidR="002C1A27">
        <w:rPr>
          <w:rFonts w:ascii="Times New Roman" w:hAnsi="Times New Roman" w:cs="Times New Roman"/>
          <w:sz w:val="24"/>
          <w:szCs w:val="24"/>
          <w:vertAlign w:val="superscript"/>
        </w:rPr>
        <w:t>)</w:t>
      </w:r>
      <w:r w:rsidRPr="00766EDA">
        <w:rPr>
          <w:rFonts w:ascii="Times New Roman" w:hAnsi="Times New Roman" w:cs="Times New Roman"/>
          <w:sz w:val="24"/>
          <w:szCs w:val="24"/>
        </w:rPr>
        <w:t>. SOC stocks were calculated for each depth (0–15 cm and 15–30 cm) using SOC content, bulk density, and depth, then summed for total SOC (0–30 cm). Total carbon stock was the sum of litter, herbaceous, and total SOC stocks.</w:t>
      </w:r>
    </w:p>
    <w:p w14:paraId="05572B79" w14:textId="0EB54ED6" w:rsidR="00D93ADC" w:rsidRPr="00766EDA" w:rsidRDefault="00766EDA" w:rsidP="004518CF">
      <w:pPr>
        <w:spacing w:line="360" w:lineRule="auto"/>
        <w:jc w:val="both"/>
        <w:rPr>
          <w:rFonts w:ascii="Times New Roman" w:hAnsi="Times New Roman" w:cs="Times New Roman"/>
          <w:sz w:val="24"/>
          <w:szCs w:val="24"/>
        </w:rPr>
      </w:pPr>
      <w:r w:rsidRPr="00766EDA">
        <w:rPr>
          <w:rFonts w:ascii="Times New Roman" w:hAnsi="Times New Roman" w:cs="Times New Roman"/>
          <w:sz w:val="24"/>
          <w:szCs w:val="24"/>
        </w:rPr>
        <w:t xml:space="preserve">Multiple linear regression in SPSS (Version 26) was used to examine the effects of dominant tree species, height, DBH, and density on litter, herbaceous, SOC, and total carbon stocks. Tree species were coded as binary variables, with </w:t>
      </w:r>
      <w:r w:rsidRPr="00766EDA">
        <w:rPr>
          <w:rFonts w:ascii="Times New Roman" w:hAnsi="Times New Roman" w:cs="Times New Roman"/>
          <w:b/>
          <w:bCs/>
          <w:i/>
          <w:iCs/>
          <w:sz w:val="24"/>
          <w:szCs w:val="24"/>
        </w:rPr>
        <w:t xml:space="preserve">Terminalia </w:t>
      </w:r>
      <w:proofErr w:type="spellStart"/>
      <w:r w:rsidRPr="00766EDA">
        <w:rPr>
          <w:rFonts w:ascii="Times New Roman" w:hAnsi="Times New Roman" w:cs="Times New Roman"/>
          <w:b/>
          <w:bCs/>
          <w:i/>
          <w:iCs/>
          <w:sz w:val="24"/>
          <w:szCs w:val="24"/>
        </w:rPr>
        <w:t>corlacea</w:t>
      </w:r>
      <w:proofErr w:type="spellEnd"/>
      <w:r w:rsidRPr="00766EDA">
        <w:rPr>
          <w:rFonts w:ascii="Times New Roman" w:hAnsi="Times New Roman" w:cs="Times New Roman"/>
          <w:sz w:val="24"/>
          <w:szCs w:val="24"/>
        </w:rPr>
        <w:t xml:space="preserve"> (the most common species) as the reference, and </w:t>
      </w:r>
      <w:proofErr w:type="spellStart"/>
      <w:r w:rsidRPr="00766EDA">
        <w:rPr>
          <w:rFonts w:ascii="Times New Roman" w:hAnsi="Times New Roman" w:cs="Times New Roman"/>
          <w:b/>
          <w:bCs/>
          <w:i/>
          <w:iCs/>
          <w:sz w:val="24"/>
          <w:szCs w:val="24"/>
        </w:rPr>
        <w:t>Milletia</w:t>
      </w:r>
      <w:proofErr w:type="spellEnd"/>
      <w:r w:rsidRPr="00766EDA">
        <w:rPr>
          <w:rFonts w:ascii="Times New Roman" w:hAnsi="Times New Roman" w:cs="Times New Roman"/>
          <w:b/>
          <w:bCs/>
          <w:i/>
          <w:iCs/>
          <w:sz w:val="24"/>
          <w:szCs w:val="24"/>
        </w:rPr>
        <w:t xml:space="preserve"> </w:t>
      </w:r>
      <w:proofErr w:type="spellStart"/>
      <w:r w:rsidRPr="00766EDA">
        <w:rPr>
          <w:rFonts w:ascii="Times New Roman" w:hAnsi="Times New Roman" w:cs="Times New Roman"/>
          <w:b/>
          <w:bCs/>
          <w:i/>
          <w:iCs/>
          <w:sz w:val="24"/>
          <w:szCs w:val="24"/>
        </w:rPr>
        <w:t>auriculata</w:t>
      </w:r>
      <w:proofErr w:type="spellEnd"/>
      <w:r w:rsidRPr="00766EDA">
        <w:rPr>
          <w:rFonts w:ascii="Times New Roman" w:hAnsi="Times New Roman" w:cs="Times New Roman"/>
          <w:sz w:val="24"/>
          <w:szCs w:val="24"/>
        </w:rPr>
        <w:t xml:space="preserve">, </w:t>
      </w:r>
      <w:proofErr w:type="spellStart"/>
      <w:r w:rsidRPr="00766EDA">
        <w:rPr>
          <w:rFonts w:ascii="Times New Roman" w:hAnsi="Times New Roman" w:cs="Times New Roman"/>
          <w:b/>
          <w:bCs/>
          <w:i/>
          <w:iCs/>
          <w:sz w:val="24"/>
          <w:szCs w:val="24"/>
        </w:rPr>
        <w:t>Clerodendrum</w:t>
      </w:r>
      <w:proofErr w:type="spellEnd"/>
      <w:r w:rsidRPr="00766EDA">
        <w:rPr>
          <w:rFonts w:ascii="Times New Roman" w:hAnsi="Times New Roman" w:cs="Times New Roman"/>
          <w:b/>
          <w:bCs/>
          <w:i/>
          <w:iCs/>
          <w:sz w:val="24"/>
          <w:szCs w:val="24"/>
          <w:u w:val="single"/>
        </w:rPr>
        <w:t xml:space="preserve"> </w:t>
      </w:r>
      <w:proofErr w:type="spellStart"/>
      <w:r w:rsidRPr="00766EDA">
        <w:rPr>
          <w:rFonts w:ascii="Times New Roman" w:hAnsi="Times New Roman" w:cs="Times New Roman"/>
          <w:b/>
          <w:bCs/>
          <w:i/>
          <w:iCs/>
          <w:sz w:val="24"/>
          <w:szCs w:val="24"/>
        </w:rPr>
        <w:t>viscosum</w:t>
      </w:r>
      <w:proofErr w:type="spellEnd"/>
      <w:r w:rsidRPr="00766EDA">
        <w:rPr>
          <w:rFonts w:ascii="Times New Roman" w:hAnsi="Times New Roman" w:cs="Times New Roman"/>
          <w:sz w:val="24"/>
          <w:szCs w:val="24"/>
        </w:rPr>
        <w:t xml:space="preserve">, and </w:t>
      </w:r>
      <w:r w:rsidRPr="00766EDA">
        <w:rPr>
          <w:rFonts w:ascii="Times New Roman" w:hAnsi="Times New Roman" w:cs="Times New Roman"/>
          <w:b/>
          <w:bCs/>
          <w:i/>
          <w:iCs/>
          <w:sz w:val="24"/>
          <w:szCs w:val="24"/>
        </w:rPr>
        <w:t>Tamarindus indica</w:t>
      </w:r>
      <w:r w:rsidRPr="00766EDA">
        <w:rPr>
          <w:rFonts w:ascii="Times New Roman" w:hAnsi="Times New Roman" w:cs="Times New Roman"/>
          <w:sz w:val="24"/>
          <w:szCs w:val="24"/>
        </w:rPr>
        <w:t xml:space="preserve"> as comparison groups. The analysis tested how these factors predict carbon stocks, with results reported as coefficients, p-values, and R² values. Model assumptions, including normality, linearity, and multicollinearity (ensuring variance inflation factor, VIF, was below 5), were checked using residual plots, scatterplots, and VIF analysis. ANOVA was used to compare carbon stocks across beats, with a significance level of .05. Data were processed using Microsoft Excel and SPSS.</w:t>
      </w:r>
    </w:p>
    <w:p w14:paraId="18D5F22C" w14:textId="77777777" w:rsidR="00766EDA" w:rsidRDefault="00766EDA" w:rsidP="004518CF">
      <w:pPr>
        <w:spacing w:line="360" w:lineRule="auto"/>
        <w:jc w:val="both"/>
        <w:rPr>
          <w:rFonts w:ascii="Times New Roman" w:hAnsi="Times New Roman" w:cs="Times New Roman"/>
          <w:b/>
          <w:bCs/>
          <w:sz w:val="24"/>
          <w:szCs w:val="24"/>
        </w:rPr>
      </w:pPr>
      <w:r w:rsidRPr="00766EDA">
        <w:rPr>
          <w:rFonts w:ascii="Times New Roman" w:hAnsi="Times New Roman" w:cs="Times New Roman"/>
          <w:b/>
          <w:bCs/>
          <w:sz w:val="24"/>
          <w:szCs w:val="24"/>
        </w:rPr>
        <w:t>Results</w:t>
      </w:r>
    </w:p>
    <w:p w14:paraId="53485222" w14:textId="77777777" w:rsidR="0082771A" w:rsidRPr="0082771A" w:rsidRDefault="0082771A" w:rsidP="004518CF">
      <w:pPr>
        <w:spacing w:line="360" w:lineRule="auto"/>
        <w:jc w:val="both"/>
        <w:rPr>
          <w:rFonts w:ascii="Times New Roman" w:hAnsi="Times New Roman" w:cs="Times New Roman"/>
          <w:sz w:val="24"/>
          <w:szCs w:val="24"/>
        </w:rPr>
      </w:pPr>
      <w:r w:rsidRPr="0082771A">
        <w:rPr>
          <w:rFonts w:ascii="Times New Roman" w:hAnsi="Times New Roman" w:cs="Times New Roman"/>
          <w:sz w:val="24"/>
          <w:szCs w:val="24"/>
        </w:rPr>
        <w:t>Across the eight beats of Polavaram Range, total carbon storage varied considerably, with soil organic carbon (SOC) contributing the largest share, followed by litter and herbaceous vegetation. Mean SOC values ranged between 36.44 and 108.37 Mg C ha⁻¹, consistent with dry deciduous forest systems reported elsewhere in India. Litter carbon ranged from 1.27to 2.62 Mg C ha⁻¹, while herbaceous carbon contributed relatively smaller but non-negligible amounts.</w:t>
      </w:r>
    </w:p>
    <w:p w14:paraId="05998917" w14:textId="1883D48C" w:rsidR="0082771A" w:rsidRPr="0082771A" w:rsidRDefault="0082771A" w:rsidP="0082771A">
      <w:pPr>
        <w:spacing w:line="360" w:lineRule="auto"/>
        <w:jc w:val="both"/>
        <w:rPr>
          <w:rFonts w:ascii="Times New Roman" w:hAnsi="Times New Roman" w:cs="Times New Roman"/>
          <w:sz w:val="24"/>
          <w:szCs w:val="24"/>
        </w:rPr>
      </w:pPr>
      <w:r w:rsidRPr="0082771A">
        <w:rPr>
          <w:rFonts w:ascii="Times New Roman" w:hAnsi="Times New Roman" w:cs="Times New Roman"/>
          <w:sz w:val="24"/>
          <w:szCs w:val="24"/>
        </w:rPr>
        <w:t xml:space="preserve">Exploratory regression analyses suggested potential associations between carbon pools and tree structural attributes. For example, beats with higher tree density tended to exhibit greater SOC and litter carbon, while diameter at breast height (DBH) and tree height showed weaker or inconsistent relationships. However, given the limited sample size (n = 8), these statistical </w:t>
      </w:r>
      <w:r w:rsidRPr="0082771A">
        <w:rPr>
          <w:rFonts w:ascii="Times New Roman" w:hAnsi="Times New Roman" w:cs="Times New Roman"/>
          <w:sz w:val="24"/>
          <w:szCs w:val="24"/>
        </w:rPr>
        <w:lastRenderedPageBreak/>
        <w:t>relationships should be interpreted with caution. They are presented here as preliminary patterns rather than definitive predictors.</w:t>
      </w:r>
    </w:p>
    <w:p w14:paraId="0EBD12EF" w14:textId="381E068C" w:rsidR="00766EDA" w:rsidRPr="00766EDA" w:rsidRDefault="00766EDA" w:rsidP="00766EDA">
      <w:pPr>
        <w:jc w:val="both"/>
        <w:rPr>
          <w:rFonts w:ascii="Times New Roman" w:hAnsi="Times New Roman" w:cs="Times New Roman"/>
          <w:b/>
          <w:bCs/>
          <w:sz w:val="24"/>
          <w:szCs w:val="24"/>
        </w:rPr>
      </w:pPr>
      <w:r w:rsidRPr="00766EDA">
        <w:rPr>
          <w:rFonts w:ascii="Times New Roman" w:hAnsi="Times New Roman" w:cs="Times New Roman"/>
          <w:b/>
          <w:bCs/>
          <w:sz w:val="24"/>
          <w:szCs w:val="24"/>
        </w:rPr>
        <w:t>Table 1</w:t>
      </w:r>
      <w:r w:rsidR="00FD3905">
        <w:rPr>
          <w:rFonts w:ascii="Times New Roman" w:hAnsi="Times New Roman" w:cs="Times New Roman"/>
          <w:b/>
          <w:bCs/>
          <w:sz w:val="24"/>
          <w:szCs w:val="24"/>
        </w:rPr>
        <w:t xml:space="preserve">. </w:t>
      </w:r>
      <w:r w:rsidRPr="00766EDA">
        <w:rPr>
          <w:rFonts w:ascii="Times New Roman" w:hAnsi="Times New Roman" w:cs="Times New Roman"/>
          <w:b/>
          <w:bCs/>
          <w:sz w:val="24"/>
          <w:szCs w:val="24"/>
        </w:rPr>
        <w:t>Carbon Stocks Across Eight Beats of Polavaram Range</w:t>
      </w:r>
    </w:p>
    <w:tbl>
      <w:tblPr>
        <w:tblStyle w:val="TableGrid"/>
        <w:tblW w:w="0" w:type="auto"/>
        <w:tblLook w:val="04A0" w:firstRow="1" w:lastRow="0" w:firstColumn="1" w:lastColumn="0" w:noHBand="0" w:noVBand="1"/>
      </w:tblPr>
      <w:tblGrid>
        <w:gridCol w:w="644"/>
        <w:gridCol w:w="1457"/>
        <w:gridCol w:w="2391"/>
        <w:gridCol w:w="974"/>
        <w:gridCol w:w="1329"/>
        <w:gridCol w:w="1092"/>
        <w:gridCol w:w="1129"/>
      </w:tblGrid>
      <w:tr w:rsidR="00766EDA" w14:paraId="14B5B5D8" w14:textId="77777777" w:rsidTr="00766EDA">
        <w:tc>
          <w:tcPr>
            <w:tcW w:w="644" w:type="dxa"/>
          </w:tcPr>
          <w:p w14:paraId="02394A94" w14:textId="77777777" w:rsidR="00766EDA" w:rsidRPr="002C1A27" w:rsidRDefault="00766EDA" w:rsidP="0098536F">
            <w:pPr>
              <w:jc w:val="center"/>
              <w:rPr>
                <w:rFonts w:ascii="Times New Roman" w:hAnsi="Times New Roman" w:cs="Times New Roman"/>
                <w:b/>
                <w:bCs/>
              </w:rPr>
            </w:pPr>
            <w:r w:rsidRPr="002C1A27">
              <w:rPr>
                <w:rFonts w:ascii="Times New Roman" w:hAnsi="Times New Roman" w:cs="Times New Roman"/>
                <w:b/>
                <w:bCs/>
              </w:rPr>
              <w:t>Beat</w:t>
            </w:r>
          </w:p>
        </w:tc>
        <w:tc>
          <w:tcPr>
            <w:tcW w:w="1457" w:type="dxa"/>
          </w:tcPr>
          <w:p w14:paraId="6AEED23A" w14:textId="77777777" w:rsidR="00766EDA" w:rsidRPr="002C1A27" w:rsidRDefault="00766EDA" w:rsidP="0098536F">
            <w:pPr>
              <w:jc w:val="center"/>
              <w:rPr>
                <w:rFonts w:ascii="Times New Roman" w:hAnsi="Times New Roman" w:cs="Times New Roman"/>
                <w:b/>
                <w:bCs/>
              </w:rPr>
            </w:pPr>
            <w:r w:rsidRPr="002C1A27">
              <w:rPr>
                <w:rFonts w:ascii="Times New Roman" w:hAnsi="Times New Roman" w:cs="Times New Roman"/>
                <w:b/>
                <w:bCs/>
              </w:rPr>
              <w:t>Plot</w:t>
            </w:r>
          </w:p>
        </w:tc>
        <w:tc>
          <w:tcPr>
            <w:tcW w:w="2391" w:type="dxa"/>
          </w:tcPr>
          <w:p w14:paraId="6703D955" w14:textId="77777777" w:rsidR="00766EDA" w:rsidRPr="002C1A27" w:rsidRDefault="00766EDA" w:rsidP="0098536F">
            <w:pPr>
              <w:jc w:val="center"/>
              <w:rPr>
                <w:rFonts w:ascii="Times New Roman" w:hAnsi="Times New Roman" w:cs="Times New Roman"/>
                <w:b/>
                <w:bCs/>
              </w:rPr>
            </w:pPr>
            <w:r w:rsidRPr="002C1A27">
              <w:rPr>
                <w:rFonts w:ascii="Times New Roman" w:hAnsi="Times New Roman" w:cs="Times New Roman"/>
                <w:b/>
                <w:bCs/>
              </w:rPr>
              <w:t>Dominant Species</w:t>
            </w:r>
          </w:p>
        </w:tc>
        <w:tc>
          <w:tcPr>
            <w:tcW w:w="974" w:type="dxa"/>
          </w:tcPr>
          <w:p w14:paraId="19B56FC4" w14:textId="2C683FB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Litter C (Mg</w:t>
            </w:r>
            <w:r w:rsidR="00176DB9" w:rsidRPr="00766EDA">
              <w:rPr>
                <w:rFonts w:ascii="Times New Roman" w:hAnsi="Times New Roman" w:cs="Times New Roman"/>
                <w:sz w:val="24"/>
                <w:szCs w:val="24"/>
              </w:rPr>
              <w:t xml:space="preserve"> ha</w:t>
            </w:r>
          </w:p>
        </w:tc>
        <w:tc>
          <w:tcPr>
            <w:tcW w:w="1329" w:type="dxa"/>
          </w:tcPr>
          <w:p w14:paraId="608D7C88"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Herbaceous C (Mg/ha)</w:t>
            </w:r>
          </w:p>
        </w:tc>
        <w:tc>
          <w:tcPr>
            <w:tcW w:w="1092" w:type="dxa"/>
          </w:tcPr>
          <w:p w14:paraId="2EEF4E71" w14:textId="458DC1EA"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SOC (0–30 cm, Mg</w:t>
            </w:r>
            <w:r w:rsidR="002C1A27">
              <w:rPr>
                <w:rFonts w:ascii="Times New Roman" w:hAnsi="Times New Roman" w:cs="Times New Roman"/>
                <w:b/>
                <w:bCs/>
              </w:rPr>
              <w:t xml:space="preserve"> ha</w:t>
            </w:r>
          </w:p>
        </w:tc>
        <w:tc>
          <w:tcPr>
            <w:tcW w:w="1129" w:type="dxa"/>
          </w:tcPr>
          <w:p w14:paraId="2DA10125" w14:textId="067B7033" w:rsidR="00766EDA" w:rsidRPr="00AE6094" w:rsidRDefault="002C1A27" w:rsidP="002C1A27">
            <w:pPr>
              <w:rPr>
                <w:rFonts w:ascii="Times New Roman" w:hAnsi="Times New Roman" w:cs="Times New Roman"/>
                <w:b/>
                <w:bCs/>
              </w:rPr>
            </w:pPr>
            <w:r>
              <w:rPr>
                <w:rFonts w:ascii="Times New Roman" w:hAnsi="Times New Roman" w:cs="Times New Roman"/>
                <w:b/>
                <w:bCs/>
              </w:rPr>
              <w:t>Total Carbon Mg ha</w:t>
            </w:r>
          </w:p>
        </w:tc>
      </w:tr>
      <w:tr w:rsidR="00766EDA" w14:paraId="4711B144" w14:textId="77777777" w:rsidTr="00766EDA">
        <w:tc>
          <w:tcPr>
            <w:tcW w:w="644" w:type="dxa"/>
          </w:tcPr>
          <w:p w14:paraId="1A0DEB4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w:t>
            </w:r>
          </w:p>
        </w:tc>
        <w:tc>
          <w:tcPr>
            <w:tcW w:w="1457" w:type="dxa"/>
          </w:tcPr>
          <w:p w14:paraId="2308958F" w14:textId="77777777" w:rsidR="00766EDA" w:rsidRPr="00AE6094" w:rsidRDefault="00766EDA" w:rsidP="0098536F">
            <w:pPr>
              <w:jc w:val="center"/>
              <w:rPr>
                <w:rFonts w:ascii="Times New Roman" w:hAnsi="Times New Roman" w:cs="Times New Roman"/>
              </w:rPr>
            </w:pPr>
            <w:proofErr w:type="spellStart"/>
            <w:r w:rsidRPr="00AE6094">
              <w:rPr>
                <w:rFonts w:ascii="Times New Roman" w:hAnsi="Times New Roman" w:cs="Times New Roman"/>
              </w:rPr>
              <w:t>Vinjaram</w:t>
            </w:r>
            <w:proofErr w:type="spellEnd"/>
          </w:p>
        </w:tc>
        <w:tc>
          <w:tcPr>
            <w:tcW w:w="2391" w:type="dxa"/>
          </w:tcPr>
          <w:p w14:paraId="1B5E455A" w14:textId="77777777" w:rsidR="00766EDA" w:rsidRPr="00766EDA" w:rsidRDefault="00766EDA" w:rsidP="0098536F">
            <w:pPr>
              <w:jc w:val="center"/>
              <w:rPr>
                <w:rFonts w:ascii="Times New Roman" w:hAnsi="Times New Roman" w:cs="Times New Roman"/>
                <w:i/>
                <w:iCs/>
              </w:rPr>
            </w:pPr>
            <w:proofErr w:type="spellStart"/>
            <w:r w:rsidRPr="00766EDA">
              <w:rPr>
                <w:rFonts w:ascii="Times New Roman" w:hAnsi="Times New Roman" w:cs="Times New Roman"/>
                <w:i/>
                <w:iCs/>
              </w:rPr>
              <w:t>Albizia</w:t>
            </w:r>
            <w:proofErr w:type="spellEnd"/>
            <w:r w:rsidRPr="00766EDA">
              <w:rPr>
                <w:rFonts w:ascii="Times New Roman" w:hAnsi="Times New Roman" w:cs="Times New Roman"/>
                <w:i/>
                <w:iCs/>
              </w:rPr>
              <w:t xml:space="preserve"> </w:t>
            </w:r>
            <w:proofErr w:type="spellStart"/>
            <w:r w:rsidRPr="00766EDA">
              <w:rPr>
                <w:rFonts w:ascii="Times New Roman" w:hAnsi="Times New Roman" w:cs="Times New Roman"/>
                <w:i/>
                <w:iCs/>
              </w:rPr>
              <w:t>lebbeck</w:t>
            </w:r>
            <w:proofErr w:type="spellEnd"/>
          </w:p>
        </w:tc>
        <w:tc>
          <w:tcPr>
            <w:tcW w:w="974" w:type="dxa"/>
          </w:tcPr>
          <w:p w14:paraId="0A973C3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1.90</w:t>
            </w:r>
          </w:p>
        </w:tc>
        <w:tc>
          <w:tcPr>
            <w:tcW w:w="1329" w:type="dxa"/>
          </w:tcPr>
          <w:p w14:paraId="66EE4F31"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1.28</w:t>
            </w:r>
          </w:p>
        </w:tc>
        <w:tc>
          <w:tcPr>
            <w:tcW w:w="1092" w:type="dxa"/>
          </w:tcPr>
          <w:p w14:paraId="5F60E7A3"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65.03</w:t>
            </w:r>
          </w:p>
        </w:tc>
        <w:tc>
          <w:tcPr>
            <w:tcW w:w="1129" w:type="dxa"/>
          </w:tcPr>
          <w:p w14:paraId="23A33414"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68.20</w:t>
            </w:r>
          </w:p>
        </w:tc>
      </w:tr>
      <w:tr w:rsidR="00766EDA" w14:paraId="11CEA65A" w14:textId="77777777" w:rsidTr="00766EDA">
        <w:tc>
          <w:tcPr>
            <w:tcW w:w="644" w:type="dxa"/>
          </w:tcPr>
          <w:p w14:paraId="0CCA5AE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2</w:t>
            </w:r>
          </w:p>
        </w:tc>
        <w:tc>
          <w:tcPr>
            <w:tcW w:w="1457" w:type="dxa"/>
          </w:tcPr>
          <w:p w14:paraId="4A0E9B59" w14:textId="77777777" w:rsidR="00766EDA" w:rsidRPr="00AE6094" w:rsidRDefault="00766EDA" w:rsidP="0098536F">
            <w:pPr>
              <w:jc w:val="center"/>
              <w:rPr>
                <w:rFonts w:ascii="Times New Roman" w:hAnsi="Times New Roman" w:cs="Times New Roman"/>
              </w:rPr>
            </w:pPr>
            <w:proofErr w:type="spellStart"/>
            <w:r w:rsidRPr="00AE6094">
              <w:rPr>
                <w:rFonts w:ascii="Times New Roman" w:hAnsi="Times New Roman" w:cs="Times New Roman"/>
              </w:rPr>
              <w:t>Udatapalli</w:t>
            </w:r>
            <w:proofErr w:type="spellEnd"/>
            <w:r w:rsidRPr="00AE6094">
              <w:rPr>
                <w:rFonts w:ascii="Times New Roman" w:hAnsi="Times New Roman" w:cs="Times New Roman"/>
              </w:rPr>
              <w:t xml:space="preserve"> (</w:t>
            </w:r>
            <w:proofErr w:type="spellStart"/>
            <w:r w:rsidRPr="00AE6094">
              <w:rPr>
                <w:rFonts w:ascii="Times New Roman" w:hAnsi="Times New Roman" w:cs="Times New Roman"/>
              </w:rPr>
              <w:t>Papikonda</w:t>
            </w:r>
            <w:proofErr w:type="spellEnd"/>
            <w:r w:rsidRPr="00AE6094">
              <w:rPr>
                <w:rFonts w:ascii="Times New Roman" w:hAnsi="Times New Roman" w:cs="Times New Roman"/>
              </w:rPr>
              <w:t xml:space="preserve"> NP)</w:t>
            </w:r>
          </w:p>
        </w:tc>
        <w:tc>
          <w:tcPr>
            <w:tcW w:w="2391" w:type="dxa"/>
          </w:tcPr>
          <w:p w14:paraId="2D6A8518"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Tamarindus indica</w:t>
            </w:r>
          </w:p>
        </w:tc>
        <w:tc>
          <w:tcPr>
            <w:tcW w:w="974" w:type="dxa"/>
          </w:tcPr>
          <w:p w14:paraId="6A80A27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1.37</w:t>
            </w:r>
          </w:p>
        </w:tc>
        <w:tc>
          <w:tcPr>
            <w:tcW w:w="1329" w:type="dxa"/>
          </w:tcPr>
          <w:p w14:paraId="63E48FC8"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1.50</w:t>
            </w:r>
          </w:p>
        </w:tc>
        <w:tc>
          <w:tcPr>
            <w:tcW w:w="1092" w:type="dxa"/>
          </w:tcPr>
          <w:p w14:paraId="526CD77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57.87</w:t>
            </w:r>
          </w:p>
        </w:tc>
        <w:tc>
          <w:tcPr>
            <w:tcW w:w="1129" w:type="dxa"/>
          </w:tcPr>
          <w:p w14:paraId="34934BC5"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60.74</w:t>
            </w:r>
          </w:p>
        </w:tc>
      </w:tr>
      <w:tr w:rsidR="00766EDA" w14:paraId="37434A8D" w14:textId="77777777" w:rsidTr="00766EDA">
        <w:tc>
          <w:tcPr>
            <w:tcW w:w="644" w:type="dxa"/>
          </w:tcPr>
          <w:p w14:paraId="3FD07FBF"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3</w:t>
            </w:r>
          </w:p>
        </w:tc>
        <w:tc>
          <w:tcPr>
            <w:tcW w:w="1457" w:type="dxa"/>
          </w:tcPr>
          <w:p w14:paraId="3CC18CF1"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Netapukota</w:t>
            </w:r>
          </w:p>
        </w:tc>
        <w:tc>
          <w:tcPr>
            <w:tcW w:w="2391" w:type="dxa"/>
          </w:tcPr>
          <w:p w14:paraId="6848C91F"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 xml:space="preserve">Terminalia </w:t>
            </w:r>
            <w:proofErr w:type="spellStart"/>
            <w:r w:rsidRPr="00766EDA">
              <w:rPr>
                <w:rFonts w:ascii="Times New Roman" w:hAnsi="Times New Roman" w:cs="Times New Roman"/>
                <w:i/>
                <w:iCs/>
              </w:rPr>
              <w:t>corlacea</w:t>
            </w:r>
            <w:proofErr w:type="spellEnd"/>
          </w:p>
        </w:tc>
        <w:tc>
          <w:tcPr>
            <w:tcW w:w="974" w:type="dxa"/>
          </w:tcPr>
          <w:p w14:paraId="4B58A6B8"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2.57</w:t>
            </w:r>
          </w:p>
        </w:tc>
        <w:tc>
          <w:tcPr>
            <w:tcW w:w="1329" w:type="dxa"/>
          </w:tcPr>
          <w:p w14:paraId="2300AF5F"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1.33</w:t>
            </w:r>
          </w:p>
        </w:tc>
        <w:tc>
          <w:tcPr>
            <w:tcW w:w="1092" w:type="dxa"/>
          </w:tcPr>
          <w:p w14:paraId="6C5490C6"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36.44</w:t>
            </w:r>
          </w:p>
        </w:tc>
        <w:tc>
          <w:tcPr>
            <w:tcW w:w="1129" w:type="dxa"/>
          </w:tcPr>
          <w:p w14:paraId="0342DDC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40.34</w:t>
            </w:r>
          </w:p>
        </w:tc>
      </w:tr>
      <w:tr w:rsidR="00766EDA" w14:paraId="1C5F5FD4" w14:textId="77777777" w:rsidTr="00766EDA">
        <w:tc>
          <w:tcPr>
            <w:tcW w:w="644" w:type="dxa"/>
          </w:tcPr>
          <w:p w14:paraId="2B8FD79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4</w:t>
            </w:r>
          </w:p>
        </w:tc>
        <w:tc>
          <w:tcPr>
            <w:tcW w:w="1457" w:type="dxa"/>
          </w:tcPr>
          <w:p w14:paraId="484EC0EE"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Polavaram</w:t>
            </w:r>
          </w:p>
        </w:tc>
        <w:tc>
          <w:tcPr>
            <w:tcW w:w="2391" w:type="dxa"/>
          </w:tcPr>
          <w:p w14:paraId="104C34B8"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 xml:space="preserve">Terminalia </w:t>
            </w:r>
            <w:proofErr w:type="spellStart"/>
            <w:r w:rsidRPr="00766EDA">
              <w:rPr>
                <w:rFonts w:ascii="Times New Roman" w:hAnsi="Times New Roman" w:cs="Times New Roman"/>
                <w:i/>
                <w:iCs/>
              </w:rPr>
              <w:t>corlacea</w:t>
            </w:r>
            <w:proofErr w:type="spellEnd"/>
          </w:p>
        </w:tc>
        <w:tc>
          <w:tcPr>
            <w:tcW w:w="974" w:type="dxa"/>
          </w:tcPr>
          <w:p w14:paraId="568F2A8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2.62</w:t>
            </w:r>
          </w:p>
        </w:tc>
        <w:tc>
          <w:tcPr>
            <w:tcW w:w="1329" w:type="dxa"/>
          </w:tcPr>
          <w:p w14:paraId="4D5FFD13"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1.25</w:t>
            </w:r>
          </w:p>
        </w:tc>
        <w:tc>
          <w:tcPr>
            <w:tcW w:w="1092" w:type="dxa"/>
          </w:tcPr>
          <w:p w14:paraId="767C8EED"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70.25</w:t>
            </w:r>
          </w:p>
        </w:tc>
        <w:tc>
          <w:tcPr>
            <w:tcW w:w="1129" w:type="dxa"/>
          </w:tcPr>
          <w:p w14:paraId="23840FD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74.11</w:t>
            </w:r>
          </w:p>
        </w:tc>
      </w:tr>
      <w:tr w:rsidR="00766EDA" w14:paraId="7177D775" w14:textId="77777777" w:rsidTr="00766EDA">
        <w:tc>
          <w:tcPr>
            <w:tcW w:w="644" w:type="dxa"/>
          </w:tcPr>
          <w:p w14:paraId="11EC0383"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5</w:t>
            </w:r>
          </w:p>
        </w:tc>
        <w:tc>
          <w:tcPr>
            <w:tcW w:w="1457" w:type="dxa"/>
          </w:tcPr>
          <w:p w14:paraId="264F749C" w14:textId="77777777" w:rsidR="00766EDA" w:rsidRPr="00AE6094" w:rsidRDefault="00766EDA" w:rsidP="0098536F">
            <w:pPr>
              <w:jc w:val="center"/>
              <w:rPr>
                <w:rFonts w:ascii="Times New Roman" w:hAnsi="Times New Roman" w:cs="Times New Roman"/>
              </w:rPr>
            </w:pPr>
            <w:proofErr w:type="spellStart"/>
            <w:r w:rsidRPr="00AE6094">
              <w:rPr>
                <w:rFonts w:ascii="Times New Roman" w:hAnsi="Times New Roman" w:cs="Times New Roman"/>
              </w:rPr>
              <w:t>Udatapalli</w:t>
            </w:r>
            <w:proofErr w:type="spellEnd"/>
            <w:r w:rsidRPr="00AE6094">
              <w:rPr>
                <w:rFonts w:ascii="Times New Roman" w:hAnsi="Times New Roman" w:cs="Times New Roman"/>
              </w:rPr>
              <w:t xml:space="preserve"> (</w:t>
            </w:r>
            <w:proofErr w:type="spellStart"/>
            <w:r w:rsidRPr="00AE6094">
              <w:rPr>
                <w:rFonts w:ascii="Times New Roman" w:hAnsi="Times New Roman" w:cs="Times New Roman"/>
              </w:rPr>
              <w:t>Kondrukota</w:t>
            </w:r>
            <w:proofErr w:type="spellEnd"/>
            <w:r w:rsidRPr="00AE6094">
              <w:rPr>
                <w:rFonts w:ascii="Times New Roman" w:hAnsi="Times New Roman" w:cs="Times New Roman"/>
              </w:rPr>
              <w:t>)</w:t>
            </w:r>
          </w:p>
        </w:tc>
        <w:tc>
          <w:tcPr>
            <w:tcW w:w="2391" w:type="dxa"/>
          </w:tcPr>
          <w:p w14:paraId="51394B1B"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 xml:space="preserve">Terminalia </w:t>
            </w:r>
            <w:proofErr w:type="spellStart"/>
            <w:r w:rsidRPr="00766EDA">
              <w:rPr>
                <w:rFonts w:ascii="Times New Roman" w:hAnsi="Times New Roman" w:cs="Times New Roman"/>
                <w:i/>
                <w:iCs/>
              </w:rPr>
              <w:t>corlacea</w:t>
            </w:r>
            <w:proofErr w:type="spellEnd"/>
          </w:p>
        </w:tc>
        <w:tc>
          <w:tcPr>
            <w:tcW w:w="974" w:type="dxa"/>
          </w:tcPr>
          <w:p w14:paraId="1E031AC2"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1.78</w:t>
            </w:r>
          </w:p>
        </w:tc>
        <w:tc>
          <w:tcPr>
            <w:tcW w:w="1329" w:type="dxa"/>
          </w:tcPr>
          <w:p w14:paraId="7826570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1.36</w:t>
            </w:r>
          </w:p>
        </w:tc>
        <w:tc>
          <w:tcPr>
            <w:tcW w:w="1092" w:type="dxa"/>
          </w:tcPr>
          <w:p w14:paraId="71E647A4"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82.24</w:t>
            </w:r>
          </w:p>
        </w:tc>
        <w:tc>
          <w:tcPr>
            <w:tcW w:w="1129" w:type="dxa"/>
          </w:tcPr>
          <w:p w14:paraId="2A574827"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85.38</w:t>
            </w:r>
          </w:p>
        </w:tc>
      </w:tr>
      <w:tr w:rsidR="00766EDA" w14:paraId="43FC992A" w14:textId="77777777" w:rsidTr="00766EDA">
        <w:tc>
          <w:tcPr>
            <w:tcW w:w="644" w:type="dxa"/>
          </w:tcPr>
          <w:p w14:paraId="1D9194C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w:t>
            </w:r>
          </w:p>
        </w:tc>
        <w:tc>
          <w:tcPr>
            <w:tcW w:w="1457" w:type="dxa"/>
          </w:tcPr>
          <w:p w14:paraId="75062229" w14:textId="77777777" w:rsidR="00766EDA" w:rsidRPr="00AE6094" w:rsidRDefault="00766EDA" w:rsidP="0098536F">
            <w:pPr>
              <w:jc w:val="center"/>
              <w:rPr>
                <w:rFonts w:ascii="Times New Roman" w:hAnsi="Times New Roman" w:cs="Times New Roman"/>
              </w:rPr>
            </w:pPr>
            <w:proofErr w:type="spellStart"/>
            <w:r w:rsidRPr="00AE6094">
              <w:rPr>
                <w:rFonts w:ascii="Times New Roman" w:hAnsi="Times New Roman" w:cs="Times New Roman"/>
              </w:rPr>
              <w:t>Chilakaluri</w:t>
            </w:r>
            <w:proofErr w:type="spellEnd"/>
          </w:p>
        </w:tc>
        <w:tc>
          <w:tcPr>
            <w:tcW w:w="2391" w:type="dxa"/>
          </w:tcPr>
          <w:p w14:paraId="075966C0" w14:textId="77777777" w:rsidR="00766EDA" w:rsidRPr="00766EDA" w:rsidRDefault="00766EDA" w:rsidP="0098536F">
            <w:pPr>
              <w:jc w:val="center"/>
              <w:rPr>
                <w:rFonts w:ascii="Times New Roman" w:hAnsi="Times New Roman" w:cs="Times New Roman"/>
                <w:i/>
                <w:iCs/>
              </w:rPr>
            </w:pPr>
            <w:proofErr w:type="spellStart"/>
            <w:r w:rsidRPr="00766EDA">
              <w:rPr>
                <w:rFonts w:ascii="Times New Roman" w:hAnsi="Times New Roman" w:cs="Times New Roman"/>
                <w:i/>
                <w:iCs/>
              </w:rPr>
              <w:t>Clerodendrum</w:t>
            </w:r>
            <w:proofErr w:type="spellEnd"/>
            <w:r w:rsidRPr="00766EDA">
              <w:rPr>
                <w:rFonts w:ascii="Times New Roman" w:hAnsi="Times New Roman" w:cs="Times New Roman"/>
                <w:i/>
                <w:iCs/>
              </w:rPr>
              <w:t xml:space="preserve"> </w:t>
            </w:r>
            <w:proofErr w:type="spellStart"/>
            <w:r w:rsidRPr="00766EDA">
              <w:rPr>
                <w:rFonts w:ascii="Times New Roman" w:hAnsi="Times New Roman" w:cs="Times New Roman"/>
                <w:i/>
                <w:iCs/>
              </w:rPr>
              <w:t>viscosum</w:t>
            </w:r>
            <w:proofErr w:type="spellEnd"/>
          </w:p>
        </w:tc>
        <w:tc>
          <w:tcPr>
            <w:tcW w:w="974" w:type="dxa"/>
          </w:tcPr>
          <w:p w14:paraId="0BC77DF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1.51</w:t>
            </w:r>
          </w:p>
        </w:tc>
        <w:tc>
          <w:tcPr>
            <w:tcW w:w="1329" w:type="dxa"/>
          </w:tcPr>
          <w:p w14:paraId="7F371DC6"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1.58</w:t>
            </w:r>
          </w:p>
        </w:tc>
        <w:tc>
          <w:tcPr>
            <w:tcW w:w="1092" w:type="dxa"/>
          </w:tcPr>
          <w:p w14:paraId="007E40F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69.74</w:t>
            </w:r>
          </w:p>
        </w:tc>
        <w:tc>
          <w:tcPr>
            <w:tcW w:w="1129" w:type="dxa"/>
          </w:tcPr>
          <w:p w14:paraId="068F56A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72.83</w:t>
            </w:r>
          </w:p>
        </w:tc>
      </w:tr>
      <w:tr w:rsidR="00766EDA" w14:paraId="583EC82A" w14:textId="77777777" w:rsidTr="00766EDA">
        <w:tc>
          <w:tcPr>
            <w:tcW w:w="644" w:type="dxa"/>
          </w:tcPr>
          <w:p w14:paraId="4C8CCAB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w:t>
            </w:r>
          </w:p>
        </w:tc>
        <w:tc>
          <w:tcPr>
            <w:tcW w:w="1457" w:type="dxa"/>
          </w:tcPr>
          <w:p w14:paraId="5048A824" w14:textId="77777777" w:rsidR="00766EDA" w:rsidRPr="00AE6094" w:rsidRDefault="00766EDA" w:rsidP="0098536F">
            <w:pPr>
              <w:jc w:val="center"/>
              <w:rPr>
                <w:rFonts w:ascii="Times New Roman" w:hAnsi="Times New Roman" w:cs="Times New Roman"/>
              </w:rPr>
            </w:pPr>
            <w:proofErr w:type="spellStart"/>
            <w:r w:rsidRPr="00AE6094">
              <w:rPr>
                <w:rFonts w:ascii="Times New Roman" w:hAnsi="Times New Roman" w:cs="Times New Roman"/>
              </w:rPr>
              <w:t>Silavagiri</w:t>
            </w:r>
            <w:proofErr w:type="spellEnd"/>
          </w:p>
        </w:tc>
        <w:tc>
          <w:tcPr>
            <w:tcW w:w="2391" w:type="dxa"/>
          </w:tcPr>
          <w:p w14:paraId="0E673DA1"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 xml:space="preserve">Terminalia </w:t>
            </w:r>
            <w:proofErr w:type="spellStart"/>
            <w:r w:rsidRPr="00766EDA">
              <w:rPr>
                <w:rFonts w:ascii="Times New Roman" w:hAnsi="Times New Roman" w:cs="Times New Roman"/>
                <w:i/>
                <w:iCs/>
              </w:rPr>
              <w:t>corlacea</w:t>
            </w:r>
            <w:proofErr w:type="spellEnd"/>
          </w:p>
        </w:tc>
        <w:tc>
          <w:tcPr>
            <w:tcW w:w="974" w:type="dxa"/>
          </w:tcPr>
          <w:p w14:paraId="29B40715"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1.44</w:t>
            </w:r>
          </w:p>
        </w:tc>
        <w:tc>
          <w:tcPr>
            <w:tcW w:w="1329" w:type="dxa"/>
          </w:tcPr>
          <w:p w14:paraId="7A806FF1"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1.11</w:t>
            </w:r>
          </w:p>
        </w:tc>
        <w:tc>
          <w:tcPr>
            <w:tcW w:w="1092" w:type="dxa"/>
          </w:tcPr>
          <w:p w14:paraId="2C535D0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85.51</w:t>
            </w:r>
          </w:p>
        </w:tc>
        <w:tc>
          <w:tcPr>
            <w:tcW w:w="1129" w:type="dxa"/>
          </w:tcPr>
          <w:p w14:paraId="15256FCD"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88.05</w:t>
            </w:r>
          </w:p>
        </w:tc>
      </w:tr>
      <w:tr w:rsidR="00766EDA" w14:paraId="6953ECC9" w14:textId="77777777" w:rsidTr="00766EDA">
        <w:tc>
          <w:tcPr>
            <w:tcW w:w="644" w:type="dxa"/>
          </w:tcPr>
          <w:p w14:paraId="7B91D20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w:t>
            </w:r>
          </w:p>
        </w:tc>
        <w:tc>
          <w:tcPr>
            <w:tcW w:w="1457" w:type="dxa"/>
          </w:tcPr>
          <w:p w14:paraId="2433C138" w14:textId="77777777" w:rsidR="00766EDA" w:rsidRPr="00AE6094" w:rsidRDefault="00766EDA" w:rsidP="0098536F">
            <w:pPr>
              <w:jc w:val="center"/>
              <w:rPr>
                <w:rFonts w:ascii="Times New Roman" w:hAnsi="Times New Roman" w:cs="Times New Roman"/>
              </w:rPr>
            </w:pPr>
            <w:proofErr w:type="spellStart"/>
            <w:r w:rsidRPr="00AE6094">
              <w:rPr>
                <w:rFonts w:ascii="Times New Roman" w:hAnsi="Times New Roman" w:cs="Times New Roman"/>
              </w:rPr>
              <w:t>Srivaka</w:t>
            </w:r>
            <w:proofErr w:type="spellEnd"/>
          </w:p>
        </w:tc>
        <w:tc>
          <w:tcPr>
            <w:tcW w:w="2391" w:type="dxa"/>
          </w:tcPr>
          <w:p w14:paraId="70885749" w14:textId="77777777" w:rsidR="00766EDA" w:rsidRPr="00766EDA" w:rsidRDefault="00766EDA" w:rsidP="0098536F">
            <w:pPr>
              <w:jc w:val="center"/>
              <w:rPr>
                <w:rFonts w:ascii="Times New Roman" w:hAnsi="Times New Roman" w:cs="Times New Roman"/>
                <w:i/>
                <w:iCs/>
              </w:rPr>
            </w:pPr>
            <w:proofErr w:type="spellStart"/>
            <w:r w:rsidRPr="00766EDA">
              <w:rPr>
                <w:rFonts w:ascii="Times New Roman" w:hAnsi="Times New Roman" w:cs="Times New Roman"/>
                <w:i/>
                <w:iCs/>
              </w:rPr>
              <w:t>Milletia</w:t>
            </w:r>
            <w:proofErr w:type="spellEnd"/>
            <w:r w:rsidRPr="00766EDA">
              <w:rPr>
                <w:rFonts w:ascii="Times New Roman" w:hAnsi="Times New Roman" w:cs="Times New Roman"/>
                <w:i/>
                <w:iCs/>
              </w:rPr>
              <w:t xml:space="preserve"> </w:t>
            </w:r>
            <w:proofErr w:type="spellStart"/>
            <w:r w:rsidRPr="00766EDA">
              <w:rPr>
                <w:rFonts w:ascii="Times New Roman" w:hAnsi="Times New Roman" w:cs="Times New Roman"/>
                <w:i/>
                <w:iCs/>
              </w:rPr>
              <w:t>auriculata</w:t>
            </w:r>
            <w:proofErr w:type="spellEnd"/>
          </w:p>
        </w:tc>
        <w:tc>
          <w:tcPr>
            <w:tcW w:w="974" w:type="dxa"/>
          </w:tcPr>
          <w:p w14:paraId="3989727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1.27</w:t>
            </w:r>
          </w:p>
        </w:tc>
        <w:tc>
          <w:tcPr>
            <w:tcW w:w="1329" w:type="dxa"/>
          </w:tcPr>
          <w:p w14:paraId="68F9559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1.61</w:t>
            </w:r>
          </w:p>
        </w:tc>
        <w:tc>
          <w:tcPr>
            <w:tcW w:w="1092" w:type="dxa"/>
          </w:tcPr>
          <w:p w14:paraId="405630B7"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108.37</w:t>
            </w:r>
          </w:p>
        </w:tc>
        <w:tc>
          <w:tcPr>
            <w:tcW w:w="1129" w:type="dxa"/>
          </w:tcPr>
          <w:p w14:paraId="4597BDA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111.25</w:t>
            </w:r>
          </w:p>
        </w:tc>
      </w:tr>
    </w:tbl>
    <w:p w14:paraId="7C719CF7" w14:textId="77777777" w:rsidR="0003147B" w:rsidRDefault="0003147B" w:rsidP="00766EDA">
      <w:pPr>
        <w:jc w:val="both"/>
        <w:rPr>
          <w:rFonts w:ascii="Times New Roman" w:hAnsi="Times New Roman" w:cs="Times New Roman"/>
          <w:sz w:val="24"/>
          <w:szCs w:val="24"/>
        </w:rPr>
      </w:pPr>
    </w:p>
    <w:p w14:paraId="1809913C" w14:textId="390E696E" w:rsidR="0003147B" w:rsidRPr="0003147B" w:rsidRDefault="0003147B" w:rsidP="0003147B">
      <w:pPr>
        <w:jc w:val="both"/>
        <w:rPr>
          <w:rFonts w:ascii="Times New Roman" w:hAnsi="Times New Roman" w:cs="Times New Roman"/>
          <w:b/>
          <w:bCs/>
          <w:sz w:val="24"/>
          <w:szCs w:val="24"/>
        </w:rPr>
      </w:pPr>
      <w:r w:rsidRPr="0003147B">
        <w:rPr>
          <w:rFonts w:ascii="Times New Roman" w:hAnsi="Times New Roman" w:cs="Times New Roman"/>
          <w:b/>
          <w:bCs/>
          <w:sz w:val="24"/>
          <w:szCs w:val="24"/>
        </w:rPr>
        <w:t>Table 2</w:t>
      </w:r>
      <w:r w:rsidR="00FD3905">
        <w:rPr>
          <w:rFonts w:ascii="Times New Roman" w:hAnsi="Times New Roman" w:cs="Times New Roman"/>
          <w:b/>
          <w:bCs/>
          <w:sz w:val="24"/>
          <w:szCs w:val="24"/>
        </w:rPr>
        <w:t xml:space="preserve">. </w:t>
      </w:r>
      <w:r w:rsidRPr="0003147B">
        <w:rPr>
          <w:rFonts w:ascii="Times New Roman" w:hAnsi="Times New Roman" w:cs="Times New Roman"/>
          <w:b/>
          <w:bCs/>
          <w:sz w:val="24"/>
          <w:szCs w:val="24"/>
        </w:rPr>
        <w:t>Regression Results for Carbon Stocks</w:t>
      </w:r>
    </w:p>
    <w:tbl>
      <w:tblPr>
        <w:tblStyle w:val="TableGrid"/>
        <w:tblW w:w="9067" w:type="dxa"/>
        <w:tblLayout w:type="fixed"/>
        <w:tblLook w:val="04A0" w:firstRow="1" w:lastRow="0" w:firstColumn="1" w:lastColumn="0" w:noHBand="0" w:noVBand="1"/>
      </w:tblPr>
      <w:tblGrid>
        <w:gridCol w:w="988"/>
        <w:gridCol w:w="992"/>
        <w:gridCol w:w="992"/>
        <w:gridCol w:w="1134"/>
        <w:gridCol w:w="1134"/>
        <w:gridCol w:w="1701"/>
        <w:gridCol w:w="1418"/>
        <w:gridCol w:w="708"/>
      </w:tblGrid>
      <w:tr w:rsidR="00D218DB" w14:paraId="486C693B" w14:textId="77777777" w:rsidTr="0006708F">
        <w:trPr>
          <w:trHeight w:val="457"/>
        </w:trPr>
        <w:tc>
          <w:tcPr>
            <w:tcW w:w="988" w:type="dxa"/>
          </w:tcPr>
          <w:p w14:paraId="777B7F2A" w14:textId="5920D318"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Carbon Pool</w:t>
            </w:r>
          </w:p>
        </w:tc>
        <w:tc>
          <w:tcPr>
            <w:tcW w:w="992" w:type="dxa"/>
          </w:tcPr>
          <w:p w14:paraId="57CA544F" w14:textId="5B4F2685"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 xml:space="preserve">Height </w:t>
            </w:r>
            <w:proofErr w:type="spellStart"/>
            <w:r w:rsidRPr="00D218DB">
              <w:rPr>
                <w:rFonts w:ascii="Times New Roman" w:hAnsi="Times New Roman" w:cs="Times New Roman"/>
                <w:b/>
                <w:bCs/>
              </w:rPr>
              <w:t>Coef</w:t>
            </w:r>
            <w:proofErr w:type="spellEnd"/>
            <w:r w:rsidRPr="00D218DB">
              <w:rPr>
                <w:rFonts w:ascii="Times New Roman" w:hAnsi="Times New Roman" w:cs="Times New Roman"/>
                <w:b/>
                <w:bCs/>
              </w:rPr>
              <w:t xml:space="preserve"> (p)</w:t>
            </w:r>
          </w:p>
        </w:tc>
        <w:tc>
          <w:tcPr>
            <w:tcW w:w="992" w:type="dxa"/>
          </w:tcPr>
          <w:p w14:paraId="081143D4" w14:textId="06859E40"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 xml:space="preserve">DBH </w:t>
            </w:r>
            <w:proofErr w:type="spellStart"/>
            <w:r w:rsidRPr="00D218DB">
              <w:rPr>
                <w:rFonts w:ascii="Times New Roman" w:hAnsi="Times New Roman" w:cs="Times New Roman"/>
                <w:b/>
                <w:bCs/>
              </w:rPr>
              <w:t>Coef</w:t>
            </w:r>
            <w:proofErr w:type="spellEnd"/>
            <w:r w:rsidRPr="00D218DB">
              <w:rPr>
                <w:rFonts w:ascii="Times New Roman" w:hAnsi="Times New Roman" w:cs="Times New Roman"/>
                <w:b/>
                <w:bCs/>
              </w:rPr>
              <w:t xml:space="preserve"> (p)</w:t>
            </w:r>
          </w:p>
        </w:tc>
        <w:tc>
          <w:tcPr>
            <w:tcW w:w="1134" w:type="dxa"/>
          </w:tcPr>
          <w:p w14:paraId="1963C96D" w14:textId="4F14C03C"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 xml:space="preserve">Density </w:t>
            </w:r>
            <w:proofErr w:type="spellStart"/>
            <w:r w:rsidRPr="00D218DB">
              <w:rPr>
                <w:rFonts w:ascii="Times New Roman" w:hAnsi="Times New Roman" w:cs="Times New Roman"/>
                <w:b/>
                <w:bCs/>
              </w:rPr>
              <w:t>Coef</w:t>
            </w:r>
            <w:proofErr w:type="spellEnd"/>
            <w:r w:rsidRPr="00D218DB">
              <w:rPr>
                <w:rFonts w:ascii="Times New Roman" w:hAnsi="Times New Roman" w:cs="Times New Roman"/>
                <w:b/>
                <w:bCs/>
              </w:rPr>
              <w:t xml:space="preserve"> (p)</w:t>
            </w:r>
          </w:p>
        </w:tc>
        <w:tc>
          <w:tcPr>
            <w:tcW w:w="1134" w:type="dxa"/>
          </w:tcPr>
          <w:p w14:paraId="243310EC" w14:textId="6A1FA678" w:rsidR="00D218DB" w:rsidRPr="00D218DB" w:rsidRDefault="00D218DB" w:rsidP="00D218DB">
            <w:pPr>
              <w:jc w:val="both"/>
              <w:rPr>
                <w:rFonts w:ascii="Times New Roman" w:hAnsi="Times New Roman" w:cs="Times New Roman"/>
                <w:b/>
                <w:bCs/>
                <w:sz w:val="24"/>
                <w:szCs w:val="24"/>
              </w:rPr>
            </w:pPr>
            <w:proofErr w:type="spellStart"/>
            <w:r w:rsidRPr="00D218DB">
              <w:rPr>
                <w:rFonts w:ascii="Times New Roman" w:hAnsi="Times New Roman" w:cs="Times New Roman"/>
                <w:b/>
                <w:bCs/>
              </w:rPr>
              <w:t>Milletia</w:t>
            </w:r>
            <w:proofErr w:type="spellEnd"/>
            <w:r w:rsidRPr="00D218DB">
              <w:rPr>
                <w:rFonts w:ascii="Times New Roman" w:hAnsi="Times New Roman" w:cs="Times New Roman"/>
                <w:b/>
                <w:bCs/>
              </w:rPr>
              <w:t xml:space="preserve"> </w:t>
            </w:r>
            <w:proofErr w:type="spellStart"/>
            <w:r w:rsidRPr="00D218DB">
              <w:rPr>
                <w:rFonts w:ascii="Times New Roman" w:hAnsi="Times New Roman" w:cs="Times New Roman"/>
                <w:b/>
                <w:bCs/>
              </w:rPr>
              <w:t>Coef</w:t>
            </w:r>
            <w:proofErr w:type="spellEnd"/>
            <w:r w:rsidRPr="00D218DB">
              <w:rPr>
                <w:rFonts w:ascii="Times New Roman" w:hAnsi="Times New Roman" w:cs="Times New Roman"/>
                <w:b/>
                <w:bCs/>
              </w:rPr>
              <w:t xml:space="preserve"> (p)</w:t>
            </w:r>
          </w:p>
        </w:tc>
        <w:tc>
          <w:tcPr>
            <w:tcW w:w="1701" w:type="dxa"/>
          </w:tcPr>
          <w:p w14:paraId="561CFBA9" w14:textId="5B424047" w:rsidR="00D218DB" w:rsidRPr="00D218DB" w:rsidRDefault="00D218DB" w:rsidP="00D218DB">
            <w:pPr>
              <w:jc w:val="both"/>
              <w:rPr>
                <w:rFonts w:ascii="Times New Roman" w:hAnsi="Times New Roman" w:cs="Times New Roman"/>
                <w:b/>
                <w:bCs/>
                <w:sz w:val="24"/>
                <w:szCs w:val="24"/>
              </w:rPr>
            </w:pPr>
            <w:proofErr w:type="spellStart"/>
            <w:r w:rsidRPr="00D218DB">
              <w:rPr>
                <w:rFonts w:ascii="Times New Roman" w:hAnsi="Times New Roman" w:cs="Times New Roman"/>
                <w:b/>
                <w:bCs/>
              </w:rPr>
              <w:t>Clerodendrum</w:t>
            </w:r>
            <w:proofErr w:type="spellEnd"/>
            <w:r w:rsidRPr="00D218DB">
              <w:rPr>
                <w:rFonts w:ascii="Times New Roman" w:hAnsi="Times New Roman" w:cs="Times New Roman"/>
                <w:b/>
                <w:bCs/>
              </w:rPr>
              <w:t xml:space="preserve"> </w:t>
            </w:r>
            <w:proofErr w:type="spellStart"/>
            <w:r w:rsidRPr="00D218DB">
              <w:rPr>
                <w:rFonts w:ascii="Times New Roman" w:hAnsi="Times New Roman" w:cs="Times New Roman"/>
                <w:b/>
                <w:bCs/>
              </w:rPr>
              <w:t>Coef</w:t>
            </w:r>
            <w:proofErr w:type="spellEnd"/>
            <w:r w:rsidRPr="00D218DB">
              <w:rPr>
                <w:rFonts w:ascii="Times New Roman" w:hAnsi="Times New Roman" w:cs="Times New Roman"/>
                <w:b/>
                <w:bCs/>
              </w:rPr>
              <w:t xml:space="preserve"> (p)</w:t>
            </w:r>
          </w:p>
        </w:tc>
        <w:tc>
          <w:tcPr>
            <w:tcW w:w="1418" w:type="dxa"/>
          </w:tcPr>
          <w:p w14:paraId="30EF58A3" w14:textId="17A8D935" w:rsidR="00D218DB" w:rsidRPr="00D218DB" w:rsidRDefault="00D218DB" w:rsidP="00D218DB">
            <w:pPr>
              <w:jc w:val="both"/>
              <w:rPr>
                <w:rFonts w:ascii="Times New Roman" w:hAnsi="Times New Roman" w:cs="Times New Roman"/>
                <w:b/>
                <w:bCs/>
                <w:sz w:val="24"/>
                <w:szCs w:val="24"/>
              </w:rPr>
            </w:pPr>
            <w:proofErr w:type="spellStart"/>
            <w:r w:rsidRPr="00D218DB">
              <w:rPr>
                <w:rFonts w:ascii="Times New Roman" w:hAnsi="Times New Roman" w:cs="Times New Roman"/>
                <w:b/>
                <w:bCs/>
              </w:rPr>
              <w:t>Tamarindus</w:t>
            </w:r>
            <w:proofErr w:type="spellEnd"/>
            <w:r w:rsidRPr="00D218DB">
              <w:rPr>
                <w:rFonts w:ascii="Times New Roman" w:hAnsi="Times New Roman" w:cs="Times New Roman"/>
                <w:b/>
                <w:bCs/>
              </w:rPr>
              <w:t xml:space="preserve"> </w:t>
            </w:r>
            <w:proofErr w:type="spellStart"/>
            <w:r w:rsidRPr="00D218DB">
              <w:rPr>
                <w:rFonts w:ascii="Times New Roman" w:hAnsi="Times New Roman" w:cs="Times New Roman"/>
                <w:b/>
                <w:bCs/>
              </w:rPr>
              <w:t>Coef</w:t>
            </w:r>
            <w:proofErr w:type="spellEnd"/>
            <w:r w:rsidRPr="00D218DB">
              <w:rPr>
                <w:rFonts w:ascii="Times New Roman" w:hAnsi="Times New Roman" w:cs="Times New Roman"/>
                <w:b/>
                <w:bCs/>
              </w:rPr>
              <w:t xml:space="preserve"> (p)</w:t>
            </w:r>
          </w:p>
        </w:tc>
        <w:tc>
          <w:tcPr>
            <w:tcW w:w="708" w:type="dxa"/>
          </w:tcPr>
          <w:p w14:paraId="692841AD" w14:textId="43A191EE"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R²</w:t>
            </w:r>
          </w:p>
        </w:tc>
      </w:tr>
      <w:tr w:rsidR="00D218DB" w14:paraId="52F6D912" w14:textId="77777777" w:rsidTr="0006708F">
        <w:trPr>
          <w:trHeight w:val="457"/>
        </w:trPr>
        <w:tc>
          <w:tcPr>
            <w:tcW w:w="988" w:type="dxa"/>
          </w:tcPr>
          <w:p w14:paraId="020DDF0B" w14:textId="286842D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Litter C</w:t>
            </w:r>
          </w:p>
        </w:tc>
        <w:tc>
          <w:tcPr>
            <w:tcW w:w="992" w:type="dxa"/>
          </w:tcPr>
          <w:p w14:paraId="69325DF8" w14:textId="42D8CA62"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0.15 (.040)</w:t>
            </w:r>
          </w:p>
        </w:tc>
        <w:tc>
          <w:tcPr>
            <w:tcW w:w="992" w:type="dxa"/>
          </w:tcPr>
          <w:p w14:paraId="4C4BDD0B" w14:textId="11D8E5C0"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0.02 (.150)</w:t>
            </w:r>
          </w:p>
        </w:tc>
        <w:tc>
          <w:tcPr>
            <w:tcW w:w="1134" w:type="dxa"/>
          </w:tcPr>
          <w:p w14:paraId="156BD9B2" w14:textId="48F2A98D"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0.002 (.030)</w:t>
            </w:r>
          </w:p>
        </w:tc>
        <w:tc>
          <w:tcPr>
            <w:tcW w:w="1134" w:type="dxa"/>
          </w:tcPr>
          <w:p w14:paraId="658B4E50" w14:textId="205F65E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-0.60 (.045)</w:t>
            </w:r>
          </w:p>
        </w:tc>
        <w:tc>
          <w:tcPr>
            <w:tcW w:w="1701" w:type="dxa"/>
          </w:tcPr>
          <w:p w14:paraId="2C484C4C" w14:textId="06D54D67"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-0.45 (.060)</w:t>
            </w:r>
          </w:p>
        </w:tc>
        <w:tc>
          <w:tcPr>
            <w:tcW w:w="1418" w:type="dxa"/>
          </w:tcPr>
          <w:p w14:paraId="6CA3D566" w14:textId="40070CE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-0.70 (.035)</w:t>
            </w:r>
          </w:p>
        </w:tc>
        <w:tc>
          <w:tcPr>
            <w:tcW w:w="708" w:type="dxa"/>
          </w:tcPr>
          <w:p w14:paraId="643EA96E" w14:textId="69870BBA"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.75</w:t>
            </w:r>
          </w:p>
        </w:tc>
      </w:tr>
      <w:tr w:rsidR="00D218DB" w14:paraId="128FCA36" w14:textId="77777777" w:rsidTr="0006708F">
        <w:trPr>
          <w:trHeight w:val="438"/>
        </w:trPr>
        <w:tc>
          <w:tcPr>
            <w:tcW w:w="988" w:type="dxa"/>
          </w:tcPr>
          <w:p w14:paraId="62F267E5" w14:textId="7CD9CA8A"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Herb C</w:t>
            </w:r>
          </w:p>
        </w:tc>
        <w:tc>
          <w:tcPr>
            <w:tcW w:w="992" w:type="dxa"/>
          </w:tcPr>
          <w:p w14:paraId="0888ACAA" w14:textId="4A3C0685"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0.04 (.180)</w:t>
            </w:r>
          </w:p>
        </w:tc>
        <w:tc>
          <w:tcPr>
            <w:tcW w:w="992" w:type="dxa"/>
          </w:tcPr>
          <w:p w14:paraId="7E549B85" w14:textId="7BD2F5DA"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0.01 (.220)</w:t>
            </w:r>
          </w:p>
        </w:tc>
        <w:tc>
          <w:tcPr>
            <w:tcW w:w="1134" w:type="dxa"/>
          </w:tcPr>
          <w:p w14:paraId="0EDF2C24" w14:textId="672EAEB8"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0.001 (.110)</w:t>
            </w:r>
          </w:p>
        </w:tc>
        <w:tc>
          <w:tcPr>
            <w:tcW w:w="1134" w:type="dxa"/>
          </w:tcPr>
          <w:p w14:paraId="22AD0712" w14:textId="04F1B2D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0.30 (.080)</w:t>
            </w:r>
          </w:p>
        </w:tc>
        <w:tc>
          <w:tcPr>
            <w:tcW w:w="1701" w:type="dxa"/>
          </w:tcPr>
          <w:p w14:paraId="62F4F489" w14:textId="4767C950"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0.25 (.100)</w:t>
            </w:r>
          </w:p>
        </w:tc>
        <w:tc>
          <w:tcPr>
            <w:tcW w:w="1418" w:type="dxa"/>
          </w:tcPr>
          <w:p w14:paraId="6A56120B" w14:textId="73A2D3A8"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0.20 (.120)</w:t>
            </w:r>
          </w:p>
        </w:tc>
        <w:tc>
          <w:tcPr>
            <w:tcW w:w="708" w:type="dxa"/>
          </w:tcPr>
          <w:p w14:paraId="02FF2DE1" w14:textId="489ECCD1"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.58</w:t>
            </w:r>
          </w:p>
        </w:tc>
      </w:tr>
      <w:tr w:rsidR="00D218DB" w14:paraId="725153EF" w14:textId="77777777" w:rsidTr="0006708F">
        <w:trPr>
          <w:trHeight w:val="457"/>
        </w:trPr>
        <w:tc>
          <w:tcPr>
            <w:tcW w:w="988" w:type="dxa"/>
          </w:tcPr>
          <w:p w14:paraId="314D394F" w14:textId="0F24404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SOC</w:t>
            </w:r>
          </w:p>
        </w:tc>
        <w:tc>
          <w:tcPr>
            <w:tcW w:w="992" w:type="dxa"/>
          </w:tcPr>
          <w:p w14:paraId="7A9C654F" w14:textId="7CC288CE"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1.80 (.070)</w:t>
            </w:r>
          </w:p>
        </w:tc>
        <w:tc>
          <w:tcPr>
            <w:tcW w:w="992" w:type="dxa"/>
          </w:tcPr>
          <w:p w14:paraId="5CE79131" w14:textId="4E073CB3"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0.50 (.100)</w:t>
            </w:r>
          </w:p>
        </w:tc>
        <w:tc>
          <w:tcPr>
            <w:tcW w:w="1134" w:type="dxa"/>
          </w:tcPr>
          <w:p w14:paraId="3AB9EAA1" w14:textId="06B06E3B"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0.020 (.060)</w:t>
            </w:r>
          </w:p>
        </w:tc>
        <w:tc>
          <w:tcPr>
            <w:tcW w:w="1134" w:type="dxa"/>
          </w:tcPr>
          <w:p w14:paraId="096AF690" w14:textId="398180A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25.0 (.030)</w:t>
            </w:r>
          </w:p>
        </w:tc>
        <w:tc>
          <w:tcPr>
            <w:tcW w:w="1701" w:type="dxa"/>
          </w:tcPr>
          <w:p w14:paraId="67819E25" w14:textId="38329CB5"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-5.0 (.090)</w:t>
            </w:r>
          </w:p>
        </w:tc>
        <w:tc>
          <w:tcPr>
            <w:tcW w:w="1418" w:type="dxa"/>
          </w:tcPr>
          <w:p w14:paraId="729CD53E" w14:textId="08B28B2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-10.0 (.085)</w:t>
            </w:r>
          </w:p>
        </w:tc>
        <w:tc>
          <w:tcPr>
            <w:tcW w:w="708" w:type="dxa"/>
          </w:tcPr>
          <w:p w14:paraId="05ADA9A2" w14:textId="4490D78B"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.70</w:t>
            </w:r>
          </w:p>
        </w:tc>
      </w:tr>
      <w:tr w:rsidR="00D218DB" w14:paraId="787A3829" w14:textId="77777777" w:rsidTr="0006708F">
        <w:trPr>
          <w:trHeight w:val="457"/>
        </w:trPr>
        <w:tc>
          <w:tcPr>
            <w:tcW w:w="988" w:type="dxa"/>
          </w:tcPr>
          <w:p w14:paraId="350DFED9" w14:textId="03A9C5D1"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Total C</w:t>
            </w:r>
          </w:p>
        </w:tc>
        <w:tc>
          <w:tcPr>
            <w:tcW w:w="992" w:type="dxa"/>
          </w:tcPr>
          <w:p w14:paraId="74F68A98" w14:textId="23169FF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1.99 (.035)</w:t>
            </w:r>
          </w:p>
        </w:tc>
        <w:tc>
          <w:tcPr>
            <w:tcW w:w="992" w:type="dxa"/>
          </w:tcPr>
          <w:p w14:paraId="312FD92A" w14:textId="3604AE8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0.53 (.090)</w:t>
            </w:r>
          </w:p>
        </w:tc>
        <w:tc>
          <w:tcPr>
            <w:tcW w:w="1134" w:type="dxa"/>
          </w:tcPr>
          <w:p w14:paraId="13AAE21F" w14:textId="6CA8A0B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0.023 (.040)</w:t>
            </w:r>
          </w:p>
        </w:tc>
        <w:tc>
          <w:tcPr>
            <w:tcW w:w="1134" w:type="dxa"/>
          </w:tcPr>
          <w:p w14:paraId="1DB18C24" w14:textId="1C2BBD92"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24.6 (.025)</w:t>
            </w:r>
          </w:p>
        </w:tc>
        <w:tc>
          <w:tcPr>
            <w:tcW w:w="1701" w:type="dxa"/>
          </w:tcPr>
          <w:p w14:paraId="3F5A027E" w14:textId="55143905"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-5.2 (.080)</w:t>
            </w:r>
          </w:p>
        </w:tc>
        <w:tc>
          <w:tcPr>
            <w:tcW w:w="1418" w:type="dxa"/>
          </w:tcPr>
          <w:p w14:paraId="7B1E6533" w14:textId="03DC4A63"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-10.5 (.030)</w:t>
            </w:r>
          </w:p>
        </w:tc>
        <w:tc>
          <w:tcPr>
            <w:tcW w:w="708" w:type="dxa"/>
          </w:tcPr>
          <w:p w14:paraId="581D5607" w14:textId="351E7C13"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.78</w:t>
            </w:r>
          </w:p>
        </w:tc>
      </w:tr>
    </w:tbl>
    <w:p w14:paraId="45FB32B5" w14:textId="77777777" w:rsidR="00D218DB" w:rsidRDefault="00D218DB" w:rsidP="00766EDA">
      <w:pPr>
        <w:jc w:val="both"/>
        <w:rPr>
          <w:rFonts w:ascii="Times New Roman" w:hAnsi="Times New Roman" w:cs="Times New Roman"/>
          <w:sz w:val="24"/>
          <w:szCs w:val="24"/>
        </w:rPr>
      </w:pPr>
    </w:p>
    <w:p w14:paraId="66558FE9" w14:textId="7BC4BFB3" w:rsidR="00D218DB" w:rsidRDefault="00D218DB" w:rsidP="00766EDA">
      <w:pPr>
        <w:jc w:val="both"/>
        <w:rPr>
          <w:rFonts w:ascii="Times New Roman" w:hAnsi="Times New Roman" w:cs="Times New Roman"/>
          <w:sz w:val="24"/>
          <w:szCs w:val="24"/>
        </w:rPr>
      </w:pPr>
      <w:r>
        <w:rPr>
          <w:noProof/>
        </w:rPr>
        <w:drawing>
          <wp:inline distT="0" distB="0" distL="0" distR="0" wp14:anchorId="03853F97" wp14:editId="3CFEE301">
            <wp:extent cx="5702300" cy="2743200"/>
            <wp:effectExtent l="0" t="0" r="0" b="0"/>
            <wp:docPr id="925984333" name="Chart 1">
              <a:extLst xmlns:a="http://schemas.openxmlformats.org/drawingml/2006/main">
                <a:ext uri="{FF2B5EF4-FFF2-40B4-BE49-F238E27FC236}">
                  <a16:creationId xmlns:a16="http://schemas.microsoft.com/office/drawing/2014/main" id="{9E7AFAE4-90B2-C462-0CC7-AAA2919A09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EC08AE" w14:textId="2A400316" w:rsidR="00FD3905" w:rsidRPr="00FD3905" w:rsidRDefault="00FD3905" w:rsidP="00FD3905">
      <w:pPr>
        <w:jc w:val="center"/>
        <w:rPr>
          <w:rFonts w:ascii="Times New Roman" w:hAnsi="Times New Roman" w:cs="Times New Roman"/>
          <w:b/>
          <w:bCs/>
          <w:sz w:val="24"/>
          <w:szCs w:val="24"/>
        </w:rPr>
      </w:pPr>
      <w:r w:rsidRPr="00F75A5E">
        <w:rPr>
          <w:rFonts w:ascii="Times New Roman" w:hAnsi="Times New Roman" w:cs="Times New Roman"/>
          <w:b/>
          <w:bCs/>
          <w:sz w:val="24"/>
          <w:szCs w:val="24"/>
        </w:rPr>
        <w:t>Figure 1. Impact of Dominant Species on Carbon Stock Changes</w:t>
      </w:r>
    </w:p>
    <w:p w14:paraId="41CEEA39" w14:textId="02319191" w:rsidR="00D218DB" w:rsidRPr="00D218DB" w:rsidRDefault="00F75A5E" w:rsidP="0082771A">
      <w:pPr>
        <w:spacing w:line="360" w:lineRule="auto"/>
        <w:jc w:val="both"/>
        <w:rPr>
          <w:rFonts w:ascii="Times New Roman" w:hAnsi="Times New Roman" w:cs="Times New Roman"/>
          <w:sz w:val="24"/>
          <w:szCs w:val="24"/>
        </w:rPr>
      </w:pPr>
      <w:r w:rsidRPr="00F75A5E">
        <w:rPr>
          <w:rFonts w:ascii="Times New Roman" w:hAnsi="Times New Roman" w:cs="Times New Roman"/>
          <w:sz w:val="24"/>
          <w:szCs w:val="24"/>
        </w:rPr>
        <w:lastRenderedPageBreak/>
        <w:t>This bar chart illustrates the effect of dominant tree species on carbon stock changes (Mg</w:t>
      </w:r>
      <w:r w:rsidR="00176DB9" w:rsidRPr="00176DB9">
        <w:rPr>
          <w:rFonts w:ascii="Times New Roman" w:hAnsi="Times New Roman" w:cs="Times New Roman"/>
          <w:sz w:val="24"/>
          <w:szCs w:val="24"/>
        </w:rPr>
        <w:t xml:space="preserve"> </w:t>
      </w:r>
      <w:proofErr w:type="gramStart"/>
      <w:r w:rsidR="00176DB9" w:rsidRPr="00766EDA">
        <w:rPr>
          <w:rFonts w:ascii="Times New Roman" w:hAnsi="Times New Roman" w:cs="Times New Roman"/>
          <w:sz w:val="24"/>
          <w:szCs w:val="24"/>
        </w:rPr>
        <w:t>ha</w:t>
      </w:r>
      <w:r w:rsidR="002C1A27">
        <w:rPr>
          <w:rFonts w:ascii="Times New Roman" w:hAnsi="Times New Roman" w:cs="Times New Roman"/>
          <w:sz w:val="24"/>
          <w:szCs w:val="24"/>
          <w:vertAlign w:val="superscript"/>
        </w:rPr>
        <w:t xml:space="preserve"> </w:t>
      </w:r>
      <w:r w:rsidR="002C1A27">
        <w:rPr>
          <w:rFonts w:ascii="Times New Roman" w:hAnsi="Times New Roman" w:cs="Times New Roman"/>
          <w:sz w:val="24"/>
          <w:szCs w:val="24"/>
        </w:rPr>
        <w:t>)</w:t>
      </w:r>
      <w:proofErr w:type="gramEnd"/>
      <w:r w:rsidRPr="00F75A5E">
        <w:rPr>
          <w:rFonts w:ascii="Times New Roman" w:hAnsi="Times New Roman" w:cs="Times New Roman"/>
          <w:sz w:val="24"/>
          <w:szCs w:val="24"/>
        </w:rPr>
        <w:t xml:space="preserve"> across litter, herbaceous, soil organic carbon (SOC), and total carbon pools in Polavaram Range, Andhra Pradesh. The x-axis categorizes species, with </w:t>
      </w:r>
      <w:r w:rsidRPr="00F75A5E">
        <w:rPr>
          <w:rFonts w:ascii="Times New Roman" w:hAnsi="Times New Roman" w:cs="Times New Roman"/>
          <w:b/>
          <w:bCs/>
          <w:i/>
          <w:iCs/>
          <w:sz w:val="24"/>
          <w:szCs w:val="24"/>
        </w:rPr>
        <w:t xml:space="preserve">Terminalia </w:t>
      </w:r>
      <w:proofErr w:type="spellStart"/>
      <w:r w:rsidRPr="00F75A5E">
        <w:rPr>
          <w:rFonts w:ascii="Times New Roman" w:hAnsi="Times New Roman" w:cs="Times New Roman"/>
          <w:b/>
          <w:bCs/>
          <w:i/>
          <w:iCs/>
          <w:sz w:val="24"/>
          <w:szCs w:val="24"/>
        </w:rPr>
        <w:t>corlacea</w:t>
      </w:r>
      <w:proofErr w:type="spellEnd"/>
      <w:r w:rsidRPr="00F75A5E">
        <w:rPr>
          <w:rFonts w:ascii="Times New Roman" w:hAnsi="Times New Roman" w:cs="Times New Roman"/>
          <w:sz w:val="24"/>
          <w:szCs w:val="24"/>
        </w:rPr>
        <w:t xml:space="preserve"> as the reference (coefficient = 0), and </w:t>
      </w:r>
      <w:proofErr w:type="spellStart"/>
      <w:r w:rsidRPr="00F75A5E">
        <w:rPr>
          <w:rFonts w:ascii="Times New Roman" w:hAnsi="Times New Roman" w:cs="Times New Roman"/>
          <w:b/>
          <w:bCs/>
          <w:i/>
          <w:iCs/>
          <w:sz w:val="24"/>
          <w:szCs w:val="24"/>
        </w:rPr>
        <w:t>Milletia</w:t>
      </w:r>
      <w:proofErr w:type="spellEnd"/>
      <w:r w:rsidRPr="00F75A5E">
        <w:rPr>
          <w:rFonts w:ascii="Times New Roman" w:hAnsi="Times New Roman" w:cs="Times New Roman"/>
          <w:b/>
          <w:bCs/>
          <w:i/>
          <w:iCs/>
          <w:sz w:val="24"/>
          <w:szCs w:val="24"/>
        </w:rPr>
        <w:t xml:space="preserve"> </w:t>
      </w:r>
      <w:proofErr w:type="spellStart"/>
      <w:r w:rsidRPr="00F75A5E">
        <w:rPr>
          <w:rFonts w:ascii="Times New Roman" w:hAnsi="Times New Roman" w:cs="Times New Roman"/>
          <w:b/>
          <w:bCs/>
          <w:i/>
          <w:iCs/>
          <w:sz w:val="24"/>
          <w:szCs w:val="24"/>
        </w:rPr>
        <w:t>auricula</w:t>
      </w:r>
      <w:r w:rsidRPr="00F75A5E">
        <w:rPr>
          <w:rFonts w:ascii="Times New Roman" w:hAnsi="Times New Roman" w:cs="Times New Roman"/>
          <w:sz w:val="24"/>
          <w:szCs w:val="24"/>
        </w:rPr>
        <w:t>ta</w:t>
      </w:r>
      <w:proofErr w:type="spellEnd"/>
      <w:r w:rsidRPr="00F75A5E">
        <w:rPr>
          <w:rFonts w:ascii="Times New Roman" w:hAnsi="Times New Roman" w:cs="Times New Roman"/>
          <w:sz w:val="24"/>
          <w:szCs w:val="24"/>
        </w:rPr>
        <w:t xml:space="preserve">, </w:t>
      </w:r>
      <w:proofErr w:type="spellStart"/>
      <w:r w:rsidRPr="00F75A5E">
        <w:rPr>
          <w:rFonts w:ascii="Times New Roman" w:hAnsi="Times New Roman" w:cs="Times New Roman"/>
          <w:b/>
          <w:bCs/>
          <w:i/>
          <w:iCs/>
          <w:sz w:val="24"/>
          <w:szCs w:val="24"/>
        </w:rPr>
        <w:t>Clerodendrum</w:t>
      </w:r>
      <w:proofErr w:type="spellEnd"/>
      <w:r w:rsidRPr="00F75A5E">
        <w:rPr>
          <w:rFonts w:ascii="Times New Roman" w:hAnsi="Times New Roman" w:cs="Times New Roman"/>
          <w:b/>
          <w:bCs/>
          <w:i/>
          <w:iCs/>
          <w:sz w:val="24"/>
          <w:szCs w:val="24"/>
        </w:rPr>
        <w:t xml:space="preserve"> </w:t>
      </w:r>
      <w:proofErr w:type="spellStart"/>
      <w:r w:rsidRPr="00F75A5E">
        <w:rPr>
          <w:rFonts w:ascii="Times New Roman" w:hAnsi="Times New Roman" w:cs="Times New Roman"/>
          <w:b/>
          <w:bCs/>
          <w:i/>
          <w:iCs/>
          <w:sz w:val="24"/>
          <w:szCs w:val="24"/>
        </w:rPr>
        <w:t>viscosum</w:t>
      </w:r>
      <w:proofErr w:type="spellEnd"/>
      <w:r w:rsidRPr="00F75A5E">
        <w:rPr>
          <w:rFonts w:ascii="Times New Roman" w:hAnsi="Times New Roman" w:cs="Times New Roman"/>
          <w:sz w:val="24"/>
          <w:szCs w:val="24"/>
        </w:rPr>
        <w:t xml:space="preserve">, and </w:t>
      </w:r>
      <w:r w:rsidRPr="00F75A5E">
        <w:rPr>
          <w:rFonts w:ascii="Times New Roman" w:hAnsi="Times New Roman" w:cs="Times New Roman"/>
          <w:b/>
          <w:bCs/>
          <w:i/>
          <w:iCs/>
          <w:sz w:val="24"/>
          <w:szCs w:val="24"/>
        </w:rPr>
        <w:t>Tamarindus indica</w:t>
      </w:r>
      <w:r w:rsidRPr="00F75A5E">
        <w:rPr>
          <w:rFonts w:ascii="Times New Roman" w:hAnsi="Times New Roman" w:cs="Times New Roman"/>
          <w:sz w:val="24"/>
          <w:szCs w:val="24"/>
        </w:rPr>
        <w:t xml:space="preserve"> as dummy variables reflecting deviations from the reference. The y-axis displays coefficient values from multiple regression analysis, indicating the change in carbon stock relative to </w:t>
      </w:r>
      <w:r w:rsidRPr="00F75A5E">
        <w:rPr>
          <w:rFonts w:ascii="Times New Roman" w:hAnsi="Times New Roman" w:cs="Times New Roman"/>
          <w:b/>
          <w:bCs/>
          <w:i/>
          <w:iCs/>
          <w:sz w:val="24"/>
          <w:szCs w:val="24"/>
        </w:rPr>
        <w:t xml:space="preserve">Terminalia </w:t>
      </w:r>
      <w:proofErr w:type="spellStart"/>
      <w:r w:rsidRPr="00F75A5E">
        <w:rPr>
          <w:rFonts w:ascii="Times New Roman" w:hAnsi="Times New Roman" w:cs="Times New Roman"/>
          <w:b/>
          <w:bCs/>
          <w:i/>
          <w:iCs/>
          <w:sz w:val="24"/>
          <w:szCs w:val="24"/>
        </w:rPr>
        <w:t>corlacea</w:t>
      </w:r>
      <w:proofErr w:type="spellEnd"/>
      <w:r w:rsidRPr="00F75A5E">
        <w:rPr>
          <w:rFonts w:ascii="Times New Roman" w:hAnsi="Times New Roman" w:cs="Times New Roman"/>
          <w:sz w:val="24"/>
          <w:szCs w:val="24"/>
        </w:rPr>
        <w:t xml:space="preserve">. Results show </w:t>
      </w:r>
      <w:proofErr w:type="spellStart"/>
      <w:r w:rsidRPr="00F75A5E">
        <w:rPr>
          <w:rFonts w:ascii="Times New Roman" w:hAnsi="Times New Roman" w:cs="Times New Roman"/>
          <w:b/>
          <w:bCs/>
          <w:i/>
          <w:iCs/>
          <w:sz w:val="24"/>
          <w:szCs w:val="24"/>
        </w:rPr>
        <w:t>Milletia</w:t>
      </w:r>
      <w:proofErr w:type="spellEnd"/>
      <w:r w:rsidRPr="00F75A5E">
        <w:rPr>
          <w:rFonts w:ascii="Times New Roman" w:hAnsi="Times New Roman" w:cs="Times New Roman"/>
          <w:b/>
          <w:bCs/>
          <w:i/>
          <w:iCs/>
          <w:sz w:val="24"/>
          <w:szCs w:val="24"/>
        </w:rPr>
        <w:t xml:space="preserve"> </w:t>
      </w:r>
      <w:proofErr w:type="spellStart"/>
      <w:r w:rsidRPr="00F75A5E">
        <w:rPr>
          <w:rFonts w:ascii="Times New Roman" w:hAnsi="Times New Roman" w:cs="Times New Roman"/>
          <w:b/>
          <w:bCs/>
          <w:i/>
          <w:iCs/>
          <w:sz w:val="24"/>
          <w:szCs w:val="24"/>
        </w:rPr>
        <w:t>auriculata</w:t>
      </w:r>
      <w:proofErr w:type="spellEnd"/>
      <w:r w:rsidRPr="00F75A5E">
        <w:rPr>
          <w:rFonts w:ascii="Times New Roman" w:hAnsi="Times New Roman" w:cs="Times New Roman"/>
          <w:sz w:val="24"/>
          <w:szCs w:val="24"/>
        </w:rPr>
        <w:t xml:space="preserve"> significantly increases SOC (+25.0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Pr="00F75A5E">
        <w:rPr>
          <w:rFonts w:ascii="Times New Roman" w:hAnsi="Times New Roman" w:cs="Times New Roman"/>
          <w:sz w:val="24"/>
          <w:szCs w:val="24"/>
        </w:rPr>
        <w:t xml:space="preserve"> p = 30) and total carbon (+24.6 Mg</w:t>
      </w:r>
      <w:r w:rsidR="00176DB9" w:rsidRPr="00176DB9">
        <w:rPr>
          <w:rFonts w:ascii="Times New Roman" w:hAnsi="Times New Roman" w:cs="Times New Roman"/>
          <w:sz w:val="24"/>
          <w:szCs w:val="24"/>
        </w:rPr>
        <w:t xml:space="preserve"> </w:t>
      </w:r>
      <w:r w:rsidR="00453E33" w:rsidRPr="00766EDA">
        <w:rPr>
          <w:rFonts w:ascii="Times New Roman" w:hAnsi="Times New Roman" w:cs="Times New Roman"/>
          <w:sz w:val="24"/>
          <w:szCs w:val="24"/>
        </w:rPr>
        <w:t>ha</w:t>
      </w:r>
      <w:r w:rsidR="00453E33">
        <w:rPr>
          <w:rFonts w:ascii="Times New Roman" w:hAnsi="Times New Roman" w:cs="Times New Roman"/>
          <w:sz w:val="24"/>
          <w:szCs w:val="24"/>
          <w:vertAlign w:val="superscript"/>
        </w:rPr>
        <w:t xml:space="preserve"> </w:t>
      </w:r>
      <w:r w:rsidR="00453E33" w:rsidRPr="00F75A5E">
        <w:rPr>
          <w:rFonts w:ascii="Times New Roman" w:hAnsi="Times New Roman" w:cs="Times New Roman"/>
          <w:sz w:val="24"/>
          <w:szCs w:val="24"/>
        </w:rPr>
        <w:t>p</w:t>
      </w:r>
      <w:r w:rsidRPr="00F75A5E">
        <w:rPr>
          <w:rFonts w:ascii="Times New Roman" w:hAnsi="Times New Roman" w:cs="Times New Roman"/>
          <w:sz w:val="24"/>
          <w:szCs w:val="24"/>
        </w:rPr>
        <w:t xml:space="preserve"> = 25), while reducing litter carbon (-0.60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Pr="00F75A5E">
        <w:rPr>
          <w:rFonts w:ascii="Times New Roman" w:hAnsi="Times New Roman" w:cs="Times New Roman"/>
          <w:sz w:val="24"/>
          <w:szCs w:val="24"/>
        </w:rPr>
        <w:t xml:space="preserve"> p = 45). </w:t>
      </w:r>
      <w:r w:rsidRPr="00F75A5E">
        <w:rPr>
          <w:rFonts w:ascii="Times New Roman" w:hAnsi="Times New Roman" w:cs="Times New Roman"/>
          <w:b/>
          <w:bCs/>
          <w:i/>
          <w:iCs/>
          <w:sz w:val="24"/>
          <w:szCs w:val="24"/>
        </w:rPr>
        <w:t>Tamarindus indica</w:t>
      </w:r>
      <w:r w:rsidRPr="00F75A5E">
        <w:rPr>
          <w:rFonts w:ascii="Times New Roman" w:hAnsi="Times New Roman" w:cs="Times New Roman"/>
          <w:sz w:val="24"/>
          <w:szCs w:val="24"/>
        </w:rPr>
        <w:t xml:space="preserve"> decreases litter (-0.70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Pr="00F75A5E">
        <w:rPr>
          <w:rFonts w:ascii="Times New Roman" w:hAnsi="Times New Roman" w:cs="Times New Roman"/>
          <w:sz w:val="24"/>
          <w:szCs w:val="24"/>
        </w:rPr>
        <w:t xml:space="preserve"> p = 35) and total carbon (-10.5 Mg</w:t>
      </w:r>
      <w:r w:rsidR="00176DB9" w:rsidRPr="00176DB9">
        <w:rPr>
          <w:rFonts w:ascii="Times New Roman" w:hAnsi="Times New Roman" w:cs="Times New Roman"/>
          <w:sz w:val="24"/>
          <w:szCs w:val="24"/>
        </w:rPr>
        <w:t xml:space="preserve"> </w:t>
      </w:r>
      <w:r w:rsidR="00453E33" w:rsidRPr="00766EDA">
        <w:rPr>
          <w:rFonts w:ascii="Times New Roman" w:hAnsi="Times New Roman" w:cs="Times New Roman"/>
          <w:sz w:val="24"/>
          <w:szCs w:val="24"/>
        </w:rPr>
        <w:t>ha</w:t>
      </w:r>
      <w:r w:rsidR="00453E33">
        <w:rPr>
          <w:rFonts w:ascii="Times New Roman" w:hAnsi="Times New Roman" w:cs="Times New Roman"/>
          <w:sz w:val="24"/>
          <w:szCs w:val="24"/>
          <w:vertAlign w:val="superscript"/>
        </w:rPr>
        <w:t xml:space="preserve"> </w:t>
      </w:r>
      <w:r w:rsidR="00453E33" w:rsidRPr="00F75A5E">
        <w:rPr>
          <w:rFonts w:ascii="Times New Roman" w:hAnsi="Times New Roman" w:cs="Times New Roman"/>
          <w:sz w:val="24"/>
          <w:szCs w:val="24"/>
        </w:rPr>
        <w:t>p</w:t>
      </w:r>
      <w:r w:rsidRPr="00F75A5E">
        <w:rPr>
          <w:rFonts w:ascii="Times New Roman" w:hAnsi="Times New Roman" w:cs="Times New Roman"/>
          <w:sz w:val="24"/>
          <w:szCs w:val="24"/>
        </w:rPr>
        <w:t xml:space="preserve"> = 30), and </w:t>
      </w:r>
      <w:proofErr w:type="spellStart"/>
      <w:r w:rsidRPr="00F75A5E">
        <w:rPr>
          <w:rFonts w:ascii="Times New Roman" w:hAnsi="Times New Roman" w:cs="Times New Roman"/>
          <w:b/>
          <w:bCs/>
          <w:i/>
          <w:iCs/>
          <w:sz w:val="24"/>
          <w:szCs w:val="24"/>
        </w:rPr>
        <w:t>Clerodendrum</w:t>
      </w:r>
      <w:proofErr w:type="spellEnd"/>
      <w:r w:rsidRPr="00F75A5E">
        <w:rPr>
          <w:rFonts w:ascii="Times New Roman" w:hAnsi="Times New Roman" w:cs="Times New Roman"/>
          <w:b/>
          <w:bCs/>
          <w:i/>
          <w:iCs/>
          <w:sz w:val="24"/>
          <w:szCs w:val="24"/>
        </w:rPr>
        <w:t xml:space="preserve"> </w:t>
      </w:r>
      <w:proofErr w:type="spellStart"/>
      <w:r w:rsidRPr="00F75A5E">
        <w:rPr>
          <w:rFonts w:ascii="Times New Roman" w:hAnsi="Times New Roman" w:cs="Times New Roman"/>
          <w:b/>
          <w:bCs/>
          <w:i/>
          <w:iCs/>
          <w:sz w:val="24"/>
          <w:szCs w:val="24"/>
        </w:rPr>
        <w:t>viscosum</w:t>
      </w:r>
      <w:proofErr w:type="spellEnd"/>
      <w:r w:rsidRPr="00F75A5E">
        <w:rPr>
          <w:rFonts w:ascii="Times New Roman" w:hAnsi="Times New Roman" w:cs="Times New Roman"/>
          <w:sz w:val="24"/>
          <w:szCs w:val="24"/>
        </w:rPr>
        <w:t xml:space="preserve"> shows a borderline reduction in litter carbon (-0.45 Mg</w:t>
      </w:r>
      <w:r w:rsidR="00176DB9" w:rsidRPr="00176DB9">
        <w:rPr>
          <w:rFonts w:ascii="Times New Roman" w:hAnsi="Times New Roman" w:cs="Times New Roman"/>
          <w:sz w:val="24"/>
          <w:szCs w:val="24"/>
        </w:rPr>
        <w:t xml:space="preserve"> </w:t>
      </w:r>
      <w:r w:rsidR="00453E33" w:rsidRPr="00766EDA">
        <w:rPr>
          <w:rFonts w:ascii="Times New Roman" w:hAnsi="Times New Roman" w:cs="Times New Roman"/>
          <w:sz w:val="24"/>
          <w:szCs w:val="24"/>
        </w:rPr>
        <w:t>ha</w:t>
      </w:r>
      <w:r w:rsidR="00453E33">
        <w:rPr>
          <w:rFonts w:ascii="Times New Roman" w:hAnsi="Times New Roman" w:cs="Times New Roman"/>
          <w:sz w:val="24"/>
          <w:szCs w:val="24"/>
          <w:vertAlign w:val="superscript"/>
        </w:rPr>
        <w:t xml:space="preserve"> </w:t>
      </w:r>
      <w:r w:rsidR="00453E33" w:rsidRPr="00F75A5E">
        <w:rPr>
          <w:rFonts w:ascii="Times New Roman" w:hAnsi="Times New Roman" w:cs="Times New Roman"/>
          <w:sz w:val="24"/>
          <w:szCs w:val="24"/>
        </w:rPr>
        <w:t>p</w:t>
      </w:r>
      <w:r w:rsidRPr="00F75A5E">
        <w:rPr>
          <w:rFonts w:ascii="Times New Roman" w:hAnsi="Times New Roman" w:cs="Times New Roman"/>
          <w:sz w:val="24"/>
          <w:szCs w:val="24"/>
        </w:rPr>
        <w:t xml:space="preserve"> = 60). These findings, derived from 8 beats (n = 8) across 24,331.42 ha, highlight species-specific contributions to carbon storage, with implications for forest management.</w:t>
      </w:r>
    </w:p>
    <w:p w14:paraId="3CF863F1" w14:textId="77777777" w:rsidR="00D218DB" w:rsidRDefault="00D218DB" w:rsidP="0082771A">
      <w:pPr>
        <w:spacing w:line="360" w:lineRule="auto"/>
        <w:jc w:val="both"/>
        <w:rPr>
          <w:rFonts w:ascii="Times New Roman" w:hAnsi="Times New Roman" w:cs="Times New Roman"/>
          <w:b/>
          <w:bCs/>
          <w:sz w:val="24"/>
          <w:szCs w:val="24"/>
        </w:rPr>
      </w:pPr>
      <w:r w:rsidRPr="00D218DB">
        <w:rPr>
          <w:rFonts w:ascii="Times New Roman" w:hAnsi="Times New Roman" w:cs="Times New Roman"/>
          <w:b/>
          <w:bCs/>
          <w:sz w:val="24"/>
          <w:szCs w:val="24"/>
        </w:rPr>
        <w:t>Discussion</w:t>
      </w:r>
    </w:p>
    <w:p w14:paraId="06187738" w14:textId="77777777" w:rsidR="0082771A" w:rsidRPr="0082771A" w:rsidRDefault="0082771A" w:rsidP="0082771A">
      <w:pPr>
        <w:spacing w:line="360" w:lineRule="auto"/>
        <w:jc w:val="both"/>
        <w:rPr>
          <w:rFonts w:ascii="Times New Roman" w:hAnsi="Times New Roman" w:cs="Times New Roman"/>
          <w:sz w:val="24"/>
          <w:szCs w:val="24"/>
        </w:rPr>
      </w:pPr>
      <w:r w:rsidRPr="0082771A">
        <w:rPr>
          <w:rFonts w:ascii="Times New Roman" w:hAnsi="Times New Roman" w:cs="Times New Roman"/>
          <w:sz w:val="24"/>
          <w:szCs w:val="24"/>
        </w:rPr>
        <w:t>The dominance of SOC across all beats underscores its role as the most stable and substantial carbon reservoir in dry deciduous forests. This finding aligns with studies in other parts of India where soils account for 70–90% of total ecosystem carbon. Litter and herbaceous pools, although smaller, are ecologically important because they contribute to nutrient cycling and can respond rapidly to seasonal and anthropogenic pressures.</w:t>
      </w:r>
    </w:p>
    <w:p w14:paraId="73A25404" w14:textId="77777777" w:rsidR="0082771A" w:rsidRPr="0082771A" w:rsidRDefault="0082771A" w:rsidP="0082771A">
      <w:pPr>
        <w:spacing w:line="360" w:lineRule="auto"/>
        <w:jc w:val="both"/>
        <w:rPr>
          <w:rFonts w:ascii="Times New Roman" w:hAnsi="Times New Roman" w:cs="Times New Roman"/>
          <w:sz w:val="24"/>
          <w:szCs w:val="24"/>
        </w:rPr>
      </w:pPr>
      <w:r w:rsidRPr="0082771A">
        <w:rPr>
          <w:rFonts w:ascii="Times New Roman" w:hAnsi="Times New Roman" w:cs="Times New Roman"/>
          <w:sz w:val="24"/>
          <w:szCs w:val="24"/>
        </w:rPr>
        <w:t>The exploratory associations between tree density and carbon storage are ecologically plausible, as denser stands can enhance organic matter inputs through litterfall and root turnover. However, these findings are based on single 20 × 20 m plots per beat and should not be generalized across the entire 24,000 ha range without additional replication. Seasonal variation is another consideration, since litter and herbaceous carbon stocks fluctuate with monsoon rainfall and decomposition rates. Future studies should therefore include repeated sampling across seasons and multiple plots per beat to improve robustness.</w:t>
      </w:r>
    </w:p>
    <w:p w14:paraId="357E11E5" w14:textId="77777777" w:rsidR="0082771A" w:rsidRPr="0082771A" w:rsidRDefault="0082771A" w:rsidP="0082771A">
      <w:pPr>
        <w:spacing w:line="360" w:lineRule="auto"/>
        <w:jc w:val="both"/>
        <w:rPr>
          <w:rFonts w:ascii="Times New Roman" w:hAnsi="Times New Roman" w:cs="Times New Roman"/>
          <w:sz w:val="24"/>
          <w:szCs w:val="24"/>
        </w:rPr>
      </w:pPr>
      <w:r w:rsidRPr="0082771A">
        <w:rPr>
          <w:rFonts w:ascii="Times New Roman" w:hAnsi="Times New Roman" w:cs="Times New Roman"/>
          <w:sz w:val="24"/>
          <w:szCs w:val="24"/>
        </w:rPr>
        <w:t>Despite these limitations, this study provides a valuable baseline dataset for non-tree carbon pools in the Polavaram Range. Such information is scarce in Andhra Pradesh, and these results can inform regional carbon accounting, climate mitigation strategies, and sustainable forest management. They also highlight methodological issues such as the need to supplement Walkley–Black analysis with more accurate techniques that will be useful for other researchers designing similar studies.</w:t>
      </w:r>
    </w:p>
    <w:p w14:paraId="55D4F1DA" w14:textId="77777777" w:rsidR="0082771A" w:rsidRPr="0082771A" w:rsidRDefault="0082771A" w:rsidP="0082771A">
      <w:pPr>
        <w:spacing w:line="360" w:lineRule="auto"/>
        <w:jc w:val="both"/>
        <w:rPr>
          <w:rFonts w:ascii="Times New Roman" w:hAnsi="Times New Roman" w:cs="Times New Roman"/>
          <w:sz w:val="24"/>
          <w:szCs w:val="24"/>
        </w:rPr>
      </w:pPr>
    </w:p>
    <w:p w14:paraId="4DD76F9A" w14:textId="77777777" w:rsidR="0082771A" w:rsidRDefault="0082771A" w:rsidP="0082771A">
      <w:pPr>
        <w:spacing w:line="360" w:lineRule="auto"/>
        <w:jc w:val="both"/>
        <w:rPr>
          <w:rFonts w:ascii="Times New Roman" w:hAnsi="Times New Roman" w:cs="Times New Roman"/>
          <w:b/>
          <w:bCs/>
          <w:sz w:val="24"/>
          <w:szCs w:val="24"/>
        </w:rPr>
      </w:pPr>
    </w:p>
    <w:p w14:paraId="7B9FE5D3" w14:textId="610D147A" w:rsidR="00D218DB" w:rsidRPr="00F75A5E" w:rsidRDefault="00D218DB" w:rsidP="0082771A">
      <w:pPr>
        <w:spacing w:line="360" w:lineRule="auto"/>
        <w:jc w:val="both"/>
        <w:rPr>
          <w:rFonts w:ascii="Times New Roman" w:hAnsi="Times New Roman" w:cs="Times New Roman"/>
          <w:b/>
          <w:bCs/>
          <w:sz w:val="24"/>
          <w:szCs w:val="24"/>
        </w:rPr>
      </w:pPr>
      <w:r w:rsidRPr="00F75A5E">
        <w:rPr>
          <w:rFonts w:ascii="Times New Roman" w:hAnsi="Times New Roman" w:cs="Times New Roman"/>
          <w:b/>
          <w:bCs/>
          <w:sz w:val="24"/>
          <w:szCs w:val="24"/>
        </w:rPr>
        <w:t>Summary</w:t>
      </w:r>
    </w:p>
    <w:p w14:paraId="4040C2BE" w14:textId="12117A98" w:rsidR="00D218DB" w:rsidRPr="00D218DB" w:rsidRDefault="00D218DB" w:rsidP="0082771A">
      <w:pPr>
        <w:spacing w:line="360" w:lineRule="auto"/>
        <w:jc w:val="both"/>
        <w:rPr>
          <w:rFonts w:ascii="Times New Roman" w:hAnsi="Times New Roman" w:cs="Times New Roman"/>
          <w:sz w:val="24"/>
          <w:szCs w:val="24"/>
        </w:rPr>
      </w:pPr>
      <w:r w:rsidRPr="00D218DB">
        <w:rPr>
          <w:rFonts w:ascii="Times New Roman" w:hAnsi="Times New Roman" w:cs="Times New Roman"/>
          <w:sz w:val="24"/>
          <w:szCs w:val="24"/>
        </w:rPr>
        <w:t>This study provides a detailed assessment of carbon storage in non-tree pools across Polavaram Range’s 24,331.42 ha, revealing SOC as the dominant carbon pool (average 81.72 Mg C</w:t>
      </w:r>
      <w:r w:rsidR="00D97839" w:rsidRPr="00D97839">
        <w:rPr>
          <w:rFonts w:ascii="Times New Roman" w:hAnsi="Times New Roman" w:cs="Times New Roman"/>
          <w:sz w:val="24"/>
          <w:szCs w:val="24"/>
        </w:rPr>
        <w:t xml:space="preserve"> </w:t>
      </w:r>
      <w:r w:rsidR="006A4222" w:rsidRPr="00766EDA">
        <w:rPr>
          <w:rFonts w:ascii="Times New Roman" w:hAnsi="Times New Roman" w:cs="Times New Roman"/>
          <w:sz w:val="24"/>
          <w:szCs w:val="24"/>
        </w:rPr>
        <w:t>ha</w:t>
      </w:r>
      <w:r w:rsidR="006A4222">
        <w:rPr>
          <w:rFonts w:ascii="Times New Roman" w:hAnsi="Times New Roman" w:cs="Times New Roman"/>
          <w:sz w:val="24"/>
          <w:szCs w:val="24"/>
          <w:vertAlign w:val="superscript"/>
        </w:rPr>
        <w:t>)</w:t>
      </w:r>
      <w:r w:rsidRPr="00D218DB">
        <w:rPr>
          <w:rFonts w:ascii="Times New Roman" w:hAnsi="Times New Roman" w:cs="Times New Roman"/>
          <w:sz w:val="24"/>
          <w:szCs w:val="24"/>
        </w:rPr>
        <w:t xml:space="preserve"> and highlighting beat-level variations driven by tree traits and species composition. Statistical models explained 58–78% of the variance in carbon stocks, with density </w:t>
      </w:r>
      <w:r w:rsidRPr="00F75A5E">
        <w:rPr>
          <w:rFonts w:ascii="Times New Roman" w:hAnsi="Times New Roman" w:cs="Times New Roman"/>
          <w:sz w:val="24"/>
          <w:szCs w:val="24"/>
        </w:rPr>
        <w:t>and</w:t>
      </w:r>
      <w:r w:rsidRPr="00F75A5E">
        <w:rPr>
          <w:rFonts w:ascii="Times New Roman" w:hAnsi="Times New Roman" w:cs="Times New Roman"/>
          <w:b/>
          <w:bCs/>
          <w:i/>
          <w:iCs/>
          <w:sz w:val="24"/>
          <w:szCs w:val="24"/>
        </w:rPr>
        <w:t xml:space="preserve"> </w:t>
      </w:r>
      <w:proofErr w:type="spellStart"/>
      <w:r w:rsidRPr="00F75A5E">
        <w:rPr>
          <w:rFonts w:ascii="Times New Roman" w:hAnsi="Times New Roman" w:cs="Times New Roman"/>
          <w:b/>
          <w:bCs/>
          <w:i/>
          <w:iCs/>
          <w:sz w:val="24"/>
          <w:szCs w:val="24"/>
        </w:rPr>
        <w:t>Milletia</w:t>
      </w:r>
      <w:proofErr w:type="spellEnd"/>
      <w:r w:rsidRPr="00F75A5E">
        <w:rPr>
          <w:rFonts w:ascii="Times New Roman" w:hAnsi="Times New Roman" w:cs="Times New Roman"/>
          <w:b/>
          <w:bCs/>
          <w:i/>
          <w:iCs/>
          <w:sz w:val="24"/>
          <w:szCs w:val="24"/>
        </w:rPr>
        <w:t xml:space="preserve"> </w:t>
      </w:r>
      <w:proofErr w:type="spellStart"/>
      <w:r w:rsidRPr="00F75A5E">
        <w:rPr>
          <w:rFonts w:ascii="Times New Roman" w:hAnsi="Times New Roman" w:cs="Times New Roman"/>
          <w:b/>
          <w:bCs/>
          <w:i/>
          <w:iCs/>
          <w:sz w:val="24"/>
          <w:szCs w:val="24"/>
        </w:rPr>
        <w:t>auriculata</w:t>
      </w:r>
      <w:proofErr w:type="spellEnd"/>
      <w:r w:rsidRPr="00D218DB">
        <w:rPr>
          <w:rFonts w:ascii="Times New Roman" w:hAnsi="Times New Roman" w:cs="Times New Roman"/>
          <w:sz w:val="24"/>
          <w:szCs w:val="24"/>
        </w:rPr>
        <w:t xml:space="preserve"> as key drivers for SOC, and height and </w:t>
      </w:r>
      <w:r w:rsidRPr="00F75A5E">
        <w:rPr>
          <w:rFonts w:ascii="Times New Roman" w:hAnsi="Times New Roman" w:cs="Times New Roman"/>
          <w:b/>
          <w:bCs/>
          <w:i/>
          <w:iCs/>
          <w:sz w:val="24"/>
          <w:szCs w:val="24"/>
        </w:rPr>
        <w:t xml:space="preserve">Terminalia </w:t>
      </w:r>
      <w:proofErr w:type="spellStart"/>
      <w:r w:rsidRPr="00F75A5E">
        <w:rPr>
          <w:rFonts w:ascii="Times New Roman" w:hAnsi="Times New Roman" w:cs="Times New Roman"/>
          <w:b/>
          <w:bCs/>
          <w:i/>
          <w:iCs/>
          <w:sz w:val="24"/>
          <w:szCs w:val="24"/>
        </w:rPr>
        <w:t>corlacea</w:t>
      </w:r>
      <w:proofErr w:type="spellEnd"/>
      <w:r w:rsidRPr="00D218DB">
        <w:rPr>
          <w:rFonts w:ascii="Times New Roman" w:hAnsi="Times New Roman" w:cs="Times New Roman"/>
          <w:sz w:val="24"/>
          <w:szCs w:val="24"/>
        </w:rPr>
        <w:t xml:space="preserve"> enhancing litter carbon. The findings align with regional benchmarks for tropical dry deciduous forests, emphasizing the range’s role in carbon sequestration </w:t>
      </w:r>
      <w:r w:rsidRPr="00F75A5E">
        <w:rPr>
          <w:rFonts w:ascii="Times New Roman" w:hAnsi="Times New Roman" w:cs="Times New Roman"/>
          <w:b/>
          <w:bCs/>
          <w:sz w:val="24"/>
          <w:szCs w:val="24"/>
        </w:rPr>
        <w:t>(Kumar, 2009).</w:t>
      </w:r>
    </w:p>
    <w:p w14:paraId="0F7BCCDE" w14:textId="77777777" w:rsidR="00D218DB" w:rsidRPr="00F75A5E" w:rsidRDefault="00D218DB" w:rsidP="0082771A">
      <w:pPr>
        <w:spacing w:line="360" w:lineRule="auto"/>
        <w:jc w:val="both"/>
        <w:rPr>
          <w:rFonts w:ascii="Times New Roman" w:hAnsi="Times New Roman" w:cs="Times New Roman"/>
          <w:b/>
          <w:bCs/>
          <w:sz w:val="24"/>
          <w:szCs w:val="24"/>
        </w:rPr>
      </w:pPr>
      <w:r w:rsidRPr="00F75A5E">
        <w:rPr>
          <w:rFonts w:ascii="Times New Roman" w:hAnsi="Times New Roman" w:cs="Times New Roman"/>
          <w:b/>
          <w:bCs/>
          <w:sz w:val="24"/>
          <w:szCs w:val="24"/>
        </w:rPr>
        <w:t>Conclusion</w:t>
      </w:r>
    </w:p>
    <w:p w14:paraId="1B6F0BF6" w14:textId="708E77ED" w:rsidR="00D218DB" w:rsidRDefault="00D218DB" w:rsidP="0082771A">
      <w:pPr>
        <w:spacing w:line="360" w:lineRule="auto"/>
        <w:jc w:val="both"/>
        <w:rPr>
          <w:rFonts w:ascii="Times New Roman" w:hAnsi="Times New Roman" w:cs="Times New Roman"/>
          <w:sz w:val="24"/>
          <w:szCs w:val="24"/>
        </w:rPr>
      </w:pPr>
      <w:r w:rsidRPr="00D218DB">
        <w:rPr>
          <w:rFonts w:ascii="Times New Roman" w:hAnsi="Times New Roman" w:cs="Times New Roman"/>
          <w:sz w:val="24"/>
          <w:szCs w:val="24"/>
        </w:rPr>
        <w:t>This research confirms that litter, herbaceous vegetation, and SOC are major carbon reservoirs in Polavaram Range, with total stocks averaging 75 Mg C</w:t>
      </w:r>
      <w:r w:rsidR="00D97839" w:rsidRPr="00D97839">
        <w:rPr>
          <w:rFonts w:ascii="Times New Roman" w:hAnsi="Times New Roman" w:cs="Times New Roman"/>
          <w:sz w:val="24"/>
          <w:szCs w:val="24"/>
        </w:rPr>
        <w:t xml:space="preserve"> </w:t>
      </w:r>
      <w:r w:rsidR="00D97839" w:rsidRPr="00766EDA">
        <w:rPr>
          <w:rFonts w:ascii="Times New Roman" w:hAnsi="Times New Roman" w:cs="Times New Roman"/>
          <w:sz w:val="24"/>
          <w:szCs w:val="24"/>
        </w:rPr>
        <w:t>h</w:t>
      </w:r>
      <w:r w:rsidR="006A4222">
        <w:rPr>
          <w:rFonts w:ascii="Times New Roman" w:hAnsi="Times New Roman" w:cs="Times New Roman"/>
          <w:sz w:val="24"/>
          <w:szCs w:val="24"/>
        </w:rPr>
        <w:t xml:space="preserve">a </w:t>
      </w:r>
      <w:r w:rsidRPr="00D218DB">
        <w:rPr>
          <w:rFonts w:ascii="Times New Roman" w:hAnsi="Times New Roman" w:cs="Times New Roman"/>
          <w:sz w:val="24"/>
          <w:szCs w:val="24"/>
        </w:rPr>
        <w:t xml:space="preserve">across its eight beats within a </w:t>
      </w:r>
      <w:r w:rsidR="00F75A5E" w:rsidRPr="00D218DB">
        <w:rPr>
          <w:rFonts w:ascii="Times New Roman" w:hAnsi="Times New Roman" w:cs="Times New Roman"/>
          <w:sz w:val="24"/>
          <w:szCs w:val="24"/>
        </w:rPr>
        <w:t>24,331.42-ha</w:t>
      </w:r>
      <w:r w:rsidRPr="00D218DB">
        <w:rPr>
          <w:rFonts w:ascii="Times New Roman" w:hAnsi="Times New Roman" w:cs="Times New Roman"/>
          <w:sz w:val="24"/>
          <w:szCs w:val="24"/>
        </w:rPr>
        <w:t xml:space="preserve"> forest landscape. Statistical analysis highlights the significant influence of tree height, density, and species like </w:t>
      </w:r>
      <w:proofErr w:type="spellStart"/>
      <w:r w:rsidRPr="00F75A5E">
        <w:rPr>
          <w:rFonts w:ascii="Times New Roman" w:hAnsi="Times New Roman" w:cs="Times New Roman"/>
          <w:b/>
          <w:bCs/>
          <w:i/>
          <w:iCs/>
          <w:sz w:val="24"/>
          <w:szCs w:val="24"/>
        </w:rPr>
        <w:t>Milletia</w:t>
      </w:r>
      <w:proofErr w:type="spellEnd"/>
      <w:r w:rsidRPr="00F75A5E">
        <w:rPr>
          <w:rFonts w:ascii="Times New Roman" w:hAnsi="Times New Roman" w:cs="Times New Roman"/>
          <w:b/>
          <w:bCs/>
          <w:i/>
          <w:iCs/>
          <w:sz w:val="24"/>
          <w:szCs w:val="24"/>
        </w:rPr>
        <w:t xml:space="preserve"> </w:t>
      </w:r>
      <w:proofErr w:type="spellStart"/>
      <w:r w:rsidRPr="00F75A5E">
        <w:rPr>
          <w:rFonts w:ascii="Times New Roman" w:hAnsi="Times New Roman" w:cs="Times New Roman"/>
          <w:b/>
          <w:bCs/>
          <w:i/>
          <w:iCs/>
          <w:sz w:val="24"/>
          <w:szCs w:val="24"/>
        </w:rPr>
        <w:t>auriculata</w:t>
      </w:r>
      <w:proofErr w:type="spellEnd"/>
      <w:r w:rsidRPr="00D218DB">
        <w:rPr>
          <w:rFonts w:ascii="Times New Roman" w:hAnsi="Times New Roman" w:cs="Times New Roman"/>
          <w:sz w:val="24"/>
          <w:szCs w:val="24"/>
        </w:rPr>
        <w:t xml:space="preserve"> and </w:t>
      </w:r>
      <w:r w:rsidRPr="00F75A5E">
        <w:rPr>
          <w:rFonts w:ascii="Times New Roman" w:hAnsi="Times New Roman" w:cs="Times New Roman"/>
          <w:b/>
          <w:bCs/>
          <w:i/>
          <w:iCs/>
          <w:sz w:val="24"/>
          <w:szCs w:val="24"/>
        </w:rPr>
        <w:t xml:space="preserve">Terminalia </w:t>
      </w:r>
      <w:proofErr w:type="spellStart"/>
      <w:r w:rsidRPr="00F75A5E">
        <w:rPr>
          <w:rFonts w:ascii="Times New Roman" w:hAnsi="Times New Roman" w:cs="Times New Roman"/>
          <w:b/>
          <w:bCs/>
          <w:i/>
          <w:iCs/>
          <w:sz w:val="24"/>
          <w:szCs w:val="24"/>
        </w:rPr>
        <w:t>corlacea</w:t>
      </w:r>
      <w:proofErr w:type="spellEnd"/>
      <w:r w:rsidRPr="00D218DB">
        <w:rPr>
          <w:rFonts w:ascii="Times New Roman" w:hAnsi="Times New Roman" w:cs="Times New Roman"/>
          <w:sz w:val="24"/>
          <w:szCs w:val="24"/>
        </w:rPr>
        <w:t xml:space="preserve"> on non-tree carbon dynamics, offering insights for sustainable forest management in tropical dry deciduous forests. By focusing on these understudied components, the study underscores their potential for climate change mitigation. Promoting species with high litterfall and dense growth can enhance carbon storage, supporting India’s conservation goals and carbon credit initiatives in the Eastern Ghats.</w:t>
      </w:r>
    </w:p>
    <w:p w14:paraId="3FF10E43" w14:textId="77777777" w:rsidR="00A4601E" w:rsidRDefault="00A4601E" w:rsidP="00A4601E">
      <w:r>
        <w:t>Disclaimer (Artificial intelligence)</w:t>
      </w:r>
    </w:p>
    <w:p w14:paraId="66B6BB3A" w14:textId="77777777" w:rsidR="0082771A" w:rsidRPr="0082771A" w:rsidRDefault="0082771A" w:rsidP="0082771A">
      <w:pPr>
        <w:spacing w:line="360" w:lineRule="auto"/>
        <w:jc w:val="both"/>
        <w:rPr>
          <w:rFonts w:ascii="Times New Roman" w:hAnsi="Times New Roman" w:cs="Times New Roman"/>
          <w:sz w:val="24"/>
          <w:szCs w:val="24"/>
        </w:rPr>
      </w:pPr>
      <w:r w:rsidRPr="0082771A">
        <w:rPr>
          <w:rFonts w:ascii="Times New Roman" w:hAnsi="Times New Roman" w:cs="Times New Roman"/>
          <w:sz w:val="24"/>
          <w:szCs w:val="24"/>
        </w:rPr>
        <w:t>I would like to clarify that I am the author of this manuscript and I have not used any generative AI tools (such as ChatGPT, Copilot, or text-to-image generators) in preparing or editing this work. I have only used Google, Google Scholar, and ResearchGate for literature search and reference purposes.</w:t>
      </w:r>
    </w:p>
    <w:p w14:paraId="1CE5ECD6" w14:textId="42ABE1C5" w:rsidR="000C5794" w:rsidRPr="000C5794" w:rsidRDefault="00D218DB" w:rsidP="0082771A">
      <w:pPr>
        <w:spacing w:line="360" w:lineRule="auto"/>
        <w:jc w:val="both"/>
        <w:rPr>
          <w:rFonts w:ascii="Times New Roman" w:hAnsi="Times New Roman" w:cs="Times New Roman"/>
          <w:b/>
          <w:bCs/>
          <w:sz w:val="24"/>
          <w:szCs w:val="24"/>
        </w:rPr>
      </w:pPr>
      <w:r w:rsidRPr="00F75A5E">
        <w:rPr>
          <w:rFonts w:ascii="Times New Roman" w:hAnsi="Times New Roman" w:cs="Times New Roman"/>
          <w:b/>
          <w:bCs/>
          <w:sz w:val="24"/>
          <w:szCs w:val="24"/>
        </w:rPr>
        <w:t>References</w:t>
      </w:r>
    </w:p>
    <w:p w14:paraId="18CD782B" w14:textId="77777777" w:rsidR="008F16AD"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r w:rsidRPr="00631F76">
        <w:rPr>
          <w:rFonts w:ascii="Times New Roman" w:hAnsi="Times New Roman" w:cs="Times New Roman"/>
          <w:b/>
          <w:bCs/>
          <w:sz w:val="24"/>
          <w:szCs w:val="24"/>
        </w:rPr>
        <w:t>Chave, J., Condit, R., Aguilar, S., Hernandez, A., Lao, S., &amp; Perez, R. (2004).</w:t>
      </w:r>
      <w:r w:rsidRPr="00631F76">
        <w:rPr>
          <w:rFonts w:ascii="Times New Roman" w:hAnsi="Times New Roman" w:cs="Times New Roman"/>
          <w:sz w:val="24"/>
          <w:szCs w:val="24"/>
        </w:rPr>
        <w:t xml:space="preserve"> Error propagation and scaling for tropical forest biomass estimates. Philosophical Transactions of the Royal Society B: Biological Sciences, 359(1443), 409–420.</w:t>
      </w:r>
    </w:p>
    <w:p w14:paraId="1D87CBDC" w14:textId="77777777" w:rsidR="008F16AD"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r w:rsidRPr="005538C4">
        <w:rPr>
          <w:rFonts w:ascii="Times New Roman" w:hAnsi="Times New Roman" w:cs="Times New Roman"/>
          <w:b/>
          <w:bCs/>
          <w:sz w:val="24"/>
          <w:szCs w:val="24"/>
          <w:lang w:val="fr-FR"/>
        </w:rPr>
        <w:lastRenderedPageBreak/>
        <w:t>Jha, C. S., Goparaju, L., Tripathi, A., Gharai, B., Raghubanshi, A. S., &amp; Singh, J. S. (2005).</w:t>
      </w:r>
      <w:r w:rsidRPr="005538C4">
        <w:rPr>
          <w:rFonts w:ascii="Times New Roman" w:hAnsi="Times New Roman" w:cs="Times New Roman"/>
          <w:sz w:val="24"/>
          <w:szCs w:val="24"/>
          <w:lang w:val="fr-FR"/>
        </w:rPr>
        <w:t xml:space="preserve"> </w:t>
      </w:r>
      <w:r w:rsidRPr="00631F76">
        <w:rPr>
          <w:rFonts w:ascii="Times New Roman" w:hAnsi="Times New Roman" w:cs="Times New Roman"/>
          <w:sz w:val="24"/>
          <w:szCs w:val="24"/>
        </w:rPr>
        <w:t>Forest fragmentation and its impact on species diversity and carbon sequestration in the tropical dry deciduous forests of India. Ecological Modelling, 185(2–4), 183–199.</w:t>
      </w:r>
    </w:p>
    <w:p w14:paraId="7DA48046" w14:textId="77777777" w:rsidR="008F16AD"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r w:rsidRPr="00631F76">
        <w:rPr>
          <w:rFonts w:ascii="Times New Roman" w:hAnsi="Times New Roman" w:cs="Times New Roman"/>
          <w:b/>
          <w:bCs/>
          <w:sz w:val="24"/>
          <w:szCs w:val="24"/>
        </w:rPr>
        <w:t>Kumar, A. (2009).</w:t>
      </w:r>
      <w:r w:rsidRPr="00631F76">
        <w:rPr>
          <w:rFonts w:ascii="Times New Roman" w:hAnsi="Times New Roman" w:cs="Times New Roman"/>
          <w:sz w:val="24"/>
          <w:szCs w:val="24"/>
        </w:rPr>
        <w:t xml:space="preserve"> Carbon sequestration and biomass production in tropical dry deciduous forests of India. Journal of Environmental Management, 90(8), 2456–2464.</w:t>
      </w:r>
    </w:p>
    <w:p w14:paraId="2AD9F6F7" w14:textId="77777777" w:rsidR="008F16AD"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r w:rsidRPr="00631F76">
        <w:rPr>
          <w:rFonts w:ascii="Times New Roman" w:hAnsi="Times New Roman" w:cs="Times New Roman"/>
          <w:b/>
          <w:bCs/>
          <w:sz w:val="24"/>
          <w:szCs w:val="24"/>
        </w:rPr>
        <w:t>Lal, R. (2005).</w:t>
      </w:r>
      <w:r w:rsidRPr="00631F76">
        <w:rPr>
          <w:rFonts w:ascii="Times New Roman" w:hAnsi="Times New Roman" w:cs="Times New Roman"/>
          <w:sz w:val="24"/>
          <w:szCs w:val="24"/>
        </w:rPr>
        <w:t xml:space="preserve"> Forest soils and carbon sequestration. Forest Ecology and Management, 220(1–3), 242–258.</w:t>
      </w:r>
    </w:p>
    <w:p w14:paraId="06E42D30" w14:textId="77777777" w:rsidR="008F16AD"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r w:rsidRPr="00631F76">
        <w:rPr>
          <w:rFonts w:ascii="Times New Roman" w:hAnsi="Times New Roman" w:cs="Times New Roman"/>
          <w:b/>
          <w:bCs/>
          <w:sz w:val="24"/>
          <w:szCs w:val="24"/>
        </w:rPr>
        <w:t xml:space="preserve">Lasco, R. D., &amp; </w:t>
      </w:r>
      <w:proofErr w:type="spellStart"/>
      <w:r w:rsidRPr="00631F76">
        <w:rPr>
          <w:rFonts w:ascii="Times New Roman" w:hAnsi="Times New Roman" w:cs="Times New Roman"/>
          <w:b/>
          <w:bCs/>
          <w:sz w:val="24"/>
          <w:szCs w:val="24"/>
        </w:rPr>
        <w:t>Pulhin</w:t>
      </w:r>
      <w:proofErr w:type="spellEnd"/>
      <w:r w:rsidRPr="00631F76">
        <w:rPr>
          <w:rFonts w:ascii="Times New Roman" w:hAnsi="Times New Roman" w:cs="Times New Roman"/>
          <w:b/>
          <w:bCs/>
          <w:sz w:val="24"/>
          <w:szCs w:val="24"/>
        </w:rPr>
        <w:t>, J. M. (2006).</w:t>
      </w:r>
      <w:r w:rsidRPr="00631F76">
        <w:rPr>
          <w:rFonts w:ascii="Times New Roman" w:hAnsi="Times New Roman" w:cs="Times New Roman"/>
          <w:sz w:val="24"/>
          <w:szCs w:val="24"/>
        </w:rPr>
        <w:t xml:space="preserve"> Carbon budgets of tropical forest ecosystems in Southeast Asia: A review. Journal of Tropical Forest Science, 18(1), 1–10.</w:t>
      </w:r>
    </w:p>
    <w:p w14:paraId="3F464E99" w14:textId="77777777" w:rsidR="008F16AD"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proofErr w:type="spellStart"/>
      <w:r w:rsidRPr="00631F76">
        <w:rPr>
          <w:rFonts w:ascii="Times New Roman" w:hAnsi="Times New Roman" w:cs="Times New Roman"/>
          <w:b/>
          <w:bCs/>
          <w:sz w:val="24"/>
          <w:szCs w:val="24"/>
        </w:rPr>
        <w:t>Malhi</w:t>
      </w:r>
      <w:proofErr w:type="spellEnd"/>
      <w:r w:rsidRPr="00631F76">
        <w:rPr>
          <w:rFonts w:ascii="Times New Roman" w:hAnsi="Times New Roman" w:cs="Times New Roman"/>
          <w:b/>
          <w:bCs/>
          <w:sz w:val="24"/>
          <w:szCs w:val="24"/>
        </w:rPr>
        <w:t>, Y., Wood, D., Baker, T. R., Wright, J., Phillips, O. L., &amp; Cochrane, T. (2006).</w:t>
      </w:r>
      <w:r w:rsidRPr="00631F76">
        <w:rPr>
          <w:rFonts w:ascii="Times New Roman" w:hAnsi="Times New Roman" w:cs="Times New Roman"/>
          <w:sz w:val="24"/>
          <w:szCs w:val="24"/>
        </w:rPr>
        <w:t xml:space="preserve"> The regional variation of aboveground live biomass in tropical forests of the Americas and its relationship with climate and soil. Global Change Biology, 12(7), 1360–1376.</w:t>
      </w:r>
    </w:p>
    <w:p w14:paraId="074207EC" w14:textId="77777777" w:rsidR="008F16AD"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r w:rsidRPr="00631F76">
        <w:rPr>
          <w:rFonts w:ascii="Times New Roman" w:hAnsi="Times New Roman" w:cs="Times New Roman"/>
          <w:b/>
          <w:bCs/>
          <w:sz w:val="24"/>
          <w:szCs w:val="24"/>
        </w:rPr>
        <w:t>Pan, Y., Birdsey, R. A., Fang, J., Houghton, R., Kauppi, P. E., Kurz, W. A., ... &amp; Ciais, P. (2011).</w:t>
      </w:r>
      <w:r w:rsidRPr="00631F76">
        <w:rPr>
          <w:rFonts w:ascii="Times New Roman" w:hAnsi="Times New Roman" w:cs="Times New Roman"/>
          <w:sz w:val="24"/>
          <w:szCs w:val="24"/>
        </w:rPr>
        <w:t xml:space="preserve"> A large and persistent carbon sink in the world’s forests. Science, 333(6045), 988–993.</w:t>
      </w:r>
    </w:p>
    <w:p w14:paraId="4B958CFB" w14:textId="77777777" w:rsidR="007F274B" w:rsidRPr="005E283E" w:rsidRDefault="007F274B" w:rsidP="00631F76">
      <w:pPr>
        <w:pStyle w:val="ListParagraph"/>
        <w:numPr>
          <w:ilvl w:val="0"/>
          <w:numId w:val="2"/>
        </w:numPr>
        <w:spacing w:line="360" w:lineRule="auto"/>
        <w:jc w:val="both"/>
        <w:rPr>
          <w:rFonts w:ascii="Times New Roman" w:hAnsi="Times New Roman" w:cs="Times New Roman"/>
          <w:sz w:val="24"/>
          <w:szCs w:val="24"/>
        </w:rPr>
      </w:pPr>
      <w:r w:rsidRPr="005E283E">
        <w:rPr>
          <w:rFonts w:ascii="Times New Roman" w:hAnsi="Times New Roman" w:cs="Times New Roman"/>
          <w:bCs/>
          <w:sz w:val="24"/>
          <w:szCs w:val="24"/>
        </w:rPr>
        <w:t xml:space="preserve">Pascal, J. P., &amp; Ramesh, B. R. (1987). A field key to the trees and lianas of the evergreen forests of the Western Ghats (India). Travaux de la section </w:t>
      </w:r>
      <w:proofErr w:type="spellStart"/>
      <w:r w:rsidRPr="005E283E">
        <w:rPr>
          <w:rFonts w:ascii="Times New Roman" w:hAnsi="Times New Roman" w:cs="Times New Roman"/>
          <w:bCs/>
          <w:sz w:val="24"/>
          <w:szCs w:val="24"/>
        </w:rPr>
        <w:t>scientifique</w:t>
      </w:r>
      <w:proofErr w:type="spellEnd"/>
      <w:r w:rsidRPr="005E283E">
        <w:rPr>
          <w:rFonts w:ascii="Times New Roman" w:hAnsi="Times New Roman" w:cs="Times New Roman"/>
          <w:bCs/>
          <w:sz w:val="24"/>
          <w:szCs w:val="24"/>
        </w:rPr>
        <w:t xml:space="preserve"> et technique. </w:t>
      </w:r>
      <w:proofErr w:type="spellStart"/>
      <w:r w:rsidRPr="005E283E">
        <w:rPr>
          <w:rFonts w:ascii="Times New Roman" w:hAnsi="Times New Roman" w:cs="Times New Roman"/>
          <w:bCs/>
          <w:sz w:val="24"/>
          <w:szCs w:val="24"/>
        </w:rPr>
        <w:t>Institut</w:t>
      </w:r>
      <w:proofErr w:type="spellEnd"/>
      <w:r w:rsidRPr="005E283E">
        <w:rPr>
          <w:rFonts w:ascii="Times New Roman" w:hAnsi="Times New Roman" w:cs="Times New Roman"/>
          <w:bCs/>
          <w:sz w:val="24"/>
          <w:szCs w:val="24"/>
        </w:rPr>
        <w:t xml:space="preserve"> </w:t>
      </w:r>
      <w:proofErr w:type="spellStart"/>
      <w:r w:rsidRPr="005E283E">
        <w:rPr>
          <w:rFonts w:ascii="Times New Roman" w:hAnsi="Times New Roman" w:cs="Times New Roman"/>
          <w:bCs/>
          <w:sz w:val="24"/>
          <w:szCs w:val="24"/>
        </w:rPr>
        <w:t>français</w:t>
      </w:r>
      <w:proofErr w:type="spellEnd"/>
      <w:r w:rsidRPr="005E283E">
        <w:rPr>
          <w:rFonts w:ascii="Times New Roman" w:hAnsi="Times New Roman" w:cs="Times New Roman"/>
          <w:bCs/>
          <w:sz w:val="24"/>
          <w:szCs w:val="24"/>
        </w:rPr>
        <w:t xml:space="preserve"> de </w:t>
      </w:r>
      <w:proofErr w:type="spellStart"/>
      <w:r w:rsidRPr="005E283E">
        <w:rPr>
          <w:rFonts w:ascii="Times New Roman" w:hAnsi="Times New Roman" w:cs="Times New Roman"/>
          <w:bCs/>
          <w:sz w:val="24"/>
          <w:szCs w:val="24"/>
        </w:rPr>
        <w:t>Pondichéry</w:t>
      </w:r>
      <w:proofErr w:type="spellEnd"/>
      <w:r w:rsidRPr="005E283E">
        <w:rPr>
          <w:rFonts w:ascii="Times New Roman" w:hAnsi="Times New Roman" w:cs="Times New Roman"/>
          <w:bCs/>
          <w:sz w:val="24"/>
          <w:szCs w:val="24"/>
        </w:rPr>
        <w:t>, 23.</w:t>
      </w:r>
    </w:p>
    <w:p w14:paraId="4719AC0D" w14:textId="37477663" w:rsidR="008F16AD"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r w:rsidRPr="00631F76">
        <w:rPr>
          <w:rFonts w:ascii="Times New Roman" w:hAnsi="Times New Roman" w:cs="Times New Roman"/>
          <w:b/>
          <w:bCs/>
          <w:sz w:val="24"/>
          <w:szCs w:val="24"/>
        </w:rPr>
        <w:t xml:space="preserve">Reddy, C. S., Jha, C. S., &amp; </w:t>
      </w:r>
      <w:proofErr w:type="spellStart"/>
      <w:r w:rsidRPr="00631F76">
        <w:rPr>
          <w:rFonts w:ascii="Times New Roman" w:hAnsi="Times New Roman" w:cs="Times New Roman"/>
          <w:b/>
          <w:bCs/>
          <w:sz w:val="24"/>
          <w:szCs w:val="24"/>
        </w:rPr>
        <w:t>Dadhwal</w:t>
      </w:r>
      <w:proofErr w:type="spellEnd"/>
      <w:r w:rsidRPr="00631F76">
        <w:rPr>
          <w:rFonts w:ascii="Times New Roman" w:hAnsi="Times New Roman" w:cs="Times New Roman"/>
          <w:b/>
          <w:bCs/>
          <w:sz w:val="24"/>
          <w:szCs w:val="24"/>
        </w:rPr>
        <w:t>, V. K. (2016).</w:t>
      </w:r>
      <w:r w:rsidRPr="00631F76">
        <w:rPr>
          <w:rFonts w:ascii="Times New Roman" w:hAnsi="Times New Roman" w:cs="Times New Roman"/>
          <w:sz w:val="24"/>
          <w:szCs w:val="24"/>
        </w:rPr>
        <w:t xml:space="preserve"> Assessment and monitoring of long-term forest cover changes in Odisha, India using remote sensing and GIS. Environmental Monitoring and Assessment, 188(6), 1–15.</w:t>
      </w:r>
    </w:p>
    <w:p w14:paraId="3EEA4484" w14:textId="77777777" w:rsidR="008F16AD"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r w:rsidRPr="00631F76">
        <w:rPr>
          <w:rFonts w:ascii="Times New Roman" w:hAnsi="Times New Roman" w:cs="Times New Roman"/>
          <w:b/>
          <w:bCs/>
          <w:sz w:val="24"/>
          <w:szCs w:val="24"/>
        </w:rPr>
        <w:t xml:space="preserve">Saatchi, S. S., Harris, N. L., Brown, S., Lefsky, M., </w:t>
      </w:r>
      <w:proofErr w:type="spellStart"/>
      <w:r w:rsidRPr="00631F76">
        <w:rPr>
          <w:rFonts w:ascii="Times New Roman" w:hAnsi="Times New Roman" w:cs="Times New Roman"/>
          <w:b/>
          <w:bCs/>
          <w:sz w:val="24"/>
          <w:szCs w:val="24"/>
        </w:rPr>
        <w:t>Mitchard</w:t>
      </w:r>
      <w:proofErr w:type="spellEnd"/>
      <w:r w:rsidRPr="00631F76">
        <w:rPr>
          <w:rFonts w:ascii="Times New Roman" w:hAnsi="Times New Roman" w:cs="Times New Roman"/>
          <w:b/>
          <w:bCs/>
          <w:sz w:val="24"/>
          <w:szCs w:val="24"/>
        </w:rPr>
        <w:t>, E. T. A., Salas, W., ... &amp; Morel, A. (2011).</w:t>
      </w:r>
      <w:r w:rsidRPr="00631F76">
        <w:rPr>
          <w:rFonts w:ascii="Times New Roman" w:hAnsi="Times New Roman" w:cs="Times New Roman"/>
          <w:sz w:val="24"/>
          <w:szCs w:val="24"/>
        </w:rPr>
        <w:t xml:space="preserve"> Benchmark map of forest carbon stocks in tropical regions across three continents. Proceedings of the National Academy of Sciences, 108(24), 9899–9904.</w:t>
      </w:r>
    </w:p>
    <w:p w14:paraId="3C5354F8" w14:textId="12AA8115" w:rsidR="008F16AD" w:rsidRDefault="008F16AD" w:rsidP="00631F76">
      <w:pPr>
        <w:pStyle w:val="ListParagraph"/>
        <w:numPr>
          <w:ilvl w:val="0"/>
          <w:numId w:val="2"/>
        </w:numPr>
        <w:spacing w:line="360" w:lineRule="auto"/>
        <w:jc w:val="both"/>
        <w:rPr>
          <w:rFonts w:ascii="Times New Roman" w:hAnsi="Times New Roman" w:cs="Times New Roman"/>
          <w:sz w:val="24"/>
          <w:szCs w:val="24"/>
        </w:rPr>
      </w:pPr>
      <w:r w:rsidRPr="00631F76">
        <w:rPr>
          <w:rFonts w:ascii="Times New Roman" w:hAnsi="Times New Roman" w:cs="Times New Roman"/>
          <w:b/>
          <w:bCs/>
          <w:sz w:val="24"/>
          <w:szCs w:val="24"/>
        </w:rPr>
        <w:t xml:space="preserve">Solomon, N., Birhane, E., Tadesse, T., </w:t>
      </w:r>
      <w:proofErr w:type="spellStart"/>
      <w:r w:rsidRPr="00631F76">
        <w:rPr>
          <w:rFonts w:ascii="Times New Roman" w:hAnsi="Times New Roman" w:cs="Times New Roman"/>
          <w:b/>
          <w:bCs/>
          <w:sz w:val="24"/>
          <w:szCs w:val="24"/>
        </w:rPr>
        <w:t>Treydte</w:t>
      </w:r>
      <w:proofErr w:type="spellEnd"/>
      <w:r w:rsidRPr="00631F76">
        <w:rPr>
          <w:rFonts w:ascii="Times New Roman" w:hAnsi="Times New Roman" w:cs="Times New Roman"/>
          <w:b/>
          <w:bCs/>
          <w:sz w:val="24"/>
          <w:szCs w:val="24"/>
        </w:rPr>
        <w:t>, A. C., &amp; Meles, K. (2019).</w:t>
      </w:r>
      <w:r w:rsidRPr="00631F76">
        <w:rPr>
          <w:rFonts w:ascii="Times New Roman" w:hAnsi="Times New Roman" w:cs="Times New Roman"/>
          <w:sz w:val="24"/>
          <w:szCs w:val="24"/>
        </w:rPr>
        <w:t xml:space="preserve"> Carbon stocks and sequestration potential of dry forests under community management in Tigray, Ethiopia. Ecological Indicators, 99, 162–173.</w:t>
      </w:r>
    </w:p>
    <w:p w14:paraId="3226BA60" w14:textId="7EC043DF" w:rsidR="00784E43" w:rsidRPr="00631F76" w:rsidRDefault="00784E43" w:rsidP="00631F76">
      <w:pPr>
        <w:pStyle w:val="ListParagraph"/>
        <w:numPr>
          <w:ilvl w:val="0"/>
          <w:numId w:val="2"/>
        </w:numPr>
        <w:spacing w:line="360" w:lineRule="auto"/>
        <w:jc w:val="both"/>
        <w:rPr>
          <w:rFonts w:ascii="Times New Roman" w:hAnsi="Times New Roman" w:cs="Times New Roman"/>
          <w:sz w:val="24"/>
          <w:szCs w:val="24"/>
        </w:rPr>
      </w:pPr>
      <w:r w:rsidRPr="00784E43">
        <w:rPr>
          <w:rFonts w:ascii="Times New Roman" w:hAnsi="Times New Roman" w:cs="Times New Roman"/>
          <w:sz w:val="24"/>
          <w:szCs w:val="24"/>
        </w:rPr>
        <w:t xml:space="preserve">Meister, K., Ashton, M. S., Craven, D., &amp; </w:t>
      </w:r>
      <w:proofErr w:type="spellStart"/>
      <w:r w:rsidRPr="00784E43">
        <w:rPr>
          <w:rFonts w:ascii="Times New Roman" w:hAnsi="Times New Roman" w:cs="Times New Roman"/>
          <w:sz w:val="24"/>
          <w:szCs w:val="24"/>
        </w:rPr>
        <w:t>Griscom</w:t>
      </w:r>
      <w:proofErr w:type="spellEnd"/>
      <w:r w:rsidRPr="00784E43">
        <w:rPr>
          <w:rFonts w:ascii="Times New Roman" w:hAnsi="Times New Roman" w:cs="Times New Roman"/>
          <w:sz w:val="24"/>
          <w:szCs w:val="24"/>
        </w:rPr>
        <w:t>, H. (2011). Carbon dynamics of tropical forests. In Managing forest carbon in a changing climate (pp. 51-75). Dordrecht: Springer Netherlands.</w:t>
      </w:r>
    </w:p>
    <w:p w14:paraId="6585DC2D" w14:textId="76083B76" w:rsidR="00B62BC4" w:rsidRPr="00631F76" w:rsidRDefault="008F16AD" w:rsidP="00631F76">
      <w:pPr>
        <w:pStyle w:val="ListParagraph"/>
        <w:numPr>
          <w:ilvl w:val="0"/>
          <w:numId w:val="2"/>
        </w:numPr>
        <w:spacing w:line="360" w:lineRule="auto"/>
        <w:jc w:val="both"/>
        <w:rPr>
          <w:rFonts w:ascii="Times New Roman" w:hAnsi="Times New Roman" w:cs="Times New Roman"/>
          <w:sz w:val="24"/>
          <w:szCs w:val="24"/>
        </w:rPr>
      </w:pPr>
      <w:bookmarkStart w:id="0" w:name="_GoBack"/>
      <w:bookmarkEnd w:id="0"/>
      <w:r w:rsidRPr="00631F76">
        <w:rPr>
          <w:rFonts w:ascii="Times New Roman" w:hAnsi="Times New Roman" w:cs="Times New Roman"/>
          <w:b/>
          <w:bCs/>
          <w:sz w:val="24"/>
          <w:szCs w:val="24"/>
        </w:rPr>
        <w:lastRenderedPageBreak/>
        <w:t>Walkley, A., &amp; Black, I. A. (1934).</w:t>
      </w:r>
      <w:r w:rsidRPr="00631F76">
        <w:rPr>
          <w:rFonts w:ascii="Times New Roman" w:hAnsi="Times New Roman" w:cs="Times New Roman"/>
          <w:sz w:val="24"/>
          <w:szCs w:val="24"/>
        </w:rPr>
        <w:t xml:space="preserve"> An examination of the </w:t>
      </w:r>
      <w:proofErr w:type="spellStart"/>
      <w:r w:rsidRPr="00631F76">
        <w:rPr>
          <w:rFonts w:ascii="Times New Roman" w:hAnsi="Times New Roman" w:cs="Times New Roman"/>
          <w:sz w:val="24"/>
          <w:szCs w:val="24"/>
        </w:rPr>
        <w:t>Degtjareff</w:t>
      </w:r>
      <w:proofErr w:type="spellEnd"/>
      <w:r w:rsidRPr="00631F76">
        <w:rPr>
          <w:rFonts w:ascii="Times New Roman" w:hAnsi="Times New Roman" w:cs="Times New Roman"/>
          <w:sz w:val="24"/>
          <w:szCs w:val="24"/>
        </w:rPr>
        <w:t xml:space="preserve"> method for determining soil organic matter, and a proposed modification of the chromic acid titration method. Soil Science, 37(1), 29–38.</w:t>
      </w:r>
    </w:p>
    <w:p w14:paraId="08A98735" w14:textId="77777777" w:rsidR="00B62BC4" w:rsidRDefault="00B62BC4" w:rsidP="0082771A">
      <w:pPr>
        <w:spacing w:line="360" w:lineRule="auto"/>
        <w:jc w:val="both"/>
        <w:rPr>
          <w:rFonts w:ascii="Times New Roman" w:hAnsi="Times New Roman" w:cs="Times New Roman"/>
          <w:sz w:val="24"/>
          <w:szCs w:val="24"/>
        </w:rPr>
      </w:pPr>
    </w:p>
    <w:p w14:paraId="2F7BD97B" w14:textId="77777777" w:rsidR="00B62BC4" w:rsidRDefault="00B62BC4" w:rsidP="0082771A">
      <w:pPr>
        <w:spacing w:line="360" w:lineRule="auto"/>
        <w:jc w:val="both"/>
        <w:rPr>
          <w:rFonts w:ascii="Times New Roman" w:hAnsi="Times New Roman" w:cs="Times New Roman"/>
          <w:sz w:val="24"/>
          <w:szCs w:val="24"/>
        </w:rPr>
      </w:pPr>
    </w:p>
    <w:sectPr w:rsidR="00B62B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DD21F6" w16cex:dateUtc="2025-09-30T04:45:00Z"/>
  <w16cex:commentExtensible w16cex:durableId="13CEF61D" w16cex:dateUtc="2025-09-30T04:45:00Z"/>
  <w16cex:commentExtensible w16cex:durableId="32D3A47D" w16cex:dateUtc="2025-09-30T04:31:00Z"/>
  <w16cex:commentExtensible w16cex:durableId="3A64C11B" w16cex:dateUtc="2025-10-02T13:21:00Z"/>
  <w16cex:commentExtensible w16cex:durableId="79D03FB4" w16cex:dateUtc="2025-10-02T1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59438" w14:textId="77777777" w:rsidR="00724AE9" w:rsidRDefault="00724AE9" w:rsidP="001A4991">
      <w:pPr>
        <w:spacing w:after="0" w:line="240" w:lineRule="auto"/>
      </w:pPr>
      <w:r>
        <w:separator/>
      </w:r>
    </w:p>
  </w:endnote>
  <w:endnote w:type="continuationSeparator" w:id="0">
    <w:p w14:paraId="752342B7" w14:textId="77777777" w:rsidR="00724AE9" w:rsidRDefault="00724AE9" w:rsidP="001A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18E7" w14:textId="77777777" w:rsidR="001A4991" w:rsidRDefault="001A4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F440" w14:textId="77777777" w:rsidR="001A4991" w:rsidRDefault="001A4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25FD" w14:textId="77777777" w:rsidR="001A4991" w:rsidRDefault="001A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CBA6F" w14:textId="77777777" w:rsidR="00724AE9" w:rsidRDefault="00724AE9" w:rsidP="001A4991">
      <w:pPr>
        <w:spacing w:after="0" w:line="240" w:lineRule="auto"/>
      </w:pPr>
      <w:r>
        <w:separator/>
      </w:r>
    </w:p>
  </w:footnote>
  <w:footnote w:type="continuationSeparator" w:id="0">
    <w:p w14:paraId="542F8E08" w14:textId="77777777" w:rsidR="00724AE9" w:rsidRDefault="00724AE9" w:rsidP="001A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D1C44" w14:textId="38796610" w:rsidR="001A4991" w:rsidRDefault="00784E43">
    <w:pPr>
      <w:pStyle w:val="Header"/>
    </w:pPr>
    <w:r>
      <w:rPr>
        <w:noProof/>
      </w:rPr>
      <w:pict w14:anchorId="440CC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42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0A10" w14:textId="09B366F4" w:rsidR="001A4991" w:rsidRDefault="00784E43">
    <w:pPr>
      <w:pStyle w:val="Header"/>
    </w:pPr>
    <w:r>
      <w:rPr>
        <w:noProof/>
      </w:rPr>
      <w:pict w14:anchorId="27E7F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42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751F" w14:textId="3C37F6B3" w:rsidR="001A4991" w:rsidRDefault="00784E43">
    <w:pPr>
      <w:pStyle w:val="Header"/>
    </w:pPr>
    <w:r>
      <w:rPr>
        <w:noProof/>
      </w:rPr>
      <w:pict w14:anchorId="7EAC8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42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F2902"/>
    <w:multiLevelType w:val="hybridMultilevel"/>
    <w:tmpl w:val="F76207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2A6C0B"/>
    <w:multiLevelType w:val="hybridMultilevel"/>
    <w:tmpl w:val="499EAF5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tDQyNTSztDA2N7RU0lEKTi0uzszPAykwrAUA2/Ht0iwAAAA="/>
  </w:docVars>
  <w:rsids>
    <w:rsidRoot w:val="00B159DB"/>
    <w:rsid w:val="00010310"/>
    <w:rsid w:val="0003147B"/>
    <w:rsid w:val="0006708F"/>
    <w:rsid w:val="000C5794"/>
    <w:rsid w:val="000D7AEC"/>
    <w:rsid w:val="001006A6"/>
    <w:rsid w:val="001533C1"/>
    <w:rsid w:val="00164945"/>
    <w:rsid w:val="00176DB9"/>
    <w:rsid w:val="0019468A"/>
    <w:rsid w:val="001A4991"/>
    <w:rsid w:val="002A7536"/>
    <w:rsid w:val="002C1A27"/>
    <w:rsid w:val="002D4064"/>
    <w:rsid w:val="002F32D7"/>
    <w:rsid w:val="002F4C02"/>
    <w:rsid w:val="00341878"/>
    <w:rsid w:val="003A1082"/>
    <w:rsid w:val="004518CF"/>
    <w:rsid w:val="00453E33"/>
    <w:rsid w:val="004D7BE8"/>
    <w:rsid w:val="004F59DD"/>
    <w:rsid w:val="0055371A"/>
    <w:rsid w:val="005538C4"/>
    <w:rsid w:val="005A3E89"/>
    <w:rsid w:val="005E283E"/>
    <w:rsid w:val="005E4114"/>
    <w:rsid w:val="00631F76"/>
    <w:rsid w:val="00641C27"/>
    <w:rsid w:val="00670DD2"/>
    <w:rsid w:val="00671696"/>
    <w:rsid w:val="006A1800"/>
    <w:rsid w:val="006A4222"/>
    <w:rsid w:val="006C0D17"/>
    <w:rsid w:val="007003DE"/>
    <w:rsid w:val="00724AE9"/>
    <w:rsid w:val="00766EDA"/>
    <w:rsid w:val="00784E43"/>
    <w:rsid w:val="007929B3"/>
    <w:rsid w:val="00793D3C"/>
    <w:rsid w:val="007A0439"/>
    <w:rsid w:val="007F274B"/>
    <w:rsid w:val="008223CF"/>
    <w:rsid w:val="0082771A"/>
    <w:rsid w:val="00851169"/>
    <w:rsid w:val="00851C0F"/>
    <w:rsid w:val="008F16AD"/>
    <w:rsid w:val="008F77E9"/>
    <w:rsid w:val="009978C2"/>
    <w:rsid w:val="009B79D9"/>
    <w:rsid w:val="00A4601E"/>
    <w:rsid w:val="00A71F3D"/>
    <w:rsid w:val="00A7562F"/>
    <w:rsid w:val="00AE7055"/>
    <w:rsid w:val="00AF1AD2"/>
    <w:rsid w:val="00B159DB"/>
    <w:rsid w:val="00B62BC4"/>
    <w:rsid w:val="00B70F8C"/>
    <w:rsid w:val="00BB5016"/>
    <w:rsid w:val="00C93747"/>
    <w:rsid w:val="00D13600"/>
    <w:rsid w:val="00D218DB"/>
    <w:rsid w:val="00D933F8"/>
    <w:rsid w:val="00D93ADC"/>
    <w:rsid w:val="00D97839"/>
    <w:rsid w:val="00E268E9"/>
    <w:rsid w:val="00E61C03"/>
    <w:rsid w:val="00E7185D"/>
    <w:rsid w:val="00E84EAE"/>
    <w:rsid w:val="00E87500"/>
    <w:rsid w:val="00ED72C1"/>
    <w:rsid w:val="00EE377D"/>
    <w:rsid w:val="00F14392"/>
    <w:rsid w:val="00F75A5E"/>
    <w:rsid w:val="00FB1EAA"/>
    <w:rsid w:val="00FD3905"/>
    <w:rsid w:val="00FE2D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A61794"/>
  <w15:chartTrackingRefBased/>
  <w15:docId w15:val="{2942DC52-FE99-411A-9C6D-B3963B2A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A5E"/>
  </w:style>
  <w:style w:type="paragraph" w:styleId="Heading1">
    <w:name w:val="heading 1"/>
    <w:basedOn w:val="Normal"/>
    <w:next w:val="Normal"/>
    <w:link w:val="Heading1Char"/>
    <w:uiPriority w:val="9"/>
    <w:qFormat/>
    <w:rsid w:val="00B15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9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9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9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9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9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9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9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DB"/>
    <w:rPr>
      <w:rFonts w:eastAsiaTheme="majorEastAsia" w:cstheme="majorBidi"/>
      <w:color w:val="272727" w:themeColor="text1" w:themeTint="D8"/>
    </w:rPr>
  </w:style>
  <w:style w:type="paragraph" w:styleId="Title">
    <w:name w:val="Title"/>
    <w:basedOn w:val="Normal"/>
    <w:next w:val="Normal"/>
    <w:link w:val="TitleChar"/>
    <w:uiPriority w:val="10"/>
    <w:qFormat/>
    <w:rsid w:val="00B1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DB"/>
    <w:pPr>
      <w:spacing w:before="160"/>
      <w:jc w:val="center"/>
    </w:pPr>
    <w:rPr>
      <w:i/>
      <w:iCs/>
      <w:color w:val="404040" w:themeColor="text1" w:themeTint="BF"/>
    </w:rPr>
  </w:style>
  <w:style w:type="character" w:customStyle="1" w:styleId="QuoteChar">
    <w:name w:val="Quote Char"/>
    <w:basedOn w:val="DefaultParagraphFont"/>
    <w:link w:val="Quote"/>
    <w:uiPriority w:val="29"/>
    <w:rsid w:val="00B159DB"/>
    <w:rPr>
      <w:i/>
      <w:iCs/>
      <w:color w:val="404040" w:themeColor="text1" w:themeTint="BF"/>
    </w:rPr>
  </w:style>
  <w:style w:type="paragraph" w:styleId="ListParagraph">
    <w:name w:val="List Paragraph"/>
    <w:basedOn w:val="Normal"/>
    <w:uiPriority w:val="34"/>
    <w:qFormat/>
    <w:rsid w:val="00B159DB"/>
    <w:pPr>
      <w:ind w:left="720"/>
      <w:contextualSpacing/>
    </w:pPr>
  </w:style>
  <w:style w:type="character" w:styleId="IntenseEmphasis">
    <w:name w:val="Intense Emphasis"/>
    <w:basedOn w:val="DefaultParagraphFont"/>
    <w:uiPriority w:val="21"/>
    <w:qFormat/>
    <w:rsid w:val="00B159DB"/>
    <w:rPr>
      <w:i/>
      <w:iCs/>
      <w:color w:val="2F5496" w:themeColor="accent1" w:themeShade="BF"/>
    </w:rPr>
  </w:style>
  <w:style w:type="paragraph" w:styleId="IntenseQuote">
    <w:name w:val="Intense Quote"/>
    <w:basedOn w:val="Normal"/>
    <w:next w:val="Normal"/>
    <w:link w:val="IntenseQuoteChar"/>
    <w:uiPriority w:val="30"/>
    <w:qFormat/>
    <w:rsid w:val="00B15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9DB"/>
    <w:rPr>
      <w:i/>
      <w:iCs/>
      <w:color w:val="2F5496" w:themeColor="accent1" w:themeShade="BF"/>
    </w:rPr>
  </w:style>
  <w:style w:type="character" w:styleId="IntenseReference">
    <w:name w:val="Intense Reference"/>
    <w:basedOn w:val="DefaultParagraphFont"/>
    <w:uiPriority w:val="32"/>
    <w:qFormat/>
    <w:rsid w:val="00B159DB"/>
    <w:rPr>
      <w:b/>
      <w:bCs/>
      <w:smallCaps/>
      <w:color w:val="2F5496" w:themeColor="accent1" w:themeShade="BF"/>
      <w:spacing w:val="5"/>
    </w:rPr>
  </w:style>
  <w:style w:type="character" w:styleId="Hyperlink">
    <w:name w:val="Hyperlink"/>
    <w:basedOn w:val="DefaultParagraphFont"/>
    <w:uiPriority w:val="99"/>
    <w:unhideWhenUsed/>
    <w:rsid w:val="00B159DB"/>
    <w:rPr>
      <w:color w:val="0563C1" w:themeColor="hyperlink"/>
      <w:u w:val="single"/>
    </w:rPr>
  </w:style>
  <w:style w:type="character" w:styleId="UnresolvedMention">
    <w:name w:val="Unresolved Mention"/>
    <w:basedOn w:val="DefaultParagraphFont"/>
    <w:uiPriority w:val="99"/>
    <w:semiHidden/>
    <w:unhideWhenUsed/>
    <w:rsid w:val="00B159DB"/>
    <w:rPr>
      <w:color w:val="605E5C"/>
      <w:shd w:val="clear" w:color="auto" w:fill="E1DFDD"/>
    </w:rPr>
  </w:style>
  <w:style w:type="table" w:styleId="TableGrid">
    <w:name w:val="Table Grid"/>
    <w:basedOn w:val="TableNormal"/>
    <w:uiPriority w:val="39"/>
    <w:rsid w:val="00766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1EA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1A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991"/>
  </w:style>
  <w:style w:type="paragraph" w:styleId="Footer">
    <w:name w:val="footer"/>
    <w:basedOn w:val="Normal"/>
    <w:link w:val="FooterChar"/>
    <w:uiPriority w:val="99"/>
    <w:unhideWhenUsed/>
    <w:rsid w:val="001A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991"/>
  </w:style>
  <w:style w:type="character" w:styleId="CommentReference">
    <w:name w:val="annotation reference"/>
    <w:basedOn w:val="DefaultParagraphFont"/>
    <w:uiPriority w:val="99"/>
    <w:semiHidden/>
    <w:unhideWhenUsed/>
    <w:rsid w:val="002F4C02"/>
    <w:rPr>
      <w:sz w:val="16"/>
      <w:szCs w:val="16"/>
    </w:rPr>
  </w:style>
  <w:style w:type="paragraph" w:styleId="CommentText">
    <w:name w:val="annotation text"/>
    <w:basedOn w:val="Normal"/>
    <w:link w:val="CommentTextChar"/>
    <w:uiPriority w:val="99"/>
    <w:semiHidden/>
    <w:unhideWhenUsed/>
    <w:rsid w:val="002F4C02"/>
    <w:pPr>
      <w:spacing w:line="240" w:lineRule="auto"/>
    </w:pPr>
    <w:rPr>
      <w:sz w:val="20"/>
      <w:szCs w:val="20"/>
    </w:rPr>
  </w:style>
  <w:style w:type="character" w:customStyle="1" w:styleId="CommentTextChar">
    <w:name w:val="Comment Text Char"/>
    <w:basedOn w:val="DefaultParagraphFont"/>
    <w:link w:val="CommentText"/>
    <w:uiPriority w:val="99"/>
    <w:semiHidden/>
    <w:rsid w:val="002F4C02"/>
    <w:rPr>
      <w:sz w:val="20"/>
      <w:szCs w:val="20"/>
    </w:rPr>
  </w:style>
  <w:style w:type="paragraph" w:styleId="CommentSubject">
    <w:name w:val="annotation subject"/>
    <w:basedOn w:val="CommentText"/>
    <w:next w:val="CommentText"/>
    <w:link w:val="CommentSubjectChar"/>
    <w:uiPriority w:val="99"/>
    <w:semiHidden/>
    <w:unhideWhenUsed/>
    <w:rsid w:val="002F4C02"/>
    <w:rPr>
      <w:b/>
      <w:bCs/>
    </w:rPr>
  </w:style>
  <w:style w:type="character" w:customStyle="1" w:styleId="CommentSubjectChar">
    <w:name w:val="Comment Subject Char"/>
    <w:basedOn w:val="CommentTextChar"/>
    <w:link w:val="CommentSubject"/>
    <w:uiPriority w:val="99"/>
    <w:semiHidden/>
    <w:rsid w:val="002F4C02"/>
    <w:rPr>
      <w:b/>
      <w:bCs/>
      <w:sz w:val="20"/>
      <w:szCs w:val="20"/>
    </w:rPr>
  </w:style>
  <w:style w:type="paragraph" w:styleId="Revision">
    <w:name w:val="Revision"/>
    <w:hidden/>
    <w:uiPriority w:val="99"/>
    <w:semiHidden/>
    <w:rsid w:val="002F4C02"/>
    <w:pPr>
      <w:spacing w:after="0" w:line="240" w:lineRule="auto"/>
    </w:pPr>
  </w:style>
  <w:style w:type="paragraph" w:styleId="BalloonText">
    <w:name w:val="Balloon Text"/>
    <w:basedOn w:val="Normal"/>
    <w:link w:val="BalloonTextChar"/>
    <w:uiPriority w:val="99"/>
    <w:semiHidden/>
    <w:unhideWhenUsed/>
    <w:rsid w:val="00A71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798">
      <w:bodyDiv w:val="1"/>
      <w:marLeft w:val="0"/>
      <w:marRight w:val="0"/>
      <w:marTop w:val="0"/>
      <w:marBottom w:val="0"/>
      <w:divBdr>
        <w:top w:val="none" w:sz="0" w:space="0" w:color="auto"/>
        <w:left w:val="none" w:sz="0" w:space="0" w:color="auto"/>
        <w:bottom w:val="none" w:sz="0" w:space="0" w:color="auto"/>
        <w:right w:val="none" w:sz="0" w:space="0" w:color="auto"/>
      </w:divBdr>
      <w:divsChild>
        <w:div w:id="661813219">
          <w:marLeft w:val="0"/>
          <w:marRight w:val="0"/>
          <w:marTop w:val="0"/>
          <w:marBottom w:val="0"/>
          <w:divBdr>
            <w:top w:val="none" w:sz="0" w:space="0" w:color="auto"/>
            <w:left w:val="none" w:sz="0" w:space="0" w:color="auto"/>
            <w:bottom w:val="none" w:sz="0" w:space="0" w:color="auto"/>
            <w:right w:val="none" w:sz="0" w:space="0" w:color="auto"/>
          </w:divBdr>
        </w:div>
      </w:divsChild>
    </w:div>
    <w:div w:id="1229145351">
      <w:bodyDiv w:val="1"/>
      <w:marLeft w:val="0"/>
      <w:marRight w:val="0"/>
      <w:marTop w:val="0"/>
      <w:marBottom w:val="0"/>
      <w:divBdr>
        <w:top w:val="none" w:sz="0" w:space="0" w:color="auto"/>
        <w:left w:val="none" w:sz="0" w:space="0" w:color="auto"/>
        <w:bottom w:val="none" w:sz="0" w:space="0" w:color="auto"/>
        <w:right w:val="none" w:sz="0" w:space="0" w:color="auto"/>
      </w:divBdr>
    </w:div>
    <w:div w:id="1331911276">
      <w:bodyDiv w:val="1"/>
      <w:marLeft w:val="0"/>
      <w:marRight w:val="0"/>
      <w:marTop w:val="0"/>
      <w:marBottom w:val="0"/>
      <w:divBdr>
        <w:top w:val="none" w:sz="0" w:space="0" w:color="auto"/>
        <w:left w:val="none" w:sz="0" w:space="0" w:color="auto"/>
        <w:bottom w:val="none" w:sz="0" w:space="0" w:color="auto"/>
        <w:right w:val="none" w:sz="0" w:space="0" w:color="auto"/>
      </w:divBdr>
      <w:divsChild>
        <w:div w:id="199059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tha\Desktop\ALLOMETRIC\FINAL%20WINTER%20LATH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Imapact of Dominant Species  on Carbon Stock Changes </a:t>
            </a:r>
          </a:p>
        </c:rich>
      </c:tx>
      <c:layout>
        <c:manualLayout>
          <c:xMode val="edge"/>
          <c:yMode val="edge"/>
          <c:x val="0.12624014835419564"/>
          <c:y val="4.1666666666666664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scatterChart>
        <c:scatterStyle val="lineMarker"/>
        <c:varyColors val="0"/>
        <c:ser>
          <c:idx val="0"/>
          <c:order val="0"/>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trendline>
            <c:spPr>
              <a:ln w="19050" cap="rnd">
                <a:solidFill>
                  <a:schemeClr val="accent2"/>
                </a:solidFill>
                <a:prstDash val="sysDash"/>
              </a:ln>
              <a:effectLst/>
            </c:spPr>
            <c:trendlineType val="linear"/>
            <c:dispRSqr val="1"/>
            <c:dispEq val="1"/>
            <c:trendlineLbl>
              <c:layout>
                <c:manualLayout>
                  <c:x val="5.6890585130266229E-2"/>
                  <c:y val="0.3237962962962963"/>
                </c:manualLayout>
              </c:layout>
              <c:tx>
                <c:rich>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r>
                      <a:rPr lang="en-US" sz="1200" b="1" baseline="0">
                        <a:latin typeface="Times New Roman" panose="02020603050405020304" pitchFamily="18" charset="0"/>
                        <a:cs typeface="Times New Roman" panose="02020603050405020304" pitchFamily="18" charset="0"/>
                      </a:rPr>
                      <a:t>y = 0.151x + 0.109</a:t>
                    </a:r>
                    <a:br>
                      <a:rPr lang="en-US" sz="1200" b="1" baseline="0">
                        <a:latin typeface="Times New Roman" panose="02020603050405020304" pitchFamily="18" charset="0"/>
                        <a:cs typeface="Times New Roman" panose="02020603050405020304" pitchFamily="18" charset="0"/>
                      </a:rPr>
                    </a:br>
                    <a:r>
                      <a:rPr lang="en-US" sz="1200" b="1" baseline="0">
                        <a:latin typeface="Times New Roman" panose="02020603050405020304" pitchFamily="18" charset="0"/>
                        <a:cs typeface="Times New Roman" panose="02020603050405020304" pitchFamily="18" charset="0"/>
                      </a:rPr>
                      <a:t>R² = 0.5454</a:t>
                    </a:r>
                    <a:endParaRPr lang="en-US" sz="1200" b="1">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trendlineLbl>
          </c:trendline>
          <c:xVal>
            <c:multiLvlStrRef>
              <c:f>Sheet1!$A$1:$G$5</c:f>
              <c:multiLvlStrCache>
                <c:ptCount val="5"/>
                <c:lvl>
                  <c:pt idx="0">
                    <c:v>Tamarindus Coef (p)</c:v>
                  </c:pt>
                  <c:pt idx="1">
                    <c:v>-0.70 (.035)</c:v>
                  </c:pt>
                  <c:pt idx="2">
                    <c:v>0.20 (.120)</c:v>
                  </c:pt>
                  <c:pt idx="3">
                    <c:v>-10.0 (.085)</c:v>
                  </c:pt>
                  <c:pt idx="4">
                    <c:v>-10.5 (.030)</c:v>
                  </c:pt>
                </c:lvl>
                <c:lvl>
                  <c:pt idx="0">
                    <c:v>Clerodendrum Coef (p)</c:v>
                  </c:pt>
                  <c:pt idx="1">
                    <c:v>-0.45 (.060)</c:v>
                  </c:pt>
                  <c:pt idx="2">
                    <c:v>0.25 (.100)</c:v>
                  </c:pt>
                  <c:pt idx="3">
                    <c:v>-5.0 (.090)</c:v>
                  </c:pt>
                  <c:pt idx="4">
                    <c:v>-5.2 (.080)</c:v>
                  </c:pt>
                </c:lvl>
                <c:lvl>
                  <c:pt idx="0">
                    <c:v>Milletia Coef (p)</c:v>
                  </c:pt>
                  <c:pt idx="1">
                    <c:v>-0.60 (.045)</c:v>
                  </c:pt>
                  <c:pt idx="2">
                    <c:v>0.30 (.080)</c:v>
                  </c:pt>
                  <c:pt idx="3">
                    <c:v>25.0 (.030)</c:v>
                  </c:pt>
                  <c:pt idx="4">
                    <c:v>24.6 (.025)</c:v>
                  </c:pt>
                </c:lvl>
                <c:lvl>
                  <c:pt idx="0">
                    <c:v>Density Coef (p)</c:v>
                  </c:pt>
                  <c:pt idx="1">
                    <c:v>0.002 (.030)</c:v>
                  </c:pt>
                  <c:pt idx="2">
                    <c:v>0.001 (.110)</c:v>
                  </c:pt>
                  <c:pt idx="3">
                    <c:v>0.020 (.060)</c:v>
                  </c:pt>
                  <c:pt idx="4">
                    <c:v>0.023 (.040)</c:v>
                  </c:pt>
                </c:lvl>
                <c:lvl>
                  <c:pt idx="0">
                    <c:v>DBH Coef (p)</c:v>
                  </c:pt>
                  <c:pt idx="1">
                    <c:v>0.02 (.150)</c:v>
                  </c:pt>
                  <c:pt idx="2">
                    <c:v>0.01 (.220)</c:v>
                  </c:pt>
                  <c:pt idx="3">
                    <c:v>0.50 (.100)</c:v>
                  </c:pt>
                  <c:pt idx="4">
                    <c:v>0.53 (.090)</c:v>
                  </c:pt>
                </c:lvl>
                <c:lvl>
                  <c:pt idx="0">
                    <c:v>Height Coef (p)</c:v>
                  </c:pt>
                  <c:pt idx="1">
                    <c:v>0.15 (.040)</c:v>
                  </c:pt>
                  <c:pt idx="2">
                    <c:v>0.04 (.180)</c:v>
                  </c:pt>
                  <c:pt idx="3">
                    <c:v>1.80 (.070)</c:v>
                  </c:pt>
                  <c:pt idx="4">
                    <c:v>1.99 (.035)</c:v>
                  </c:pt>
                </c:lvl>
                <c:lvl>
                  <c:pt idx="0">
                    <c:v>Carbon Pool</c:v>
                  </c:pt>
                  <c:pt idx="1">
                    <c:v>Litter C</c:v>
                  </c:pt>
                  <c:pt idx="2">
                    <c:v>Herb C</c:v>
                  </c:pt>
                  <c:pt idx="3">
                    <c:v>SOC</c:v>
                  </c:pt>
                  <c:pt idx="4">
                    <c:v>Total C</c:v>
                  </c:pt>
                </c:lvl>
              </c:multiLvlStrCache>
            </c:multiLvlStrRef>
          </c:xVal>
          <c:yVal>
            <c:numRef>
              <c:f>Sheet1!$H$1:$H$5</c:f>
              <c:numCache>
                <c:formatCode>General</c:formatCode>
                <c:ptCount val="5"/>
                <c:pt idx="0">
                  <c:v>0</c:v>
                </c:pt>
                <c:pt idx="1">
                  <c:v>0.75</c:v>
                </c:pt>
                <c:pt idx="2">
                  <c:v>0.57999999999999996</c:v>
                </c:pt>
                <c:pt idx="3">
                  <c:v>0.7</c:v>
                </c:pt>
                <c:pt idx="4">
                  <c:v>0.78</c:v>
                </c:pt>
              </c:numCache>
            </c:numRef>
          </c:yVal>
          <c:smooth val="0"/>
          <c:extLst>
            <c:ext xmlns:c16="http://schemas.microsoft.com/office/drawing/2014/chart" uri="{C3380CC4-5D6E-409C-BE32-E72D297353CC}">
              <c16:uniqueId val="{00000001-4CAE-44C9-86D8-4050BCE749C4}"/>
            </c:ext>
          </c:extLst>
        </c:ser>
        <c:dLbls>
          <c:dLblPos val="t"/>
          <c:showLegendKey val="0"/>
          <c:showVal val="1"/>
          <c:showCatName val="0"/>
          <c:showSerName val="0"/>
          <c:showPercent val="0"/>
          <c:showBubbleSize val="0"/>
        </c:dLbls>
        <c:axId val="1529037760"/>
        <c:axId val="1529038240"/>
      </c:scatterChart>
      <c:valAx>
        <c:axId val="1529037760"/>
        <c:scaling>
          <c:orientation val="minMax"/>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US"/>
                  <a:t>Dominant Species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529038240"/>
        <c:crosses val="autoZero"/>
        <c:crossBetween val="midCat"/>
      </c:valAx>
      <c:valAx>
        <c:axId val="152903824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IN"/>
                  <a:t>Carbon Stock Change (Mg/ha)</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5290377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bujji</dc:creator>
  <cp:keywords/>
  <dc:description/>
  <cp:lastModifiedBy>SDI 1020</cp:lastModifiedBy>
  <cp:revision>17</cp:revision>
  <dcterms:created xsi:type="dcterms:W3CDTF">2025-10-02T16:24:00Z</dcterms:created>
  <dcterms:modified xsi:type="dcterms:W3CDTF">2025-10-07T08:31:00Z</dcterms:modified>
</cp:coreProperties>
</file>