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14A6" w14:textId="0C6123F2" w:rsidR="00754C9A" w:rsidRDefault="00D10C4E" w:rsidP="00441B6F">
      <w:pPr>
        <w:pStyle w:val="Title"/>
        <w:spacing w:after="0"/>
        <w:jc w:val="both"/>
        <w:rPr>
          <w:rFonts w:ascii="Arial" w:hAnsi="Arial" w:cs="Arial"/>
          <w:bCs/>
          <w:i/>
          <w:iCs/>
          <w:u w:val="single"/>
        </w:rPr>
      </w:pPr>
      <w:r w:rsidRPr="00D10C4E">
        <w:rPr>
          <w:rFonts w:ascii="Arial" w:hAnsi="Arial" w:cs="Arial"/>
          <w:bCs/>
          <w:i/>
          <w:iCs/>
          <w:u w:val="single"/>
        </w:rPr>
        <w:t>Original Research Article</w:t>
      </w:r>
    </w:p>
    <w:p w14:paraId="025A0FC0" w14:textId="77777777" w:rsidR="00D10C4E" w:rsidRDefault="00D10C4E" w:rsidP="00441B6F">
      <w:pPr>
        <w:pStyle w:val="Title"/>
        <w:spacing w:after="0"/>
        <w:jc w:val="both"/>
        <w:rPr>
          <w:rFonts w:ascii="Arial" w:hAnsi="Arial" w:cs="Arial"/>
        </w:rPr>
      </w:pPr>
    </w:p>
    <w:p w14:paraId="20AAB3C8" w14:textId="15C3F920" w:rsidR="00A258C3" w:rsidRPr="00790ADA" w:rsidRDefault="00AE08F8" w:rsidP="00441B6F">
      <w:pPr>
        <w:pStyle w:val="Author"/>
        <w:spacing w:line="240" w:lineRule="auto"/>
        <w:jc w:val="both"/>
        <w:rPr>
          <w:rFonts w:ascii="Arial" w:hAnsi="Arial" w:cs="Arial"/>
          <w:sz w:val="36"/>
        </w:rPr>
      </w:pPr>
      <w:r w:rsidRPr="00AE08F8">
        <w:rPr>
          <w:rFonts w:ascii="Arial" w:hAnsi="Arial" w:cs="Arial"/>
          <w:sz w:val="36"/>
        </w:rPr>
        <w:t>Effectiveness of implementation of plastic packaging ban policy carried out in the Buea Municipality.</w:t>
      </w:r>
    </w:p>
    <w:p w14:paraId="25E7AB4C" w14:textId="77777777" w:rsidR="00790ADA" w:rsidRDefault="00790ADA" w:rsidP="00441B6F">
      <w:pPr>
        <w:pStyle w:val="Affiliation"/>
        <w:spacing w:after="0" w:line="240" w:lineRule="auto"/>
        <w:jc w:val="both"/>
        <w:rPr>
          <w:rFonts w:ascii="Arial" w:hAnsi="Arial" w:cs="Arial"/>
        </w:rPr>
      </w:pPr>
    </w:p>
    <w:p w14:paraId="43A35BB3" w14:textId="77777777" w:rsidR="002C57D2" w:rsidRPr="00FB3A86" w:rsidRDefault="002C57D2" w:rsidP="00441B6F">
      <w:pPr>
        <w:pStyle w:val="Affiliation"/>
        <w:spacing w:after="0" w:line="240" w:lineRule="auto"/>
        <w:jc w:val="both"/>
        <w:rPr>
          <w:rFonts w:ascii="Arial" w:hAnsi="Arial" w:cs="Arial"/>
        </w:rPr>
      </w:pPr>
    </w:p>
    <w:p w14:paraId="6D01BABD" w14:textId="3F49011E" w:rsidR="00B01FCD" w:rsidRPr="00FB3A86" w:rsidRDefault="00BF6C90" w:rsidP="00441B6F">
      <w:pPr>
        <w:pStyle w:val="Copyright"/>
        <w:spacing w:after="0" w:line="240" w:lineRule="auto"/>
        <w:jc w:val="both"/>
        <w:rPr>
          <w:rFonts w:ascii="Arial" w:hAnsi="Arial" w:cs="Arial"/>
        </w:rPr>
        <w:sectPr w:rsidR="00B01FCD" w:rsidRPr="00FB3A86" w:rsidSect="009C0A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CB2136" wp14:editId="17AF6882">
                <wp:extent cx="5303520" cy="635"/>
                <wp:effectExtent l="13335" t="18415" r="17145" b="10160"/>
                <wp:docPr id="1892632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4848E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665E742" w14:textId="689117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65BF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26C167" w14:textId="77777777" w:rsidTr="001E44FE">
        <w:tc>
          <w:tcPr>
            <w:tcW w:w="9576" w:type="dxa"/>
            <w:shd w:val="clear" w:color="auto" w:fill="F2F2F2"/>
          </w:tcPr>
          <w:p w14:paraId="3A2A110C" w14:textId="77777777" w:rsidR="00E3114E" w:rsidRDefault="00E3114E" w:rsidP="00441B6F">
            <w:pPr>
              <w:pStyle w:val="Body"/>
              <w:spacing w:after="0"/>
              <w:rPr>
                <w:rFonts w:ascii="Arial" w:eastAsia="Calibri" w:hAnsi="Arial" w:cs="Arial"/>
                <w:b/>
                <w:szCs w:val="22"/>
              </w:rPr>
            </w:pPr>
          </w:p>
          <w:p w14:paraId="33E6E729" w14:textId="77777777" w:rsidR="000E4041" w:rsidRPr="000E4041" w:rsidRDefault="000E4041" w:rsidP="000E4041">
            <w:pPr>
              <w:pStyle w:val="Body"/>
              <w:spacing w:after="0"/>
              <w:rPr>
                <w:rFonts w:ascii="Arial" w:eastAsia="Calibri" w:hAnsi="Arial" w:cs="Arial"/>
                <w:szCs w:val="22"/>
              </w:rPr>
            </w:pPr>
            <w:r w:rsidRPr="000E4041">
              <w:rPr>
                <w:rFonts w:ascii="Arial" w:eastAsia="Calibri" w:hAnsi="Arial" w:cs="Arial"/>
                <w:szCs w:val="22"/>
              </w:rPr>
              <w:t>This study investigated the effectiveness of mechanisms for implementing the plastic ban policy in Buea, guided by Ajzen’s Theory of Planned Behavior (1991). A quantitative design was employed, with 384 market traders selected through purposive sampling. Data were collected using a structured questionnaire with established reliability and analyzed using descriptive and inferential statistics in IBM SPSS version 23. The results showed that awareness of banned plastic types (Adjusted Odds Ratio [AOR] = 7.5; p &lt; 0.001), operating as a formal business (AOR = 4.3; p &lt; 0.001), exposure to sanctions (AOR = 13.2; p &lt; 0.001), and reduced availability of banned plastics (AOR = 3.0; p &lt; 0.001) were significant predictors of the perceived success of the policy. These findings underscore that effective enforcement, combined with community sensitization, stronger regulation of informal businesses, and the provision of alternatives to banned plastics, is essential to improve compliance and achieve lasting environmental benefits.</w:t>
            </w:r>
          </w:p>
          <w:p w14:paraId="43B8A1DF" w14:textId="03C098F3" w:rsidR="00505F06" w:rsidRPr="00BA1B01" w:rsidRDefault="006E5138" w:rsidP="00441B6F">
            <w:pPr>
              <w:pStyle w:val="Body"/>
              <w:spacing w:after="0"/>
              <w:rPr>
                <w:rFonts w:ascii="Arial" w:eastAsia="Calibri" w:hAnsi="Arial" w:cs="Arial"/>
                <w:szCs w:val="22"/>
              </w:rPr>
            </w:pPr>
            <w:r w:rsidRPr="006E5138">
              <w:rPr>
                <w:rFonts w:ascii="Arial" w:eastAsia="Calibri" w:hAnsi="Arial" w:cs="Arial"/>
                <w:szCs w:val="22"/>
              </w:rPr>
              <w:t xml:space="preserve"> </w:t>
            </w:r>
          </w:p>
        </w:tc>
      </w:tr>
    </w:tbl>
    <w:p w14:paraId="72D65AA4" w14:textId="77777777" w:rsidR="00636EB2" w:rsidRDefault="00636EB2" w:rsidP="00441B6F">
      <w:pPr>
        <w:pStyle w:val="Body"/>
        <w:spacing w:after="0"/>
        <w:rPr>
          <w:rFonts w:ascii="Arial" w:hAnsi="Arial" w:cs="Arial"/>
          <w:i/>
        </w:rPr>
      </w:pPr>
    </w:p>
    <w:p w14:paraId="246037B2" w14:textId="011B2246" w:rsidR="00A24E7E" w:rsidRDefault="00A24E7E" w:rsidP="00441B6F">
      <w:pPr>
        <w:pStyle w:val="Body"/>
        <w:spacing w:after="0"/>
        <w:rPr>
          <w:rFonts w:ascii="Arial" w:hAnsi="Arial" w:cs="Arial"/>
          <w:i/>
        </w:rPr>
      </w:pPr>
      <w:r>
        <w:rPr>
          <w:rFonts w:ascii="Arial" w:hAnsi="Arial" w:cs="Arial"/>
          <w:i/>
        </w:rPr>
        <w:t xml:space="preserve">Keywords: </w:t>
      </w:r>
      <w:r w:rsidR="006E5138" w:rsidRPr="006E5138">
        <w:rPr>
          <w:rFonts w:ascii="Arial" w:hAnsi="Arial" w:cs="Arial"/>
          <w:i/>
        </w:rPr>
        <w:t>Environmental Policy, Environmental Pollutants, Cameroon, Theory of Planned Behavior, Public Opinion, Stakeholder Participation, Commerce, Perception.</w:t>
      </w:r>
    </w:p>
    <w:p w14:paraId="1A4573B8" w14:textId="77777777" w:rsidR="00790ADA" w:rsidRDefault="00790ADA" w:rsidP="00441B6F">
      <w:pPr>
        <w:pStyle w:val="Body"/>
        <w:spacing w:after="0"/>
        <w:rPr>
          <w:rFonts w:ascii="Arial" w:hAnsi="Arial" w:cs="Arial"/>
          <w:i/>
        </w:rPr>
      </w:pPr>
    </w:p>
    <w:p w14:paraId="6643E889" w14:textId="77777777" w:rsidR="00505F06" w:rsidRPr="00A24E7E" w:rsidRDefault="00505F06" w:rsidP="00441B6F">
      <w:pPr>
        <w:pStyle w:val="Body"/>
        <w:spacing w:after="0"/>
        <w:rPr>
          <w:rFonts w:ascii="Arial" w:hAnsi="Arial" w:cs="Arial"/>
          <w:i/>
        </w:rPr>
      </w:pPr>
    </w:p>
    <w:p w14:paraId="563CB1A0" w14:textId="11A16E8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772981" w14:textId="77777777" w:rsidR="00790ADA" w:rsidRPr="00FB3A86" w:rsidRDefault="00790ADA" w:rsidP="00441B6F">
      <w:pPr>
        <w:pStyle w:val="AbstHead"/>
        <w:spacing w:after="0"/>
        <w:jc w:val="both"/>
        <w:rPr>
          <w:rFonts w:ascii="Arial" w:hAnsi="Arial" w:cs="Arial"/>
        </w:rPr>
      </w:pPr>
    </w:p>
    <w:p w14:paraId="0D918848"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Plastic packaging bags also known as single-used plastic bags are the most visible form of plastic pollutant [1]. Over the past few decades, the massive production of plastics worldwide has posed a real threat to the existence and well-being of all living creatures. This virtually uncontrollable rise in the use of plastics is a matter of serious concern to health professionals, environmentalists and biodiversity advocates. Reasons attributed for the continuous consumption and massive love for plastic packaging bags is as a result of their durability, less expensive nature and lighter weight as compared to papers and the fact that they are also easy to make, leading to the boom of plastic [1,2]. Also, people have become more attached to plastic packaging bags because they create uniformity, they are convenient and very affordable [3]. </w:t>
      </w:r>
    </w:p>
    <w:p w14:paraId="2325D9F2"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In Cameroon, the framework regulating plastics is the joint 2012 decree by the Ministry of the Environment and the Ministry of Commerce, which came into force in 2014 and bans the production of packaging under 60 microns, which aims to combat environmental pollution and health hazards. However, it has no reference to the chemical additives contained in plastics, let alone the ingredients used in their production [4]. The purpose of this initiative supported by the IPEN Francophone Africa Hub is to promote the development and well-being of the </w:t>
      </w:r>
      <w:r w:rsidRPr="001F420C">
        <w:rPr>
          <w:rFonts w:ascii="Arial" w:hAnsi="Arial" w:cs="Arial"/>
          <w:b w:val="0"/>
          <w:caps w:val="0"/>
          <w:sz w:val="20"/>
        </w:rPr>
        <w:lastRenderedPageBreak/>
        <w:t xml:space="preserve">local population, especially the most vulnerable groups such as women, young people and minorities [5]. However, enforcement remains inconsistent, and policy effectiveness has been hindered by ongoing smuggling, inadequate education of market actors, and lack of affordable alternatives [6]. </w:t>
      </w:r>
    </w:p>
    <w:p w14:paraId="7E26DDB2"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In Cameroon, the Ministry of Environment, Nature Protection and Sustainable Development (MINEPDEP) has also set up committees and operational teams to monitor and sanction all violators of the joint order [7]. These teams are: Governors of various regions, Senior Divisional Officers (SDOs), Divisional Officers (DOs), Regional Delegates and Divisional Delegates. They all operate within their areas of jurisdiction. Cameroon also has various institutions in charge of regulations on plastic packaging. These institutions are: MINEPDEP in charge of monitoring the implementation of the national environmental policy on plastic packaging, Ministry of Commerce in charge of ensuring that plastics which are imported and those commercialized must be in conformity with the policy, Ministry of Justice in charge of putting in place sanctions against violators of the plastic policy, and Decentralized Territorial Collectivity like the local authorities are in charge of implementation and enforcement of the plastic policy.</w:t>
      </w:r>
    </w:p>
    <w:p w14:paraId="3413EC20"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Consumers can play an important role in influencing governments and other decision-making bodies to implement effective measures to encourage the use of biodegradable food packaging while reducing access to and use of non-biodegradable plastic packaging that has a real impact on planetary and human health. A study explored the perception and attitude of Portuguese consumers on the environmental impact of food packaging made with plastic material [8]. They found that those consumers tended to be concerned about the negative environmental effects of plastic packaging. A study in Brazil conducted to evaluate consumers’ knowledge, practices, and perceptions about conventional and sustainable food packaging reported that the quality of material used to make food packaging significantly influenced their decision to purchase the food and that they were willing to pay up to 5% more for products if their packaging had lesser environmental and human health impact [9].</w:t>
      </w:r>
    </w:p>
    <w:p w14:paraId="7B566834"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Environmental policies can only be achievable if they are well implemented. Policy implementation carries out basic policy decision, which can also take the form of important executive orders or court decisions [10]. Policy implementation theory focuses on change through a specific intervention [11]. According to Implementation theory, policy succeeds when activities immediately follow the decision to adopt an innovation and ends when the use of an innovation becomes routine practice [12]. This means that, if plastic packaging policies are put in place and are not put into practice then implementation is not successful. While some authors support implementation science, which is associated with how best to engage in the delivery of specific innovations [13]. In order to attain a sustainable environment, there is need for a balanced relationship between nature and living beings, and policies are put in place to enforce this equilibrium.  There is therefore a need to check the level of policy implementation of plastic packaging ban.   </w:t>
      </w:r>
    </w:p>
    <w:p w14:paraId="3CE89843"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Despite the government decision (24 October 2012, which came into force in April 2014) to prohibit the use of plastic material of less than 60 microns (non-biodegradable) for packaging, the rush to modernity (and quality often a priori attributed to western-like materials) has made some Cameroonian households and restaurant owners to continue using plastic materials. In addition to the burden of plastics that fraudulently enter the country, millions of additional plastic bags are produced illegally each year in Cameroon. Almost 10 years after the ban, plastic bags continue to be widely used and, unfortunately, end up on the streets after use. Eventually, they end up buried in the ground and in waterways [14], thus contributing to pollution and clogging of drains and consequent flooding. The situation is even worse in countries like Cameroon, where single-use plastic is widely used to pack drinking water sold </w:t>
      </w:r>
      <w:r w:rsidRPr="001F420C">
        <w:rPr>
          <w:rFonts w:ascii="Arial" w:hAnsi="Arial" w:cs="Arial"/>
          <w:b w:val="0"/>
          <w:caps w:val="0"/>
          <w:sz w:val="20"/>
        </w:rPr>
        <w:lastRenderedPageBreak/>
        <w:t>on the streets. Unfortunately, the country is not producing adequate amounts of biodegradable food packaging materials, and the government is not encouraging civilians to use plant-based materials [15]. On the other hand, research on the topic is scanty in Cameroon thus, with this study, we wish to stimulate scientific research in order to fill the gap. This is certainly one of the major challenges that the new national focal point on the plastic treaty, and certainly Cameroon’s civil society, should focus on over the next decade.</w:t>
      </w:r>
    </w:p>
    <w:p w14:paraId="1B85CF3F" w14:textId="32B83197" w:rsidR="001F420C" w:rsidRDefault="001F420C" w:rsidP="001F420C">
      <w:pPr>
        <w:pStyle w:val="AbstHead"/>
        <w:spacing w:after="0"/>
        <w:jc w:val="both"/>
        <w:rPr>
          <w:rFonts w:ascii="Arial" w:hAnsi="Arial" w:cs="Arial"/>
          <w:b w:val="0"/>
          <w:caps w:val="0"/>
          <w:sz w:val="20"/>
        </w:rPr>
      </w:pPr>
      <w:r w:rsidRPr="001F420C">
        <w:rPr>
          <w:rFonts w:ascii="Arial" w:hAnsi="Arial" w:cs="Arial"/>
          <w:b w:val="0"/>
          <w:caps w:val="0"/>
          <w:sz w:val="20"/>
        </w:rPr>
        <w:t>Research shows that there are several chemicals within plastic waste and plastic materials have toxic monomers which affect humans and animals and are connected to cancer and reproductive problems [16, 17]. As such, toxic chemicals from plastics cause environmental, ecological and health hazards [18] from an environmental and health ranking classification of polymers.  Some effects of plastics could be ingestion, entanglement and inadequate waste management. The extensive use of materials such as polystyrene and polyethylene has significant environmental and human health implications [1</w:t>
      </w:r>
      <w:r w:rsidR="00350CFB">
        <w:rPr>
          <w:rFonts w:ascii="Arial" w:hAnsi="Arial" w:cs="Arial"/>
          <w:b w:val="0"/>
          <w:caps w:val="0"/>
          <w:sz w:val="20"/>
        </w:rPr>
        <w:t>6</w:t>
      </w:r>
      <w:r w:rsidRPr="001F420C">
        <w:rPr>
          <w:rFonts w:ascii="Arial" w:hAnsi="Arial" w:cs="Arial"/>
          <w:b w:val="0"/>
          <w:caps w:val="0"/>
          <w:sz w:val="20"/>
        </w:rPr>
        <w:t>]. For instance, using plastic materials for food packaging can result in the release of toxins into food, including benzophenone, 2,4-di-tert-butylphenol, and the styrene dimer 1,3-diphenylpropane when heated or irradiated [</w:t>
      </w:r>
      <w:r w:rsidR="00350CFB">
        <w:rPr>
          <w:rFonts w:ascii="Arial" w:hAnsi="Arial" w:cs="Arial"/>
          <w:b w:val="0"/>
          <w:caps w:val="0"/>
          <w:sz w:val="20"/>
        </w:rPr>
        <w:t>18</w:t>
      </w:r>
      <w:r w:rsidRPr="001F420C">
        <w:rPr>
          <w:rFonts w:ascii="Arial" w:hAnsi="Arial" w:cs="Arial"/>
          <w:b w:val="0"/>
          <w:caps w:val="0"/>
          <w:sz w:val="20"/>
        </w:rPr>
        <w:t xml:space="preserve">, </w:t>
      </w:r>
      <w:r w:rsidR="00350CFB">
        <w:rPr>
          <w:rFonts w:ascii="Arial" w:hAnsi="Arial" w:cs="Arial"/>
          <w:b w:val="0"/>
          <w:caps w:val="0"/>
          <w:sz w:val="20"/>
        </w:rPr>
        <w:t>19</w:t>
      </w:r>
      <w:r w:rsidRPr="001F420C">
        <w:rPr>
          <w:rFonts w:ascii="Arial" w:hAnsi="Arial" w:cs="Arial"/>
          <w:b w:val="0"/>
          <w:caps w:val="0"/>
          <w:sz w:val="20"/>
        </w:rPr>
        <w:t>]. Unrecycled plastic also significantly affects planetary health, with a disproportionate impact on low-income communities [</w:t>
      </w:r>
      <w:r w:rsidR="00350CFB">
        <w:rPr>
          <w:rFonts w:ascii="Arial" w:hAnsi="Arial" w:cs="Arial"/>
          <w:b w:val="0"/>
          <w:caps w:val="0"/>
          <w:sz w:val="20"/>
        </w:rPr>
        <w:t>19</w:t>
      </w:r>
      <w:r w:rsidRPr="001F420C">
        <w:rPr>
          <w:rFonts w:ascii="Arial" w:hAnsi="Arial" w:cs="Arial"/>
          <w:b w:val="0"/>
          <w:caps w:val="0"/>
          <w:sz w:val="20"/>
        </w:rPr>
        <w:t>] Given persistent plastic pollution in Buea Municipality despite the policy ban, and with limited literature focusing specifically on enforcement mechanisms, stakeholder engagement, or community compliance in the Southwest Region, this study fills a critical gap by empirically examining the effectiveness of implementation mechanisms, stakeholder actions, and systemic challenges affecting perceived policy success.</w:t>
      </w:r>
    </w:p>
    <w:p w14:paraId="4146A902" w14:textId="6BFCD19B" w:rsidR="007F7B32" w:rsidRDefault="00902823" w:rsidP="001F420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CE81F9" w14:textId="77777777" w:rsidR="00790ADA" w:rsidRPr="00FB3A86" w:rsidRDefault="00790ADA" w:rsidP="00441B6F">
      <w:pPr>
        <w:pStyle w:val="AbstHead"/>
        <w:spacing w:after="0"/>
        <w:jc w:val="both"/>
        <w:rPr>
          <w:rFonts w:ascii="Arial" w:hAnsi="Arial" w:cs="Arial"/>
        </w:rPr>
      </w:pPr>
    </w:p>
    <w:p w14:paraId="1F7608B2" w14:textId="370AD298" w:rsidR="001F420C" w:rsidRPr="001F420C" w:rsidRDefault="001F420C" w:rsidP="001F420C">
      <w:pPr>
        <w:pStyle w:val="Body"/>
        <w:rPr>
          <w:rFonts w:ascii="Arial" w:hAnsi="Arial" w:cs="Arial"/>
        </w:rPr>
      </w:pPr>
      <w:r>
        <w:rPr>
          <w:rFonts w:ascii="Arial" w:hAnsi="Arial" w:cs="Arial"/>
        </w:rPr>
        <w:t>2</w:t>
      </w:r>
      <w:r w:rsidRPr="001F420C">
        <w:rPr>
          <w:rFonts w:ascii="Arial" w:hAnsi="Arial" w:cs="Arial"/>
        </w:rPr>
        <w:t xml:space="preserve">.1 </w:t>
      </w:r>
      <w:r w:rsidRPr="001628E0">
        <w:rPr>
          <w:rFonts w:ascii="Arial" w:hAnsi="Arial" w:cs="Arial"/>
          <w:b/>
          <w:bCs/>
          <w:sz w:val="22"/>
          <w:szCs w:val="22"/>
        </w:rPr>
        <w:t>Study design and setting</w:t>
      </w:r>
      <w:r w:rsidRPr="001F420C">
        <w:rPr>
          <w:rFonts w:ascii="Arial" w:hAnsi="Arial" w:cs="Arial"/>
        </w:rPr>
        <w:t xml:space="preserve">: This study used a cross-sectional study design and was conducted between November, 2023 and March, 2025 in the Buea Municipality. The Buea municipality is located in the Fako division of the South West region of Cameroon (figure 1). The Buea municipality in Cameroon has an estimated population of over 587,000 inhabitants according to the (2023 Communal Development Plan). This figure includes both the indigenous </w:t>
      </w:r>
      <w:proofErr w:type="spellStart"/>
      <w:r w:rsidRPr="001F420C">
        <w:rPr>
          <w:rFonts w:ascii="Arial" w:hAnsi="Arial" w:cs="Arial"/>
        </w:rPr>
        <w:t>Bakweri</w:t>
      </w:r>
      <w:proofErr w:type="spellEnd"/>
      <w:r w:rsidRPr="001F420C">
        <w:rPr>
          <w:rFonts w:ascii="Arial" w:hAnsi="Arial" w:cs="Arial"/>
        </w:rPr>
        <w:t xml:space="preserve"> people and a diverse, cosmopolitan population within the urban area. </w:t>
      </w:r>
    </w:p>
    <w:p w14:paraId="0E384E4A" w14:textId="23E609A9" w:rsidR="001F420C" w:rsidRPr="001F420C" w:rsidRDefault="001F420C" w:rsidP="001F420C">
      <w:pPr>
        <w:pStyle w:val="Body"/>
        <w:rPr>
          <w:rFonts w:ascii="Arial" w:hAnsi="Arial" w:cs="Arial"/>
        </w:rPr>
      </w:pPr>
      <w:r w:rsidRPr="001F420C">
        <w:rPr>
          <w:rFonts w:ascii="Arial" w:hAnsi="Arial" w:cs="Arial"/>
        </w:rPr>
        <w:lastRenderedPageBreak/>
        <w:t xml:space="preserve"> </w:t>
      </w:r>
      <w:r w:rsidRPr="00E22FFA">
        <w:rPr>
          <w:rFonts w:ascii="Times New Roman" w:hAnsi="Times New Roman"/>
          <w:noProof/>
          <w:sz w:val="24"/>
          <w:szCs w:val="24"/>
        </w:rPr>
        <w:drawing>
          <wp:inline distT="0" distB="0" distL="0" distR="0" wp14:anchorId="4B0D699E" wp14:editId="347DBB2E">
            <wp:extent cx="5212080" cy="4813342"/>
            <wp:effectExtent l="0" t="0" r="7620" b="6350"/>
            <wp:docPr id="31624653" name="Picture 31624653" descr="C:\Users\Fonkem Brenda Nanjai\Documents\BRENDA DOCUMENTS\ph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onkem Brenda Nanjai\Documents\BRENDA DOCUMENTS\phd.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12080" cy="4813342"/>
                    </a:xfrm>
                    <a:prstGeom prst="rect">
                      <a:avLst/>
                    </a:prstGeom>
                    <a:noFill/>
                    <a:ln>
                      <a:noFill/>
                    </a:ln>
                  </pic:spPr>
                </pic:pic>
              </a:graphicData>
            </a:graphic>
          </wp:inline>
        </w:drawing>
      </w:r>
    </w:p>
    <w:p w14:paraId="21201426" w14:textId="7EA56B36" w:rsidR="001F420C" w:rsidRPr="001F420C" w:rsidRDefault="001F420C" w:rsidP="001F420C">
      <w:pPr>
        <w:pStyle w:val="Body"/>
        <w:rPr>
          <w:rFonts w:ascii="Arial" w:hAnsi="Arial" w:cs="Arial"/>
        </w:rPr>
      </w:pPr>
      <w:r w:rsidRPr="001F420C">
        <w:rPr>
          <w:rFonts w:ascii="Arial" w:hAnsi="Arial" w:cs="Arial"/>
          <w:b/>
          <w:bCs/>
        </w:rPr>
        <w:t>Fig</w:t>
      </w:r>
      <w:r w:rsidR="001628E0">
        <w:rPr>
          <w:rFonts w:ascii="Arial" w:hAnsi="Arial" w:cs="Arial"/>
          <w:b/>
          <w:bCs/>
        </w:rPr>
        <w:t>.</w:t>
      </w:r>
      <w:r w:rsidRPr="001F420C">
        <w:rPr>
          <w:rFonts w:ascii="Arial" w:hAnsi="Arial" w:cs="Arial"/>
          <w:b/>
          <w:bCs/>
        </w:rPr>
        <w:t>1</w:t>
      </w:r>
      <w:r w:rsidR="001628E0">
        <w:rPr>
          <w:rFonts w:ascii="Arial" w:hAnsi="Arial" w:cs="Arial"/>
          <w:b/>
          <w:bCs/>
        </w:rPr>
        <w:t xml:space="preserve">. </w:t>
      </w:r>
      <w:r w:rsidRPr="001F420C">
        <w:rPr>
          <w:rFonts w:ascii="Arial" w:hAnsi="Arial" w:cs="Arial"/>
          <w:b/>
          <w:bCs/>
        </w:rPr>
        <w:t>Map of Buea Municipality Showing the study area</w:t>
      </w:r>
      <w:r w:rsidRPr="001F420C">
        <w:rPr>
          <w:rFonts w:ascii="Arial" w:hAnsi="Arial" w:cs="Arial"/>
        </w:rPr>
        <w:t>.</w:t>
      </w:r>
    </w:p>
    <w:p w14:paraId="66B1B02C" w14:textId="77777777" w:rsidR="001F420C" w:rsidRPr="001F420C" w:rsidRDefault="001F420C" w:rsidP="001F420C">
      <w:pPr>
        <w:pStyle w:val="Body"/>
        <w:rPr>
          <w:rFonts w:ascii="Arial" w:hAnsi="Arial" w:cs="Arial"/>
        </w:rPr>
      </w:pPr>
      <w:r w:rsidRPr="001F420C">
        <w:rPr>
          <w:rFonts w:ascii="Arial" w:hAnsi="Arial" w:cs="Arial"/>
        </w:rPr>
        <w:t>Questionnaires were used to obtain numeric data from open market traders, pharmacies, grocery shops and households.</w:t>
      </w:r>
    </w:p>
    <w:p w14:paraId="49C074EE" w14:textId="562F5103" w:rsidR="001F420C" w:rsidRPr="001F420C" w:rsidRDefault="001F420C" w:rsidP="001F420C">
      <w:pPr>
        <w:pStyle w:val="Body"/>
        <w:rPr>
          <w:rFonts w:ascii="Arial" w:hAnsi="Arial" w:cs="Arial"/>
        </w:rPr>
      </w:pPr>
      <w:r>
        <w:rPr>
          <w:rFonts w:ascii="Arial" w:hAnsi="Arial" w:cs="Arial"/>
        </w:rPr>
        <w:t>2</w:t>
      </w:r>
      <w:r w:rsidRPr="001F420C">
        <w:rPr>
          <w:rFonts w:ascii="Arial" w:hAnsi="Arial" w:cs="Arial"/>
        </w:rPr>
        <w:t xml:space="preserve">.2 </w:t>
      </w:r>
      <w:r w:rsidRPr="001628E0">
        <w:rPr>
          <w:rFonts w:ascii="Arial" w:hAnsi="Arial" w:cs="Arial"/>
          <w:b/>
          <w:bCs/>
          <w:sz w:val="22"/>
          <w:szCs w:val="22"/>
        </w:rPr>
        <w:t>Study population</w:t>
      </w:r>
      <w:r w:rsidRPr="001F420C">
        <w:rPr>
          <w:rFonts w:ascii="Arial" w:hAnsi="Arial" w:cs="Arial"/>
        </w:rPr>
        <w:t>: The study participants included those who are directly involved with the use of plastic packaging, those using it to sell and buy or household members who buy and consume food stuff in the market and take-home food stuff packaged with plastic. Those who have nothing to do with plastic packaging bags like those constructing the market, or those involved with plastic containers, metals and glass. The sample size was calculated using the Cochrane formula for indefinite population considering the following assumptions: a 95% level of confidence, a 5% margin of error. In addition, we utilized the p=50%. A non-response rate of 10% was considered and a minimum sample size of 384 was eventually attained. Purposive sampling was used to select the study participants.</w:t>
      </w:r>
    </w:p>
    <w:p w14:paraId="7752AC58" w14:textId="0965EAE8" w:rsidR="001F420C" w:rsidRPr="001F420C" w:rsidRDefault="001F420C" w:rsidP="001F420C">
      <w:pPr>
        <w:pStyle w:val="Body"/>
        <w:rPr>
          <w:rFonts w:ascii="Arial" w:hAnsi="Arial" w:cs="Arial"/>
        </w:rPr>
      </w:pPr>
      <w:r>
        <w:rPr>
          <w:rFonts w:ascii="Arial" w:hAnsi="Arial" w:cs="Arial"/>
        </w:rPr>
        <w:t>2</w:t>
      </w:r>
      <w:r w:rsidRPr="001F420C">
        <w:rPr>
          <w:rFonts w:ascii="Arial" w:hAnsi="Arial" w:cs="Arial"/>
        </w:rPr>
        <w:t xml:space="preserve">.3 </w:t>
      </w:r>
      <w:r w:rsidRPr="001628E0">
        <w:rPr>
          <w:rFonts w:ascii="Arial" w:hAnsi="Arial" w:cs="Arial"/>
          <w:b/>
          <w:bCs/>
          <w:sz w:val="22"/>
          <w:szCs w:val="22"/>
        </w:rPr>
        <w:t>Data collection</w:t>
      </w:r>
      <w:r w:rsidRPr="001F420C">
        <w:rPr>
          <w:rFonts w:ascii="Arial" w:hAnsi="Arial" w:cs="Arial"/>
        </w:rPr>
        <w:t xml:space="preserve">: </w:t>
      </w:r>
      <w:r>
        <w:rPr>
          <w:rFonts w:ascii="Arial" w:hAnsi="Arial" w:cs="Arial"/>
        </w:rPr>
        <w:t>T</w:t>
      </w:r>
      <w:r w:rsidRPr="001F420C">
        <w:rPr>
          <w:rFonts w:ascii="Arial" w:hAnsi="Arial" w:cs="Arial"/>
        </w:rPr>
        <w:t xml:space="preserve">he study employed a pre-tested self-administered questionnaire, which comprised four sections. The first section assessed the knowledge and awareness which encompassed awareness on the type of plastics banned and availability and </w:t>
      </w:r>
      <w:r w:rsidRPr="001F420C">
        <w:rPr>
          <w:rFonts w:ascii="Arial" w:hAnsi="Arial" w:cs="Arial"/>
        </w:rPr>
        <w:lastRenderedPageBreak/>
        <w:t xml:space="preserve">accessibility of banned plastics. The second section focused on control and regulations which entailed control mechanisms experienced and frequency of current controls. The third part, compliance and enforcement explored use of banned plastics and experience of sanctions recently. The final part explored variables affecting success of the plastic ban policy. To collect the data, all study participants completed the questionnaires at their respective market places and business </w:t>
      </w:r>
      <w:proofErr w:type="spellStart"/>
      <w:r w:rsidRPr="001F420C">
        <w:rPr>
          <w:rFonts w:ascii="Arial" w:hAnsi="Arial" w:cs="Arial"/>
        </w:rPr>
        <w:t>centres</w:t>
      </w:r>
      <w:proofErr w:type="spellEnd"/>
      <w:r w:rsidRPr="001F420C">
        <w:rPr>
          <w:rFonts w:ascii="Arial" w:hAnsi="Arial" w:cs="Arial"/>
        </w:rPr>
        <w:t>, and subsequently returned them to the Principal Investigator</w:t>
      </w:r>
    </w:p>
    <w:p w14:paraId="2EE438B2" w14:textId="3A2071B6" w:rsidR="00790ADA" w:rsidRPr="00FB3A86" w:rsidRDefault="001F420C" w:rsidP="001F420C">
      <w:pPr>
        <w:pStyle w:val="Body"/>
        <w:rPr>
          <w:rFonts w:ascii="Arial" w:hAnsi="Arial" w:cs="Arial"/>
        </w:rPr>
      </w:pPr>
      <w:r>
        <w:rPr>
          <w:rFonts w:ascii="Arial" w:hAnsi="Arial" w:cs="Arial"/>
        </w:rPr>
        <w:t>2</w:t>
      </w:r>
      <w:r w:rsidRPr="001F420C">
        <w:rPr>
          <w:rFonts w:ascii="Arial" w:hAnsi="Arial" w:cs="Arial"/>
        </w:rPr>
        <w:t xml:space="preserve">.4 </w:t>
      </w:r>
      <w:r w:rsidRPr="001628E0">
        <w:rPr>
          <w:rFonts w:ascii="Arial" w:hAnsi="Arial" w:cs="Arial"/>
          <w:b/>
          <w:bCs/>
          <w:sz w:val="22"/>
          <w:szCs w:val="22"/>
        </w:rPr>
        <w:t>Data Analysis</w:t>
      </w:r>
      <w:r>
        <w:rPr>
          <w:rFonts w:ascii="Arial" w:hAnsi="Arial" w:cs="Arial"/>
        </w:rPr>
        <w:t xml:space="preserve">: </w:t>
      </w:r>
      <w:r w:rsidRPr="001F420C">
        <w:rPr>
          <w:rFonts w:ascii="Arial" w:hAnsi="Arial" w:cs="Arial"/>
        </w:rPr>
        <w:t>Data obtained was cleaned in excel and analyzed using Statistical Package for Social Sciences (SPSS) Version 23. The categorical variables were summarized in frequencies and proportions. Pearson Chi square test was used to determine the associations between the independent variables and success of policy ban. Those independent variables (knowledge and awareness of policy ban, control and regulations factors, and compliance and enforcement) were categorized and the dependent variable was categorized into ineffective and effective. The reliability index of this scale was calculated and it ranged between 0.69-0.89. Multivariable logistic regression was used to identify factors associated with effectiveness of implementation of plastic ban policy. This was done at two levels; crude and adjusted. Initially, Chi-square tests and binary logistic regression were proposed to assess associations between the independent variables and the success of the plastic ban policy. However, due to zero-cell counts and lack of variability in certain categories of the independent and dependent variables, logistic regression could not be computed. Consequently, the analysis was limited to Chi-square tests, which provided valid statistical evidence of associations. All independent variables were added to the regression analysis model. However, only variables which were statistically significant (</w:t>
      </w:r>
      <w:r w:rsidR="00F806A7">
        <w:rPr>
          <w:rFonts w:ascii="Arial" w:hAnsi="Arial" w:cs="Arial"/>
          <w:i/>
          <w:iCs/>
        </w:rPr>
        <w:t>P</w:t>
      </w:r>
      <w:r w:rsidRPr="001F420C">
        <w:rPr>
          <w:rFonts w:ascii="Arial" w:hAnsi="Arial" w:cs="Arial"/>
        </w:rPr>
        <w:t>&lt;0.05) at the crude level were included in the model for the adjusted analysis.</w:t>
      </w:r>
    </w:p>
    <w:p w14:paraId="045FD06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CB64D9" w14:textId="77777777" w:rsidR="00790ADA" w:rsidRPr="00FB3A86" w:rsidRDefault="00790ADA" w:rsidP="00441B6F">
      <w:pPr>
        <w:pStyle w:val="Head1"/>
        <w:spacing w:after="0"/>
        <w:jc w:val="both"/>
        <w:rPr>
          <w:rFonts w:ascii="Arial" w:hAnsi="Arial" w:cs="Arial"/>
        </w:rPr>
      </w:pPr>
    </w:p>
    <w:p w14:paraId="4D4C662A" w14:textId="222B920B" w:rsidR="001628E0" w:rsidRPr="001628E0" w:rsidRDefault="00F806A7" w:rsidP="001628E0">
      <w:pPr>
        <w:pStyle w:val="Body"/>
        <w:rPr>
          <w:rFonts w:ascii="Arial" w:hAnsi="Arial" w:cs="Arial"/>
        </w:rPr>
      </w:pPr>
      <w:r>
        <w:rPr>
          <w:rFonts w:ascii="Arial" w:hAnsi="Arial" w:cs="Arial"/>
        </w:rPr>
        <w:t>3</w:t>
      </w:r>
      <w:r w:rsidR="001628E0" w:rsidRPr="001628E0">
        <w:rPr>
          <w:rFonts w:ascii="Arial" w:hAnsi="Arial" w:cs="Arial"/>
        </w:rPr>
        <w:t xml:space="preserve">.1 </w:t>
      </w:r>
      <w:r w:rsidR="001628E0" w:rsidRPr="001628E0">
        <w:rPr>
          <w:rFonts w:ascii="Arial" w:hAnsi="Arial" w:cs="Arial"/>
          <w:b/>
          <w:bCs/>
          <w:sz w:val="22"/>
          <w:szCs w:val="22"/>
        </w:rPr>
        <w:t>Results</w:t>
      </w:r>
    </w:p>
    <w:p w14:paraId="06F83234" w14:textId="26DD45C5" w:rsidR="001628E0" w:rsidRPr="001628E0" w:rsidRDefault="00F806A7" w:rsidP="001628E0">
      <w:pPr>
        <w:pStyle w:val="Body"/>
        <w:rPr>
          <w:rFonts w:ascii="Arial" w:hAnsi="Arial" w:cs="Arial"/>
        </w:rPr>
      </w:pPr>
      <w:r>
        <w:rPr>
          <w:rFonts w:ascii="Arial" w:hAnsi="Arial" w:cs="Arial"/>
        </w:rPr>
        <w:t>3</w:t>
      </w:r>
      <w:r w:rsidR="001628E0" w:rsidRPr="001628E0">
        <w:rPr>
          <w:rFonts w:ascii="Arial" w:hAnsi="Arial" w:cs="Arial"/>
        </w:rPr>
        <w:t xml:space="preserve">.1.1 </w:t>
      </w:r>
      <w:r w:rsidR="001628E0" w:rsidRPr="001628E0">
        <w:rPr>
          <w:rFonts w:ascii="Arial" w:hAnsi="Arial" w:cs="Arial"/>
          <w:b/>
          <w:bCs/>
          <w:i/>
          <w:iCs/>
        </w:rPr>
        <w:t>Profile of Business Operations in Relation to the Plastic Ban</w:t>
      </w:r>
    </w:p>
    <w:p w14:paraId="7AAA994D" w14:textId="77777777" w:rsidR="001628E0" w:rsidRPr="001628E0" w:rsidRDefault="001628E0" w:rsidP="001628E0">
      <w:pPr>
        <w:pStyle w:val="Body"/>
        <w:rPr>
          <w:rFonts w:ascii="Arial" w:hAnsi="Arial" w:cs="Arial"/>
        </w:rPr>
      </w:pPr>
      <w:r w:rsidRPr="001628E0">
        <w:rPr>
          <w:rFonts w:ascii="Arial" w:hAnsi="Arial" w:cs="Arial"/>
        </w:rPr>
        <w:t xml:space="preserve">The study (Figure 2) revealed that slightly more than half of the respondents were engaged in informal vending (n = 204, 53.1%) which included Street Food Vendor and Open Market Traders, while formal retail businesses (Pharmacy, Grocery Store and Household goods shop) accounted for less than half (n = 180, 46.9%). </w:t>
      </w:r>
    </w:p>
    <w:p w14:paraId="7DC829D0" w14:textId="4A2F0A9E" w:rsidR="001628E0" w:rsidRPr="001628E0" w:rsidRDefault="001628E0" w:rsidP="001628E0">
      <w:pPr>
        <w:pStyle w:val="Body"/>
        <w:jc w:val="center"/>
        <w:rPr>
          <w:rFonts w:ascii="Arial" w:hAnsi="Arial" w:cs="Arial"/>
        </w:rPr>
      </w:pPr>
      <w:r>
        <w:rPr>
          <w:noProof/>
        </w:rPr>
        <w:drawing>
          <wp:inline distT="0" distB="0" distL="0" distR="0" wp14:anchorId="09B71CCE" wp14:editId="6D57CADB">
            <wp:extent cx="4195822" cy="2459620"/>
            <wp:effectExtent l="0" t="0" r="14605" b="17145"/>
            <wp:docPr id="1052505612" name="Chart 1">
              <a:extLst xmlns:a="http://schemas.openxmlformats.org/drawingml/2006/main">
                <a:ext uri="{FF2B5EF4-FFF2-40B4-BE49-F238E27FC236}">
                  <a16:creationId xmlns:a16="http://schemas.microsoft.com/office/drawing/2014/main" id="{1BBCEB78-F03C-2AB3-0E6A-917D2067E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F900BC" w14:textId="77777777" w:rsidR="001628E0" w:rsidRPr="001628E0" w:rsidRDefault="001628E0" w:rsidP="001628E0">
      <w:pPr>
        <w:pStyle w:val="Body"/>
        <w:rPr>
          <w:rFonts w:ascii="Arial" w:hAnsi="Arial" w:cs="Arial"/>
        </w:rPr>
      </w:pPr>
      <w:r w:rsidRPr="001628E0">
        <w:rPr>
          <w:rFonts w:ascii="Arial" w:hAnsi="Arial" w:cs="Arial"/>
        </w:rPr>
        <w:lastRenderedPageBreak/>
        <w:t xml:space="preserve"> </w:t>
      </w:r>
    </w:p>
    <w:p w14:paraId="259DDCA1" w14:textId="70606BDA" w:rsidR="001628E0" w:rsidRPr="001628E0" w:rsidRDefault="001628E0" w:rsidP="001628E0">
      <w:pPr>
        <w:pStyle w:val="Body"/>
        <w:rPr>
          <w:rFonts w:ascii="Arial" w:hAnsi="Arial" w:cs="Arial"/>
          <w:b/>
          <w:bCs/>
        </w:rPr>
      </w:pPr>
      <w:r w:rsidRPr="001628E0">
        <w:rPr>
          <w:rFonts w:ascii="Arial" w:hAnsi="Arial" w:cs="Arial"/>
          <w:b/>
          <w:bCs/>
        </w:rPr>
        <w:t>Fig. 2. Distribution of Businesses by Type Among Study Participants</w:t>
      </w:r>
    </w:p>
    <w:p w14:paraId="3425C609" w14:textId="0FB044A4" w:rsidR="001628E0" w:rsidRPr="0086124D" w:rsidRDefault="00F806A7" w:rsidP="001628E0">
      <w:pPr>
        <w:pStyle w:val="Body"/>
        <w:rPr>
          <w:rFonts w:ascii="Arial" w:hAnsi="Arial" w:cs="Arial"/>
          <w:b/>
          <w:bCs/>
          <w:i/>
          <w:iCs/>
        </w:rPr>
      </w:pPr>
      <w:r>
        <w:rPr>
          <w:rFonts w:ascii="Arial" w:hAnsi="Arial" w:cs="Arial"/>
          <w:b/>
          <w:bCs/>
          <w:i/>
          <w:iCs/>
        </w:rPr>
        <w:t>3</w:t>
      </w:r>
      <w:r w:rsidR="001628E0" w:rsidRPr="0086124D">
        <w:rPr>
          <w:rFonts w:ascii="Arial" w:hAnsi="Arial" w:cs="Arial"/>
          <w:b/>
          <w:bCs/>
          <w:i/>
          <w:iCs/>
        </w:rPr>
        <w:t>.1.2 Knowledge and Awareness of Plastic Ban Policies</w:t>
      </w:r>
    </w:p>
    <w:p w14:paraId="282B24EF" w14:textId="35543C1D" w:rsidR="001628E0" w:rsidRPr="001628E0" w:rsidRDefault="001628E0" w:rsidP="001628E0">
      <w:pPr>
        <w:pStyle w:val="Body"/>
        <w:rPr>
          <w:rFonts w:ascii="Arial" w:hAnsi="Arial" w:cs="Arial"/>
        </w:rPr>
      </w:pPr>
      <w:r w:rsidRPr="001628E0">
        <w:rPr>
          <w:rFonts w:ascii="Arial" w:hAnsi="Arial" w:cs="Arial"/>
        </w:rPr>
        <w:t>The results (Table 1) show that the population who were aware of the types of plastics banned were more likely to perceive the policy as effective (45.5%) compared to those who were not aware (10%) (</w:t>
      </w:r>
      <w:r w:rsidR="00F806A7">
        <w:rPr>
          <w:rFonts w:ascii="Arial" w:hAnsi="Arial" w:cs="Arial"/>
          <w:i/>
          <w:iCs/>
        </w:rPr>
        <w:t>P</w:t>
      </w:r>
      <w:r w:rsidRPr="001628E0">
        <w:rPr>
          <w:rFonts w:ascii="Arial" w:hAnsi="Arial" w:cs="Arial"/>
        </w:rPr>
        <w:t>&lt;.001). Similarly, formal retail businesses reported higher effectiveness (66.7%) compared to informal vendors (5.9%) (</w:t>
      </w:r>
      <w:r w:rsidR="00F806A7">
        <w:rPr>
          <w:rFonts w:ascii="Arial" w:hAnsi="Arial" w:cs="Arial"/>
          <w:i/>
          <w:iCs/>
        </w:rPr>
        <w:t>P</w:t>
      </w:r>
      <w:r w:rsidRPr="001628E0">
        <w:rPr>
          <w:rFonts w:ascii="Arial" w:hAnsi="Arial" w:cs="Arial"/>
        </w:rPr>
        <w:t>&lt;.001). In addition, where banned plastics were readily available, effectiveness was lower (25%) compared to areas with reduced accessibility (50%) (</w:t>
      </w:r>
      <w:r w:rsidR="00F806A7">
        <w:rPr>
          <w:rFonts w:ascii="Arial" w:hAnsi="Arial" w:cs="Arial"/>
          <w:i/>
          <w:iCs/>
        </w:rPr>
        <w:t>P</w:t>
      </w:r>
      <w:r w:rsidRPr="001628E0">
        <w:rPr>
          <w:rFonts w:ascii="Arial" w:hAnsi="Arial" w:cs="Arial"/>
        </w:rPr>
        <w:t xml:space="preserve">&lt;.001). </w:t>
      </w:r>
    </w:p>
    <w:p w14:paraId="1A349A40" w14:textId="77777777" w:rsidR="001628E0" w:rsidRPr="0086124D" w:rsidRDefault="001628E0" w:rsidP="001628E0">
      <w:pPr>
        <w:pStyle w:val="Body"/>
        <w:rPr>
          <w:rFonts w:ascii="Arial" w:hAnsi="Arial" w:cs="Arial"/>
          <w:b/>
          <w:bCs/>
        </w:rPr>
      </w:pPr>
      <w:r w:rsidRPr="0086124D">
        <w:rPr>
          <w:rFonts w:ascii="Arial" w:hAnsi="Arial" w:cs="Arial"/>
          <w:b/>
          <w:bCs/>
        </w:rPr>
        <w:t>Table 1: Chi-Square Test of the association between Types of business, Knowledge and Awareness,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986"/>
        <w:gridCol w:w="1228"/>
        <w:gridCol w:w="1360"/>
        <w:gridCol w:w="1277"/>
        <w:gridCol w:w="845"/>
      </w:tblGrid>
      <w:tr w:rsidR="0086124D" w:rsidRPr="0086124D" w14:paraId="14DC095D" w14:textId="77777777" w:rsidTr="0086124D">
        <w:tc>
          <w:tcPr>
            <w:tcW w:w="1747" w:type="dxa"/>
            <w:vMerge w:val="restart"/>
          </w:tcPr>
          <w:p w14:paraId="729FA37C"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Variables</w:t>
            </w:r>
          </w:p>
        </w:tc>
        <w:tc>
          <w:tcPr>
            <w:tcW w:w="2748" w:type="dxa"/>
            <w:vMerge w:val="restart"/>
          </w:tcPr>
          <w:p w14:paraId="714FBFE2"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Categories</w:t>
            </w:r>
          </w:p>
        </w:tc>
        <w:tc>
          <w:tcPr>
            <w:tcW w:w="857" w:type="dxa"/>
            <w:vMerge w:val="restart"/>
          </w:tcPr>
          <w:p w14:paraId="1B813A6A"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Frequency</w:t>
            </w:r>
          </w:p>
        </w:tc>
        <w:tc>
          <w:tcPr>
            <w:tcW w:w="3032" w:type="dxa"/>
            <w:gridSpan w:val="2"/>
          </w:tcPr>
          <w:p w14:paraId="47AAAAFB"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Success of the plastic ban policy, n (%)</w:t>
            </w:r>
          </w:p>
        </w:tc>
        <w:tc>
          <w:tcPr>
            <w:tcW w:w="966" w:type="dxa"/>
            <w:vMerge w:val="restart"/>
          </w:tcPr>
          <w:p w14:paraId="796E3B0B" w14:textId="77777777" w:rsidR="0086124D" w:rsidRPr="0086124D" w:rsidRDefault="0086124D" w:rsidP="0086124D">
            <w:pPr>
              <w:pStyle w:val="Body"/>
              <w:rPr>
                <w:rFonts w:ascii="Arial" w:hAnsi="Arial" w:cs="Arial"/>
                <w:b/>
                <w:bCs/>
                <w:i/>
                <w:iCs/>
                <w:sz w:val="20"/>
                <w:szCs w:val="20"/>
              </w:rPr>
            </w:pPr>
            <w:r w:rsidRPr="0086124D">
              <w:rPr>
                <w:rFonts w:ascii="Arial" w:hAnsi="Arial" w:cs="Arial"/>
                <w:b/>
                <w:bCs/>
                <w:i/>
                <w:iCs/>
                <w:sz w:val="20"/>
                <w:szCs w:val="20"/>
              </w:rPr>
              <w:t>P-</w:t>
            </w:r>
            <w:r w:rsidRPr="0086124D">
              <w:rPr>
                <w:rFonts w:ascii="Arial" w:hAnsi="Arial" w:cs="Arial"/>
                <w:b/>
                <w:bCs/>
                <w:sz w:val="20"/>
                <w:szCs w:val="20"/>
              </w:rPr>
              <w:t>value</w:t>
            </w:r>
          </w:p>
        </w:tc>
      </w:tr>
      <w:tr w:rsidR="0086124D" w:rsidRPr="0086124D" w14:paraId="58036823" w14:textId="77777777" w:rsidTr="0086124D">
        <w:tc>
          <w:tcPr>
            <w:tcW w:w="1747" w:type="dxa"/>
            <w:vMerge/>
          </w:tcPr>
          <w:p w14:paraId="585FEBB5" w14:textId="77777777" w:rsidR="0086124D" w:rsidRPr="0086124D" w:rsidRDefault="0086124D" w:rsidP="0086124D">
            <w:pPr>
              <w:pStyle w:val="Body"/>
              <w:rPr>
                <w:rFonts w:ascii="Arial" w:hAnsi="Arial" w:cs="Arial"/>
                <w:b/>
                <w:bCs/>
                <w:sz w:val="20"/>
                <w:szCs w:val="20"/>
              </w:rPr>
            </w:pPr>
          </w:p>
        </w:tc>
        <w:tc>
          <w:tcPr>
            <w:tcW w:w="2748" w:type="dxa"/>
            <w:vMerge/>
          </w:tcPr>
          <w:p w14:paraId="72E25E0F" w14:textId="77777777" w:rsidR="0086124D" w:rsidRPr="0086124D" w:rsidRDefault="0086124D" w:rsidP="0086124D">
            <w:pPr>
              <w:pStyle w:val="Body"/>
              <w:rPr>
                <w:rFonts w:ascii="Arial" w:hAnsi="Arial" w:cs="Arial"/>
                <w:b/>
                <w:bCs/>
                <w:sz w:val="20"/>
                <w:szCs w:val="20"/>
              </w:rPr>
            </w:pPr>
          </w:p>
        </w:tc>
        <w:tc>
          <w:tcPr>
            <w:tcW w:w="857" w:type="dxa"/>
            <w:vMerge/>
          </w:tcPr>
          <w:p w14:paraId="713F6772" w14:textId="77777777" w:rsidR="0086124D" w:rsidRPr="0086124D" w:rsidRDefault="0086124D" w:rsidP="0086124D">
            <w:pPr>
              <w:pStyle w:val="Body"/>
              <w:rPr>
                <w:rFonts w:ascii="Arial" w:hAnsi="Arial" w:cs="Arial"/>
                <w:b/>
                <w:bCs/>
                <w:sz w:val="20"/>
                <w:szCs w:val="20"/>
              </w:rPr>
            </w:pPr>
          </w:p>
        </w:tc>
        <w:tc>
          <w:tcPr>
            <w:tcW w:w="1520" w:type="dxa"/>
          </w:tcPr>
          <w:p w14:paraId="28708650"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Ineffective</w:t>
            </w:r>
          </w:p>
        </w:tc>
        <w:tc>
          <w:tcPr>
            <w:tcW w:w="1512" w:type="dxa"/>
          </w:tcPr>
          <w:p w14:paraId="7FDD7550"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Effective</w:t>
            </w:r>
          </w:p>
        </w:tc>
        <w:tc>
          <w:tcPr>
            <w:tcW w:w="966" w:type="dxa"/>
            <w:vMerge/>
          </w:tcPr>
          <w:p w14:paraId="6DEA7E7D" w14:textId="77777777" w:rsidR="0086124D" w:rsidRPr="0086124D" w:rsidRDefault="0086124D" w:rsidP="0086124D">
            <w:pPr>
              <w:pStyle w:val="Body"/>
              <w:rPr>
                <w:rFonts w:ascii="Arial" w:hAnsi="Arial" w:cs="Arial"/>
                <w:b/>
                <w:bCs/>
                <w:sz w:val="20"/>
                <w:szCs w:val="20"/>
              </w:rPr>
            </w:pPr>
          </w:p>
        </w:tc>
      </w:tr>
      <w:tr w:rsidR="0086124D" w:rsidRPr="0086124D" w14:paraId="4099BF54" w14:textId="77777777" w:rsidTr="0086124D">
        <w:tc>
          <w:tcPr>
            <w:tcW w:w="1747" w:type="dxa"/>
          </w:tcPr>
          <w:p w14:paraId="15BEE1C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Awareness on type of plastics banned</w:t>
            </w:r>
          </w:p>
        </w:tc>
        <w:tc>
          <w:tcPr>
            <w:tcW w:w="2748" w:type="dxa"/>
          </w:tcPr>
          <w:p w14:paraId="56E7773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Yes</w:t>
            </w:r>
          </w:p>
          <w:p w14:paraId="08D4509F"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No</w:t>
            </w:r>
          </w:p>
        </w:tc>
        <w:tc>
          <w:tcPr>
            <w:tcW w:w="857" w:type="dxa"/>
          </w:tcPr>
          <w:p w14:paraId="5425919E"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120</w:t>
            </w:r>
          </w:p>
          <w:p w14:paraId="40503A88"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264</w:t>
            </w:r>
          </w:p>
        </w:tc>
        <w:tc>
          <w:tcPr>
            <w:tcW w:w="1520" w:type="dxa"/>
          </w:tcPr>
          <w:p w14:paraId="60E24EF8"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108 (90)</w:t>
            </w:r>
          </w:p>
          <w:p w14:paraId="64FC5895" w14:textId="77777777" w:rsidR="0086124D" w:rsidRPr="0086124D" w:rsidRDefault="0086124D" w:rsidP="0086124D">
            <w:pPr>
              <w:pStyle w:val="Body"/>
              <w:rPr>
                <w:rFonts w:ascii="Arial" w:hAnsi="Arial" w:cs="Arial"/>
                <w:b/>
                <w:bCs/>
                <w:sz w:val="20"/>
                <w:szCs w:val="20"/>
              </w:rPr>
            </w:pPr>
            <w:r w:rsidRPr="0086124D">
              <w:rPr>
                <w:rFonts w:ascii="Arial" w:hAnsi="Arial" w:cs="Arial"/>
                <w:sz w:val="20"/>
                <w:szCs w:val="20"/>
              </w:rPr>
              <w:t>144 (54.5)</w:t>
            </w:r>
          </w:p>
        </w:tc>
        <w:tc>
          <w:tcPr>
            <w:tcW w:w="1512" w:type="dxa"/>
          </w:tcPr>
          <w:p w14:paraId="3FDF39D3"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 (10)</w:t>
            </w:r>
          </w:p>
          <w:p w14:paraId="71BA2A7E" w14:textId="77777777" w:rsidR="0086124D" w:rsidRPr="0086124D" w:rsidRDefault="0086124D" w:rsidP="0086124D">
            <w:pPr>
              <w:pStyle w:val="Body"/>
              <w:rPr>
                <w:rFonts w:ascii="Arial" w:hAnsi="Arial" w:cs="Arial"/>
                <w:b/>
                <w:bCs/>
                <w:sz w:val="20"/>
                <w:szCs w:val="20"/>
              </w:rPr>
            </w:pPr>
            <w:r w:rsidRPr="0086124D">
              <w:rPr>
                <w:rFonts w:ascii="Arial" w:hAnsi="Arial" w:cs="Arial"/>
                <w:sz w:val="20"/>
                <w:szCs w:val="20"/>
              </w:rPr>
              <w:t>120 (45.5)</w:t>
            </w:r>
          </w:p>
        </w:tc>
        <w:tc>
          <w:tcPr>
            <w:tcW w:w="966" w:type="dxa"/>
          </w:tcPr>
          <w:p w14:paraId="0DFD119F" w14:textId="215DE582" w:rsidR="0086124D" w:rsidRPr="0086124D" w:rsidRDefault="0086124D" w:rsidP="0086124D">
            <w:pPr>
              <w:pStyle w:val="Body"/>
              <w:rPr>
                <w:rFonts w:ascii="Arial" w:hAnsi="Arial" w:cs="Arial"/>
                <w:sz w:val="20"/>
                <w:szCs w:val="20"/>
              </w:rPr>
            </w:pPr>
            <w:r w:rsidRPr="0086124D">
              <w:rPr>
                <w:rFonts w:ascii="Arial" w:hAnsi="Arial" w:cs="Arial"/>
                <w:sz w:val="20"/>
                <w:szCs w:val="20"/>
              </w:rPr>
              <w:t>&lt;.001</w:t>
            </w:r>
          </w:p>
        </w:tc>
      </w:tr>
      <w:tr w:rsidR="0086124D" w:rsidRPr="0086124D" w14:paraId="4002C829" w14:textId="77777777" w:rsidTr="0086124D">
        <w:tc>
          <w:tcPr>
            <w:tcW w:w="1747" w:type="dxa"/>
          </w:tcPr>
          <w:p w14:paraId="654DC6B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Types of business</w:t>
            </w:r>
          </w:p>
        </w:tc>
        <w:tc>
          <w:tcPr>
            <w:tcW w:w="2748" w:type="dxa"/>
          </w:tcPr>
          <w:p w14:paraId="73CC5195"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Formal retail businesses</w:t>
            </w:r>
          </w:p>
          <w:p w14:paraId="0062C6CE"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Informal vendors</w:t>
            </w:r>
          </w:p>
        </w:tc>
        <w:tc>
          <w:tcPr>
            <w:tcW w:w="857" w:type="dxa"/>
          </w:tcPr>
          <w:p w14:paraId="6871821C"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180</w:t>
            </w:r>
          </w:p>
          <w:p w14:paraId="65994BA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204</w:t>
            </w:r>
          </w:p>
        </w:tc>
        <w:tc>
          <w:tcPr>
            <w:tcW w:w="1520" w:type="dxa"/>
          </w:tcPr>
          <w:p w14:paraId="44F75773"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60 (33.3)</w:t>
            </w:r>
          </w:p>
          <w:p w14:paraId="5FE2A932"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192 (94.1)</w:t>
            </w:r>
          </w:p>
        </w:tc>
        <w:tc>
          <w:tcPr>
            <w:tcW w:w="1512" w:type="dxa"/>
          </w:tcPr>
          <w:p w14:paraId="1581DBE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120 (66.7)</w:t>
            </w:r>
          </w:p>
          <w:p w14:paraId="31DCEBC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 (5.9)</w:t>
            </w:r>
          </w:p>
        </w:tc>
        <w:tc>
          <w:tcPr>
            <w:tcW w:w="966" w:type="dxa"/>
          </w:tcPr>
          <w:p w14:paraId="034D1A9E" w14:textId="2A3A6B9E" w:rsidR="0086124D" w:rsidRPr="0086124D" w:rsidRDefault="0086124D" w:rsidP="0086124D">
            <w:pPr>
              <w:pStyle w:val="Body"/>
              <w:rPr>
                <w:rFonts w:ascii="Arial" w:hAnsi="Arial" w:cs="Arial"/>
                <w:sz w:val="20"/>
                <w:szCs w:val="20"/>
              </w:rPr>
            </w:pPr>
            <w:r w:rsidRPr="0086124D">
              <w:rPr>
                <w:rFonts w:ascii="Arial" w:hAnsi="Arial" w:cs="Arial"/>
                <w:sz w:val="20"/>
                <w:szCs w:val="20"/>
              </w:rPr>
              <w:t>&lt;.001</w:t>
            </w:r>
          </w:p>
        </w:tc>
      </w:tr>
      <w:tr w:rsidR="0086124D" w:rsidRPr="0086124D" w14:paraId="48F3B70C" w14:textId="77777777" w:rsidTr="0086124D">
        <w:tc>
          <w:tcPr>
            <w:tcW w:w="1747" w:type="dxa"/>
          </w:tcPr>
          <w:p w14:paraId="45C59F8B"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Availability and accessibility of banned plastics</w:t>
            </w:r>
          </w:p>
        </w:tc>
        <w:tc>
          <w:tcPr>
            <w:tcW w:w="2748" w:type="dxa"/>
          </w:tcPr>
          <w:p w14:paraId="49866F63"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Yes</w:t>
            </w:r>
          </w:p>
          <w:p w14:paraId="456C0547"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No</w:t>
            </w:r>
          </w:p>
        </w:tc>
        <w:tc>
          <w:tcPr>
            <w:tcW w:w="857" w:type="dxa"/>
          </w:tcPr>
          <w:p w14:paraId="5C13463D"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240</w:t>
            </w:r>
          </w:p>
          <w:p w14:paraId="6A7A7D0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144</w:t>
            </w:r>
          </w:p>
        </w:tc>
        <w:tc>
          <w:tcPr>
            <w:tcW w:w="1520" w:type="dxa"/>
          </w:tcPr>
          <w:p w14:paraId="781A905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180 (75)</w:t>
            </w:r>
          </w:p>
          <w:p w14:paraId="2E1F3E0E"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72 (50)</w:t>
            </w:r>
          </w:p>
        </w:tc>
        <w:tc>
          <w:tcPr>
            <w:tcW w:w="1512" w:type="dxa"/>
          </w:tcPr>
          <w:p w14:paraId="7F9C75A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60 (25)</w:t>
            </w:r>
          </w:p>
          <w:p w14:paraId="30597376"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72 (50)</w:t>
            </w:r>
          </w:p>
        </w:tc>
        <w:tc>
          <w:tcPr>
            <w:tcW w:w="966" w:type="dxa"/>
          </w:tcPr>
          <w:p w14:paraId="72AF44EA" w14:textId="1E3F5981" w:rsidR="0086124D" w:rsidRPr="0086124D" w:rsidRDefault="0086124D" w:rsidP="0086124D">
            <w:pPr>
              <w:pStyle w:val="Body"/>
              <w:rPr>
                <w:rFonts w:ascii="Arial" w:hAnsi="Arial" w:cs="Arial"/>
                <w:sz w:val="20"/>
                <w:szCs w:val="20"/>
              </w:rPr>
            </w:pPr>
            <w:r w:rsidRPr="0086124D">
              <w:rPr>
                <w:rFonts w:ascii="Arial" w:hAnsi="Arial" w:cs="Arial"/>
                <w:sz w:val="20"/>
                <w:szCs w:val="20"/>
              </w:rPr>
              <w:t>&lt;.001</w:t>
            </w:r>
          </w:p>
        </w:tc>
      </w:tr>
    </w:tbl>
    <w:p w14:paraId="326E33AE" w14:textId="77777777" w:rsidR="0086124D" w:rsidRPr="001628E0" w:rsidRDefault="0086124D" w:rsidP="001628E0">
      <w:pPr>
        <w:pStyle w:val="Body"/>
        <w:rPr>
          <w:rFonts w:ascii="Arial" w:hAnsi="Arial" w:cs="Arial"/>
        </w:rPr>
      </w:pPr>
    </w:p>
    <w:p w14:paraId="1931089E" w14:textId="5E230A5B" w:rsidR="001628E0" w:rsidRPr="001628E0" w:rsidRDefault="001628E0" w:rsidP="001628E0">
      <w:pPr>
        <w:pStyle w:val="Body"/>
        <w:rPr>
          <w:rFonts w:ascii="Arial" w:hAnsi="Arial" w:cs="Arial"/>
        </w:rPr>
      </w:pPr>
      <w:r w:rsidRPr="001628E0">
        <w:rPr>
          <w:rFonts w:ascii="Arial" w:hAnsi="Arial" w:cs="Arial"/>
        </w:rPr>
        <w:t xml:space="preserve">Table 2 indicates respondents who were aware of the types of plastics banned were about 7.5 times more likely to experience effectiveness in policy as compared to those who were not aware (AOR = 7.5, 95% CI: 3.9–14.3, </w:t>
      </w:r>
      <w:r w:rsidR="00F806A7">
        <w:rPr>
          <w:rFonts w:ascii="Arial" w:hAnsi="Arial" w:cs="Arial"/>
          <w:i/>
          <w:iCs/>
        </w:rPr>
        <w:t>P</w:t>
      </w:r>
      <w:r w:rsidRPr="001628E0">
        <w:rPr>
          <w:rFonts w:ascii="Arial" w:hAnsi="Arial" w:cs="Arial"/>
        </w:rPr>
        <w:t xml:space="preserve">&lt;.001). Likewise, limited accessibility of banned plastics increased the likelihood of perceiving the ban as effective by three times (AOR = 3.0, 95% CI: 1.9–4.6, </w:t>
      </w:r>
      <w:r w:rsidR="00F806A7">
        <w:rPr>
          <w:rFonts w:ascii="Arial" w:hAnsi="Arial" w:cs="Arial"/>
          <w:i/>
          <w:iCs/>
        </w:rPr>
        <w:t>P</w:t>
      </w:r>
      <w:r w:rsidRPr="001628E0">
        <w:rPr>
          <w:rFonts w:ascii="Arial" w:hAnsi="Arial" w:cs="Arial"/>
        </w:rPr>
        <w:t xml:space="preserve">&lt;.001). Formal retail businesses were also significantly more likely to report success than informal vendors (AOR = 4.3, 95% CI: 2.7–9.6, </w:t>
      </w:r>
      <w:r w:rsidR="00F806A7">
        <w:rPr>
          <w:rFonts w:ascii="Arial" w:hAnsi="Arial" w:cs="Arial"/>
          <w:i/>
          <w:iCs/>
        </w:rPr>
        <w:t>P</w:t>
      </w:r>
      <w:r w:rsidRPr="001628E0">
        <w:rPr>
          <w:rFonts w:ascii="Arial" w:hAnsi="Arial" w:cs="Arial"/>
        </w:rPr>
        <w:t xml:space="preserve">&lt;.001). </w:t>
      </w:r>
    </w:p>
    <w:p w14:paraId="09245F82" w14:textId="77777777" w:rsidR="001628E0" w:rsidRPr="008763F1" w:rsidRDefault="001628E0" w:rsidP="001628E0">
      <w:pPr>
        <w:pStyle w:val="Body"/>
        <w:rPr>
          <w:rFonts w:ascii="Arial" w:hAnsi="Arial" w:cs="Arial"/>
          <w:b/>
          <w:bCs/>
        </w:rPr>
      </w:pPr>
      <w:r w:rsidRPr="008763F1">
        <w:rPr>
          <w:rFonts w:ascii="Arial" w:hAnsi="Arial" w:cs="Arial"/>
          <w:b/>
          <w:bCs/>
        </w:rPr>
        <w:t>Table 2: Relationship between Type of business, Knowledge and Awareness,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13"/>
        <w:gridCol w:w="2567"/>
        <w:gridCol w:w="979"/>
      </w:tblGrid>
      <w:tr w:rsidR="008763F1" w:rsidRPr="008763F1" w14:paraId="3497000D" w14:textId="77777777" w:rsidTr="008763F1">
        <w:tc>
          <w:tcPr>
            <w:tcW w:w="2605" w:type="dxa"/>
          </w:tcPr>
          <w:p w14:paraId="0B14C358" w14:textId="77777777" w:rsidR="008763F1" w:rsidRPr="008763F1" w:rsidRDefault="008763F1" w:rsidP="008763F1">
            <w:pPr>
              <w:pStyle w:val="Body"/>
              <w:rPr>
                <w:rFonts w:ascii="Arial" w:hAnsi="Arial" w:cs="Arial"/>
                <w:b/>
                <w:bCs/>
                <w:sz w:val="20"/>
                <w:szCs w:val="20"/>
              </w:rPr>
            </w:pPr>
            <w:r w:rsidRPr="008763F1">
              <w:rPr>
                <w:rFonts w:ascii="Arial" w:hAnsi="Arial" w:cs="Arial"/>
                <w:b/>
                <w:bCs/>
                <w:sz w:val="20"/>
                <w:szCs w:val="20"/>
              </w:rPr>
              <w:t>Variables</w:t>
            </w:r>
          </w:p>
        </w:tc>
        <w:tc>
          <w:tcPr>
            <w:tcW w:w="2569" w:type="dxa"/>
          </w:tcPr>
          <w:p w14:paraId="3696C071" w14:textId="77777777" w:rsidR="008763F1" w:rsidRPr="008763F1" w:rsidRDefault="008763F1" w:rsidP="008763F1">
            <w:pPr>
              <w:pStyle w:val="Body"/>
              <w:rPr>
                <w:rFonts w:ascii="Arial" w:hAnsi="Arial" w:cs="Arial"/>
                <w:b/>
                <w:bCs/>
                <w:sz w:val="20"/>
                <w:szCs w:val="20"/>
              </w:rPr>
            </w:pPr>
            <w:r w:rsidRPr="008763F1">
              <w:rPr>
                <w:rFonts w:ascii="Arial" w:hAnsi="Arial" w:cs="Arial"/>
                <w:b/>
                <w:bCs/>
                <w:sz w:val="20"/>
                <w:szCs w:val="20"/>
              </w:rPr>
              <w:t>Categories</w:t>
            </w:r>
          </w:p>
        </w:tc>
        <w:tc>
          <w:tcPr>
            <w:tcW w:w="2887" w:type="dxa"/>
          </w:tcPr>
          <w:p w14:paraId="50616EBD" w14:textId="77777777" w:rsidR="008763F1" w:rsidRPr="008763F1" w:rsidRDefault="008763F1" w:rsidP="008763F1">
            <w:pPr>
              <w:pStyle w:val="Body"/>
              <w:rPr>
                <w:rFonts w:ascii="Arial" w:hAnsi="Arial" w:cs="Arial"/>
                <w:b/>
                <w:bCs/>
                <w:sz w:val="20"/>
                <w:szCs w:val="20"/>
              </w:rPr>
            </w:pPr>
            <w:r w:rsidRPr="008763F1">
              <w:rPr>
                <w:rFonts w:ascii="Arial" w:hAnsi="Arial" w:cs="Arial"/>
                <w:b/>
                <w:bCs/>
                <w:sz w:val="20"/>
                <w:szCs w:val="20"/>
              </w:rPr>
              <w:t>Success of the plastic ban policy (Effective), Adjusted OR [95% CI]</w:t>
            </w:r>
          </w:p>
        </w:tc>
        <w:tc>
          <w:tcPr>
            <w:tcW w:w="1040" w:type="dxa"/>
          </w:tcPr>
          <w:p w14:paraId="44E231A2" w14:textId="77777777" w:rsidR="008763F1" w:rsidRPr="008763F1" w:rsidRDefault="008763F1" w:rsidP="008763F1">
            <w:pPr>
              <w:pStyle w:val="Body"/>
              <w:rPr>
                <w:rFonts w:ascii="Arial" w:hAnsi="Arial" w:cs="Arial"/>
                <w:b/>
                <w:bCs/>
                <w:sz w:val="20"/>
                <w:szCs w:val="20"/>
              </w:rPr>
            </w:pPr>
            <w:r w:rsidRPr="008763F1">
              <w:rPr>
                <w:rFonts w:ascii="Arial" w:hAnsi="Arial" w:cs="Arial"/>
                <w:b/>
                <w:bCs/>
                <w:i/>
                <w:iCs/>
                <w:sz w:val="20"/>
                <w:szCs w:val="20"/>
              </w:rPr>
              <w:t>P</w:t>
            </w:r>
            <w:r w:rsidRPr="008763F1">
              <w:rPr>
                <w:rFonts w:ascii="Arial" w:hAnsi="Arial" w:cs="Arial"/>
                <w:b/>
                <w:bCs/>
                <w:sz w:val="20"/>
                <w:szCs w:val="20"/>
              </w:rPr>
              <w:t>-value</w:t>
            </w:r>
          </w:p>
        </w:tc>
      </w:tr>
      <w:tr w:rsidR="008763F1" w:rsidRPr="008763F1" w14:paraId="452BCA16" w14:textId="77777777" w:rsidTr="008763F1">
        <w:tc>
          <w:tcPr>
            <w:tcW w:w="2605" w:type="dxa"/>
          </w:tcPr>
          <w:p w14:paraId="1FE9B14A"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lastRenderedPageBreak/>
              <w:t>Awareness on type of plastics banned</w:t>
            </w:r>
          </w:p>
        </w:tc>
        <w:tc>
          <w:tcPr>
            <w:tcW w:w="2569" w:type="dxa"/>
          </w:tcPr>
          <w:p w14:paraId="6343310F"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Yes</w:t>
            </w:r>
          </w:p>
          <w:p w14:paraId="23BDE9BD"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No</w:t>
            </w:r>
          </w:p>
        </w:tc>
        <w:tc>
          <w:tcPr>
            <w:tcW w:w="2887" w:type="dxa"/>
          </w:tcPr>
          <w:p w14:paraId="47BCB09B"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7.5 [3.9-14.3]</w:t>
            </w:r>
          </w:p>
          <w:p w14:paraId="2CD005F3"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1</w:t>
            </w:r>
          </w:p>
        </w:tc>
        <w:tc>
          <w:tcPr>
            <w:tcW w:w="1040" w:type="dxa"/>
          </w:tcPr>
          <w:p w14:paraId="4380F45F" w14:textId="0D80AF9C" w:rsidR="008763F1" w:rsidRPr="008763F1" w:rsidRDefault="008763F1" w:rsidP="008763F1">
            <w:pPr>
              <w:pStyle w:val="Body"/>
              <w:rPr>
                <w:rFonts w:ascii="Arial" w:hAnsi="Arial" w:cs="Arial"/>
                <w:sz w:val="20"/>
                <w:szCs w:val="20"/>
              </w:rPr>
            </w:pPr>
            <w:r w:rsidRPr="008763F1">
              <w:rPr>
                <w:rFonts w:ascii="Arial" w:hAnsi="Arial" w:cs="Arial"/>
                <w:sz w:val="20"/>
                <w:szCs w:val="20"/>
              </w:rPr>
              <w:t>&lt;.001</w:t>
            </w:r>
          </w:p>
        </w:tc>
      </w:tr>
      <w:tr w:rsidR="008763F1" w:rsidRPr="008763F1" w14:paraId="2EE416A4" w14:textId="77777777" w:rsidTr="008763F1">
        <w:tc>
          <w:tcPr>
            <w:tcW w:w="2605" w:type="dxa"/>
          </w:tcPr>
          <w:p w14:paraId="3BF48536" w14:textId="77777777" w:rsidR="008763F1" w:rsidRPr="008763F1" w:rsidRDefault="008763F1" w:rsidP="008763F1">
            <w:pPr>
              <w:pStyle w:val="Body"/>
              <w:rPr>
                <w:rFonts w:ascii="Arial" w:hAnsi="Arial" w:cs="Arial"/>
                <w:b/>
                <w:bCs/>
                <w:sz w:val="20"/>
                <w:szCs w:val="20"/>
              </w:rPr>
            </w:pPr>
            <w:r w:rsidRPr="008763F1">
              <w:rPr>
                <w:rFonts w:ascii="Arial" w:hAnsi="Arial" w:cs="Arial"/>
                <w:sz w:val="20"/>
                <w:szCs w:val="20"/>
              </w:rPr>
              <w:t>Availability and accessibility of banned plastics</w:t>
            </w:r>
          </w:p>
        </w:tc>
        <w:tc>
          <w:tcPr>
            <w:tcW w:w="2569" w:type="dxa"/>
          </w:tcPr>
          <w:p w14:paraId="2EA72C94"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Yes</w:t>
            </w:r>
          </w:p>
          <w:p w14:paraId="5E65F9F0"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No</w:t>
            </w:r>
          </w:p>
        </w:tc>
        <w:tc>
          <w:tcPr>
            <w:tcW w:w="2887" w:type="dxa"/>
          </w:tcPr>
          <w:p w14:paraId="093253AB"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3 [1.9-4.6]</w:t>
            </w:r>
          </w:p>
          <w:p w14:paraId="6AC074AD"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1</w:t>
            </w:r>
          </w:p>
        </w:tc>
        <w:tc>
          <w:tcPr>
            <w:tcW w:w="1040" w:type="dxa"/>
          </w:tcPr>
          <w:p w14:paraId="7448FB78" w14:textId="1CDDAEB8" w:rsidR="008763F1" w:rsidRPr="008763F1" w:rsidRDefault="008763F1" w:rsidP="008763F1">
            <w:pPr>
              <w:pStyle w:val="Body"/>
              <w:rPr>
                <w:rFonts w:ascii="Arial" w:hAnsi="Arial" w:cs="Arial"/>
                <w:sz w:val="20"/>
                <w:szCs w:val="20"/>
              </w:rPr>
            </w:pPr>
            <w:r w:rsidRPr="008763F1">
              <w:rPr>
                <w:rFonts w:ascii="Arial" w:hAnsi="Arial" w:cs="Arial"/>
                <w:sz w:val="20"/>
                <w:szCs w:val="20"/>
              </w:rPr>
              <w:t>&lt;.001</w:t>
            </w:r>
          </w:p>
        </w:tc>
      </w:tr>
      <w:tr w:rsidR="008763F1" w:rsidRPr="008763F1" w14:paraId="11E036C4" w14:textId="77777777" w:rsidTr="008763F1">
        <w:tc>
          <w:tcPr>
            <w:tcW w:w="2605" w:type="dxa"/>
          </w:tcPr>
          <w:p w14:paraId="7F4568B7"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Types of business</w:t>
            </w:r>
          </w:p>
        </w:tc>
        <w:tc>
          <w:tcPr>
            <w:tcW w:w="2569" w:type="dxa"/>
          </w:tcPr>
          <w:p w14:paraId="24CF3E33"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Formal retail businesses</w:t>
            </w:r>
          </w:p>
          <w:p w14:paraId="3D91FEF9"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Informal vendors</w:t>
            </w:r>
          </w:p>
        </w:tc>
        <w:tc>
          <w:tcPr>
            <w:tcW w:w="2887" w:type="dxa"/>
          </w:tcPr>
          <w:p w14:paraId="24EF6522"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4.3 [2.7-9.6]</w:t>
            </w:r>
          </w:p>
          <w:p w14:paraId="0F07988E"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1</w:t>
            </w:r>
          </w:p>
          <w:p w14:paraId="317432D7" w14:textId="77777777" w:rsidR="008763F1" w:rsidRPr="008763F1" w:rsidRDefault="008763F1" w:rsidP="008763F1">
            <w:pPr>
              <w:pStyle w:val="Body"/>
              <w:rPr>
                <w:rFonts w:ascii="Arial" w:hAnsi="Arial" w:cs="Arial"/>
                <w:sz w:val="20"/>
                <w:szCs w:val="20"/>
              </w:rPr>
            </w:pPr>
          </w:p>
        </w:tc>
        <w:tc>
          <w:tcPr>
            <w:tcW w:w="1040" w:type="dxa"/>
          </w:tcPr>
          <w:p w14:paraId="51CF1EDF" w14:textId="7F848169" w:rsidR="008763F1" w:rsidRPr="008763F1" w:rsidRDefault="008763F1" w:rsidP="008763F1">
            <w:pPr>
              <w:pStyle w:val="Body"/>
              <w:rPr>
                <w:rFonts w:ascii="Arial" w:hAnsi="Arial" w:cs="Arial"/>
                <w:sz w:val="20"/>
                <w:szCs w:val="20"/>
              </w:rPr>
            </w:pPr>
            <w:r w:rsidRPr="008763F1">
              <w:rPr>
                <w:rFonts w:ascii="Arial" w:hAnsi="Arial" w:cs="Arial"/>
                <w:sz w:val="20"/>
                <w:szCs w:val="20"/>
              </w:rPr>
              <w:t>&lt;.001</w:t>
            </w:r>
          </w:p>
        </w:tc>
      </w:tr>
    </w:tbl>
    <w:p w14:paraId="459EBD4E" w14:textId="77777777" w:rsidR="001628E0" w:rsidRPr="001628E0" w:rsidRDefault="001628E0" w:rsidP="001628E0">
      <w:pPr>
        <w:pStyle w:val="Body"/>
        <w:rPr>
          <w:rFonts w:ascii="Arial" w:hAnsi="Arial" w:cs="Arial"/>
        </w:rPr>
      </w:pPr>
    </w:p>
    <w:p w14:paraId="75D141EF" w14:textId="265108E2" w:rsidR="001628E0" w:rsidRPr="008763F1" w:rsidRDefault="00F806A7" w:rsidP="001628E0">
      <w:pPr>
        <w:pStyle w:val="Body"/>
        <w:rPr>
          <w:rFonts w:ascii="Arial" w:hAnsi="Arial" w:cs="Arial"/>
          <w:b/>
          <w:bCs/>
          <w:i/>
          <w:iCs/>
        </w:rPr>
      </w:pPr>
      <w:r>
        <w:rPr>
          <w:rFonts w:ascii="Arial" w:hAnsi="Arial" w:cs="Arial"/>
          <w:b/>
          <w:bCs/>
          <w:i/>
          <w:iCs/>
        </w:rPr>
        <w:t>3</w:t>
      </w:r>
      <w:r w:rsidR="001628E0" w:rsidRPr="008763F1">
        <w:rPr>
          <w:rFonts w:ascii="Arial" w:hAnsi="Arial" w:cs="Arial"/>
          <w:b/>
          <w:bCs/>
          <w:i/>
          <w:iCs/>
        </w:rPr>
        <w:t>.1.3 Control and Regulatory Mechanisms Governing Plastic Use</w:t>
      </w:r>
    </w:p>
    <w:p w14:paraId="77DB5D8A" w14:textId="04557B6C" w:rsidR="001628E0" w:rsidRDefault="001628E0" w:rsidP="001628E0">
      <w:pPr>
        <w:pStyle w:val="Body"/>
        <w:rPr>
          <w:rFonts w:ascii="Arial" w:hAnsi="Arial" w:cs="Arial"/>
        </w:rPr>
      </w:pPr>
      <w:r w:rsidRPr="001628E0">
        <w:rPr>
          <w:rFonts w:ascii="Arial" w:hAnsi="Arial" w:cs="Arial"/>
        </w:rPr>
        <w:t>Table 3 shows that participants who experienced field control reported full effectiveness of the policy (100%) compared to only 44% effectiveness among those who had sensitization alone (</w:t>
      </w:r>
      <w:r w:rsidR="00F806A7">
        <w:rPr>
          <w:rFonts w:ascii="Arial" w:hAnsi="Arial" w:cs="Arial"/>
          <w:i/>
          <w:iCs/>
        </w:rPr>
        <w:t>P</w:t>
      </w:r>
      <w:r w:rsidRPr="001628E0">
        <w:rPr>
          <w:rFonts w:ascii="Arial" w:hAnsi="Arial" w:cs="Arial"/>
        </w:rPr>
        <w:t>&lt;.001). Similarly, the frequency of controls influenced policy outcomes, with daily, monthly, and market-day checks linked to higher effectiveness, while weekly and yearly controls were mostly ineffective (</w:t>
      </w:r>
      <w:r w:rsidR="00F806A7">
        <w:rPr>
          <w:rFonts w:ascii="Arial" w:hAnsi="Arial" w:cs="Arial"/>
          <w:i/>
          <w:iCs/>
        </w:rPr>
        <w:t>P</w:t>
      </w:r>
      <w:r w:rsidRPr="001628E0">
        <w:rPr>
          <w:rFonts w:ascii="Arial" w:hAnsi="Arial" w:cs="Arial"/>
        </w:rPr>
        <w:t>&lt;.001). Because several categories perfectly predicted the outcome (complete separation), maximum-likelihood logistic regression failed to converge and produced infinite estimates. We therefore report exact tests and proportions for these predictors and used penalized/ exact models in sensitivity analyses.</w:t>
      </w:r>
    </w:p>
    <w:p w14:paraId="4BA7D1F7" w14:textId="54C22EC0" w:rsidR="00D76E62" w:rsidRPr="00D76E62" w:rsidRDefault="00D76E62" w:rsidP="001628E0">
      <w:pPr>
        <w:pStyle w:val="Body"/>
        <w:rPr>
          <w:rFonts w:ascii="Arial" w:hAnsi="Arial" w:cs="Arial"/>
          <w:b/>
          <w:bCs/>
        </w:rPr>
      </w:pPr>
      <w:r w:rsidRPr="00D76E62">
        <w:rPr>
          <w:rFonts w:ascii="Arial" w:hAnsi="Arial" w:cs="Arial"/>
          <w:b/>
          <w:bCs/>
        </w:rPr>
        <w:t>Table 3: Chi-Square Test of the association between Control and Regulatory Mechanisms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1733"/>
        <w:gridCol w:w="1514"/>
        <w:gridCol w:w="1326"/>
        <w:gridCol w:w="1206"/>
        <w:gridCol w:w="858"/>
      </w:tblGrid>
      <w:tr w:rsidR="00D76E62" w:rsidRPr="00D76E62" w14:paraId="7A8C5598" w14:textId="77777777" w:rsidTr="00D76E62">
        <w:tc>
          <w:tcPr>
            <w:tcW w:w="1774" w:type="dxa"/>
            <w:vMerge w:val="restart"/>
          </w:tcPr>
          <w:p w14:paraId="6B947708" w14:textId="77777777" w:rsidR="00D76E62" w:rsidRPr="00D76E62" w:rsidRDefault="00D76E62" w:rsidP="00D76E62">
            <w:pPr>
              <w:pStyle w:val="Body"/>
              <w:rPr>
                <w:rFonts w:ascii="Arial" w:hAnsi="Arial" w:cs="Arial"/>
                <w:b/>
                <w:bCs/>
                <w:sz w:val="20"/>
                <w:szCs w:val="20"/>
              </w:rPr>
            </w:pPr>
            <w:bookmarkStart w:id="0" w:name="_Hlk207249960"/>
            <w:r w:rsidRPr="00D76E62">
              <w:rPr>
                <w:rFonts w:ascii="Arial" w:hAnsi="Arial" w:cs="Arial"/>
                <w:b/>
                <w:bCs/>
                <w:sz w:val="20"/>
                <w:szCs w:val="20"/>
              </w:rPr>
              <w:t>Variables</w:t>
            </w:r>
          </w:p>
        </w:tc>
        <w:tc>
          <w:tcPr>
            <w:tcW w:w="2068" w:type="dxa"/>
            <w:vMerge w:val="restart"/>
          </w:tcPr>
          <w:p w14:paraId="39A766C4"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Categories</w:t>
            </w:r>
          </w:p>
        </w:tc>
        <w:tc>
          <w:tcPr>
            <w:tcW w:w="1764" w:type="dxa"/>
            <w:vMerge w:val="restart"/>
          </w:tcPr>
          <w:p w14:paraId="661E4697"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Frequency</w:t>
            </w:r>
          </w:p>
        </w:tc>
        <w:tc>
          <w:tcPr>
            <w:tcW w:w="2772" w:type="dxa"/>
            <w:gridSpan w:val="2"/>
          </w:tcPr>
          <w:p w14:paraId="32870372"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Success of the plastic ban policy, n (%)</w:t>
            </w:r>
          </w:p>
        </w:tc>
        <w:tc>
          <w:tcPr>
            <w:tcW w:w="972" w:type="dxa"/>
            <w:vMerge w:val="restart"/>
          </w:tcPr>
          <w:p w14:paraId="009BF82C" w14:textId="77777777" w:rsidR="00D76E62" w:rsidRPr="00D76E62" w:rsidRDefault="00D76E62" w:rsidP="00D76E62">
            <w:pPr>
              <w:pStyle w:val="Body"/>
              <w:rPr>
                <w:rFonts w:ascii="Arial" w:hAnsi="Arial" w:cs="Arial"/>
                <w:b/>
                <w:bCs/>
                <w:i/>
                <w:iCs/>
                <w:sz w:val="20"/>
                <w:szCs w:val="20"/>
              </w:rPr>
            </w:pPr>
            <w:r w:rsidRPr="00D76E62">
              <w:rPr>
                <w:rFonts w:ascii="Arial" w:hAnsi="Arial" w:cs="Arial"/>
                <w:b/>
                <w:bCs/>
                <w:i/>
                <w:iCs/>
                <w:sz w:val="20"/>
                <w:szCs w:val="20"/>
              </w:rPr>
              <w:t>P-</w:t>
            </w:r>
            <w:r w:rsidRPr="00D76E62">
              <w:rPr>
                <w:rFonts w:ascii="Arial" w:hAnsi="Arial" w:cs="Arial"/>
                <w:b/>
                <w:bCs/>
                <w:sz w:val="20"/>
                <w:szCs w:val="20"/>
              </w:rPr>
              <w:t>value</w:t>
            </w:r>
          </w:p>
        </w:tc>
      </w:tr>
      <w:tr w:rsidR="00D76E62" w:rsidRPr="00D76E62" w14:paraId="795D232D" w14:textId="77777777" w:rsidTr="00D76E62">
        <w:tc>
          <w:tcPr>
            <w:tcW w:w="1774" w:type="dxa"/>
            <w:vMerge/>
          </w:tcPr>
          <w:p w14:paraId="74BCAF76" w14:textId="77777777" w:rsidR="00D76E62" w:rsidRPr="00D76E62" w:rsidRDefault="00D76E62" w:rsidP="00D76E62">
            <w:pPr>
              <w:pStyle w:val="Body"/>
              <w:rPr>
                <w:rFonts w:ascii="Arial" w:hAnsi="Arial" w:cs="Arial"/>
                <w:b/>
                <w:bCs/>
                <w:sz w:val="20"/>
                <w:szCs w:val="20"/>
              </w:rPr>
            </w:pPr>
          </w:p>
        </w:tc>
        <w:tc>
          <w:tcPr>
            <w:tcW w:w="2068" w:type="dxa"/>
            <w:vMerge/>
          </w:tcPr>
          <w:p w14:paraId="05A4485E" w14:textId="77777777" w:rsidR="00D76E62" w:rsidRPr="00D76E62" w:rsidRDefault="00D76E62" w:rsidP="00D76E62">
            <w:pPr>
              <w:pStyle w:val="Body"/>
              <w:rPr>
                <w:rFonts w:ascii="Arial" w:hAnsi="Arial" w:cs="Arial"/>
                <w:b/>
                <w:bCs/>
                <w:sz w:val="20"/>
                <w:szCs w:val="20"/>
              </w:rPr>
            </w:pPr>
          </w:p>
        </w:tc>
        <w:tc>
          <w:tcPr>
            <w:tcW w:w="1764" w:type="dxa"/>
            <w:vMerge/>
          </w:tcPr>
          <w:p w14:paraId="0A78F36D" w14:textId="77777777" w:rsidR="00D76E62" w:rsidRPr="00D76E62" w:rsidRDefault="00D76E62" w:rsidP="00D76E62">
            <w:pPr>
              <w:pStyle w:val="Body"/>
              <w:rPr>
                <w:rFonts w:ascii="Arial" w:hAnsi="Arial" w:cs="Arial"/>
                <w:b/>
                <w:bCs/>
                <w:sz w:val="20"/>
                <w:szCs w:val="20"/>
              </w:rPr>
            </w:pPr>
          </w:p>
        </w:tc>
        <w:tc>
          <w:tcPr>
            <w:tcW w:w="1430" w:type="dxa"/>
          </w:tcPr>
          <w:p w14:paraId="5D1F55B1"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Ineffective</w:t>
            </w:r>
          </w:p>
        </w:tc>
        <w:tc>
          <w:tcPr>
            <w:tcW w:w="1342" w:type="dxa"/>
          </w:tcPr>
          <w:p w14:paraId="162750E1"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Effective</w:t>
            </w:r>
          </w:p>
        </w:tc>
        <w:tc>
          <w:tcPr>
            <w:tcW w:w="972" w:type="dxa"/>
            <w:vMerge/>
          </w:tcPr>
          <w:p w14:paraId="7D567897" w14:textId="77777777" w:rsidR="00D76E62" w:rsidRPr="00D76E62" w:rsidRDefault="00D76E62" w:rsidP="00D76E62">
            <w:pPr>
              <w:pStyle w:val="Body"/>
              <w:rPr>
                <w:rFonts w:ascii="Arial" w:hAnsi="Arial" w:cs="Arial"/>
                <w:b/>
                <w:bCs/>
                <w:sz w:val="20"/>
                <w:szCs w:val="20"/>
              </w:rPr>
            </w:pPr>
          </w:p>
        </w:tc>
      </w:tr>
      <w:tr w:rsidR="00D76E62" w:rsidRPr="00D76E62" w14:paraId="21776484" w14:textId="77777777" w:rsidTr="00D76E62">
        <w:tc>
          <w:tcPr>
            <w:tcW w:w="1774" w:type="dxa"/>
          </w:tcPr>
          <w:p w14:paraId="051B6BF7"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Control mechanisms experienced</w:t>
            </w:r>
          </w:p>
        </w:tc>
        <w:tc>
          <w:tcPr>
            <w:tcW w:w="2068" w:type="dxa"/>
          </w:tcPr>
          <w:p w14:paraId="08098487"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Sensitization</w:t>
            </w:r>
          </w:p>
          <w:p w14:paraId="702DDF72"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Field control</w:t>
            </w:r>
          </w:p>
        </w:tc>
        <w:tc>
          <w:tcPr>
            <w:tcW w:w="1764" w:type="dxa"/>
          </w:tcPr>
          <w:p w14:paraId="2AE1FF4B"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300</w:t>
            </w:r>
          </w:p>
          <w:p w14:paraId="3B0BA2DC"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84</w:t>
            </w:r>
          </w:p>
        </w:tc>
        <w:tc>
          <w:tcPr>
            <w:tcW w:w="1430" w:type="dxa"/>
          </w:tcPr>
          <w:p w14:paraId="487397C1"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168 (56)</w:t>
            </w:r>
          </w:p>
          <w:p w14:paraId="1591AC0B"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84 (100)</w:t>
            </w:r>
          </w:p>
        </w:tc>
        <w:tc>
          <w:tcPr>
            <w:tcW w:w="1342" w:type="dxa"/>
          </w:tcPr>
          <w:p w14:paraId="1081EF2D"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 (44)</w:t>
            </w:r>
          </w:p>
          <w:p w14:paraId="63C14845"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0</w:t>
            </w:r>
          </w:p>
        </w:tc>
        <w:tc>
          <w:tcPr>
            <w:tcW w:w="972" w:type="dxa"/>
          </w:tcPr>
          <w:p w14:paraId="08FE5E61" w14:textId="713C24C3"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&lt;.001</w:t>
            </w:r>
          </w:p>
        </w:tc>
      </w:tr>
      <w:tr w:rsidR="00D76E62" w:rsidRPr="00D76E62" w14:paraId="2334CCBB" w14:textId="77777777" w:rsidTr="00D76E62">
        <w:tc>
          <w:tcPr>
            <w:tcW w:w="1774" w:type="dxa"/>
          </w:tcPr>
          <w:p w14:paraId="7C57D50C"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Frequency of current controls</w:t>
            </w:r>
          </w:p>
        </w:tc>
        <w:tc>
          <w:tcPr>
            <w:tcW w:w="2068" w:type="dxa"/>
          </w:tcPr>
          <w:p w14:paraId="509516E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Daily</w:t>
            </w:r>
          </w:p>
          <w:p w14:paraId="029DA61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Weekly</w:t>
            </w:r>
          </w:p>
          <w:p w14:paraId="74FA97D3"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Monthly</w:t>
            </w:r>
          </w:p>
          <w:p w14:paraId="4C9F6C12"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Yearly</w:t>
            </w:r>
          </w:p>
          <w:p w14:paraId="1B01C708"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Every market day</w:t>
            </w:r>
          </w:p>
        </w:tc>
        <w:tc>
          <w:tcPr>
            <w:tcW w:w="1764" w:type="dxa"/>
          </w:tcPr>
          <w:p w14:paraId="2E3D453D"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48</w:t>
            </w:r>
          </w:p>
          <w:p w14:paraId="7F960C00"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w:t>
            </w:r>
          </w:p>
          <w:p w14:paraId="3A5749D8" w14:textId="77777777" w:rsidR="00D76E62" w:rsidRPr="00D76E62" w:rsidRDefault="00D76E62" w:rsidP="00D76E62">
            <w:pPr>
              <w:pStyle w:val="Body"/>
              <w:rPr>
                <w:rFonts w:ascii="Arial" w:hAnsi="Arial" w:cs="Arial"/>
                <w:sz w:val="20"/>
                <w:szCs w:val="20"/>
              </w:rPr>
            </w:pPr>
          </w:p>
          <w:p w14:paraId="41B8C866"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w:t>
            </w:r>
          </w:p>
          <w:p w14:paraId="68ECBE3B"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w:t>
            </w:r>
          </w:p>
          <w:p w14:paraId="5D4ABAB8"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60</w:t>
            </w:r>
          </w:p>
        </w:tc>
        <w:tc>
          <w:tcPr>
            <w:tcW w:w="1430" w:type="dxa"/>
          </w:tcPr>
          <w:p w14:paraId="16EA0428"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48 (100)</w:t>
            </w:r>
          </w:p>
          <w:p w14:paraId="2AAE27C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 (9.1)</w:t>
            </w:r>
          </w:p>
          <w:p w14:paraId="7639E94B"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p w14:paraId="26B7CBD2"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 (100)</w:t>
            </w:r>
          </w:p>
          <w:p w14:paraId="74130E94"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60 (100)</w:t>
            </w:r>
          </w:p>
        </w:tc>
        <w:tc>
          <w:tcPr>
            <w:tcW w:w="1342" w:type="dxa"/>
          </w:tcPr>
          <w:p w14:paraId="1A23350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p w14:paraId="53B74C80"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120 (90.9)</w:t>
            </w:r>
          </w:p>
          <w:p w14:paraId="39FEB25A"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 (100)</w:t>
            </w:r>
          </w:p>
          <w:p w14:paraId="7B0CF717"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p w14:paraId="3B7029BD"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tc>
        <w:tc>
          <w:tcPr>
            <w:tcW w:w="972" w:type="dxa"/>
          </w:tcPr>
          <w:p w14:paraId="58FDFF37" w14:textId="2B5B4853"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&lt;.001</w:t>
            </w:r>
          </w:p>
        </w:tc>
      </w:tr>
      <w:bookmarkEnd w:id="0"/>
    </w:tbl>
    <w:p w14:paraId="090987D9" w14:textId="77777777" w:rsidR="001628E0" w:rsidRPr="001628E0" w:rsidRDefault="001628E0" w:rsidP="001628E0">
      <w:pPr>
        <w:pStyle w:val="Body"/>
        <w:rPr>
          <w:rFonts w:ascii="Arial" w:hAnsi="Arial" w:cs="Arial"/>
        </w:rPr>
      </w:pPr>
    </w:p>
    <w:p w14:paraId="4DAD4E52" w14:textId="1F8F3F1E" w:rsidR="001628E0" w:rsidRPr="00D76E62" w:rsidRDefault="00F806A7" w:rsidP="001628E0">
      <w:pPr>
        <w:pStyle w:val="Body"/>
        <w:rPr>
          <w:rFonts w:ascii="Arial" w:hAnsi="Arial" w:cs="Arial"/>
          <w:b/>
          <w:bCs/>
          <w:i/>
          <w:iCs/>
        </w:rPr>
      </w:pPr>
      <w:r>
        <w:rPr>
          <w:rFonts w:ascii="Arial" w:hAnsi="Arial" w:cs="Arial"/>
          <w:b/>
          <w:bCs/>
          <w:i/>
          <w:iCs/>
        </w:rPr>
        <w:lastRenderedPageBreak/>
        <w:t>3</w:t>
      </w:r>
      <w:r w:rsidR="001628E0" w:rsidRPr="00D76E62">
        <w:rPr>
          <w:rFonts w:ascii="Arial" w:hAnsi="Arial" w:cs="Arial"/>
          <w:b/>
          <w:bCs/>
          <w:i/>
          <w:iCs/>
        </w:rPr>
        <w:t>.1.4 Compliance and Enforcement of Plastic Ban Measures</w:t>
      </w:r>
    </w:p>
    <w:p w14:paraId="0CA28C5D" w14:textId="1E461A3C" w:rsidR="001628E0" w:rsidRPr="001628E0" w:rsidRDefault="001628E0" w:rsidP="001628E0">
      <w:pPr>
        <w:pStyle w:val="Body"/>
        <w:rPr>
          <w:rFonts w:ascii="Arial" w:hAnsi="Arial" w:cs="Arial"/>
        </w:rPr>
      </w:pPr>
      <w:r w:rsidRPr="001628E0">
        <w:rPr>
          <w:rFonts w:ascii="Arial" w:hAnsi="Arial" w:cs="Arial"/>
        </w:rPr>
        <w:t>Table 4 reveals that the use of banned plastics showed no significant association with policy effectiveness (</w:t>
      </w:r>
      <w:r w:rsidR="00F806A7">
        <w:rPr>
          <w:rFonts w:ascii="Arial" w:hAnsi="Arial" w:cs="Arial"/>
          <w:i/>
          <w:iCs/>
        </w:rPr>
        <w:t>P</w:t>
      </w:r>
      <w:r w:rsidRPr="001628E0">
        <w:rPr>
          <w:rFonts w:ascii="Arial" w:hAnsi="Arial" w:cs="Arial"/>
        </w:rPr>
        <w:t>=.63), as both users and non-users reported similar levels of ineffectiveness. However, facing sanctions recently was strongly associated with effectiveness, with 62.5% of sanctioned respondents reporting success compared to only 25% among those who had not faced sanctions (</w:t>
      </w:r>
      <w:r w:rsidR="00F806A7">
        <w:rPr>
          <w:rFonts w:ascii="Arial" w:hAnsi="Arial" w:cs="Arial"/>
          <w:i/>
          <w:iCs/>
        </w:rPr>
        <w:t>P</w:t>
      </w:r>
      <w:r w:rsidRPr="001628E0">
        <w:rPr>
          <w:rFonts w:ascii="Arial" w:hAnsi="Arial" w:cs="Arial"/>
        </w:rPr>
        <w:t xml:space="preserve">&lt;.001). </w:t>
      </w:r>
    </w:p>
    <w:p w14:paraId="48912362" w14:textId="18ABEF22" w:rsidR="00D76E62" w:rsidRPr="00D76E62" w:rsidRDefault="001628E0" w:rsidP="001628E0">
      <w:pPr>
        <w:pStyle w:val="Body"/>
        <w:rPr>
          <w:rFonts w:ascii="Arial" w:hAnsi="Arial" w:cs="Arial"/>
          <w:b/>
          <w:bCs/>
        </w:rPr>
      </w:pPr>
      <w:r w:rsidRPr="00D76E62">
        <w:rPr>
          <w:rFonts w:ascii="Arial" w:hAnsi="Arial" w:cs="Arial"/>
          <w:b/>
          <w:bCs/>
        </w:rPr>
        <w:t xml:space="preserve">Table 4: Chi-Square Test of the association between Compliance and Enforcement of Plastic Ban </w:t>
      </w:r>
      <w:r w:rsidR="00D76E62" w:rsidRPr="00D76E62">
        <w:rPr>
          <w:rFonts w:ascii="Arial" w:hAnsi="Arial" w:cs="Arial"/>
          <w:b/>
          <w:bCs/>
        </w:rPr>
        <w:t>Measures,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713"/>
        <w:gridCol w:w="1590"/>
        <w:gridCol w:w="1342"/>
        <w:gridCol w:w="1229"/>
        <w:gridCol w:w="874"/>
      </w:tblGrid>
      <w:tr w:rsidR="00D76E62" w:rsidRPr="00D76E62" w14:paraId="50A54785" w14:textId="77777777" w:rsidTr="00C5727A">
        <w:tc>
          <w:tcPr>
            <w:tcW w:w="1707" w:type="dxa"/>
            <w:vMerge w:val="restart"/>
          </w:tcPr>
          <w:p w14:paraId="03074012"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Variables</w:t>
            </w:r>
          </w:p>
        </w:tc>
        <w:tc>
          <w:tcPr>
            <w:tcW w:w="2036" w:type="dxa"/>
            <w:vMerge w:val="restart"/>
          </w:tcPr>
          <w:p w14:paraId="4831A15E"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Categories</w:t>
            </w:r>
          </w:p>
        </w:tc>
        <w:tc>
          <w:tcPr>
            <w:tcW w:w="1842" w:type="dxa"/>
            <w:vMerge w:val="restart"/>
          </w:tcPr>
          <w:p w14:paraId="33088126"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Frequency</w:t>
            </w:r>
          </w:p>
        </w:tc>
        <w:tc>
          <w:tcPr>
            <w:tcW w:w="2789" w:type="dxa"/>
            <w:gridSpan w:val="2"/>
          </w:tcPr>
          <w:p w14:paraId="684F4BCB"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Success of the plastic ban policy, n (%)</w:t>
            </w:r>
          </w:p>
        </w:tc>
        <w:tc>
          <w:tcPr>
            <w:tcW w:w="976" w:type="dxa"/>
            <w:vMerge w:val="restart"/>
          </w:tcPr>
          <w:p w14:paraId="451BA567" w14:textId="77777777" w:rsidR="00D76E62" w:rsidRPr="00D76E62" w:rsidRDefault="00D76E62" w:rsidP="00C5727A">
            <w:pPr>
              <w:pStyle w:val="Body"/>
              <w:rPr>
                <w:rFonts w:ascii="Arial" w:hAnsi="Arial" w:cs="Arial"/>
                <w:b/>
                <w:bCs/>
                <w:i/>
                <w:iCs/>
                <w:sz w:val="20"/>
                <w:szCs w:val="20"/>
              </w:rPr>
            </w:pPr>
            <w:r w:rsidRPr="00D76E62">
              <w:rPr>
                <w:rFonts w:ascii="Arial" w:hAnsi="Arial" w:cs="Arial"/>
                <w:b/>
                <w:bCs/>
                <w:i/>
                <w:iCs/>
                <w:sz w:val="20"/>
                <w:szCs w:val="20"/>
              </w:rPr>
              <w:t>P-</w:t>
            </w:r>
            <w:r w:rsidRPr="00D76E62">
              <w:rPr>
                <w:rFonts w:ascii="Arial" w:hAnsi="Arial" w:cs="Arial"/>
                <w:b/>
                <w:bCs/>
                <w:sz w:val="20"/>
                <w:szCs w:val="20"/>
              </w:rPr>
              <w:t>value</w:t>
            </w:r>
          </w:p>
        </w:tc>
      </w:tr>
      <w:tr w:rsidR="00D76E62" w:rsidRPr="00D76E62" w14:paraId="1A9090F3" w14:textId="77777777" w:rsidTr="00C5727A">
        <w:tc>
          <w:tcPr>
            <w:tcW w:w="1707" w:type="dxa"/>
            <w:vMerge/>
          </w:tcPr>
          <w:p w14:paraId="6FB590C1" w14:textId="77777777" w:rsidR="00D76E62" w:rsidRPr="00D76E62" w:rsidRDefault="00D76E62" w:rsidP="00C5727A">
            <w:pPr>
              <w:pStyle w:val="Body"/>
              <w:rPr>
                <w:rFonts w:ascii="Arial" w:hAnsi="Arial" w:cs="Arial"/>
                <w:b/>
                <w:bCs/>
                <w:sz w:val="20"/>
                <w:szCs w:val="20"/>
              </w:rPr>
            </w:pPr>
          </w:p>
        </w:tc>
        <w:tc>
          <w:tcPr>
            <w:tcW w:w="2036" w:type="dxa"/>
            <w:vMerge/>
          </w:tcPr>
          <w:p w14:paraId="237F3B58" w14:textId="77777777" w:rsidR="00D76E62" w:rsidRPr="00D76E62" w:rsidRDefault="00D76E62" w:rsidP="00C5727A">
            <w:pPr>
              <w:pStyle w:val="Body"/>
              <w:rPr>
                <w:rFonts w:ascii="Arial" w:hAnsi="Arial" w:cs="Arial"/>
                <w:b/>
                <w:bCs/>
                <w:sz w:val="20"/>
                <w:szCs w:val="20"/>
              </w:rPr>
            </w:pPr>
          </w:p>
        </w:tc>
        <w:tc>
          <w:tcPr>
            <w:tcW w:w="1842" w:type="dxa"/>
            <w:vMerge/>
          </w:tcPr>
          <w:p w14:paraId="631462ED" w14:textId="77777777" w:rsidR="00D76E62" w:rsidRPr="00D76E62" w:rsidRDefault="00D76E62" w:rsidP="00C5727A">
            <w:pPr>
              <w:pStyle w:val="Body"/>
              <w:rPr>
                <w:rFonts w:ascii="Arial" w:hAnsi="Arial" w:cs="Arial"/>
                <w:b/>
                <w:bCs/>
                <w:sz w:val="20"/>
                <w:szCs w:val="20"/>
              </w:rPr>
            </w:pPr>
          </w:p>
        </w:tc>
        <w:tc>
          <w:tcPr>
            <w:tcW w:w="1436" w:type="dxa"/>
          </w:tcPr>
          <w:p w14:paraId="202414A3"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Ineffective</w:t>
            </w:r>
          </w:p>
        </w:tc>
        <w:tc>
          <w:tcPr>
            <w:tcW w:w="1353" w:type="dxa"/>
          </w:tcPr>
          <w:p w14:paraId="23387254"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Effective</w:t>
            </w:r>
          </w:p>
        </w:tc>
        <w:tc>
          <w:tcPr>
            <w:tcW w:w="976" w:type="dxa"/>
            <w:vMerge/>
          </w:tcPr>
          <w:p w14:paraId="4786D46F" w14:textId="77777777" w:rsidR="00D76E62" w:rsidRPr="00D76E62" w:rsidRDefault="00D76E62" w:rsidP="00C5727A">
            <w:pPr>
              <w:pStyle w:val="Body"/>
              <w:rPr>
                <w:rFonts w:ascii="Arial" w:hAnsi="Arial" w:cs="Arial"/>
                <w:b/>
                <w:bCs/>
                <w:sz w:val="20"/>
                <w:szCs w:val="20"/>
              </w:rPr>
            </w:pPr>
          </w:p>
        </w:tc>
      </w:tr>
      <w:tr w:rsidR="00D76E62" w:rsidRPr="00D76E62" w14:paraId="22F0FE7E" w14:textId="77777777" w:rsidTr="00C5727A">
        <w:tc>
          <w:tcPr>
            <w:tcW w:w="1707" w:type="dxa"/>
          </w:tcPr>
          <w:p w14:paraId="37157FF6"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Use of banned plastics</w:t>
            </w:r>
          </w:p>
        </w:tc>
        <w:tc>
          <w:tcPr>
            <w:tcW w:w="2036" w:type="dxa"/>
          </w:tcPr>
          <w:p w14:paraId="4EDAD75C"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No</w:t>
            </w:r>
          </w:p>
          <w:p w14:paraId="3C84B9D7"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Yes</w:t>
            </w:r>
          </w:p>
        </w:tc>
        <w:tc>
          <w:tcPr>
            <w:tcW w:w="1842" w:type="dxa"/>
          </w:tcPr>
          <w:p w14:paraId="4ADA49A4"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168</w:t>
            </w:r>
          </w:p>
          <w:p w14:paraId="3347FEE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216</w:t>
            </w:r>
          </w:p>
        </w:tc>
        <w:tc>
          <w:tcPr>
            <w:tcW w:w="1436" w:type="dxa"/>
          </w:tcPr>
          <w:p w14:paraId="6C0BCEF1"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 xml:space="preserve">108 (64.3) </w:t>
            </w:r>
          </w:p>
          <w:p w14:paraId="1C0EF5A1"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144 (66.7)</w:t>
            </w:r>
          </w:p>
        </w:tc>
        <w:tc>
          <w:tcPr>
            <w:tcW w:w="1353" w:type="dxa"/>
          </w:tcPr>
          <w:p w14:paraId="04F1E18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60 (35.7)</w:t>
            </w:r>
          </w:p>
          <w:p w14:paraId="4E66C3AD"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72 (33.3)</w:t>
            </w:r>
          </w:p>
        </w:tc>
        <w:tc>
          <w:tcPr>
            <w:tcW w:w="976" w:type="dxa"/>
          </w:tcPr>
          <w:p w14:paraId="576D9B70" w14:textId="6CCBB47E"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.63</w:t>
            </w:r>
          </w:p>
        </w:tc>
      </w:tr>
      <w:tr w:rsidR="00D76E62" w:rsidRPr="00D76E62" w14:paraId="5526FBC1" w14:textId="77777777" w:rsidTr="00C5727A">
        <w:tc>
          <w:tcPr>
            <w:tcW w:w="1707" w:type="dxa"/>
          </w:tcPr>
          <w:p w14:paraId="125FE358"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Faced sanctions recently</w:t>
            </w:r>
          </w:p>
        </w:tc>
        <w:tc>
          <w:tcPr>
            <w:tcW w:w="2036" w:type="dxa"/>
          </w:tcPr>
          <w:p w14:paraId="03A169F5"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Yes</w:t>
            </w:r>
          </w:p>
          <w:p w14:paraId="626A9E50" w14:textId="77777777" w:rsidR="00D76E62" w:rsidRPr="00D76E62" w:rsidRDefault="00D76E62" w:rsidP="00C5727A">
            <w:pPr>
              <w:pStyle w:val="Body"/>
              <w:rPr>
                <w:rFonts w:ascii="Arial" w:hAnsi="Arial" w:cs="Arial"/>
                <w:b/>
                <w:bCs/>
                <w:sz w:val="20"/>
                <w:szCs w:val="20"/>
              </w:rPr>
            </w:pPr>
            <w:r w:rsidRPr="00D76E62">
              <w:rPr>
                <w:rFonts w:ascii="Arial" w:hAnsi="Arial" w:cs="Arial"/>
                <w:sz w:val="20"/>
                <w:szCs w:val="20"/>
              </w:rPr>
              <w:t>No</w:t>
            </w:r>
          </w:p>
        </w:tc>
        <w:tc>
          <w:tcPr>
            <w:tcW w:w="1842" w:type="dxa"/>
          </w:tcPr>
          <w:p w14:paraId="2F4859C0"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96</w:t>
            </w:r>
          </w:p>
          <w:p w14:paraId="05A7E9C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288</w:t>
            </w:r>
          </w:p>
          <w:p w14:paraId="15C12927" w14:textId="77777777" w:rsidR="00D76E62" w:rsidRPr="00D76E62" w:rsidRDefault="00D76E62" w:rsidP="00C5727A">
            <w:pPr>
              <w:pStyle w:val="Body"/>
              <w:rPr>
                <w:rFonts w:ascii="Arial" w:hAnsi="Arial" w:cs="Arial"/>
                <w:sz w:val="20"/>
                <w:szCs w:val="20"/>
              </w:rPr>
            </w:pPr>
          </w:p>
        </w:tc>
        <w:tc>
          <w:tcPr>
            <w:tcW w:w="1436" w:type="dxa"/>
          </w:tcPr>
          <w:p w14:paraId="2E54822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36 (37.5)</w:t>
            </w:r>
          </w:p>
          <w:p w14:paraId="7B12DD59"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216 (75)</w:t>
            </w:r>
          </w:p>
        </w:tc>
        <w:tc>
          <w:tcPr>
            <w:tcW w:w="1353" w:type="dxa"/>
          </w:tcPr>
          <w:p w14:paraId="1DC299D8"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60 (62.5)</w:t>
            </w:r>
          </w:p>
          <w:p w14:paraId="4D94A658"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72 (25)</w:t>
            </w:r>
          </w:p>
        </w:tc>
        <w:tc>
          <w:tcPr>
            <w:tcW w:w="976" w:type="dxa"/>
          </w:tcPr>
          <w:p w14:paraId="5ABE649F" w14:textId="50B8C5FE"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&lt;.001</w:t>
            </w:r>
          </w:p>
        </w:tc>
      </w:tr>
    </w:tbl>
    <w:p w14:paraId="15C0B789" w14:textId="77777777" w:rsidR="001628E0" w:rsidRPr="001628E0" w:rsidRDefault="001628E0" w:rsidP="001628E0">
      <w:pPr>
        <w:pStyle w:val="Body"/>
        <w:rPr>
          <w:rFonts w:ascii="Arial" w:hAnsi="Arial" w:cs="Arial"/>
        </w:rPr>
      </w:pPr>
    </w:p>
    <w:p w14:paraId="52FCD424" w14:textId="6C1BAE33" w:rsidR="00D76E62" w:rsidRPr="00D76E62" w:rsidRDefault="00D76E62" w:rsidP="00D76E62">
      <w:pPr>
        <w:pStyle w:val="Body"/>
        <w:rPr>
          <w:rFonts w:ascii="Arial" w:hAnsi="Arial" w:cs="Arial"/>
        </w:rPr>
      </w:pPr>
      <w:r w:rsidRPr="00D76E62">
        <w:rPr>
          <w:rFonts w:ascii="Arial" w:hAnsi="Arial" w:cs="Arial"/>
        </w:rPr>
        <w:t xml:space="preserve">Table 5 shows that respondents who had recently faced sanctions were about 13 times more likely to report the policy as effective compared to those who had not faced any sanctions (AOR = 13.2, 95% CI: 3.3–19.6, </w:t>
      </w:r>
      <w:r w:rsidR="00F806A7">
        <w:rPr>
          <w:rFonts w:ascii="Arial" w:hAnsi="Arial" w:cs="Arial"/>
          <w:i/>
          <w:iCs/>
        </w:rPr>
        <w:t>P</w:t>
      </w:r>
      <w:r w:rsidRPr="00D76E62">
        <w:rPr>
          <w:rFonts w:ascii="Arial" w:hAnsi="Arial" w:cs="Arial"/>
        </w:rPr>
        <w:t xml:space="preserve">&lt;.001). </w:t>
      </w:r>
    </w:p>
    <w:p w14:paraId="48634816" w14:textId="77777777" w:rsidR="00D76E62" w:rsidRDefault="00D76E62" w:rsidP="00D76E62">
      <w:pPr>
        <w:pStyle w:val="Body"/>
        <w:rPr>
          <w:rFonts w:ascii="Arial" w:hAnsi="Arial" w:cs="Arial"/>
          <w:b/>
          <w:bCs/>
        </w:rPr>
      </w:pPr>
      <w:r w:rsidRPr="00D76E62">
        <w:rPr>
          <w:rFonts w:ascii="Arial" w:hAnsi="Arial" w:cs="Arial"/>
          <w:b/>
          <w:bCs/>
        </w:rPr>
        <w:t>Table 5: Relationship between Compliance and Enforcement of Plastic Ban Measures,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672"/>
        <w:gridCol w:w="2674"/>
        <w:gridCol w:w="1000"/>
      </w:tblGrid>
      <w:tr w:rsidR="00D76E62" w:rsidRPr="00D76E62" w14:paraId="54627772" w14:textId="77777777" w:rsidTr="00D76E62">
        <w:tc>
          <w:tcPr>
            <w:tcW w:w="1975" w:type="dxa"/>
          </w:tcPr>
          <w:p w14:paraId="252F7FC6" w14:textId="77777777" w:rsidR="00D76E62" w:rsidRPr="00D76E62" w:rsidRDefault="00D76E62" w:rsidP="00B12DF1">
            <w:pPr>
              <w:spacing w:line="480" w:lineRule="auto"/>
              <w:rPr>
                <w:rFonts w:ascii="Arial" w:hAnsi="Arial" w:cs="Arial"/>
                <w:b/>
                <w:bCs/>
                <w:sz w:val="20"/>
                <w:szCs w:val="20"/>
              </w:rPr>
            </w:pPr>
            <w:bookmarkStart w:id="1" w:name="_Hlk207251273"/>
            <w:r w:rsidRPr="00D76E62">
              <w:rPr>
                <w:rFonts w:ascii="Arial" w:hAnsi="Arial" w:cs="Arial"/>
                <w:b/>
                <w:bCs/>
                <w:sz w:val="20"/>
                <w:szCs w:val="20"/>
              </w:rPr>
              <w:t>Variables</w:t>
            </w:r>
          </w:p>
        </w:tc>
        <w:tc>
          <w:tcPr>
            <w:tcW w:w="2883" w:type="dxa"/>
          </w:tcPr>
          <w:p w14:paraId="2A458840" w14:textId="77777777" w:rsidR="00D76E62" w:rsidRPr="00D76E62" w:rsidRDefault="00D76E62" w:rsidP="00B12DF1">
            <w:pPr>
              <w:spacing w:line="480" w:lineRule="auto"/>
              <w:rPr>
                <w:rFonts w:ascii="Arial" w:hAnsi="Arial" w:cs="Arial"/>
                <w:b/>
                <w:bCs/>
                <w:sz w:val="20"/>
                <w:szCs w:val="20"/>
              </w:rPr>
            </w:pPr>
            <w:r w:rsidRPr="00D76E62">
              <w:rPr>
                <w:rFonts w:ascii="Arial" w:hAnsi="Arial" w:cs="Arial"/>
                <w:b/>
                <w:bCs/>
                <w:sz w:val="20"/>
                <w:szCs w:val="20"/>
              </w:rPr>
              <w:t>Categories</w:t>
            </w:r>
          </w:p>
        </w:tc>
        <w:tc>
          <w:tcPr>
            <w:tcW w:w="2887" w:type="dxa"/>
          </w:tcPr>
          <w:p w14:paraId="4888D75E" w14:textId="77777777" w:rsidR="00D76E62" w:rsidRPr="00D76E62" w:rsidRDefault="00D76E62" w:rsidP="00B12DF1">
            <w:pPr>
              <w:spacing w:line="480" w:lineRule="auto"/>
              <w:rPr>
                <w:rFonts w:ascii="Arial" w:hAnsi="Arial" w:cs="Arial"/>
                <w:b/>
                <w:bCs/>
                <w:sz w:val="20"/>
                <w:szCs w:val="20"/>
              </w:rPr>
            </w:pPr>
            <w:r w:rsidRPr="00D76E62">
              <w:rPr>
                <w:rFonts w:ascii="Arial" w:hAnsi="Arial" w:cs="Arial"/>
                <w:b/>
                <w:bCs/>
                <w:sz w:val="20"/>
                <w:szCs w:val="20"/>
              </w:rPr>
              <w:t>Success of the plastic ban policy (Effective), Adjusted OR [95% CI]</w:t>
            </w:r>
          </w:p>
        </w:tc>
        <w:tc>
          <w:tcPr>
            <w:tcW w:w="1040" w:type="dxa"/>
          </w:tcPr>
          <w:p w14:paraId="44BAFC00" w14:textId="77777777" w:rsidR="00D76E62" w:rsidRPr="00D76E62" w:rsidRDefault="00D76E62" w:rsidP="00B12DF1">
            <w:pPr>
              <w:spacing w:line="480" w:lineRule="auto"/>
              <w:rPr>
                <w:rFonts w:ascii="Arial" w:hAnsi="Arial" w:cs="Arial"/>
                <w:b/>
                <w:bCs/>
                <w:sz w:val="20"/>
                <w:szCs w:val="20"/>
              </w:rPr>
            </w:pPr>
            <w:r w:rsidRPr="00D76E62">
              <w:rPr>
                <w:rFonts w:ascii="Arial" w:hAnsi="Arial" w:cs="Arial"/>
                <w:b/>
                <w:bCs/>
                <w:i/>
                <w:iCs/>
                <w:sz w:val="20"/>
                <w:szCs w:val="20"/>
              </w:rPr>
              <w:t>P</w:t>
            </w:r>
            <w:r w:rsidRPr="00D76E62">
              <w:rPr>
                <w:rFonts w:ascii="Arial" w:hAnsi="Arial" w:cs="Arial"/>
                <w:b/>
                <w:bCs/>
                <w:sz w:val="20"/>
                <w:szCs w:val="20"/>
              </w:rPr>
              <w:t>-value</w:t>
            </w:r>
          </w:p>
        </w:tc>
      </w:tr>
      <w:tr w:rsidR="00D76E62" w:rsidRPr="00D76E62" w14:paraId="65567DD7" w14:textId="77777777" w:rsidTr="00D76E62">
        <w:tc>
          <w:tcPr>
            <w:tcW w:w="1975" w:type="dxa"/>
          </w:tcPr>
          <w:p w14:paraId="608D3C62"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Faced sanctions recently</w:t>
            </w:r>
          </w:p>
        </w:tc>
        <w:tc>
          <w:tcPr>
            <w:tcW w:w="2883" w:type="dxa"/>
          </w:tcPr>
          <w:p w14:paraId="255271FD"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Yes</w:t>
            </w:r>
          </w:p>
          <w:p w14:paraId="66EBD073"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No</w:t>
            </w:r>
          </w:p>
        </w:tc>
        <w:tc>
          <w:tcPr>
            <w:tcW w:w="2887" w:type="dxa"/>
          </w:tcPr>
          <w:p w14:paraId="7FA8A7F0"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13.2 [3.3-19.6]</w:t>
            </w:r>
          </w:p>
          <w:p w14:paraId="043F8C11"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1</w:t>
            </w:r>
          </w:p>
        </w:tc>
        <w:tc>
          <w:tcPr>
            <w:tcW w:w="1040" w:type="dxa"/>
          </w:tcPr>
          <w:p w14:paraId="14ED0E9E" w14:textId="0E5857EA"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&lt;.001</w:t>
            </w:r>
          </w:p>
        </w:tc>
      </w:tr>
      <w:bookmarkEnd w:id="1"/>
    </w:tbl>
    <w:p w14:paraId="0696924E" w14:textId="77777777" w:rsidR="00D76E62" w:rsidRPr="00D76E62" w:rsidRDefault="00D76E62" w:rsidP="00D76E62">
      <w:pPr>
        <w:pStyle w:val="Body"/>
        <w:rPr>
          <w:rFonts w:ascii="Arial" w:hAnsi="Arial" w:cs="Arial"/>
          <w:b/>
          <w:bCs/>
        </w:rPr>
      </w:pPr>
    </w:p>
    <w:p w14:paraId="1D4DBB58" w14:textId="1B8B5D43" w:rsidR="001628E0" w:rsidRPr="001628E0" w:rsidRDefault="001628E0" w:rsidP="001628E0">
      <w:pPr>
        <w:pStyle w:val="Body"/>
        <w:rPr>
          <w:rFonts w:ascii="Arial" w:hAnsi="Arial" w:cs="Arial"/>
        </w:rPr>
      </w:pPr>
      <w:r w:rsidRPr="001628E0">
        <w:rPr>
          <w:rFonts w:ascii="Arial" w:hAnsi="Arial" w:cs="Arial"/>
        </w:rPr>
        <w:t>The study tested the hypothesis that the effectiveness of implementation mechanisms is significantly associated with the perceived success of the plastic ban policy in Buea. The results support this hypothesis, showing that awareness of banned plastics, type of business, availability and accessibility, field controls, and sanctions were significantly linked to policy effectiveness (</w:t>
      </w:r>
      <w:r w:rsidR="00F806A7">
        <w:rPr>
          <w:rFonts w:ascii="Arial" w:hAnsi="Arial" w:cs="Arial"/>
          <w:i/>
          <w:iCs/>
        </w:rPr>
        <w:t>P</w:t>
      </w:r>
      <w:r w:rsidRPr="001628E0">
        <w:rPr>
          <w:rFonts w:ascii="Arial" w:hAnsi="Arial" w:cs="Arial"/>
        </w:rPr>
        <w:t>&lt;.001). However, the use of banned plastics alone showed no significant association (</w:t>
      </w:r>
      <w:r w:rsidR="00F806A7">
        <w:rPr>
          <w:rFonts w:ascii="Arial" w:hAnsi="Arial" w:cs="Arial"/>
          <w:i/>
          <w:iCs/>
        </w:rPr>
        <w:t>P</w:t>
      </w:r>
      <w:r w:rsidRPr="001628E0">
        <w:rPr>
          <w:rFonts w:ascii="Arial" w:hAnsi="Arial" w:cs="Arial"/>
        </w:rPr>
        <w:t>=.63), indicating that not all mechanisms contributed equally to policy success</w:t>
      </w:r>
    </w:p>
    <w:p w14:paraId="4A18D7C4" w14:textId="6551F44F" w:rsidR="001628E0" w:rsidRPr="001628E0" w:rsidRDefault="00F806A7" w:rsidP="001628E0">
      <w:pPr>
        <w:pStyle w:val="Body"/>
        <w:rPr>
          <w:rFonts w:ascii="Arial" w:hAnsi="Arial" w:cs="Arial"/>
        </w:rPr>
      </w:pPr>
      <w:r>
        <w:rPr>
          <w:rFonts w:ascii="Arial" w:hAnsi="Arial" w:cs="Arial"/>
        </w:rPr>
        <w:lastRenderedPageBreak/>
        <w:t>3</w:t>
      </w:r>
      <w:r w:rsidR="001628E0" w:rsidRPr="001628E0">
        <w:rPr>
          <w:rFonts w:ascii="Arial" w:hAnsi="Arial" w:cs="Arial"/>
        </w:rPr>
        <w:t xml:space="preserve">.2 </w:t>
      </w:r>
      <w:r w:rsidR="001628E0" w:rsidRPr="00F806A7">
        <w:rPr>
          <w:rFonts w:ascii="Arial" w:hAnsi="Arial" w:cs="Arial"/>
          <w:b/>
          <w:bCs/>
          <w:sz w:val="22"/>
          <w:szCs w:val="22"/>
        </w:rPr>
        <w:t>Discussion</w:t>
      </w:r>
    </w:p>
    <w:p w14:paraId="361A47E8" w14:textId="1B09A9FE" w:rsidR="001628E0" w:rsidRPr="001628E0" w:rsidRDefault="001628E0" w:rsidP="001628E0">
      <w:pPr>
        <w:pStyle w:val="Body"/>
        <w:rPr>
          <w:rFonts w:ascii="Arial" w:hAnsi="Arial" w:cs="Arial"/>
        </w:rPr>
      </w:pPr>
      <w:r w:rsidRPr="001628E0">
        <w:rPr>
          <w:rFonts w:ascii="Arial" w:hAnsi="Arial" w:cs="Arial"/>
        </w:rPr>
        <w:t>This study found that awareness of the types of plastics banned and being a formal business were significantly associated with perceptions of the plastic ban policy as effective. Respondents who were aware of banned plastics were 7.5 times more likely to report effectiveness, while formal businesses were over four times more likely to comply compared to informal vendors. These findings align with a systematic review that highlighted awareness campaigns as crucial drivers of compliance with plastic bag bans across diverse contexts, particularly in low- and middle-income countries where knowledge gaps are wide [2</w:t>
      </w:r>
      <w:r w:rsidR="00AB3329">
        <w:rPr>
          <w:rFonts w:ascii="Arial" w:hAnsi="Arial" w:cs="Arial"/>
        </w:rPr>
        <w:t>0</w:t>
      </w:r>
      <w:r w:rsidRPr="001628E0">
        <w:rPr>
          <w:rFonts w:ascii="Arial" w:hAnsi="Arial" w:cs="Arial"/>
        </w:rPr>
        <w:t>].</w:t>
      </w:r>
      <w:r w:rsidR="00505DDD">
        <w:rPr>
          <w:rFonts w:ascii="Arial" w:hAnsi="Arial" w:cs="Arial"/>
        </w:rPr>
        <w:t xml:space="preserve"> </w:t>
      </w:r>
      <w:r w:rsidR="00505DDD" w:rsidRPr="00505DDD">
        <w:rPr>
          <w:rFonts w:ascii="Arial" w:hAnsi="Arial" w:cs="Arial"/>
        </w:rPr>
        <w:t>This finding is consistent with earlier evidence that knowledge of plastic pollution drivers strongly influences compliance with bans and reductions in plastic leakage into the environment</w:t>
      </w:r>
      <w:r w:rsidR="00505DDD" w:rsidRPr="00505DDD">
        <w:rPr>
          <w:rFonts w:ascii="Arial" w:hAnsi="Arial" w:cs="Arial"/>
          <w:color w:val="EE0000"/>
        </w:rPr>
        <w:t xml:space="preserve"> </w:t>
      </w:r>
      <w:r w:rsidR="00505DDD" w:rsidRPr="00810636">
        <w:rPr>
          <w:rFonts w:ascii="Arial" w:hAnsi="Arial" w:cs="Arial"/>
        </w:rPr>
        <w:t>[2</w:t>
      </w:r>
      <w:r w:rsidR="00156A34" w:rsidRPr="00810636">
        <w:rPr>
          <w:rFonts w:ascii="Arial" w:hAnsi="Arial" w:cs="Arial"/>
        </w:rPr>
        <w:t>1</w:t>
      </w:r>
      <w:r w:rsidR="00505DDD" w:rsidRPr="00810636">
        <w:rPr>
          <w:rFonts w:ascii="Arial" w:hAnsi="Arial" w:cs="Arial"/>
        </w:rPr>
        <w:t>].</w:t>
      </w:r>
      <w:r w:rsidRPr="00810636">
        <w:rPr>
          <w:rFonts w:ascii="Arial" w:hAnsi="Arial" w:cs="Arial"/>
        </w:rPr>
        <w:t xml:space="preserve"> </w:t>
      </w:r>
      <w:r w:rsidRPr="001628E0">
        <w:rPr>
          <w:rFonts w:ascii="Arial" w:hAnsi="Arial" w:cs="Arial"/>
        </w:rPr>
        <w:t>Similarly, another study found that formal retailers were more likely than informal vendors to adopt and comply with restrictions due to regulatory visibility and business incentives [2</w:t>
      </w:r>
      <w:r w:rsidR="00156A34">
        <w:rPr>
          <w:rFonts w:ascii="Arial" w:hAnsi="Arial" w:cs="Arial"/>
        </w:rPr>
        <w:t>2</w:t>
      </w:r>
      <w:r w:rsidRPr="001628E0">
        <w:rPr>
          <w:rFonts w:ascii="Arial" w:hAnsi="Arial" w:cs="Arial"/>
        </w:rPr>
        <w:t xml:space="preserve">]. However, United Nations Environment </w:t>
      </w:r>
      <w:proofErr w:type="spellStart"/>
      <w:r w:rsidRPr="001628E0">
        <w:rPr>
          <w:rFonts w:ascii="Arial" w:hAnsi="Arial" w:cs="Arial"/>
        </w:rPr>
        <w:t>Programme</w:t>
      </w:r>
      <w:proofErr w:type="spellEnd"/>
      <w:r w:rsidRPr="001628E0">
        <w:rPr>
          <w:rFonts w:ascii="Arial" w:hAnsi="Arial" w:cs="Arial"/>
        </w:rPr>
        <w:t xml:space="preserve"> reports emphasize that where informal sectors dominate the retail landscape, exclusion of these actors undermines the overall effectiveness of bans [2</w:t>
      </w:r>
      <w:r w:rsidR="00156A34">
        <w:rPr>
          <w:rFonts w:ascii="Arial" w:hAnsi="Arial" w:cs="Arial"/>
        </w:rPr>
        <w:t>3</w:t>
      </w:r>
      <w:r w:rsidRPr="001628E0">
        <w:rPr>
          <w:rFonts w:ascii="Arial" w:hAnsi="Arial" w:cs="Arial"/>
        </w:rPr>
        <w:t>]. This underlines the significance of our study in highlighting the dual necessity of public awareness and inclusive strategies for informal vendors in sustaining the success of plastic ban policies.</w:t>
      </w:r>
    </w:p>
    <w:p w14:paraId="2945509F" w14:textId="4CF7D8FF" w:rsidR="001628E0" w:rsidRPr="001628E0" w:rsidRDefault="001628E0" w:rsidP="001628E0">
      <w:pPr>
        <w:pStyle w:val="Body"/>
        <w:rPr>
          <w:rFonts w:ascii="Arial" w:hAnsi="Arial" w:cs="Arial"/>
        </w:rPr>
      </w:pPr>
      <w:r w:rsidRPr="001628E0">
        <w:rPr>
          <w:rFonts w:ascii="Arial" w:hAnsi="Arial" w:cs="Arial"/>
        </w:rPr>
        <w:t>The results also showed that control and regulatory mechanisms, especially field control and frequent monitoring, were positively associated with policy success. Respondents who experienced direct enforcement (field control) reported full compliance, whereas sensitization alone showed limited impact. These findings resonate with another study, that demonstrated that jurisdictions implementing continuous monitoring achieved greater reductions in plastic use compared to those relying solely on sensitization [2</w:t>
      </w:r>
      <w:r w:rsidR="00156A34">
        <w:rPr>
          <w:rFonts w:ascii="Arial" w:hAnsi="Arial" w:cs="Arial"/>
        </w:rPr>
        <w:t>4</w:t>
      </w:r>
      <w:r w:rsidRPr="001628E0">
        <w:rPr>
          <w:rFonts w:ascii="Arial" w:hAnsi="Arial" w:cs="Arial"/>
        </w:rPr>
        <w:t xml:space="preserve">]. </w:t>
      </w:r>
      <w:r w:rsidR="00505DDD" w:rsidRPr="00505DDD">
        <w:rPr>
          <w:rFonts w:ascii="Arial" w:hAnsi="Arial" w:cs="Arial"/>
        </w:rPr>
        <w:t>This</w:t>
      </w:r>
      <w:r w:rsidR="00505DDD">
        <w:rPr>
          <w:rFonts w:ascii="Arial" w:hAnsi="Arial" w:cs="Arial"/>
        </w:rPr>
        <w:t xml:space="preserve"> also</w:t>
      </w:r>
      <w:r w:rsidR="00505DDD" w:rsidRPr="00505DDD">
        <w:rPr>
          <w:rFonts w:ascii="Arial" w:hAnsi="Arial" w:cs="Arial"/>
        </w:rPr>
        <w:t xml:space="preserve"> aligns with findings from </w:t>
      </w:r>
      <w:r w:rsidR="00505DDD" w:rsidRPr="00810636">
        <w:rPr>
          <w:rFonts w:ascii="Arial" w:hAnsi="Arial" w:cs="Arial"/>
        </w:rPr>
        <w:t>Kabir (2023) [2</w:t>
      </w:r>
      <w:r w:rsidR="00156A34" w:rsidRPr="00810636">
        <w:rPr>
          <w:rFonts w:ascii="Arial" w:hAnsi="Arial" w:cs="Arial"/>
        </w:rPr>
        <w:t>5</w:t>
      </w:r>
      <w:r w:rsidR="00505DDD" w:rsidRPr="00505DDD">
        <w:rPr>
          <w:rFonts w:ascii="Arial" w:hAnsi="Arial" w:cs="Arial"/>
        </w:rPr>
        <w:t xml:space="preserve">], who showed that jurisdictions relying primarily on continuous enforcement achieved greater reductions in plastic usage compared to those depending only on awareness campaigns. </w:t>
      </w:r>
      <w:r w:rsidR="00C77870" w:rsidRPr="00C77870">
        <w:rPr>
          <w:rFonts w:ascii="Arial" w:hAnsi="Arial" w:cs="Arial"/>
        </w:rPr>
        <w:t>Furthermore, a large-scale study in the United States found that jurisdictions implementing plastic bag bans or fees experienced a 25%–47% decrease in plastic bags as part of shoreline cleanup debris, with this decline growing over time and no evidence of rebound [2</w:t>
      </w:r>
      <w:r w:rsidR="00156A34">
        <w:rPr>
          <w:rFonts w:ascii="Arial" w:hAnsi="Arial" w:cs="Arial"/>
        </w:rPr>
        <w:t>6</w:t>
      </w:r>
      <w:r w:rsidR="00C77870" w:rsidRPr="00C77870">
        <w:rPr>
          <w:rFonts w:ascii="Arial" w:hAnsi="Arial" w:cs="Arial"/>
        </w:rPr>
        <w:t>]</w:t>
      </w:r>
      <w:r w:rsidRPr="001628E0">
        <w:rPr>
          <w:rFonts w:ascii="Arial" w:hAnsi="Arial" w:cs="Arial"/>
        </w:rPr>
        <w:t>. This reinforces the implication of our study: consistent, visible enforcement and frequent inspections are indispensable in achieving long-term compliance.</w:t>
      </w:r>
    </w:p>
    <w:p w14:paraId="721B4785" w14:textId="40BB3A2E" w:rsidR="00790ADA" w:rsidRPr="00FB3A86" w:rsidRDefault="001628E0" w:rsidP="001628E0">
      <w:pPr>
        <w:pStyle w:val="Body"/>
        <w:spacing w:after="0"/>
        <w:rPr>
          <w:rFonts w:ascii="Arial" w:hAnsi="Arial" w:cs="Arial"/>
        </w:rPr>
      </w:pPr>
      <w:r w:rsidRPr="001628E0">
        <w:rPr>
          <w:rFonts w:ascii="Arial" w:hAnsi="Arial" w:cs="Arial"/>
        </w:rPr>
        <w:t>Finally, the study revealed that sanctions were a critical predictor of policy success, with those recently sanctioned being 13 times more likely to perceive the ban as effective. This outcome is consistent with a study, who showed that penalties serve as effective deterrents when adequately implemented [2</w:t>
      </w:r>
      <w:r w:rsidR="00156A34">
        <w:rPr>
          <w:rFonts w:ascii="Arial" w:hAnsi="Arial" w:cs="Arial"/>
        </w:rPr>
        <w:t>7</w:t>
      </w:r>
      <w:r w:rsidRPr="001628E0">
        <w:rPr>
          <w:rFonts w:ascii="Arial" w:hAnsi="Arial" w:cs="Arial"/>
        </w:rPr>
        <w:t>]. Likewise, a certain study and other regional case studies demonstrate that sanctions significantly enhance compliance levels, particularly when combined with alternatives such as reusable bags [2</w:t>
      </w:r>
      <w:r w:rsidR="00156A34">
        <w:rPr>
          <w:rFonts w:ascii="Arial" w:hAnsi="Arial" w:cs="Arial"/>
        </w:rPr>
        <w:t>2</w:t>
      </w:r>
      <w:r w:rsidRPr="001628E0">
        <w:rPr>
          <w:rFonts w:ascii="Arial" w:hAnsi="Arial" w:cs="Arial"/>
        </w:rPr>
        <w:t>]. Conversely, reports from India highlight that weak or poorly enforced penalties have limited deterrence value, with single-use plastics persisting despite formal bans [2</w:t>
      </w:r>
      <w:r w:rsidR="00156A34">
        <w:rPr>
          <w:rFonts w:ascii="Arial" w:hAnsi="Arial" w:cs="Arial"/>
        </w:rPr>
        <w:t>8</w:t>
      </w:r>
      <w:r w:rsidRPr="001628E0">
        <w:rPr>
          <w:rFonts w:ascii="Arial" w:hAnsi="Arial" w:cs="Arial"/>
        </w:rPr>
        <w:t>]. Our study therefore provides strong evidence that sanctions, when credible and enforced, are central to the deterrence framework of plastic policy implementation.</w:t>
      </w:r>
    </w:p>
    <w:p w14:paraId="1B939B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B1E993" w14:textId="77777777" w:rsidR="00790ADA" w:rsidRPr="00FB3A86" w:rsidRDefault="00790ADA" w:rsidP="00441B6F">
      <w:pPr>
        <w:pStyle w:val="ConcHead"/>
        <w:spacing w:after="0"/>
        <w:jc w:val="both"/>
        <w:rPr>
          <w:rFonts w:ascii="Arial" w:hAnsi="Arial" w:cs="Arial"/>
        </w:rPr>
      </w:pPr>
    </w:p>
    <w:p w14:paraId="7F33CCCA" w14:textId="1F526132" w:rsidR="00B61186" w:rsidRDefault="00B61186" w:rsidP="00441B6F">
      <w:pPr>
        <w:pStyle w:val="AcknHead"/>
        <w:spacing w:after="0"/>
        <w:jc w:val="both"/>
        <w:rPr>
          <w:rFonts w:ascii="Arial" w:hAnsi="Arial" w:cs="Arial"/>
          <w:b w:val="0"/>
          <w:caps w:val="0"/>
          <w:sz w:val="20"/>
        </w:rPr>
      </w:pPr>
      <w:r w:rsidRPr="00B61186">
        <w:rPr>
          <w:rFonts w:ascii="Arial" w:hAnsi="Arial" w:cs="Arial"/>
          <w:b w:val="0"/>
          <w:caps w:val="0"/>
          <w:sz w:val="20"/>
        </w:rPr>
        <w:t xml:space="preserve">This study found that awareness of banned plastics, being a formal business, control mechanisms, and sanctions were significant predictors of the perceived success of the plastic ban policy in Buea. Awareness increased the likelihood of perceiving the policy as effective, while formal businesses demonstrated greater compliance compared to informal vendors. Direct enforcement and monitoring were more effective than sensitization alone, and sanctions strongly enhanced compliance when consistently applied. Together, these findings highlight </w:t>
      </w:r>
      <w:r w:rsidRPr="00B61186">
        <w:rPr>
          <w:rFonts w:ascii="Arial" w:hAnsi="Arial" w:cs="Arial"/>
          <w:b w:val="0"/>
          <w:caps w:val="0"/>
          <w:sz w:val="20"/>
        </w:rPr>
        <w:lastRenderedPageBreak/>
        <w:t>that awareness, inclusivity of informal vendors, and credible enforcement mechanisms are essential for sustaining the effectiveness of plastic ban policies.</w:t>
      </w:r>
    </w:p>
    <w:p w14:paraId="36677E73" w14:textId="3B6ADFF6" w:rsidR="00486FDB" w:rsidRDefault="00486FDB" w:rsidP="00441B6F">
      <w:pPr>
        <w:pStyle w:val="AcknHead"/>
        <w:spacing w:after="0"/>
        <w:jc w:val="both"/>
        <w:rPr>
          <w:rFonts w:ascii="Arial" w:hAnsi="Arial" w:cs="Arial"/>
          <w:b w:val="0"/>
          <w:caps w:val="0"/>
          <w:sz w:val="20"/>
        </w:rPr>
      </w:pPr>
    </w:p>
    <w:p w14:paraId="0775FD01" w14:textId="49427651" w:rsidR="0098067F" w:rsidRPr="0098067F" w:rsidRDefault="0098067F" w:rsidP="00441B6F">
      <w:pPr>
        <w:pStyle w:val="AcknHead"/>
        <w:spacing w:after="0"/>
        <w:jc w:val="both"/>
        <w:rPr>
          <w:rFonts w:ascii="Arial" w:hAnsi="Arial" w:cs="Arial"/>
          <w:bCs/>
          <w:caps w:val="0"/>
          <w:sz w:val="20"/>
        </w:rPr>
      </w:pPr>
      <w:r>
        <w:rPr>
          <w:rFonts w:ascii="Arial" w:hAnsi="Arial" w:cs="Arial"/>
          <w:bCs/>
          <w:caps w:val="0"/>
          <w:sz w:val="20"/>
        </w:rPr>
        <w:t>DISCLAIMER</w:t>
      </w:r>
    </w:p>
    <w:p w14:paraId="0E1EC693" w14:textId="4DB49F96" w:rsidR="00486FDB" w:rsidRDefault="00486FDB" w:rsidP="00441B6F">
      <w:pPr>
        <w:pStyle w:val="AcknHead"/>
        <w:spacing w:after="0"/>
        <w:jc w:val="both"/>
        <w:rPr>
          <w:rFonts w:ascii="Arial" w:hAnsi="Arial" w:cs="Arial"/>
          <w:b w:val="0"/>
          <w:caps w:val="0"/>
          <w:sz w:val="20"/>
        </w:rPr>
      </w:pPr>
    </w:p>
    <w:p w14:paraId="56377EB6" w14:textId="0574AE9B" w:rsidR="0098067F" w:rsidRPr="0098067F" w:rsidRDefault="0098067F" w:rsidP="0098067F">
      <w:pPr>
        <w:pStyle w:val="AcknHead"/>
        <w:spacing w:after="0"/>
        <w:jc w:val="both"/>
        <w:rPr>
          <w:rFonts w:ascii="Arial" w:hAnsi="Arial" w:cs="Arial"/>
        </w:rPr>
      </w:pPr>
      <w:r w:rsidRPr="0098067F">
        <w:rPr>
          <w:rFonts w:ascii="Arial" w:hAnsi="Arial" w:cs="Arial"/>
        </w:rPr>
        <w:t>Author hereby declare</w:t>
      </w:r>
      <w:r>
        <w:rPr>
          <w:rFonts w:ascii="Arial" w:hAnsi="Arial" w:cs="Arial"/>
        </w:rPr>
        <w:t xml:space="preserve">S </w:t>
      </w:r>
      <w:r w:rsidRPr="0098067F">
        <w:rPr>
          <w:rFonts w:ascii="Arial" w:hAnsi="Arial" w:cs="Arial"/>
        </w:rPr>
        <w:t>that generative AI technologies such as Large Language Models have been used during the writing and editing of the manuscript. Details of the AI usage are given below:</w:t>
      </w:r>
    </w:p>
    <w:p w14:paraId="2A04FA7D" w14:textId="77777777" w:rsidR="0098067F" w:rsidRPr="0098067F" w:rsidRDefault="0098067F" w:rsidP="0098067F">
      <w:pPr>
        <w:pStyle w:val="AcknHead"/>
        <w:numPr>
          <w:ilvl w:val="0"/>
          <w:numId w:val="31"/>
        </w:numPr>
        <w:spacing w:after="0"/>
        <w:jc w:val="both"/>
        <w:rPr>
          <w:rFonts w:ascii="Arial" w:hAnsi="Arial" w:cs="Arial"/>
        </w:rPr>
      </w:pPr>
      <w:r w:rsidRPr="0098067F">
        <w:rPr>
          <w:rFonts w:ascii="Arial" w:hAnsi="Arial" w:cs="Arial"/>
          <w:bCs/>
        </w:rPr>
        <w:t>AI Tool Used:</w:t>
      </w:r>
      <w:r w:rsidRPr="0098067F">
        <w:rPr>
          <w:rFonts w:ascii="Arial" w:hAnsi="Arial" w:cs="Arial"/>
        </w:rPr>
        <w:t xml:space="preserve"> ChatGPT, GPT-5-mini model, developed by OpenAI, accessed via web interface (September 2025).</w:t>
      </w:r>
    </w:p>
    <w:p w14:paraId="1C0A563E" w14:textId="77777777" w:rsidR="0098067F" w:rsidRPr="0098067F" w:rsidRDefault="0098067F" w:rsidP="0098067F">
      <w:pPr>
        <w:pStyle w:val="AcknHead"/>
        <w:numPr>
          <w:ilvl w:val="0"/>
          <w:numId w:val="31"/>
        </w:numPr>
        <w:spacing w:after="0"/>
        <w:jc w:val="both"/>
        <w:rPr>
          <w:rFonts w:ascii="Arial" w:hAnsi="Arial" w:cs="Arial"/>
        </w:rPr>
      </w:pPr>
      <w:r w:rsidRPr="0098067F">
        <w:rPr>
          <w:rFonts w:ascii="Arial" w:hAnsi="Arial" w:cs="Arial"/>
          <w:bCs/>
        </w:rPr>
        <w:t>Purpose of Use:</w:t>
      </w:r>
    </w:p>
    <w:p w14:paraId="539B5147" w14:textId="4CEFD543" w:rsidR="0098067F" w:rsidRPr="0098067F" w:rsidRDefault="00007F58" w:rsidP="0098067F">
      <w:pPr>
        <w:pStyle w:val="AcknHead"/>
        <w:numPr>
          <w:ilvl w:val="1"/>
          <w:numId w:val="31"/>
        </w:numPr>
        <w:spacing w:after="0"/>
        <w:jc w:val="both"/>
        <w:rPr>
          <w:rFonts w:ascii="Arial" w:hAnsi="Arial" w:cs="Arial"/>
          <w:b w:val="0"/>
          <w:bCs/>
        </w:rPr>
      </w:pPr>
      <w:r w:rsidRPr="00007F58">
        <w:rPr>
          <w:rFonts w:ascii="Arial" w:hAnsi="Arial" w:cs="Arial"/>
          <w:b w:val="0"/>
          <w:bCs/>
          <w:caps w:val="0"/>
        </w:rPr>
        <w:t>To improve clarity, flow, and conciseness of the abstract and discussion sections.</w:t>
      </w:r>
    </w:p>
    <w:p w14:paraId="0889F8F2" w14:textId="3EE523B0" w:rsidR="0098067F" w:rsidRPr="0098067F" w:rsidRDefault="00007F58" w:rsidP="0098067F">
      <w:pPr>
        <w:pStyle w:val="AcknHead"/>
        <w:numPr>
          <w:ilvl w:val="1"/>
          <w:numId w:val="31"/>
        </w:numPr>
        <w:spacing w:after="0"/>
        <w:jc w:val="both"/>
        <w:rPr>
          <w:rFonts w:ascii="Arial" w:hAnsi="Arial" w:cs="Arial"/>
          <w:b w:val="0"/>
          <w:bCs/>
        </w:rPr>
      </w:pPr>
      <w:r w:rsidRPr="00007F58">
        <w:rPr>
          <w:rFonts w:ascii="Arial" w:hAnsi="Arial" w:cs="Arial"/>
          <w:b w:val="0"/>
          <w:bCs/>
          <w:caps w:val="0"/>
        </w:rPr>
        <w:t xml:space="preserve">To help integrate real, verifiable references into the discussion section and format them in </w:t>
      </w:r>
      <w:proofErr w:type="spellStart"/>
      <w:r w:rsidRPr="00007F58">
        <w:rPr>
          <w:rFonts w:ascii="Arial" w:hAnsi="Arial" w:cs="Arial"/>
          <w:b w:val="0"/>
          <w:bCs/>
          <w:caps w:val="0"/>
        </w:rPr>
        <w:t>vancouver</w:t>
      </w:r>
      <w:proofErr w:type="spellEnd"/>
      <w:r w:rsidRPr="00007F58">
        <w:rPr>
          <w:rFonts w:ascii="Arial" w:hAnsi="Arial" w:cs="Arial"/>
          <w:b w:val="0"/>
          <w:bCs/>
          <w:caps w:val="0"/>
        </w:rPr>
        <w:t xml:space="preserve"> style.</w:t>
      </w:r>
    </w:p>
    <w:p w14:paraId="302021D3" w14:textId="7693FD76" w:rsidR="0098067F" w:rsidRPr="00007F58" w:rsidRDefault="00007F58" w:rsidP="0098067F">
      <w:pPr>
        <w:pStyle w:val="AcknHead"/>
        <w:numPr>
          <w:ilvl w:val="1"/>
          <w:numId w:val="31"/>
        </w:numPr>
        <w:spacing w:after="0"/>
        <w:jc w:val="both"/>
        <w:rPr>
          <w:rFonts w:ascii="Arial" w:hAnsi="Arial" w:cs="Arial"/>
          <w:b w:val="0"/>
          <w:bCs/>
        </w:rPr>
      </w:pPr>
      <w:r w:rsidRPr="00007F58">
        <w:rPr>
          <w:rFonts w:ascii="Arial" w:hAnsi="Arial" w:cs="Arial"/>
          <w:b w:val="0"/>
          <w:bCs/>
          <w:caps w:val="0"/>
        </w:rPr>
        <w:t>To restructure discussion content according to journal-friendly academic conventions, including “objective-based” narrative structure.</w:t>
      </w:r>
    </w:p>
    <w:p w14:paraId="387A035F" w14:textId="490EC8B8" w:rsidR="00007F58" w:rsidRPr="0098067F" w:rsidRDefault="00007F58" w:rsidP="0098067F">
      <w:pPr>
        <w:pStyle w:val="AcknHead"/>
        <w:numPr>
          <w:ilvl w:val="1"/>
          <w:numId w:val="31"/>
        </w:numPr>
        <w:spacing w:after="0"/>
        <w:jc w:val="both"/>
        <w:rPr>
          <w:rFonts w:ascii="Arial" w:hAnsi="Arial" w:cs="Arial"/>
          <w:b w:val="0"/>
          <w:bCs/>
        </w:rPr>
      </w:pPr>
      <w:r w:rsidRPr="00007F58">
        <w:rPr>
          <w:rFonts w:ascii="Arial" w:hAnsi="Arial" w:cs="Arial"/>
          <w:b w:val="0"/>
          <w:bCs/>
          <w:caps w:val="0"/>
        </w:rPr>
        <w:t>To narrate the various tables and figures</w:t>
      </w:r>
    </w:p>
    <w:p w14:paraId="5BBE612F" w14:textId="77777777" w:rsidR="0098067F" w:rsidRPr="0098067F" w:rsidRDefault="0098067F" w:rsidP="0098067F">
      <w:pPr>
        <w:pStyle w:val="AcknHead"/>
        <w:numPr>
          <w:ilvl w:val="0"/>
          <w:numId w:val="31"/>
        </w:numPr>
        <w:spacing w:after="0"/>
        <w:jc w:val="both"/>
        <w:rPr>
          <w:rFonts w:ascii="Arial" w:hAnsi="Arial" w:cs="Arial"/>
        </w:rPr>
      </w:pPr>
      <w:r w:rsidRPr="0098067F">
        <w:rPr>
          <w:rFonts w:ascii="Arial" w:hAnsi="Arial" w:cs="Arial"/>
          <w:bCs/>
        </w:rPr>
        <w:t>Input Prompts Provided:</w:t>
      </w:r>
    </w:p>
    <w:p w14:paraId="31A3377E" w14:textId="1B58044E" w:rsidR="0098067F" w:rsidRPr="0098067F" w:rsidRDefault="0098067F" w:rsidP="0098067F">
      <w:pPr>
        <w:pStyle w:val="AcknHead"/>
        <w:numPr>
          <w:ilvl w:val="1"/>
          <w:numId w:val="31"/>
        </w:numPr>
        <w:spacing w:after="0"/>
        <w:jc w:val="both"/>
        <w:rPr>
          <w:rFonts w:ascii="Arial" w:hAnsi="Arial" w:cs="Arial"/>
          <w:b w:val="0"/>
          <w:bCs/>
        </w:rPr>
      </w:pPr>
      <w:r w:rsidRPr="0098067F">
        <w:rPr>
          <w:rFonts w:ascii="Arial" w:hAnsi="Arial" w:cs="Arial"/>
        </w:rPr>
        <w:t>“</w:t>
      </w:r>
      <w:proofErr w:type="gramStart"/>
      <w:r w:rsidR="00007F58" w:rsidRPr="0098067F">
        <w:rPr>
          <w:rFonts w:ascii="Arial" w:hAnsi="Arial" w:cs="Arial"/>
          <w:b w:val="0"/>
          <w:bCs/>
          <w:caps w:val="0"/>
        </w:rPr>
        <w:t>rewrite</w:t>
      </w:r>
      <w:proofErr w:type="gramEnd"/>
      <w:r w:rsidR="00007F58" w:rsidRPr="0098067F">
        <w:rPr>
          <w:rFonts w:ascii="Arial" w:hAnsi="Arial" w:cs="Arial"/>
          <w:b w:val="0"/>
          <w:bCs/>
          <w:caps w:val="0"/>
        </w:rPr>
        <w:t xml:space="preserve"> the abstract considering reviewer comments and define statistical abbreviations (</w:t>
      </w:r>
      <w:proofErr w:type="spellStart"/>
      <w:r w:rsidR="00007F58" w:rsidRPr="0098067F">
        <w:rPr>
          <w:rFonts w:ascii="Arial" w:hAnsi="Arial" w:cs="Arial"/>
          <w:b w:val="0"/>
          <w:bCs/>
          <w:caps w:val="0"/>
        </w:rPr>
        <w:t>aor</w:t>
      </w:r>
      <w:proofErr w:type="spellEnd"/>
      <w:r w:rsidR="00007F58" w:rsidRPr="0098067F">
        <w:rPr>
          <w:rFonts w:ascii="Arial" w:hAnsi="Arial" w:cs="Arial"/>
          <w:b w:val="0"/>
          <w:bCs/>
          <w:caps w:val="0"/>
        </w:rPr>
        <w:t>, p-values).”</w:t>
      </w:r>
    </w:p>
    <w:p w14:paraId="5D94BA6F" w14:textId="022208B8" w:rsidR="0098067F" w:rsidRPr="0098067F" w:rsidRDefault="00007F58" w:rsidP="0098067F">
      <w:pPr>
        <w:pStyle w:val="AcknHead"/>
        <w:numPr>
          <w:ilvl w:val="1"/>
          <w:numId w:val="31"/>
        </w:numPr>
        <w:spacing w:after="0"/>
        <w:jc w:val="both"/>
        <w:rPr>
          <w:rFonts w:ascii="Arial" w:hAnsi="Arial" w:cs="Arial"/>
          <w:b w:val="0"/>
          <w:bCs/>
        </w:rPr>
      </w:pPr>
      <w:r w:rsidRPr="0098067F">
        <w:rPr>
          <w:rFonts w:ascii="Arial" w:hAnsi="Arial" w:cs="Arial"/>
          <w:b w:val="0"/>
          <w:bCs/>
          <w:caps w:val="0"/>
        </w:rPr>
        <w:t>“</w:t>
      </w:r>
      <w:proofErr w:type="gramStart"/>
      <w:r w:rsidRPr="0098067F">
        <w:rPr>
          <w:rFonts w:ascii="Arial" w:hAnsi="Arial" w:cs="Arial"/>
          <w:b w:val="0"/>
          <w:bCs/>
          <w:caps w:val="0"/>
        </w:rPr>
        <w:t>find</w:t>
      </w:r>
      <w:proofErr w:type="gramEnd"/>
      <w:r w:rsidRPr="0098067F">
        <w:rPr>
          <w:rFonts w:ascii="Arial" w:hAnsi="Arial" w:cs="Arial"/>
          <w:b w:val="0"/>
          <w:bCs/>
          <w:caps w:val="0"/>
        </w:rPr>
        <w:t xml:space="preserve"> real references in </w:t>
      </w:r>
      <w:proofErr w:type="spellStart"/>
      <w:r w:rsidRPr="0098067F">
        <w:rPr>
          <w:rFonts w:ascii="Arial" w:hAnsi="Arial" w:cs="Arial"/>
          <w:b w:val="0"/>
          <w:bCs/>
          <w:caps w:val="0"/>
        </w:rPr>
        <w:t>vancouver</w:t>
      </w:r>
      <w:proofErr w:type="spellEnd"/>
      <w:r w:rsidRPr="0098067F">
        <w:rPr>
          <w:rFonts w:ascii="Arial" w:hAnsi="Arial" w:cs="Arial"/>
          <w:b w:val="0"/>
          <w:bCs/>
          <w:caps w:val="0"/>
        </w:rPr>
        <w:t xml:space="preserve"> style for plastic policy, awareness, enforcement, and compliance in </w:t>
      </w:r>
      <w:proofErr w:type="spellStart"/>
      <w:r w:rsidRPr="0098067F">
        <w:rPr>
          <w:rFonts w:ascii="Arial" w:hAnsi="Arial" w:cs="Arial"/>
          <w:b w:val="0"/>
          <w:bCs/>
          <w:caps w:val="0"/>
        </w:rPr>
        <w:t>africa</w:t>
      </w:r>
      <w:proofErr w:type="spellEnd"/>
      <w:r w:rsidRPr="0098067F">
        <w:rPr>
          <w:rFonts w:ascii="Arial" w:hAnsi="Arial" w:cs="Arial"/>
          <w:b w:val="0"/>
          <w:bCs/>
          <w:caps w:val="0"/>
        </w:rPr>
        <w:t xml:space="preserve"> and globally.”</w:t>
      </w:r>
    </w:p>
    <w:p w14:paraId="2DC1101D" w14:textId="384E8AFF" w:rsidR="0098067F" w:rsidRPr="0098067F" w:rsidRDefault="00007F58" w:rsidP="0098067F">
      <w:pPr>
        <w:pStyle w:val="AcknHead"/>
        <w:numPr>
          <w:ilvl w:val="1"/>
          <w:numId w:val="31"/>
        </w:numPr>
        <w:spacing w:after="0"/>
        <w:jc w:val="both"/>
        <w:rPr>
          <w:rFonts w:ascii="Arial" w:hAnsi="Arial" w:cs="Arial"/>
          <w:b w:val="0"/>
          <w:bCs/>
        </w:rPr>
      </w:pPr>
      <w:r w:rsidRPr="0098067F">
        <w:rPr>
          <w:rFonts w:ascii="Arial" w:hAnsi="Arial" w:cs="Arial"/>
          <w:b w:val="0"/>
          <w:bCs/>
          <w:caps w:val="0"/>
        </w:rPr>
        <w:t>“</w:t>
      </w:r>
      <w:proofErr w:type="gramStart"/>
      <w:r w:rsidRPr="0098067F">
        <w:rPr>
          <w:rFonts w:ascii="Arial" w:hAnsi="Arial" w:cs="Arial"/>
          <w:b w:val="0"/>
          <w:bCs/>
          <w:caps w:val="0"/>
        </w:rPr>
        <w:t>expand</w:t>
      </w:r>
      <w:proofErr w:type="gramEnd"/>
      <w:r w:rsidRPr="0098067F">
        <w:rPr>
          <w:rFonts w:ascii="Arial" w:hAnsi="Arial" w:cs="Arial"/>
          <w:b w:val="0"/>
          <w:bCs/>
          <w:caps w:val="0"/>
        </w:rPr>
        <w:t xml:space="preserve"> the discussion section using verified references while maintaining all original findings.”</w:t>
      </w:r>
    </w:p>
    <w:p w14:paraId="6293EF91" w14:textId="39DA3582" w:rsidR="0098067F" w:rsidRPr="00007F58" w:rsidRDefault="00007F58" w:rsidP="0098067F">
      <w:pPr>
        <w:pStyle w:val="AcknHead"/>
        <w:numPr>
          <w:ilvl w:val="1"/>
          <w:numId w:val="31"/>
        </w:numPr>
        <w:spacing w:after="0"/>
        <w:jc w:val="both"/>
        <w:rPr>
          <w:rFonts w:ascii="Arial" w:hAnsi="Arial" w:cs="Arial"/>
          <w:b w:val="0"/>
          <w:bCs/>
        </w:rPr>
      </w:pPr>
      <w:r w:rsidRPr="0098067F">
        <w:rPr>
          <w:rFonts w:ascii="Arial" w:hAnsi="Arial" w:cs="Arial"/>
          <w:b w:val="0"/>
          <w:bCs/>
          <w:caps w:val="0"/>
        </w:rPr>
        <w:t>“</w:t>
      </w:r>
      <w:proofErr w:type="gramStart"/>
      <w:r w:rsidRPr="0098067F">
        <w:rPr>
          <w:rFonts w:ascii="Arial" w:hAnsi="Arial" w:cs="Arial"/>
          <w:b w:val="0"/>
          <w:bCs/>
          <w:caps w:val="0"/>
        </w:rPr>
        <w:t>provide</w:t>
      </w:r>
      <w:proofErr w:type="gramEnd"/>
      <w:r w:rsidRPr="0098067F">
        <w:rPr>
          <w:rFonts w:ascii="Arial" w:hAnsi="Arial" w:cs="Arial"/>
          <w:b w:val="0"/>
          <w:bCs/>
          <w:caps w:val="0"/>
        </w:rPr>
        <w:t xml:space="preserve"> links to all references used for verification.”</w:t>
      </w:r>
    </w:p>
    <w:p w14:paraId="267009A6" w14:textId="205F640A" w:rsidR="00007F58" w:rsidRPr="0098067F" w:rsidRDefault="00007F58" w:rsidP="0098067F">
      <w:pPr>
        <w:pStyle w:val="AcknHead"/>
        <w:numPr>
          <w:ilvl w:val="1"/>
          <w:numId w:val="31"/>
        </w:numPr>
        <w:spacing w:after="0"/>
        <w:jc w:val="both"/>
        <w:rPr>
          <w:rFonts w:ascii="Arial" w:hAnsi="Arial" w:cs="Arial"/>
          <w:b w:val="0"/>
          <w:bCs/>
        </w:rPr>
      </w:pPr>
      <w:r>
        <w:rPr>
          <w:rFonts w:ascii="Arial" w:hAnsi="Arial" w:cs="Arial"/>
          <w:b w:val="0"/>
          <w:bCs/>
          <w:caps w:val="0"/>
        </w:rPr>
        <w:t>“Briefly explain the following results in one paragraph”</w:t>
      </w:r>
    </w:p>
    <w:p w14:paraId="605A6F02" w14:textId="32EA9674" w:rsidR="0098067F" w:rsidRPr="0098067F" w:rsidRDefault="0098067F" w:rsidP="0098067F">
      <w:pPr>
        <w:pStyle w:val="AcknHead"/>
        <w:jc w:val="both"/>
        <w:rPr>
          <w:rFonts w:ascii="Arial" w:hAnsi="Arial" w:cs="Arial"/>
        </w:rPr>
      </w:pPr>
    </w:p>
    <w:p w14:paraId="086177B2" w14:textId="77777777" w:rsidR="0098067F" w:rsidRPr="0098067F" w:rsidRDefault="0098067F" w:rsidP="0098067F">
      <w:pPr>
        <w:pStyle w:val="AcknHead"/>
        <w:spacing w:after="0"/>
        <w:jc w:val="both"/>
        <w:rPr>
          <w:rFonts w:ascii="Arial" w:hAnsi="Arial" w:cs="Arial"/>
          <w:bCs/>
        </w:rPr>
      </w:pPr>
      <w:r w:rsidRPr="0098067F">
        <w:rPr>
          <w:rFonts w:ascii="Arial" w:hAnsi="Arial" w:cs="Arial"/>
          <w:bCs/>
        </w:rPr>
        <w:t>Summary of Manuscript Assistance Provided</w:t>
      </w:r>
    </w:p>
    <w:p w14:paraId="1E39A495" w14:textId="74F2220F" w:rsidR="0098067F" w:rsidRPr="0098067F" w:rsidRDefault="00007F58" w:rsidP="0098067F">
      <w:pPr>
        <w:pStyle w:val="AcknHead"/>
        <w:numPr>
          <w:ilvl w:val="0"/>
          <w:numId w:val="32"/>
        </w:numPr>
        <w:spacing w:after="0"/>
        <w:jc w:val="both"/>
        <w:rPr>
          <w:rFonts w:ascii="Arial" w:hAnsi="Arial" w:cs="Arial"/>
          <w:b w:val="0"/>
        </w:rPr>
      </w:pPr>
      <w:r w:rsidRPr="00007F58">
        <w:rPr>
          <w:rFonts w:ascii="Arial" w:hAnsi="Arial" w:cs="Arial"/>
          <w:b w:val="0"/>
          <w:caps w:val="0"/>
        </w:rPr>
        <w:t>Abstract revision: rewritten for clarity, conciseness, and compliance with reviewer suggestions. Statistical terms (</w:t>
      </w:r>
      <w:proofErr w:type="spellStart"/>
      <w:r w:rsidRPr="00007F58">
        <w:rPr>
          <w:rFonts w:ascii="Arial" w:hAnsi="Arial" w:cs="Arial"/>
          <w:b w:val="0"/>
          <w:caps w:val="0"/>
        </w:rPr>
        <w:t>aor</w:t>
      </w:r>
      <w:proofErr w:type="spellEnd"/>
      <w:r w:rsidRPr="00007F58">
        <w:rPr>
          <w:rFonts w:ascii="Arial" w:hAnsi="Arial" w:cs="Arial"/>
          <w:b w:val="0"/>
          <w:caps w:val="0"/>
        </w:rPr>
        <w:t>, p-values) were briefly defined.</w:t>
      </w:r>
    </w:p>
    <w:p w14:paraId="246BB575" w14:textId="4289B7AB" w:rsidR="0098067F" w:rsidRPr="0098067F" w:rsidRDefault="00007F58" w:rsidP="0098067F">
      <w:pPr>
        <w:pStyle w:val="AcknHead"/>
        <w:numPr>
          <w:ilvl w:val="0"/>
          <w:numId w:val="32"/>
        </w:numPr>
        <w:spacing w:after="0"/>
        <w:jc w:val="both"/>
        <w:rPr>
          <w:rFonts w:ascii="Arial" w:hAnsi="Arial" w:cs="Arial"/>
          <w:b w:val="0"/>
        </w:rPr>
      </w:pPr>
      <w:r w:rsidRPr="00007F58">
        <w:rPr>
          <w:rFonts w:ascii="Arial" w:hAnsi="Arial" w:cs="Arial"/>
          <w:b w:val="0"/>
          <w:caps w:val="0"/>
        </w:rPr>
        <w:t xml:space="preserve">Reference verification: replaced non-existent references with real, verifiable studies in </w:t>
      </w:r>
      <w:proofErr w:type="spellStart"/>
      <w:r w:rsidRPr="00007F58">
        <w:rPr>
          <w:rFonts w:ascii="Arial" w:hAnsi="Arial" w:cs="Arial"/>
          <w:b w:val="0"/>
          <w:caps w:val="0"/>
        </w:rPr>
        <w:t>vancouver</w:t>
      </w:r>
      <w:proofErr w:type="spellEnd"/>
      <w:r w:rsidRPr="00007F58">
        <w:rPr>
          <w:rFonts w:ascii="Arial" w:hAnsi="Arial" w:cs="Arial"/>
          <w:b w:val="0"/>
          <w:caps w:val="0"/>
        </w:rPr>
        <w:t xml:space="preserve"> style, particularly for:</w:t>
      </w:r>
    </w:p>
    <w:p w14:paraId="531D0E5D" w14:textId="23A4D8CA" w:rsidR="0098067F" w:rsidRPr="0098067F" w:rsidRDefault="00007F58" w:rsidP="0098067F">
      <w:pPr>
        <w:pStyle w:val="AcknHead"/>
        <w:numPr>
          <w:ilvl w:val="1"/>
          <w:numId w:val="32"/>
        </w:numPr>
        <w:spacing w:after="0"/>
        <w:jc w:val="both"/>
        <w:rPr>
          <w:rFonts w:ascii="Arial" w:hAnsi="Arial" w:cs="Arial"/>
          <w:b w:val="0"/>
        </w:rPr>
      </w:pPr>
      <w:r w:rsidRPr="00007F58">
        <w:rPr>
          <w:rFonts w:ascii="Arial" w:hAnsi="Arial" w:cs="Arial"/>
          <w:b w:val="0"/>
          <w:caps w:val="0"/>
        </w:rPr>
        <w:t xml:space="preserve">Awareness and compliance in </w:t>
      </w:r>
      <w:proofErr w:type="spellStart"/>
      <w:r w:rsidRPr="00007F58">
        <w:rPr>
          <w:rFonts w:ascii="Arial" w:hAnsi="Arial" w:cs="Arial"/>
          <w:b w:val="0"/>
          <w:caps w:val="0"/>
        </w:rPr>
        <w:t>lmics</w:t>
      </w:r>
      <w:proofErr w:type="spellEnd"/>
    </w:p>
    <w:p w14:paraId="1CBCDCDB" w14:textId="338ACD91" w:rsidR="0098067F" w:rsidRPr="0098067F" w:rsidRDefault="00007F58" w:rsidP="0098067F">
      <w:pPr>
        <w:pStyle w:val="AcknHead"/>
        <w:numPr>
          <w:ilvl w:val="1"/>
          <w:numId w:val="32"/>
        </w:numPr>
        <w:spacing w:after="0"/>
        <w:jc w:val="both"/>
        <w:rPr>
          <w:rFonts w:ascii="Arial" w:hAnsi="Arial" w:cs="Arial"/>
          <w:b w:val="0"/>
        </w:rPr>
      </w:pPr>
      <w:r w:rsidRPr="00007F58">
        <w:rPr>
          <w:rFonts w:ascii="Arial" w:hAnsi="Arial" w:cs="Arial"/>
          <w:b w:val="0"/>
          <w:caps w:val="0"/>
        </w:rPr>
        <w:t>Formal vs informal retail compliance</w:t>
      </w:r>
    </w:p>
    <w:p w14:paraId="14717396" w14:textId="7CF972C0" w:rsidR="0098067F" w:rsidRPr="0098067F" w:rsidRDefault="00007F58" w:rsidP="0098067F">
      <w:pPr>
        <w:pStyle w:val="AcknHead"/>
        <w:numPr>
          <w:ilvl w:val="1"/>
          <w:numId w:val="32"/>
        </w:numPr>
        <w:spacing w:after="0"/>
        <w:jc w:val="both"/>
        <w:rPr>
          <w:rFonts w:ascii="Arial" w:hAnsi="Arial" w:cs="Arial"/>
          <w:b w:val="0"/>
        </w:rPr>
      </w:pPr>
      <w:r w:rsidRPr="00007F58">
        <w:rPr>
          <w:rFonts w:ascii="Arial" w:hAnsi="Arial" w:cs="Arial"/>
          <w:b w:val="0"/>
          <w:caps w:val="0"/>
        </w:rPr>
        <w:t>Enforcement mechanisms and sanctions</w:t>
      </w:r>
    </w:p>
    <w:p w14:paraId="5F6BF38B" w14:textId="04302EED" w:rsidR="0098067F" w:rsidRPr="0098067F" w:rsidRDefault="00007F58" w:rsidP="0098067F">
      <w:pPr>
        <w:pStyle w:val="AcknHead"/>
        <w:numPr>
          <w:ilvl w:val="1"/>
          <w:numId w:val="32"/>
        </w:numPr>
        <w:spacing w:after="0"/>
        <w:jc w:val="both"/>
        <w:rPr>
          <w:rFonts w:ascii="Arial" w:hAnsi="Arial" w:cs="Arial"/>
          <w:b w:val="0"/>
        </w:rPr>
      </w:pPr>
      <w:r w:rsidRPr="00007F58">
        <w:rPr>
          <w:rFonts w:ascii="Arial" w:hAnsi="Arial" w:cs="Arial"/>
          <w:b w:val="0"/>
          <w:caps w:val="0"/>
        </w:rPr>
        <w:t>Shoreline litter reduction studies (</w:t>
      </w:r>
      <w:proofErr w:type="spellStart"/>
      <w:r w:rsidRPr="00007F58">
        <w:rPr>
          <w:rFonts w:ascii="Arial" w:hAnsi="Arial" w:cs="Arial"/>
          <w:b w:val="0"/>
          <w:caps w:val="0"/>
        </w:rPr>
        <w:t>u.s.</w:t>
      </w:r>
      <w:proofErr w:type="spellEnd"/>
      <w:r w:rsidRPr="00007F58">
        <w:rPr>
          <w:rFonts w:ascii="Arial" w:hAnsi="Arial" w:cs="Arial"/>
          <w:b w:val="0"/>
          <w:caps w:val="0"/>
        </w:rPr>
        <w:t>)</w:t>
      </w:r>
    </w:p>
    <w:p w14:paraId="4B6B0239" w14:textId="5072DF65" w:rsidR="0098067F" w:rsidRPr="0098067F" w:rsidRDefault="00007F58" w:rsidP="0098067F">
      <w:pPr>
        <w:pStyle w:val="AcknHead"/>
        <w:numPr>
          <w:ilvl w:val="1"/>
          <w:numId w:val="32"/>
        </w:numPr>
        <w:spacing w:after="0"/>
        <w:jc w:val="both"/>
        <w:rPr>
          <w:rFonts w:ascii="Arial" w:hAnsi="Arial" w:cs="Arial"/>
          <w:b w:val="0"/>
        </w:rPr>
      </w:pPr>
      <w:r w:rsidRPr="00007F58">
        <w:rPr>
          <w:rFonts w:ascii="Arial" w:hAnsi="Arial" w:cs="Arial"/>
          <w:b w:val="0"/>
          <w:caps w:val="0"/>
        </w:rPr>
        <w:t>Role of informal waste sectors (</w:t>
      </w:r>
      <w:proofErr w:type="spellStart"/>
      <w:r w:rsidRPr="00007F58">
        <w:rPr>
          <w:rFonts w:ascii="Arial" w:hAnsi="Arial" w:cs="Arial"/>
          <w:b w:val="0"/>
          <w:caps w:val="0"/>
        </w:rPr>
        <w:t>undp</w:t>
      </w:r>
      <w:proofErr w:type="spellEnd"/>
      <w:r w:rsidRPr="00007F58">
        <w:rPr>
          <w:rFonts w:ascii="Arial" w:hAnsi="Arial" w:cs="Arial"/>
          <w:b w:val="0"/>
          <w:caps w:val="0"/>
        </w:rPr>
        <w:t>/</w:t>
      </w:r>
      <w:proofErr w:type="spellStart"/>
      <w:r w:rsidRPr="00007F58">
        <w:rPr>
          <w:rFonts w:ascii="Arial" w:hAnsi="Arial" w:cs="Arial"/>
          <w:b w:val="0"/>
          <w:caps w:val="0"/>
        </w:rPr>
        <w:t>unep</w:t>
      </w:r>
      <w:proofErr w:type="spellEnd"/>
      <w:r w:rsidRPr="00007F58">
        <w:rPr>
          <w:rFonts w:ascii="Arial" w:hAnsi="Arial" w:cs="Arial"/>
          <w:b w:val="0"/>
          <w:caps w:val="0"/>
        </w:rPr>
        <w:t xml:space="preserve"> reports)</w:t>
      </w:r>
    </w:p>
    <w:p w14:paraId="63411FAB" w14:textId="59A4CD03" w:rsidR="0098067F" w:rsidRPr="0098067F" w:rsidRDefault="00007F58" w:rsidP="0098067F">
      <w:pPr>
        <w:pStyle w:val="AcknHead"/>
        <w:numPr>
          <w:ilvl w:val="0"/>
          <w:numId w:val="32"/>
        </w:numPr>
        <w:spacing w:after="0"/>
        <w:jc w:val="both"/>
        <w:rPr>
          <w:rFonts w:ascii="Arial" w:hAnsi="Arial" w:cs="Arial"/>
          <w:b w:val="0"/>
          <w:bCs/>
        </w:rPr>
      </w:pPr>
      <w:r w:rsidRPr="00007F58">
        <w:rPr>
          <w:rFonts w:ascii="Arial" w:hAnsi="Arial" w:cs="Arial"/>
          <w:b w:val="0"/>
          <w:caps w:val="0"/>
        </w:rPr>
        <w:t xml:space="preserve">Discussion expansion: integrated verified references into discussion, maintaining all original study findings (awareness, formal business </w:t>
      </w:r>
      <w:r w:rsidRPr="00007F58">
        <w:rPr>
          <w:rFonts w:ascii="Arial" w:hAnsi="Arial" w:cs="Arial"/>
          <w:b w:val="0"/>
          <w:caps w:val="0"/>
        </w:rPr>
        <w:lastRenderedPageBreak/>
        <w:t>compliance, enforcement,</w:t>
      </w:r>
      <w:r w:rsidRPr="0098067F">
        <w:rPr>
          <w:rFonts w:ascii="Arial" w:hAnsi="Arial" w:cs="Arial"/>
          <w:caps w:val="0"/>
        </w:rPr>
        <w:t xml:space="preserve"> </w:t>
      </w:r>
      <w:r w:rsidRPr="00007F58">
        <w:rPr>
          <w:rFonts w:ascii="Arial" w:hAnsi="Arial" w:cs="Arial"/>
          <w:b w:val="0"/>
          <w:bCs/>
          <w:caps w:val="0"/>
        </w:rPr>
        <w:t>monitoring, sanctions). Structured to reflect the significance of each predictor of policy success.</w:t>
      </w:r>
    </w:p>
    <w:p w14:paraId="5468D097" w14:textId="1B0F1B35" w:rsidR="0098067F" w:rsidRPr="0098067F" w:rsidRDefault="00007F58" w:rsidP="0098067F">
      <w:pPr>
        <w:pStyle w:val="AcknHead"/>
        <w:numPr>
          <w:ilvl w:val="0"/>
          <w:numId w:val="32"/>
        </w:numPr>
        <w:spacing w:after="0"/>
        <w:jc w:val="both"/>
        <w:rPr>
          <w:rFonts w:ascii="Arial" w:hAnsi="Arial" w:cs="Arial"/>
          <w:b w:val="0"/>
          <w:bCs/>
        </w:rPr>
      </w:pPr>
      <w:r w:rsidRPr="00007F58">
        <w:rPr>
          <w:rFonts w:ascii="Arial" w:hAnsi="Arial" w:cs="Arial"/>
          <w:b w:val="0"/>
          <w:bCs/>
          <w:caps w:val="0"/>
        </w:rPr>
        <w:t>Vancouver-style references with links: provided for all new citations to ensure verification and journal compliance.</w:t>
      </w:r>
    </w:p>
    <w:p w14:paraId="255B2173" w14:textId="77777777" w:rsidR="00486FDB" w:rsidRPr="00007F58" w:rsidRDefault="00486FDB" w:rsidP="00441B6F">
      <w:pPr>
        <w:pStyle w:val="AcknHead"/>
        <w:spacing w:after="0"/>
        <w:jc w:val="both"/>
        <w:rPr>
          <w:rFonts w:ascii="Arial" w:hAnsi="Arial" w:cs="Arial"/>
          <w:b w:val="0"/>
          <w:bCs/>
          <w:caps w:val="0"/>
          <w:sz w:val="20"/>
        </w:rPr>
      </w:pPr>
    </w:p>
    <w:p w14:paraId="3DC4A6D5" w14:textId="77777777" w:rsidR="00536F7F" w:rsidRDefault="00536F7F" w:rsidP="00441B6F">
      <w:pPr>
        <w:pStyle w:val="AcknHead"/>
        <w:spacing w:after="0"/>
        <w:jc w:val="both"/>
        <w:rPr>
          <w:rFonts w:ascii="Arial" w:hAnsi="Arial" w:cs="Arial"/>
          <w:b w:val="0"/>
          <w:caps w:val="0"/>
          <w:sz w:val="20"/>
        </w:rPr>
      </w:pPr>
    </w:p>
    <w:p w14:paraId="09344F76" w14:textId="77777777" w:rsidR="00B61186" w:rsidRDefault="00B61186" w:rsidP="00441B6F">
      <w:pPr>
        <w:pStyle w:val="ReferHead"/>
        <w:spacing w:after="0"/>
        <w:jc w:val="both"/>
        <w:rPr>
          <w:rFonts w:ascii="Arial" w:hAnsi="Arial" w:cs="Arial"/>
          <w:b w:val="0"/>
          <w:caps w:val="0"/>
          <w:sz w:val="20"/>
        </w:rPr>
      </w:pPr>
    </w:p>
    <w:p w14:paraId="513A2A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88D0DE" w14:textId="77777777" w:rsidR="00790ADA" w:rsidRPr="00FB3A86" w:rsidRDefault="00790ADA" w:rsidP="00441B6F">
      <w:pPr>
        <w:pStyle w:val="ReferHead"/>
        <w:spacing w:after="0"/>
        <w:jc w:val="both"/>
        <w:rPr>
          <w:rFonts w:ascii="Arial" w:hAnsi="Arial" w:cs="Arial"/>
        </w:rPr>
      </w:pPr>
    </w:p>
    <w:p w14:paraId="63FC40F4" w14:textId="77777777" w:rsidR="00B61186" w:rsidRDefault="00B61186" w:rsidP="00B61186">
      <w:pPr>
        <w:pStyle w:val="Body"/>
      </w:pPr>
      <w:r>
        <w:t>1.</w:t>
      </w:r>
      <w:r>
        <w:tab/>
        <w:t xml:space="preserve">United Nations Environment </w:t>
      </w:r>
      <w:proofErr w:type="spellStart"/>
      <w:r>
        <w:t>Programme</w:t>
      </w:r>
      <w:proofErr w:type="spellEnd"/>
      <w:r>
        <w:t xml:space="preserve"> (UNEP). Single-use plastics: A roadmap for sustainability. Nairobi: UNEP; 2018.</w:t>
      </w:r>
    </w:p>
    <w:p w14:paraId="2F9A5DCF" w14:textId="77777777" w:rsidR="00840201" w:rsidRDefault="00B61186" w:rsidP="00B61186">
      <w:pPr>
        <w:pStyle w:val="Body"/>
      </w:pPr>
      <w:r>
        <w:t>2.</w:t>
      </w:r>
      <w:r>
        <w:tab/>
      </w:r>
      <w:r w:rsidR="00840201" w:rsidRPr="00840201">
        <w:t>Ritch E, Brennan C, MacLeod M</w:t>
      </w:r>
      <w:r w:rsidR="00840201" w:rsidRPr="00840201">
        <w:rPr>
          <w:b/>
          <w:bCs/>
        </w:rPr>
        <w:t>.</w:t>
      </w:r>
      <w:r w:rsidR="00840201" w:rsidRPr="00840201">
        <w:t xml:space="preserve"> Plastic carrier bags: trends, environmental impacts and options for change. </w:t>
      </w:r>
      <w:r w:rsidR="00840201" w:rsidRPr="00840201">
        <w:rPr>
          <w:i/>
          <w:iCs/>
        </w:rPr>
        <w:t>Resources, Conservation &amp; Recycling.</w:t>
      </w:r>
      <w:r w:rsidR="00840201" w:rsidRPr="00840201">
        <w:t xml:space="preserve"> 2009;55(8):360–368.</w:t>
      </w:r>
    </w:p>
    <w:p w14:paraId="52DCEBA6" w14:textId="0D0C6564" w:rsidR="00B61186" w:rsidRDefault="00B61186" w:rsidP="00B61186">
      <w:pPr>
        <w:pStyle w:val="Body"/>
      </w:pPr>
      <w:r>
        <w:t>3.</w:t>
      </w:r>
      <w:r>
        <w:tab/>
      </w:r>
      <w:proofErr w:type="spellStart"/>
      <w:r>
        <w:t>Freinkel</w:t>
      </w:r>
      <w:proofErr w:type="spellEnd"/>
      <w:r>
        <w:t xml:space="preserve"> S. Plastic: A toxic love story. Boston: Houghton Mifflin Harcourt; 2011.</w:t>
      </w:r>
    </w:p>
    <w:p w14:paraId="00492E34" w14:textId="77777777" w:rsidR="00B61186" w:rsidRDefault="00B61186" w:rsidP="00B61186">
      <w:pPr>
        <w:pStyle w:val="Body"/>
      </w:pPr>
      <w:r>
        <w:t>4.</w:t>
      </w:r>
      <w:r>
        <w:tab/>
        <w:t>Global Press Journal. Cameroon struggles to enforce plastic bag ban as black market supports demand from retailers. Global Press Journal. 2015 Sep 27.</w:t>
      </w:r>
    </w:p>
    <w:p w14:paraId="127E2DC7" w14:textId="77777777" w:rsidR="00B61186" w:rsidRDefault="00B61186" w:rsidP="00B61186">
      <w:pPr>
        <w:pStyle w:val="Body"/>
      </w:pPr>
      <w:r>
        <w:t>5.</w:t>
      </w:r>
      <w:r>
        <w:tab/>
        <w:t>International Pollutants Elimination Network (IPEN). Cameroon country situation report on plastics. IPEN; 2023.</w:t>
      </w:r>
    </w:p>
    <w:p w14:paraId="0DAED735" w14:textId="77777777" w:rsidR="00B61186" w:rsidRDefault="00B61186" w:rsidP="00B61186">
      <w:pPr>
        <w:pStyle w:val="Body"/>
      </w:pPr>
      <w:r>
        <w:t>6.</w:t>
      </w:r>
      <w:r>
        <w:tab/>
      </w:r>
      <w:proofErr w:type="spellStart"/>
      <w:r>
        <w:t>Ojewale</w:t>
      </w:r>
      <w:proofErr w:type="spellEnd"/>
      <w:r>
        <w:t xml:space="preserve"> O. Cross-border smuggling undermines Cameroon's law on non-biodegradable plastic. Africa at LSE. 2022 Sep 8.</w:t>
      </w:r>
    </w:p>
    <w:p w14:paraId="012F1A50" w14:textId="77777777" w:rsidR="00840201" w:rsidRDefault="00B61186" w:rsidP="00B61186">
      <w:pPr>
        <w:pStyle w:val="Body"/>
      </w:pPr>
      <w:r>
        <w:t>7.</w:t>
      </w:r>
      <w:r>
        <w:tab/>
      </w:r>
      <w:r w:rsidR="00840201" w:rsidRPr="00840201">
        <w:t xml:space="preserve">Ntsama J, Ndongo A. Urban Waste Management under Cameroonian Law. </w:t>
      </w:r>
      <w:r w:rsidR="00840201" w:rsidRPr="00840201">
        <w:rPr>
          <w:i/>
          <w:iCs/>
        </w:rPr>
        <w:t>Int J Law Soc</w:t>
      </w:r>
      <w:r w:rsidR="00840201" w:rsidRPr="00840201">
        <w:t xml:space="preserve">. 2025;8(2):58-66. </w:t>
      </w:r>
      <w:proofErr w:type="gramStart"/>
      <w:r w:rsidR="00840201" w:rsidRPr="00840201">
        <w:t>doi:10.11648/j.ijls</w:t>
      </w:r>
      <w:proofErr w:type="gramEnd"/>
      <w:r w:rsidR="00840201" w:rsidRPr="00840201">
        <w:t>.20250802.15.</w:t>
      </w:r>
    </w:p>
    <w:p w14:paraId="3CF34ECB" w14:textId="472568B7" w:rsidR="00B61186" w:rsidRDefault="00B61186" w:rsidP="00B61186">
      <w:pPr>
        <w:pStyle w:val="Body"/>
      </w:pPr>
      <w:r>
        <w:t>8.</w:t>
      </w:r>
      <w:r>
        <w:tab/>
        <w:t xml:space="preserve">Macena MW, Carvalho R, Cruz-Lopes LP, </w:t>
      </w:r>
      <w:proofErr w:type="spellStart"/>
      <w:r>
        <w:t>Guiné</w:t>
      </w:r>
      <w:proofErr w:type="spellEnd"/>
      <w:r>
        <w:t xml:space="preserve"> RP. Plastic food packaging: Perceptions and attitudes of Portuguese consumers about environmental impact and recycling. Sustainability. 2021;13(17):9953.</w:t>
      </w:r>
    </w:p>
    <w:p w14:paraId="5D22A980" w14:textId="77777777" w:rsidR="00B61186" w:rsidRDefault="00B61186" w:rsidP="00B61186">
      <w:pPr>
        <w:pStyle w:val="Body"/>
      </w:pPr>
      <w:r>
        <w:t>9.</w:t>
      </w:r>
      <w:r>
        <w:tab/>
        <w:t xml:space="preserve">Carvalho R, Macena MW, Cruz-Lopes LP, </w:t>
      </w:r>
      <w:proofErr w:type="spellStart"/>
      <w:r>
        <w:t>Guiné</w:t>
      </w:r>
      <w:proofErr w:type="spellEnd"/>
      <w:r>
        <w:t xml:space="preserve"> RP. Consumer knowledge and practices regarding sustainable food packaging in Brazil. Journal of Cleaner Production. </w:t>
      </w:r>
      <w:proofErr w:type="gramStart"/>
      <w:r>
        <w:t>2022;345:131</w:t>
      </w:r>
      <w:proofErr w:type="gramEnd"/>
      <w:r>
        <w:t>-139.</w:t>
      </w:r>
    </w:p>
    <w:p w14:paraId="15CD8B2A" w14:textId="77777777" w:rsidR="00B61186" w:rsidRDefault="00B61186" w:rsidP="00B61186">
      <w:pPr>
        <w:pStyle w:val="Body"/>
      </w:pPr>
      <w:r>
        <w:t>10.</w:t>
      </w:r>
      <w:r>
        <w:tab/>
        <w:t>Mazmanian DA, Sabatier PA. Implementation and public policy. Glenview, IL: Scott, Foresman; 1983.</w:t>
      </w:r>
    </w:p>
    <w:p w14:paraId="584544D3" w14:textId="77777777" w:rsidR="00822F97" w:rsidRDefault="00B61186" w:rsidP="00822F97">
      <w:pPr>
        <w:pStyle w:val="Body"/>
      </w:pPr>
      <w:r>
        <w:t>11.</w:t>
      </w:r>
      <w:r>
        <w:tab/>
      </w:r>
      <w:r w:rsidR="00822F97" w:rsidRPr="00822F97">
        <w:t xml:space="preserve">O’Toole LJ Jr. Research on policy implementation: Assessment and prospects. </w:t>
      </w:r>
      <w:r w:rsidR="00822F97" w:rsidRPr="00822F97">
        <w:rPr>
          <w:i/>
          <w:iCs/>
        </w:rPr>
        <w:t>J Public Adm Res Theory</w:t>
      </w:r>
      <w:r w:rsidR="00822F97" w:rsidRPr="00822F97">
        <w:t xml:space="preserve">. 2000;10(2):263-88. </w:t>
      </w:r>
      <w:proofErr w:type="gramStart"/>
      <w:r w:rsidR="00822F97" w:rsidRPr="00822F97">
        <w:t>doi:10.1093/oxfordjournals.jpart.a</w:t>
      </w:r>
      <w:proofErr w:type="gramEnd"/>
      <w:r w:rsidR="00822F97" w:rsidRPr="00822F97">
        <w:t>024270.</w:t>
      </w:r>
    </w:p>
    <w:p w14:paraId="0B35B2C6" w14:textId="77777777" w:rsidR="00822F97" w:rsidRDefault="00822F97" w:rsidP="00822F97">
      <w:pPr>
        <w:pStyle w:val="Body"/>
      </w:pPr>
      <w:r>
        <w:t xml:space="preserve">12.      </w:t>
      </w:r>
      <w:r w:rsidRPr="00822F97">
        <w:t xml:space="preserve">Meyers DC, Durlak JA, </w:t>
      </w:r>
      <w:proofErr w:type="spellStart"/>
      <w:r w:rsidRPr="00822F97">
        <w:t>Wandersman</w:t>
      </w:r>
      <w:proofErr w:type="spellEnd"/>
      <w:r w:rsidRPr="00822F97">
        <w:t xml:space="preserve"> A. The Quality Implementation Framework: a synthesis of critical steps in the implementation process. </w:t>
      </w:r>
      <w:r w:rsidRPr="00822F97">
        <w:rPr>
          <w:i/>
          <w:iCs/>
        </w:rPr>
        <w:t>Am J Community Psychol</w:t>
      </w:r>
      <w:r w:rsidRPr="00822F97">
        <w:t>. 2012;50(3-4):462-80. doi:10.1007/s10464-012-9522-x.</w:t>
      </w:r>
    </w:p>
    <w:p w14:paraId="7B723A37" w14:textId="3233348C" w:rsidR="00822F97" w:rsidRPr="00822F97" w:rsidRDefault="00822F97" w:rsidP="00822F97">
      <w:pPr>
        <w:pStyle w:val="Body"/>
      </w:pPr>
      <w:r>
        <w:t xml:space="preserve">13        </w:t>
      </w:r>
      <w:r w:rsidRPr="00822F97">
        <w:t xml:space="preserve">Nilsen P. Making sense of implementation theories, models and frameworks. </w:t>
      </w:r>
      <w:r w:rsidRPr="00822F97">
        <w:rPr>
          <w:i/>
          <w:iCs/>
        </w:rPr>
        <w:t>Implement Sci</w:t>
      </w:r>
      <w:r w:rsidRPr="00822F97">
        <w:t xml:space="preserve">. </w:t>
      </w:r>
      <w:proofErr w:type="gramStart"/>
      <w:r w:rsidRPr="00822F97">
        <w:t>2015;10:53</w:t>
      </w:r>
      <w:proofErr w:type="gramEnd"/>
      <w:r w:rsidRPr="00822F97">
        <w:t xml:space="preserve">. doi:10.1186/s13012-015-0242-0. </w:t>
      </w:r>
    </w:p>
    <w:p w14:paraId="683049BD" w14:textId="25DE8E1D" w:rsidR="00822F97" w:rsidRPr="00822F97" w:rsidRDefault="00822F97" w:rsidP="00822F97">
      <w:pPr>
        <w:pStyle w:val="Body"/>
      </w:pPr>
      <w:r>
        <w:lastRenderedPageBreak/>
        <w:t xml:space="preserve">14.       </w:t>
      </w:r>
      <w:r w:rsidRPr="00822F97">
        <w:t xml:space="preserve">Greenhalgh T, Robert G, Macfarlane F, Bate P, Kyriakidou O. Diffusion of innovations in service organizations: systematic review and recommendations. </w:t>
      </w:r>
      <w:r w:rsidRPr="00822F97">
        <w:rPr>
          <w:i/>
          <w:iCs/>
        </w:rPr>
        <w:t>Milbank Q</w:t>
      </w:r>
      <w:r w:rsidRPr="00822F97">
        <w:t>. 2004;82(4):581-629. doi:10.1111/j.0887-378X.2004.</w:t>
      </w:r>
      <w:proofErr w:type="gramStart"/>
      <w:r w:rsidRPr="00822F97">
        <w:t>00325.x.</w:t>
      </w:r>
      <w:proofErr w:type="gramEnd"/>
      <w:r w:rsidRPr="00822F97">
        <w:t xml:space="preserve"> </w:t>
      </w:r>
    </w:p>
    <w:p w14:paraId="1F89B7F2" w14:textId="5D417E0A" w:rsidR="00822F97" w:rsidRPr="00822F97" w:rsidRDefault="00822F97" w:rsidP="00822F97">
      <w:pPr>
        <w:pStyle w:val="Body"/>
      </w:pPr>
      <w:r>
        <w:t xml:space="preserve">15.      </w:t>
      </w:r>
      <w:r w:rsidRPr="00822F97">
        <w:t xml:space="preserve">Thompson RC, Moore CJ, </w:t>
      </w:r>
      <w:proofErr w:type="spellStart"/>
      <w:r w:rsidRPr="00822F97">
        <w:t>vom</w:t>
      </w:r>
      <w:proofErr w:type="spellEnd"/>
      <w:r w:rsidRPr="00822F97">
        <w:t xml:space="preserve"> Saal FS, Swan SH. Plastics, the environment and human health: current consensus and future trends. </w:t>
      </w:r>
      <w:proofErr w:type="spellStart"/>
      <w:r w:rsidRPr="00822F97">
        <w:rPr>
          <w:i/>
          <w:iCs/>
        </w:rPr>
        <w:t>Philos</w:t>
      </w:r>
      <w:proofErr w:type="spellEnd"/>
      <w:r w:rsidRPr="00822F97">
        <w:rPr>
          <w:i/>
          <w:iCs/>
        </w:rPr>
        <w:t xml:space="preserve"> Trans R Soc Lond B Biol Sci</w:t>
      </w:r>
      <w:r w:rsidRPr="00822F97">
        <w:t xml:space="preserve">. 2009;364(1526):2153-66. doi:10.1098/rstb.2009.0053. </w:t>
      </w:r>
    </w:p>
    <w:p w14:paraId="0162820E" w14:textId="6D6C0611" w:rsidR="00822F97" w:rsidRPr="00822F97" w:rsidRDefault="00822F97" w:rsidP="00822F97">
      <w:pPr>
        <w:pStyle w:val="Body"/>
      </w:pPr>
      <w:r>
        <w:t xml:space="preserve">16.           </w:t>
      </w:r>
      <w:proofErr w:type="spellStart"/>
      <w:r w:rsidRPr="00822F97">
        <w:t>Muncke</w:t>
      </w:r>
      <w:proofErr w:type="spellEnd"/>
      <w:r w:rsidRPr="00822F97">
        <w:t xml:space="preserve"> J. Tackling the toxics in plastics packaging. </w:t>
      </w:r>
      <w:proofErr w:type="spellStart"/>
      <w:r w:rsidRPr="00822F97">
        <w:rPr>
          <w:i/>
          <w:iCs/>
        </w:rPr>
        <w:t>PLoS</w:t>
      </w:r>
      <w:proofErr w:type="spellEnd"/>
      <w:r w:rsidRPr="00822F97">
        <w:rPr>
          <w:i/>
          <w:iCs/>
        </w:rPr>
        <w:t xml:space="preserve"> Biol</w:t>
      </w:r>
      <w:r w:rsidRPr="00822F97">
        <w:t>. 2021;19(3</w:t>
      </w:r>
      <w:proofErr w:type="gramStart"/>
      <w:r w:rsidRPr="00822F97">
        <w:t>):e</w:t>
      </w:r>
      <w:proofErr w:type="gramEnd"/>
      <w:r w:rsidRPr="00822F97">
        <w:t xml:space="preserve">3000961. </w:t>
      </w:r>
      <w:proofErr w:type="gramStart"/>
      <w:r w:rsidRPr="00822F97">
        <w:t>doi:10.1371/journal.pbio</w:t>
      </w:r>
      <w:proofErr w:type="gramEnd"/>
      <w:r w:rsidRPr="00822F97">
        <w:t>.3000961.</w:t>
      </w:r>
    </w:p>
    <w:p w14:paraId="3B23FCF9" w14:textId="67DD2B7C" w:rsidR="00822F97" w:rsidRPr="00822F97" w:rsidRDefault="00822F97" w:rsidP="00822F97">
      <w:pPr>
        <w:pStyle w:val="Body"/>
      </w:pPr>
      <w:r>
        <w:t xml:space="preserve">17.        </w:t>
      </w:r>
      <w:r w:rsidRPr="00822F97">
        <w:t xml:space="preserve">Zimmermann L, Dierkes G, Ternes TA, Völker C, Wagner M. Plastic products leach chemicals that induce in vitro toxicity under realistic use conditions. </w:t>
      </w:r>
      <w:r w:rsidRPr="00822F97">
        <w:rPr>
          <w:i/>
          <w:iCs/>
        </w:rPr>
        <w:t>Sci Total Environ</w:t>
      </w:r>
      <w:r w:rsidRPr="00822F97">
        <w:t xml:space="preserve">. </w:t>
      </w:r>
      <w:proofErr w:type="gramStart"/>
      <w:r w:rsidRPr="00822F97">
        <w:t>2021;757:143872</w:t>
      </w:r>
      <w:proofErr w:type="gramEnd"/>
      <w:r w:rsidRPr="00822F97">
        <w:t xml:space="preserve">. </w:t>
      </w:r>
      <w:proofErr w:type="gramStart"/>
      <w:r w:rsidRPr="00822F97">
        <w:t>doi:10.1016/j.scitotenv</w:t>
      </w:r>
      <w:proofErr w:type="gramEnd"/>
      <w:r w:rsidRPr="00822F97">
        <w:t xml:space="preserve">.2020.143872. </w:t>
      </w:r>
    </w:p>
    <w:p w14:paraId="6EACA489" w14:textId="5108FE7C" w:rsidR="00822F97" w:rsidRDefault="00822F97" w:rsidP="00822F97">
      <w:pPr>
        <w:pStyle w:val="Body"/>
      </w:pPr>
      <w:r>
        <w:t xml:space="preserve">18.        </w:t>
      </w:r>
      <w:r w:rsidRPr="00822F97">
        <w:t xml:space="preserve">Alamri SA, Alsulami MD, Alghamdi SA, </w:t>
      </w:r>
      <w:proofErr w:type="spellStart"/>
      <w:r w:rsidRPr="00822F97">
        <w:t>Alabbad</w:t>
      </w:r>
      <w:proofErr w:type="spellEnd"/>
      <w:r w:rsidRPr="00822F97">
        <w:t xml:space="preserve"> DA, Al-Eid SM, </w:t>
      </w:r>
      <w:proofErr w:type="spellStart"/>
      <w:r w:rsidRPr="00822F97">
        <w:t>Alsubaie</w:t>
      </w:r>
      <w:proofErr w:type="spellEnd"/>
      <w:r w:rsidRPr="00822F97">
        <w:t xml:space="preserve"> NA, et al. Food packaging’s materials: a food safety perspective. </w:t>
      </w:r>
      <w:r w:rsidRPr="00822F97">
        <w:rPr>
          <w:i/>
          <w:iCs/>
        </w:rPr>
        <w:t>Food Control</w:t>
      </w:r>
      <w:r w:rsidRPr="00822F97">
        <w:t xml:space="preserve">. </w:t>
      </w:r>
      <w:proofErr w:type="gramStart"/>
      <w:r w:rsidRPr="00822F97">
        <w:t>2021;121:107639</w:t>
      </w:r>
      <w:proofErr w:type="gramEnd"/>
      <w:r w:rsidRPr="00822F97">
        <w:t xml:space="preserve">. </w:t>
      </w:r>
      <w:proofErr w:type="gramStart"/>
      <w:r w:rsidRPr="00822F97">
        <w:t>doi:10.1016/j.foodcont</w:t>
      </w:r>
      <w:proofErr w:type="gramEnd"/>
      <w:r w:rsidRPr="00822F97">
        <w:t xml:space="preserve">.2020.107639. </w:t>
      </w:r>
    </w:p>
    <w:p w14:paraId="6857998B" w14:textId="47686B68" w:rsidR="00822F97" w:rsidRPr="00822F97" w:rsidRDefault="00822F97" w:rsidP="00822F97">
      <w:pPr>
        <w:pStyle w:val="Body"/>
      </w:pPr>
      <w:r>
        <w:t xml:space="preserve">19.          </w:t>
      </w:r>
      <w:r w:rsidRPr="00822F97">
        <w:t>Groh KJ, Backhaus T, Carney-</w:t>
      </w:r>
      <w:proofErr w:type="spellStart"/>
      <w:r w:rsidRPr="00822F97">
        <w:t>Almroth</w:t>
      </w:r>
      <w:proofErr w:type="spellEnd"/>
      <w:r w:rsidRPr="00822F97">
        <w:t xml:space="preserve"> B, </w:t>
      </w:r>
      <w:proofErr w:type="spellStart"/>
      <w:r w:rsidRPr="00822F97">
        <w:t>Geueke</w:t>
      </w:r>
      <w:proofErr w:type="spellEnd"/>
      <w:r w:rsidRPr="00822F97">
        <w:t xml:space="preserve"> B, Inostroza PA, Lennquist A, et al. Overview of known plastic packaging-associated chemicals and their hazards. </w:t>
      </w:r>
      <w:r w:rsidRPr="00822F97">
        <w:rPr>
          <w:i/>
          <w:iCs/>
        </w:rPr>
        <w:t>Sci Total Environ</w:t>
      </w:r>
      <w:r w:rsidRPr="00822F97">
        <w:t xml:space="preserve">. </w:t>
      </w:r>
      <w:proofErr w:type="gramStart"/>
      <w:r w:rsidRPr="00822F97">
        <w:t>2019;651:3253</w:t>
      </w:r>
      <w:proofErr w:type="gramEnd"/>
      <w:r w:rsidRPr="00822F97">
        <w:t xml:space="preserve">–68. </w:t>
      </w:r>
      <w:proofErr w:type="gramStart"/>
      <w:r w:rsidRPr="00822F97">
        <w:t>doi:10.1016/j.scitotenv</w:t>
      </w:r>
      <w:proofErr w:type="gramEnd"/>
      <w:r w:rsidRPr="00822F97">
        <w:t>.2018.10.015.</w:t>
      </w:r>
    </w:p>
    <w:p w14:paraId="301A7988" w14:textId="56135DD0" w:rsidR="00B61186" w:rsidRDefault="00B61186" w:rsidP="00B61186">
      <w:pPr>
        <w:pStyle w:val="Body"/>
      </w:pPr>
      <w:r>
        <w:t>2</w:t>
      </w:r>
      <w:r w:rsidR="00761274">
        <w:t>0</w:t>
      </w:r>
      <w:r>
        <w:t>.</w:t>
      </w:r>
      <w:r>
        <w:tab/>
      </w:r>
      <w:proofErr w:type="spellStart"/>
      <w:r>
        <w:t>Muposhi</w:t>
      </w:r>
      <w:proofErr w:type="spellEnd"/>
      <w:r>
        <w:t xml:space="preserve"> A, </w:t>
      </w:r>
      <w:proofErr w:type="spellStart"/>
      <w:r>
        <w:t>Muposhi</w:t>
      </w:r>
      <w:proofErr w:type="spellEnd"/>
      <w:r>
        <w:t xml:space="preserve"> V, </w:t>
      </w:r>
      <w:proofErr w:type="spellStart"/>
      <w:r>
        <w:t>Kujinga</w:t>
      </w:r>
      <w:proofErr w:type="spellEnd"/>
      <w:r>
        <w:t xml:space="preserve"> K, Chigumira T. Considerations, benefits and unintended consequences of banning plastic bags: A systematic review. </w:t>
      </w:r>
      <w:proofErr w:type="spellStart"/>
      <w:r>
        <w:t>PLoS</w:t>
      </w:r>
      <w:proofErr w:type="spellEnd"/>
      <w:r>
        <w:t xml:space="preserve"> One. 2021;16(9</w:t>
      </w:r>
      <w:proofErr w:type="gramStart"/>
      <w:r>
        <w:t>):e</w:t>
      </w:r>
      <w:proofErr w:type="gramEnd"/>
      <w:r>
        <w:t>0256276.</w:t>
      </w:r>
    </w:p>
    <w:p w14:paraId="07F83D96" w14:textId="45373FB5" w:rsidR="00156A34" w:rsidRDefault="00156A34" w:rsidP="00B61186">
      <w:pPr>
        <w:pStyle w:val="Body"/>
      </w:pPr>
      <w:r>
        <w:t xml:space="preserve">21.      </w:t>
      </w:r>
      <w:proofErr w:type="spellStart"/>
      <w:r w:rsidRPr="00156A34">
        <w:t>Jambeck</w:t>
      </w:r>
      <w:proofErr w:type="spellEnd"/>
      <w:r w:rsidRPr="00156A34">
        <w:t xml:space="preserve">, J.R., Geyer, R., Wilcox, C., Siegler, T.R., Perryman, M., </w:t>
      </w:r>
      <w:proofErr w:type="spellStart"/>
      <w:r w:rsidRPr="00156A34">
        <w:t>Andrady</w:t>
      </w:r>
      <w:proofErr w:type="spellEnd"/>
      <w:r w:rsidRPr="00156A34">
        <w:t xml:space="preserve">, A., &amp; Narayan, R. (2015). Plastic waste inputs from land into the ocean. </w:t>
      </w:r>
      <w:r w:rsidRPr="00156A34">
        <w:rPr>
          <w:i/>
          <w:iCs/>
        </w:rPr>
        <w:t>Science</w:t>
      </w:r>
      <w:r w:rsidRPr="00156A34">
        <w:t>, 347(6223), 768–771.</w:t>
      </w:r>
    </w:p>
    <w:p w14:paraId="02B5296E" w14:textId="79933803" w:rsidR="00B61186" w:rsidRDefault="00B61186" w:rsidP="00B61186">
      <w:pPr>
        <w:pStyle w:val="Body"/>
      </w:pPr>
      <w:r>
        <w:t>2</w:t>
      </w:r>
      <w:r w:rsidR="00156A34">
        <w:t>2</w:t>
      </w:r>
      <w:r>
        <w:t>.</w:t>
      </w:r>
      <w:r>
        <w:tab/>
        <w:t xml:space="preserve">Bharadwaj B, Khandelwal P, Chaudhary S. Retailers’ characteristics and compliance with single-use plastic bag bans. Environ Sci Policy. </w:t>
      </w:r>
      <w:proofErr w:type="gramStart"/>
      <w:r>
        <w:t>2023;141:56</w:t>
      </w:r>
      <w:proofErr w:type="gramEnd"/>
      <w:r>
        <w:t>-64.</w:t>
      </w:r>
    </w:p>
    <w:p w14:paraId="7B031E53" w14:textId="59C83BC1" w:rsidR="00B61186" w:rsidRDefault="00B61186" w:rsidP="00B61186">
      <w:pPr>
        <w:pStyle w:val="Body"/>
      </w:pPr>
      <w:r>
        <w:t>2</w:t>
      </w:r>
      <w:r w:rsidR="00156A34">
        <w:t>3</w:t>
      </w:r>
      <w:r>
        <w:t>.</w:t>
      </w:r>
      <w:r>
        <w:tab/>
        <w:t xml:space="preserve">United Nations Environment </w:t>
      </w:r>
      <w:proofErr w:type="spellStart"/>
      <w:r>
        <w:t>Programme</w:t>
      </w:r>
      <w:proofErr w:type="spellEnd"/>
      <w:r>
        <w:t xml:space="preserve"> (UNEP). Côte d’Ivoire sets sights on plastic pollution. UNEP News Report. 2023 May 31.</w:t>
      </w:r>
    </w:p>
    <w:p w14:paraId="41AF4D4A" w14:textId="0627465F" w:rsidR="00B61186" w:rsidRDefault="00B61186" w:rsidP="00B61186">
      <w:pPr>
        <w:pStyle w:val="Body"/>
      </w:pPr>
      <w:r>
        <w:t>2</w:t>
      </w:r>
      <w:r w:rsidR="00156A34">
        <w:t>4</w:t>
      </w:r>
      <w:r>
        <w:t>.</w:t>
      </w:r>
      <w:r>
        <w:tab/>
      </w:r>
      <w:proofErr w:type="spellStart"/>
      <w:r>
        <w:t>Behuria</w:t>
      </w:r>
      <w:proofErr w:type="spellEnd"/>
      <w:r>
        <w:t xml:space="preserve"> P. Ban the (plastic) bag? Explaining variation in adoption and implementation of plastic bag bans. Environ Policy Gov. 2021;31(1):3-16.</w:t>
      </w:r>
    </w:p>
    <w:p w14:paraId="26AEEC56" w14:textId="18B202B5" w:rsidR="00156A34" w:rsidRDefault="00156A34" w:rsidP="00B61186">
      <w:pPr>
        <w:pStyle w:val="Body"/>
      </w:pPr>
      <w:r>
        <w:t xml:space="preserve">25.        </w:t>
      </w:r>
      <w:r w:rsidRPr="00156A34">
        <w:t xml:space="preserve">Kabir, G. (2023). Policy failure in plastic ban enforcement: A political economy analysis. </w:t>
      </w:r>
      <w:r w:rsidRPr="00156A34">
        <w:rPr>
          <w:i/>
          <w:iCs/>
        </w:rPr>
        <w:t>Environmental Policy and Governance</w:t>
      </w:r>
      <w:r w:rsidRPr="00156A34">
        <w:t>, 33(4), 295–308.</w:t>
      </w:r>
    </w:p>
    <w:p w14:paraId="0BBF1943" w14:textId="43B7F4A5" w:rsidR="00C77870" w:rsidRDefault="00B61186" w:rsidP="00B61186">
      <w:pPr>
        <w:pStyle w:val="Body"/>
      </w:pPr>
      <w:r>
        <w:t>2</w:t>
      </w:r>
      <w:r w:rsidR="00156A34">
        <w:t>6</w:t>
      </w:r>
      <w:r>
        <w:t>.</w:t>
      </w:r>
      <w:r>
        <w:tab/>
      </w:r>
      <w:r w:rsidR="00C77870" w:rsidRPr="00C77870">
        <w:t>Oremus K, Papp A. Plastic bag policies mitigate shoreline debris: analysis of over 45,000 cleanups across the United States. Science. 2025 Jan 17;387(6713):269-74. doi:10.1126/</w:t>
      </w:r>
      <w:proofErr w:type="gramStart"/>
      <w:r w:rsidR="00C77870" w:rsidRPr="00C77870">
        <w:t>science.adj</w:t>
      </w:r>
      <w:proofErr w:type="gramEnd"/>
      <w:r w:rsidR="00C77870" w:rsidRPr="00C77870">
        <w:t>1234. PMID:40536984.</w:t>
      </w:r>
    </w:p>
    <w:p w14:paraId="7452D4B8" w14:textId="101F1D63" w:rsidR="00B61186" w:rsidRDefault="00B61186" w:rsidP="00B61186">
      <w:pPr>
        <w:pStyle w:val="Body"/>
      </w:pPr>
      <w:r>
        <w:t>2</w:t>
      </w:r>
      <w:r w:rsidR="00156A34">
        <w:t>7</w:t>
      </w:r>
      <w:r>
        <w:t>.</w:t>
      </w:r>
      <w:r>
        <w:tab/>
        <w:t xml:space="preserve">Azhar M. Enforcement and effectiveness of ban on the use of plastic bags: A knowledge-attitude-practice (KAP) study. J Environ Manage. </w:t>
      </w:r>
      <w:proofErr w:type="gramStart"/>
      <w:r>
        <w:t>2018;214:157</w:t>
      </w:r>
      <w:proofErr w:type="gramEnd"/>
      <w:r>
        <w:t>-64.</w:t>
      </w:r>
    </w:p>
    <w:p w14:paraId="08A4512F" w14:textId="4E1D63CB" w:rsidR="00B01FCD" w:rsidRPr="00FB3A86" w:rsidRDefault="00B61186" w:rsidP="00B61186">
      <w:pPr>
        <w:pStyle w:val="Body"/>
        <w:spacing w:after="0"/>
        <w:rPr>
          <w:rFonts w:ascii="Arial" w:hAnsi="Arial" w:cs="Arial"/>
          <w:b/>
        </w:rPr>
      </w:pPr>
      <w:r>
        <w:t>2</w:t>
      </w:r>
      <w:r w:rsidR="00156A34">
        <w:t>8</w:t>
      </w:r>
      <w:r>
        <w:t>.</w:t>
      </w:r>
      <w:r>
        <w:tab/>
        <w:t>Times of India. Banned 7 years ago, single-use plastic bags still flood Nagpur. Times India. 2025 Jan 10.</w:t>
      </w:r>
    </w:p>
    <w:sectPr w:rsidR="00B01FCD" w:rsidRPr="00FB3A86" w:rsidSect="009C0AB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EF25" w14:textId="77777777" w:rsidR="00F63FC3" w:rsidRDefault="00F63FC3" w:rsidP="00C37E61">
      <w:r>
        <w:separator/>
      </w:r>
    </w:p>
  </w:endnote>
  <w:endnote w:type="continuationSeparator" w:id="0">
    <w:p w14:paraId="57BCAE65" w14:textId="77777777" w:rsidR="00F63FC3" w:rsidRDefault="00F63F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8B65" w14:textId="77777777" w:rsidR="009C0AB2" w:rsidRDefault="009C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50DA" w14:textId="7A27ECB4" w:rsidR="00C37E61" w:rsidRPr="00D10C4E" w:rsidRDefault="00C37E61" w:rsidP="00D10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9D7E" w14:textId="77777777" w:rsidR="009E048A" w:rsidRDefault="009E048A">
    <w:pPr>
      <w:pStyle w:val="Footer"/>
      <w:rPr>
        <w:rFonts w:ascii="Arial" w:hAnsi="Arial" w:cs="Arial"/>
        <w:sz w:val="16"/>
      </w:rPr>
    </w:pPr>
  </w:p>
  <w:p w14:paraId="1A36EBC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00E938" w14:textId="77777777" w:rsidR="009E048A" w:rsidRDefault="009E048A">
    <w:pPr>
      <w:pStyle w:val="Footer"/>
      <w:rPr>
        <w:rFonts w:ascii="Arial" w:hAnsi="Arial" w:cs="Arial"/>
        <w:sz w:val="16"/>
      </w:rPr>
    </w:pPr>
  </w:p>
  <w:p w14:paraId="65FFE9B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9C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C051" w14:textId="77777777" w:rsidR="00F63FC3" w:rsidRDefault="00F63FC3" w:rsidP="00C37E61">
      <w:r>
        <w:separator/>
      </w:r>
    </w:p>
  </w:footnote>
  <w:footnote w:type="continuationSeparator" w:id="0">
    <w:p w14:paraId="45B0EA99" w14:textId="77777777" w:rsidR="00F63FC3" w:rsidRDefault="00F63F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F94" w14:textId="7B5D244C" w:rsidR="009C0AB2" w:rsidRDefault="00000000">
    <w:pPr>
      <w:pStyle w:val="Header"/>
    </w:pPr>
    <w:r>
      <w:rPr>
        <w:noProof/>
      </w:rPr>
      <w:pict w14:anchorId="5542B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350A" w14:textId="5167BCCA" w:rsidR="009C0AB2" w:rsidRDefault="00000000">
    <w:pPr>
      <w:pStyle w:val="Header"/>
    </w:pPr>
    <w:r>
      <w:rPr>
        <w:noProof/>
      </w:rPr>
      <w:pict w14:anchorId="3B4B4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A71" w14:textId="40C40BBC" w:rsidR="00296529" w:rsidRPr="00296529" w:rsidRDefault="00000000" w:rsidP="00296529">
    <w:pPr>
      <w:ind w:left="2160"/>
      <w:jc w:val="center"/>
      <w:rPr>
        <w:rFonts w:ascii="Times New Roman" w:eastAsia="Calibri" w:hAnsi="Times New Roman"/>
        <w:i/>
        <w:sz w:val="18"/>
        <w:szCs w:val="22"/>
      </w:rPr>
    </w:pPr>
    <w:r>
      <w:rPr>
        <w:noProof/>
      </w:rPr>
      <w:pict w14:anchorId="4110E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FA22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0301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64F1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80E6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0948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2A29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F20B" w14:textId="29DCEA23" w:rsidR="009C0AB2" w:rsidRDefault="00000000">
    <w:pPr>
      <w:pStyle w:val="Header"/>
    </w:pPr>
    <w:r>
      <w:rPr>
        <w:noProof/>
      </w:rPr>
      <w:pict w14:anchorId="53136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3420" w14:textId="458C35C8" w:rsidR="009C0AB2" w:rsidRDefault="00000000">
    <w:pPr>
      <w:pStyle w:val="Header"/>
    </w:pPr>
    <w:r>
      <w:rPr>
        <w:noProof/>
      </w:rPr>
      <w:pict w14:anchorId="0BA4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11F1" w14:textId="6B438302" w:rsidR="009C0AB2" w:rsidRDefault="00000000">
    <w:pPr>
      <w:pStyle w:val="Header"/>
    </w:pPr>
    <w:r>
      <w:rPr>
        <w:noProof/>
      </w:rPr>
      <w:pict w14:anchorId="0CBA8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C73AC3"/>
    <w:multiLevelType w:val="multilevel"/>
    <w:tmpl w:val="0674F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64197"/>
    <w:multiLevelType w:val="multilevel"/>
    <w:tmpl w:val="F844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824097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3669822">
    <w:abstractNumId w:val="16"/>
  </w:num>
  <w:num w:numId="3" w16cid:durableId="844904625">
    <w:abstractNumId w:val="25"/>
  </w:num>
  <w:num w:numId="4" w16cid:durableId="205588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9099929">
    <w:abstractNumId w:val="7"/>
  </w:num>
  <w:num w:numId="6" w16cid:durableId="2097044946">
    <w:abstractNumId w:val="6"/>
  </w:num>
  <w:num w:numId="7" w16cid:durableId="1562056429">
    <w:abstractNumId w:val="1"/>
  </w:num>
  <w:num w:numId="8" w16cid:durableId="198275856">
    <w:abstractNumId w:val="12"/>
  </w:num>
  <w:num w:numId="9" w16cid:durableId="131019318">
    <w:abstractNumId w:val="27"/>
  </w:num>
  <w:num w:numId="10" w16cid:durableId="890115862">
    <w:abstractNumId w:val="2"/>
  </w:num>
  <w:num w:numId="11" w16cid:durableId="1987004891">
    <w:abstractNumId w:val="19"/>
  </w:num>
  <w:num w:numId="12" w16cid:durableId="1154685189">
    <w:abstractNumId w:val="3"/>
  </w:num>
  <w:num w:numId="13" w16cid:durableId="415631140">
    <w:abstractNumId w:val="18"/>
  </w:num>
  <w:num w:numId="14" w16cid:durableId="1591355222">
    <w:abstractNumId w:val="8"/>
  </w:num>
  <w:num w:numId="15" w16cid:durableId="1737896736">
    <w:abstractNumId w:val="23"/>
  </w:num>
  <w:num w:numId="16" w16cid:durableId="1224947348">
    <w:abstractNumId w:val="5"/>
  </w:num>
  <w:num w:numId="17" w16cid:durableId="218519497">
    <w:abstractNumId w:val="24"/>
  </w:num>
  <w:num w:numId="18" w16cid:durableId="1556812471">
    <w:abstractNumId w:val="14"/>
  </w:num>
  <w:num w:numId="19" w16cid:durableId="1060831957">
    <w:abstractNumId w:val="30"/>
  </w:num>
  <w:num w:numId="20" w16cid:durableId="31350382">
    <w:abstractNumId w:val="11"/>
  </w:num>
  <w:num w:numId="21" w16cid:durableId="1698702255">
    <w:abstractNumId w:val="9"/>
  </w:num>
  <w:num w:numId="22" w16cid:durableId="709189100">
    <w:abstractNumId w:val="13"/>
  </w:num>
  <w:num w:numId="23" w16cid:durableId="288096595">
    <w:abstractNumId w:val="20"/>
  </w:num>
  <w:num w:numId="24" w16cid:durableId="1964920460">
    <w:abstractNumId w:val="28"/>
  </w:num>
  <w:num w:numId="25" w16cid:durableId="1372802326">
    <w:abstractNumId w:val="4"/>
  </w:num>
  <w:num w:numId="26" w16cid:durableId="1235778328">
    <w:abstractNumId w:val="17"/>
  </w:num>
  <w:num w:numId="27" w16cid:durableId="1536846165">
    <w:abstractNumId w:val="21"/>
  </w:num>
  <w:num w:numId="28" w16cid:durableId="1062675776">
    <w:abstractNumId w:val="29"/>
  </w:num>
  <w:num w:numId="29" w16cid:durableId="321081433">
    <w:abstractNumId w:val="26"/>
  </w:num>
  <w:num w:numId="30" w16cid:durableId="2090271685">
    <w:abstractNumId w:val="10"/>
  </w:num>
  <w:num w:numId="31" w16cid:durableId="576093345">
    <w:abstractNumId w:val="15"/>
  </w:num>
  <w:num w:numId="32" w16cid:durableId="10285992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F58"/>
    <w:rsid w:val="00030174"/>
    <w:rsid w:val="0004579C"/>
    <w:rsid w:val="000A47FA"/>
    <w:rsid w:val="000A65D3"/>
    <w:rsid w:val="000B1E33"/>
    <w:rsid w:val="000D689F"/>
    <w:rsid w:val="000E4041"/>
    <w:rsid w:val="000E7B7B"/>
    <w:rsid w:val="000E7D62"/>
    <w:rsid w:val="00103357"/>
    <w:rsid w:val="00123C9F"/>
    <w:rsid w:val="0012415F"/>
    <w:rsid w:val="00126190"/>
    <w:rsid w:val="00130F17"/>
    <w:rsid w:val="001320BF"/>
    <w:rsid w:val="00156A34"/>
    <w:rsid w:val="001628E0"/>
    <w:rsid w:val="00163BC4"/>
    <w:rsid w:val="00191062"/>
    <w:rsid w:val="00192B72"/>
    <w:rsid w:val="001A29D8"/>
    <w:rsid w:val="001A5CAA"/>
    <w:rsid w:val="001B0427"/>
    <w:rsid w:val="001D3A51"/>
    <w:rsid w:val="001E10D2"/>
    <w:rsid w:val="001E25B4"/>
    <w:rsid w:val="001E44FE"/>
    <w:rsid w:val="001F420C"/>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DAD"/>
    <w:rsid w:val="002C57D2"/>
    <w:rsid w:val="002E0D56"/>
    <w:rsid w:val="00315186"/>
    <w:rsid w:val="0033343E"/>
    <w:rsid w:val="00350CFB"/>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39A"/>
    <w:rsid w:val="00441B6F"/>
    <w:rsid w:val="00446221"/>
    <w:rsid w:val="00450E62"/>
    <w:rsid w:val="004539DB"/>
    <w:rsid w:val="00471A80"/>
    <w:rsid w:val="00486FDB"/>
    <w:rsid w:val="004D305E"/>
    <w:rsid w:val="004D4277"/>
    <w:rsid w:val="00502516"/>
    <w:rsid w:val="00505DDD"/>
    <w:rsid w:val="00505F06"/>
    <w:rsid w:val="00506828"/>
    <w:rsid w:val="0053056E"/>
    <w:rsid w:val="00536F7F"/>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7BF"/>
    <w:rsid w:val="006B57D0"/>
    <w:rsid w:val="006D30FF"/>
    <w:rsid w:val="006D6940"/>
    <w:rsid w:val="006E5138"/>
    <w:rsid w:val="006F11EC"/>
    <w:rsid w:val="0070082C"/>
    <w:rsid w:val="007369E6"/>
    <w:rsid w:val="00746E59"/>
    <w:rsid w:val="00754C9A"/>
    <w:rsid w:val="0075599A"/>
    <w:rsid w:val="00761274"/>
    <w:rsid w:val="00761D52"/>
    <w:rsid w:val="0077749E"/>
    <w:rsid w:val="00790ADA"/>
    <w:rsid w:val="007D2288"/>
    <w:rsid w:val="007E088F"/>
    <w:rsid w:val="007F7B32"/>
    <w:rsid w:val="00804BC2"/>
    <w:rsid w:val="00810636"/>
    <w:rsid w:val="0081431A"/>
    <w:rsid w:val="00822F97"/>
    <w:rsid w:val="0083216F"/>
    <w:rsid w:val="00836790"/>
    <w:rsid w:val="00840201"/>
    <w:rsid w:val="00860000"/>
    <w:rsid w:val="0086124D"/>
    <w:rsid w:val="00863BD3"/>
    <w:rsid w:val="008641ED"/>
    <w:rsid w:val="00866D66"/>
    <w:rsid w:val="008671C6"/>
    <w:rsid w:val="00875803"/>
    <w:rsid w:val="008763F1"/>
    <w:rsid w:val="008B459E"/>
    <w:rsid w:val="008E13AE"/>
    <w:rsid w:val="008E1506"/>
    <w:rsid w:val="008E710C"/>
    <w:rsid w:val="008F69D6"/>
    <w:rsid w:val="00902823"/>
    <w:rsid w:val="00915CA6"/>
    <w:rsid w:val="00923561"/>
    <w:rsid w:val="00927834"/>
    <w:rsid w:val="009500A6"/>
    <w:rsid w:val="00957C18"/>
    <w:rsid w:val="009659BA"/>
    <w:rsid w:val="0098067F"/>
    <w:rsid w:val="00983040"/>
    <w:rsid w:val="009A31C6"/>
    <w:rsid w:val="009B3FB9"/>
    <w:rsid w:val="009C0AB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329"/>
    <w:rsid w:val="00AB703F"/>
    <w:rsid w:val="00AC6BB8"/>
    <w:rsid w:val="00AE008F"/>
    <w:rsid w:val="00AE08F8"/>
    <w:rsid w:val="00B01FCD"/>
    <w:rsid w:val="00B07281"/>
    <w:rsid w:val="00B1776C"/>
    <w:rsid w:val="00B52583"/>
    <w:rsid w:val="00B52896"/>
    <w:rsid w:val="00B61186"/>
    <w:rsid w:val="00B95236"/>
    <w:rsid w:val="00B96BD9"/>
    <w:rsid w:val="00BA1B01"/>
    <w:rsid w:val="00BA2641"/>
    <w:rsid w:val="00BB37AA"/>
    <w:rsid w:val="00BC53A0"/>
    <w:rsid w:val="00BE62AD"/>
    <w:rsid w:val="00BF121F"/>
    <w:rsid w:val="00BF1F80"/>
    <w:rsid w:val="00BF6C90"/>
    <w:rsid w:val="00C166EF"/>
    <w:rsid w:val="00C17EB0"/>
    <w:rsid w:val="00C27F5F"/>
    <w:rsid w:val="00C30A0F"/>
    <w:rsid w:val="00C37E61"/>
    <w:rsid w:val="00C70F1B"/>
    <w:rsid w:val="00C71A47"/>
    <w:rsid w:val="00C7464C"/>
    <w:rsid w:val="00C77870"/>
    <w:rsid w:val="00C85588"/>
    <w:rsid w:val="00CD6755"/>
    <w:rsid w:val="00CD6856"/>
    <w:rsid w:val="00CE0089"/>
    <w:rsid w:val="00CE793C"/>
    <w:rsid w:val="00CF193C"/>
    <w:rsid w:val="00D10C4E"/>
    <w:rsid w:val="00D173F1"/>
    <w:rsid w:val="00D531DF"/>
    <w:rsid w:val="00D6495D"/>
    <w:rsid w:val="00D74CB0"/>
    <w:rsid w:val="00D76E62"/>
    <w:rsid w:val="00D8295D"/>
    <w:rsid w:val="00DC2A65"/>
    <w:rsid w:val="00DE050F"/>
    <w:rsid w:val="00DE15F0"/>
    <w:rsid w:val="00DE5663"/>
    <w:rsid w:val="00DE78AA"/>
    <w:rsid w:val="00E053D0"/>
    <w:rsid w:val="00E15994"/>
    <w:rsid w:val="00E3114E"/>
    <w:rsid w:val="00E31A70"/>
    <w:rsid w:val="00E31F6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FC3"/>
    <w:rsid w:val="00F755E4"/>
    <w:rsid w:val="00F77D02"/>
    <w:rsid w:val="00F806A7"/>
    <w:rsid w:val="00F82D1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EB5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628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628E0"/>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822F9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owner\AppData\Roaming\Microsoft\Excel\Book1%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Sheet1!$C$2</c:f>
              <c:strCache>
                <c:ptCount val="1"/>
                <c:pt idx="0">
                  <c:v>Type of business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DBB-4583-BFBB-93620AC579E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DBB-4583-BFBB-93620AC579EC}"/>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9DBB-4583-BFBB-93620AC579EC}"/>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9DBB-4583-BFBB-93620AC579E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Sheet1!$B$3:$B$4</c:f>
              <c:strCache>
                <c:ptCount val="2"/>
                <c:pt idx="0">
                  <c:v>Formal retail business</c:v>
                </c:pt>
                <c:pt idx="1">
                  <c:v>Informal vendors</c:v>
                </c:pt>
              </c:strCache>
            </c:strRef>
          </c:cat>
          <c:val>
            <c:numRef>
              <c:f>Sheet1!$C$3:$C$4</c:f>
              <c:numCache>
                <c:formatCode>0.00%</c:formatCode>
                <c:ptCount val="2"/>
                <c:pt idx="0">
                  <c:v>0.46899999999999997</c:v>
                </c:pt>
                <c:pt idx="1">
                  <c:v>0.53100000000000003</c:v>
                </c:pt>
              </c:numCache>
            </c:numRef>
          </c:val>
          <c:extLst>
            <c:ext xmlns:c16="http://schemas.microsoft.com/office/drawing/2014/chart" uri="{C3380CC4-5D6E-409C-BE32-E72D297353CC}">
              <c16:uniqueId val="{00000004-9DBB-4583-BFBB-93620AC579EC}"/>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708CF-1276-4FCB-95FA-1AB6596A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12</Pages>
  <Words>4451</Words>
  <Characters>24932</Characters>
  <Application>Microsoft Office Word</Application>
  <DocSecurity>0</DocSecurity>
  <Lines>488</Lines>
  <Paragraphs>194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Lonpa Ulrich</cp:lastModifiedBy>
  <cp:revision>3</cp:revision>
  <cp:lastPrinted>1999-07-06T11:00:00Z</cp:lastPrinted>
  <dcterms:created xsi:type="dcterms:W3CDTF">2025-09-06T18:10:00Z</dcterms:created>
  <dcterms:modified xsi:type="dcterms:W3CDTF">2025-09-06T18:17:00Z</dcterms:modified>
</cp:coreProperties>
</file>