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39C0" w14:textId="26609701" w:rsidR="00360C32" w:rsidRPr="00360C32" w:rsidRDefault="00360C32" w:rsidP="00360C32">
      <w:pPr>
        <w:pStyle w:val="Author"/>
        <w:spacing w:line="240" w:lineRule="auto"/>
        <w:jc w:val="left"/>
        <w:rPr>
          <w:rFonts w:ascii="Arial" w:hAnsi="Arial" w:cs="Arial"/>
          <w:bCs/>
          <w:iCs/>
          <w:kern w:val="28"/>
          <w:sz w:val="36"/>
          <w:u w:val="single"/>
        </w:rPr>
      </w:pPr>
      <w:r w:rsidRPr="00360C32">
        <w:rPr>
          <w:rFonts w:ascii="Arial" w:hAnsi="Arial" w:cs="Arial"/>
          <w:bCs/>
          <w:iCs/>
          <w:kern w:val="28"/>
          <w:sz w:val="36"/>
          <w:u w:val="single"/>
        </w:rPr>
        <w:t>Original Research Article</w:t>
      </w:r>
    </w:p>
    <w:p w14:paraId="526E5D3C" w14:textId="77777777" w:rsidR="00360C32" w:rsidRDefault="00360C32" w:rsidP="00BD5618">
      <w:pPr>
        <w:pStyle w:val="Author"/>
        <w:spacing w:line="240" w:lineRule="auto"/>
        <w:rPr>
          <w:rFonts w:ascii="Arial" w:hAnsi="Arial" w:cs="Arial"/>
          <w:bCs/>
          <w:iCs/>
          <w:kern w:val="28"/>
          <w:sz w:val="36"/>
        </w:rPr>
      </w:pPr>
    </w:p>
    <w:p w14:paraId="06B1B470" w14:textId="4E8E5F0B" w:rsidR="00BD5618" w:rsidRPr="00163BC4" w:rsidRDefault="00B67A4C" w:rsidP="00BD5618">
      <w:pPr>
        <w:pStyle w:val="Author"/>
        <w:spacing w:line="240" w:lineRule="auto"/>
        <w:rPr>
          <w:rFonts w:ascii="Arial" w:hAnsi="Arial" w:cs="Arial"/>
          <w:bCs/>
          <w:iCs/>
          <w:kern w:val="28"/>
          <w:sz w:val="36"/>
        </w:rPr>
      </w:pPr>
      <w:r w:rsidRPr="00B67A4C">
        <w:rPr>
          <w:rFonts w:ascii="Arial" w:hAnsi="Arial" w:cs="Arial"/>
          <w:bCs/>
          <w:iCs/>
          <w:kern w:val="28"/>
          <w:sz w:val="36"/>
          <w:highlight w:val="yellow"/>
        </w:rPr>
        <w:t>Enhancing Soil Shear Strength Using Gum Arabic as a Natural Biopolymer Stabilized</w:t>
      </w:r>
    </w:p>
    <w:p w14:paraId="6A63D346" w14:textId="77777777" w:rsidR="00BD5618" w:rsidRPr="00790ADA" w:rsidRDefault="00BD5618" w:rsidP="00BD5618">
      <w:pPr>
        <w:pStyle w:val="Author"/>
        <w:spacing w:line="240" w:lineRule="auto"/>
        <w:jc w:val="both"/>
        <w:rPr>
          <w:rFonts w:ascii="Arial" w:hAnsi="Arial" w:cs="Arial"/>
          <w:sz w:val="36"/>
        </w:rPr>
      </w:pPr>
    </w:p>
    <w:p w14:paraId="350CC1F8" w14:textId="77777777" w:rsidR="00BD5618" w:rsidRDefault="00BD5618" w:rsidP="00BD5618">
      <w:pPr>
        <w:pStyle w:val="Affiliation"/>
        <w:spacing w:after="0" w:line="240" w:lineRule="auto"/>
        <w:jc w:val="both"/>
        <w:rPr>
          <w:rFonts w:ascii="Arial" w:hAnsi="Arial" w:cs="Arial"/>
        </w:rPr>
      </w:pPr>
    </w:p>
    <w:p w14:paraId="37094914" w14:textId="77777777" w:rsidR="008712CF" w:rsidRDefault="008712CF" w:rsidP="00BD5618">
      <w:pPr>
        <w:pStyle w:val="Affiliation"/>
        <w:spacing w:after="0" w:line="240" w:lineRule="auto"/>
        <w:jc w:val="both"/>
        <w:rPr>
          <w:rFonts w:ascii="Arial" w:hAnsi="Arial" w:cs="Arial"/>
        </w:rPr>
      </w:pPr>
    </w:p>
    <w:p w14:paraId="25199AF3" w14:textId="77777777" w:rsidR="008712CF" w:rsidRPr="00FB3A86" w:rsidRDefault="008712CF" w:rsidP="00BD5618">
      <w:pPr>
        <w:pStyle w:val="Affiliation"/>
        <w:spacing w:after="0" w:line="240" w:lineRule="auto"/>
        <w:jc w:val="both"/>
        <w:rPr>
          <w:rFonts w:ascii="Arial" w:hAnsi="Arial" w:cs="Arial"/>
        </w:rPr>
      </w:pPr>
    </w:p>
    <w:p w14:paraId="457A19E4" w14:textId="77777777" w:rsidR="00BD5618" w:rsidRPr="00FB3A86" w:rsidRDefault="00BD5618" w:rsidP="00BD5618">
      <w:pPr>
        <w:pStyle w:val="Copyright"/>
        <w:spacing w:after="0" w:line="240" w:lineRule="auto"/>
        <w:jc w:val="both"/>
        <w:rPr>
          <w:rFonts w:ascii="Arial" w:hAnsi="Arial" w:cs="Arial"/>
        </w:rPr>
        <w:sectPr w:rsidR="00BD5618" w:rsidRPr="00FB3A86" w:rsidSect="008712CF">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41B3C9" wp14:editId="239B0B06">
                <wp:extent cx="5303520" cy="635"/>
                <wp:effectExtent l="13335" t="17145" r="17145" b="11430"/>
                <wp:docPr id="269892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2EB29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78400EA6" w14:textId="77777777" w:rsidR="00BD5618" w:rsidRDefault="00BD5618" w:rsidP="00BD5618">
      <w:pPr>
        <w:pStyle w:val="AbstHead"/>
        <w:spacing w:after="0"/>
        <w:jc w:val="both"/>
        <w:rPr>
          <w:rFonts w:ascii="Arial" w:hAnsi="Arial" w:cs="Arial"/>
        </w:rPr>
      </w:pPr>
      <w:r w:rsidRPr="00FB3A86">
        <w:rPr>
          <w:rFonts w:ascii="Arial" w:hAnsi="Arial" w:cs="Arial"/>
        </w:rPr>
        <w:t>ABSTRACT</w:t>
      </w:r>
    </w:p>
    <w:p w14:paraId="4C7EF9CE" w14:textId="77777777" w:rsidR="00BD5618" w:rsidRPr="00FB3A86" w:rsidRDefault="00BD5618" w:rsidP="00BD561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D5618" w:rsidRPr="001E44FE" w14:paraId="660404A4" w14:textId="77777777" w:rsidTr="007E6B34">
        <w:tc>
          <w:tcPr>
            <w:tcW w:w="9576" w:type="dxa"/>
            <w:shd w:val="clear" w:color="auto" w:fill="F2F2F2"/>
          </w:tcPr>
          <w:p w14:paraId="727DFA9B" w14:textId="0F3C6C6E" w:rsidR="00BD5618" w:rsidRPr="00B67A4C" w:rsidRDefault="006F6190" w:rsidP="006A2D1D">
            <w:pPr>
              <w:pStyle w:val="Body"/>
              <w:spacing w:after="0"/>
              <w:rPr>
                <w:rFonts w:ascii="Arial" w:eastAsia="Calibri" w:hAnsi="Arial" w:cs="Arial"/>
                <w:bCs/>
                <w:szCs w:val="22"/>
              </w:rPr>
            </w:pPr>
            <w:r w:rsidRPr="00B67A4C">
              <w:rPr>
                <w:highlight w:val="yellow"/>
              </w:rPr>
              <w:t>The goal of soil stabilization, a crucial component of geotechnical engineering, is to increase the performance and stability of soils used in building. Conventional stabilizers, including cement and synthetic chemicals, frequently provide financial and environmental difficulties.</w:t>
            </w:r>
            <w:r w:rsidR="0087027A" w:rsidRPr="00B67A4C">
              <w:rPr>
                <w:highlight w:val="yellow"/>
              </w:rPr>
              <w:t xml:space="preserve"> The goal of this study was to assess gum Arabic's potential as a substitute soil stabilizer. Gum Arabic is a naturally occurring polysaccharide. The main objective is to evaluate how well gum Arabic improves the soil's consolidation qualitie</w:t>
            </w:r>
            <w:r w:rsidR="00B67A4C">
              <w:rPr>
                <w:highlight w:val="yellow"/>
              </w:rPr>
              <w:t>s by</w:t>
            </w:r>
            <w:r w:rsidR="0087027A" w:rsidRPr="00B67A4C">
              <w:rPr>
                <w:highlight w:val="yellow"/>
              </w:rPr>
              <w:t xml:space="preserve"> ascertain</w:t>
            </w:r>
            <w:r w:rsidR="00B67A4C">
              <w:rPr>
                <w:highlight w:val="yellow"/>
              </w:rPr>
              <w:t xml:space="preserve">ing </w:t>
            </w:r>
            <w:r w:rsidR="0087027A" w:rsidRPr="00B67A4C">
              <w:rPr>
                <w:highlight w:val="yellow"/>
              </w:rPr>
              <w:t>the effect of gum Arabic on soil stability and d</w:t>
            </w:r>
            <w:r w:rsidR="00B67A4C">
              <w:rPr>
                <w:highlight w:val="yellow"/>
              </w:rPr>
              <w:t xml:space="preserve">etermining </w:t>
            </w:r>
            <w:r w:rsidR="0087027A" w:rsidRPr="00B67A4C">
              <w:rPr>
                <w:highlight w:val="yellow"/>
              </w:rPr>
              <w:t>the best doses for various uses by incorporating it into different types of soil. Gum Arabic was applied in different dosages (0% to 1.0%) to two types of soil: brownish fine-grained clayey soil (Sample B) and greyish sandy gravelly soil (Sample A). To ascertain the impact of stabilization, the soil's shear strength</w:t>
            </w:r>
            <w:r w:rsidR="00B67A4C">
              <w:rPr>
                <w:highlight w:val="yellow"/>
              </w:rPr>
              <w:t xml:space="preserve"> (direct shear)</w:t>
            </w:r>
            <w:r w:rsidR="0087027A" w:rsidRPr="00B67A4C">
              <w:rPr>
                <w:highlight w:val="yellow"/>
              </w:rPr>
              <w:t xml:space="preserve"> was examined.</w:t>
            </w:r>
            <w:r w:rsidR="00B67A4C" w:rsidRPr="00B67A4C">
              <w:rPr>
                <w:highlight w:val="yellow"/>
              </w:rPr>
              <w:t xml:space="preserve"> </w:t>
            </w:r>
            <w:r w:rsidR="0087027A" w:rsidRPr="00B67A4C">
              <w:rPr>
                <w:highlight w:val="yellow"/>
              </w:rPr>
              <w:t>According to the findings of this study, moderate dosages of gum Arabic considerably enhanced the qualities of the soil. The stabilization effects peaked at 0.7% for Sample A (54%</w:t>
            </w:r>
            <w:r w:rsidR="00B67A4C">
              <w:rPr>
                <w:highlight w:val="yellow"/>
              </w:rPr>
              <w:t>, i.e 37% increase</w:t>
            </w:r>
            <w:r w:rsidR="0087027A" w:rsidRPr="00B67A4C">
              <w:rPr>
                <w:highlight w:val="yellow"/>
              </w:rPr>
              <w:t>) and 0.7% for Sample B (40%</w:t>
            </w:r>
            <w:r w:rsidR="00B67A4C">
              <w:rPr>
                <w:highlight w:val="yellow"/>
              </w:rPr>
              <w:t>, i.e 18% increase</w:t>
            </w:r>
            <w:r w:rsidR="0087027A" w:rsidRPr="00B67A4C">
              <w:rPr>
                <w:highlight w:val="yellow"/>
              </w:rPr>
              <w:t>), indicating a significant increase in the soil samples' shear strength.</w:t>
            </w:r>
            <w:r w:rsidR="00B67A4C" w:rsidRPr="00B67A4C">
              <w:rPr>
                <w:highlight w:val="yellow"/>
              </w:rPr>
              <w:t xml:space="preserve"> </w:t>
            </w:r>
            <w:r w:rsidR="0087027A" w:rsidRPr="00B67A4C">
              <w:rPr>
                <w:highlight w:val="yellow"/>
              </w:rPr>
              <w:t>The study's conclusion highlights the ideal treatment amount of 0.7% Gum Arabic, which increases soil strength.</w:t>
            </w:r>
          </w:p>
        </w:tc>
      </w:tr>
    </w:tbl>
    <w:p w14:paraId="4332FCFE" w14:textId="77777777" w:rsidR="00BD5618" w:rsidRDefault="00BD5618" w:rsidP="00BD5618">
      <w:pPr>
        <w:pStyle w:val="Body"/>
        <w:spacing w:after="0"/>
        <w:rPr>
          <w:rFonts w:ascii="Arial" w:hAnsi="Arial" w:cs="Arial"/>
          <w:i/>
        </w:rPr>
      </w:pPr>
    </w:p>
    <w:p w14:paraId="162067F4" w14:textId="7E7AC1DA" w:rsidR="00BD5618" w:rsidRDefault="00BD5618" w:rsidP="00BD5618">
      <w:pPr>
        <w:pStyle w:val="Body"/>
        <w:spacing w:after="0"/>
        <w:rPr>
          <w:rFonts w:ascii="Arial" w:hAnsi="Arial" w:cs="Arial"/>
          <w:i/>
        </w:rPr>
      </w:pPr>
      <w:r>
        <w:rPr>
          <w:rFonts w:ascii="Arial" w:hAnsi="Arial" w:cs="Arial"/>
          <w:i/>
        </w:rPr>
        <w:t xml:space="preserve">Keywords: </w:t>
      </w:r>
      <w:r w:rsidR="0087027A">
        <w:rPr>
          <w:rFonts w:ascii="Arial" w:hAnsi="Arial" w:cs="Arial"/>
          <w:i/>
        </w:rPr>
        <w:t>Gum Arabic</w:t>
      </w:r>
      <w:r>
        <w:rPr>
          <w:rFonts w:ascii="Arial" w:hAnsi="Arial" w:cs="Arial"/>
          <w:i/>
        </w:rPr>
        <w:t xml:space="preserve">, </w:t>
      </w:r>
      <w:r w:rsidR="0087027A">
        <w:rPr>
          <w:rFonts w:ascii="Arial" w:hAnsi="Arial" w:cs="Arial"/>
          <w:i/>
        </w:rPr>
        <w:t>Shear Strength</w:t>
      </w:r>
      <w:r>
        <w:rPr>
          <w:rFonts w:ascii="Arial" w:hAnsi="Arial" w:cs="Arial"/>
          <w:i/>
        </w:rPr>
        <w:t xml:space="preserve">, Soil, </w:t>
      </w:r>
      <w:r w:rsidR="0087027A">
        <w:rPr>
          <w:rFonts w:ascii="Arial" w:hAnsi="Arial" w:cs="Arial"/>
          <w:i/>
        </w:rPr>
        <w:t>Soil Stabilization</w:t>
      </w:r>
    </w:p>
    <w:p w14:paraId="7440C0A6" w14:textId="77777777" w:rsidR="00BD5618" w:rsidRDefault="00BD5618" w:rsidP="00BD5618">
      <w:pPr>
        <w:pStyle w:val="Body"/>
        <w:spacing w:after="0"/>
        <w:rPr>
          <w:rFonts w:ascii="Arial" w:hAnsi="Arial" w:cs="Arial"/>
          <w:i/>
        </w:rPr>
      </w:pPr>
    </w:p>
    <w:p w14:paraId="732B854E" w14:textId="77777777" w:rsidR="00BD5618" w:rsidRDefault="00BD5618" w:rsidP="00BD5618">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7A5FBD7" w14:textId="77777777" w:rsidR="00BD5618" w:rsidRPr="00FB3A86" w:rsidRDefault="00BD5618" w:rsidP="00BD5618">
      <w:pPr>
        <w:pStyle w:val="AbstHead"/>
        <w:spacing w:after="0"/>
        <w:jc w:val="both"/>
        <w:rPr>
          <w:rFonts w:ascii="Arial" w:hAnsi="Arial" w:cs="Arial"/>
        </w:rPr>
      </w:pPr>
    </w:p>
    <w:p w14:paraId="693C6727" w14:textId="06184B3C" w:rsidR="0087027A" w:rsidRPr="0087027A" w:rsidRDefault="0087027A" w:rsidP="0087027A">
      <w:pPr>
        <w:pStyle w:val="Body"/>
        <w:rPr>
          <w:rFonts w:ascii="Arial" w:hAnsi="Arial" w:cs="Arial"/>
        </w:rPr>
      </w:pPr>
      <w:bookmarkStart w:id="0" w:name="_Hlk177083483"/>
      <w:r w:rsidRPr="0087027A">
        <w:rPr>
          <w:rFonts w:ascii="Arial" w:hAnsi="Arial" w:cs="Arial"/>
        </w:rPr>
        <w:t>In geotechnical engineering, the stability and safety of structures such as buildings, bridges, roads, and embankments heavily depend on the properties of the underlying soil</w:t>
      </w:r>
      <w:bookmarkEnd w:id="0"/>
      <w:r w:rsidRPr="0087027A">
        <w:rPr>
          <w:rFonts w:ascii="Arial" w:hAnsi="Arial" w:cs="Arial"/>
        </w:rPr>
        <w:t xml:space="preserve"> (Surendra, </w:t>
      </w:r>
      <w:r w:rsidRPr="0087027A">
        <w:rPr>
          <w:rFonts w:ascii="Arial" w:hAnsi="Arial" w:cs="Arial"/>
          <w:i/>
          <w:iCs/>
        </w:rPr>
        <w:t>et. al.,</w:t>
      </w:r>
      <w:r w:rsidRPr="0087027A">
        <w:rPr>
          <w:rFonts w:ascii="Arial" w:hAnsi="Arial" w:cs="Arial"/>
        </w:rPr>
        <w:t xml:space="preserve"> 2017). Geotechnical materials, such as soils, often require modification to enhance their consolidation properties to meet engineering standards for construction and foundation applications (Islam, </w:t>
      </w:r>
      <w:r w:rsidRPr="0087027A">
        <w:rPr>
          <w:rFonts w:ascii="Arial" w:hAnsi="Arial" w:cs="Arial"/>
          <w:i/>
          <w:iCs/>
        </w:rPr>
        <w:t>et. al.,</w:t>
      </w:r>
      <w:r w:rsidRPr="0087027A">
        <w:rPr>
          <w:rFonts w:ascii="Arial" w:hAnsi="Arial" w:cs="Arial"/>
        </w:rPr>
        <w:t xml:space="preserve"> 2022; Cheng, </w:t>
      </w:r>
      <w:r w:rsidRPr="0087027A">
        <w:rPr>
          <w:rFonts w:ascii="Arial" w:hAnsi="Arial" w:cs="Arial"/>
          <w:i/>
          <w:iCs/>
        </w:rPr>
        <w:t>et. al.,</w:t>
      </w:r>
      <w:r w:rsidRPr="0087027A">
        <w:rPr>
          <w:rFonts w:ascii="Arial" w:hAnsi="Arial" w:cs="Arial"/>
        </w:rPr>
        <w:t xml:space="preserve"> 2020; Eberemu, 2011). </w:t>
      </w:r>
      <w:r w:rsidR="00D50D43">
        <w:rPr>
          <w:rFonts w:ascii="Arial" w:hAnsi="Arial" w:cs="Arial"/>
        </w:rPr>
        <w:t>“</w:t>
      </w:r>
      <w:r w:rsidRPr="0087027A">
        <w:rPr>
          <w:rFonts w:ascii="Arial" w:hAnsi="Arial" w:cs="Arial"/>
        </w:rPr>
        <w:t>The cost of constructing pavements can be significantly higher when dealing with soils that have poor engineering properties. Clays with subpar engineering properties pose a challenge in terms of supporting traffic loads, as their subgrade strength is insufficient. The strength and serviceability of the pavement over a design period are dependent on the structural condition of the subgrade soil, which is crucial for the highway infrastructure. Constructing efficient and long-lasting pavements on problematic fine-grained soil poses a significant engineering challenge. The cost of reconstructing a failed pavement due to deeper rutting deformation is INR 3000/m</w:t>
      </w:r>
      <w:r w:rsidRPr="0087027A">
        <w:rPr>
          <w:rFonts w:ascii="Arial" w:hAnsi="Arial" w:cs="Arial"/>
          <w:vertAlign w:val="superscript"/>
        </w:rPr>
        <w:t>2</w:t>
      </w:r>
      <w:r w:rsidR="00D50D43">
        <w:rPr>
          <w:rFonts w:ascii="Arial" w:hAnsi="Arial" w:cs="Arial"/>
          <w:vertAlign w:val="superscript"/>
        </w:rPr>
        <w:t>”</w:t>
      </w:r>
      <w:r w:rsidRPr="0087027A">
        <w:rPr>
          <w:rFonts w:ascii="Arial" w:hAnsi="Arial" w:cs="Arial"/>
        </w:rPr>
        <w:t xml:space="preserve"> (</w:t>
      </w:r>
      <w:r w:rsidRPr="0087027A">
        <w:rPr>
          <w:rFonts w:ascii="Arial" w:hAnsi="Arial" w:cs="Arial"/>
          <w:bCs/>
        </w:rPr>
        <w:t xml:space="preserve">Vishweshwaran </w:t>
      </w:r>
      <w:r w:rsidRPr="0087027A">
        <w:rPr>
          <w:rFonts w:ascii="Arial" w:hAnsi="Arial" w:cs="Arial"/>
          <w:bCs/>
          <w:i/>
          <w:iCs/>
        </w:rPr>
        <w:t>et al.,</w:t>
      </w:r>
      <w:r w:rsidRPr="0087027A">
        <w:rPr>
          <w:rFonts w:ascii="Arial" w:hAnsi="Arial" w:cs="Arial"/>
          <w:bCs/>
        </w:rPr>
        <w:t xml:space="preserve"> 2024).</w:t>
      </w:r>
      <w:r w:rsidRPr="0087027A">
        <w:rPr>
          <w:rFonts w:ascii="Arial" w:hAnsi="Arial" w:cs="Arial"/>
        </w:rPr>
        <w:t xml:space="preserve"> </w:t>
      </w:r>
      <w:r w:rsidR="00D50D43">
        <w:rPr>
          <w:rFonts w:ascii="Arial" w:hAnsi="Arial" w:cs="Arial"/>
        </w:rPr>
        <w:t>“</w:t>
      </w:r>
      <w:r w:rsidRPr="0087027A">
        <w:rPr>
          <w:rFonts w:ascii="Arial" w:hAnsi="Arial" w:cs="Arial"/>
        </w:rPr>
        <w:t xml:space="preserve">Efficient compaction techniques may not always result in the desired increase in soil strength for flexible pavement construction, even when applied to fine-grained soils. One of the main challenges faced when dealing with subpar geomaterials is the increase in material costs, along with the associated pollution and the lack of nearby soils with desirable engineering properties. Soils that have naturally poor </w:t>
      </w:r>
      <w:r w:rsidRPr="0087027A">
        <w:rPr>
          <w:rFonts w:ascii="Arial" w:hAnsi="Arial" w:cs="Arial"/>
        </w:rPr>
        <w:lastRenderedPageBreak/>
        <w:t>engineering properties do not necessarily need costly deep foundations or soil replacement</w:t>
      </w:r>
      <w:r w:rsidR="00D50D43">
        <w:rPr>
          <w:rFonts w:ascii="Arial" w:hAnsi="Arial" w:cs="Arial"/>
        </w:rPr>
        <w:t>”</w:t>
      </w:r>
      <w:r w:rsidRPr="0087027A">
        <w:rPr>
          <w:rFonts w:ascii="Arial" w:hAnsi="Arial" w:cs="Arial"/>
        </w:rPr>
        <w:t xml:space="preserve"> (</w:t>
      </w:r>
      <w:r w:rsidRPr="0087027A">
        <w:rPr>
          <w:rFonts w:ascii="Arial" w:hAnsi="Arial" w:cs="Arial"/>
          <w:bCs/>
        </w:rPr>
        <w:t xml:space="preserve">Bouassida </w:t>
      </w:r>
      <w:r w:rsidRPr="0087027A">
        <w:rPr>
          <w:rFonts w:ascii="Arial" w:hAnsi="Arial" w:cs="Arial"/>
          <w:bCs/>
          <w:i/>
          <w:iCs/>
        </w:rPr>
        <w:t>et al.,</w:t>
      </w:r>
      <w:r w:rsidRPr="0087027A">
        <w:rPr>
          <w:rFonts w:ascii="Arial" w:hAnsi="Arial" w:cs="Arial"/>
          <w:bCs/>
        </w:rPr>
        <w:t xml:space="preserve"> 2022)</w:t>
      </w:r>
      <w:r w:rsidRPr="0087027A">
        <w:rPr>
          <w:rFonts w:ascii="Arial" w:hAnsi="Arial" w:cs="Arial"/>
        </w:rPr>
        <w:t xml:space="preserve">. </w:t>
      </w:r>
      <w:r w:rsidR="00D50D43">
        <w:rPr>
          <w:rFonts w:ascii="Arial" w:hAnsi="Arial" w:cs="Arial"/>
        </w:rPr>
        <w:t>“</w:t>
      </w:r>
      <w:r w:rsidRPr="0087027A">
        <w:rPr>
          <w:rFonts w:ascii="Arial" w:hAnsi="Arial" w:cs="Arial"/>
        </w:rPr>
        <w:t>Enhancing soil properties is essential for achieving the desired geotechnical engineering properties for pavement applications. It is important to ensure that sustainable construction practices prioritize the protection of groundwater and soil without compromising energy and resource savings</w:t>
      </w:r>
      <w:r w:rsidR="00D50D43">
        <w:rPr>
          <w:rFonts w:ascii="Arial" w:hAnsi="Arial" w:cs="Arial"/>
        </w:rPr>
        <w:t>”</w:t>
      </w:r>
      <w:r w:rsidRPr="0087027A">
        <w:rPr>
          <w:rFonts w:ascii="Arial" w:hAnsi="Arial" w:cs="Arial"/>
        </w:rPr>
        <w:t xml:space="preserve"> (</w:t>
      </w:r>
      <w:r w:rsidRPr="0087027A">
        <w:rPr>
          <w:rFonts w:ascii="Arial" w:hAnsi="Arial" w:cs="Arial"/>
          <w:bCs/>
        </w:rPr>
        <w:t xml:space="preserve">Vishweshwaran </w:t>
      </w:r>
      <w:r w:rsidRPr="0087027A">
        <w:rPr>
          <w:rFonts w:ascii="Arial" w:hAnsi="Arial" w:cs="Arial"/>
          <w:bCs/>
          <w:i/>
          <w:iCs/>
        </w:rPr>
        <w:t>et al.,</w:t>
      </w:r>
      <w:r w:rsidRPr="0087027A">
        <w:rPr>
          <w:rFonts w:ascii="Arial" w:hAnsi="Arial" w:cs="Arial"/>
          <w:bCs/>
        </w:rPr>
        <w:t xml:space="preserve"> 2024)</w:t>
      </w:r>
      <w:r w:rsidRPr="0087027A">
        <w:rPr>
          <w:rFonts w:ascii="Arial" w:hAnsi="Arial" w:cs="Arial"/>
        </w:rPr>
        <w:t xml:space="preserve">. </w:t>
      </w:r>
    </w:p>
    <w:p w14:paraId="4D4E1F41" w14:textId="486A95E7" w:rsidR="0087027A" w:rsidRPr="0087027A" w:rsidRDefault="0087027A" w:rsidP="0087027A">
      <w:pPr>
        <w:pStyle w:val="Body"/>
        <w:rPr>
          <w:rFonts w:ascii="Arial" w:hAnsi="Arial" w:cs="Arial"/>
        </w:rPr>
      </w:pPr>
      <w:r w:rsidRPr="0087027A">
        <w:rPr>
          <w:rFonts w:ascii="Arial" w:hAnsi="Arial" w:cs="Arial"/>
        </w:rPr>
        <w:t xml:space="preserve">Traditionally, soil improvement has been achieved using chemical stabilisers such as cement, lime, and various synthetic polymers (Verma, </w:t>
      </w:r>
      <w:r w:rsidRPr="0087027A">
        <w:rPr>
          <w:rFonts w:ascii="Arial" w:hAnsi="Arial" w:cs="Arial"/>
          <w:i/>
          <w:iCs/>
        </w:rPr>
        <w:t>et. al.,</w:t>
      </w:r>
      <w:r w:rsidRPr="0087027A">
        <w:rPr>
          <w:rFonts w:ascii="Arial" w:hAnsi="Arial" w:cs="Arial"/>
        </w:rPr>
        <w:t xml:space="preserve"> 2021; Huang, </w:t>
      </w:r>
      <w:r w:rsidRPr="0087027A">
        <w:rPr>
          <w:rFonts w:ascii="Arial" w:hAnsi="Arial" w:cs="Arial"/>
          <w:i/>
          <w:iCs/>
        </w:rPr>
        <w:t>et. al.,</w:t>
      </w:r>
      <w:r w:rsidRPr="0087027A">
        <w:rPr>
          <w:rFonts w:ascii="Arial" w:hAnsi="Arial" w:cs="Arial"/>
        </w:rPr>
        <w:t xml:space="preserve"> 2021). While effective, these methods pose significant environmental and sustainability challenges (Gunarathne, </w:t>
      </w:r>
      <w:r w:rsidRPr="0087027A">
        <w:rPr>
          <w:rFonts w:ascii="Arial" w:hAnsi="Arial" w:cs="Arial"/>
          <w:i/>
          <w:iCs/>
        </w:rPr>
        <w:t>et, al</w:t>
      </w:r>
      <w:r w:rsidRPr="0087027A">
        <w:rPr>
          <w:rFonts w:ascii="Arial" w:hAnsi="Arial" w:cs="Arial"/>
        </w:rPr>
        <w:t xml:space="preserve">., 2020; Sánchez-Garrido, </w:t>
      </w:r>
      <w:r w:rsidRPr="0087027A">
        <w:rPr>
          <w:rFonts w:ascii="Arial" w:hAnsi="Arial" w:cs="Arial"/>
          <w:i/>
          <w:iCs/>
        </w:rPr>
        <w:t>et. al.,</w:t>
      </w:r>
      <w:r w:rsidRPr="0087027A">
        <w:rPr>
          <w:rFonts w:ascii="Arial" w:hAnsi="Arial" w:cs="Arial"/>
        </w:rPr>
        <w:t xml:space="preserve"> 2022). </w:t>
      </w:r>
      <w:r w:rsidR="00D50D43">
        <w:rPr>
          <w:rFonts w:ascii="Arial" w:hAnsi="Arial" w:cs="Arial"/>
        </w:rPr>
        <w:t>“</w:t>
      </w:r>
      <w:r w:rsidRPr="0087027A">
        <w:rPr>
          <w:rFonts w:ascii="Arial" w:hAnsi="Arial" w:cs="Arial"/>
        </w:rPr>
        <w:t>Conventional methods of soil improvement, including the use of chemical stabilisers like cement and lime, are often associated with environmental concerns, such as carbon emissions and soil degradation</w:t>
      </w:r>
      <w:r w:rsidR="00D50D43">
        <w:rPr>
          <w:rFonts w:ascii="Arial" w:hAnsi="Arial" w:cs="Arial"/>
        </w:rPr>
        <w:t>”</w:t>
      </w:r>
      <w:r w:rsidRPr="0087027A">
        <w:rPr>
          <w:rFonts w:ascii="Arial" w:hAnsi="Arial" w:cs="Arial"/>
        </w:rPr>
        <w:t xml:space="preserve"> (Verma, </w:t>
      </w:r>
      <w:r w:rsidRPr="0087027A">
        <w:rPr>
          <w:rFonts w:ascii="Arial" w:hAnsi="Arial" w:cs="Arial"/>
          <w:i/>
          <w:iCs/>
        </w:rPr>
        <w:t>et. al.,</w:t>
      </w:r>
      <w:r w:rsidRPr="0087027A">
        <w:rPr>
          <w:rFonts w:ascii="Arial" w:hAnsi="Arial" w:cs="Arial"/>
        </w:rPr>
        <w:t xml:space="preserve"> 2021; Gunarathne, </w:t>
      </w:r>
      <w:r w:rsidRPr="0087027A">
        <w:rPr>
          <w:rFonts w:ascii="Arial" w:hAnsi="Arial" w:cs="Arial"/>
          <w:i/>
          <w:iCs/>
        </w:rPr>
        <w:t>et, al</w:t>
      </w:r>
      <w:r w:rsidRPr="0087027A">
        <w:rPr>
          <w:rFonts w:ascii="Arial" w:hAnsi="Arial" w:cs="Arial"/>
        </w:rPr>
        <w:t xml:space="preserve">., 2020). </w:t>
      </w:r>
      <w:r w:rsidR="00D50D43">
        <w:rPr>
          <w:rFonts w:ascii="Arial" w:hAnsi="Arial" w:cs="Arial"/>
        </w:rPr>
        <w:t>“</w:t>
      </w:r>
      <w:r w:rsidRPr="0087027A">
        <w:rPr>
          <w:rFonts w:ascii="Arial" w:hAnsi="Arial" w:cs="Arial"/>
        </w:rPr>
        <w:t>The production of cement, for example, is responsible for a substantial portion of global carbon dioxide emissions, contributing to climate change</w:t>
      </w:r>
      <w:r w:rsidR="00D50D43">
        <w:rPr>
          <w:rFonts w:ascii="Arial" w:hAnsi="Arial" w:cs="Arial"/>
        </w:rPr>
        <w:t>”</w:t>
      </w:r>
      <w:r w:rsidRPr="0087027A">
        <w:rPr>
          <w:rFonts w:ascii="Arial" w:hAnsi="Arial" w:cs="Arial"/>
        </w:rPr>
        <w:t xml:space="preserve"> (Tracy and Novak, 2023; Belaïd, 2022; Mohamad, </w:t>
      </w:r>
      <w:r w:rsidRPr="0087027A">
        <w:rPr>
          <w:rFonts w:ascii="Arial" w:hAnsi="Arial" w:cs="Arial"/>
          <w:i/>
          <w:iCs/>
        </w:rPr>
        <w:t>et. al.,</w:t>
      </w:r>
      <w:r w:rsidRPr="0087027A">
        <w:rPr>
          <w:rFonts w:ascii="Arial" w:hAnsi="Arial" w:cs="Arial"/>
        </w:rPr>
        <w:t xml:space="preserve"> 2022; Khaiyum, </w:t>
      </w:r>
      <w:r w:rsidRPr="0087027A">
        <w:rPr>
          <w:rFonts w:ascii="Arial" w:hAnsi="Arial" w:cs="Arial"/>
          <w:i/>
          <w:iCs/>
        </w:rPr>
        <w:t>et. al.,</w:t>
      </w:r>
      <w:r w:rsidRPr="0087027A">
        <w:rPr>
          <w:rFonts w:ascii="Arial" w:hAnsi="Arial" w:cs="Arial"/>
        </w:rPr>
        <w:t xml:space="preserve"> 2023). Lime stabilisation, although less carbon-intensive, can alter the pH of the soil, potentially leading to negative ecological impacts, including disruption of local flora and fauna. Additionally, the extraction, processing, and transportation of these chemical stabilisers consume large amounts of energy and resources, further exacerbating their environmental footprint. Moreover, the use of non-biodegradable synthetic polymers raises concerns about long-term soil and groundwater contamination (Bodor, </w:t>
      </w:r>
      <w:r w:rsidRPr="0087027A">
        <w:rPr>
          <w:rFonts w:ascii="Arial" w:hAnsi="Arial" w:cs="Arial"/>
          <w:i/>
          <w:iCs/>
        </w:rPr>
        <w:t>et. al.,</w:t>
      </w:r>
      <w:r w:rsidRPr="0087027A">
        <w:rPr>
          <w:rFonts w:ascii="Arial" w:hAnsi="Arial" w:cs="Arial"/>
        </w:rPr>
        <w:t xml:space="preserve"> 2024; Wanner, 2021). These polymers can endure for long periods of time in the environment, leading to microplastic pollution and potential harm to ecosystems (Ali, </w:t>
      </w:r>
      <w:r w:rsidRPr="0087027A">
        <w:rPr>
          <w:rFonts w:ascii="Arial" w:hAnsi="Arial" w:cs="Arial"/>
          <w:i/>
          <w:iCs/>
        </w:rPr>
        <w:t>et. al.,</w:t>
      </w:r>
      <w:r w:rsidRPr="0087027A">
        <w:rPr>
          <w:rFonts w:ascii="Arial" w:hAnsi="Arial" w:cs="Arial"/>
        </w:rPr>
        <w:t xml:space="preserve"> 2024; Ziani, </w:t>
      </w:r>
      <w:r w:rsidRPr="0087027A">
        <w:rPr>
          <w:rFonts w:ascii="Arial" w:hAnsi="Arial" w:cs="Arial"/>
          <w:i/>
          <w:iCs/>
        </w:rPr>
        <w:t>et. al.,</w:t>
      </w:r>
      <w:r w:rsidRPr="0087027A">
        <w:rPr>
          <w:rFonts w:ascii="Arial" w:hAnsi="Arial" w:cs="Arial"/>
        </w:rPr>
        <w:t xml:space="preserve"> 2023). Alternative soil stabilizing techniques that are both efficient and ecologically benign are desperately needed as environmental regulations tighten and the building industry is under growing pressure to embrace sustainable practices.</w:t>
      </w:r>
    </w:p>
    <w:p w14:paraId="4911E385" w14:textId="77777777" w:rsidR="0087027A" w:rsidRPr="0087027A" w:rsidRDefault="0087027A" w:rsidP="0087027A">
      <w:pPr>
        <w:pStyle w:val="Body"/>
        <w:rPr>
          <w:rFonts w:ascii="Arial" w:hAnsi="Arial" w:cs="Arial"/>
        </w:rPr>
      </w:pPr>
      <w:r w:rsidRPr="0087027A">
        <w:rPr>
          <w:rFonts w:ascii="Arial" w:hAnsi="Arial" w:cs="Arial"/>
        </w:rPr>
        <w:t xml:space="preserve">Ecologically friendly and sustainable substitutes that can effectively improve the strength properties of geotechnical materials are required. In response to these challenges, there has been growing interest in the use of natural, biodegradable materials as alternatives to traditional chemical stabilizers (Novoskoltseva, </w:t>
      </w:r>
      <w:r w:rsidRPr="0087027A">
        <w:rPr>
          <w:rFonts w:ascii="Arial" w:hAnsi="Arial" w:cs="Arial"/>
          <w:i/>
          <w:iCs/>
        </w:rPr>
        <w:t>et. al.,</w:t>
      </w:r>
      <w:r w:rsidRPr="0087027A">
        <w:rPr>
          <w:rFonts w:ascii="Arial" w:hAnsi="Arial" w:cs="Arial"/>
        </w:rPr>
        <w:t xml:space="preserve"> 2022; </w:t>
      </w:r>
      <w:bookmarkStart w:id="1" w:name="_Hlk177034174"/>
      <w:r w:rsidRPr="0087027A">
        <w:rPr>
          <w:rFonts w:ascii="Arial" w:hAnsi="Arial" w:cs="Arial"/>
        </w:rPr>
        <w:t>Rahgozar</w:t>
      </w:r>
      <w:bookmarkEnd w:id="1"/>
      <w:r w:rsidRPr="0087027A">
        <w:rPr>
          <w:rFonts w:ascii="Arial" w:hAnsi="Arial" w:cs="Arial"/>
        </w:rPr>
        <w:t xml:space="preserve"> </w:t>
      </w:r>
      <w:r w:rsidRPr="0087027A">
        <w:rPr>
          <w:rFonts w:ascii="Arial" w:hAnsi="Arial" w:cs="Arial"/>
          <w:i/>
          <w:iCs/>
        </w:rPr>
        <w:t>et. al.,</w:t>
      </w:r>
      <w:r w:rsidRPr="0087027A">
        <w:rPr>
          <w:rFonts w:ascii="Arial" w:hAnsi="Arial" w:cs="Arial"/>
        </w:rPr>
        <w:t xml:space="preserve"> 2017; Ajagbe </w:t>
      </w:r>
      <w:r w:rsidRPr="0087027A">
        <w:rPr>
          <w:rFonts w:ascii="Arial" w:hAnsi="Arial" w:cs="Arial"/>
          <w:i/>
          <w:iCs/>
        </w:rPr>
        <w:t>et al.,</w:t>
      </w:r>
      <w:r w:rsidRPr="0087027A">
        <w:rPr>
          <w:rFonts w:ascii="Arial" w:hAnsi="Arial" w:cs="Arial"/>
        </w:rPr>
        <w:t xml:space="preserve"> 2024). Using biological methods is a sustainable approach to enhancing soil parameters. Biopolymers are naturally occurring polymers made up of repeated monomeric units found in plants, animals, and microorganisms (</w:t>
      </w:r>
      <w:r w:rsidRPr="0087027A">
        <w:rPr>
          <w:rFonts w:ascii="Arial" w:hAnsi="Arial" w:cs="Arial"/>
          <w:bCs/>
        </w:rPr>
        <w:t xml:space="preserve">Vishweshwaran </w:t>
      </w:r>
      <w:r w:rsidRPr="0087027A">
        <w:rPr>
          <w:rFonts w:ascii="Arial" w:hAnsi="Arial" w:cs="Arial"/>
          <w:bCs/>
          <w:i/>
          <w:iCs/>
        </w:rPr>
        <w:t>et al.,</w:t>
      </w:r>
      <w:r w:rsidRPr="0087027A">
        <w:rPr>
          <w:rFonts w:ascii="Arial" w:hAnsi="Arial" w:cs="Arial"/>
          <w:bCs/>
        </w:rPr>
        <w:t xml:space="preserve"> 2024)</w:t>
      </w:r>
      <w:r w:rsidRPr="0087027A">
        <w:rPr>
          <w:rFonts w:ascii="Arial" w:hAnsi="Arial" w:cs="Arial"/>
        </w:rPr>
        <w:t xml:space="preserve">. They have the capacity to create interconnected networks and gels as a result of their molecular structure. They have the ability to create hydrogels and have a high molecular weight. Due to their unique biological and functional characteristics, biopolymers have found extensive applications in food, packaging, manufacturing, and paper, and have proven to be a viable alternative to synthetic polymers (Gheorghita </w:t>
      </w:r>
      <w:r w:rsidRPr="0087027A">
        <w:rPr>
          <w:rFonts w:ascii="Arial" w:hAnsi="Arial" w:cs="Arial"/>
          <w:i/>
          <w:iCs/>
        </w:rPr>
        <w:t>et al,</w:t>
      </w:r>
      <w:r w:rsidRPr="0087027A">
        <w:rPr>
          <w:rFonts w:ascii="Arial" w:hAnsi="Arial" w:cs="Arial"/>
        </w:rPr>
        <w:t xml:space="preserve"> 2021). Gum Arabic, a natural gum obtained from the Acacia tree, presents a promising solution because of its distinct chemical and physical characteristics (Soldo, </w:t>
      </w:r>
      <w:r w:rsidRPr="0087027A">
        <w:rPr>
          <w:rFonts w:ascii="Arial" w:hAnsi="Arial" w:cs="Arial"/>
          <w:i/>
          <w:iCs/>
        </w:rPr>
        <w:t>et. al.,</w:t>
      </w:r>
      <w:r w:rsidRPr="0087027A">
        <w:rPr>
          <w:rFonts w:ascii="Arial" w:hAnsi="Arial" w:cs="Arial"/>
        </w:rPr>
        <w:t xml:space="preserve"> 2020; Fatehi, </w:t>
      </w:r>
      <w:r w:rsidRPr="0087027A">
        <w:rPr>
          <w:rFonts w:ascii="Arial" w:hAnsi="Arial" w:cs="Arial"/>
          <w:i/>
          <w:iCs/>
        </w:rPr>
        <w:t>et. al.,</w:t>
      </w:r>
      <w:r w:rsidRPr="0087027A">
        <w:rPr>
          <w:rFonts w:ascii="Arial" w:hAnsi="Arial" w:cs="Arial"/>
        </w:rPr>
        <w:t xml:space="preserve"> 2021; Rimbarngaye, </w:t>
      </w:r>
      <w:r w:rsidRPr="0087027A">
        <w:rPr>
          <w:rFonts w:ascii="Arial" w:hAnsi="Arial" w:cs="Arial"/>
          <w:i/>
          <w:iCs/>
        </w:rPr>
        <w:t>et. al.,</w:t>
      </w:r>
      <w:r w:rsidRPr="0087027A">
        <w:rPr>
          <w:rFonts w:ascii="Arial" w:hAnsi="Arial" w:cs="Arial"/>
        </w:rPr>
        <w:t xml:space="preserve"> 2022). As a biopolymer, Gum Arabic is highly soluble in water, non-toxic, and readily biodegradable, making it an ideal candidate for sustainable soil stabilization (Prasad, </w:t>
      </w:r>
      <w:r w:rsidRPr="0087027A">
        <w:rPr>
          <w:rFonts w:ascii="Arial" w:hAnsi="Arial" w:cs="Arial"/>
          <w:i/>
          <w:iCs/>
        </w:rPr>
        <w:t>et. al.,</w:t>
      </w:r>
      <w:r w:rsidRPr="0087027A">
        <w:rPr>
          <w:rFonts w:ascii="Arial" w:hAnsi="Arial" w:cs="Arial"/>
        </w:rPr>
        <w:t xml:space="preserve"> 2022; Rimbarngaye, </w:t>
      </w:r>
      <w:r w:rsidRPr="0087027A">
        <w:rPr>
          <w:rFonts w:ascii="Arial" w:hAnsi="Arial" w:cs="Arial"/>
          <w:i/>
          <w:iCs/>
        </w:rPr>
        <w:t>et. al.,</w:t>
      </w:r>
      <w:r w:rsidRPr="0087027A">
        <w:rPr>
          <w:rFonts w:ascii="Arial" w:hAnsi="Arial" w:cs="Arial"/>
        </w:rPr>
        <w:t xml:space="preserve"> 2022). Its ability to form strong films and improve cohesion between soil particles suggests that it could effectively enhance the strength properties of soils without the adverse environmental impacts associated with conventional stabilizers (Rimbarngaye, </w:t>
      </w:r>
      <w:r w:rsidRPr="0087027A">
        <w:rPr>
          <w:rFonts w:ascii="Arial" w:hAnsi="Arial" w:cs="Arial"/>
          <w:i/>
          <w:iCs/>
        </w:rPr>
        <w:t>et. al.,</w:t>
      </w:r>
      <w:r w:rsidRPr="0087027A">
        <w:rPr>
          <w:rFonts w:ascii="Arial" w:hAnsi="Arial" w:cs="Arial"/>
        </w:rPr>
        <w:t xml:space="preserve"> 2021).</w:t>
      </w:r>
    </w:p>
    <w:p w14:paraId="593DB43E" w14:textId="44A1239F" w:rsidR="00BD5618" w:rsidRPr="00FB3A86" w:rsidRDefault="0087027A" w:rsidP="0087027A">
      <w:pPr>
        <w:pStyle w:val="Body"/>
        <w:rPr>
          <w:rFonts w:ascii="Arial" w:hAnsi="Arial" w:cs="Arial"/>
        </w:rPr>
      </w:pPr>
      <w:r w:rsidRPr="0087027A">
        <w:rPr>
          <w:rFonts w:ascii="Arial" w:hAnsi="Arial" w:cs="Arial"/>
        </w:rPr>
        <w:t xml:space="preserve">The potential of Gum Arabic as a natural, biodegradable additive for soil improvement has not been fully explored. Understanding its impact on the mechanical properties of soils and determining the optimal dosage for maximum efficacy can provide a sustainable solution to current soil improvement challenges. Current research on the use of natural polymers for soil improvement has primarily focused on other biopolymers, such as starch, cellulose, and chitosan, with limited studies specifically investigating Gum Arabic (Wang and Li, 2018; </w:t>
      </w:r>
      <w:r w:rsidRPr="0087027A">
        <w:rPr>
          <w:rFonts w:ascii="Arial" w:hAnsi="Arial" w:cs="Arial"/>
        </w:rPr>
        <w:lastRenderedPageBreak/>
        <w:t xml:space="preserve">Almajed </w:t>
      </w:r>
      <w:r w:rsidRPr="0087027A">
        <w:rPr>
          <w:rFonts w:ascii="Arial" w:hAnsi="Arial" w:cs="Arial"/>
          <w:i/>
          <w:iCs/>
        </w:rPr>
        <w:t>et. al.,</w:t>
      </w:r>
      <w:r w:rsidRPr="0087027A">
        <w:rPr>
          <w:rFonts w:ascii="Arial" w:hAnsi="Arial" w:cs="Arial"/>
        </w:rPr>
        <w:t xml:space="preserve"> 2022; Bozyigit, </w:t>
      </w:r>
      <w:r w:rsidRPr="0087027A">
        <w:rPr>
          <w:rFonts w:ascii="Arial" w:hAnsi="Arial" w:cs="Arial"/>
          <w:i/>
          <w:iCs/>
        </w:rPr>
        <w:t>et. al.,</w:t>
      </w:r>
      <w:r w:rsidRPr="0087027A">
        <w:rPr>
          <w:rFonts w:ascii="Arial" w:hAnsi="Arial" w:cs="Arial"/>
        </w:rPr>
        <w:t xml:space="preserve"> 2023). The lack of comprehensive research on its effectiveness, optimal dosage, and impact on the strength properties of soils represents a significant knowledge gap that hinders its adoption in practical applications. The problem is compounded by the variability in soil types and conditions across different geographical regions. Soils exhibit a wide range of physical and chemical properties, which can affect the performance of any stabilizing agent. Therefore, a thorough investigation into the interaction between Gum Arabic and various soil types is needed to develop standardized guidelines for its use in diverse geotechnical applications.</w:t>
      </w:r>
    </w:p>
    <w:p w14:paraId="2F3885F7" w14:textId="77777777" w:rsidR="00BD5618" w:rsidRDefault="00BD5618" w:rsidP="00BD5618">
      <w:pPr>
        <w:pStyle w:val="AbstHead"/>
        <w:spacing w:after="0"/>
        <w:jc w:val="both"/>
        <w:rPr>
          <w:rFonts w:ascii="Arial" w:hAnsi="Arial" w:cs="Arial"/>
        </w:rPr>
      </w:pPr>
      <w:r>
        <w:rPr>
          <w:rFonts w:ascii="Arial" w:hAnsi="Arial" w:cs="Arial"/>
        </w:rPr>
        <w:t>2. methodology</w:t>
      </w:r>
    </w:p>
    <w:p w14:paraId="26782D99" w14:textId="77777777" w:rsidR="00BD5618" w:rsidRPr="00FB3A86" w:rsidRDefault="00BD5618" w:rsidP="00BD5618">
      <w:pPr>
        <w:pStyle w:val="AbstHead"/>
        <w:spacing w:after="0"/>
        <w:jc w:val="both"/>
        <w:rPr>
          <w:rFonts w:ascii="Arial" w:hAnsi="Arial" w:cs="Arial"/>
        </w:rPr>
      </w:pPr>
    </w:p>
    <w:p w14:paraId="43ED86EE" w14:textId="26109944" w:rsidR="00BD5618" w:rsidRPr="00402250" w:rsidRDefault="00BD5618" w:rsidP="00BD5618">
      <w:pPr>
        <w:pStyle w:val="Body"/>
        <w:rPr>
          <w:rFonts w:ascii="Arial" w:hAnsi="Arial" w:cs="Arial"/>
        </w:rPr>
      </w:pPr>
      <w:r>
        <w:rPr>
          <w:rFonts w:ascii="Arial" w:hAnsi="Arial" w:cs="Arial"/>
          <w:b/>
        </w:rPr>
        <w:t xml:space="preserve">2.1 </w:t>
      </w:r>
      <w:r w:rsidR="0087027A">
        <w:rPr>
          <w:rFonts w:ascii="Arial" w:hAnsi="Arial" w:cs="Arial"/>
          <w:b/>
        </w:rPr>
        <w:t xml:space="preserve">Soil Sample </w:t>
      </w:r>
      <w:r w:rsidRPr="00402250">
        <w:rPr>
          <w:rFonts w:ascii="Arial" w:hAnsi="Arial" w:cs="Arial"/>
          <w:b/>
        </w:rPr>
        <w:t>Collection</w:t>
      </w:r>
    </w:p>
    <w:p w14:paraId="28F592E0" w14:textId="760E5268" w:rsidR="00BD5618" w:rsidRPr="00402250" w:rsidRDefault="0087027A" w:rsidP="0087027A">
      <w:pPr>
        <w:pStyle w:val="Body"/>
        <w:rPr>
          <w:rFonts w:ascii="Arial" w:hAnsi="Arial" w:cs="Arial"/>
        </w:rPr>
      </w:pPr>
      <w:r w:rsidRPr="0087027A">
        <w:rPr>
          <w:rFonts w:ascii="Arial" w:hAnsi="Arial" w:cs="Arial"/>
        </w:rPr>
        <w:t>In this study, suitable geotechnical materials were identified and selected. These materials included clay (laterite) and sand, which represent typical soil compositions encountered in civil engineering projects. The materials were sourced from two different locations, Ebebi (7</w:t>
      </w:r>
      <m:oMath>
        <m:r>
          <w:rPr>
            <w:rFonts w:ascii="Cambria Math" w:hAnsi="Cambria Math" w:cs="Arial"/>
          </w:rPr>
          <m:t>°</m:t>
        </m:r>
      </m:oMath>
      <w:r w:rsidRPr="0087027A">
        <w:rPr>
          <w:rFonts w:ascii="Arial" w:hAnsi="Arial" w:cs="Arial"/>
        </w:rPr>
        <w:t xml:space="preserve"> 47’ 14.402’’ N 4</w:t>
      </w:r>
      <m:oMath>
        <m:r>
          <w:rPr>
            <w:rFonts w:ascii="Cambria Math" w:hAnsi="Cambria Math" w:cs="Arial"/>
          </w:rPr>
          <m:t>°</m:t>
        </m:r>
      </m:oMath>
      <w:r w:rsidRPr="0087027A">
        <w:rPr>
          <w:rFonts w:ascii="Arial" w:hAnsi="Arial" w:cs="Arial"/>
        </w:rPr>
        <w:t xml:space="preserve"> 28’25.075’’ E), Egbedore Local government area of Osun state and Panada (7</w:t>
      </w:r>
      <m:oMath>
        <m:r>
          <w:rPr>
            <w:rFonts w:ascii="Cambria Math" w:hAnsi="Cambria Math" w:cs="Arial"/>
          </w:rPr>
          <m:t>°</m:t>
        </m:r>
      </m:oMath>
      <w:r w:rsidRPr="0087027A">
        <w:rPr>
          <w:rFonts w:ascii="Arial" w:hAnsi="Arial" w:cs="Arial"/>
        </w:rPr>
        <w:t xml:space="preserve"> 38’ 09.191’’ N 4</w:t>
      </w:r>
      <m:oMath>
        <m:r>
          <w:rPr>
            <w:rFonts w:ascii="Cambria Math" w:hAnsi="Cambria Math" w:cs="Arial"/>
          </w:rPr>
          <m:t>°</m:t>
        </m:r>
      </m:oMath>
      <w:r w:rsidRPr="0087027A">
        <w:rPr>
          <w:rFonts w:ascii="Arial" w:hAnsi="Arial" w:cs="Arial"/>
        </w:rPr>
        <w:t xml:space="preserve"> 11’ 40.510’’ E), Iwo local government of Osun state. These soils were characterized to establish baseline properties before treatment. The soil samples were obtained as disturbed soil samples, carefully packed in sealed containers to prevent contamination and moisture losses, and then transported to the laboratory.</w:t>
      </w:r>
    </w:p>
    <w:p w14:paraId="70105FEF" w14:textId="6B45DB2C" w:rsidR="00BD5618" w:rsidRPr="00402250" w:rsidRDefault="00BD5618" w:rsidP="00BD5618">
      <w:pPr>
        <w:pStyle w:val="Body"/>
        <w:rPr>
          <w:rFonts w:ascii="Arial" w:hAnsi="Arial" w:cs="Arial"/>
          <w:b/>
        </w:rPr>
      </w:pPr>
      <w:r>
        <w:rPr>
          <w:rFonts w:ascii="Arial" w:hAnsi="Arial" w:cs="Arial"/>
          <w:b/>
        </w:rPr>
        <w:t xml:space="preserve">2.2 </w:t>
      </w:r>
      <w:r w:rsidR="0087027A">
        <w:rPr>
          <w:rFonts w:ascii="Arial" w:hAnsi="Arial" w:cs="Arial"/>
          <w:b/>
        </w:rPr>
        <w:t>Gum Arabic Preparation</w:t>
      </w:r>
    </w:p>
    <w:p w14:paraId="7B520DE9" w14:textId="77777777" w:rsidR="0087027A" w:rsidRDefault="0087027A" w:rsidP="00BD5618">
      <w:pPr>
        <w:pStyle w:val="Body"/>
        <w:rPr>
          <w:rFonts w:ascii="Arial" w:hAnsi="Arial" w:cs="Arial"/>
        </w:rPr>
      </w:pPr>
      <w:r w:rsidRPr="0087027A">
        <w:rPr>
          <w:rFonts w:ascii="Arial" w:hAnsi="Arial" w:cs="Arial"/>
        </w:rPr>
        <w:t>Gum Arabic was sourced from reputable suppliers to ensure quality and purity. The Arabic gum was then prepared by dissolving it in water to create a uniform solution. This solution was used for integrating the Gum Arabic into the geotechnical materials, with the concentration carefully controlled to ensure consistent results across different dosages.</w:t>
      </w:r>
    </w:p>
    <w:p w14:paraId="2DD80DA4" w14:textId="77777777" w:rsidR="0087027A" w:rsidRPr="0087027A" w:rsidRDefault="0087027A" w:rsidP="0087027A">
      <w:pPr>
        <w:pStyle w:val="Body"/>
        <w:jc w:val="center"/>
        <w:rPr>
          <w:rFonts w:ascii="Arial" w:hAnsi="Arial" w:cs="Arial"/>
        </w:rPr>
      </w:pPr>
      <w:r w:rsidRPr="0087027A">
        <w:rPr>
          <w:rFonts w:ascii="Arial" w:hAnsi="Arial" w:cs="Arial"/>
          <w:noProof/>
        </w:rPr>
        <w:drawing>
          <wp:inline distT="0" distB="0" distL="0" distR="0" wp14:anchorId="397AA468" wp14:editId="777E06F5">
            <wp:extent cx="2077154" cy="1901825"/>
            <wp:effectExtent l="0" t="0" r="0" b="3175"/>
            <wp:docPr id="60558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0512" cy="1923211"/>
                    </a:xfrm>
                    <a:prstGeom prst="rect">
                      <a:avLst/>
                    </a:prstGeom>
                    <a:noFill/>
                    <a:ln>
                      <a:noFill/>
                    </a:ln>
                  </pic:spPr>
                </pic:pic>
              </a:graphicData>
            </a:graphic>
          </wp:inline>
        </w:drawing>
      </w:r>
    </w:p>
    <w:p w14:paraId="14C4AAD2" w14:textId="55DC4324" w:rsidR="0087027A" w:rsidRPr="0087027A" w:rsidRDefault="0087027A" w:rsidP="0087027A">
      <w:pPr>
        <w:pStyle w:val="Body"/>
        <w:jc w:val="center"/>
        <w:rPr>
          <w:rFonts w:ascii="Arial" w:hAnsi="Arial" w:cs="Arial"/>
          <w:b/>
          <w:bCs/>
        </w:rPr>
      </w:pPr>
      <w:r w:rsidRPr="0087027A">
        <w:rPr>
          <w:rFonts w:ascii="Arial" w:hAnsi="Arial" w:cs="Arial"/>
          <w:b/>
          <w:bCs/>
        </w:rPr>
        <w:t>Fig</w:t>
      </w:r>
      <w:r w:rsidR="00BC677C">
        <w:rPr>
          <w:rFonts w:ascii="Arial" w:hAnsi="Arial" w:cs="Arial"/>
          <w:b/>
          <w:bCs/>
        </w:rPr>
        <w:t xml:space="preserve">. </w:t>
      </w:r>
      <w:r w:rsidRPr="0087027A">
        <w:rPr>
          <w:rFonts w:ascii="Arial" w:hAnsi="Arial" w:cs="Arial"/>
          <w:b/>
          <w:bCs/>
        </w:rPr>
        <w:t>1:</w:t>
      </w:r>
      <w:r w:rsidRPr="0087027A">
        <w:rPr>
          <w:rFonts w:ascii="Arial" w:hAnsi="Arial" w:cs="Arial"/>
        </w:rPr>
        <w:t xml:space="preserve"> Sample of Gum Arabic</w:t>
      </w:r>
    </w:p>
    <w:p w14:paraId="296B0897" w14:textId="6ED1968E" w:rsidR="00BD5618" w:rsidRPr="00402250" w:rsidRDefault="00BD5618" w:rsidP="00BD5618">
      <w:pPr>
        <w:pStyle w:val="Body"/>
        <w:rPr>
          <w:rFonts w:ascii="Arial" w:hAnsi="Arial" w:cs="Arial"/>
          <w:b/>
        </w:rPr>
      </w:pPr>
      <w:r>
        <w:rPr>
          <w:rFonts w:ascii="Arial" w:hAnsi="Arial" w:cs="Arial"/>
          <w:b/>
        </w:rPr>
        <w:t xml:space="preserve">2.3 </w:t>
      </w:r>
      <w:r w:rsidR="0087027A">
        <w:rPr>
          <w:rFonts w:ascii="Arial" w:hAnsi="Arial" w:cs="Arial"/>
          <w:b/>
        </w:rPr>
        <w:t>Sample Preparation</w:t>
      </w:r>
    </w:p>
    <w:p w14:paraId="0A3543E7" w14:textId="1F5868BF" w:rsidR="00BD5618" w:rsidRPr="00402250" w:rsidRDefault="0087027A" w:rsidP="00BD5618">
      <w:pPr>
        <w:pStyle w:val="Body"/>
        <w:rPr>
          <w:rFonts w:ascii="Arial" w:hAnsi="Arial" w:cs="Arial"/>
        </w:rPr>
      </w:pPr>
      <w:r w:rsidRPr="0087027A">
        <w:rPr>
          <w:rFonts w:ascii="Arial" w:hAnsi="Arial" w:cs="Arial"/>
        </w:rPr>
        <w:t>Gum Arabic was mixed with the selected geotechnical materials at varying dosages to assess its impact on consolidation properties. The mixing process ensured thorough homogenization of the Gum Arabic solution with the soil samples. The treated samples were then subjected to a series of consolidation and mechanical tests. Different proportions of Gum Arabic (0%, 0.2%, 0.4%, 0.7%, 0.8% and 1%, by weight of dry soil) were mixed with the soil to create stabilized specimens.</w:t>
      </w:r>
    </w:p>
    <w:p w14:paraId="387AAD7D" w14:textId="2A8AE5E1" w:rsidR="00BD5618" w:rsidRPr="00402250" w:rsidRDefault="00BD5618" w:rsidP="00BD5618">
      <w:pPr>
        <w:pStyle w:val="Body"/>
        <w:rPr>
          <w:rFonts w:ascii="Arial" w:hAnsi="Arial" w:cs="Arial"/>
          <w:b/>
        </w:rPr>
      </w:pPr>
      <w:r>
        <w:rPr>
          <w:rFonts w:ascii="Arial" w:hAnsi="Arial" w:cs="Arial"/>
          <w:b/>
        </w:rPr>
        <w:lastRenderedPageBreak/>
        <w:t xml:space="preserve">2.4 </w:t>
      </w:r>
      <w:r w:rsidR="0087027A">
        <w:rPr>
          <w:rFonts w:ascii="Arial" w:hAnsi="Arial" w:cs="Arial"/>
          <w:b/>
        </w:rPr>
        <w:t>Laboratory Testing</w:t>
      </w:r>
    </w:p>
    <w:p w14:paraId="238475BE" w14:textId="57A7453A" w:rsidR="00BD5618" w:rsidRDefault="0087027A" w:rsidP="00BD5618">
      <w:pPr>
        <w:pStyle w:val="Body"/>
        <w:rPr>
          <w:rFonts w:ascii="Arial" w:hAnsi="Arial" w:cs="Arial"/>
        </w:rPr>
      </w:pPr>
      <w:r w:rsidRPr="0087027A">
        <w:rPr>
          <w:rFonts w:ascii="Arial" w:hAnsi="Arial" w:cs="Arial"/>
        </w:rPr>
        <w:t>Preliminary tests were carried out on the soil samples to determine the initial characterization of the soil. These tests include moisture content analysis, specific gravity test, plastic limit test, liquid limit test, sieve analysis and compaction. California Bearing Ratio (CBR) and Consolidation was the carried out on the treated and untreated soil samples to determine the effect of dosages on the improvement of the geotechnical properties of the soil</w:t>
      </w:r>
    </w:p>
    <w:p w14:paraId="2BA5BB5D" w14:textId="5771814C" w:rsidR="00BD5618" w:rsidRPr="00402250" w:rsidRDefault="00BD5618" w:rsidP="00BD5618">
      <w:pPr>
        <w:pStyle w:val="Body"/>
        <w:rPr>
          <w:rFonts w:ascii="Arial" w:hAnsi="Arial" w:cs="Arial"/>
        </w:rPr>
      </w:pPr>
      <w:r w:rsidRPr="00940B10">
        <w:rPr>
          <w:rFonts w:ascii="Arial" w:hAnsi="Arial" w:cs="Arial"/>
          <w:b/>
          <w:bCs/>
        </w:rPr>
        <w:t xml:space="preserve">2.5 </w:t>
      </w:r>
      <w:r w:rsidR="0087027A">
        <w:rPr>
          <w:rFonts w:ascii="Arial" w:hAnsi="Arial" w:cs="Arial"/>
          <w:b/>
          <w:bCs/>
        </w:rPr>
        <w:t>Moisture Content</w:t>
      </w:r>
    </w:p>
    <w:p w14:paraId="1E022659" w14:textId="77777777" w:rsidR="0087027A" w:rsidRPr="0087027A" w:rsidRDefault="0087027A" w:rsidP="0087027A">
      <w:pPr>
        <w:pStyle w:val="Body"/>
        <w:rPr>
          <w:rFonts w:ascii="Arial" w:hAnsi="Arial" w:cs="Arial"/>
        </w:rPr>
      </w:pPr>
      <w:r w:rsidRPr="0087027A">
        <w:rPr>
          <w:rFonts w:ascii="Arial" w:hAnsi="Arial" w:cs="Arial"/>
        </w:rPr>
        <w:t>A representative sample of the soil was obtained. The sample was placed in a container, weighed and recorded as W</w:t>
      </w:r>
      <w:r w:rsidRPr="0087027A">
        <w:rPr>
          <w:rFonts w:ascii="Arial" w:hAnsi="Arial" w:cs="Arial"/>
          <w:vertAlign w:val="subscript"/>
        </w:rPr>
        <w:t>1</w:t>
      </w:r>
      <w:r w:rsidRPr="0087027A">
        <w:rPr>
          <w:rFonts w:ascii="Arial" w:hAnsi="Arial" w:cs="Arial"/>
        </w:rPr>
        <w:t>. The sample was then dried in an oven at a temperature of 105</w:t>
      </w:r>
      <w:r w:rsidRPr="0087027A">
        <w:rPr>
          <w:rFonts w:ascii="Cambria Math" w:hAnsi="Cambria Math" w:cs="Cambria Math"/>
        </w:rPr>
        <w:t>℃</w:t>
      </w:r>
      <w:r w:rsidRPr="0087027A">
        <w:rPr>
          <w:rFonts w:ascii="Arial" w:hAnsi="Arial" w:cs="Arial"/>
        </w:rPr>
        <w:t xml:space="preserve"> for 2 hours. This is no ascertain that the sample no longer loses weight with further drying. The final weight of the container and dried sample was taken and recorded as W</w:t>
      </w:r>
      <w:r w:rsidRPr="0087027A">
        <w:rPr>
          <w:rFonts w:ascii="Arial" w:hAnsi="Arial" w:cs="Arial"/>
          <w:vertAlign w:val="subscript"/>
        </w:rPr>
        <w:t>2</w:t>
      </w:r>
      <w:r w:rsidRPr="0087027A">
        <w:rPr>
          <w:rFonts w:ascii="Arial" w:hAnsi="Arial" w:cs="Arial"/>
        </w:rPr>
        <w:t>. The moisture content of the soil was then calculated using the equation below.</w:t>
      </w:r>
    </w:p>
    <w:p w14:paraId="5385D81B" w14:textId="7B12C03F" w:rsidR="0087027A" w:rsidRPr="0087027A" w:rsidRDefault="0087027A" w:rsidP="0087027A">
      <w:pPr>
        <w:pStyle w:val="Body"/>
        <w:rPr>
          <w:rFonts w:ascii="Arial" w:hAnsi="Arial" w:cs="Arial"/>
        </w:rPr>
      </w:pPr>
      <w:r w:rsidRPr="0087027A">
        <w:rPr>
          <w:rFonts w:ascii="Arial" w:hAnsi="Arial" w:cs="Arial"/>
        </w:rPr>
        <w:tab/>
      </w:r>
      <w:r w:rsidRPr="0087027A">
        <w:rPr>
          <w:rFonts w:ascii="Arial" w:hAnsi="Arial" w:cs="Arial"/>
        </w:rPr>
        <w:tab/>
        <w:t>Moisture Content (%)</w:t>
      </w:r>
      <w:r w:rsidRPr="0087027A">
        <w:rPr>
          <w:rFonts w:ascii="Arial" w:hAnsi="Arial" w:cs="Arial"/>
        </w:rPr>
        <w:tab/>
      </w:r>
      <w:r w:rsidRPr="0087027A">
        <w:rPr>
          <w:rFonts w:ascii="Arial" w:hAnsi="Arial" w:cs="Arial"/>
        </w:rPr>
        <w:tab/>
        <w:t>=</w:t>
      </w:r>
      <w:r w:rsidRPr="0087027A">
        <w:rPr>
          <w:rFonts w:ascii="Arial" w:hAnsi="Arial" w:cs="Arial"/>
        </w:rPr>
        <w:tab/>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3</m:t>
                </m:r>
              </m:sub>
            </m:sSub>
          </m:den>
        </m:f>
        <m:r>
          <w:rPr>
            <w:rFonts w:ascii="Cambria Math" w:hAnsi="Cambria Math" w:cs="Arial"/>
          </w:rPr>
          <m:t xml:space="preserve"> x 100</m:t>
        </m:r>
      </m:oMath>
    </w:p>
    <w:p w14:paraId="32C9E4CE" w14:textId="77777777" w:rsidR="0087027A" w:rsidRDefault="0087027A" w:rsidP="0087027A">
      <w:pPr>
        <w:pStyle w:val="Body"/>
        <w:rPr>
          <w:rFonts w:ascii="Arial" w:hAnsi="Arial" w:cs="Arial"/>
        </w:rPr>
      </w:pPr>
      <w:r w:rsidRPr="0087027A">
        <w:rPr>
          <w:rFonts w:ascii="Arial" w:hAnsi="Arial" w:cs="Arial"/>
        </w:rPr>
        <w:tab/>
        <w:t>Where; W</w:t>
      </w:r>
      <w:r w:rsidRPr="0087027A">
        <w:rPr>
          <w:rFonts w:ascii="Arial" w:hAnsi="Arial" w:cs="Arial"/>
          <w:vertAlign w:val="subscript"/>
        </w:rPr>
        <w:t>1</w:t>
      </w:r>
      <w:r w:rsidRPr="0087027A">
        <w:rPr>
          <w:rFonts w:ascii="Arial" w:hAnsi="Arial" w:cs="Arial"/>
        </w:rPr>
        <w:t xml:space="preserve"> is the wet weight of the sample and the container and W</w:t>
      </w:r>
      <w:r w:rsidRPr="0087027A">
        <w:rPr>
          <w:rFonts w:ascii="Arial" w:hAnsi="Arial" w:cs="Arial"/>
          <w:vertAlign w:val="subscript"/>
        </w:rPr>
        <w:t>2</w:t>
      </w:r>
      <w:r w:rsidRPr="0087027A">
        <w:rPr>
          <w:rFonts w:ascii="Arial" w:hAnsi="Arial" w:cs="Arial"/>
        </w:rPr>
        <w:t xml:space="preserve"> is the dry weight of the sample and the container. </w:t>
      </w:r>
    </w:p>
    <w:p w14:paraId="0C93DFC2" w14:textId="00E1C86D" w:rsidR="0087027A" w:rsidRPr="00402250" w:rsidRDefault="0087027A" w:rsidP="0087027A">
      <w:pPr>
        <w:pStyle w:val="Body"/>
        <w:rPr>
          <w:rFonts w:ascii="Arial" w:hAnsi="Arial" w:cs="Arial"/>
        </w:rPr>
      </w:pPr>
      <w:r w:rsidRPr="00940B10">
        <w:rPr>
          <w:rFonts w:ascii="Arial" w:hAnsi="Arial" w:cs="Arial"/>
          <w:b/>
          <w:bCs/>
        </w:rPr>
        <w:t>2.</w:t>
      </w:r>
      <w:r>
        <w:rPr>
          <w:rFonts w:ascii="Arial" w:hAnsi="Arial" w:cs="Arial"/>
          <w:b/>
          <w:bCs/>
        </w:rPr>
        <w:t>6</w:t>
      </w:r>
      <w:r w:rsidRPr="00940B10">
        <w:rPr>
          <w:rFonts w:ascii="Arial" w:hAnsi="Arial" w:cs="Arial"/>
          <w:b/>
          <w:bCs/>
        </w:rPr>
        <w:t xml:space="preserve"> </w:t>
      </w:r>
      <w:r>
        <w:rPr>
          <w:rFonts w:ascii="Arial" w:hAnsi="Arial" w:cs="Arial"/>
          <w:b/>
          <w:bCs/>
        </w:rPr>
        <w:t>Specific Gravity</w:t>
      </w:r>
    </w:p>
    <w:p w14:paraId="5DC539D4" w14:textId="77777777" w:rsidR="0087027A" w:rsidRPr="0087027A" w:rsidRDefault="0087027A" w:rsidP="0087027A">
      <w:pPr>
        <w:pStyle w:val="Body"/>
        <w:spacing w:after="40"/>
        <w:rPr>
          <w:rFonts w:ascii="Arial" w:hAnsi="Arial" w:cs="Arial"/>
        </w:rPr>
      </w:pPr>
      <w:r w:rsidRPr="0087027A">
        <w:rPr>
          <w:rFonts w:ascii="Arial" w:hAnsi="Arial" w:cs="Arial"/>
        </w:rPr>
        <w:t>To determine the specific gravity of the soil, the pycnometer method was used. Specific gravity (Gs) is the ratio of the mass of a unit volume of soil solids to the mass of an equal volume of gas-free distilled water at 20°C. A representative soil sample was obtained, dried thoroughly in an oven and cooled in a desiccator. A clean and dried pycnometer was weighed and noted as W</w:t>
      </w:r>
      <w:r w:rsidRPr="0087027A">
        <w:rPr>
          <w:rFonts w:ascii="Arial" w:hAnsi="Arial" w:cs="Arial"/>
          <w:vertAlign w:val="subscript"/>
        </w:rPr>
        <w:t>1</w:t>
      </w:r>
      <w:r w:rsidRPr="0087027A">
        <w:rPr>
          <w:rFonts w:ascii="Arial" w:hAnsi="Arial" w:cs="Arial"/>
        </w:rPr>
        <w:t>. The oven-dried soil sample was placed into the pycnometer, weighed and noted as W</w:t>
      </w:r>
      <w:r w:rsidRPr="0087027A">
        <w:rPr>
          <w:rFonts w:ascii="Arial" w:hAnsi="Arial" w:cs="Arial"/>
          <w:vertAlign w:val="subscript"/>
        </w:rPr>
        <w:t>2</w:t>
      </w:r>
      <w:r w:rsidRPr="0087027A">
        <w:rPr>
          <w:rFonts w:ascii="Arial" w:hAnsi="Arial" w:cs="Arial"/>
        </w:rPr>
        <w:t>. Distilled water was then added to the pycnometer, ensuring that it was filled to the mark. A vacuum pump was used to remove any entrapped air bubbles. The weight of the pycnometer, soil and water was determined and noted as W</w:t>
      </w:r>
      <w:r w:rsidRPr="0087027A">
        <w:rPr>
          <w:rFonts w:ascii="Arial" w:hAnsi="Arial" w:cs="Arial"/>
          <w:vertAlign w:val="subscript"/>
        </w:rPr>
        <w:t>3</w:t>
      </w:r>
      <w:r w:rsidRPr="0087027A">
        <w:rPr>
          <w:rFonts w:ascii="Arial" w:hAnsi="Arial" w:cs="Arial"/>
        </w:rPr>
        <w:t>. The pycnometer was then emptied, cleaned, filled with water and weighed. The weight was recorded as W</w:t>
      </w:r>
      <w:r w:rsidRPr="0087027A">
        <w:rPr>
          <w:rFonts w:ascii="Arial" w:hAnsi="Arial" w:cs="Arial"/>
          <w:vertAlign w:val="subscript"/>
        </w:rPr>
        <w:t>4</w:t>
      </w:r>
      <w:r w:rsidRPr="0087027A">
        <w:rPr>
          <w:rFonts w:ascii="Arial" w:hAnsi="Arial" w:cs="Arial"/>
        </w:rPr>
        <w:t>. The specific gravity of the soil was then determined using the equation below</w:t>
      </w:r>
    </w:p>
    <w:p w14:paraId="029B949E" w14:textId="50489519" w:rsidR="00BD5618" w:rsidRPr="00402250" w:rsidRDefault="00BD5618" w:rsidP="0087027A">
      <w:pPr>
        <w:pStyle w:val="Body"/>
        <w:spacing w:after="40"/>
        <w:jc w:val="center"/>
        <w:rPr>
          <w:rFonts w:ascii="Arial" w:hAnsi="Arial" w:cs="Arial"/>
          <w:iCs/>
        </w:rPr>
      </w:pPr>
      <w:r w:rsidRPr="00402250">
        <w:rPr>
          <w:rFonts w:ascii="Arial" w:hAnsi="Arial" w:cs="Arial"/>
          <w:i/>
        </w:rPr>
        <w:t>Specific gravity</w:t>
      </w:r>
      <m:oMath>
        <m:r>
          <w:rPr>
            <w:rFonts w:ascii="Cambria Math" w:hAnsi="Cambria Math" w:cs="Arial"/>
          </w:rPr>
          <m:t>=</m:t>
        </m:r>
        <m:f>
          <m:fPr>
            <m:ctrlPr>
              <w:rPr>
                <w:rFonts w:ascii="Cambria Math" w:hAnsi="Cambria Math" w:cs="Arial"/>
                <w:i/>
              </w:rPr>
            </m:ctrlPr>
          </m:fPr>
          <m:num>
            <m:r>
              <w:rPr>
                <w:rFonts w:ascii="Cambria Math" w:hAnsi="Cambria Math" w:cs="Arial"/>
              </w:rPr>
              <m:t>(W2-w1)</m:t>
            </m:r>
          </m:num>
          <m:den>
            <m:d>
              <m:dPr>
                <m:ctrlPr>
                  <w:rPr>
                    <w:rFonts w:ascii="Cambria Math" w:hAnsi="Cambria Math" w:cs="Arial"/>
                    <w:i/>
                  </w:rPr>
                </m:ctrlPr>
              </m:dPr>
              <m:e>
                <m:r>
                  <w:rPr>
                    <w:rFonts w:ascii="Cambria Math" w:hAnsi="Cambria Math" w:cs="Arial"/>
                  </w:rPr>
                  <m:t>W2-w1</m:t>
                </m:r>
              </m:e>
            </m:d>
            <m:r>
              <w:rPr>
                <w:rFonts w:ascii="Cambria Math" w:hAnsi="Cambria Math" w:cs="Arial"/>
              </w:rPr>
              <m:t>-(W3-W4)</m:t>
            </m:r>
          </m:den>
        </m:f>
      </m:oMath>
    </w:p>
    <w:p w14:paraId="56B3EEF5" w14:textId="0D8285CD" w:rsidR="00BD5618" w:rsidRDefault="0087027A" w:rsidP="0087027A">
      <w:pPr>
        <w:pStyle w:val="Body"/>
        <w:spacing w:after="40"/>
        <w:ind w:firstLine="720"/>
        <w:rPr>
          <w:rFonts w:ascii="Arial" w:hAnsi="Arial" w:cs="Arial"/>
        </w:rPr>
      </w:pPr>
      <w:r w:rsidRPr="0087027A">
        <w:rPr>
          <w:rFonts w:ascii="Arial" w:hAnsi="Arial" w:cs="Arial"/>
        </w:rPr>
        <w:t>Where; W</w:t>
      </w:r>
      <w:r w:rsidRPr="0087027A">
        <w:rPr>
          <w:rFonts w:ascii="Arial" w:hAnsi="Arial" w:cs="Arial"/>
          <w:vertAlign w:val="subscript"/>
        </w:rPr>
        <w:t>1</w:t>
      </w:r>
      <w:r w:rsidRPr="0087027A">
        <w:rPr>
          <w:rFonts w:ascii="Arial" w:hAnsi="Arial" w:cs="Arial"/>
        </w:rPr>
        <w:t xml:space="preserve"> is the weight of the empty pycnometer; W2 is the weight of pycnometer and dried soil; W3 is the weight of pycnometer, soil and water; and W4 is the weight of pycnometer and water.</w:t>
      </w:r>
    </w:p>
    <w:p w14:paraId="3FC9ED61" w14:textId="77777777" w:rsidR="0087027A" w:rsidRPr="00402250" w:rsidRDefault="0087027A" w:rsidP="00BD5618">
      <w:pPr>
        <w:pStyle w:val="Body"/>
        <w:spacing w:after="40"/>
        <w:rPr>
          <w:rFonts w:ascii="Arial" w:hAnsi="Arial" w:cs="Arial"/>
        </w:rPr>
      </w:pPr>
    </w:p>
    <w:p w14:paraId="4FE2FE60" w14:textId="7C7292D8" w:rsidR="00BD5618" w:rsidRPr="00402250" w:rsidRDefault="00BD5618" w:rsidP="00BD5618">
      <w:pPr>
        <w:pStyle w:val="Body"/>
        <w:spacing w:after="40"/>
        <w:rPr>
          <w:rFonts w:ascii="Arial" w:hAnsi="Arial" w:cs="Arial"/>
          <w:b/>
          <w:bCs/>
        </w:rPr>
      </w:pPr>
      <w:r>
        <w:rPr>
          <w:rFonts w:ascii="Arial" w:hAnsi="Arial" w:cs="Arial"/>
          <w:b/>
          <w:bCs/>
        </w:rPr>
        <w:t>2.</w:t>
      </w:r>
      <w:r w:rsidR="0087027A">
        <w:rPr>
          <w:rFonts w:ascii="Arial" w:hAnsi="Arial" w:cs="Arial"/>
          <w:b/>
          <w:bCs/>
        </w:rPr>
        <w:t>7</w:t>
      </w:r>
      <w:r>
        <w:rPr>
          <w:rFonts w:ascii="Arial" w:hAnsi="Arial" w:cs="Arial"/>
          <w:b/>
          <w:bCs/>
        </w:rPr>
        <w:t xml:space="preserve"> </w:t>
      </w:r>
      <w:r w:rsidR="0087027A">
        <w:rPr>
          <w:rFonts w:ascii="Arial" w:hAnsi="Arial" w:cs="Arial"/>
          <w:b/>
          <w:bCs/>
        </w:rPr>
        <w:t>Liquid Limit</w:t>
      </w:r>
    </w:p>
    <w:p w14:paraId="01FC3384" w14:textId="77777777" w:rsidR="0087027A" w:rsidRPr="0087027A" w:rsidRDefault="0087027A" w:rsidP="0087027A">
      <w:pPr>
        <w:pStyle w:val="Body"/>
        <w:rPr>
          <w:rFonts w:ascii="Arial" w:hAnsi="Arial" w:cs="Arial"/>
        </w:rPr>
      </w:pPr>
      <w:r w:rsidRPr="0087027A">
        <w:rPr>
          <w:rFonts w:ascii="Arial" w:hAnsi="Arial" w:cs="Arial"/>
        </w:rPr>
        <w:t>The liquid limit of the soil sample was determined by the Casagrande method, which involved measuring the moisture content at which a soil grove closes under 25 blows of a standard apparatus. The liquid limit (LL) is the moisture content at which a soil transitions from a liquid state to a plastic state when subjected to a standard test. It's a key parameter in soil mechanics, used to assess soil behavior and guide construction practices.</w:t>
      </w:r>
    </w:p>
    <w:p w14:paraId="28DDA662" w14:textId="77777777" w:rsidR="0087027A" w:rsidRDefault="0087027A" w:rsidP="0087027A">
      <w:pPr>
        <w:pStyle w:val="Body"/>
        <w:rPr>
          <w:rFonts w:ascii="Arial" w:hAnsi="Arial" w:cs="Arial"/>
        </w:rPr>
      </w:pPr>
      <w:r w:rsidRPr="0087027A">
        <w:rPr>
          <w:rFonts w:ascii="Arial" w:hAnsi="Arial" w:cs="Arial"/>
        </w:rPr>
        <w:t xml:space="preserve">Air-dried soil was passed through a 425-micron sieve. The soil was mixed with water to form a uniform paste, which was then placed in a nylon and left for 2 hours to ensure complete saturation of the soil sample. The soil paste was placed in a standard cup of the Casagrande apparatus, then the surface of the soil in the cup was smooth to a depth of about 8mm. Using a grooving tool, the soil was cut along the center of the soil pat. The cup was then lifted and dropped using a crank-operated cam at a rate of 2 revolutions per second, while counting the </w:t>
      </w:r>
      <w:r w:rsidRPr="0087027A">
        <w:rPr>
          <w:rFonts w:ascii="Arial" w:hAnsi="Arial" w:cs="Arial"/>
        </w:rPr>
        <w:lastRenderedPageBreak/>
        <w:t>number of blows (N) required for the two halves of the soil cake to come in contact for a length of about 12.7mm by flow not by sliding. The tests were repeated with different moisture contents, ensuring that the number of blows (N) falls between 1 and 50. For each trial, a sample was collected from the closed part of the cup for moisture content determination. Finally, the moisture content (w%) was plotted against number of blows (N), a best fit straight line through the plotted points was drawn, and the moisture content corresponding to 25 blows (N = 25) on the flow curve was determined as the liquid limit (LL) of the soil.</w:t>
      </w:r>
    </w:p>
    <w:p w14:paraId="5135A6D2" w14:textId="111AD375" w:rsidR="00BD5618" w:rsidRPr="00402250" w:rsidRDefault="00BD5618" w:rsidP="0087027A">
      <w:pPr>
        <w:pStyle w:val="Body"/>
        <w:rPr>
          <w:rFonts w:ascii="Arial" w:hAnsi="Arial" w:cs="Arial"/>
          <w:b/>
        </w:rPr>
      </w:pPr>
      <w:r>
        <w:rPr>
          <w:rFonts w:ascii="Arial" w:hAnsi="Arial" w:cs="Arial"/>
          <w:b/>
        </w:rPr>
        <w:t>2.</w:t>
      </w:r>
      <w:r w:rsidR="0087027A">
        <w:rPr>
          <w:rFonts w:ascii="Arial" w:hAnsi="Arial" w:cs="Arial"/>
          <w:b/>
        </w:rPr>
        <w:t>8</w:t>
      </w:r>
      <w:r>
        <w:rPr>
          <w:rFonts w:ascii="Arial" w:hAnsi="Arial" w:cs="Arial"/>
          <w:b/>
        </w:rPr>
        <w:t xml:space="preserve"> </w:t>
      </w:r>
      <w:r w:rsidR="0087027A">
        <w:rPr>
          <w:rFonts w:ascii="Arial" w:hAnsi="Arial" w:cs="Arial"/>
          <w:b/>
        </w:rPr>
        <w:t>Plastic Limit</w:t>
      </w:r>
    </w:p>
    <w:p w14:paraId="124DB6E9" w14:textId="43A7DE09" w:rsidR="00BD5618" w:rsidRPr="00402250" w:rsidRDefault="0087027A" w:rsidP="00BD5618">
      <w:pPr>
        <w:pStyle w:val="Body"/>
        <w:rPr>
          <w:rFonts w:ascii="Arial" w:hAnsi="Arial" w:cs="Arial"/>
        </w:rPr>
      </w:pPr>
      <w:r w:rsidRPr="0087027A">
        <w:rPr>
          <w:rFonts w:ascii="Arial" w:hAnsi="Arial" w:cs="Arial"/>
        </w:rPr>
        <w:t>The plastic limit of soil, a key indicator of its plasticity, is determined by finding the water content at which a soil sample, when rolled into a thread, just begins to crumble when the thread reaches a 3 mm diameter. The plastic limit (PL) is the moisture content at which a soil transitions from a plastic state to a semi-solid state. It's a crucial parameter in soil classification and assessing the suitability of soil for various engineering applications, along with the liquid limit, to determine the plasticity index. A soil sample was prepared by adding water and kneading until it reached a workable consistency. The soil was then rolled into a thread using a ground glass plate or other acceptable surface until it reached a diameter of approximately 3 mm (1/8 inch). The water content at which the thread just begins to crumble is defined as the plastic limit.</w:t>
      </w:r>
    </w:p>
    <w:p w14:paraId="4A6EBC58" w14:textId="42867C5B" w:rsidR="00BD5618" w:rsidRPr="00402250" w:rsidRDefault="00BD5618" w:rsidP="00BD5618">
      <w:pPr>
        <w:pStyle w:val="Body"/>
        <w:rPr>
          <w:rFonts w:ascii="Arial" w:hAnsi="Arial" w:cs="Arial"/>
          <w:b/>
        </w:rPr>
      </w:pPr>
      <w:r>
        <w:rPr>
          <w:rFonts w:ascii="Arial" w:hAnsi="Arial" w:cs="Arial"/>
          <w:b/>
        </w:rPr>
        <w:t>2.</w:t>
      </w:r>
      <w:r w:rsidR="0087027A">
        <w:rPr>
          <w:rFonts w:ascii="Arial" w:hAnsi="Arial" w:cs="Arial"/>
          <w:b/>
        </w:rPr>
        <w:t>9</w:t>
      </w:r>
      <w:r>
        <w:rPr>
          <w:rFonts w:ascii="Arial" w:hAnsi="Arial" w:cs="Arial"/>
          <w:b/>
        </w:rPr>
        <w:t xml:space="preserve"> </w:t>
      </w:r>
      <w:r w:rsidR="0087027A">
        <w:rPr>
          <w:rFonts w:ascii="Arial" w:hAnsi="Arial" w:cs="Arial"/>
          <w:b/>
        </w:rPr>
        <w:t>Plastic Index</w:t>
      </w:r>
    </w:p>
    <w:p w14:paraId="49E3DA9D" w14:textId="77777777" w:rsidR="00BC677C" w:rsidRDefault="00BC677C" w:rsidP="0087027A">
      <w:pPr>
        <w:pStyle w:val="Body"/>
        <w:rPr>
          <w:rFonts w:ascii="Arial" w:hAnsi="Arial" w:cs="Arial"/>
        </w:rPr>
      </w:pPr>
      <w:r w:rsidRPr="00BC677C">
        <w:rPr>
          <w:rFonts w:ascii="Arial" w:hAnsi="Arial" w:cs="Arial"/>
        </w:rPr>
        <w:t>The Plasticity Index (PI) of soil, a measure of its plasticity. It represents the range of water content over which a soil remains in a plastic state, indicating its ability to deform without cracking. The plasticity index (PI) is calculated by subtracting the plastic limit from the liquid limit (PI = LL - PL).</w:t>
      </w:r>
    </w:p>
    <w:p w14:paraId="26495367" w14:textId="1DDF04BA" w:rsidR="0087027A" w:rsidRPr="00402250" w:rsidRDefault="0087027A" w:rsidP="0087027A">
      <w:pPr>
        <w:pStyle w:val="Body"/>
        <w:rPr>
          <w:rFonts w:ascii="Arial" w:hAnsi="Arial" w:cs="Arial"/>
          <w:b/>
        </w:rPr>
      </w:pPr>
      <w:r>
        <w:rPr>
          <w:rFonts w:ascii="Arial" w:hAnsi="Arial" w:cs="Arial"/>
          <w:b/>
        </w:rPr>
        <w:t>2.</w:t>
      </w:r>
      <w:r w:rsidR="00BC677C">
        <w:rPr>
          <w:rFonts w:ascii="Arial" w:hAnsi="Arial" w:cs="Arial"/>
          <w:b/>
        </w:rPr>
        <w:t>10</w:t>
      </w:r>
      <w:r>
        <w:rPr>
          <w:rFonts w:ascii="Arial" w:hAnsi="Arial" w:cs="Arial"/>
          <w:b/>
        </w:rPr>
        <w:t xml:space="preserve"> </w:t>
      </w:r>
      <w:r w:rsidR="00BC677C">
        <w:rPr>
          <w:rFonts w:ascii="Arial" w:hAnsi="Arial" w:cs="Arial"/>
          <w:b/>
        </w:rPr>
        <w:t xml:space="preserve">Liquidity </w:t>
      </w:r>
      <w:r>
        <w:rPr>
          <w:rFonts w:ascii="Arial" w:hAnsi="Arial" w:cs="Arial"/>
          <w:b/>
        </w:rPr>
        <w:t>Index</w:t>
      </w:r>
    </w:p>
    <w:p w14:paraId="52D1F25D" w14:textId="77777777" w:rsidR="00BC677C" w:rsidRPr="00BC677C" w:rsidRDefault="00BC677C" w:rsidP="00BC677C">
      <w:pPr>
        <w:pStyle w:val="Body"/>
        <w:rPr>
          <w:rFonts w:ascii="Arial" w:hAnsi="Arial" w:cs="Arial"/>
        </w:rPr>
      </w:pPr>
      <w:r w:rsidRPr="00BC677C">
        <w:rPr>
          <w:rFonts w:ascii="Arial" w:hAnsi="Arial" w:cs="Arial"/>
        </w:rPr>
        <w:t>The Liquidity Index (LI) of soil, a measure of its consistency, is determined by dividing the difference between the natural water content and the plastic limit by the plasticity index (PI). The Liquidity Index (LI) is a ratio that helps determine the relative consistency of a soil, indicating how close the soil's natural water content is to its liquid limit.</w:t>
      </w:r>
    </w:p>
    <w:p w14:paraId="5B4BC41B" w14:textId="6D6DD654" w:rsidR="00BC677C" w:rsidRPr="00BC677C" w:rsidRDefault="00BC677C" w:rsidP="00BC677C">
      <w:pPr>
        <w:pStyle w:val="Body"/>
        <w:rPr>
          <w:rFonts w:ascii="Arial" w:hAnsi="Arial" w:cs="Arial"/>
        </w:rPr>
      </w:pPr>
      <w:r w:rsidRPr="00BC677C">
        <w:rPr>
          <w:rFonts w:ascii="Arial" w:hAnsi="Arial" w:cs="Arial"/>
        </w:rPr>
        <w:t xml:space="preserve">LI </w:t>
      </w:r>
      <w:r w:rsidRPr="00BC677C">
        <w:rPr>
          <w:rFonts w:ascii="Arial" w:hAnsi="Arial" w:cs="Arial"/>
        </w:rPr>
        <w:tab/>
        <w:t xml:space="preserve">= </w:t>
      </w:r>
      <w:r w:rsidRPr="00BC677C">
        <w:rPr>
          <w:rFonts w:ascii="Arial" w:hAnsi="Arial" w:cs="Arial"/>
        </w:rPr>
        <w:tab/>
      </w:r>
      <m:oMath>
        <m:f>
          <m:fPr>
            <m:ctrlPr>
              <w:rPr>
                <w:rFonts w:ascii="Cambria Math" w:hAnsi="Cambria Math" w:cs="Arial"/>
                <w:i/>
              </w:rPr>
            </m:ctrlPr>
          </m:fPr>
          <m:num>
            <m:r>
              <w:rPr>
                <w:rFonts w:ascii="Cambria Math" w:hAnsi="Cambria Math" w:cs="Arial"/>
              </w:rPr>
              <m:t>Mc- PL</m:t>
            </m:r>
          </m:num>
          <m:den>
            <m:r>
              <w:rPr>
                <w:rFonts w:ascii="Cambria Math" w:hAnsi="Cambria Math" w:cs="Arial"/>
              </w:rPr>
              <m:t>PI</m:t>
            </m:r>
          </m:den>
        </m:f>
      </m:oMath>
      <w:r w:rsidRPr="00BC677C">
        <w:rPr>
          <w:rFonts w:ascii="Arial" w:hAnsi="Arial" w:cs="Arial"/>
        </w:rPr>
        <w:t xml:space="preserve"> </w:t>
      </w:r>
    </w:p>
    <w:p w14:paraId="04AF3659" w14:textId="77777777" w:rsidR="00BC677C" w:rsidRPr="00BC677C" w:rsidRDefault="00BC677C" w:rsidP="00BC677C">
      <w:pPr>
        <w:pStyle w:val="Body"/>
        <w:ind w:firstLine="720"/>
        <w:rPr>
          <w:rFonts w:ascii="Arial" w:hAnsi="Arial" w:cs="Arial"/>
        </w:rPr>
      </w:pPr>
      <w:r w:rsidRPr="00BC677C">
        <w:rPr>
          <w:rFonts w:ascii="Arial" w:hAnsi="Arial" w:cs="Arial"/>
        </w:rPr>
        <w:t>Where; LI is the liquidity index; Mc is the natural moisture content, PL is the plastic limit, and PI is the liquid limit minus the plastic limit.</w:t>
      </w:r>
    </w:p>
    <w:p w14:paraId="6329CB69" w14:textId="2E161AE5" w:rsidR="00BC677C" w:rsidRPr="00402250" w:rsidRDefault="00BC677C" w:rsidP="00BC677C">
      <w:pPr>
        <w:pStyle w:val="Body"/>
        <w:rPr>
          <w:rFonts w:ascii="Arial" w:hAnsi="Arial" w:cs="Arial"/>
          <w:b/>
        </w:rPr>
      </w:pPr>
      <w:r>
        <w:rPr>
          <w:rFonts w:ascii="Arial" w:hAnsi="Arial" w:cs="Arial"/>
          <w:b/>
        </w:rPr>
        <w:t>2.11 Consistency Index</w:t>
      </w:r>
    </w:p>
    <w:p w14:paraId="3FFB82FC" w14:textId="77777777" w:rsidR="00BC677C" w:rsidRPr="00BC677C" w:rsidRDefault="00BC677C" w:rsidP="00BC677C">
      <w:pPr>
        <w:pStyle w:val="Body"/>
        <w:rPr>
          <w:rFonts w:ascii="Arial" w:hAnsi="Arial" w:cs="Arial"/>
        </w:rPr>
      </w:pPr>
      <w:r w:rsidRPr="00BC677C">
        <w:rPr>
          <w:rFonts w:ascii="Arial" w:hAnsi="Arial" w:cs="Arial"/>
        </w:rPr>
        <w:t>The Consistency Index (CI) of soil, a measure of its firmness or shear strength, is determined by dividing the difference between the liquid limit and the natural moisture content by the plasticity index. The Consistency Index (CI) or Relative Consistency (IC) is a ratio that indicates the relative firmness or shear strength of a soil, especially fine-grained soils.</w:t>
      </w:r>
    </w:p>
    <w:p w14:paraId="2EDCC900" w14:textId="041FB0B8" w:rsidR="00BC677C" w:rsidRPr="00BC677C" w:rsidRDefault="00BC677C" w:rsidP="00BC677C">
      <w:pPr>
        <w:pStyle w:val="Body"/>
        <w:rPr>
          <w:rFonts w:ascii="Arial" w:hAnsi="Arial" w:cs="Arial"/>
        </w:rPr>
      </w:pPr>
      <w:r w:rsidRPr="00BC677C">
        <w:rPr>
          <w:rFonts w:ascii="Arial" w:hAnsi="Arial" w:cs="Arial"/>
        </w:rPr>
        <w:tab/>
      </w:r>
      <w:r w:rsidRPr="00BC677C">
        <w:rPr>
          <w:rFonts w:ascii="Arial" w:hAnsi="Arial" w:cs="Arial"/>
        </w:rPr>
        <w:tab/>
      </w:r>
      <w:r w:rsidRPr="00BC677C">
        <w:rPr>
          <w:rFonts w:ascii="Arial" w:hAnsi="Arial" w:cs="Arial"/>
        </w:rPr>
        <w:tab/>
        <w:t>CI</w:t>
      </w:r>
      <w:r w:rsidRPr="00BC677C">
        <w:rPr>
          <w:rFonts w:ascii="Arial" w:hAnsi="Arial" w:cs="Arial"/>
        </w:rPr>
        <w:tab/>
        <w:t>=</w:t>
      </w:r>
      <w:r w:rsidRPr="00BC677C">
        <w:rPr>
          <w:rFonts w:ascii="Arial" w:hAnsi="Arial" w:cs="Arial"/>
        </w:rPr>
        <w:tab/>
      </w:r>
      <m:oMath>
        <m:f>
          <m:fPr>
            <m:ctrlPr>
              <w:rPr>
                <w:rFonts w:ascii="Cambria Math" w:hAnsi="Cambria Math" w:cs="Arial"/>
                <w:i/>
              </w:rPr>
            </m:ctrlPr>
          </m:fPr>
          <m:num>
            <m:r>
              <w:rPr>
                <w:rFonts w:ascii="Cambria Math" w:hAnsi="Cambria Math" w:cs="Arial"/>
              </w:rPr>
              <m:t>LL- MC</m:t>
            </m:r>
          </m:num>
          <m:den>
            <m:r>
              <w:rPr>
                <w:rFonts w:ascii="Cambria Math" w:hAnsi="Cambria Math" w:cs="Arial"/>
              </w:rPr>
              <m:t>PI</m:t>
            </m:r>
          </m:den>
        </m:f>
      </m:oMath>
      <w:r w:rsidRPr="00BC677C">
        <w:rPr>
          <w:rFonts w:ascii="Arial" w:hAnsi="Arial" w:cs="Arial"/>
        </w:rPr>
        <w:t xml:space="preserve"> </w:t>
      </w:r>
    </w:p>
    <w:p w14:paraId="556D6FF5" w14:textId="6717DB77" w:rsidR="00BC677C" w:rsidRPr="00FB3A86" w:rsidRDefault="00BC677C" w:rsidP="00BC677C">
      <w:pPr>
        <w:pStyle w:val="Body"/>
        <w:rPr>
          <w:rFonts w:ascii="Arial" w:hAnsi="Arial" w:cs="Arial"/>
        </w:rPr>
      </w:pPr>
      <w:r w:rsidRPr="00BC677C">
        <w:rPr>
          <w:rFonts w:ascii="Arial" w:hAnsi="Arial" w:cs="Arial"/>
        </w:rPr>
        <w:t>Where; CI is the consistency index; LL is the liquid limit; Mc is the natural moisture content, and PI is the liquid limit minus the plastic limit.</w:t>
      </w:r>
    </w:p>
    <w:p w14:paraId="2CFEA558" w14:textId="10736123" w:rsidR="00BC677C" w:rsidRPr="00402250" w:rsidRDefault="00BC677C" w:rsidP="00BC677C">
      <w:pPr>
        <w:pStyle w:val="Body"/>
        <w:rPr>
          <w:rFonts w:ascii="Arial" w:hAnsi="Arial" w:cs="Arial"/>
          <w:b/>
        </w:rPr>
      </w:pPr>
      <w:r>
        <w:rPr>
          <w:rFonts w:ascii="Arial" w:hAnsi="Arial" w:cs="Arial"/>
          <w:b/>
        </w:rPr>
        <w:lastRenderedPageBreak/>
        <w:t>2.12 Linear Shrinkage</w:t>
      </w:r>
    </w:p>
    <w:p w14:paraId="48E329C2" w14:textId="77777777" w:rsidR="00BC677C" w:rsidRPr="00BC677C" w:rsidRDefault="00BC677C" w:rsidP="00BC677C">
      <w:pPr>
        <w:pStyle w:val="Body"/>
        <w:rPr>
          <w:rFonts w:ascii="Arial" w:hAnsi="Arial" w:cs="Arial"/>
        </w:rPr>
      </w:pPr>
      <w:r w:rsidRPr="00BC677C">
        <w:rPr>
          <w:rFonts w:ascii="Arial" w:hAnsi="Arial" w:cs="Arial"/>
        </w:rPr>
        <w:t>Linear shrinkage in soil, a crucial property for geotechnical engineering, is determined by measuring the decrease in length of a soil sample when dried, typically using a shrinkage box test or a bar shrinkage test, and expressed as a percentage of the original length. Linear shrinkage refers to the decrease in length of a soil sample when it dries, starting with a moisture content at the liquid limit. It's a key indicator of a soil's potential for volume changes due to moisture fluctuations, which can lead to cracking, settlement, and other issues in structures and pavements. A representative soil sample was obtained and passed through a 425-micron sieve. The soil at its liquid limit was placed in a container of known height. The soil sample was dried in a oven at a controlled temperature of 105oC for 2 hours. The length of the soil sample before and after drying was measured. The Linear shrinkage was calculated using the equation below.</w:t>
      </w:r>
    </w:p>
    <w:p w14:paraId="4DC5CF38" w14:textId="2C635B23" w:rsidR="00BC677C" w:rsidRPr="00BC677C" w:rsidRDefault="00BC677C" w:rsidP="00BC677C">
      <w:pPr>
        <w:pStyle w:val="Body"/>
        <w:rPr>
          <w:rFonts w:ascii="Arial" w:hAnsi="Arial" w:cs="Arial"/>
        </w:rPr>
      </w:pPr>
      <w:r w:rsidRPr="00BC677C">
        <w:rPr>
          <w:rFonts w:ascii="Arial" w:hAnsi="Arial" w:cs="Arial"/>
        </w:rPr>
        <w:tab/>
      </w:r>
      <w:r w:rsidRPr="00BC677C">
        <w:rPr>
          <w:rFonts w:ascii="Arial" w:hAnsi="Arial" w:cs="Arial"/>
        </w:rPr>
        <w:tab/>
      </w:r>
      <w:r w:rsidRPr="00BC677C">
        <w:rPr>
          <w:rFonts w:ascii="Arial" w:hAnsi="Arial" w:cs="Arial"/>
        </w:rPr>
        <w:tab/>
        <w:t>LS</w:t>
      </w:r>
      <w:r w:rsidRPr="00BC677C">
        <w:rPr>
          <w:rFonts w:ascii="Arial" w:hAnsi="Arial" w:cs="Arial"/>
        </w:rPr>
        <w:tab/>
        <w:t>=</w:t>
      </w:r>
      <w:r w:rsidRPr="00BC677C">
        <w:rPr>
          <w:rFonts w:ascii="Arial" w:hAnsi="Arial" w:cs="Arial"/>
        </w:rPr>
        <w:tab/>
      </w:r>
      <m:oMath>
        <m:f>
          <m:fPr>
            <m:ctrlPr>
              <w:rPr>
                <w:rFonts w:ascii="Cambria Math" w:hAnsi="Cambria Math" w:cs="Arial"/>
                <w:i/>
              </w:rPr>
            </m:ctrlPr>
          </m:fPr>
          <m:num>
            <m:r>
              <w:rPr>
                <w:rFonts w:ascii="Cambria Math" w:hAnsi="Cambria Math" w:cs="Arial"/>
              </w:rPr>
              <m:t>Ol- Dl</m:t>
            </m:r>
          </m:num>
          <m:den>
            <m:r>
              <w:rPr>
                <w:rFonts w:ascii="Cambria Math" w:hAnsi="Cambria Math" w:cs="Arial"/>
              </w:rPr>
              <m:t>Ol</m:t>
            </m:r>
          </m:den>
        </m:f>
      </m:oMath>
    </w:p>
    <w:p w14:paraId="4019F4AA" w14:textId="38AB65B8" w:rsidR="00BC677C" w:rsidRPr="00FB3A86" w:rsidRDefault="00BC677C" w:rsidP="00BC677C">
      <w:pPr>
        <w:pStyle w:val="Body"/>
        <w:ind w:firstLine="720"/>
        <w:rPr>
          <w:rFonts w:ascii="Arial" w:hAnsi="Arial" w:cs="Arial"/>
        </w:rPr>
      </w:pPr>
      <w:r w:rsidRPr="00BC677C">
        <w:rPr>
          <w:rFonts w:ascii="Arial" w:hAnsi="Arial" w:cs="Arial"/>
        </w:rPr>
        <w:t>Where; LS is the linear shrinkage; Ol is the original length; and Dl is the dry length</w:t>
      </w:r>
    </w:p>
    <w:p w14:paraId="1EF7DD87" w14:textId="2AB4B310" w:rsidR="00BC677C" w:rsidRPr="00402250" w:rsidRDefault="00BC677C" w:rsidP="00BC677C">
      <w:pPr>
        <w:pStyle w:val="Body"/>
        <w:rPr>
          <w:rFonts w:ascii="Arial" w:hAnsi="Arial" w:cs="Arial"/>
          <w:b/>
        </w:rPr>
      </w:pPr>
      <w:r>
        <w:rPr>
          <w:rFonts w:ascii="Arial" w:hAnsi="Arial" w:cs="Arial"/>
          <w:b/>
        </w:rPr>
        <w:t>2.13 Sieve Analysis</w:t>
      </w:r>
    </w:p>
    <w:p w14:paraId="13138637" w14:textId="77777777" w:rsidR="00BC677C" w:rsidRPr="00BC677C" w:rsidRDefault="00BC677C" w:rsidP="00BC677C">
      <w:pPr>
        <w:pStyle w:val="Body"/>
        <w:rPr>
          <w:rFonts w:ascii="Arial" w:hAnsi="Arial" w:cs="Arial"/>
          <w:lang w:val="en"/>
        </w:rPr>
      </w:pPr>
      <w:r w:rsidRPr="00BC677C">
        <w:rPr>
          <w:rFonts w:ascii="Arial" w:hAnsi="Arial" w:cs="Arial"/>
          <w:lang w:val="en"/>
        </w:rPr>
        <w:t>Sieve analysis is a method that is used to determine the grain size distribution of soils that are greater than 0.075 mm in diameter. It is usually performed for sand and gravel but cannot be used as the sole method for determining the grain size distribution of finer soil. For soil samples lesser than 0,075mm, hydrometer analysis is carried out</w:t>
      </w:r>
    </w:p>
    <w:p w14:paraId="57588DE3" w14:textId="042DBB0F" w:rsidR="00BC677C" w:rsidRPr="00402250" w:rsidRDefault="00BC677C" w:rsidP="00BC677C">
      <w:pPr>
        <w:pStyle w:val="Body"/>
        <w:rPr>
          <w:rFonts w:ascii="Arial" w:hAnsi="Arial" w:cs="Arial"/>
          <w:b/>
        </w:rPr>
      </w:pPr>
      <w:r>
        <w:rPr>
          <w:rFonts w:ascii="Arial" w:hAnsi="Arial" w:cs="Arial"/>
          <w:b/>
        </w:rPr>
        <w:t>2.14 Hydrometer Analysis</w:t>
      </w:r>
    </w:p>
    <w:p w14:paraId="7B482251" w14:textId="6BDEF010" w:rsidR="00BC677C" w:rsidRPr="00FB3A86" w:rsidRDefault="00BC677C" w:rsidP="00BC677C">
      <w:pPr>
        <w:pStyle w:val="Body"/>
        <w:rPr>
          <w:rFonts w:ascii="Arial" w:hAnsi="Arial" w:cs="Arial"/>
        </w:rPr>
      </w:pPr>
      <w:r w:rsidRPr="00BC677C">
        <w:rPr>
          <w:rFonts w:ascii="Arial" w:hAnsi="Arial" w:cs="Arial"/>
          <w:lang w:val="en"/>
        </w:rPr>
        <w:t>The hydrometer analysis of soil, based on Stokes' law, calculates the size of soil particles from the speed at which they settle out of suspension from a liquid. Results from the test show the grain size distribution for soils finer than the No. 200 (75µm) sieve</w:t>
      </w:r>
      <w:r>
        <w:rPr>
          <w:rFonts w:ascii="Arial" w:hAnsi="Arial" w:cs="Arial"/>
          <w:lang w:val="en"/>
        </w:rPr>
        <w:t>.</w:t>
      </w:r>
      <w:r w:rsidRPr="00BC677C">
        <w:rPr>
          <w:rFonts w:ascii="Arial" w:hAnsi="Arial" w:cs="Arial"/>
          <w:lang w:val="en"/>
        </w:rPr>
        <w:t xml:space="preserve"> </w:t>
      </w:r>
      <w:r w:rsidRPr="00BC677C">
        <w:rPr>
          <w:rFonts w:ascii="Arial" w:hAnsi="Arial" w:cs="Arial"/>
        </w:rPr>
        <w:t>The test specimen was placed in a</w:t>
      </w:r>
      <w:r>
        <w:rPr>
          <w:rFonts w:ascii="Arial" w:hAnsi="Arial" w:cs="Arial"/>
        </w:rPr>
        <w:t xml:space="preserve"> 250ml glass beaker</w:t>
      </w:r>
      <w:r w:rsidRPr="00BC677C">
        <w:rPr>
          <w:rFonts w:ascii="Arial" w:hAnsi="Arial" w:cs="Arial"/>
        </w:rPr>
        <w:t xml:space="preserve"> and mixed with water and</w:t>
      </w:r>
      <w:r>
        <w:rPr>
          <w:rFonts w:ascii="Arial" w:hAnsi="Arial" w:cs="Arial"/>
        </w:rPr>
        <w:t xml:space="preserve"> sodium hexametaphosphate, </w:t>
      </w:r>
      <w:r w:rsidRPr="00BC677C">
        <w:rPr>
          <w:rFonts w:ascii="Arial" w:hAnsi="Arial" w:cs="Arial"/>
        </w:rPr>
        <w:t>a dispersion agent that prevents fine particles in suspension from clumping together. This slurry was rinsed into a</w:t>
      </w:r>
      <w:r>
        <w:rPr>
          <w:rFonts w:ascii="Arial" w:hAnsi="Arial" w:cs="Arial"/>
        </w:rPr>
        <w:t xml:space="preserve"> dispersion cup</w:t>
      </w:r>
      <w:r w:rsidRPr="00BC677C">
        <w:rPr>
          <w:rFonts w:ascii="Arial" w:hAnsi="Arial" w:cs="Arial"/>
        </w:rPr>
        <w:t xml:space="preserve"> for agitation with the</w:t>
      </w:r>
      <w:r>
        <w:rPr>
          <w:rFonts w:ascii="Arial" w:hAnsi="Arial" w:cs="Arial"/>
        </w:rPr>
        <w:t xml:space="preserve"> string apparatus</w:t>
      </w:r>
      <w:r w:rsidRPr="00BC677C">
        <w:rPr>
          <w:rFonts w:ascii="Arial" w:hAnsi="Arial" w:cs="Arial"/>
        </w:rPr>
        <w:t xml:space="preserve"> for one minute. An alternate air-jet device was permitted for dispersion. After washing the second slurry into the glass</w:t>
      </w:r>
      <w:r>
        <w:rPr>
          <w:rFonts w:ascii="Arial" w:hAnsi="Arial" w:cs="Arial"/>
        </w:rPr>
        <w:t xml:space="preserve"> sedimentation cylinder</w:t>
      </w:r>
      <w:r w:rsidRPr="00BC677C">
        <w:rPr>
          <w:rFonts w:ascii="Arial" w:hAnsi="Arial" w:cs="Arial"/>
        </w:rPr>
        <w:t>, the cylinder was filled to the calibrated 1,000ml mark with water. The solution was mixed in the sedimentation cylinder with a soil agitator. The cylinder was then covered and allowed to condition and equilibrate overnight in an area of stable ambient temperature or a</w:t>
      </w:r>
      <w:r>
        <w:rPr>
          <w:rFonts w:ascii="Arial" w:hAnsi="Arial" w:cs="Arial"/>
        </w:rPr>
        <w:t xml:space="preserve"> constant temperature water bath</w:t>
      </w:r>
      <w:r w:rsidRPr="00BC677C">
        <w:rPr>
          <w:rFonts w:ascii="Arial" w:hAnsi="Arial" w:cs="Arial"/>
        </w:rPr>
        <w:t>.</w:t>
      </w:r>
    </w:p>
    <w:p w14:paraId="290BE171" w14:textId="53CC5F18" w:rsidR="00BC677C" w:rsidRPr="00402250" w:rsidRDefault="00BC677C" w:rsidP="00BC677C">
      <w:pPr>
        <w:pStyle w:val="Body"/>
        <w:rPr>
          <w:rFonts w:ascii="Arial" w:hAnsi="Arial" w:cs="Arial"/>
          <w:b/>
        </w:rPr>
      </w:pPr>
      <w:r>
        <w:rPr>
          <w:rFonts w:ascii="Arial" w:hAnsi="Arial" w:cs="Arial"/>
          <w:b/>
        </w:rPr>
        <w:t>2.15 Compaction</w:t>
      </w:r>
    </w:p>
    <w:p w14:paraId="10DED5A7" w14:textId="77777777" w:rsidR="00BC677C" w:rsidRDefault="00BC677C" w:rsidP="00BC677C">
      <w:pPr>
        <w:pStyle w:val="Body"/>
        <w:rPr>
          <w:rFonts w:ascii="Arial" w:hAnsi="Arial" w:cs="Arial"/>
        </w:rPr>
      </w:pPr>
      <w:r w:rsidRPr="00BC677C">
        <w:rPr>
          <w:rFonts w:ascii="Arial" w:hAnsi="Arial" w:cs="Arial"/>
        </w:rPr>
        <w:t xml:space="preserve">The compaction test, also known as the Proctor test, determines the relationship between soil moisture content and its resulting dry density, crucial for evaluating compaction quality in construction. About 6kg of soil was collected. The weight of the empty compaction mold was then determined, along with the mol’s height and diameter in order to calculate the volume of the mold. The weighed soil samples was placed in a mixing tray, and water was gradually added to the soil sample to achieve the desired moisture content. The soil was mixed thoroughly until a uniform consistency and moisture content was achieved. The moist soil was then placed in the compaction mold in 3 layers while compacting by applying 25 blows per layer using a proctor hammer. The collar of the mold was carefully removed and the excess soil was trimmed with a straight edge. The weight of the mold with the compacted soil was determined. The soil was carefully extruded from the mold and the moisture content of the soil </w:t>
      </w:r>
      <w:r w:rsidRPr="00BC677C">
        <w:rPr>
          <w:rFonts w:ascii="Arial" w:hAnsi="Arial" w:cs="Arial"/>
        </w:rPr>
        <w:lastRenderedPageBreak/>
        <w:t>sample at the top, middle and bottom was determined. These steps was repeated with different moisture contents to create a compaction curve. The dry density was plotted against the moisture content to create a compaction curve, and the maximum dry density and corresponding optimum moisture content was identified form the compaction curve.</w:t>
      </w:r>
    </w:p>
    <w:p w14:paraId="541B7D90" w14:textId="5E1ADA5F" w:rsidR="00BC677C" w:rsidRPr="00402250" w:rsidRDefault="00BC677C" w:rsidP="00BC677C">
      <w:pPr>
        <w:pStyle w:val="Body"/>
        <w:rPr>
          <w:rFonts w:ascii="Arial" w:hAnsi="Arial" w:cs="Arial"/>
          <w:b/>
        </w:rPr>
      </w:pPr>
      <w:r>
        <w:rPr>
          <w:rFonts w:ascii="Arial" w:hAnsi="Arial" w:cs="Arial"/>
          <w:b/>
        </w:rPr>
        <w:t>2.9 Direct Shear Strength Test</w:t>
      </w:r>
    </w:p>
    <w:p w14:paraId="25AF437E" w14:textId="41704999" w:rsidR="0087027A" w:rsidRPr="00FB3A86" w:rsidRDefault="00BC677C" w:rsidP="00BD5618">
      <w:pPr>
        <w:pStyle w:val="Body"/>
        <w:rPr>
          <w:rFonts w:ascii="Arial" w:hAnsi="Arial" w:cs="Arial"/>
        </w:rPr>
      </w:pPr>
      <w:r w:rsidRPr="00BC677C">
        <w:rPr>
          <w:rFonts w:ascii="Arial" w:hAnsi="Arial" w:cs="Arial"/>
          <w:bCs/>
        </w:rPr>
        <w:t>The direct shear test is a simple, laboratory-based method to determine soil shear strength, where a soil sample is placed in a shear box and subjected to a controlled normal stress and then sheared along a predefined horizontal plane. The test involves applying a vertical load, then a horizontal shear force, measuring the resulting displacements and forces, and analyzing the data to determine shear strength parameters like cohesion and friction angle. A representative soil sample was obtained and prepared to the desired moisture content and density. The soil sample was placed within a shear box (a typical metal box split horizontally at mid-height, allowing for a controlled shear place). The direct shear machine was set up with the shear box, loading frame and measuring instruments. Porous plates was placed at the top and bottom of the soil samples to allow for drainage during the test. A predetermined vertical load (normal stress) was applied to the soil sample simulating the overburden pressure in the field. A controlled horizontal shear force was applied to the top half of the shear box, while the bottom half is fixed, causing the soil to shear along the horizontal plane. The applied normal and shear forces, as well as the corresponding displacements (horizontal and vertical) at regular intervals during the test was measured and recorded. The shear stress versus shear strain (or displacement) was plotted to determine the peak shear strength. The cohesion (c) and angle of internal friction (φ) was then determined from the Mohr's circle or by plotting the peak shear stress against the normal stress. The tests was repeated with different normal stress to obtain a more data.</w:t>
      </w:r>
    </w:p>
    <w:p w14:paraId="489D61E3" w14:textId="77777777" w:rsidR="00BD5618" w:rsidRDefault="00BD5618" w:rsidP="00BD5618">
      <w:pPr>
        <w:pStyle w:val="Head1"/>
        <w:spacing w:after="0"/>
        <w:jc w:val="both"/>
        <w:rPr>
          <w:rFonts w:ascii="Arial" w:hAnsi="Arial" w:cs="Arial"/>
        </w:rPr>
      </w:pPr>
      <w:r>
        <w:rPr>
          <w:rFonts w:ascii="Arial" w:hAnsi="Arial" w:cs="Arial"/>
        </w:rPr>
        <w:t>3. results and discussion</w:t>
      </w:r>
    </w:p>
    <w:p w14:paraId="58C110D0" w14:textId="7F969B75" w:rsidR="00BD5618" w:rsidRPr="005D3641" w:rsidRDefault="00BC677C" w:rsidP="00BD5618">
      <w:pPr>
        <w:jc w:val="both"/>
        <w:rPr>
          <w:rFonts w:ascii="Arial" w:hAnsi="Arial" w:cs="Arial"/>
          <w:b/>
          <w:bCs/>
        </w:rPr>
      </w:pPr>
      <w:r>
        <w:rPr>
          <w:rFonts w:ascii="Arial" w:hAnsi="Arial" w:cs="Arial"/>
          <w:b/>
          <w:bCs/>
        </w:rPr>
        <w:t>Initial Soil Characterisation</w:t>
      </w:r>
    </w:p>
    <w:p w14:paraId="233F3459" w14:textId="77777777" w:rsidR="00BC677C" w:rsidRPr="00BC677C" w:rsidRDefault="00BC677C" w:rsidP="00BC677C">
      <w:pPr>
        <w:ind w:firstLine="720"/>
        <w:jc w:val="both"/>
        <w:rPr>
          <w:rFonts w:ascii="Arial" w:hAnsi="Arial" w:cs="Arial"/>
        </w:rPr>
      </w:pPr>
      <w:r w:rsidRPr="00BC677C">
        <w:rPr>
          <w:rFonts w:ascii="Arial" w:hAnsi="Arial" w:cs="Arial"/>
        </w:rPr>
        <w:t xml:space="preserve">For the geotechnical characteristics of Samples A and B, the preliminary characterization tests listed in Table 1 offer crucial baseline information. These findings lay the groundwork for assessing how they might behave in various engineering scenarios and if stabilization methods are appropriate. A notable discrepancy was found in the samples' average moisture content: Sample A had a low moisture content of 3.80%, suggesting comparatively dry circumstances and little water retention. Sample B, on the other hand, had a much greater average moisture content (19.93%), indicating a considerable capacity for water retention. The consolidation behavior of the samples under applied loading may be considerably impacted by this variance. Measurements of specific gravity showed that Sample A recorded 2.60 and Sample B slightly lower at 2.57%, which are normal values for inorganic soils.  </w:t>
      </w:r>
    </w:p>
    <w:p w14:paraId="4AC804CF" w14:textId="77777777" w:rsidR="00BC677C" w:rsidRPr="00BC677C" w:rsidRDefault="00BC677C" w:rsidP="00BC677C">
      <w:pPr>
        <w:ind w:firstLine="720"/>
        <w:jc w:val="both"/>
        <w:rPr>
          <w:rFonts w:ascii="Arial" w:hAnsi="Arial" w:cs="Arial"/>
        </w:rPr>
      </w:pPr>
      <w:r w:rsidRPr="00BC677C">
        <w:rPr>
          <w:rFonts w:ascii="Arial" w:hAnsi="Arial" w:cs="Arial"/>
        </w:rPr>
        <w:t xml:space="preserve">These findings imply that the mineralogical compositions of the two samples are comparable, with small variations that might be explained by variations in the proportions of fine and coarse particles.  The consistency and behavior of the soil were demonstrated by the Atterberg limits. The plastic limit (PL) was measured at 34.08 and the liquid limit (LL) at 62.00% for Sample B. According to the classification results, Sample B was further classified as organic clay and inorganic silt with high compressibility, which is consistent with its strong plasticity and shrinkage properties. These intrinsic characteristics emphasize the necessity of stabilization in order to improve the geotechnical performance of the soil. </w:t>
      </w:r>
    </w:p>
    <w:p w14:paraId="01AEE31E" w14:textId="52DA7ECC" w:rsidR="00BD5618" w:rsidRPr="005D3641" w:rsidRDefault="00BD5618" w:rsidP="00BD5618">
      <w:pPr>
        <w:ind w:firstLine="720"/>
        <w:jc w:val="both"/>
        <w:rPr>
          <w:rFonts w:ascii="Arial" w:hAnsi="Arial" w:cs="Arial"/>
        </w:rPr>
      </w:pPr>
    </w:p>
    <w:p w14:paraId="2D4BAA6D" w14:textId="77777777" w:rsidR="00BD5618" w:rsidRPr="005D3641" w:rsidRDefault="00BD5618" w:rsidP="00BD5618">
      <w:pPr>
        <w:jc w:val="both"/>
        <w:rPr>
          <w:rFonts w:ascii="Arial" w:hAnsi="Arial" w:cs="Arial"/>
          <w:b/>
          <w:bCs/>
        </w:rPr>
      </w:pPr>
    </w:p>
    <w:p w14:paraId="4AD5D7BD" w14:textId="77777777" w:rsidR="00BD5618" w:rsidRDefault="00BD5618" w:rsidP="00BD5618">
      <w:pPr>
        <w:jc w:val="both"/>
        <w:rPr>
          <w:rFonts w:ascii="Arial" w:hAnsi="Arial" w:cs="Arial"/>
        </w:rPr>
      </w:pPr>
      <w:r w:rsidRPr="005D3641">
        <w:rPr>
          <w:rFonts w:ascii="Arial" w:hAnsi="Arial" w:cs="Arial"/>
          <w:b/>
          <w:bCs/>
        </w:rPr>
        <w:t xml:space="preserve">Table 1: </w:t>
      </w:r>
      <w:r w:rsidRPr="005D3641">
        <w:rPr>
          <w:rFonts w:ascii="Arial" w:hAnsi="Arial" w:cs="Arial"/>
        </w:rPr>
        <w:t>Preliminary Tests</w:t>
      </w:r>
    </w:p>
    <w:tbl>
      <w:tblPr>
        <w:tblStyle w:val="PlainTable21"/>
        <w:tblW w:w="8060" w:type="dxa"/>
        <w:tblLook w:val="0620" w:firstRow="1" w:lastRow="0" w:firstColumn="0" w:lastColumn="0" w:noHBand="1" w:noVBand="1"/>
      </w:tblPr>
      <w:tblGrid>
        <w:gridCol w:w="551"/>
        <w:gridCol w:w="3052"/>
        <w:gridCol w:w="895"/>
        <w:gridCol w:w="3562"/>
      </w:tblGrid>
      <w:tr w:rsidR="00BC677C" w:rsidRPr="00BC677C" w14:paraId="0337E169" w14:textId="77777777" w:rsidTr="00BC677C">
        <w:trPr>
          <w:cnfStyle w:val="100000000000" w:firstRow="1" w:lastRow="0" w:firstColumn="0" w:lastColumn="0" w:oddVBand="0" w:evenVBand="0" w:oddHBand="0" w:evenHBand="0" w:firstRowFirstColumn="0" w:firstRowLastColumn="0" w:lastRowFirstColumn="0" w:lastRowLastColumn="0"/>
          <w:trHeight w:val="80"/>
        </w:trPr>
        <w:tc>
          <w:tcPr>
            <w:tcW w:w="551" w:type="dxa"/>
            <w:hideMark/>
          </w:tcPr>
          <w:p w14:paraId="213BE381" w14:textId="77777777" w:rsidR="00BC677C" w:rsidRPr="00BC677C" w:rsidRDefault="00BC677C" w:rsidP="00BC677C">
            <w:pPr>
              <w:jc w:val="both"/>
              <w:rPr>
                <w:rFonts w:ascii="Arial" w:hAnsi="Arial" w:cs="Arial"/>
              </w:rPr>
            </w:pPr>
            <w:r w:rsidRPr="00BC677C">
              <w:rPr>
                <w:rFonts w:ascii="Arial" w:hAnsi="Arial" w:cs="Arial"/>
              </w:rPr>
              <w:t>S/N</w:t>
            </w:r>
          </w:p>
        </w:tc>
        <w:tc>
          <w:tcPr>
            <w:tcW w:w="3077" w:type="dxa"/>
            <w:hideMark/>
          </w:tcPr>
          <w:p w14:paraId="119388C8" w14:textId="77777777" w:rsidR="00BC677C" w:rsidRPr="00BC677C" w:rsidRDefault="00BC677C" w:rsidP="00BC677C">
            <w:pPr>
              <w:jc w:val="both"/>
              <w:rPr>
                <w:rFonts w:ascii="Arial" w:hAnsi="Arial" w:cs="Arial"/>
              </w:rPr>
            </w:pPr>
            <w:r w:rsidRPr="00BC677C">
              <w:rPr>
                <w:rFonts w:ascii="Arial" w:hAnsi="Arial" w:cs="Arial"/>
              </w:rPr>
              <w:t>Parameters</w:t>
            </w:r>
          </w:p>
        </w:tc>
        <w:tc>
          <w:tcPr>
            <w:tcW w:w="4432" w:type="dxa"/>
            <w:gridSpan w:val="2"/>
            <w:hideMark/>
          </w:tcPr>
          <w:p w14:paraId="63F32DFB" w14:textId="77777777" w:rsidR="00BC677C" w:rsidRPr="00BC677C" w:rsidRDefault="00BC677C" w:rsidP="00BC677C">
            <w:pPr>
              <w:jc w:val="both"/>
              <w:rPr>
                <w:rFonts w:ascii="Arial" w:hAnsi="Arial" w:cs="Arial"/>
              </w:rPr>
            </w:pPr>
            <w:r w:rsidRPr="00BC677C">
              <w:rPr>
                <w:rFonts w:ascii="Arial" w:hAnsi="Arial" w:cs="Arial"/>
              </w:rPr>
              <w:t xml:space="preserve">                Values</w:t>
            </w:r>
          </w:p>
        </w:tc>
      </w:tr>
      <w:tr w:rsidR="00BC677C" w:rsidRPr="00BC677C" w14:paraId="19FD914A" w14:textId="77777777" w:rsidTr="00BC677C">
        <w:trPr>
          <w:trHeight w:val="162"/>
        </w:trPr>
        <w:tc>
          <w:tcPr>
            <w:tcW w:w="551" w:type="dxa"/>
          </w:tcPr>
          <w:p w14:paraId="11CF29DA" w14:textId="77777777" w:rsidR="00BC677C" w:rsidRPr="00BC677C" w:rsidRDefault="00BC677C" w:rsidP="00BC677C">
            <w:pPr>
              <w:jc w:val="both"/>
              <w:rPr>
                <w:rFonts w:ascii="Arial" w:hAnsi="Arial" w:cs="Arial"/>
              </w:rPr>
            </w:pPr>
          </w:p>
        </w:tc>
        <w:tc>
          <w:tcPr>
            <w:tcW w:w="3077" w:type="dxa"/>
          </w:tcPr>
          <w:p w14:paraId="53854638" w14:textId="77777777" w:rsidR="00BC677C" w:rsidRPr="00BC677C" w:rsidRDefault="00BC677C" w:rsidP="00BC677C">
            <w:pPr>
              <w:jc w:val="both"/>
              <w:rPr>
                <w:rFonts w:ascii="Arial" w:hAnsi="Arial" w:cs="Arial"/>
              </w:rPr>
            </w:pPr>
          </w:p>
        </w:tc>
        <w:tc>
          <w:tcPr>
            <w:tcW w:w="839" w:type="dxa"/>
            <w:hideMark/>
          </w:tcPr>
          <w:p w14:paraId="3AE3C1C3" w14:textId="77777777" w:rsidR="00BC677C" w:rsidRPr="00BC677C" w:rsidRDefault="00BC677C" w:rsidP="00BC677C">
            <w:pPr>
              <w:jc w:val="both"/>
              <w:rPr>
                <w:rFonts w:ascii="Arial" w:hAnsi="Arial" w:cs="Arial"/>
              </w:rPr>
            </w:pPr>
            <w:r w:rsidRPr="00BC677C">
              <w:rPr>
                <w:rFonts w:ascii="Arial" w:hAnsi="Arial" w:cs="Arial"/>
              </w:rPr>
              <w:t>Sample A</w:t>
            </w:r>
          </w:p>
        </w:tc>
        <w:tc>
          <w:tcPr>
            <w:tcW w:w="3592" w:type="dxa"/>
            <w:hideMark/>
          </w:tcPr>
          <w:p w14:paraId="4E8D3380" w14:textId="77777777" w:rsidR="00BC677C" w:rsidRPr="00BC677C" w:rsidRDefault="00BC677C" w:rsidP="00BC677C">
            <w:pPr>
              <w:jc w:val="both"/>
              <w:rPr>
                <w:rFonts w:ascii="Arial" w:hAnsi="Arial" w:cs="Arial"/>
              </w:rPr>
            </w:pPr>
            <w:r w:rsidRPr="00BC677C">
              <w:rPr>
                <w:rFonts w:ascii="Arial" w:hAnsi="Arial" w:cs="Arial"/>
              </w:rPr>
              <w:t>Sample B</w:t>
            </w:r>
          </w:p>
        </w:tc>
      </w:tr>
      <w:tr w:rsidR="00BC677C" w:rsidRPr="00BC677C" w14:paraId="00E25832" w14:textId="77777777" w:rsidTr="00BC677C">
        <w:trPr>
          <w:trHeight w:val="80"/>
        </w:trPr>
        <w:tc>
          <w:tcPr>
            <w:tcW w:w="551" w:type="dxa"/>
            <w:hideMark/>
          </w:tcPr>
          <w:p w14:paraId="2FBB8AEB" w14:textId="77777777" w:rsidR="00BC677C" w:rsidRPr="00BC677C" w:rsidRDefault="00BC677C" w:rsidP="00BC677C">
            <w:pPr>
              <w:jc w:val="both"/>
              <w:rPr>
                <w:rFonts w:ascii="Arial" w:hAnsi="Arial" w:cs="Arial"/>
              </w:rPr>
            </w:pPr>
            <w:r w:rsidRPr="00BC677C">
              <w:rPr>
                <w:rFonts w:ascii="Arial" w:hAnsi="Arial" w:cs="Arial"/>
              </w:rPr>
              <w:t>1.</w:t>
            </w:r>
          </w:p>
        </w:tc>
        <w:tc>
          <w:tcPr>
            <w:tcW w:w="3077" w:type="dxa"/>
            <w:hideMark/>
          </w:tcPr>
          <w:p w14:paraId="48CD1457" w14:textId="77777777" w:rsidR="00BC677C" w:rsidRPr="00BC677C" w:rsidRDefault="00BC677C" w:rsidP="00BC677C">
            <w:pPr>
              <w:jc w:val="both"/>
              <w:rPr>
                <w:rFonts w:ascii="Arial" w:hAnsi="Arial" w:cs="Arial"/>
              </w:rPr>
            </w:pPr>
            <w:r w:rsidRPr="00BC677C">
              <w:rPr>
                <w:rFonts w:ascii="Arial" w:hAnsi="Arial" w:cs="Arial"/>
              </w:rPr>
              <w:t>Average Moisture Content (%)</w:t>
            </w:r>
          </w:p>
        </w:tc>
        <w:tc>
          <w:tcPr>
            <w:tcW w:w="839" w:type="dxa"/>
            <w:hideMark/>
          </w:tcPr>
          <w:p w14:paraId="7E922591" w14:textId="77777777" w:rsidR="00BC677C" w:rsidRPr="00BC677C" w:rsidRDefault="00BC677C" w:rsidP="00BC677C">
            <w:pPr>
              <w:jc w:val="both"/>
              <w:rPr>
                <w:rFonts w:ascii="Arial" w:hAnsi="Arial" w:cs="Arial"/>
              </w:rPr>
            </w:pPr>
            <w:r w:rsidRPr="00BC677C">
              <w:rPr>
                <w:rFonts w:ascii="Arial" w:hAnsi="Arial" w:cs="Arial"/>
              </w:rPr>
              <w:t>3.80%</w:t>
            </w:r>
          </w:p>
        </w:tc>
        <w:tc>
          <w:tcPr>
            <w:tcW w:w="3592" w:type="dxa"/>
            <w:hideMark/>
          </w:tcPr>
          <w:p w14:paraId="47B83552" w14:textId="77777777" w:rsidR="00BC677C" w:rsidRPr="00BC677C" w:rsidRDefault="00BC677C" w:rsidP="00BC677C">
            <w:pPr>
              <w:jc w:val="both"/>
              <w:rPr>
                <w:rFonts w:ascii="Arial" w:hAnsi="Arial" w:cs="Arial"/>
              </w:rPr>
            </w:pPr>
            <w:r w:rsidRPr="00BC677C">
              <w:rPr>
                <w:rFonts w:ascii="Arial" w:hAnsi="Arial" w:cs="Arial"/>
              </w:rPr>
              <w:t>19.93%</w:t>
            </w:r>
          </w:p>
        </w:tc>
      </w:tr>
      <w:tr w:rsidR="00BC677C" w:rsidRPr="00BC677C" w14:paraId="5D4CF525" w14:textId="77777777" w:rsidTr="00BC677C">
        <w:trPr>
          <w:trHeight w:val="88"/>
        </w:trPr>
        <w:tc>
          <w:tcPr>
            <w:tcW w:w="551" w:type="dxa"/>
            <w:hideMark/>
          </w:tcPr>
          <w:p w14:paraId="065E1BA2" w14:textId="77777777" w:rsidR="00BC677C" w:rsidRPr="00BC677C" w:rsidRDefault="00BC677C" w:rsidP="00BC677C">
            <w:pPr>
              <w:jc w:val="both"/>
              <w:rPr>
                <w:rFonts w:ascii="Arial" w:hAnsi="Arial" w:cs="Arial"/>
              </w:rPr>
            </w:pPr>
            <w:r w:rsidRPr="00BC677C">
              <w:rPr>
                <w:rFonts w:ascii="Arial" w:hAnsi="Arial" w:cs="Arial"/>
              </w:rPr>
              <w:t>2.</w:t>
            </w:r>
          </w:p>
        </w:tc>
        <w:tc>
          <w:tcPr>
            <w:tcW w:w="3077" w:type="dxa"/>
            <w:hideMark/>
          </w:tcPr>
          <w:p w14:paraId="6356C26F" w14:textId="77777777" w:rsidR="00BC677C" w:rsidRPr="00BC677C" w:rsidRDefault="00BC677C" w:rsidP="00BC677C">
            <w:pPr>
              <w:jc w:val="both"/>
              <w:rPr>
                <w:rFonts w:ascii="Arial" w:hAnsi="Arial" w:cs="Arial"/>
              </w:rPr>
            </w:pPr>
            <w:r w:rsidRPr="00BC677C">
              <w:rPr>
                <w:rFonts w:ascii="Arial" w:hAnsi="Arial" w:cs="Arial"/>
              </w:rPr>
              <w:t xml:space="preserve">Average Specific gravity of Soil Sample </w:t>
            </w:r>
          </w:p>
        </w:tc>
        <w:tc>
          <w:tcPr>
            <w:tcW w:w="839" w:type="dxa"/>
            <w:hideMark/>
          </w:tcPr>
          <w:p w14:paraId="126E0496" w14:textId="77777777" w:rsidR="00BC677C" w:rsidRPr="00BC677C" w:rsidRDefault="00BC677C" w:rsidP="00BC677C">
            <w:pPr>
              <w:jc w:val="both"/>
              <w:rPr>
                <w:rFonts w:ascii="Arial" w:hAnsi="Arial" w:cs="Arial"/>
              </w:rPr>
            </w:pPr>
            <w:r w:rsidRPr="00BC677C">
              <w:rPr>
                <w:rFonts w:ascii="Arial" w:hAnsi="Arial" w:cs="Arial"/>
              </w:rPr>
              <w:t>2.60</w:t>
            </w:r>
          </w:p>
        </w:tc>
        <w:tc>
          <w:tcPr>
            <w:tcW w:w="3592" w:type="dxa"/>
            <w:hideMark/>
          </w:tcPr>
          <w:p w14:paraId="21B2A411" w14:textId="77777777" w:rsidR="00BC677C" w:rsidRPr="00BC677C" w:rsidRDefault="00BC677C" w:rsidP="00BC677C">
            <w:pPr>
              <w:jc w:val="both"/>
              <w:rPr>
                <w:rFonts w:ascii="Arial" w:hAnsi="Arial" w:cs="Arial"/>
              </w:rPr>
            </w:pPr>
            <w:r w:rsidRPr="00BC677C">
              <w:rPr>
                <w:rFonts w:ascii="Arial" w:hAnsi="Arial" w:cs="Arial"/>
              </w:rPr>
              <w:t>2.57%</w:t>
            </w:r>
          </w:p>
        </w:tc>
      </w:tr>
      <w:tr w:rsidR="00BC677C" w:rsidRPr="00BC677C" w14:paraId="55FB5DCA" w14:textId="77777777" w:rsidTr="00BC677C">
        <w:trPr>
          <w:trHeight w:val="80"/>
        </w:trPr>
        <w:tc>
          <w:tcPr>
            <w:tcW w:w="551" w:type="dxa"/>
            <w:hideMark/>
          </w:tcPr>
          <w:p w14:paraId="6C656587" w14:textId="77777777" w:rsidR="00BC677C" w:rsidRPr="00BC677C" w:rsidRDefault="00BC677C" w:rsidP="00BC677C">
            <w:pPr>
              <w:jc w:val="both"/>
              <w:rPr>
                <w:rFonts w:ascii="Arial" w:hAnsi="Arial" w:cs="Arial"/>
              </w:rPr>
            </w:pPr>
            <w:r w:rsidRPr="00BC677C">
              <w:rPr>
                <w:rFonts w:ascii="Arial" w:hAnsi="Arial" w:cs="Arial"/>
              </w:rPr>
              <w:t>3.</w:t>
            </w:r>
          </w:p>
        </w:tc>
        <w:tc>
          <w:tcPr>
            <w:tcW w:w="3077" w:type="dxa"/>
            <w:hideMark/>
          </w:tcPr>
          <w:p w14:paraId="08F4EB20" w14:textId="77777777" w:rsidR="00BC677C" w:rsidRPr="00BC677C" w:rsidRDefault="00BC677C" w:rsidP="00BC677C">
            <w:pPr>
              <w:jc w:val="both"/>
              <w:rPr>
                <w:rFonts w:ascii="Arial" w:hAnsi="Arial" w:cs="Arial"/>
              </w:rPr>
            </w:pPr>
            <w:r w:rsidRPr="00BC677C">
              <w:rPr>
                <w:rFonts w:ascii="Arial" w:hAnsi="Arial" w:cs="Arial"/>
              </w:rPr>
              <w:t>Plastic Limit (%)</w:t>
            </w:r>
          </w:p>
        </w:tc>
        <w:tc>
          <w:tcPr>
            <w:tcW w:w="839" w:type="dxa"/>
            <w:hideMark/>
          </w:tcPr>
          <w:p w14:paraId="36ECE080"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386D58FB" w14:textId="77777777" w:rsidR="00BC677C" w:rsidRPr="00BC677C" w:rsidRDefault="00BC677C" w:rsidP="00BC677C">
            <w:pPr>
              <w:jc w:val="both"/>
              <w:rPr>
                <w:rFonts w:ascii="Arial" w:hAnsi="Arial" w:cs="Arial"/>
              </w:rPr>
            </w:pPr>
            <w:r w:rsidRPr="00BC677C">
              <w:rPr>
                <w:rFonts w:ascii="Arial" w:hAnsi="Arial" w:cs="Arial"/>
              </w:rPr>
              <w:t>34.08%</w:t>
            </w:r>
          </w:p>
        </w:tc>
      </w:tr>
      <w:tr w:rsidR="00BC677C" w:rsidRPr="00BC677C" w14:paraId="0CDE0915" w14:textId="77777777" w:rsidTr="00BC677C">
        <w:trPr>
          <w:trHeight w:val="80"/>
        </w:trPr>
        <w:tc>
          <w:tcPr>
            <w:tcW w:w="551" w:type="dxa"/>
            <w:hideMark/>
          </w:tcPr>
          <w:p w14:paraId="2749E899" w14:textId="77777777" w:rsidR="00BC677C" w:rsidRPr="00BC677C" w:rsidRDefault="00BC677C" w:rsidP="00BC677C">
            <w:pPr>
              <w:jc w:val="both"/>
              <w:rPr>
                <w:rFonts w:ascii="Arial" w:hAnsi="Arial" w:cs="Arial"/>
              </w:rPr>
            </w:pPr>
            <w:r w:rsidRPr="00BC677C">
              <w:rPr>
                <w:rFonts w:ascii="Arial" w:hAnsi="Arial" w:cs="Arial"/>
              </w:rPr>
              <w:t>5.</w:t>
            </w:r>
          </w:p>
        </w:tc>
        <w:tc>
          <w:tcPr>
            <w:tcW w:w="3077" w:type="dxa"/>
            <w:hideMark/>
          </w:tcPr>
          <w:p w14:paraId="596D03BB" w14:textId="77777777" w:rsidR="00BC677C" w:rsidRPr="00BC677C" w:rsidRDefault="00BC677C" w:rsidP="00BC677C">
            <w:pPr>
              <w:jc w:val="both"/>
              <w:rPr>
                <w:rFonts w:ascii="Arial" w:hAnsi="Arial" w:cs="Arial"/>
              </w:rPr>
            </w:pPr>
            <w:r w:rsidRPr="00BC677C">
              <w:rPr>
                <w:rFonts w:ascii="Arial" w:hAnsi="Arial" w:cs="Arial"/>
              </w:rPr>
              <w:t>Liquid limit (%)</w:t>
            </w:r>
          </w:p>
        </w:tc>
        <w:tc>
          <w:tcPr>
            <w:tcW w:w="839" w:type="dxa"/>
            <w:hideMark/>
          </w:tcPr>
          <w:p w14:paraId="46350815"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7B83DDB9" w14:textId="77777777" w:rsidR="00BC677C" w:rsidRPr="00BC677C" w:rsidRDefault="00BC677C" w:rsidP="00BC677C">
            <w:pPr>
              <w:jc w:val="both"/>
              <w:rPr>
                <w:rFonts w:ascii="Arial" w:hAnsi="Arial" w:cs="Arial"/>
              </w:rPr>
            </w:pPr>
            <w:r w:rsidRPr="00BC677C">
              <w:rPr>
                <w:rFonts w:ascii="Arial" w:hAnsi="Arial" w:cs="Arial"/>
              </w:rPr>
              <w:t>62.00%</w:t>
            </w:r>
          </w:p>
        </w:tc>
      </w:tr>
      <w:tr w:rsidR="00BC677C" w:rsidRPr="00BC677C" w14:paraId="48948EE2" w14:textId="77777777" w:rsidTr="00BC677C">
        <w:trPr>
          <w:trHeight w:val="80"/>
        </w:trPr>
        <w:tc>
          <w:tcPr>
            <w:tcW w:w="551" w:type="dxa"/>
            <w:hideMark/>
          </w:tcPr>
          <w:p w14:paraId="3D0F1C4F" w14:textId="77777777" w:rsidR="00BC677C" w:rsidRPr="00BC677C" w:rsidRDefault="00BC677C" w:rsidP="00BC677C">
            <w:pPr>
              <w:jc w:val="both"/>
              <w:rPr>
                <w:rFonts w:ascii="Arial" w:hAnsi="Arial" w:cs="Arial"/>
              </w:rPr>
            </w:pPr>
            <w:r w:rsidRPr="00BC677C">
              <w:rPr>
                <w:rFonts w:ascii="Arial" w:hAnsi="Arial" w:cs="Arial"/>
              </w:rPr>
              <w:t>6.</w:t>
            </w:r>
          </w:p>
        </w:tc>
        <w:tc>
          <w:tcPr>
            <w:tcW w:w="3077" w:type="dxa"/>
            <w:hideMark/>
          </w:tcPr>
          <w:p w14:paraId="07BDC697" w14:textId="77777777" w:rsidR="00BC677C" w:rsidRPr="00BC677C" w:rsidRDefault="00BC677C" w:rsidP="00BC677C">
            <w:pPr>
              <w:jc w:val="both"/>
              <w:rPr>
                <w:rFonts w:ascii="Arial" w:hAnsi="Arial" w:cs="Arial"/>
              </w:rPr>
            </w:pPr>
            <w:r w:rsidRPr="00BC677C">
              <w:rPr>
                <w:rFonts w:ascii="Arial" w:hAnsi="Arial" w:cs="Arial"/>
              </w:rPr>
              <w:t>Plastic Index of Soil Sample (%)</w:t>
            </w:r>
          </w:p>
        </w:tc>
        <w:tc>
          <w:tcPr>
            <w:tcW w:w="839" w:type="dxa"/>
            <w:hideMark/>
          </w:tcPr>
          <w:p w14:paraId="167831B3"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1C176543" w14:textId="77777777" w:rsidR="00BC677C" w:rsidRPr="00BC677C" w:rsidRDefault="00BC677C" w:rsidP="00BC677C">
            <w:pPr>
              <w:jc w:val="both"/>
              <w:rPr>
                <w:rFonts w:ascii="Arial" w:hAnsi="Arial" w:cs="Arial"/>
              </w:rPr>
            </w:pPr>
            <w:r w:rsidRPr="00BC677C">
              <w:rPr>
                <w:rFonts w:ascii="Arial" w:hAnsi="Arial" w:cs="Arial"/>
              </w:rPr>
              <w:t>27.92%</w:t>
            </w:r>
          </w:p>
        </w:tc>
      </w:tr>
      <w:tr w:rsidR="00BC677C" w:rsidRPr="00BC677C" w14:paraId="7E2DE472" w14:textId="77777777" w:rsidTr="00BC677C">
        <w:trPr>
          <w:trHeight w:val="80"/>
        </w:trPr>
        <w:tc>
          <w:tcPr>
            <w:tcW w:w="551" w:type="dxa"/>
            <w:hideMark/>
          </w:tcPr>
          <w:p w14:paraId="063A6240" w14:textId="77777777" w:rsidR="00BC677C" w:rsidRPr="00BC677C" w:rsidRDefault="00BC677C" w:rsidP="00BC677C">
            <w:pPr>
              <w:jc w:val="both"/>
              <w:rPr>
                <w:rFonts w:ascii="Arial" w:hAnsi="Arial" w:cs="Arial"/>
              </w:rPr>
            </w:pPr>
            <w:r w:rsidRPr="00BC677C">
              <w:rPr>
                <w:rFonts w:ascii="Arial" w:hAnsi="Arial" w:cs="Arial"/>
              </w:rPr>
              <w:t>7.</w:t>
            </w:r>
          </w:p>
        </w:tc>
        <w:tc>
          <w:tcPr>
            <w:tcW w:w="3077" w:type="dxa"/>
            <w:hideMark/>
          </w:tcPr>
          <w:p w14:paraId="08D7E52E" w14:textId="77777777" w:rsidR="00BC677C" w:rsidRPr="00BC677C" w:rsidRDefault="00BC677C" w:rsidP="00BC677C">
            <w:pPr>
              <w:jc w:val="both"/>
              <w:rPr>
                <w:rFonts w:ascii="Arial" w:hAnsi="Arial" w:cs="Arial"/>
              </w:rPr>
            </w:pPr>
            <w:r w:rsidRPr="00BC677C">
              <w:rPr>
                <w:rFonts w:ascii="Arial" w:hAnsi="Arial" w:cs="Arial"/>
              </w:rPr>
              <w:t>Liquidity index (%)</w:t>
            </w:r>
          </w:p>
        </w:tc>
        <w:tc>
          <w:tcPr>
            <w:tcW w:w="839" w:type="dxa"/>
            <w:hideMark/>
          </w:tcPr>
          <w:p w14:paraId="5D7FC477"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09A0F043" w14:textId="77777777" w:rsidR="00BC677C" w:rsidRPr="00BC677C" w:rsidRDefault="00BC677C" w:rsidP="00BC677C">
            <w:pPr>
              <w:jc w:val="both"/>
              <w:rPr>
                <w:rFonts w:ascii="Arial" w:hAnsi="Arial" w:cs="Arial"/>
              </w:rPr>
            </w:pPr>
            <w:r w:rsidRPr="00BC677C">
              <w:rPr>
                <w:rFonts w:ascii="Arial" w:hAnsi="Arial" w:cs="Arial"/>
              </w:rPr>
              <w:t>0.51%</w:t>
            </w:r>
          </w:p>
        </w:tc>
      </w:tr>
      <w:tr w:rsidR="00BC677C" w:rsidRPr="00BC677C" w14:paraId="46F24064" w14:textId="77777777" w:rsidTr="00BC677C">
        <w:trPr>
          <w:trHeight w:val="80"/>
        </w:trPr>
        <w:tc>
          <w:tcPr>
            <w:tcW w:w="551" w:type="dxa"/>
            <w:hideMark/>
          </w:tcPr>
          <w:p w14:paraId="41A1ECC3" w14:textId="77777777" w:rsidR="00BC677C" w:rsidRPr="00BC677C" w:rsidRDefault="00BC677C" w:rsidP="00BC677C">
            <w:pPr>
              <w:jc w:val="both"/>
              <w:rPr>
                <w:rFonts w:ascii="Arial" w:hAnsi="Arial" w:cs="Arial"/>
              </w:rPr>
            </w:pPr>
            <w:r w:rsidRPr="00BC677C">
              <w:rPr>
                <w:rFonts w:ascii="Arial" w:hAnsi="Arial" w:cs="Arial"/>
              </w:rPr>
              <w:t>8.</w:t>
            </w:r>
          </w:p>
        </w:tc>
        <w:tc>
          <w:tcPr>
            <w:tcW w:w="3077" w:type="dxa"/>
            <w:hideMark/>
          </w:tcPr>
          <w:p w14:paraId="7C04DEB6" w14:textId="77777777" w:rsidR="00BC677C" w:rsidRPr="00BC677C" w:rsidRDefault="00BC677C" w:rsidP="00BC677C">
            <w:pPr>
              <w:jc w:val="both"/>
              <w:rPr>
                <w:rFonts w:ascii="Arial" w:hAnsi="Arial" w:cs="Arial"/>
              </w:rPr>
            </w:pPr>
            <w:r w:rsidRPr="00BC677C">
              <w:rPr>
                <w:rFonts w:ascii="Arial" w:hAnsi="Arial" w:cs="Arial"/>
              </w:rPr>
              <w:t>Consistency Index</w:t>
            </w:r>
          </w:p>
        </w:tc>
        <w:tc>
          <w:tcPr>
            <w:tcW w:w="839" w:type="dxa"/>
            <w:hideMark/>
          </w:tcPr>
          <w:p w14:paraId="61E0DF35"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0ADFCE19" w14:textId="77777777" w:rsidR="00BC677C" w:rsidRPr="00BC677C" w:rsidRDefault="00BC677C" w:rsidP="00BC677C">
            <w:pPr>
              <w:jc w:val="both"/>
              <w:rPr>
                <w:rFonts w:ascii="Arial" w:hAnsi="Arial" w:cs="Arial"/>
              </w:rPr>
            </w:pPr>
            <w:r w:rsidRPr="00BC677C">
              <w:rPr>
                <w:rFonts w:ascii="Arial" w:hAnsi="Arial" w:cs="Arial"/>
              </w:rPr>
              <w:t>1.51</w:t>
            </w:r>
          </w:p>
        </w:tc>
      </w:tr>
      <w:tr w:rsidR="00BC677C" w:rsidRPr="00BC677C" w14:paraId="4599A897" w14:textId="77777777" w:rsidTr="00BC677C">
        <w:trPr>
          <w:trHeight w:val="80"/>
        </w:trPr>
        <w:tc>
          <w:tcPr>
            <w:tcW w:w="551" w:type="dxa"/>
            <w:hideMark/>
          </w:tcPr>
          <w:p w14:paraId="569D15B7" w14:textId="77777777" w:rsidR="00BC677C" w:rsidRPr="00BC677C" w:rsidRDefault="00BC677C" w:rsidP="00BC677C">
            <w:pPr>
              <w:jc w:val="both"/>
              <w:rPr>
                <w:rFonts w:ascii="Arial" w:hAnsi="Arial" w:cs="Arial"/>
              </w:rPr>
            </w:pPr>
            <w:r w:rsidRPr="00BC677C">
              <w:rPr>
                <w:rFonts w:ascii="Arial" w:hAnsi="Arial" w:cs="Arial"/>
              </w:rPr>
              <w:t>9.</w:t>
            </w:r>
          </w:p>
        </w:tc>
        <w:tc>
          <w:tcPr>
            <w:tcW w:w="3077" w:type="dxa"/>
            <w:hideMark/>
          </w:tcPr>
          <w:p w14:paraId="63570211" w14:textId="77777777" w:rsidR="00BC677C" w:rsidRPr="00BC677C" w:rsidRDefault="00BC677C" w:rsidP="00BC677C">
            <w:pPr>
              <w:jc w:val="both"/>
              <w:rPr>
                <w:rFonts w:ascii="Arial" w:hAnsi="Arial" w:cs="Arial"/>
              </w:rPr>
            </w:pPr>
            <w:r w:rsidRPr="00BC677C">
              <w:rPr>
                <w:rFonts w:ascii="Arial" w:hAnsi="Arial" w:cs="Arial"/>
              </w:rPr>
              <w:t>Linear Shrinkage (%)</w:t>
            </w:r>
          </w:p>
        </w:tc>
        <w:tc>
          <w:tcPr>
            <w:tcW w:w="839" w:type="dxa"/>
            <w:hideMark/>
          </w:tcPr>
          <w:p w14:paraId="1BF7384B"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76376138" w14:textId="77777777" w:rsidR="00BC677C" w:rsidRPr="00BC677C" w:rsidRDefault="00BC677C" w:rsidP="00BC677C">
            <w:pPr>
              <w:jc w:val="both"/>
              <w:rPr>
                <w:rFonts w:ascii="Arial" w:hAnsi="Arial" w:cs="Arial"/>
              </w:rPr>
            </w:pPr>
            <w:r w:rsidRPr="00BC677C">
              <w:rPr>
                <w:rFonts w:ascii="Arial" w:hAnsi="Arial" w:cs="Arial"/>
              </w:rPr>
              <w:t>7.14%</w:t>
            </w:r>
          </w:p>
        </w:tc>
      </w:tr>
      <w:tr w:rsidR="00BC677C" w:rsidRPr="00BC677C" w14:paraId="148EBC31" w14:textId="77777777" w:rsidTr="00BC677C">
        <w:trPr>
          <w:trHeight w:val="528"/>
        </w:trPr>
        <w:tc>
          <w:tcPr>
            <w:tcW w:w="551" w:type="dxa"/>
            <w:hideMark/>
          </w:tcPr>
          <w:p w14:paraId="32E57D73" w14:textId="77777777" w:rsidR="00BC677C" w:rsidRPr="00BC677C" w:rsidRDefault="00BC677C" w:rsidP="00BC677C">
            <w:pPr>
              <w:jc w:val="both"/>
              <w:rPr>
                <w:rFonts w:ascii="Arial" w:hAnsi="Arial" w:cs="Arial"/>
              </w:rPr>
            </w:pPr>
            <w:r w:rsidRPr="00BC677C">
              <w:rPr>
                <w:rFonts w:ascii="Arial" w:hAnsi="Arial" w:cs="Arial"/>
              </w:rPr>
              <w:t>10.</w:t>
            </w:r>
          </w:p>
        </w:tc>
        <w:tc>
          <w:tcPr>
            <w:tcW w:w="3077" w:type="dxa"/>
            <w:hideMark/>
          </w:tcPr>
          <w:p w14:paraId="290A8164" w14:textId="77777777" w:rsidR="00BC677C" w:rsidRPr="00BC677C" w:rsidRDefault="00BC677C" w:rsidP="00BC677C">
            <w:pPr>
              <w:jc w:val="both"/>
              <w:rPr>
                <w:rFonts w:ascii="Arial" w:hAnsi="Arial" w:cs="Arial"/>
              </w:rPr>
            </w:pPr>
            <w:r w:rsidRPr="00BC677C">
              <w:rPr>
                <w:rFonts w:ascii="Arial" w:hAnsi="Arial" w:cs="Arial"/>
              </w:rPr>
              <w:t>Classification</w:t>
            </w:r>
          </w:p>
        </w:tc>
        <w:tc>
          <w:tcPr>
            <w:tcW w:w="839" w:type="dxa"/>
            <w:hideMark/>
          </w:tcPr>
          <w:p w14:paraId="1312A04A" w14:textId="77777777" w:rsidR="00BC677C" w:rsidRPr="00BC677C" w:rsidRDefault="00BC677C" w:rsidP="00BC677C">
            <w:pPr>
              <w:jc w:val="both"/>
              <w:rPr>
                <w:rFonts w:ascii="Arial" w:hAnsi="Arial" w:cs="Arial"/>
              </w:rPr>
            </w:pPr>
            <w:r w:rsidRPr="00BC677C">
              <w:rPr>
                <w:rFonts w:ascii="Arial" w:hAnsi="Arial" w:cs="Arial"/>
              </w:rPr>
              <w:t>-</w:t>
            </w:r>
          </w:p>
        </w:tc>
        <w:tc>
          <w:tcPr>
            <w:tcW w:w="3592" w:type="dxa"/>
            <w:hideMark/>
          </w:tcPr>
          <w:p w14:paraId="4C9BEAE2" w14:textId="77777777" w:rsidR="00BC677C" w:rsidRPr="00BC677C" w:rsidRDefault="00BC677C" w:rsidP="00BC677C">
            <w:pPr>
              <w:jc w:val="both"/>
              <w:rPr>
                <w:rFonts w:ascii="Arial" w:hAnsi="Arial" w:cs="Arial"/>
              </w:rPr>
            </w:pPr>
            <w:r w:rsidRPr="00BC677C">
              <w:rPr>
                <w:rFonts w:ascii="Arial" w:hAnsi="Arial" w:cs="Arial"/>
              </w:rPr>
              <w:t>Inorganic silts of high compressibility and organic clay</w:t>
            </w:r>
          </w:p>
        </w:tc>
      </w:tr>
    </w:tbl>
    <w:p w14:paraId="682FF329" w14:textId="77777777" w:rsidR="00BD5618" w:rsidRDefault="00BD5618" w:rsidP="00BD5618">
      <w:pPr>
        <w:jc w:val="both"/>
        <w:rPr>
          <w:rFonts w:ascii="Arial" w:hAnsi="Arial" w:cs="Arial"/>
          <w:b/>
          <w:bCs/>
        </w:rPr>
      </w:pPr>
    </w:p>
    <w:p w14:paraId="092AA6AB" w14:textId="3137E533" w:rsidR="00BC677C" w:rsidRPr="005D3641" w:rsidRDefault="00BC677C" w:rsidP="00BC677C">
      <w:pPr>
        <w:jc w:val="both"/>
        <w:rPr>
          <w:rFonts w:ascii="Arial" w:hAnsi="Arial" w:cs="Arial"/>
          <w:b/>
          <w:bCs/>
        </w:rPr>
      </w:pPr>
      <w:r>
        <w:rPr>
          <w:rFonts w:ascii="Arial" w:hAnsi="Arial" w:cs="Arial"/>
          <w:b/>
          <w:bCs/>
        </w:rPr>
        <w:t>Particle Size Analysis</w:t>
      </w:r>
    </w:p>
    <w:p w14:paraId="1191E9EC" w14:textId="77777777" w:rsidR="00BC677C" w:rsidRPr="00BC677C" w:rsidRDefault="00BC677C" w:rsidP="00BC677C">
      <w:pPr>
        <w:jc w:val="both"/>
        <w:rPr>
          <w:rFonts w:ascii="Arial" w:hAnsi="Arial" w:cs="Arial"/>
        </w:rPr>
      </w:pPr>
      <w:r w:rsidRPr="00BC677C">
        <w:rPr>
          <w:rFonts w:ascii="Arial" w:hAnsi="Arial" w:cs="Arial"/>
        </w:rPr>
        <w:t xml:space="preserve">Figures 2 and 3 show the classification findings for the soil samples. 38.51% gravel and 58.03% sand make up Soil Sample A, which is classified as a greyish fine sandy gravelly soil with a preponderance of coarser particles and only 3.46% silt. The Coefficient of Gradation (Cc) of 2.82 and the Coefficient of Uniformity (Cu) of 5.67 further support the particle size parameters' well-graded character. According to the Unified Soil Classification System (USCS), these values meet the criteria for well-graded soils, classifying the soil as either SW (well-graded sand) or GW (well-graded gravel). The lack of AASHTO categorization implies that the gradation does not meet AASHTO requirements, even though the soil is appropriate for subbase or structural fill applications due to its high load-bearing capacity and advantageous compaction qualities.  Soil Sample B, on the other hand, has a considerably different composition and is categorized as a brownish fine-grained clayey soil with 45.85% silt, 32.10% sand, and 22.05% gravel. Higher plasticity and poor drainage are caused by the high silt and clay concentration. The sample's mixed texture and preponderance of fine-grained particles lead the USCS to classify it as SC (sandy clay with gravel). It is classified as A-7-5 by AASHTO, which indicates that it is suitable for subgrade applications in a medium to bad manner because of its low strength and susceptibility to deformation under wet conditions. A lack of varied particle sizes is further highlighted by the "poorly graded" designation, which restricts the soil's capacity for compaction and stability. Therefore, in order to improve its geotechnical performance for use in building, stabilization or blending with other materials could be necessary. The differential applicability of Soil Samples A and B is illustrated by these classifications; Sample A's coarser, well-graded composition makes it more suitable for structural applications, whereas Sample B's high silt concentration restricts its potential without additional treatment. </w:t>
      </w:r>
    </w:p>
    <w:p w14:paraId="25C7C160" w14:textId="77777777" w:rsidR="00BC677C" w:rsidRPr="00BC677C" w:rsidRDefault="00BC677C" w:rsidP="00BC677C">
      <w:pPr>
        <w:jc w:val="both"/>
        <w:rPr>
          <w:rFonts w:ascii="Arial" w:hAnsi="Arial" w:cs="Arial"/>
          <w:b/>
          <w:bCs/>
        </w:rPr>
      </w:pPr>
    </w:p>
    <w:p w14:paraId="7B525404" w14:textId="23E7E144" w:rsidR="00BC677C" w:rsidRPr="00BC677C" w:rsidRDefault="00BC677C" w:rsidP="00BC677C">
      <w:pPr>
        <w:jc w:val="both"/>
        <w:rPr>
          <w:rFonts w:ascii="Arial" w:hAnsi="Arial" w:cs="Arial"/>
        </w:rPr>
      </w:pPr>
      <w:r w:rsidRPr="00BC677C">
        <w:rPr>
          <w:rFonts w:ascii="Arial" w:hAnsi="Arial" w:cs="Arial"/>
          <w:noProof/>
        </w:rPr>
        <w:lastRenderedPageBreak/>
        <w:drawing>
          <wp:inline distT="0" distB="0" distL="0" distR="0" wp14:anchorId="206E1CFC" wp14:editId="205926FC">
            <wp:extent cx="2455545" cy="1928613"/>
            <wp:effectExtent l="0" t="0" r="1905" b="14605"/>
            <wp:docPr id="208301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C677C">
        <w:rPr>
          <w:rFonts w:ascii="Arial" w:hAnsi="Arial" w:cs="Arial"/>
          <w:b/>
          <w:bCs/>
        </w:rPr>
        <w:tab/>
      </w:r>
      <w:r w:rsidRPr="00BC677C">
        <w:rPr>
          <w:rFonts w:ascii="Arial" w:hAnsi="Arial" w:cs="Arial"/>
          <w:noProof/>
        </w:rPr>
        <w:drawing>
          <wp:inline distT="0" distB="0" distL="0" distR="0" wp14:anchorId="2012E482" wp14:editId="3C05892C">
            <wp:extent cx="2392326" cy="1980006"/>
            <wp:effectExtent l="0" t="0" r="8255" b="1270"/>
            <wp:docPr id="16203132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6737" cy="2025040"/>
                    </a:xfrm>
                    <a:prstGeom prst="rect">
                      <a:avLst/>
                    </a:prstGeom>
                    <a:noFill/>
                    <a:ln>
                      <a:noFill/>
                    </a:ln>
                  </pic:spPr>
                </pic:pic>
              </a:graphicData>
            </a:graphic>
          </wp:inline>
        </w:drawing>
      </w:r>
      <w:r w:rsidRPr="00BC677C">
        <w:rPr>
          <w:rFonts w:ascii="Arial" w:hAnsi="Arial" w:cs="Arial"/>
          <w:b/>
          <w:bCs/>
        </w:rPr>
        <w:br/>
        <w:t>Fig</w:t>
      </w:r>
      <w:r>
        <w:rPr>
          <w:rFonts w:ascii="Arial" w:hAnsi="Arial" w:cs="Arial"/>
          <w:b/>
          <w:bCs/>
        </w:rPr>
        <w:t>.</w:t>
      </w:r>
      <w:r w:rsidRPr="00BC677C">
        <w:rPr>
          <w:rFonts w:ascii="Arial" w:hAnsi="Arial" w:cs="Arial"/>
          <w:b/>
          <w:bCs/>
        </w:rPr>
        <w:t xml:space="preserve"> 2:</w:t>
      </w:r>
      <w:r w:rsidRPr="00BC677C">
        <w:rPr>
          <w:rFonts w:ascii="Arial" w:hAnsi="Arial" w:cs="Arial"/>
        </w:rPr>
        <w:t xml:space="preserve"> Particle Size Analysis for Sample A</w:t>
      </w:r>
      <w:r w:rsidRPr="00BC677C">
        <w:rPr>
          <w:rFonts w:ascii="Arial" w:hAnsi="Arial" w:cs="Arial"/>
        </w:rPr>
        <w:tab/>
      </w:r>
      <w:r w:rsidRPr="00BC677C">
        <w:rPr>
          <w:rFonts w:ascii="Arial" w:hAnsi="Arial" w:cs="Arial"/>
          <w:b/>
          <w:bCs/>
        </w:rPr>
        <w:t>Fig</w:t>
      </w:r>
      <w:r>
        <w:rPr>
          <w:rFonts w:ascii="Arial" w:hAnsi="Arial" w:cs="Arial"/>
          <w:b/>
          <w:bCs/>
        </w:rPr>
        <w:t>.</w:t>
      </w:r>
      <w:r w:rsidRPr="00BC677C">
        <w:rPr>
          <w:rFonts w:ascii="Arial" w:hAnsi="Arial" w:cs="Arial"/>
          <w:b/>
          <w:bCs/>
        </w:rPr>
        <w:t xml:space="preserve"> 3:</w:t>
      </w:r>
      <w:r w:rsidRPr="00BC677C">
        <w:rPr>
          <w:rFonts w:ascii="Arial" w:hAnsi="Arial" w:cs="Arial"/>
        </w:rPr>
        <w:t xml:space="preserve"> Particle Size Analysis for Sample B</w:t>
      </w:r>
    </w:p>
    <w:p w14:paraId="491893C4" w14:textId="77777777" w:rsidR="00BC677C" w:rsidRDefault="00BC677C" w:rsidP="00BD5618">
      <w:pPr>
        <w:jc w:val="both"/>
        <w:rPr>
          <w:rFonts w:ascii="Arial" w:hAnsi="Arial" w:cs="Arial"/>
          <w:b/>
        </w:rPr>
      </w:pPr>
    </w:p>
    <w:p w14:paraId="12904AC2" w14:textId="10EDDBC8" w:rsidR="00BD5618" w:rsidRPr="005D3641" w:rsidRDefault="00BD5618" w:rsidP="00BD5618">
      <w:pPr>
        <w:jc w:val="both"/>
        <w:rPr>
          <w:rFonts w:ascii="Arial" w:hAnsi="Arial" w:cs="Arial"/>
          <w:b/>
        </w:rPr>
      </w:pPr>
      <w:r w:rsidRPr="005D3641">
        <w:rPr>
          <w:rFonts w:ascii="Arial" w:hAnsi="Arial" w:cs="Arial"/>
          <w:b/>
        </w:rPr>
        <w:t>Compaction Test</w:t>
      </w:r>
    </w:p>
    <w:p w14:paraId="40214F8B" w14:textId="40CCD53F" w:rsidR="00BC677C" w:rsidRPr="00BC677C" w:rsidRDefault="00BC677C" w:rsidP="00BC677C">
      <w:pPr>
        <w:tabs>
          <w:tab w:val="left" w:pos="975"/>
        </w:tabs>
        <w:contextualSpacing/>
        <w:jc w:val="both"/>
        <w:rPr>
          <w:rFonts w:ascii="Arial" w:hAnsi="Arial" w:cs="Arial"/>
          <w:bCs/>
        </w:rPr>
      </w:pPr>
      <w:r w:rsidRPr="00BC677C">
        <w:rPr>
          <w:rFonts w:ascii="Arial" w:hAnsi="Arial" w:cs="Arial"/>
          <w:bCs/>
        </w:rPr>
        <w:t xml:space="preserve">With consequences for their engineering applications, the compaction properties of soil samples A and B, as indicated by their Maximum Dry Density (MDD) and Optimum Moisture Content (OMC), show notable variations in their capacity to reach maximum compaction under particular moisture conditions. Sample A, as depicted in Figure 4, has an optimal moisture content (OMC) of 12.60% and a maximum dry density (MDD) of 1915 kg/m³. Its dense particle arrangement and preponderance of coarser particles (sand and gravel) are reflected in its comparatively high MDD. According to earlier analyses, the sample's well-graded character allows for improved packing and interlocking, which raises the compaction capacity. The moisture content at which the soil reaches its maximum density with little pore water interference is indicated by the mild OMC.  These attributes imply that Sample A is ideal for structural uses where a high load-bearing capacity is essential, such as subgrade or base material for highways and foundations. </w:t>
      </w:r>
      <w:r>
        <w:rPr>
          <w:rFonts w:ascii="Arial" w:hAnsi="Arial" w:cs="Arial"/>
          <w:bCs/>
        </w:rPr>
        <w:t xml:space="preserve"> </w:t>
      </w:r>
      <w:r w:rsidRPr="00BC677C">
        <w:rPr>
          <w:rFonts w:ascii="Arial" w:hAnsi="Arial" w:cs="Arial"/>
          <w:bCs/>
        </w:rPr>
        <w:t>In contrast, Sample B, as depicted in Figure 5, has an Optimum Moisture Content (OMC) of 17% and a Maximum Dry Density (MDD) of 1636 kg/m³. The finer particle size distribution and higher silt and clay content, which prevent the soil from achieving a densely packed structure during compaction, are reflected in the lower MDD. The more water needed to lubricate the fine particles for ideal compaction, the higher the OMC. However, this also highlights the soil's increased susceptibility to moisture-related issues, such as swelling or shrinkage, under varying environmental conditions. For dependable use in building projects, Sample B might need to be stabilized in order to increase its strength and lessen its sensitivity to moisture.</w:t>
      </w:r>
    </w:p>
    <w:p w14:paraId="58F54E9A" w14:textId="77777777" w:rsidR="00BC677C" w:rsidRPr="00BC677C" w:rsidRDefault="00BC677C" w:rsidP="00BC677C">
      <w:pPr>
        <w:tabs>
          <w:tab w:val="left" w:pos="975"/>
        </w:tabs>
        <w:contextualSpacing/>
        <w:jc w:val="both"/>
        <w:rPr>
          <w:rFonts w:ascii="Arial" w:hAnsi="Arial" w:cs="Arial"/>
          <w:bCs/>
        </w:rPr>
      </w:pPr>
      <w:r w:rsidRPr="00BC677C">
        <w:rPr>
          <w:rFonts w:ascii="Arial" w:hAnsi="Arial" w:cs="Arial"/>
          <w:bCs/>
          <w:noProof/>
        </w:rPr>
        <w:drawing>
          <wp:inline distT="0" distB="0" distL="0" distR="0" wp14:anchorId="505EFF96" wp14:editId="5EAD42CE">
            <wp:extent cx="2041451" cy="1977656"/>
            <wp:effectExtent l="0" t="0" r="16510" b="3810"/>
            <wp:docPr id="4389907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C677C">
        <w:rPr>
          <w:rFonts w:ascii="Arial" w:hAnsi="Arial" w:cs="Arial"/>
          <w:bCs/>
        </w:rPr>
        <w:tab/>
      </w:r>
      <w:r w:rsidRPr="00BC677C">
        <w:rPr>
          <w:rFonts w:ascii="Arial" w:hAnsi="Arial" w:cs="Arial"/>
          <w:bCs/>
          <w:noProof/>
        </w:rPr>
        <w:drawing>
          <wp:inline distT="0" distB="0" distL="0" distR="0" wp14:anchorId="369EA2C1" wp14:editId="0D37EA67">
            <wp:extent cx="2465705" cy="1977508"/>
            <wp:effectExtent l="0" t="0" r="10795" b="3810"/>
            <wp:docPr id="117924420" name="Chart 1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D5523F" w14:textId="3DC76497" w:rsidR="00BC677C" w:rsidRPr="00BC677C" w:rsidRDefault="00BC677C" w:rsidP="00BC677C">
      <w:pPr>
        <w:tabs>
          <w:tab w:val="left" w:pos="975"/>
        </w:tabs>
        <w:contextualSpacing/>
        <w:jc w:val="both"/>
        <w:rPr>
          <w:rFonts w:ascii="Arial" w:hAnsi="Arial" w:cs="Arial"/>
          <w:bCs/>
        </w:rPr>
      </w:pPr>
      <w:r w:rsidRPr="00BC677C">
        <w:rPr>
          <w:rFonts w:ascii="Arial" w:hAnsi="Arial" w:cs="Arial"/>
          <w:b/>
          <w:bCs/>
        </w:rPr>
        <w:t>Fig</w:t>
      </w:r>
      <w:r>
        <w:rPr>
          <w:rFonts w:ascii="Arial" w:hAnsi="Arial" w:cs="Arial"/>
          <w:b/>
          <w:bCs/>
        </w:rPr>
        <w:t>.</w:t>
      </w:r>
      <w:r w:rsidRPr="00BC677C">
        <w:rPr>
          <w:rFonts w:ascii="Arial" w:hAnsi="Arial" w:cs="Arial"/>
          <w:b/>
          <w:bCs/>
        </w:rPr>
        <w:t xml:space="preserve"> 4:</w:t>
      </w:r>
      <w:r w:rsidRPr="00BC677C">
        <w:rPr>
          <w:rFonts w:ascii="Arial" w:hAnsi="Arial" w:cs="Arial"/>
          <w:bCs/>
        </w:rPr>
        <w:t xml:space="preserve"> Figure of MDD and OMC for </w:t>
      </w:r>
      <w:r w:rsidRPr="00BC677C">
        <w:rPr>
          <w:rFonts w:ascii="Arial" w:hAnsi="Arial" w:cs="Arial"/>
          <w:bCs/>
        </w:rPr>
        <w:tab/>
      </w:r>
      <w:r w:rsidRPr="00BC677C">
        <w:rPr>
          <w:rFonts w:ascii="Arial" w:hAnsi="Arial" w:cs="Arial"/>
          <w:bCs/>
        </w:rPr>
        <w:tab/>
      </w:r>
      <w:r w:rsidRPr="00BC677C">
        <w:rPr>
          <w:rFonts w:ascii="Arial" w:hAnsi="Arial" w:cs="Arial"/>
          <w:b/>
          <w:bCs/>
        </w:rPr>
        <w:t>Fig</w:t>
      </w:r>
      <w:r>
        <w:rPr>
          <w:rFonts w:ascii="Arial" w:hAnsi="Arial" w:cs="Arial"/>
          <w:b/>
          <w:bCs/>
        </w:rPr>
        <w:t>.</w:t>
      </w:r>
      <w:r w:rsidRPr="00BC677C">
        <w:rPr>
          <w:rFonts w:ascii="Arial" w:hAnsi="Arial" w:cs="Arial"/>
          <w:b/>
          <w:bCs/>
        </w:rPr>
        <w:t xml:space="preserve"> 5:</w:t>
      </w:r>
      <w:r w:rsidRPr="00BC677C">
        <w:rPr>
          <w:rFonts w:ascii="Arial" w:hAnsi="Arial" w:cs="Arial"/>
          <w:bCs/>
        </w:rPr>
        <w:t xml:space="preserve"> Figure of MDD and OMC for </w:t>
      </w:r>
    </w:p>
    <w:p w14:paraId="73C10EBB" w14:textId="77777777" w:rsidR="00BC677C" w:rsidRPr="00BC677C" w:rsidRDefault="00BC677C" w:rsidP="00BC677C">
      <w:pPr>
        <w:tabs>
          <w:tab w:val="left" w:pos="975"/>
        </w:tabs>
        <w:contextualSpacing/>
        <w:jc w:val="both"/>
        <w:rPr>
          <w:rFonts w:ascii="Arial" w:hAnsi="Arial" w:cs="Arial"/>
          <w:bCs/>
        </w:rPr>
      </w:pPr>
      <w:r w:rsidRPr="00BC677C">
        <w:rPr>
          <w:rFonts w:ascii="Arial" w:hAnsi="Arial" w:cs="Arial"/>
          <w:bCs/>
        </w:rPr>
        <w:t>Sample A (PANADA)</w:t>
      </w:r>
      <w:r w:rsidRPr="00BC677C">
        <w:rPr>
          <w:rFonts w:ascii="Arial" w:hAnsi="Arial" w:cs="Arial"/>
          <w:bCs/>
        </w:rPr>
        <w:tab/>
      </w:r>
      <w:r w:rsidRPr="00BC677C">
        <w:rPr>
          <w:rFonts w:ascii="Arial" w:hAnsi="Arial" w:cs="Arial"/>
          <w:bCs/>
        </w:rPr>
        <w:tab/>
      </w:r>
      <w:r w:rsidRPr="00BC677C">
        <w:rPr>
          <w:rFonts w:ascii="Arial" w:hAnsi="Arial" w:cs="Arial"/>
          <w:bCs/>
        </w:rPr>
        <w:tab/>
      </w:r>
      <w:r w:rsidRPr="00BC677C">
        <w:rPr>
          <w:rFonts w:ascii="Arial" w:hAnsi="Arial" w:cs="Arial"/>
          <w:bCs/>
        </w:rPr>
        <w:tab/>
        <w:t>Sample B (EBEDI)</w:t>
      </w:r>
    </w:p>
    <w:p w14:paraId="53C18178" w14:textId="742164B4" w:rsidR="00BD5618" w:rsidRPr="005D3641" w:rsidRDefault="00BD5618" w:rsidP="00BD5618">
      <w:pPr>
        <w:tabs>
          <w:tab w:val="left" w:pos="975"/>
        </w:tabs>
        <w:contextualSpacing/>
        <w:jc w:val="both"/>
        <w:rPr>
          <w:rFonts w:ascii="Arial" w:hAnsi="Arial" w:cs="Arial"/>
        </w:rPr>
      </w:pPr>
      <w:r w:rsidRPr="005D3641">
        <w:rPr>
          <w:rFonts w:ascii="Arial" w:hAnsi="Arial" w:cs="Arial"/>
        </w:rPr>
        <w:t xml:space="preserve"> </w:t>
      </w:r>
    </w:p>
    <w:p w14:paraId="4190B20F" w14:textId="77777777" w:rsidR="00BD5618" w:rsidRPr="005D3641" w:rsidRDefault="00BD5618" w:rsidP="00BD5618">
      <w:pPr>
        <w:tabs>
          <w:tab w:val="left" w:pos="975"/>
        </w:tabs>
        <w:contextualSpacing/>
        <w:jc w:val="both"/>
        <w:rPr>
          <w:rFonts w:ascii="Arial" w:hAnsi="Arial" w:cs="Arial"/>
        </w:rPr>
      </w:pPr>
    </w:p>
    <w:p w14:paraId="670BBEA4" w14:textId="75048BAE" w:rsidR="00BD5618" w:rsidRPr="005D3641" w:rsidRDefault="00BC677C" w:rsidP="00BD5618">
      <w:pPr>
        <w:tabs>
          <w:tab w:val="left" w:pos="975"/>
        </w:tabs>
        <w:contextualSpacing/>
        <w:jc w:val="both"/>
        <w:rPr>
          <w:rFonts w:ascii="Arial" w:hAnsi="Arial" w:cs="Arial"/>
          <w:b/>
          <w:bCs/>
        </w:rPr>
      </w:pPr>
      <w:r>
        <w:rPr>
          <w:rFonts w:ascii="Arial" w:hAnsi="Arial" w:cs="Arial"/>
          <w:b/>
          <w:bCs/>
        </w:rPr>
        <w:t>Shear Strength of Soil Samples</w:t>
      </w:r>
    </w:p>
    <w:p w14:paraId="7288DD1F" w14:textId="77777777" w:rsidR="00A7651E" w:rsidRPr="00A7651E" w:rsidRDefault="00A7651E" w:rsidP="00A7651E">
      <w:pPr>
        <w:contextualSpacing/>
        <w:jc w:val="both"/>
        <w:rPr>
          <w:rFonts w:ascii="Arial" w:hAnsi="Arial" w:cs="Arial"/>
        </w:rPr>
      </w:pPr>
      <w:r w:rsidRPr="00A7651E">
        <w:rPr>
          <w:rFonts w:ascii="Arial" w:hAnsi="Arial" w:cs="Arial"/>
        </w:rPr>
        <w:t>The shear strength behavior of soil samples A and B shown on Table 2 and Table 3 reflect the effects of varying treatment dosages on their geotechnical properties, particularly the cohesion and angle of shearing resistance. It shows their response to various treatment dosages, reflecting changes in parameters such as apparent cohesion, angle of shearing resistance, and overall shear strength. These observations are essential for determining the optimal stabilization dosage and understanding soil characteristics under different treatment levels.</w:t>
      </w:r>
    </w:p>
    <w:p w14:paraId="0797DFC8" w14:textId="77777777" w:rsidR="00A7651E" w:rsidRPr="00A7651E" w:rsidRDefault="00A7651E" w:rsidP="00A7651E">
      <w:pPr>
        <w:contextualSpacing/>
        <w:jc w:val="both"/>
        <w:rPr>
          <w:rFonts w:ascii="Arial" w:hAnsi="Arial" w:cs="Arial"/>
        </w:rPr>
      </w:pPr>
      <w:r w:rsidRPr="00A7651E">
        <w:rPr>
          <w:rFonts w:ascii="Arial" w:hAnsi="Arial" w:cs="Arial"/>
        </w:rPr>
        <w:t>For Sample A, shown on Figures 6, which is classified as a well-graded sandy-gravelly soil, the initial shear strength properties reflect low apparent cohesion, indicating its granular, cohesionless nature. The shear strength values increase notably with treatment up to 0.7%, reflecting enhancements in peak shear stress, apparent cohesion (C′), and angle of shearing resistance (ϕ). At 0% treatment, the angle of shearing resistance (ϕ) is 41°, and the shear strength is 173.86 kN/m². Treatment improves these values, with peak enhancements observed at 0.7% dosage. The apparent cohesion reaches 15.01 kN/m², and the shear strength increases to 238.54 kN/m². Additionally, the angle of shearing resistance peaks at 48.18°, suggesting improved particle interlocking and frictional resistance. However, at dosages higher than 0.7%, these properties decline, likely due to saturation effects or excessive binder interfering with particle cohesion and friction. By 1.0%, the shear strength reduces to 193.91 kN/m².</w:t>
      </w:r>
    </w:p>
    <w:p w14:paraId="6870B653" w14:textId="77777777" w:rsidR="00A7651E" w:rsidRPr="00A7651E" w:rsidRDefault="00A7651E" w:rsidP="00A7651E">
      <w:pPr>
        <w:contextualSpacing/>
        <w:jc w:val="both"/>
        <w:rPr>
          <w:rFonts w:ascii="Arial" w:hAnsi="Arial" w:cs="Arial"/>
        </w:rPr>
      </w:pPr>
      <w:r w:rsidRPr="00A7651E">
        <w:rPr>
          <w:rFonts w:ascii="Arial" w:hAnsi="Arial" w:cs="Arial"/>
        </w:rPr>
        <w:t>For Sample B, a poorly graded clayey soil, as shown on Figure 6, the baseline characteristics demonstrate significantly higher apparent cohesion, at 43.24 kN/m², due to its fine-grained, cohesive nature. The initial shear strength of 248.19 kN/m² and angle of shearing resistance (ϕ) of 45.7° further indicate the substantial contribution of cohesive forces in this sample. Treatment enhances these properties, with notable improvements up to 0.7% dosage. At this level, apparent cohesion peaks at 50.73 kN/m², shear strength rises to 292.75 kN/m², and the angle of shearing resistance reaches 50.43°, representing optimal conditions for stabilization. However, beyond 0.7%, these parameters deteriorate. At 1.0% dosage, cohesion and shear strength drop to 27.7 kN/m² and 238.68 kN/m², respectively, likely due to excessive binder disrupting the natural clayey matrix or inducing brittleness.</w:t>
      </w:r>
    </w:p>
    <w:p w14:paraId="470F709C" w14:textId="77777777" w:rsidR="00A7651E" w:rsidRPr="00A7651E" w:rsidRDefault="00A7651E" w:rsidP="00A7651E">
      <w:pPr>
        <w:contextualSpacing/>
        <w:jc w:val="both"/>
        <w:rPr>
          <w:rFonts w:ascii="Arial" w:hAnsi="Arial" w:cs="Arial"/>
        </w:rPr>
      </w:pPr>
      <w:r w:rsidRPr="00A7651E">
        <w:rPr>
          <w:rFonts w:ascii="Arial" w:hAnsi="Arial" w:cs="Arial"/>
        </w:rPr>
        <w:t xml:space="preserve">The shear strength behavior of the soil samples observed in this study is consistent with findings from existing research on the use of natural biopolymers in soil stabilization. The results demonstrated that Gum Arabic treatment significantly improved shear strength parameters, apparent cohesion (C′), angle of shearing resistance (ϕ), and overall shear strength, up to an optimal dosage of 0.7%. Beyond this level, strength values declined, likely due to excess binder disrupting inter-particle bonding. This trend aligns with previous studies where Arabic gum and similar biopolymers enhanced soil strength through mechanisms such as pore filling, hydrogen bonding, and improved particle interlocking. For instance, studies on Acacia gum (Arabic gum) reported notable improvements in unconfined compressive strength (UCS) and California Bearing Ratio (CBR), attributing these enhancements to the binding and stiffening effects of the gum on soil matrices (Vishweshwaran </w:t>
      </w:r>
      <w:r w:rsidRPr="00A7651E">
        <w:rPr>
          <w:rFonts w:ascii="Arial" w:hAnsi="Arial" w:cs="Arial"/>
          <w:i/>
          <w:iCs/>
        </w:rPr>
        <w:t>et al.,</w:t>
      </w:r>
      <w:r w:rsidRPr="00A7651E">
        <w:rPr>
          <w:rFonts w:ascii="Arial" w:hAnsi="Arial" w:cs="Arial"/>
        </w:rPr>
        <w:t xml:space="preserve"> 2024; Ajagbe, </w:t>
      </w:r>
      <w:r w:rsidRPr="00A7651E">
        <w:rPr>
          <w:rFonts w:ascii="Arial" w:hAnsi="Arial" w:cs="Arial"/>
          <w:i/>
          <w:iCs/>
        </w:rPr>
        <w:t>et al.,</w:t>
      </w:r>
      <w:r w:rsidRPr="00A7651E">
        <w:rPr>
          <w:rFonts w:ascii="Arial" w:hAnsi="Arial" w:cs="Arial"/>
        </w:rPr>
        <w:t xml:space="preserve"> 2024). Similarly, research on xanthan and agar gums demonstrated more than a two-fold increase in shear strength of treated soils, emphasizing the effectiveness of natural additives in improving soil resistance to deformation (Verma </w:t>
      </w:r>
      <w:r w:rsidRPr="00A7651E">
        <w:rPr>
          <w:rFonts w:ascii="Arial" w:hAnsi="Arial" w:cs="Arial"/>
          <w:i/>
          <w:iCs/>
        </w:rPr>
        <w:t>et al.,</w:t>
      </w:r>
      <w:r w:rsidRPr="00A7651E">
        <w:rPr>
          <w:rFonts w:ascii="Arial" w:hAnsi="Arial" w:cs="Arial"/>
        </w:rPr>
        <w:t xml:space="preserve"> 2023). Furthermore, consolidation studies on clayey soils stabilized with Arabic gum confirmed reduced settlement and enhanced structural stability, supporting the settlement reduction trends observed in this work (Kabakuş and Tarhan, 2025; Tunç </w:t>
      </w:r>
      <w:r w:rsidRPr="00A7651E">
        <w:rPr>
          <w:rFonts w:ascii="Arial" w:hAnsi="Arial" w:cs="Arial"/>
          <w:i/>
          <w:iCs/>
        </w:rPr>
        <w:t>et al.,</w:t>
      </w:r>
      <w:r w:rsidRPr="00A7651E">
        <w:rPr>
          <w:rFonts w:ascii="Arial" w:hAnsi="Arial" w:cs="Arial"/>
        </w:rPr>
        <w:t xml:space="preserve"> 2022). While some studies explored higher dosages, such as 3%, to achieve significant CBR improvements, the consensus across the literature highlights the existence of an optimal dosage window beyond which performance deteriorates (Ajagbe </w:t>
      </w:r>
      <w:r w:rsidRPr="00A7651E">
        <w:rPr>
          <w:rFonts w:ascii="Arial" w:hAnsi="Arial" w:cs="Arial"/>
          <w:i/>
          <w:iCs/>
        </w:rPr>
        <w:t>et al.,</w:t>
      </w:r>
      <w:r w:rsidRPr="00A7651E">
        <w:rPr>
          <w:rFonts w:ascii="Arial" w:hAnsi="Arial" w:cs="Arial"/>
        </w:rPr>
        <w:t xml:space="preserve"> 2024).</w:t>
      </w:r>
    </w:p>
    <w:p w14:paraId="365FDE13" w14:textId="77777777" w:rsidR="00A7651E" w:rsidRDefault="00A7651E" w:rsidP="00A7651E">
      <w:pPr>
        <w:contextualSpacing/>
        <w:jc w:val="both"/>
        <w:rPr>
          <w:rFonts w:ascii="Arial" w:hAnsi="Arial" w:cs="Arial"/>
        </w:rPr>
      </w:pPr>
      <w:r w:rsidRPr="00A7651E">
        <w:rPr>
          <w:rFonts w:ascii="Arial" w:hAnsi="Arial" w:cs="Arial"/>
        </w:rPr>
        <w:t xml:space="preserve">When comparing both samples, the sandy-gravelly Sample A shows significant benefits from the treatment, primarily through improved cohesion, as granular soils typically lack cohesive </w:t>
      </w:r>
      <w:r w:rsidRPr="00A7651E">
        <w:rPr>
          <w:rFonts w:ascii="Arial" w:hAnsi="Arial" w:cs="Arial"/>
        </w:rPr>
        <w:lastRenderedPageBreak/>
        <w:t xml:space="preserve">properties. Conversely, clayey Sample B demonstrates higher initial strength and cohesion but is more sensitive to excessive dosages due to its fine-grained composition. Both samples exhibit peak enhancements at 0.7% treatment, emphasizing this dosage as the optimal level for soil stabilization. The 0.7% treatment is effective for both samples, significantly enhancing their geotechnical properties. However, excessive dosages beyond the optimal limit led to strength reductions, likely due to oversaturation or adverse additive-soil interactions. The response of soil samples A and B to varying treatment dosages highlights the role of optimising binder content. While treatment significantly improves shear strength and stability at optimal levels, excessive dosages can undermine these benefits. </w:t>
      </w:r>
    </w:p>
    <w:p w14:paraId="07DA1AAB" w14:textId="77777777" w:rsidR="007F777A" w:rsidRPr="00A7651E" w:rsidRDefault="007F777A" w:rsidP="00A7651E">
      <w:pPr>
        <w:contextualSpacing/>
        <w:jc w:val="both"/>
        <w:rPr>
          <w:rFonts w:ascii="Arial" w:hAnsi="Arial" w:cs="Arial"/>
        </w:rPr>
      </w:pPr>
    </w:p>
    <w:p w14:paraId="16D74ABC" w14:textId="77777777" w:rsidR="00A7651E" w:rsidRPr="00A7651E" w:rsidRDefault="00A7651E" w:rsidP="00A7651E">
      <w:pPr>
        <w:contextualSpacing/>
        <w:jc w:val="both"/>
        <w:rPr>
          <w:rFonts w:ascii="Arial" w:hAnsi="Arial" w:cs="Arial"/>
        </w:rPr>
      </w:pPr>
      <w:r w:rsidRPr="00A7651E">
        <w:rPr>
          <w:rFonts w:ascii="Arial" w:hAnsi="Arial" w:cs="Arial"/>
          <w:b/>
          <w:bCs/>
        </w:rPr>
        <w:t>Table 2:</w:t>
      </w:r>
      <w:r w:rsidRPr="00A7651E">
        <w:rPr>
          <w:rFonts w:ascii="Arial" w:hAnsi="Arial" w:cs="Arial"/>
        </w:rPr>
        <w:t xml:space="preserve"> Shear strength values of soil sample A</w:t>
      </w:r>
    </w:p>
    <w:tbl>
      <w:tblPr>
        <w:tblStyle w:val="PlainTable21"/>
        <w:tblW w:w="8353" w:type="dxa"/>
        <w:tblLook w:val="0620" w:firstRow="1" w:lastRow="0" w:firstColumn="0" w:lastColumn="0" w:noHBand="1" w:noVBand="1"/>
      </w:tblPr>
      <w:tblGrid>
        <w:gridCol w:w="2629"/>
        <w:gridCol w:w="828"/>
        <w:gridCol w:w="1004"/>
        <w:gridCol w:w="1002"/>
        <w:gridCol w:w="1002"/>
        <w:gridCol w:w="861"/>
        <w:gridCol w:w="1027"/>
      </w:tblGrid>
      <w:tr w:rsidR="00A7651E" w:rsidRPr="00A7651E" w14:paraId="2991D165" w14:textId="77777777" w:rsidTr="00A7651E">
        <w:trPr>
          <w:cnfStyle w:val="100000000000" w:firstRow="1" w:lastRow="0" w:firstColumn="0" w:lastColumn="0" w:oddVBand="0" w:evenVBand="0" w:oddHBand="0" w:evenHBand="0" w:firstRowFirstColumn="0" w:firstRowLastColumn="0" w:lastRowFirstColumn="0" w:lastRowLastColumn="0"/>
          <w:trHeight w:val="255"/>
        </w:trPr>
        <w:tc>
          <w:tcPr>
            <w:tcW w:w="2655" w:type="dxa"/>
            <w:vMerge w:val="restart"/>
          </w:tcPr>
          <w:p w14:paraId="5C5ABAE1" w14:textId="77777777" w:rsidR="00A7651E" w:rsidRPr="00A7651E" w:rsidRDefault="00A7651E" w:rsidP="00A7651E">
            <w:pPr>
              <w:contextualSpacing/>
              <w:jc w:val="both"/>
              <w:rPr>
                <w:rFonts w:ascii="Arial" w:hAnsi="Arial" w:cs="Arial"/>
              </w:rPr>
            </w:pPr>
            <w:r w:rsidRPr="00A7651E">
              <w:rPr>
                <w:rFonts w:ascii="Arial" w:hAnsi="Arial" w:cs="Arial"/>
              </w:rPr>
              <w:t>Parameters</w:t>
            </w:r>
          </w:p>
        </w:tc>
        <w:tc>
          <w:tcPr>
            <w:tcW w:w="5698" w:type="dxa"/>
            <w:gridSpan w:val="6"/>
          </w:tcPr>
          <w:p w14:paraId="1FC02680" w14:textId="77777777" w:rsidR="00A7651E" w:rsidRPr="00A7651E" w:rsidRDefault="00A7651E" w:rsidP="00A7651E">
            <w:pPr>
              <w:contextualSpacing/>
              <w:jc w:val="both"/>
              <w:rPr>
                <w:rFonts w:ascii="Arial" w:hAnsi="Arial" w:cs="Arial"/>
              </w:rPr>
            </w:pPr>
            <w:r w:rsidRPr="00A7651E">
              <w:rPr>
                <w:rFonts w:ascii="Arial" w:hAnsi="Arial" w:cs="Arial"/>
              </w:rPr>
              <w:t>Treatment</w:t>
            </w:r>
          </w:p>
        </w:tc>
      </w:tr>
      <w:tr w:rsidR="00A7651E" w:rsidRPr="00A7651E" w14:paraId="68340AAF" w14:textId="77777777" w:rsidTr="00A7651E">
        <w:trPr>
          <w:trHeight w:val="141"/>
        </w:trPr>
        <w:tc>
          <w:tcPr>
            <w:tcW w:w="2655" w:type="dxa"/>
            <w:vMerge/>
          </w:tcPr>
          <w:p w14:paraId="5A1AE1D0" w14:textId="77777777" w:rsidR="00A7651E" w:rsidRPr="00A7651E" w:rsidRDefault="00A7651E" w:rsidP="00A7651E">
            <w:pPr>
              <w:contextualSpacing/>
              <w:jc w:val="both"/>
              <w:rPr>
                <w:rFonts w:ascii="Arial" w:hAnsi="Arial" w:cs="Arial"/>
              </w:rPr>
            </w:pPr>
          </w:p>
        </w:tc>
        <w:tc>
          <w:tcPr>
            <w:tcW w:w="790" w:type="dxa"/>
          </w:tcPr>
          <w:p w14:paraId="5455C566" w14:textId="77777777" w:rsidR="00A7651E" w:rsidRPr="00A7651E" w:rsidRDefault="00A7651E" w:rsidP="00A7651E">
            <w:pPr>
              <w:contextualSpacing/>
              <w:jc w:val="both"/>
              <w:rPr>
                <w:rFonts w:ascii="Arial" w:hAnsi="Arial" w:cs="Arial"/>
              </w:rPr>
            </w:pPr>
            <w:r w:rsidRPr="00A7651E">
              <w:rPr>
                <w:rFonts w:ascii="Arial" w:hAnsi="Arial" w:cs="Arial"/>
              </w:rPr>
              <w:t>0%</w:t>
            </w:r>
          </w:p>
        </w:tc>
        <w:tc>
          <w:tcPr>
            <w:tcW w:w="1005" w:type="dxa"/>
          </w:tcPr>
          <w:p w14:paraId="7982B5EA" w14:textId="77777777" w:rsidR="00A7651E" w:rsidRPr="00A7651E" w:rsidRDefault="00A7651E" w:rsidP="00A7651E">
            <w:pPr>
              <w:contextualSpacing/>
              <w:jc w:val="both"/>
              <w:rPr>
                <w:rFonts w:ascii="Arial" w:hAnsi="Arial" w:cs="Arial"/>
              </w:rPr>
            </w:pPr>
            <w:r w:rsidRPr="00A7651E">
              <w:rPr>
                <w:rFonts w:ascii="Arial" w:hAnsi="Arial" w:cs="Arial"/>
              </w:rPr>
              <w:t>0.2%</w:t>
            </w:r>
          </w:p>
        </w:tc>
        <w:tc>
          <w:tcPr>
            <w:tcW w:w="1005" w:type="dxa"/>
          </w:tcPr>
          <w:p w14:paraId="2689C660" w14:textId="77777777" w:rsidR="00A7651E" w:rsidRPr="00A7651E" w:rsidRDefault="00A7651E" w:rsidP="00A7651E">
            <w:pPr>
              <w:contextualSpacing/>
              <w:jc w:val="both"/>
              <w:rPr>
                <w:rFonts w:ascii="Arial" w:hAnsi="Arial" w:cs="Arial"/>
              </w:rPr>
            </w:pPr>
            <w:r w:rsidRPr="00A7651E">
              <w:rPr>
                <w:rFonts w:ascii="Arial" w:hAnsi="Arial" w:cs="Arial"/>
              </w:rPr>
              <w:t>0.4%</w:t>
            </w:r>
          </w:p>
        </w:tc>
        <w:tc>
          <w:tcPr>
            <w:tcW w:w="1005" w:type="dxa"/>
          </w:tcPr>
          <w:p w14:paraId="0E8C07CD" w14:textId="77777777" w:rsidR="00A7651E" w:rsidRPr="00A7651E" w:rsidRDefault="00A7651E" w:rsidP="00A7651E">
            <w:pPr>
              <w:contextualSpacing/>
              <w:jc w:val="both"/>
              <w:rPr>
                <w:rFonts w:ascii="Arial" w:hAnsi="Arial" w:cs="Arial"/>
              </w:rPr>
            </w:pPr>
            <w:r w:rsidRPr="00A7651E">
              <w:rPr>
                <w:rFonts w:ascii="Arial" w:hAnsi="Arial" w:cs="Arial"/>
              </w:rPr>
              <w:t>0.7%</w:t>
            </w:r>
          </w:p>
        </w:tc>
        <w:tc>
          <w:tcPr>
            <w:tcW w:w="862" w:type="dxa"/>
          </w:tcPr>
          <w:p w14:paraId="2D13FC6B" w14:textId="77777777" w:rsidR="00A7651E" w:rsidRPr="00A7651E" w:rsidRDefault="00A7651E" w:rsidP="00A7651E">
            <w:pPr>
              <w:contextualSpacing/>
              <w:jc w:val="both"/>
              <w:rPr>
                <w:rFonts w:ascii="Arial" w:hAnsi="Arial" w:cs="Arial"/>
              </w:rPr>
            </w:pPr>
            <w:r w:rsidRPr="00A7651E">
              <w:rPr>
                <w:rFonts w:ascii="Arial" w:hAnsi="Arial" w:cs="Arial"/>
              </w:rPr>
              <w:t>0.8%</w:t>
            </w:r>
          </w:p>
        </w:tc>
        <w:tc>
          <w:tcPr>
            <w:tcW w:w="1028" w:type="dxa"/>
          </w:tcPr>
          <w:p w14:paraId="72C77081" w14:textId="77777777" w:rsidR="00A7651E" w:rsidRPr="00A7651E" w:rsidRDefault="00A7651E" w:rsidP="00A7651E">
            <w:pPr>
              <w:contextualSpacing/>
              <w:jc w:val="both"/>
              <w:rPr>
                <w:rFonts w:ascii="Arial" w:hAnsi="Arial" w:cs="Arial"/>
              </w:rPr>
            </w:pPr>
            <w:r w:rsidRPr="00A7651E">
              <w:rPr>
                <w:rFonts w:ascii="Arial" w:hAnsi="Arial" w:cs="Arial"/>
              </w:rPr>
              <w:t>1.0%</w:t>
            </w:r>
          </w:p>
        </w:tc>
      </w:tr>
      <w:tr w:rsidR="00A7651E" w:rsidRPr="00A7651E" w14:paraId="6CE8D02A" w14:textId="77777777" w:rsidTr="00A7651E">
        <w:trPr>
          <w:trHeight w:val="255"/>
        </w:trPr>
        <w:tc>
          <w:tcPr>
            <w:tcW w:w="2655" w:type="dxa"/>
          </w:tcPr>
          <w:p w14:paraId="2F8AC54D" w14:textId="77777777" w:rsidR="00A7651E" w:rsidRPr="00A7651E" w:rsidRDefault="00A7651E" w:rsidP="00A7651E">
            <w:pPr>
              <w:contextualSpacing/>
              <w:jc w:val="both"/>
              <w:rPr>
                <w:rFonts w:ascii="Arial" w:hAnsi="Arial" w:cs="Arial"/>
              </w:rPr>
            </w:pPr>
            <w:r w:rsidRPr="00A7651E">
              <w:rPr>
                <w:rFonts w:ascii="Arial" w:hAnsi="Arial" w:cs="Arial"/>
              </w:rPr>
              <w:t>Apparent Cohesion C’ (kN/m</w:t>
            </w:r>
            <w:r w:rsidRPr="00A7651E">
              <w:rPr>
                <w:rFonts w:ascii="Arial" w:hAnsi="Arial" w:cs="Arial"/>
                <w:vertAlign w:val="superscript"/>
              </w:rPr>
              <w:t>2</w:t>
            </w:r>
            <w:r w:rsidRPr="00A7651E">
              <w:rPr>
                <w:rFonts w:ascii="Arial" w:hAnsi="Arial" w:cs="Arial"/>
              </w:rPr>
              <w:t>)</w:t>
            </w:r>
          </w:p>
        </w:tc>
        <w:tc>
          <w:tcPr>
            <w:tcW w:w="790" w:type="dxa"/>
          </w:tcPr>
          <w:p w14:paraId="79BFD9C2" w14:textId="77777777" w:rsidR="00A7651E" w:rsidRPr="00A7651E" w:rsidRDefault="00A7651E" w:rsidP="00A7651E">
            <w:pPr>
              <w:contextualSpacing/>
              <w:jc w:val="both"/>
              <w:rPr>
                <w:rFonts w:ascii="Arial" w:hAnsi="Arial" w:cs="Arial"/>
              </w:rPr>
            </w:pPr>
            <w:r w:rsidRPr="00A7651E">
              <w:rPr>
                <w:rFonts w:ascii="Arial" w:hAnsi="Arial" w:cs="Arial"/>
              </w:rPr>
              <w:t>0.0</w:t>
            </w:r>
          </w:p>
        </w:tc>
        <w:tc>
          <w:tcPr>
            <w:tcW w:w="1005" w:type="dxa"/>
          </w:tcPr>
          <w:p w14:paraId="5011EFEC" w14:textId="77777777" w:rsidR="00A7651E" w:rsidRPr="00A7651E" w:rsidRDefault="00A7651E" w:rsidP="00A7651E">
            <w:pPr>
              <w:contextualSpacing/>
              <w:jc w:val="both"/>
              <w:rPr>
                <w:rFonts w:ascii="Arial" w:hAnsi="Arial" w:cs="Arial"/>
              </w:rPr>
            </w:pPr>
            <w:r w:rsidRPr="00A7651E">
              <w:rPr>
                <w:rFonts w:ascii="Arial" w:hAnsi="Arial" w:cs="Arial"/>
              </w:rPr>
              <w:t>2.1</w:t>
            </w:r>
          </w:p>
        </w:tc>
        <w:tc>
          <w:tcPr>
            <w:tcW w:w="1005" w:type="dxa"/>
          </w:tcPr>
          <w:p w14:paraId="5B2E01BB" w14:textId="77777777" w:rsidR="00A7651E" w:rsidRPr="00A7651E" w:rsidRDefault="00A7651E" w:rsidP="00A7651E">
            <w:pPr>
              <w:contextualSpacing/>
              <w:jc w:val="both"/>
              <w:rPr>
                <w:rFonts w:ascii="Arial" w:hAnsi="Arial" w:cs="Arial"/>
              </w:rPr>
            </w:pPr>
            <w:r w:rsidRPr="00A7651E">
              <w:rPr>
                <w:rFonts w:ascii="Arial" w:hAnsi="Arial" w:cs="Arial"/>
              </w:rPr>
              <w:t>3.33</w:t>
            </w:r>
          </w:p>
        </w:tc>
        <w:tc>
          <w:tcPr>
            <w:tcW w:w="1005" w:type="dxa"/>
          </w:tcPr>
          <w:p w14:paraId="0F054A57" w14:textId="77777777" w:rsidR="00A7651E" w:rsidRPr="00A7651E" w:rsidRDefault="00A7651E" w:rsidP="00A7651E">
            <w:pPr>
              <w:contextualSpacing/>
              <w:jc w:val="both"/>
              <w:rPr>
                <w:rFonts w:ascii="Arial" w:hAnsi="Arial" w:cs="Arial"/>
              </w:rPr>
            </w:pPr>
            <w:r w:rsidRPr="00A7651E">
              <w:rPr>
                <w:rFonts w:ascii="Arial" w:hAnsi="Arial" w:cs="Arial"/>
              </w:rPr>
              <w:t>15.01</w:t>
            </w:r>
          </w:p>
        </w:tc>
        <w:tc>
          <w:tcPr>
            <w:tcW w:w="862" w:type="dxa"/>
          </w:tcPr>
          <w:p w14:paraId="59019231" w14:textId="77777777" w:rsidR="00A7651E" w:rsidRPr="00A7651E" w:rsidRDefault="00A7651E" w:rsidP="00A7651E">
            <w:pPr>
              <w:contextualSpacing/>
              <w:jc w:val="both"/>
              <w:rPr>
                <w:rFonts w:ascii="Arial" w:hAnsi="Arial" w:cs="Arial"/>
              </w:rPr>
            </w:pPr>
            <w:r w:rsidRPr="00A7651E">
              <w:rPr>
                <w:rFonts w:ascii="Arial" w:hAnsi="Arial" w:cs="Arial"/>
              </w:rPr>
              <w:t>13.33</w:t>
            </w:r>
          </w:p>
        </w:tc>
        <w:tc>
          <w:tcPr>
            <w:tcW w:w="1028" w:type="dxa"/>
          </w:tcPr>
          <w:p w14:paraId="2C52508C" w14:textId="77777777" w:rsidR="00A7651E" w:rsidRPr="00A7651E" w:rsidRDefault="00A7651E" w:rsidP="00A7651E">
            <w:pPr>
              <w:contextualSpacing/>
              <w:jc w:val="both"/>
              <w:rPr>
                <w:rFonts w:ascii="Arial" w:hAnsi="Arial" w:cs="Arial"/>
              </w:rPr>
            </w:pPr>
            <w:r w:rsidRPr="00A7651E">
              <w:rPr>
                <w:rFonts w:ascii="Arial" w:hAnsi="Arial" w:cs="Arial"/>
              </w:rPr>
              <w:t>10.0</w:t>
            </w:r>
          </w:p>
        </w:tc>
      </w:tr>
      <w:tr w:rsidR="00A7651E" w:rsidRPr="00A7651E" w14:paraId="77506DD0" w14:textId="77777777" w:rsidTr="00A7651E">
        <w:trPr>
          <w:trHeight w:val="290"/>
        </w:trPr>
        <w:tc>
          <w:tcPr>
            <w:tcW w:w="2655" w:type="dxa"/>
          </w:tcPr>
          <w:p w14:paraId="3A86DC23" w14:textId="77777777" w:rsidR="00A7651E" w:rsidRPr="00A7651E" w:rsidRDefault="00A7651E" w:rsidP="00A7651E">
            <w:pPr>
              <w:contextualSpacing/>
              <w:jc w:val="both"/>
              <w:rPr>
                <w:rFonts w:ascii="Arial" w:hAnsi="Arial" w:cs="Arial"/>
              </w:rPr>
            </w:pPr>
            <w:r w:rsidRPr="00A7651E">
              <w:rPr>
                <w:rFonts w:ascii="Arial" w:hAnsi="Arial" w:cs="Arial"/>
              </w:rPr>
              <w:t xml:space="preserve">Angle of shearing resistance </w:t>
            </w:r>
          </w:p>
        </w:tc>
        <w:tc>
          <w:tcPr>
            <w:tcW w:w="790" w:type="dxa"/>
          </w:tcPr>
          <w:p w14:paraId="62B7EE60" w14:textId="77777777" w:rsidR="00A7651E" w:rsidRPr="00A7651E" w:rsidRDefault="00A7651E" w:rsidP="00A7651E">
            <w:pPr>
              <w:contextualSpacing/>
              <w:jc w:val="both"/>
              <w:rPr>
                <w:rFonts w:ascii="Arial" w:hAnsi="Arial" w:cs="Arial"/>
              </w:rPr>
            </w:pPr>
            <w:r w:rsidRPr="00A7651E">
              <w:rPr>
                <w:rFonts w:ascii="Arial" w:hAnsi="Arial" w:cs="Arial"/>
              </w:rPr>
              <w:t>41</w:t>
            </w:r>
          </w:p>
        </w:tc>
        <w:tc>
          <w:tcPr>
            <w:tcW w:w="1005" w:type="dxa"/>
          </w:tcPr>
          <w:p w14:paraId="4540B38A" w14:textId="77777777" w:rsidR="00A7651E" w:rsidRPr="00A7651E" w:rsidRDefault="00A7651E" w:rsidP="00A7651E">
            <w:pPr>
              <w:contextualSpacing/>
              <w:jc w:val="both"/>
              <w:rPr>
                <w:rFonts w:ascii="Arial" w:hAnsi="Arial" w:cs="Arial"/>
              </w:rPr>
            </w:pPr>
            <w:r w:rsidRPr="00A7651E">
              <w:rPr>
                <w:rFonts w:ascii="Arial" w:hAnsi="Arial" w:cs="Arial"/>
              </w:rPr>
              <w:t>41.84</w:t>
            </w:r>
          </w:p>
          <w:p w14:paraId="5E3486BA" w14:textId="77777777" w:rsidR="00A7651E" w:rsidRPr="00A7651E" w:rsidRDefault="00A7651E" w:rsidP="00A7651E">
            <w:pPr>
              <w:contextualSpacing/>
              <w:jc w:val="both"/>
              <w:rPr>
                <w:rFonts w:ascii="Arial" w:hAnsi="Arial" w:cs="Arial"/>
              </w:rPr>
            </w:pPr>
          </w:p>
        </w:tc>
        <w:tc>
          <w:tcPr>
            <w:tcW w:w="1005" w:type="dxa"/>
          </w:tcPr>
          <w:p w14:paraId="2021865B" w14:textId="77777777" w:rsidR="00A7651E" w:rsidRPr="00A7651E" w:rsidRDefault="00A7651E" w:rsidP="00A7651E">
            <w:pPr>
              <w:contextualSpacing/>
              <w:jc w:val="both"/>
              <w:rPr>
                <w:rFonts w:ascii="Arial" w:hAnsi="Arial" w:cs="Arial"/>
              </w:rPr>
            </w:pPr>
            <w:r w:rsidRPr="00A7651E">
              <w:rPr>
                <w:rFonts w:ascii="Arial" w:hAnsi="Arial" w:cs="Arial"/>
              </w:rPr>
              <w:t>44.87</w:t>
            </w:r>
          </w:p>
        </w:tc>
        <w:tc>
          <w:tcPr>
            <w:tcW w:w="1005" w:type="dxa"/>
          </w:tcPr>
          <w:p w14:paraId="412C2368" w14:textId="77777777" w:rsidR="00A7651E" w:rsidRPr="00A7651E" w:rsidRDefault="00A7651E" w:rsidP="00A7651E">
            <w:pPr>
              <w:contextualSpacing/>
              <w:jc w:val="both"/>
              <w:rPr>
                <w:rFonts w:ascii="Arial" w:hAnsi="Arial" w:cs="Arial"/>
              </w:rPr>
            </w:pPr>
            <w:r w:rsidRPr="00A7651E">
              <w:rPr>
                <w:rFonts w:ascii="Arial" w:hAnsi="Arial" w:cs="Arial"/>
              </w:rPr>
              <w:t>48.18</w:t>
            </w:r>
          </w:p>
        </w:tc>
        <w:tc>
          <w:tcPr>
            <w:tcW w:w="862" w:type="dxa"/>
          </w:tcPr>
          <w:p w14:paraId="55571828" w14:textId="77777777" w:rsidR="00A7651E" w:rsidRPr="00A7651E" w:rsidRDefault="00A7651E" w:rsidP="00A7651E">
            <w:pPr>
              <w:contextualSpacing/>
              <w:jc w:val="both"/>
              <w:rPr>
                <w:rFonts w:ascii="Arial" w:hAnsi="Arial" w:cs="Arial"/>
              </w:rPr>
            </w:pPr>
            <w:r w:rsidRPr="00A7651E">
              <w:rPr>
                <w:rFonts w:ascii="Arial" w:hAnsi="Arial" w:cs="Arial"/>
              </w:rPr>
              <w:t>44.13</w:t>
            </w:r>
          </w:p>
        </w:tc>
        <w:tc>
          <w:tcPr>
            <w:tcW w:w="1028" w:type="dxa"/>
          </w:tcPr>
          <w:p w14:paraId="0946AC66" w14:textId="77777777" w:rsidR="00A7651E" w:rsidRPr="00A7651E" w:rsidRDefault="00A7651E" w:rsidP="00A7651E">
            <w:pPr>
              <w:contextualSpacing/>
              <w:jc w:val="both"/>
              <w:rPr>
                <w:rFonts w:ascii="Arial" w:hAnsi="Arial" w:cs="Arial"/>
              </w:rPr>
            </w:pPr>
            <w:r w:rsidRPr="00A7651E">
              <w:rPr>
                <w:rFonts w:ascii="Arial" w:hAnsi="Arial" w:cs="Arial"/>
              </w:rPr>
              <w:t>42.6</w:t>
            </w:r>
          </w:p>
        </w:tc>
      </w:tr>
      <w:tr w:rsidR="00A7651E" w:rsidRPr="00A7651E" w14:paraId="1BD494F8" w14:textId="77777777" w:rsidTr="00A7651E">
        <w:trPr>
          <w:trHeight w:val="255"/>
        </w:trPr>
        <w:tc>
          <w:tcPr>
            <w:tcW w:w="2655" w:type="dxa"/>
          </w:tcPr>
          <w:p w14:paraId="6391BD92" w14:textId="77777777" w:rsidR="00A7651E" w:rsidRPr="00A7651E" w:rsidRDefault="00A7651E" w:rsidP="00A7651E">
            <w:pPr>
              <w:contextualSpacing/>
              <w:jc w:val="both"/>
              <w:rPr>
                <w:rFonts w:ascii="Arial" w:hAnsi="Arial" w:cs="Arial"/>
              </w:rPr>
            </w:pPr>
            <w:r w:rsidRPr="00A7651E">
              <w:rPr>
                <w:rFonts w:ascii="Arial" w:hAnsi="Arial" w:cs="Arial"/>
              </w:rPr>
              <w:t>Shear Strength</w:t>
            </w:r>
          </w:p>
        </w:tc>
        <w:tc>
          <w:tcPr>
            <w:tcW w:w="790" w:type="dxa"/>
          </w:tcPr>
          <w:p w14:paraId="6922715D" w14:textId="77777777" w:rsidR="00A7651E" w:rsidRPr="00A7651E" w:rsidRDefault="00A7651E" w:rsidP="00A7651E">
            <w:pPr>
              <w:contextualSpacing/>
              <w:jc w:val="both"/>
              <w:rPr>
                <w:rFonts w:ascii="Arial" w:hAnsi="Arial" w:cs="Arial"/>
              </w:rPr>
            </w:pPr>
            <w:r w:rsidRPr="00A7651E">
              <w:rPr>
                <w:rFonts w:ascii="Arial" w:hAnsi="Arial" w:cs="Arial"/>
              </w:rPr>
              <w:t>173.86</w:t>
            </w:r>
          </w:p>
        </w:tc>
        <w:tc>
          <w:tcPr>
            <w:tcW w:w="1005" w:type="dxa"/>
          </w:tcPr>
          <w:p w14:paraId="6963E921" w14:textId="77777777" w:rsidR="00A7651E" w:rsidRPr="00A7651E" w:rsidRDefault="00A7651E" w:rsidP="00A7651E">
            <w:pPr>
              <w:contextualSpacing/>
              <w:jc w:val="both"/>
              <w:rPr>
                <w:rFonts w:ascii="Arial" w:hAnsi="Arial" w:cs="Arial"/>
              </w:rPr>
            </w:pPr>
            <w:r w:rsidRPr="00A7651E">
              <w:rPr>
                <w:rFonts w:ascii="Arial" w:hAnsi="Arial" w:cs="Arial"/>
              </w:rPr>
              <w:t>181.172</w:t>
            </w:r>
          </w:p>
        </w:tc>
        <w:tc>
          <w:tcPr>
            <w:tcW w:w="1005" w:type="dxa"/>
          </w:tcPr>
          <w:p w14:paraId="38F389DB" w14:textId="77777777" w:rsidR="00A7651E" w:rsidRPr="00A7651E" w:rsidRDefault="00A7651E" w:rsidP="00A7651E">
            <w:pPr>
              <w:contextualSpacing/>
              <w:jc w:val="both"/>
              <w:rPr>
                <w:rFonts w:ascii="Arial" w:hAnsi="Arial" w:cs="Arial"/>
              </w:rPr>
            </w:pPr>
            <w:r w:rsidRPr="00A7651E">
              <w:rPr>
                <w:rFonts w:ascii="Arial" w:hAnsi="Arial" w:cs="Arial"/>
              </w:rPr>
              <w:t>212.40</w:t>
            </w:r>
          </w:p>
        </w:tc>
        <w:tc>
          <w:tcPr>
            <w:tcW w:w="1005" w:type="dxa"/>
          </w:tcPr>
          <w:p w14:paraId="71FC5B7D" w14:textId="77777777" w:rsidR="00A7651E" w:rsidRPr="00A7651E" w:rsidRDefault="00A7651E" w:rsidP="00A7651E">
            <w:pPr>
              <w:contextualSpacing/>
              <w:jc w:val="both"/>
              <w:rPr>
                <w:rFonts w:ascii="Arial" w:hAnsi="Arial" w:cs="Arial"/>
              </w:rPr>
            </w:pPr>
            <w:r w:rsidRPr="00A7651E">
              <w:rPr>
                <w:rFonts w:ascii="Arial" w:hAnsi="Arial" w:cs="Arial"/>
              </w:rPr>
              <w:t>238.54</w:t>
            </w:r>
          </w:p>
        </w:tc>
        <w:tc>
          <w:tcPr>
            <w:tcW w:w="862" w:type="dxa"/>
          </w:tcPr>
          <w:p w14:paraId="794ECECE" w14:textId="77777777" w:rsidR="00A7651E" w:rsidRPr="00A7651E" w:rsidRDefault="00A7651E" w:rsidP="00A7651E">
            <w:pPr>
              <w:contextualSpacing/>
              <w:jc w:val="both"/>
              <w:rPr>
                <w:rFonts w:ascii="Arial" w:hAnsi="Arial" w:cs="Arial"/>
              </w:rPr>
            </w:pPr>
            <w:r w:rsidRPr="00A7651E">
              <w:rPr>
                <w:rFonts w:ascii="Arial" w:hAnsi="Arial" w:cs="Arial"/>
              </w:rPr>
              <w:t>207.35</w:t>
            </w:r>
          </w:p>
        </w:tc>
        <w:tc>
          <w:tcPr>
            <w:tcW w:w="1028" w:type="dxa"/>
          </w:tcPr>
          <w:p w14:paraId="5F60B38A" w14:textId="77777777" w:rsidR="00A7651E" w:rsidRPr="00A7651E" w:rsidRDefault="00A7651E" w:rsidP="00A7651E">
            <w:pPr>
              <w:contextualSpacing/>
              <w:jc w:val="both"/>
              <w:rPr>
                <w:rFonts w:ascii="Arial" w:hAnsi="Arial" w:cs="Arial"/>
              </w:rPr>
            </w:pPr>
            <w:r w:rsidRPr="00A7651E">
              <w:rPr>
                <w:rFonts w:ascii="Arial" w:hAnsi="Arial" w:cs="Arial"/>
              </w:rPr>
              <w:t>193.91</w:t>
            </w:r>
          </w:p>
        </w:tc>
      </w:tr>
    </w:tbl>
    <w:p w14:paraId="4563ADC8" w14:textId="77777777" w:rsidR="00A7651E" w:rsidRPr="00A7651E" w:rsidRDefault="00A7651E" w:rsidP="00A7651E">
      <w:pPr>
        <w:contextualSpacing/>
        <w:jc w:val="both"/>
        <w:rPr>
          <w:rFonts w:ascii="Arial" w:hAnsi="Arial" w:cs="Arial"/>
          <w:b/>
          <w:bCs/>
        </w:rPr>
      </w:pPr>
    </w:p>
    <w:p w14:paraId="1C0EBAA2" w14:textId="77777777" w:rsidR="00A7651E" w:rsidRPr="00A7651E" w:rsidRDefault="00A7651E" w:rsidP="00A7651E">
      <w:pPr>
        <w:contextualSpacing/>
        <w:jc w:val="both"/>
        <w:rPr>
          <w:rFonts w:ascii="Arial" w:hAnsi="Arial" w:cs="Arial"/>
        </w:rPr>
      </w:pPr>
      <w:r w:rsidRPr="00A7651E">
        <w:rPr>
          <w:rFonts w:ascii="Arial" w:hAnsi="Arial" w:cs="Arial"/>
          <w:b/>
          <w:bCs/>
        </w:rPr>
        <w:t>Table 3:</w:t>
      </w:r>
      <w:r w:rsidRPr="00A7651E">
        <w:rPr>
          <w:rFonts w:ascii="Arial" w:hAnsi="Arial" w:cs="Arial"/>
        </w:rPr>
        <w:t xml:space="preserve"> Shear strength values of soil sample B</w:t>
      </w:r>
    </w:p>
    <w:tbl>
      <w:tblPr>
        <w:tblStyle w:val="PlainTable21"/>
        <w:tblW w:w="8218" w:type="dxa"/>
        <w:tblLook w:val="0620" w:firstRow="1" w:lastRow="0" w:firstColumn="0" w:lastColumn="0" w:noHBand="1" w:noVBand="1"/>
      </w:tblPr>
      <w:tblGrid>
        <w:gridCol w:w="2579"/>
        <w:gridCol w:w="828"/>
        <w:gridCol w:w="985"/>
        <w:gridCol w:w="985"/>
        <w:gridCol w:w="985"/>
        <w:gridCol w:w="847"/>
        <w:gridCol w:w="1009"/>
      </w:tblGrid>
      <w:tr w:rsidR="00A7651E" w:rsidRPr="00A7651E" w14:paraId="4056161D" w14:textId="77777777" w:rsidTr="00A7651E">
        <w:trPr>
          <w:cnfStyle w:val="100000000000" w:firstRow="1" w:lastRow="0" w:firstColumn="0" w:lastColumn="0" w:oddVBand="0" w:evenVBand="0" w:oddHBand="0" w:evenHBand="0" w:firstRowFirstColumn="0" w:firstRowLastColumn="0" w:lastRowFirstColumn="0" w:lastRowLastColumn="0"/>
          <w:trHeight w:val="269"/>
        </w:trPr>
        <w:tc>
          <w:tcPr>
            <w:tcW w:w="2612" w:type="dxa"/>
            <w:vMerge w:val="restart"/>
          </w:tcPr>
          <w:p w14:paraId="7C1A9EAE" w14:textId="77777777" w:rsidR="00A7651E" w:rsidRPr="00A7651E" w:rsidRDefault="00A7651E" w:rsidP="00A7651E">
            <w:pPr>
              <w:contextualSpacing/>
              <w:jc w:val="both"/>
              <w:rPr>
                <w:rFonts w:ascii="Arial" w:hAnsi="Arial" w:cs="Arial"/>
              </w:rPr>
            </w:pPr>
            <w:r w:rsidRPr="00A7651E">
              <w:rPr>
                <w:rFonts w:ascii="Arial" w:hAnsi="Arial" w:cs="Arial"/>
              </w:rPr>
              <w:t>Parameters</w:t>
            </w:r>
          </w:p>
        </w:tc>
        <w:tc>
          <w:tcPr>
            <w:tcW w:w="5606" w:type="dxa"/>
            <w:gridSpan w:val="6"/>
          </w:tcPr>
          <w:p w14:paraId="24468481" w14:textId="77777777" w:rsidR="00A7651E" w:rsidRPr="00A7651E" w:rsidRDefault="00A7651E" w:rsidP="00A7651E">
            <w:pPr>
              <w:contextualSpacing/>
              <w:jc w:val="both"/>
              <w:rPr>
                <w:rFonts w:ascii="Arial" w:hAnsi="Arial" w:cs="Arial"/>
              </w:rPr>
            </w:pPr>
            <w:r w:rsidRPr="00A7651E">
              <w:rPr>
                <w:rFonts w:ascii="Arial" w:hAnsi="Arial" w:cs="Arial"/>
              </w:rPr>
              <w:t>Treatment</w:t>
            </w:r>
          </w:p>
        </w:tc>
      </w:tr>
      <w:tr w:rsidR="00A7651E" w:rsidRPr="00A7651E" w14:paraId="711E8976" w14:textId="77777777" w:rsidTr="00A7651E">
        <w:trPr>
          <w:trHeight w:val="149"/>
        </w:trPr>
        <w:tc>
          <w:tcPr>
            <w:tcW w:w="2612" w:type="dxa"/>
            <w:vMerge/>
          </w:tcPr>
          <w:p w14:paraId="419B3ACA" w14:textId="77777777" w:rsidR="00A7651E" w:rsidRPr="00A7651E" w:rsidRDefault="00A7651E" w:rsidP="00A7651E">
            <w:pPr>
              <w:contextualSpacing/>
              <w:jc w:val="both"/>
              <w:rPr>
                <w:rFonts w:ascii="Arial" w:hAnsi="Arial" w:cs="Arial"/>
              </w:rPr>
            </w:pPr>
          </w:p>
        </w:tc>
        <w:tc>
          <w:tcPr>
            <w:tcW w:w="777" w:type="dxa"/>
          </w:tcPr>
          <w:p w14:paraId="7B2B3291" w14:textId="77777777" w:rsidR="00A7651E" w:rsidRPr="00A7651E" w:rsidRDefault="00A7651E" w:rsidP="00A7651E">
            <w:pPr>
              <w:contextualSpacing/>
              <w:jc w:val="both"/>
              <w:rPr>
                <w:rFonts w:ascii="Arial" w:hAnsi="Arial" w:cs="Arial"/>
              </w:rPr>
            </w:pPr>
            <w:r w:rsidRPr="00A7651E">
              <w:rPr>
                <w:rFonts w:ascii="Arial" w:hAnsi="Arial" w:cs="Arial"/>
              </w:rPr>
              <w:t>0%</w:t>
            </w:r>
          </w:p>
        </w:tc>
        <w:tc>
          <w:tcPr>
            <w:tcW w:w="989" w:type="dxa"/>
          </w:tcPr>
          <w:p w14:paraId="433FE70D" w14:textId="77777777" w:rsidR="00A7651E" w:rsidRPr="00A7651E" w:rsidRDefault="00A7651E" w:rsidP="00A7651E">
            <w:pPr>
              <w:contextualSpacing/>
              <w:jc w:val="both"/>
              <w:rPr>
                <w:rFonts w:ascii="Arial" w:hAnsi="Arial" w:cs="Arial"/>
              </w:rPr>
            </w:pPr>
            <w:r w:rsidRPr="00A7651E">
              <w:rPr>
                <w:rFonts w:ascii="Arial" w:hAnsi="Arial" w:cs="Arial"/>
              </w:rPr>
              <w:t>0.2%</w:t>
            </w:r>
          </w:p>
        </w:tc>
        <w:tc>
          <w:tcPr>
            <w:tcW w:w="989" w:type="dxa"/>
          </w:tcPr>
          <w:p w14:paraId="058FB9AA" w14:textId="77777777" w:rsidR="00A7651E" w:rsidRPr="00A7651E" w:rsidRDefault="00A7651E" w:rsidP="00A7651E">
            <w:pPr>
              <w:contextualSpacing/>
              <w:jc w:val="both"/>
              <w:rPr>
                <w:rFonts w:ascii="Arial" w:hAnsi="Arial" w:cs="Arial"/>
              </w:rPr>
            </w:pPr>
            <w:r w:rsidRPr="00A7651E">
              <w:rPr>
                <w:rFonts w:ascii="Arial" w:hAnsi="Arial" w:cs="Arial"/>
              </w:rPr>
              <w:t>0.4%</w:t>
            </w:r>
          </w:p>
        </w:tc>
        <w:tc>
          <w:tcPr>
            <w:tcW w:w="989" w:type="dxa"/>
          </w:tcPr>
          <w:p w14:paraId="75D25D5C" w14:textId="77777777" w:rsidR="00A7651E" w:rsidRPr="00A7651E" w:rsidRDefault="00A7651E" w:rsidP="00A7651E">
            <w:pPr>
              <w:contextualSpacing/>
              <w:jc w:val="both"/>
              <w:rPr>
                <w:rFonts w:ascii="Arial" w:hAnsi="Arial" w:cs="Arial"/>
              </w:rPr>
            </w:pPr>
            <w:r w:rsidRPr="00A7651E">
              <w:rPr>
                <w:rFonts w:ascii="Arial" w:hAnsi="Arial" w:cs="Arial"/>
              </w:rPr>
              <w:t>0.7%</w:t>
            </w:r>
          </w:p>
        </w:tc>
        <w:tc>
          <w:tcPr>
            <w:tcW w:w="848" w:type="dxa"/>
          </w:tcPr>
          <w:p w14:paraId="225491E1" w14:textId="77777777" w:rsidR="00A7651E" w:rsidRPr="00A7651E" w:rsidRDefault="00A7651E" w:rsidP="00A7651E">
            <w:pPr>
              <w:contextualSpacing/>
              <w:jc w:val="both"/>
              <w:rPr>
                <w:rFonts w:ascii="Arial" w:hAnsi="Arial" w:cs="Arial"/>
              </w:rPr>
            </w:pPr>
            <w:r w:rsidRPr="00A7651E">
              <w:rPr>
                <w:rFonts w:ascii="Arial" w:hAnsi="Arial" w:cs="Arial"/>
              </w:rPr>
              <w:t>0.8%</w:t>
            </w:r>
          </w:p>
        </w:tc>
        <w:tc>
          <w:tcPr>
            <w:tcW w:w="1011" w:type="dxa"/>
          </w:tcPr>
          <w:p w14:paraId="216D172B" w14:textId="77777777" w:rsidR="00A7651E" w:rsidRPr="00A7651E" w:rsidRDefault="00A7651E" w:rsidP="00A7651E">
            <w:pPr>
              <w:contextualSpacing/>
              <w:jc w:val="both"/>
              <w:rPr>
                <w:rFonts w:ascii="Arial" w:hAnsi="Arial" w:cs="Arial"/>
              </w:rPr>
            </w:pPr>
            <w:r w:rsidRPr="00A7651E">
              <w:rPr>
                <w:rFonts w:ascii="Arial" w:hAnsi="Arial" w:cs="Arial"/>
              </w:rPr>
              <w:t>1.0%</w:t>
            </w:r>
          </w:p>
        </w:tc>
      </w:tr>
      <w:tr w:rsidR="00A7651E" w:rsidRPr="00A7651E" w14:paraId="3E706108" w14:textId="77777777" w:rsidTr="00A7651E">
        <w:trPr>
          <w:trHeight w:val="269"/>
        </w:trPr>
        <w:tc>
          <w:tcPr>
            <w:tcW w:w="2612" w:type="dxa"/>
          </w:tcPr>
          <w:p w14:paraId="3B8C6097" w14:textId="77777777" w:rsidR="00A7651E" w:rsidRPr="00A7651E" w:rsidRDefault="00A7651E" w:rsidP="00A7651E">
            <w:pPr>
              <w:contextualSpacing/>
              <w:jc w:val="both"/>
              <w:rPr>
                <w:rFonts w:ascii="Arial" w:hAnsi="Arial" w:cs="Arial"/>
              </w:rPr>
            </w:pPr>
            <w:r w:rsidRPr="00A7651E">
              <w:rPr>
                <w:rFonts w:ascii="Arial" w:hAnsi="Arial" w:cs="Arial"/>
              </w:rPr>
              <w:t>Apparent Cohesion C’ (kN/m</w:t>
            </w:r>
            <w:r w:rsidRPr="00A7651E">
              <w:rPr>
                <w:rFonts w:ascii="Arial" w:hAnsi="Arial" w:cs="Arial"/>
                <w:vertAlign w:val="superscript"/>
              </w:rPr>
              <w:t>2</w:t>
            </w:r>
            <w:r w:rsidRPr="00A7651E">
              <w:rPr>
                <w:rFonts w:ascii="Arial" w:hAnsi="Arial" w:cs="Arial"/>
              </w:rPr>
              <w:t>)</w:t>
            </w:r>
          </w:p>
        </w:tc>
        <w:tc>
          <w:tcPr>
            <w:tcW w:w="777" w:type="dxa"/>
          </w:tcPr>
          <w:p w14:paraId="136249EA" w14:textId="77777777" w:rsidR="00A7651E" w:rsidRPr="00A7651E" w:rsidRDefault="00A7651E" w:rsidP="00A7651E">
            <w:pPr>
              <w:contextualSpacing/>
              <w:jc w:val="both"/>
              <w:rPr>
                <w:rFonts w:ascii="Arial" w:hAnsi="Arial" w:cs="Arial"/>
              </w:rPr>
            </w:pPr>
            <w:r w:rsidRPr="00A7651E">
              <w:rPr>
                <w:rFonts w:ascii="Arial" w:hAnsi="Arial" w:cs="Arial"/>
              </w:rPr>
              <w:t>43.24</w:t>
            </w:r>
          </w:p>
        </w:tc>
        <w:tc>
          <w:tcPr>
            <w:tcW w:w="989" w:type="dxa"/>
          </w:tcPr>
          <w:p w14:paraId="3CBA4D4E" w14:textId="77777777" w:rsidR="00A7651E" w:rsidRPr="00A7651E" w:rsidRDefault="00A7651E" w:rsidP="00A7651E">
            <w:pPr>
              <w:contextualSpacing/>
              <w:jc w:val="both"/>
              <w:rPr>
                <w:rFonts w:ascii="Arial" w:hAnsi="Arial" w:cs="Arial"/>
              </w:rPr>
            </w:pPr>
            <w:r w:rsidRPr="00A7651E">
              <w:rPr>
                <w:rFonts w:ascii="Arial" w:hAnsi="Arial" w:cs="Arial"/>
              </w:rPr>
              <w:t>46.53</w:t>
            </w:r>
          </w:p>
        </w:tc>
        <w:tc>
          <w:tcPr>
            <w:tcW w:w="989" w:type="dxa"/>
          </w:tcPr>
          <w:p w14:paraId="5234851F" w14:textId="77777777" w:rsidR="00A7651E" w:rsidRPr="00A7651E" w:rsidRDefault="00A7651E" w:rsidP="00A7651E">
            <w:pPr>
              <w:contextualSpacing/>
              <w:jc w:val="both"/>
              <w:rPr>
                <w:rFonts w:ascii="Arial" w:hAnsi="Arial" w:cs="Arial"/>
              </w:rPr>
            </w:pPr>
            <w:r w:rsidRPr="00A7651E">
              <w:rPr>
                <w:rFonts w:ascii="Arial" w:hAnsi="Arial" w:cs="Arial"/>
              </w:rPr>
              <w:t>48.39</w:t>
            </w:r>
          </w:p>
        </w:tc>
        <w:tc>
          <w:tcPr>
            <w:tcW w:w="989" w:type="dxa"/>
          </w:tcPr>
          <w:p w14:paraId="43E3E3A8" w14:textId="77777777" w:rsidR="00A7651E" w:rsidRPr="00A7651E" w:rsidRDefault="00A7651E" w:rsidP="00A7651E">
            <w:pPr>
              <w:contextualSpacing/>
              <w:jc w:val="both"/>
              <w:rPr>
                <w:rFonts w:ascii="Arial" w:hAnsi="Arial" w:cs="Arial"/>
              </w:rPr>
            </w:pPr>
            <w:r w:rsidRPr="00A7651E">
              <w:rPr>
                <w:rFonts w:ascii="Arial" w:hAnsi="Arial" w:cs="Arial"/>
              </w:rPr>
              <w:t>50.73</w:t>
            </w:r>
          </w:p>
        </w:tc>
        <w:tc>
          <w:tcPr>
            <w:tcW w:w="848" w:type="dxa"/>
          </w:tcPr>
          <w:p w14:paraId="18A1855E" w14:textId="77777777" w:rsidR="00A7651E" w:rsidRPr="00A7651E" w:rsidRDefault="00A7651E" w:rsidP="00A7651E">
            <w:pPr>
              <w:contextualSpacing/>
              <w:jc w:val="both"/>
              <w:rPr>
                <w:rFonts w:ascii="Arial" w:hAnsi="Arial" w:cs="Arial"/>
              </w:rPr>
            </w:pPr>
            <w:r w:rsidRPr="00A7651E">
              <w:rPr>
                <w:rFonts w:ascii="Arial" w:hAnsi="Arial" w:cs="Arial"/>
              </w:rPr>
              <w:t xml:space="preserve">31.6 </w:t>
            </w:r>
          </w:p>
        </w:tc>
        <w:tc>
          <w:tcPr>
            <w:tcW w:w="1011" w:type="dxa"/>
          </w:tcPr>
          <w:p w14:paraId="078618C1" w14:textId="77777777" w:rsidR="00A7651E" w:rsidRPr="00A7651E" w:rsidRDefault="00A7651E" w:rsidP="00A7651E">
            <w:pPr>
              <w:contextualSpacing/>
              <w:jc w:val="both"/>
              <w:rPr>
                <w:rFonts w:ascii="Arial" w:hAnsi="Arial" w:cs="Arial"/>
              </w:rPr>
            </w:pPr>
            <w:r w:rsidRPr="00A7651E">
              <w:rPr>
                <w:rFonts w:ascii="Arial" w:hAnsi="Arial" w:cs="Arial"/>
              </w:rPr>
              <w:t>27.7</w:t>
            </w:r>
          </w:p>
        </w:tc>
      </w:tr>
      <w:tr w:rsidR="00A7651E" w:rsidRPr="00A7651E" w14:paraId="6D7E09B6" w14:textId="77777777" w:rsidTr="00A7651E">
        <w:trPr>
          <w:trHeight w:val="306"/>
        </w:trPr>
        <w:tc>
          <w:tcPr>
            <w:tcW w:w="2612" w:type="dxa"/>
          </w:tcPr>
          <w:p w14:paraId="78473D3B" w14:textId="77777777" w:rsidR="00A7651E" w:rsidRPr="00A7651E" w:rsidRDefault="00A7651E" w:rsidP="00A7651E">
            <w:pPr>
              <w:contextualSpacing/>
              <w:jc w:val="both"/>
              <w:rPr>
                <w:rFonts w:ascii="Arial" w:hAnsi="Arial" w:cs="Arial"/>
              </w:rPr>
            </w:pPr>
            <w:r w:rsidRPr="00A7651E">
              <w:rPr>
                <w:rFonts w:ascii="Arial" w:hAnsi="Arial" w:cs="Arial"/>
              </w:rPr>
              <w:t xml:space="preserve">Angle of shearing resistance </w:t>
            </w:r>
          </w:p>
        </w:tc>
        <w:tc>
          <w:tcPr>
            <w:tcW w:w="777" w:type="dxa"/>
          </w:tcPr>
          <w:p w14:paraId="6004EBA8" w14:textId="77777777" w:rsidR="00A7651E" w:rsidRPr="00A7651E" w:rsidRDefault="00A7651E" w:rsidP="00A7651E">
            <w:pPr>
              <w:contextualSpacing/>
              <w:jc w:val="both"/>
              <w:rPr>
                <w:rFonts w:ascii="Arial" w:hAnsi="Arial" w:cs="Arial"/>
              </w:rPr>
            </w:pPr>
            <w:r w:rsidRPr="00A7651E">
              <w:rPr>
                <w:rFonts w:ascii="Arial" w:hAnsi="Arial" w:cs="Arial"/>
              </w:rPr>
              <w:t>45.7</w:t>
            </w:r>
          </w:p>
        </w:tc>
        <w:tc>
          <w:tcPr>
            <w:tcW w:w="989" w:type="dxa"/>
          </w:tcPr>
          <w:p w14:paraId="37D1632C" w14:textId="77777777" w:rsidR="00A7651E" w:rsidRPr="00A7651E" w:rsidRDefault="00A7651E" w:rsidP="00A7651E">
            <w:pPr>
              <w:contextualSpacing/>
              <w:jc w:val="both"/>
              <w:rPr>
                <w:rFonts w:ascii="Arial" w:hAnsi="Arial" w:cs="Arial"/>
              </w:rPr>
            </w:pPr>
            <w:r w:rsidRPr="00A7651E">
              <w:rPr>
                <w:rFonts w:ascii="Arial" w:hAnsi="Arial" w:cs="Arial"/>
              </w:rPr>
              <w:t>47.92</w:t>
            </w:r>
          </w:p>
        </w:tc>
        <w:tc>
          <w:tcPr>
            <w:tcW w:w="989" w:type="dxa"/>
          </w:tcPr>
          <w:p w14:paraId="76D67256" w14:textId="77777777" w:rsidR="00A7651E" w:rsidRPr="00A7651E" w:rsidRDefault="00A7651E" w:rsidP="00A7651E">
            <w:pPr>
              <w:contextualSpacing/>
              <w:jc w:val="both"/>
              <w:rPr>
                <w:rFonts w:ascii="Arial" w:hAnsi="Arial" w:cs="Arial"/>
              </w:rPr>
            </w:pPr>
            <w:r w:rsidRPr="00A7651E">
              <w:rPr>
                <w:rFonts w:ascii="Arial" w:hAnsi="Arial" w:cs="Arial"/>
              </w:rPr>
              <w:t>48.63</w:t>
            </w:r>
          </w:p>
        </w:tc>
        <w:tc>
          <w:tcPr>
            <w:tcW w:w="989" w:type="dxa"/>
          </w:tcPr>
          <w:p w14:paraId="1BED47E7" w14:textId="77777777" w:rsidR="00A7651E" w:rsidRPr="00A7651E" w:rsidRDefault="00A7651E" w:rsidP="00A7651E">
            <w:pPr>
              <w:contextualSpacing/>
              <w:jc w:val="both"/>
              <w:rPr>
                <w:rFonts w:ascii="Arial" w:hAnsi="Arial" w:cs="Arial"/>
              </w:rPr>
            </w:pPr>
            <w:r w:rsidRPr="00A7651E">
              <w:rPr>
                <w:rFonts w:ascii="Arial" w:hAnsi="Arial" w:cs="Arial"/>
              </w:rPr>
              <w:t>50.43</w:t>
            </w:r>
          </w:p>
        </w:tc>
        <w:tc>
          <w:tcPr>
            <w:tcW w:w="848" w:type="dxa"/>
          </w:tcPr>
          <w:p w14:paraId="78EC29BA" w14:textId="77777777" w:rsidR="00A7651E" w:rsidRPr="00A7651E" w:rsidRDefault="00A7651E" w:rsidP="00A7651E">
            <w:pPr>
              <w:contextualSpacing/>
              <w:jc w:val="both"/>
              <w:rPr>
                <w:rFonts w:ascii="Arial" w:hAnsi="Arial" w:cs="Arial"/>
              </w:rPr>
            </w:pPr>
            <w:r w:rsidRPr="00A7651E">
              <w:rPr>
                <w:rFonts w:ascii="Arial" w:hAnsi="Arial" w:cs="Arial"/>
              </w:rPr>
              <w:t>47.6</w:t>
            </w:r>
          </w:p>
        </w:tc>
        <w:tc>
          <w:tcPr>
            <w:tcW w:w="1011" w:type="dxa"/>
          </w:tcPr>
          <w:p w14:paraId="1709C959" w14:textId="77777777" w:rsidR="00A7651E" w:rsidRPr="00A7651E" w:rsidRDefault="00A7651E" w:rsidP="00A7651E">
            <w:pPr>
              <w:contextualSpacing/>
              <w:jc w:val="both"/>
              <w:rPr>
                <w:rFonts w:ascii="Arial" w:hAnsi="Arial" w:cs="Arial"/>
              </w:rPr>
            </w:pPr>
            <w:r w:rsidRPr="00A7651E">
              <w:rPr>
                <w:rFonts w:ascii="Arial" w:hAnsi="Arial" w:cs="Arial"/>
              </w:rPr>
              <w:t>46.53</w:t>
            </w:r>
          </w:p>
        </w:tc>
      </w:tr>
      <w:tr w:rsidR="00A7651E" w:rsidRPr="00A7651E" w14:paraId="4CD6ECC2" w14:textId="77777777" w:rsidTr="00A7651E">
        <w:trPr>
          <w:trHeight w:val="269"/>
        </w:trPr>
        <w:tc>
          <w:tcPr>
            <w:tcW w:w="2612" w:type="dxa"/>
          </w:tcPr>
          <w:p w14:paraId="174775AB" w14:textId="77777777" w:rsidR="00A7651E" w:rsidRPr="00A7651E" w:rsidRDefault="00A7651E" w:rsidP="00A7651E">
            <w:pPr>
              <w:contextualSpacing/>
              <w:jc w:val="both"/>
              <w:rPr>
                <w:rFonts w:ascii="Arial" w:hAnsi="Arial" w:cs="Arial"/>
              </w:rPr>
            </w:pPr>
            <w:r w:rsidRPr="00A7651E">
              <w:rPr>
                <w:rFonts w:ascii="Arial" w:hAnsi="Arial" w:cs="Arial"/>
              </w:rPr>
              <w:t>Shear Strength</w:t>
            </w:r>
          </w:p>
        </w:tc>
        <w:tc>
          <w:tcPr>
            <w:tcW w:w="777" w:type="dxa"/>
          </w:tcPr>
          <w:p w14:paraId="2B79DFFD" w14:textId="77777777" w:rsidR="00A7651E" w:rsidRPr="00A7651E" w:rsidRDefault="00A7651E" w:rsidP="00A7651E">
            <w:pPr>
              <w:contextualSpacing/>
              <w:jc w:val="both"/>
              <w:rPr>
                <w:rFonts w:ascii="Arial" w:hAnsi="Arial" w:cs="Arial"/>
              </w:rPr>
            </w:pPr>
            <w:r w:rsidRPr="00A7651E">
              <w:rPr>
                <w:rFonts w:ascii="Arial" w:hAnsi="Arial" w:cs="Arial"/>
              </w:rPr>
              <w:t>248.19</w:t>
            </w:r>
          </w:p>
        </w:tc>
        <w:tc>
          <w:tcPr>
            <w:tcW w:w="989" w:type="dxa"/>
          </w:tcPr>
          <w:p w14:paraId="7D92AF98" w14:textId="77777777" w:rsidR="00A7651E" w:rsidRPr="00A7651E" w:rsidRDefault="00A7651E" w:rsidP="00A7651E">
            <w:pPr>
              <w:contextualSpacing/>
              <w:jc w:val="both"/>
              <w:rPr>
                <w:rFonts w:ascii="Arial" w:hAnsi="Arial" w:cs="Arial"/>
              </w:rPr>
            </w:pPr>
            <w:r w:rsidRPr="00A7651E">
              <w:rPr>
                <w:rFonts w:ascii="Arial" w:hAnsi="Arial" w:cs="Arial"/>
              </w:rPr>
              <w:t>268.03</w:t>
            </w:r>
          </w:p>
        </w:tc>
        <w:tc>
          <w:tcPr>
            <w:tcW w:w="989" w:type="dxa"/>
          </w:tcPr>
          <w:p w14:paraId="7F674D61" w14:textId="77777777" w:rsidR="00A7651E" w:rsidRPr="00A7651E" w:rsidRDefault="00A7651E" w:rsidP="00A7651E">
            <w:pPr>
              <w:contextualSpacing/>
              <w:jc w:val="both"/>
              <w:rPr>
                <w:rFonts w:ascii="Arial" w:hAnsi="Arial" w:cs="Arial"/>
              </w:rPr>
            </w:pPr>
            <w:r w:rsidRPr="00A7651E">
              <w:rPr>
                <w:rFonts w:ascii="Arial" w:hAnsi="Arial" w:cs="Arial"/>
              </w:rPr>
              <w:t>275.49</w:t>
            </w:r>
          </w:p>
        </w:tc>
        <w:tc>
          <w:tcPr>
            <w:tcW w:w="989" w:type="dxa"/>
          </w:tcPr>
          <w:p w14:paraId="3910897C" w14:textId="77777777" w:rsidR="00A7651E" w:rsidRPr="00A7651E" w:rsidRDefault="00A7651E" w:rsidP="00A7651E">
            <w:pPr>
              <w:contextualSpacing/>
              <w:jc w:val="both"/>
              <w:rPr>
                <w:rFonts w:ascii="Arial" w:hAnsi="Arial" w:cs="Arial"/>
              </w:rPr>
            </w:pPr>
            <w:r w:rsidRPr="00A7651E">
              <w:rPr>
                <w:rFonts w:ascii="Arial" w:hAnsi="Arial" w:cs="Arial"/>
              </w:rPr>
              <w:t>292.75</w:t>
            </w:r>
          </w:p>
        </w:tc>
        <w:tc>
          <w:tcPr>
            <w:tcW w:w="848" w:type="dxa"/>
          </w:tcPr>
          <w:p w14:paraId="4A772EA4" w14:textId="77777777" w:rsidR="00A7651E" w:rsidRPr="00A7651E" w:rsidRDefault="00A7651E" w:rsidP="00A7651E">
            <w:pPr>
              <w:contextualSpacing/>
              <w:jc w:val="both"/>
              <w:rPr>
                <w:rFonts w:ascii="Arial" w:hAnsi="Arial" w:cs="Arial"/>
              </w:rPr>
            </w:pPr>
            <w:r w:rsidRPr="00A7651E">
              <w:rPr>
                <w:rFonts w:ascii="Arial" w:hAnsi="Arial" w:cs="Arial"/>
              </w:rPr>
              <w:t>250.63</w:t>
            </w:r>
          </w:p>
        </w:tc>
        <w:tc>
          <w:tcPr>
            <w:tcW w:w="1011" w:type="dxa"/>
          </w:tcPr>
          <w:p w14:paraId="59452630" w14:textId="77777777" w:rsidR="00A7651E" w:rsidRPr="00A7651E" w:rsidRDefault="00A7651E" w:rsidP="00A7651E">
            <w:pPr>
              <w:contextualSpacing/>
              <w:jc w:val="both"/>
              <w:rPr>
                <w:rFonts w:ascii="Arial" w:hAnsi="Arial" w:cs="Arial"/>
              </w:rPr>
            </w:pPr>
            <w:r w:rsidRPr="00A7651E">
              <w:rPr>
                <w:rFonts w:ascii="Arial" w:hAnsi="Arial" w:cs="Arial"/>
              </w:rPr>
              <w:t>238.68</w:t>
            </w:r>
          </w:p>
        </w:tc>
      </w:tr>
    </w:tbl>
    <w:p w14:paraId="6C45A8D6" w14:textId="77777777" w:rsidR="00A7651E" w:rsidRPr="00A7651E" w:rsidRDefault="00A7651E" w:rsidP="00A7651E">
      <w:pPr>
        <w:contextualSpacing/>
        <w:jc w:val="both"/>
        <w:rPr>
          <w:rFonts w:ascii="Arial" w:hAnsi="Arial" w:cs="Arial"/>
        </w:rPr>
      </w:pPr>
    </w:p>
    <w:p w14:paraId="476B1C31" w14:textId="77777777" w:rsidR="00A7651E" w:rsidRPr="00A7651E" w:rsidRDefault="00A7651E" w:rsidP="00A7651E">
      <w:pPr>
        <w:contextualSpacing/>
        <w:jc w:val="center"/>
        <w:rPr>
          <w:rFonts w:ascii="Arial" w:hAnsi="Arial" w:cs="Arial"/>
          <w:b/>
        </w:rPr>
      </w:pPr>
      <w:r w:rsidRPr="00A7651E">
        <w:rPr>
          <w:rFonts w:ascii="Arial" w:hAnsi="Arial" w:cs="Arial"/>
          <w:b/>
          <w:noProof/>
        </w:rPr>
        <w:drawing>
          <wp:inline distT="0" distB="0" distL="0" distR="0" wp14:anchorId="7CE4DE78" wp14:editId="52B2F1CB">
            <wp:extent cx="4051005" cy="2445489"/>
            <wp:effectExtent l="0" t="0" r="6985" b="12065"/>
            <wp:docPr id="16197477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2566C7" w14:textId="1F70906A" w:rsidR="00A7651E" w:rsidRPr="00A7651E" w:rsidRDefault="00A7651E" w:rsidP="00A7651E">
      <w:pPr>
        <w:contextualSpacing/>
        <w:jc w:val="center"/>
        <w:rPr>
          <w:rFonts w:ascii="Arial" w:hAnsi="Arial" w:cs="Arial"/>
          <w:b/>
        </w:rPr>
      </w:pPr>
      <w:r w:rsidRPr="00A7651E">
        <w:rPr>
          <w:rFonts w:ascii="Arial" w:hAnsi="Arial" w:cs="Arial"/>
          <w:b/>
        </w:rPr>
        <w:t>Fig</w:t>
      </w:r>
      <w:r>
        <w:rPr>
          <w:rFonts w:ascii="Arial" w:hAnsi="Arial" w:cs="Arial"/>
          <w:b/>
        </w:rPr>
        <w:t>.</w:t>
      </w:r>
      <w:r w:rsidRPr="00A7651E">
        <w:rPr>
          <w:rFonts w:ascii="Arial" w:hAnsi="Arial" w:cs="Arial"/>
          <w:b/>
        </w:rPr>
        <w:t xml:space="preserve"> 6: </w:t>
      </w:r>
      <w:r w:rsidRPr="00A7651E">
        <w:rPr>
          <w:rFonts w:ascii="Arial" w:hAnsi="Arial" w:cs="Arial"/>
          <w:bCs/>
        </w:rPr>
        <w:t>Shear strength of soil samples</w:t>
      </w:r>
    </w:p>
    <w:p w14:paraId="3DE3BF41" w14:textId="77777777" w:rsidR="00BD5618" w:rsidRPr="008D60BF" w:rsidRDefault="00BD5618" w:rsidP="00BD5618">
      <w:pPr>
        <w:contextualSpacing/>
        <w:jc w:val="both"/>
        <w:rPr>
          <w:rFonts w:ascii="Times New Roman" w:hAnsi="Times New Roman"/>
          <w:b/>
          <w:sz w:val="24"/>
          <w:szCs w:val="24"/>
        </w:rPr>
      </w:pPr>
    </w:p>
    <w:p w14:paraId="652D03F7" w14:textId="77777777" w:rsidR="00BD5618" w:rsidRDefault="00BD5618" w:rsidP="00BD5618">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AFE1564" w14:textId="77777777" w:rsidR="00BD5618" w:rsidRPr="00FB3A86" w:rsidRDefault="00BD5618" w:rsidP="00BD5618">
      <w:pPr>
        <w:pStyle w:val="ConcHead"/>
        <w:spacing w:after="0"/>
        <w:jc w:val="both"/>
        <w:rPr>
          <w:rFonts w:ascii="Arial" w:hAnsi="Arial" w:cs="Arial"/>
        </w:rPr>
      </w:pPr>
    </w:p>
    <w:p w14:paraId="40D74468" w14:textId="77777777" w:rsidR="00A7651E" w:rsidRDefault="00A7651E" w:rsidP="00A7651E">
      <w:pPr>
        <w:pStyle w:val="Body"/>
        <w:rPr>
          <w:rFonts w:ascii="Arial" w:hAnsi="Arial" w:cs="Arial"/>
        </w:rPr>
      </w:pPr>
      <w:r w:rsidRPr="00A7651E">
        <w:rPr>
          <w:rFonts w:ascii="Arial" w:hAnsi="Arial" w:cs="Arial"/>
        </w:rPr>
        <w:t xml:space="preserve">This study evaluated the impact of Gum Arabic dosages on the strength properties of soil. Two soil samples, greyish sandy gravelly soil (Sample A) and brownish fine-grained clayey soil (Sample B) were used in this study. Shear strength showed steady increases with dosage, </w:t>
      </w:r>
      <w:r w:rsidRPr="00A7651E">
        <w:rPr>
          <w:rFonts w:ascii="Arial" w:hAnsi="Arial" w:cs="Arial"/>
        </w:rPr>
        <w:lastRenderedPageBreak/>
        <w:t>peaking at 0.7%, where apparent cohesion (C) and angle of shearing resistance (ϕ) reached their maximum values. However, over-treatment at 0.8%-1.0% caused a decline due to reduced particle friction and cohesion.</w:t>
      </w:r>
    </w:p>
    <w:p w14:paraId="3DA8C81C" w14:textId="17C6CDF1" w:rsidR="00BD5618" w:rsidRPr="00A82112" w:rsidRDefault="00A7651E" w:rsidP="00A7651E">
      <w:pPr>
        <w:pStyle w:val="Body"/>
        <w:rPr>
          <w:rFonts w:ascii="Arial" w:hAnsi="Arial" w:cs="Arial"/>
        </w:rPr>
      </w:pPr>
      <w:r w:rsidRPr="00A7651E">
        <w:rPr>
          <w:rFonts w:ascii="Arial" w:hAnsi="Arial" w:cs="Arial"/>
        </w:rPr>
        <w:t>Total settlement decreased significantly with increasing Gum Arabic dosage up to 0.4%, stabilizing at 0.7%. For both soil samples, settlement slightly increased at dosages beyond 0.7%. CBR improved substantially for both samples, with peak values achieved at 0.4% for Sample A (54%) and 0.7% for Sample B (40%), before declining at higher dosages. The study identifies 0.7% of Gum Arabic as the optimal dosage for improving the shear strength of soils where the soil samples demonstrated peak performance and higher dosages led to decline.</w:t>
      </w:r>
    </w:p>
    <w:p w14:paraId="3E8EF4F0" w14:textId="77777777" w:rsidR="00647AA8" w:rsidRDefault="00647AA8" w:rsidP="00BD5618">
      <w:pPr>
        <w:pStyle w:val="ReferHead"/>
        <w:spacing w:after="0"/>
        <w:jc w:val="both"/>
        <w:rPr>
          <w:rFonts w:ascii="Arial" w:hAnsi="Arial" w:cs="Arial"/>
          <w:b w:val="0"/>
          <w:caps w:val="0"/>
          <w:sz w:val="20"/>
          <w:u w:val="single"/>
        </w:rPr>
      </w:pPr>
    </w:p>
    <w:p w14:paraId="108BCFF5" w14:textId="77777777" w:rsidR="00647AA8" w:rsidRDefault="00647AA8" w:rsidP="00BD5618">
      <w:pPr>
        <w:pStyle w:val="ReferHead"/>
        <w:spacing w:after="0"/>
        <w:jc w:val="both"/>
        <w:rPr>
          <w:rFonts w:ascii="Arial" w:hAnsi="Arial" w:cs="Arial"/>
          <w:b w:val="0"/>
          <w:caps w:val="0"/>
          <w:sz w:val="20"/>
          <w:u w:val="single"/>
        </w:rPr>
      </w:pPr>
    </w:p>
    <w:p w14:paraId="5FCC7081" w14:textId="77777777" w:rsidR="00647AA8" w:rsidRPr="00647AA8" w:rsidRDefault="00647AA8" w:rsidP="00647AA8">
      <w:pPr>
        <w:spacing w:after="200" w:line="276" w:lineRule="auto"/>
        <w:jc w:val="both"/>
        <w:outlineLvl w:val="0"/>
        <w:rPr>
          <w:rFonts w:ascii="Arial" w:hAnsi="Arial" w:cs="Arial"/>
          <w:sz w:val="22"/>
          <w:szCs w:val="22"/>
          <w:lang w:val="en-GB" w:eastAsia="en-GB"/>
        </w:rPr>
      </w:pPr>
      <w:r w:rsidRPr="00647AA8">
        <w:rPr>
          <w:rFonts w:ascii="Arial" w:hAnsi="Arial" w:cs="Arial"/>
          <w:b/>
          <w:bCs/>
          <w:sz w:val="22"/>
          <w:szCs w:val="22"/>
          <w:lang w:val="en-GB" w:eastAsia="en-GB"/>
        </w:rPr>
        <w:t>COMPETING INTERESTS DISCLAIMER:</w:t>
      </w:r>
    </w:p>
    <w:p w14:paraId="4104FEC6" w14:textId="77777777" w:rsidR="00647AA8" w:rsidRPr="00647AA8" w:rsidRDefault="00647AA8" w:rsidP="00647AA8">
      <w:pPr>
        <w:spacing w:after="200" w:line="276" w:lineRule="auto"/>
        <w:rPr>
          <w:rFonts w:ascii="Calibri" w:hAnsi="Calibri"/>
          <w:sz w:val="22"/>
          <w:szCs w:val="22"/>
          <w:lang w:val="en-GB" w:eastAsia="en-GB"/>
        </w:rPr>
      </w:pPr>
      <w:r w:rsidRPr="00647AA8">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A1A8B31" w14:textId="77777777" w:rsidR="00647AA8" w:rsidRPr="00F469F0" w:rsidRDefault="00647AA8" w:rsidP="00BD5618">
      <w:pPr>
        <w:pStyle w:val="ReferHead"/>
        <w:spacing w:after="0"/>
        <w:jc w:val="both"/>
        <w:rPr>
          <w:rFonts w:ascii="Arial" w:hAnsi="Arial" w:cs="Arial"/>
          <w:b w:val="0"/>
          <w:caps w:val="0"/>
          <w:sz w:val="20"/>
          <w:u w:val="single"/>
        </w:rPr>
      </w:pPr>
    </w:p>
    <w:p w14:paraId="1B175BF8" w14:textId="77777777" w:rsidR="00CF56A1" w:rsidRPr="00524953" w:rsidRDefault="00CF56A1" w:rsidP="00CF56A1">
      <w:pPr>
        <w:keepNext/>
        <w:keepLines/>
        <w:spacing w:before="480"/>
        <w:outlineLvl w:val="0"/>
        <w:rPr>
          <w:rFonts w:ascii="Arial" w:hAnsi="Arial" w:cs="Arial"/>
          <w:b/>
          <w:bCs/>
          <w:highlight w:val="cyan"/>
          <w:lang w:eastAsia="en-GB"/>
        </w:rPr>
      </w:pPr>
      <w:r w:rsidRPr="00394842">
        <w:rPr>
          <w:highlight w:val="yellow"/>
        </w:rPr>
        <w:t>Disclaimer (Artificial intelligence)</w:t>
      </w:r>
    </w:p>
    <w:p w14:paraId="6A2FF15D" w14:textId="77777777" w:rsidR="00CF56A1" w:rsidRPr="00394842" w:rsidRDefault="00CF56A1" w:rsidP="00CF56A1">
      <w:pPr>
        <w:rPr>
          <w:highlight w:val="yellow"/>
        </w:rPr>
      </w:pPr>
    </w:p>
    <w:p w14:paraId="4C4B666F" w14:textId="77777777" w:rsidR="00CF56A1" w:rsidRPr="00394842" w:rsidRDefault="00CF56A1" w:rsidP="00CF56A1">
      <w:pPr>
        <w:rPr>
          <w:highlight w:val="yellow"/>
        </w:rPr>
      </w:pPr>
      <w:r w:rsidRPr="00394842">
        <w:rPr>
          <w:highlight w:val="yellow"/>
        </w:rPr>
        <w:t xml:space="preserve">Option 1: </w:t>
      </w:r>
    </w:p>
    <w:p w14:paraId="03A58E83" w14:textId="77777777" w:rsidR="00CF56A1" w:rsidRPr="00394842" w:rsidRDefault="00CF56A1" w:rsidP="00CF56A1">
      <w:pPr>
        <w:rPr>
          <w:highlight w:val="yellow"/>
        </w:rPr>
      </w:pPr>
    </w:p>
    <w:p w14:paraId="0158F76F" w14:textId="77777777" w:rsidR="00CF56A1" w:rsidRPr="00394842" w:rsidRDefault="00CF56A1" w:rsidP="00CF56A1">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D190782" w14:textId="77777777" w:rsidR="00CF56A1" w:rsidRPr="00394842" w:rsidRDefault="00CF56A1" w:rsidP="00CF56A1">
      <w:pPr>
        <w:rPr>
          <w:highlight w:val="yellow"/>
        </w:rPr>
      </w:pPr>
    </w:p>
    <w:p w14:paraId="5441EA2E" w14:textId="77777777" w:rsidR="00CF56A1" w:rsidRPr="00394842" w:rsidRDefault="00CF56A1" w:rsidP="00CF56A1">
      <w:pPr>
        <w:rPr>
          <w:highlight w:val="yellow"/>
        </w:rPr>
      </w:pPr>
      <w:r w:rsidRPr="00394842">
        <w:rPr>
          <w:highlight w:val="yellow"/>
        </w:rPr>
        <w:t xml:space="preserve">Option 2: </w:t>
      </w:r>
    </w:p>
    <w:p w14:paraId="7FC1D7D9" w14:textId="77777777" w:rsidR="00CF56A1" w:rsidRPr="00394842" w:rsidRDefault="00CF56A1" w:rsidP="00CF56A1">
      <w:pPr>
        <w:rPr>
          <w:highlight w:val="yellow"/>
        </w:rPr>
      </w:pPr>
    </w:p>
    <w:p w14:paraId="4A82AAAD" w14:textId="77777777" w:rsidR="00CF56A1" w:rsidRPr="00394842" w:rsidRDefault="00CF56A1" w:rsidP="00CF56A1">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DA78A8" w14:textId="77777777" w:rsidR="00CF56A1" w:rsidRPr="00394842" w:rsidRDefault="00CF56A1" w:rsidP="00CF56A1">
      <w:pPr>
        <w:rPr>
          <w:highlight w:val="yellow"/>
        </w:rPr>
      </w:pPr>
    </w:p>
    <w:p w14:paraId="0553754A" w14:textId="77777777" w:rsidR="00CF56A1" w:rsidRPr="00394842" w:rsidRDefault="00CF56A1" w:rsidP="00CF56A1">
      <w:pPr>
        <w:rPr>
          <w:highlight w:val="yellow"/>
        </w:rPr>
      </w:pPr>
      <w:r w:rsidRPr="00394842">
        <w:rPr>
          <w:highlight w:val="yellow"/>
        </w:rPr>
        <w:t>Details of the AI usage are given below:</w:t>
      </w:r>
    </w:p>
    <w:p w14:paraId="6DC74A75" w14:textId="77777777" w:rsidR="00CF56A1" w:rsidRPr="00394842" w:rsidRDefault="00CF56A1" w:rsidP="00CF56A1">
      <w:pPr>
        <w:rPr>
          <w:highlight w:val="yellow"/>
        </w:rPr>
      </w:pPr>
      <w:r w:rsidRPr="00394842">
        <w:rPr>
          <w:highlight w:val="yellow"/>
        </w:rPr>
        <w:t>1.</w:t>
      </w:r>
    </w:p>
    <w:p w14:paraId="11805BA6" w14:textId="77777777" w:rsidR="00CF56A1" w:rsidRPr="00394842" w:rsidRDefault="00CF56A1" w:rsidP="00CF56A1">
      <w:pPr>
        <w:rPr>
          <w:highlight w:val="yellow"/>
        </w:rPr>
      </w:pPr>
      <w:r w:rsidRPr="00394842">
        <w:rPr>
          <w:highlight w:val="yellow"/>
        </w:rPr>
        <w:t>2.</w:t>
      </w:r>
    </w:p>
    <w:p w14:paraId="0448AD93" w14:textId="77777777" w:rsidR="00CF56A1" w:rsidRPr="00DD5053" w:rsidRDefault="00CF56A1" w:rsidP="00CF56A1">
      <w:r w:rsidRPr="00394842">
        <w:rPr>
          <w:highlight w:val="yellow"/>
        </w:rPr>
        <w:t>3.</w:t>
      </w:r>
    </w:p>
    <w:p w14:paraId="7906E00D" w14:textId="77777777" w:rsidR="00BD5618" w:rsidRDefault="00BD5618" w:rsidP="00BD5618">
      <w:pPr>
        <w:pStyle w:val="ReferHead"/>
        <w:spacing w:after="0"/>
        <w:jc w:val="both"/>
        <w:rPr>
          <w:rFonts w:ascii="Arial" w:hAnsi="Arial" w:cs="Arial"/>
          <w:b w:val="0"/>
          <w:caps w:val="0"/>
          <w:sz w:val="20"/>
        </w:rPr>
      </w:pPr>
    </w:p>
    <w:p w14:paraId="17CE54E0" w14:textId="77777777" w:rsidR="00BD5618" w:rsidRDefault="00BD5618" w:rsidP="00BD5618">
      <w:pPr>
        <w:pStyle w:val="ReferHead"/>
        <w:spacing w:after="0"/>
        <w:jc w:val="both"/>
        <w:rPr>
          <w:rFonts w:ascii="Arial" w:hAnsi="Arial" w:cs="Arial"/>
        </w:rPr>
      </w:pPr>
    </w:p>
    <w:p w14:paraId="619ADC7B" w14:textId="77777777" w:rsidR="00BD5618" w:rsidRDefault="00BD5618" w:rsidP="00BD5618">
      <w:pPr>
        <w:pStyle w:val="ReferHead"/>
        <w:spacing w:after="0"/>
        <w:jc w:val="both"/>
        <w:rPr>
          <w:rFonts w:ascii="Arial" w:hAnsi="Arial" w:cs="Arial"/>
        </w:rPr>
      </w:pPr>
      <w:r w:rsidRPr="00FB3A86">
        <w:rPr>
          <w:rFonts w:ascii="Arial" w:hAnsi="Arial" w:cs="Arial"/>
        </w:rPr>
        <w:t>References</w:t>
      </w:r>
    </w:p>
    <w:p w14:paraId="0F37CA46" w14:textId="77777777" w:rsidR="00A7651E" w:rsidRPr="00A7651E" w:rsidRDefault="00A7651E" w:rsidP="00A7651E">
      <w:pPr>
        <w:pStyle w:val="Body"/>
        <w:rPr>
          <w:rFonts w:ascii="Arial" w:hAnsi="Arial" w:cs="Arial"/>
        </w:rPr>
      </w:pPr>
      <w:bookmarkStart w:id="2" w:name="_Hlk177173543"/>
      <w:bookmarkStart w:id="3" w:name="_Hlk183526249"/>
      <w:r w:rsidRPr="00A7651E">
        <w:rPr>
          <w:rFonts w:ascii="Arial" w:hAnsi="Arial" w:cs="Arial"/>
        </w:rPr>
        <w:t>Ajagbe, Wasiu &amp; Akolade, Saheed &amp; Ogunlade, Oluwatosin &amp; Olaomotito, Precious &amp; Odunewu, Itunu &amp; Alabi, Oluwaseyi. (2024). Application of Gum Arabic on the Geotechnical Properties of Subgrade Materials. Acta Technica Jaurinensis. 17. 10.14513/actatechjaur.00748.</w:t>
      </w:r>
    </w:p>
    <w:p w14:paraId="6A57A749" w14:textId="77777777" w:rsidR="00A7651E" w:rsidRPr="00A7651E" w:rsidRDefault="00A7651E" w:rsidP="00A7651E">
      <w:pPr>
        <w:pStyle w:val="Body"/>
        <w:rPr>
          <w:rFonts w:ascii="Arial" w:hAnsi="Arial" w:cs="Arial"/>
        </w:rPr>
      </w:pPr>
      <w:r w:rsidRPr="00A7651E">
        <w:rPr>
          <w:rFonts w:ascii="Arial" w:hAnsi="Arial" w:cs="Arial"/>
        </w:rPr>
        <w:t>Ali</w:t>
      </w:r>
      <w:bookmarkEnd w:id="2"/>
      <w:r w:rsidRPr="00A7651E">
        <w:rPr>
          <w:rFonts w:ascii="Arial" w:hAnsi="Arial" w:cs="Arial"/>
        </w:rPr>
        <w:t xml:space="preserve">, N., Khan, M. H., Ali, M., Ahmad, S., Khan, A., Nabi, G., Ali, F., Bououdina, M., &amp; Kyzas, G. Z. (2024). Insight into microplastics in the aquatic ecosystem: Properties, sources, threats </w:t>
      </w:r>
      <w:r w:rsidRPr="00A7651E">
        <w:rPr>
          <w:rFonts w:ascii="Arial" w:hAnsi="Arial" w:cs="Arial"/>
        </w:rPr>
        <w:lastRenderedPageBreak/>
        <w:t xml:space="preserve">and mitigation strategies. </w:t>
      </w:r>
      <w:r w:rsidRPr="00A7651E">
        <w:rPr>
          <w:rFonts w:ascii="Arial" w:hAnsi="Arial" w:cs="Arial"/>
          <w:i/>
          <w:iCs/>
        </w:rPr>
        <w:t>Science of The Total Environment</w:t>
      </w:r>
      <w:r w:rsidRPr="00A7651E">
        <w:rPr>
          <w:rFonts w:ascii="Arial" w:hAnsi="Arial" w:cs="Arial"/>
        </w:rPr>
        <w:t xml:space="preserve">, </w:t>
      </w:r>
      <w:r w:rsidRPr="00A7651E">
        <w:rPr>
          <w:rFonts w:ascii="Arial" w:hAnsi="Arial" w:cs="Arial"/>
          <w:i/>
          <w:iCs/>
        </w:rPr>
        <w:t>913</w:t>
      </w:r>
      <w:r w:rsidRPr="00A7651E">
        <w:rPr>
          <w:rFonts w:ascii="Arial" w:hAnsi="Arial" w:cs="Arial"/>
        </w:rPr>
        <w:t>, 169489. https://doi.org/10.1016/j.scitotenv.2023.169489</w:t>
      </w:r>
    </w:p>
    <w:p w14:paraId="3FB97CC7" w14:textId="77777777" w:rsidR="00A7651E" w:rsidRPr="00A7651E" w:rsidRDefault="00A7651E" w:rsidP="00A7651E">
      <w:pPr>
        <w:pStyle w:val="Body"/>
        <w:rPr>
          <w:rFonts w:ascii="Arial" w:hAnsi="Arial" w:cs="Arial"/>
        </w:rPr>
      </w:pPr>
      <w:bookmarkStart w:id="4" w:name="_Hlk177174050"/>
      <w:r w:rsidRPr="00A7651E">
        <w:rPr>
          <w:rFonts w:ascii="Arial" w:hAnsi="Arial" w:cs="Arial"/>
        </w:rPr>
        <w:t>Almajed</w:t>
      </w:r>
      <w:bookmarkEnd w:id="4"/>
      <w:r w:rsidRPr="00A7651E">
        <w:rPr>
          <w:rFonts w:ascii="Arial" w:hAnsi="Arial" w:cs="Arial"/>
        </w:rPr>
        <w:t xml:space="preserve">, A., Lemboye, K., &amp; Moghal, A. A. (2022). A Critical Review on the Feasibility of Synthetic Polymers Inclusion in Enhancing the Geotechnical Behavior of Soils. </w:t>
      </w:r>
      <w:r w:rsidRPr="00A7651E">
        <w:rPr>
          <w:rFonts w:ascii="Arial" w:hAnsi="Arial" w:cs="Arial"/>
          <w:i/>
          <w:iCs/>
        </w:rPr>
        <w:t>Polymers</w:t>
      </w:r>
      <w:r w:rsidRPr="00A7651E">
        <w:rPr>
          <w:rFonts w:ascii="Arial" w:hAnsi="Arial" w:cs="Arial"/>
        </w:rPr>
        <w:t xml:space="preserve">, </w:t>
      </w:r>
      <w:r w:rsidRPr="00A7651E">
        <w:rPr>
          <w:rFonts w:ascii="Arial" w:hAnsi="Arial" w:cs="Arial"/>
          <w:i/>
          <w:iCs/>
        </w:rPr>
        <w:t>14</w:t>
      </w:r>
      <w:r w:rsidRPr="00A7651E">
        <w:rPr>
          <w:rFonts w:ascii="Arial" w:hAnsi="Arial" w:cs="Arial"/>
        </w:rPr>
        <w:t>(22), 5004. https://doi.org/10.3390/polym14225004</w:t>
      </w:r>
    </w:p>
    <w:p w14:paraId="49F4AF4A" w14:textId="77777777" w:rsidR="00A7651E" w:rsidRPr="00A7651E" w:rsidRDefault="00A7651E" w:rsidP="00A7651E">
      <w:pPr>
        <w:pStyle w:val="Body"/>
        <w:rPr>
          <w:rFonts w:ascii="Arial" w:hAnsi="Arial" w:cs="Arial"/>
        </w:rPr>
      </w:pPr>
      <w:r w:rsidRPr="00A7651E">
        <w:rPr>
          <w:rFonts w:ascii="Arial" w:hAnsi="Arial" w:cs="Arial"/>
        </w:rPr>
        <w:t xml:space="preserve">Belaïd, F. (2022). How does concrete and cement industry transformation contribute to mitigating climate change challenges? </w:t>
      </w:r>
      <w:r w:rsidRPr="00A7651E">
        <w:rPr>
          <w:rFonts w:ascii="Arial" w:hAnsi="Arial" w:cs="Arial"/>
          <w:i/>
          <w:iCs/>
        </w:rPr>
        <w:t>Resources, Conservation &amp; Recycling Advances</w:t>
      </w:r>
      <w:r w:rsidRPr="00A7651E">
        <w:rPr>
          <w:rFonts w:ascii="Arial" w:hAnsi="Arial" w:cs="Arial"/>
        </w:rPr>
        <w:t xml:space="preserve">, </w:t>
      </w:r>
      <w:r w:rsidRPr="00A7651E">
        <w:rPr>
          <w:rFonts w:ascii="Arial" w:hAnsi="Arial" w:cs="Arial"/>
          <w:i/>
          <w:iCs/>
        </w:rPr>
        <w:t>15</w:t>
      </w:r>
      <w:r w:rsidRPr="00A7651E">
        <w:rPr>
          <w:rFonts w:ascii="Arial" w:hAnsi="Arial" w:cs="Arial"/>
        </w:rPr>
        <w:t xml:space="preserve">, 200084. </w:t>
      </w:r>
      <w:hyperlink r:id="rId18" w:history="1">
        <w:r w:rsidRPr="00A7651E">
          <w:rPr>
            <w:rStyle w:val="Hyperlink"/>
            <w:rFonts w:ascii="Arial" w:hAnsi="Arial" w:cs="Arial"/>
          </w:rPr>
          <w:t>https://doi.org/10.1016/j.rcradv.2022.200084</w:t>
        </w:r>
      </w:hyperlink>
      <w:bookmarkEnd w:id="3"/>
    </w:p>
    <w:p w14:paraId="4AF59149" w14:textId="77777777" w:rsidR="00A7651E" w:rsidRPr="00A7651E" w:rsidRDefault="00A7651E" w:rsidP="00A7651E">
      <w:pPr>
        <w:pStyle w:val="Body"/>
        <w:rPr>
          <w:rFonts w:ascii="Arial" w:hAnsi="Arial" w:cs="Arial"/>
        </w:rPr>
      </w:pPr>
      <w:r w:rsidRPr="00A7651E">
        <w:rPr>
          <w:rFonts w:ascii="Arial" w:hAnsi="Arial" w:cs="Arial"/>
        </w:rPr>
        <w:t xml:space="preserve">Bodor, A., Feigl, G., Kolossa, B., Mészáros, E., Laczi, K., Kovács, E., Perei, K., &amp; Rákhely, G. (2024). Soils in distress: The impacts and ecological risks of (micro)plastic pollution in the terrestrial environment. </w:t>
      </w:r>
      <w:r w:rsidRPr="00A7651E">
        <w:rPr>
          <w:rFonts w:ascii="Arial" w:hAnsi="Arial" w:cs="Arial"/>
          <w:i/>
          <w:iCs/>
        </w:rPr>
        <w:t>Ecotoxicology and Environmental Safety</w:t>
      </w:r>
      <w:r w:rsidRPr="00A7651E">
        <w:rPr>
          <w:rFonts w:ascii="Arial" w:hAnsi="Arial" w:cs="Arial"/>
        </w:rPr>
        <w:t xml:space="preserve">, </w:t>
      </w:r>
      <w:r w:rsidRPr="00A7651E">
        <w:rPr>
          <w:rFonts w:ascii="Arial" w:hAnsi="Arial" w:cs="Arial"/>
          <w:i/>
          <w:iCs/>
        </w:rPr>
        <w:t>269</w:t>
      </w:r>
      <w:r w:rsidRPr="00A7651E">
        <w:rPr>
          <w:rFonts w:ascii="Arial" w:hAnsi="Arial" w:cs="Arial"/>
        </w:rPr>
        <w:t>, 115807. https://doi.org/10.1016/j.ecoenv.2023.115807</w:t>
      </w:r>
    </w:p>
    <w:p w14:paraId="49D36A78" w14:textId="77777777" w:rsidR="00A7651E" w:rsidRPr="00A7651E" w:rsidRDefault="00A7651E" w:rsidP="00A7651E">
      <w:pPr>
        <w:pStyle w:val="Body"/>
        <w:rPr>
          <w:rFonts w:ascii="Arial" w:hAnsi="Arial" w:cs="Arial"/>
        </w:rPr>
      </w:pPr>
      <w:r w:rsidRPr="00A7651E">
        <w:rPr>
          <w:rFonts w:ascii="Arial" w:hAnsi="Arial" w:cs="Arial"/>
          <w:bCs/>
        </w:rPr>
        <w:t>Bouassida, M.; Fattah, M.Y.; Mezni, N. (2022) Bearing Capacity of Foundation on Soil Reinforced by Deep Mixing Columns. Geomech. Geoengin, 17, 309–320.</w:t>
      </w:r>
    </w:p>
    <w:p w14:paraId="4EA86C56" w14:textId="77777777" w:rsidR="00A7651E" w:rsidRPr="00A7651E" w:rsidRDefault="00A7651E" w:rsidP="00A7651E">
      <w:pPr>
        <w:pStyle w:val="Body"/>
        <w:rPr>
          <w:rFonts w:ascii="Arial" w:hAnsi="Arial" w:cs="Arial"/>
        </w:rPr>
      </w:pPr>
      <w:bookmarkStart w:id="5" w:name="_Hlk177174134"/>
      <w:bookmarkStart w:id="6" w:name="_Hlk183527129"/>
      <w:r w:rsidRPr="00A7651E">
        <w:rPr>
          <w:rFonts w:ascii="Arial" w:hAnsi="Arial" w:cs="Arial"/>
        </w:rPr>
        <w:t>Bozyigit</w:t>
      </w:r>
      <w:bookmarkEnd w:id="5"/>
      <w:r w:rsidRPr="00A7651E">
        <w:rPr>
          <w:rFonts w:ascii="Arial" w:hAnsi="Arial" w:cs="Arial"/>
        </w:rPr>
        <w:t xml:space="preserve">, I., Zingil, H. O., &amp; Altun, S. (2023). Performance of eco-friendly polymers for soil stabilization and their resistance to freeze–thaw action. </w:t>
      </w:r>
      <w:r w:rsidRPr="00A7651E">
        <w:rPr>
          <w:rFonts w:ascii="Arial" w:hAnsi="Arial" w:cs="Arial"/>
          <w:i/>
          <w:iCs/>
        </w:rPr>
        <w:t>Construction and Building Materials</w:t>
      </w:r>
      <w:r w:rsidRPr="00A7651E">
        <w:rPr>
          <w:rFonts w:ascii="Arial" w:hAnsi="Arial" w:cs="Arial"/>
        </w:rPr>
        <w:t xml:space="preserve">, </w:t>
      </w:r>
      <w:r w:rsidRPr="00A7651E">
        <w:rPr>
          <w:rFonts w:ascii="Arial" w:hAnsi="Arial" w:cs="Arial"/>
          <w:i/>
          <w:iCs/>
        </w:rPr>
        <w:t>379</w:t>
      </w:r>
      <w:r w:rsidRPr="00A7651E">
        <w:rPr>
          <w:rFonts w:ascii="Arial" w:hAnsi="Arial" w:cs="Arial"/>
        </w:rPr>
        <w:t>, 131133. https://doi.org/10.1016/j.conbuildmat.2023.131133</w:t>
      </w:r>
    </w:p>
    <w:p w14:paraId="2E510AEA" w14:textId="77777777" w:rsidR="00A7651E" w:rsidRPr="00A7651E" w:rsidRDefault="00A7651E" w:rsidP="00A7651E">
      <w:pPr>
        <w:pStyle w:val="Body"/>
        <w:rPr>
          <w:rFonts w:ascii="Arial" w:hAnsi="Arial" w:cs="Arial"/>
        </w:rPr>
      </w:pPr>
      <w:r w:rsidRPr="00A7651E">
        <w:rPr>
          <w:rFonts w:ascii="Arial" w:hAnsi="Arial" w:cs="Arial"/>
        </w:rPr>
        <w:t xml:space="preserve">Cheng, G., Zhu, H., Wen, Y., Shi, B., &amp; Gao, L. (2020). Experimental Investigation of Consolidation Properties of Nano-Bentonite Mixed Clayey Soil. </w:t>
      </w:r>
      <w:r w:rsidRPr="00A7651E">
        <w:rPr>
          <w:rFonts w:ascii="Arial" w:hAnsi="Arial" w:cs="Arial"/>
          <w:i/>
          <w:iCs/>
        </w:rPr>
        <w:t>Sustainability</w:t>
      </w:r>
      <w:r w:rsidRPr="00A7651E">
        <w:rPr>
          <w:rFonts w:ascii="Arial" w:hAnsi="Arial" w:cs="Arial"/>
        </w:rPr>
        <w:t xml:space="preserve">, </w:t>
      </w:r>
      <w:r w:rsidRPr="00A7651E">
        <w:rPr>
          <w:rFonts w:ascii="Arial" w:hAnsi="Arial" w:cs="Arial"/>
          <w:i/>
          <w:iCs/>
        </w:rPr>
        <w:t>12</w:t>
      </w:r>
      <w:r w:rsidRPr="00A7651E">
        <w:rPr>
          <w:rFonts w:ascii="Arial" w:hAnsi="Arial" w:cs="Arial"/>
        </w:rPr>
        <w:t xml:space="preserve">(2), 459. </w:t>
      </w:r>
      <w:hyperlink r:id="rId19" w:history="1">
        <w:r w:rsidRPr="00A7651E">
          <w:rPr>
            <w:rStyle w:val="Hyperlink"/>
            <w:rFonts w:ascii="Arial" w:hAnsi="Arial" w:cs="Arial"/>
          </w:rPr>
          <w:t>https://doi.org/10.3390/su12020459</w:t>
        </w:r>
      </w:hyperlink>
      <w:bookmarkEnd w:id="6"/>
    </w:p>
    <w:p w14:paraId="761C8D85" w14:textId="77777777" w:rsidR="00A7651E" w:rsidRPr="00A7651E" w:rsidRDefault="00A7651E" w:rsidP="00A7651E">
      <w:pPr>
        <w:pStyle w:val="Body"/>
        <w:rPr>
          <w:rFonts w:ascii="Arial" w:hAnsi="Arial" w:cs="Arial"/>
        </w:rPr>
      </w:pPr>
      <w:bookmarkStart w:id="7" w:name="_Hlk177172138"/>
      <w:bookmarkStart w:id="8" w:name="_Hlk183527143"/>
      <w:r w:rsidRPr="00A7651E">
        <w:rPr>
          <w:rFonts w:ascii="Arial" w:hAnsi="Arial" w:cs="Arial"/>
        </w:rPr>
        <w:t>Eberemu</w:t>
      </w:r>
      <w:bookmarkEnd w:id="7"/>
      <w:r w:rsidRPr="00A7651E">
        <w:rPr>
          <w:rFonts w:ascii="Arial" w:hAnsi="Arial" w:cs="Arial"/>
        </w:rPr>
        <w:t>, A. (2011). "Consolidation Properties of Compacted Lateritic Soil Treated with Rice Husk Ash," </w:t>
      </w:r>
      <w:r w:rsidRPr="00A7651E">
        <w:rPr>
          <w:rFonts w:ascii="Arial" w:hAnsi="Arial" w:cs="Arial"/>
          <w:i/>
          <w:iCs/>
        </w:rPr>
        <w:t>Geomaterials</w:t>
      </w:r>
      <w:r w:rsidRPr="00A7651E">
        <w:rPr>
          <w:rFonts w:ascii="Arial" w:hAnsi="Arial" w:cs="Arial"/>
        </w:rPr>
        <w:t>, Vol. 1 No. 3, 2011, pp. 70-78. doi: </w:t>
      </w:r>
      <w:hyperlink r:id="rId20" w:tgtFrame="_blank" w:history="1">
        <w:r w:rsidRPr="00A7651E">
          <w:rPr>
            <w:rStyle w:val="Hyperlink"/>
            <w:rFonts w:ascii="Arial" w:hAnsi="Arial" w:cs="Arial"/>
          </w:rPr>
          <w:t>10.4236/gm.2011.13011</w:t>
        </w:r>
      </w:hyperlink>
      <w:r w:rsidRPr="00A7651E">
        <w:rPr>
          <w:rFonts w:ascii="Arial" w:hAnsi="Arial" w:cs="Arial"/>
        </w:rPr>
        <w:t xml:space="preserve">. </w:t>
      </w:r>
    </w:p>
    <w:p w14:paraId="406E1157" w14:textId="77777777" w:rsidR="00A7651E" w:rsidRPr="00A7651E" w:rsidRDefault="00A7651E" w:rsidP="00A7651E">
      <w:pPr>
        <w:pStyle w:val="Body"/>
        <w:rPr>
          <w:rFonts w:ascii="Arial" w:hAnsi="Arial" w:cs="Arial"/>
        </w:rPr>
      </w:pPr>
      <w:bookmarkStart w:id="9" w:name="_Hlk177034490"/>
      <w:bookmarkEnd w:id="8"/>
      <w:r w:rsidRPr="00A7651E">
        <w:rPr>
          <w:rFonts w:ascii="Arial" w:hAnsi="Arial" w:cs="Arial"/>
        </w:rPr>
        <w:t>Fatehi</w:t>
      </w:r>
      <w:bookmarkEnd w:id="9"/>
      <w:r w:rsidRPr="00A7651E">
        <w:rPr>
          <w:rFonts w:ascii="Arial" w:hAnsi="Arial" w:cs="Arial"/>
        </w:rPr>
        <w:t xml:space="preserve">, H., Ong, D. E., Yu, J., &amp; Chang, I. (2021). Biopolymers as Green Binders for Soil Improvement in Geotechnical Applications: A Review. </w:t>
      </w:r>
      <w:r w:rsidRPr="00A7651E">
        <w:rPr>
          <w:rFonts w:ascii="Arial" w:hAnsi="Arial" w:cs="Arial"/>
          <w:i/>
          <w:iCs/>
        </w:rPr>
        <w:t>Geosciences</w:t>
      </w:r>
      <w:r w:rsidRPr="00A7651E">
        <w:rPr>
          <w:rFonts w:ascii="Arial" w:hAnsi="Arial" w:cs="Arial"/>
        </w:rPr>
        <w:t xml:space="preserve">, </w:t>
      </w:r>
      <w:r w:rsidRPr="00A7651E">
        <w:rPr>
          <w:rFonts w:ascii="Arial" w:hAnsi="Arial" w:cs="Arial"/>
          <w:i/>
          <w:iCs/>
        </w:rPr>
        <w:t>11</w:t>
      </w:r>
      <w:r w:rsidRPr="00A7651E">
        <w:rPr>
          <w:rFonts w:ascii="Arial" w:hAnsi="Arial" w:cs="Arial"/>
        </w:rPr>
        <w:t>(7), 291. https://doi.org/10.3390/geosciences11070291</w:t>
      </w:r>
    </w:p>
    <w:p w14:paraId="599C1158" w14:textId="77777777" w:rsidR="00A7651E" w:rsidRPr="00A7651E" w:rsidRDefault="00A7651E" w:rsidP="00A7651E">
      <w:pPr>
        <w:pStyle w:val="Body"/>
        <w:rPr>
          <w:rFonts w:ascii="Arial" w:hAnsi="Arial" w:cs="Arial"/>
        </w:rPr>
      </w:pPr>
      <w:r w:rsidRPr="00A7651E">
        <w:rPr>
          <w:rFonts w:ascii="Arial" w:hAnsi="Arial" w:cs="Arial"/>
        </w:rPr>
        <w:t xml:space="preserve">Gheorghita Puscaselu, R.; Besliu, I.; Gutt, G. (2021) Edible Biopolymers-Based Materials for Food Applications—The Eco Alternative to Conventional Synthetic Packaging. Polymers </w:t>
      </w:r>
      <w:r w:rsidRPr="00A7651E">
        <w:rPr>
          <w:rFonts w:ascii="Arial" w:hAnsi="Arial" w:cs="Arial"/>
          <w:b/>
          <w:bCs/>
        </w:rPr>
        <w:t>2021</w:t>
      </w:r>
      <w:r w:rsidRPr="00A7651E">
        <w:rPr>
          <w:rFonts w:ascii="Arial" w:hAnsi="Arial" w:cs="Arial"/>
        </w:rPr>
        <w:t>, 13, 3779.</w:t>
      </w:r>
    </w:p>
    <w:p w14:paraId="53523588" w14:textId="77777777" w:rsidR="00A7651E" w:rsidRPr="00A7651E" w:rsidRDefault="00A7651E" w:rsidP="00A7651E">
      <w:pPr>
        <w:pStyle w:val="Body"/>
        <w:rPr>
          <w:rFonts w:ascii="Arial" w:hAnsi="Arial" w:cs="Arial"/>
        </w:rPr>
      </w:pPr>
      <w:bookmarkStart w:id="10" w:name="_Hlk183526303"/>
      <w:bookmarkStart w:id="11" w:name="_Hlk183527106"/>
      <w:bookmarkStart w:id="12" w:name="_Hlk177083500"/>
      <w:bookmarkStart w:id="13" w:name="_Hlk183527084"/>
      <w:r w:rsidRPr="00A7651E">
        <w:rPr>
          <w:rFonts w:ascii="Arial" w:hAnsi="Arial" w:cs="Arial"/>
        </w:rPr>
        <w:t xml:space="preserve">Gunarathne, V., Gunatilake, S. R., Wanasinghe, S. T., Atugoda, T., Wijekoon, P., Biswas, J. K., &amp; Vithanage, M. (2029). Phytoremediation for E-waste contaminated sites. </w:t>
      </w:r>
      <w:r w:rsidRPr="00A7651E">
        <w:rPr>
          <w:rFonts w:ascii="Arial" w:hAnsi="Arial" w:cs="Arial"/>
          <w:i/>
          <w:iCs/>
        </w:rPr>
        <w:t>Handbook of Electronic Waste Management</w:t>
      </w:r>
      <w:r w:rsidRPr="00A7651E">
        <w:rPr>
          <w:rFonts w:ascii="Arial" w:hAnsi="Arial" w:cs="Arial"/>
        </w:rPr>
        <w:t>, 141-170. https://doi.org/10.1016/B978-0-12-817030-4.00005-X</w:t>
      </w:r>
    </w:p>
    <w:p w14:paraId="13DC9713" w14:textId="77777777" w:rsidR="00A7651E" w:rsidRPr="00A7651E" w:rsidRDefault="00A7651E" w:rsidP="00A7651E">
      <w:pPr>
        <w:pStyle w:val="Body"/>
        <w:rPr>
          <w:rFonts w:ascii="Arial" w:hAnsi="Arial" w:cs="Arial"/>
        </w:rPr>
      </w:pPr>
      <w:r w:rsidRPr="00A7651E">
        <w:rPr>
          <w:rFonts w:ascii="Arial" w:hAnsi="Arial" w:cs="Arial"/>
        </w:rPr>
        <w:t xml:space="preserve">Huang, J., Kogbara, R. B., Hariharan, N., Masad, E. A., &amp; Little, D. N. (2021). A state-of-the-art review of polymers used in soil stabilization. </w:t>
      </w:r>
      <w:r w:rsidRPr="00A7651E">
        <w:rPr>
          <w:rFonts w:ascii="Arial" w:hAnsi="Arial" w:cs="Arial"/>
          <w:i/>
          <w:iCs/>
        </w:rPr>
        <w:t>Construction and Building Materials</w:t>
      </w:r>
      <w:r w:rsidRPr="00A7651E">
        <w:rPr>
          <w:rFonts w:ascii="Arial" w:hAnsi="Arial" w:cs="Arial"/>
        </w:rPr>
        <w:t xml:space="preserve">, </w:t>
      </w:r>
      <w:r w:rsidRPr="00A7651E">
        <w:rPr>
          <w:rFonts w:ascii="Arial" w:hAnsi="Arial" w:cs="Arial"/>
          <w:i/>
          <w:iCs/>
        </w:rPr>
        <w:t>305</w:t>
      </w:r>
      <w:r w:rsidRPr="00A7651E">
        <w:rPr>
          <w:rFonts w:ascii="Arial" w:hAnsi="Arial" w:cs="Arial"/>
        </w:rPr>
        <w:t>, 124685. https://doi.org/10.1016/j.conbuildmat.2021.124685</w:t>
      </w:r>
    </w:p>
    <w:bookmarkEnd w:id="10"/>
    <w:p w14:paraId="109C6043" w14:textId="77777777" w:rsidR="00A7651E" w:rsidRPr="00A7651E" w:rsidRDefault="00A7651E" w:rsidP="00A7651E">
      <w:pPr>
        <w:pStyle w:val="Body"/>
        <w:rPr>
          <w:rFonts w:ascii="Arial" w:hAnsi="Arial" w:cs="Arial"/>
        </w:rPr>
      </w:pPr>
      <w:r w:rsidRPr="00A7651E">
        <w:rPr>
          <w:rFonts w:ascii="Arial" w:hAnsi="Arial" w:cs="Arial"/>
        </w:rPr>
        <w:t xml:space="preserve">Islam, S., Islam, J., &amp; Robiul Hoque, N. M. (2022). Improvement of consolidation properties of clay soil using fine-grained construction and demolition waste. </w:t>
      </w:r>
      <w:r w:rsidRPr="00A7651E">
        <w:rPr>
          <w:rFonts w:ascii="Arial" w:hAnsi="Arial" w:cs="Arial"/>
          <w:i/>
          <w:iCs/>
        </w:rPr>
        <w:t>Heliyon</w:t>
      </w:r>
      <w:r w:rsidRPr="00A7651E">
        <w:rPr>
          <w:rFonts w:ascii="Arial" w:hAnsi="Arial" w:cs="Arial"/>
        </w:rPr>
        <w:t xml:space="preserve">, </w:t>
      </w:r>
      <w:r w:rsidRPr="00A7651E">
        <w:rPr>
          <w:rFonts w:ascii="Arial" w:hAnsi="Arial" w:cs="Arial"/>
          <w:i/>
          <w:iCs/>
        </w:rPr>
        <w:t>8</w:t>
      </w:r>
      <w:r w:rsidRPr="00A7651E">
        <w:rPr>
          <w:rFonts w:ascii="Arial" w:hAnsi="Arial" w:cs="Arial"/>
        </w:rPr>
        <w:t>(10), e11029. https://doi.org/10.1016/j.heliyon.2022.e11029</w:t>
      </w:r>
    </w:p>
    <w:p w14:paraId="5A25B232" w14:textId="77777777" w:rsidR="00A7651E" w:rsidRPr="00A7651E" w:rsidRDefault="00A7651E" w:rsidP="00A7651E">
      <w:pPr>
        <w:pStyle w:val="Body"/>
        <w:rPr>
          <w:rFonts w:ascii="Arial" w:hAnsi="Arial" w:cs="Arial"/>
        </w:rPr>
      </w:pPr>
      <w:bookmarkStart w:id="14" w:name="_Hlk177173266"/>
      <w:bookmarkStart w:id="15" w:name="_Hlk177173216"/>
      <w:bookmarkEnd w:id="11"/>
      <w:r w:rsidRPr="00A7651E">
        <w:rPr>
          <w:rFonts w:ascii="Arial" w:hAnsi="Arial" w:cs="Arial"/>
        </w:rPr>
        <w:lastRenderedPageBreak/>
        <w:t xml:space="preserve">Kabakuş, N., &amp; Tarhan, Y. (2025). Investigation of Mechanical Properties and Microstructural Characteristics of Earth-Based Pavements Stabilised with Various Bio-Based Binders. </w:t>
      </w:r>
      <w:r w:rsidRPr="00A7651E">
        <w:rPr>
          <w:rFonts w:ascii="Arial" w:hAnsi="Arial" w:cs="Arial"/>
          <w:i/>
          <w:iCs/>
        </w:rPr>
        <w:t>Polymers</w:t>
      </w:r>
      <w:r w:rsidRPr="00A7651E">
        <w:rPr>
          <w:rFonts w:ascii="Arial" w:hAnsi="Arial" w:cs="Arial"/>
        </w:rPr>
        <w:t xml:space="preserve">, </w:t>
      </w:r>
      <w:r w:rsidRPr="00A7651E">
        <w:rPr>
          <w:rFonts w:ascii="Arial" w:hAnsi="Arial" w:cs="Arial"/>
          <w:i/>
          <w:iCs/>
        </w:rPr>
        <w:t>17</w:t>
      </w:r>
      <w:r w:rsidRPr="00A7651E">
        <w:rPr>
          <w:rFonts w:ascii="Arial" w:hAnsi="Arial" w:cs="Arial"/>
        </w:rPr>
        <w:t>(7), 864. https://doi.org/10.3390/polym17070864</w:t>
      </w:r>
    </w:p>
    <w:p w14:paraId="7332096B" w14:textId="77777777" w:rsidR="00A7651E" w:rsidRPr="00A7651E" w:rsidRDefault="00A7651E" w:rsidP="00A7651E">
      <w:pPr>
        <w:pStyle w:val="Body"/>
        <w:rPr>
          <w:rFonts w:ascii="Arial" w:hAnsi="Arial" w:cs="Arial"/>
        </w:rPr>
      </w:pPr>
      <w:r w:rsidRPr="00A7651E">
        <w:rPr>
          <w:rFonts w:ascii="Arial" w:hAnsi="Arial" w:cs="Arial"/>
        </w:rPr>
        <w:t>Khaiyum</w:t>
      </w:r>
      <w:bookmarkEnd w:id="14"/>
      <w:r w:rsidRPr="00A7651E">
        <w:rPr>
          <w:rFonts w:ascii="Arial" w:hAnsi="Arial" w:cs="Arial"/>
        </w:rPr>
        <w:t xml:space="preserve">, M. Z., Sarker, S., &amp; Kabir, G. (2023). Evaluation of Carbon Emission Factors in the Cement Industry: An Emerging Economy Context. </w:t>
      </w:r>
      <w:r w:rsidRPr="00A7651E">
        <w:rPr>
          <w:rFonts w:ascii="Arial" w:hAnsi="Arial" w:cs="Arial"/>
          <w:i/>
          <w:iCs/>
        </w:rPr>
        <w:t>Sustainability</w:t>
      </w:r>
      <w:r w:rsidRPr="00A7651E">
        <w:rPr>
          <w:rFonts w:ascii="Arial" w:hAnsi="Arial" w:cs="Arial"/>
        </w:rPr>
        <w:t xml:space="preserve">, </w:t>
      </w:r>
      <w:r w:rsidRPr="00A7651E">
        <w:rPr>
          <w:rFonts w:ascii="Arial" w:hAnsi="Arial" w:cs="Arial"/>
          <w:i/>
          <w:iCs/>
        </w:rPr>
        <w:t>15</w:t>
      </w:r>
      <w:r w:rsidRPr="00A7651E">
        <w:rPr>
          <w:rFonts w:ascii="Arial" w:hAnsi="Arial" w:cs="Arial"/>
        </w:rPr>
        <w:t>(21), 15407. https://doi.org/10.3390/su152115407</w:t>
      </w:r>
    </w:p>
    <w:p w14:paraId="61A0453B" w14:textId="77777777" w:rsidR="00A7651E" w:rsidRPr="00A7651E" w:rsidRDefault="00A7651E" w:rsidP="00A7651E">
      <w:pPr>
        <w:pStyle w:val="Body"/>
        <w:rPr>
          <w:rFonts w:ascii="Arial" w:hAnsi="Arial" w:cs="Arial"/>
        </w:rPr>
      </w:pPr>
      <w:r w:rsidRPr="00A7651E">
        <w:rPr>
          <w:rFonts w:ascii="Arial" w:hAnsi="Arial" w:cs="Arial"/>
        </w:rPr>
        <w:t>Mohamad</w:t>
      </w:r>
      <w:bookmarkEnd w:id="15"/>
      <w:r w:rsidRPr="00A7651E">
        <w:rPr>
          <w:rFonts w:ascii="Arial" w:hAnsi="Arial" w:cs="Arial"/>
        </w:rPr>
        <w:t xml:space="preserve">, N., Muthusamy, K., Embong, R., Kusbiantoro, A., &amp; Hashim, M. H. (2022). Environmental impact of cement production and Solutions: A review. </w:t>
      </w:r>
      <w:r w:rsidRPr="00A7651E">
        <w:rPr>
          <w:rFonts w:ascii="Arial" w:hAnsi="Arial" w:cs="Arial"/>
          <w:i/>
          <w:iCs/>
        </w:rPr>
        <w:t>Materials Today: Proceedings</w:t>
      </w:r>
      <w:r w:rsidRPr="00A7651E">
        <w:rPr>
          <w:rFonts w:ascii="Arial" w:hAnsi="Arial" w:cs="Arial"/>
        </w:rPr>
        <w:t xml:space="preserve">, </w:t>
      </w:r>
      <w:r w:rsidRPr="00A7651E">
        <w:rPr>
          <w:rFonts w:ascii="Arial" w:hAnsi="Arial" w:cs="Arial"/>
          <w:i/>
          <w:iCs/>
        </w:rPr>
        <w:t>48</w:t>
      </w:r>
      <w:r w:rsidRPr="00A7651E">
        <w:rPr>
          <w:rFonts w:ascii="Arial" w:hAnsi="Arial" w:cs="Arial"/>
        </w:rPr>
        <w:t>, 741-746. https://doi.org/10.1016/j.matpr.2021.02.212</w:t>
      </w:r>
    </w:p>
    <w:p w14:paraId="5C8CCFE8" w14:textId="77777777" w:rsidR="00A7651E" w:rsidRPr="00A7651E" w:rsidRDefault="00A7651E" w:rsidP="00A7651E">
      <w:pPr>
        <w:pStyle w:val="Body"/>
        <w:rPr>
          <w:rFonts w:ascii="Arial" w:hAnsi="Arial" w:cs="Arial"/>
        </w:rPr>
      </w:pPr>
      <w:r w:rsidRPr="00A7651E">
        <w:rPr>
          <w:rFonts w:ascii="Arial" w:hAnsi="Arial" w:cs="Arial"/>
        </w:rPr>
        <w:t xml:space="preserve">Novoskoltseva, O. A., Belov, A. A., Loiko, N. G., Nikolaev, Y. A., Panova, I. G., &amp; Yaroslavov, A. A. (2022). Biodegradable Interpolycomplexes for Anti-Erosion Stabilization of Soil and Sand. </w:t>
      </w:r>
      <w:r w:rsidRPr="00A7651E">
        <w:rPr>
          <w:rFonts w:ascii="Arial" w:hAnsi="Arial" w:cs="Arial"/>
          <w:i/>
          <w:iCs/>
        </w:rPr>
        <w:t>Polymers</w:t>
      </w:r>
      <w:r w:rsidRPr="00A7651E">
        <w:rPr>
          <w:rFonts w:ascii="Arial" w:hAnsi="Arial" w:cs="Arial"/>
        </w:rPr>
        <w:t xml:space="preserve">, </w:t>
      </w:r>
      <w:r w:rsidRPr="00A7651E">
        <w:rPr>
          <w:rFonts w:ascii="Arial" w:hAnsi="Arial" w:cs="Arial"/>
          <w:i/>
          <w:iCs/>
        </w:rPr>
        <w:t>14</w:t>
      </w:r>
      <w:r w:rsidRPr="00A7651E">
        <w:rPr>
          <w:rFonts w:ascii="Arial" w:hAnsi="Arial" w:cs="Arial"/>
        </w:rPr>
        <w:t>(24), 5383. https://doi.org/10.3390/polym14245383</w:t>
      </w:r>
    </w:p>
    <w:p w14:paraId="2110F191" w14:textId="77777777" w:rsidR="00A7651E" w:rsidRPr="00A7651E" w:rsidRDefault="00A7651E" w:rsidP="00A7651E">
      <w:pPr>
        <w:pStyle w:val="Body"/>
        <w:rPr>
          <w:rFonts w:ascii="Arial" w:hAnsi="Arial" w:cs="Arial"/>
        </w:rPr>
      </w:pPr>
      <w:bookmarkStart w:id="16" w:name="_Hlk178251491"/>
      <w:r w:rsidRPr="00A7651E">
        <w:rPr>
          <w:rFonts w:ascii="Arial" w:hAnsi="Arial" w:cs="Arial"/>
        </w:rPr>
        <w:t>Prasad</w:t>
      </w:r>
      <w:bookmarkEnd w:id="16"/>
      <w:r w:rsidRPr="00A7651E">
        <w:rPr>
          <w:rFonts w:ascii="Arial" w:hAnsi="Arial" w:cs="Arial"/>
        </w:rPr>
        <w:t xml:space="preserve">, N., Thombare, N., Sharma, S., &amp; Kumar, S. (2022). Gum arabic – A versatile natural gum: A review on production, processing, properties and applications. </w:t>
      </w:r>
      <w:r w:rsidRPr="00A7651E">
        <w:rPr>
          <w:rFonts w:ascii="Arial" w:hAnsi="Arial" w:cs="Arial"/>
          <w:i/>
          <w:iCs/>
        </w:rPr>
        <w:t>Industrial Crops and Products</w:t>
      </w:r>
      <w:r w:rsidRPr="00A7651E">
        <w:rPr>
          <w:rFonts w:ascii="Arial" w:hAnsi="Arial" w:cs="Arial"/>
        </w:rPr>
        <w:t xml:space="preserve">, </w:t>
      </w:r>
      <w:r w:rsidRPr="00A7651E">
        <w:rPr>
          <w:rFonts w:ascii="Arial" w:hAnsi="Arial" w:cs="Arial"/>
          <w:i/>
          <w:iCs/>
        </w:rPr>
        <w:t>187</w:t>
      </w:r>
      <w:r w:rsidRPr="00A7651E">
        <w:rPr>
          <w:rFonts w:ascii="Arial" w:hAnsi="Arial" w:cs="Arial"/>
        </w:rPr>
        <w:t>, 115304. https://doi.org/10.1016/j.indcrop.2022.115304</w:t>
      </w:r>
    </w:p>
    <w:p w14:paraId="22100BF0" w14:textId="77777777" w:rsidR="00A7651E" w:rsidRPr="00A7651E" w:rsidRDefault="00A7651E" w:rsidP="00A7651E">
      <w:pPr>
        <w:pStyle w:val="Body"/>
        <w:rPr>
          <w:rFonts w:ascii="Arial" w:hAnsi="Arial" w:cs="Arial"/>
        </w:rPr>
      </w:pPr>
      <w:r w:rsidRPr="00A7651E">
        <w:rPr>
          <w:rFonts w:ascii="Arial" w:hAnsi="Arial" w:cs="Arial"/>
        </w:rPr>
        <w:t xml:space="preserve">Rahgozar, Mohammad &amp; Saberian, Mohammad &amp; Li, Jie. (2017). Soil stabilization with non-conventional eco-friendly agricultural waste materials: An experimental study. Transportation Geotechnics. 14. 10.1016/j.trgeo.2017.09.004. </w:t>
      </w:r>
    </w:p>
    <w:p w14:paraId="5CA6BBDF" w14:textId="77777777" w:rsidR="00A7651E" w:rsidRPr="00A7651E" w:rsidRDefault="00A7651E" w:rsidP="00A7651E">
      <w:pPr>
        <w:pStyle w:val="Body"/>
        <w:rPr>
          <w:rFonts w:ascii="Arial" w:hAnsi="Arial" w:cs="Arial"/>
        </w:rPr>
      </w:pPr>
      <w:bookmarkStart w:id="17" w:name="_Hlk176750294"/>
      <w:r w:rsidRPr="00A7651E">
        <w:rPr>
          <w:rFonts w:ascii="Arial" w:hAnsi="Arial" w:cs="Arial"/>
        </w:rPr>
        <w:t>Rimbarngaye</w:t>
      </w:r>
      <w:bookmarkEnd w:id="17"/>
      <w:r w:rsidRPr="00A7651E">
        <w:rPr>
          <w:rFonts w:ascii="Arial" w:hAnsi="Arial" w:cs="Arial"/>
        </w:rPr>
        <w:t xml:space="preserve">, A., Mwero, J. N., &amp; Ronoh, E. K. (2022). Effect of gum Arabic content on maximum dry density and optimum moisture content of laterite soil. </w:t>
      </w:r>
      <w:r w:rsidRPr="00A7651E">
        <w:rPr>
          <w:rFonts w:ascii="Arial" w:hAnsi="Arial" w:cs="Arial"/>
          <w:i/>
          <w:iCs/>
        </w:rPr>
        <w:t>Heliyon</w:t>
      </w:r>
      <w:r w:rsidRPr="00A7651E">
        <w:rPr>
          <w:rFonts w:ascii="Arial" w:hAnsi="Arial" w:cs="Arial"/>
        </w:rPr>
        <w:t xml:space="preserve">, </w:t>
      </w:r>
      <w:r w:rsidRPr="00A7651E">
        <w:rPr>
          <w:rFonts w:ascii="Arial" w:hAnsi="Arial" w:cs="Arial"/>
          <w:i/>
          <w:iCs/>
        </w:rPr>
        <w:t>8</w:t>
      </w:r>
      <w:r w:rsidRPr="00A7651E">
        <w:rPr>
          <w:rFonts w:ascii="Arial" w:hAnsi="Arial" w:cs="Arial"/>
        </w:rPr>
        <w:t>(11). https://doi.org/10.1016/j.heliyon.2022.e11553</w:t>
      </w:r>
    </w:p>
    <w:p w14:paraId="03823102" w14:textId="77777777" w:rsidR="00A7651E" w:rsidRPr="00A7651E" w:rsidRDefault="00A7651E" w:rsidP="00A7651E">
      <w:pPr>
        <w:pStyle w:val="Body"/>
        <w:rPr>
          <w:rFonts w:ascii="Arial" w:hAnsi="Arial" w:cs="Arial"/>
        </w:rPr>
      </w:pPr>
      <w:r w:rsidRPr="00A7651E">
        <w:rPr>
          <w:rFonts w:ascii="Arial" w:hAnsi="Arial" w:cs="Arial"/>
        </w:rPr>
        <w:t xml:space="preserve">Sánchez-Garrido, A. J., Navarro, I. J., &amp; Yepes, V. (2022). Evaluating the sustainability of soil improvement techniques in foundation substructures. </w:t>
      </w:r>
      <w:r w:rsidRPr="00A7651E">
        <w:rPr>
          <w:rFonts w:ascii="Arial" w:hAnsi="Arial" w:cs="Arial"/>
          <w:i/>
          <w:iCs/>
        </w:rPr>
        <w:t>Journal of Cleaner Production</w:t>
      </w:r>
      <w:r w:rsidRPr="00A7651E">
        <w:rPr>
          <w:rFonts w:ascii="Arial" w:hAnsi="Arial" w:cs="Arial"/>
        </w:rPr>
        <w:t xml:space="preserve">, </w:t>
      </w:r>
      <w:r w:rsidRPr="00A7651E">
        <w:rPr>
          <w:rFonts w:ascii="Arial" w:hAnsi="Arial" w:cs="Arial"/>
          <w:i/>
          <w:iCs/>
        </w:rPr>
        <w:t>351</w:t>
      </w:r>
      <w:r w:rsidRPr="00A7651E">
        <w:rPr>
          <w:rFonts w:ascii="Arial" w:hAnsi="Arial" w:cs="Arial"/>
        </w:rPr>
        <w:t>, 131463. https://doi.org/10.1016/j.jclepro.2022.131463</w:t>
      </w:r>
    </w:p>
    <w:p w14:paraId="349EC8C8" w14:textId="77777777" w:rsidR="00A7651E" w:rsidRPr="00A7651E" w:rsidRDefault="00A7651E" w:rsidP="00A7651E">
      <w:pPr>
        <w:pStyle w:val="Body"/>
        <w:rPr>
          <w:rFonts w:ascii="Arial" w:hAnsi="Arial" w:cs="Arial"/>
        </w:rPr>
      </w:pPr>
      <w:r w:rsidRPr="00A7651E">
        <w:rPr>
          <w:rFonts w:ascii="Arial" w:hAnsi="Arial" w:cs="Arial"/>
        </w:rPr>
        <w:t xml:space="preserve">Soldo, A., Miletić, M., &amp; Auad, M. L. (2020). Biopolymers as a sustainable solution for the enhancement of soil mechanical properties. </w:t>
      </w:r>
      <w:r w:rsidRPr="00A7651E">
        <w:rPr>
          <w:rFonts w:ascii="Arial" w:hAnsi="Arial" w:cs="Arial"/>
          <w:i/>
          <w:iCs/>
        </w:rPr>
        <w:t>Scientific Reports</w:t>
      </w:r>
      <w:r w:rsidRPr="00A7651E">
        <w:rPr>
          <w:rFonts w:ascii="Arial" w:hAnsi="Arial" w:cs="Arial"/>
        </w:rPr>
        <w:t xml:space="preserve">, </w:t>
      </w:r>
      <w:r w:rsidRPr="00A7651E">
        <w:rPr>
          <w:rFonts w:ascii="Arial" w:hAnsi="Arial" w:cs="Arial"/>
          <w:i/>
          <w:iCs/>
        </w:rPr>
        <w:t>10</w:t>
      </w:r>
      <w:r w:rsidRPr="00A7651E">
        <w:rPr>
          <w:rFonts w:ascii="Arial" w:hAnsi="Arial" w:cs="Arial"/>
        </w:rPr>
        <w:t>. https://doi.org/10.1038/s41598-019-57135-x</w:t>
      </w:r>
    </w:p>
    <w:p w14:paraId="4A897D31" w14:textId="77777777" w:rsidR="00A7651E" w:rsidRPr="00A7651E" w:rsidRDefault="00A7651E" w:rsidP="00A7651E">
      <w:pPr>
        <w:pStyle w:val="Body"/>
        <w:rPr>
          <w:rFonts w:ascii="Arial" w:hAnsi="Arial" w:cs="Arial"/>
        </w:rPr>
      </w:pPr>
      <w:r w:rsidRPr="00A7651E">
        <w:rPr>
          <w:rFonts w:ascii="Arial" w:hAnsi="Arial" w:cs="Arial"/>
        </w:rPr>
        <w:t xml:space="preserve">Surendra </w:t>
      </w:r>
      <w:bookmarkEnd w:id="12"/>
      <w:r w:rsidRPr="00A7651E">
        <w:rPr>
          <w:rFonts w:ascii="Arial" w:hAnsi="Arial" w:cs="Arial"/>
        </w:rPr>
        <w:t>Roy, Sanjeev Kumar Bhalla, Role of Geotechnical Properties of Soil on Civil Engineering Structures, </w:t>
      </w:r>
      <w:r w:rsidRPr="00A7651E">
        <w:rPr>
          <w:rFonts w:ascii="Arial" w:hAnsi="Arial" w:cs="Arial"/>
          <w:i/>
          <w:iCs/>
        </w:rPr>
        <w:t>Resources and Environment</w:t>
      </w:r>
      <w:r w:rsidRPr="00A7651E">
        <w:rPr>
          <w:rFonts w:ascii="Arial" w:hAnsi="Arial" w:cs="Arial"/>
        </w:rPr>
        <w:t xml:space="preserve">, Vol. 7 No. 4, 2017, pp. 103-109. doi: 10.5923/j.re.20170704.03. </w:t>
      </w:r>
    </w:p>
    <w:bookmarkEnd w:id="13"/>
    <w:p w14:paraId="1794A728" w14:textId="77777777" w:rsidR="00A7651E" w:rsidRPr="00A7651E" w:rsidRDefault="00A7651E" w:rsidP="00A7651E">
      <w:pPr>
        <w:pStyle w:val="Body"/>
        <w:rPr>
          <w:rFonts w:ascii="Arial" w:hAnsi="Arial" w:cs="Arial"/>
        </w:rPr>
      </w:pPr>
      <w:r w:rsidRPr="00A7651E">
        <w:rPr>
          <w:rFonts w:ascii="Arial" w:hAnsi="Arial" w:cs="Arial"/>
        </w:rPr>
        <w:t xml:space="preserve">Tracy, B. and Novak, A. (2023). (Internet Source): Cement industry accounts for about 8% of CO2 emissions. One startup seeks to change that || Available online: </w:t>
      </w:r>
      <w:hyperlink r:id="rId21" w:history="1">
        <w:r w:rsidRPr="00A7651E">
          <w:rPr>
            <w:rStyle w:val="Hyperlink"/>
            <w:rFonts w:ascii="Arial" w:hAnsi="Arial" w:cs="Arial"/>
          </w:rPr>
          <w:t>https://www.cbsnews.com/news/cement-industry-co2-emissions-climate-change-brimstone/</w:t>
        </w:r>
      </w:hyperlink>
      <w:r w:rsidRPr="00A7651E">
        <w:rPr>
          <w:rFonts w:ascii="Arial" w:hAnsi="Arial" w:cs="Arial"/>
        </w:rPr>
        <w:t xml:space="preserve"> [Assessed September 14</w:t>
      </w:r>
      <w:r w:rsidRPr="00A7651E">
        <w:rPr>
          <w:rFonts w:ascii="Arial" w:hAnsi="Arial" w:cs="Arial"/>
          <w:vertAlign w:val="superscript"/>
        </w:rPr>
        <w:t>th</w:t>
      </w:r>
      <w:r w:rsidRPr="00A7651E">
        <w:rPr>
          <w:rFonts w:ascii="Arial" w:hAnsi="Arial" w:cs="Arial"/>
        </w:rPr>
        <w:t>, 2024]</w:t>
      </w:r>
    </w:p>
    <w:p w14:paraId="3CDD61A7" w14:textId="77777777" w:rsidR="00A7651E" w:rsidRPr="00A7651E" w:rsidRDefault="00A7651E" w:rsidP="00A7651E">
      <w:pPr>
        <w:pStyle w:val="Body"/>
        <w:rPr>
          <w:rFonts w:ascii="Arial" w:hAnsi="Arial" w:cs="Arial"/>
        </w:rPr>
      </w:pPr>
      <w:r w:rsidRPr="00A7651E">
        <w:rPr>
          <w:rFonts w:ascii="Arial" w:hAnsi="Arial" w:cs="Arial"/>
        </w:rPr>
        <w:t xml:space="preserve">Tunç, U., Bagriacik, B., Aslan, H., Altay, G., Senol, A. (2022). Evaluation of Consolidation Results of Arabic Gum Added Natural Clay Soil. Çukurova Üniversitesi Mühendislik Fakültesi Dergisi. 37. 731-740. 10.21605/cukurovaumfd.1190348. </w:t>
      </w:r>
    </w:p>
    <w:p w14:paraId="13F81F62" w14:textId="77777777" w:rsidR="00A7651E" w:rsidRPr="00A7651E" w:rsidRDefault="00A7651E" w:rsidP="00A7651E">
      <w:pPr>
        <w:pStyle w:val="Body"/>
        <w:rPr>
          <w:rFonts w:ascii="Arial" w:hAnsi="Arial" w:cs="Arial"/>
        </w:rPr>
      </w:pPr>
      <w:r w:rsidRPr="00A7651E">
        <w:rPr>
          <w:rFonts w:ascii="Arial" w:hAnsi="Arial" w:cs="Arial"/>
        </w:rPr>
        <w:t xml:space="preserve">Verma, A. K., Prasad, A., &amp; Bonal, N. S. (2023). Investigation of the long-term shear strength behavior of municipal solid waste fines stabilized with biopolymer: An experimental study. </w:t>
      </w:r>
      <w:r w:rsidRPr="00A7651E">
        <w:rPr>
          <w:rFonts w:ascii="Arial" w:hAnsi="Arial" w:cs="Arial"/>
          <w:i/>
          <w:iCs/>
        </w:rPr>
        <w:t>Journal of Environmental Chemical Engineering</w:t>
      </w:r>
      <w:r w:rsidRPr="00A7651E">
        <w:rPr>
          <w:rFonts w:ascii="Arial" w:hAnsi="Arial" w:cs="Arial"/>
        </w:rPr>
        <w:t xml:space="preserve">, </w:t>
      </w:r>
      <w:r w:rsidRPr="00A7651E">
        <w:rPr>
          <w:rFonts w:ascii="Arial" w:hAnsi="Arial" w:cs="Arial"/>
          <w:i/>
          <w:iCs/>
        </w:rPr>
        <w:t>11</w:t>
      </w:r>
      <w:r w:rsidRPr="00A7651E">
        <w:rPr>
          <w:rFonts w:ascii="Arial" w:hAnsi="Arial" w:cs="Arial"/>
        </w:rPr>
        <w:t>(3), 109805. https://doi.org/10.1016/j.jece.2023.109805</w:t>
      </w:r>
    </w:p>
    <w:p w14:paraId="30D8B2AB" w14:textId="77777777" w:rsidR="00A7651E" w:rsidRPr="00A7651E" w:rsidRDefault="00A7651E" w:rsidP="00A7651E">
      <w:pPr>
        <w:pStyle w:val="Body"/>
        <w:rPr>
          <w:rFonts w:ascii="Arial" w:hAnsi="Arial" w:cs="Arial"/>
        </w:rPr>
      </w:pPr>
      <w:r w:rsidRPr="00A7651E">
        <w:rPr>
          <w:rFonts w:ascii="Arial" w:hAnsi="Arial" w:cs="Arial"/>
        </w:rPr>
        <w:lastRenderedPageBreak/>
        <w:t xml:space="preserve">Verma, H., Ray, A., Rai, R., Gupta, T., &amp; Mehta, N. (2021). Ground improvement using chemical methods: A review. </w:t>
      </w:r>
      <w:r w:rsidRPr="00A7651E">
        <w:rPr>
          <w:rFonts w:ascii="Arial" w:hAnsi="Arial" w:cs="Arial"/>
          <w:i/>
          <w:iCs/>
        </w:rPr>
        <w:t>Heliyon</w:t>
      </w:r>
      <w:r w:rsidRPr="00A7651E">
        <w:rPr>
          <w:rFonts w:ascii="Arial" w:hAnsi="Arial" w:cs="Arial"/>
        </w:rPr>
        <w:t xml:space="preserve">, </w:t>
      </w:r>
      <w:r w:rsidRPr="00A7651E">
        <w:rPr>
          <w:rFonts w:ascii="Arial" w:hAnsi="Arial" w:cs="Arial"/>
          <w:i/>
          <w:iCs/>
        </w:rPr>
        <w:t>7</w:t>
      </w:r>
      <w:r w:rsidRPr="00A7651E">
        <w:rPr>
          <w:rFonts w:ascii="Arial" w:hAnsi="Arial" w:cs="Arial"/>
        </w:rPr>
        <w:t xml:space="preserve">(7), e07678. </w:t>
      </w:r>
      <w:hyperlink r:id="rId22" w:history="1">
        <w:r w:rsidRPr="00A7651E">
          <w:rPr>
            <w:rStyle w:val="Hyperlink"/>
            <w:rFonts w:ascii="Arial" w:hAnsi="Arial" w:cs="Arial"/>
          </w:rPr>
          <w:t>https://doi.org/10.1016/j.heliyon.2021.e07678</w:t>
        </w:r>
      </w:hyperlink>
    </w:p>
    <w:p w14:paraId="044B0937" w14:textId="77777777" w:rsidR="00A7651E" w:rsidRPr="00A7651E" w:rsidRDefault="00A7651E" w:rsidP="00A7651E">
      <w:pPr>
        <w:pStyle w:val="Body"/>
        <w:rPr>
          <w:rFonts w:ascii="Arial" w:hAnsi="Arial" w:cs="Arial"/>
        </w:rPr>
      </w:pPr>
      <w:r w:rsidRPr="00A7651E">
        <w:rPr>
          <w:rFonts w:ascii="Arial" w:hAnsi="Arial" w:cs="Arial"/>
          <w:bCs/>
        </w:rPr>
        <w:t xml:space="preserve">Vishweshwaran, M., Sujatha, E. R., Rehman, A. U., &amp; Moghal, A. A. B. (2024). Efficacy of Acacia Gum Biopolymer in Strength Improvement of Silty and Clay Soils under Varying Curing Conditions. </w:t>
      </w:r>
      <w:r w:rsidRPr="00A7651E">
        <w:rPr>
          <w:rFonts w:ascii="Arial" w:hAnsi="Arial" w:cs="Arial"/>
          <w:bCs/>
          <w:i/>
          <w:iCs/>
        </w:rPr>
        <w:t>Polymers</w:t>
      </w:r>
      <w:r w:rsidRPr="00A7651E">
        <w:rPr>
          <w:rFonts w:ascii="Arial" w:hAnsi="Arial" w:cs="Arial"/>
          <w:bCs/>
        </w:rPr>
        <w:t xml:space="preserve">, </w:t>
      </w:r>
      <w:r w:rsidRPr="00A7651E">
        <w:rPr>
          <w:rFonts w:ascii="Arial" w:hAnsi="Arial" w:cs="Arial"/>
          <w:bCs/>
          <w:i/>
          <w:iCs/>
        </w:rPr>
        <w:t>16</w:t>
      </w:r>
      <w:r w:rsidRPr="00A7651E">
        <w:rPr>
          <w:rFonts w:ascii="Arial" w:hAnsi="Arial" w:cs="Arial"/>
          <w:bCs/>
        </w:rPr>
        <w:t xml:space="preserve">(19), 2831. </w:t>
      </w:r>
      <w:hyperlink r:id="rId23" w:history="1">
        <w:r w:rsidRPr="00A7651E">
          <w:rPr>
            <w:rStyle w:val="Hyperlink"/>
            <w:rFonts w:ascii="Arial" w:hAnsi="Arial" w:cs="Arial"/>
            <w:bCs/>
          </w:rPr>
          <w:t>https://doi.org/10.3390/polym16192831</w:t>
        </w:r>
      </w:hyperlink>
    </w:p>
    <w:p w14:paraId="4DAD3435" w14:textId="77777777" w:rsidR="00A7651E" w:rsidRPr="00A7651E" w:rsidRDefault="00A7651E" w:rsidP="00A7651E">
      <w:pPr>
        <w:pStyle w:val="Body"/>
        <w:rPr>
          <w:rFonts w:ascii="Arial" w:hAnsi="Arial" w:cs="Arial"/>
        </w:rPr>
      </w:pPr>
      <w:bookmarkStart w:id="18" w:name="_Hlk177174017"/>
      <w:r w:rsidRPr="00A7651E">
        <w:rPr>
          <w:rFonts w:ascii="Arial" w:hAnsi="Arial" w:cs="Arial"/>
        </w:rPr>
        <w:t>Wang</w:t>
      </w:r>
      <w:bookmarkEnd w:id="18"/>
      <w:r w:rsidRPr="00A7651E">
        <w:rPr>
          <w:rFonts w:ascii="Arial" w:hAnsi="Arial" w:cs="Arial"/>
        </w:rPr>
        <w:t xml:space="preserve">, Z., &amp; Li, Y. (2018). Efficacy of Natural Polymer Derivatives on Soil Physical Properties and Erosion on an Experimental Loess Hillslope. </w:t>
      </w:r>
      <w:r w:rsidRPr="00A7651E">
        <w:rPr>
          <w:rFonts w:ascii="Arial" w:hAnsi="Arial" w:cs="Arial"/>
          <w:i/>
          <w:iCs/>
        </w:rPr>
        <w:t>International Journal of Environmental Research and Public Health</w:t>
      </w:r>
      <w:r w:rsidRPr="00A7651E">
        <w:rPr>
          <w:rFonts w:ascii="Arial" w:hAnsi="Arial" w:cs="Arial"/>
        </w:rPr>
        <w:t xml:space="preserve">, </w:t>
      </w:r>
      <w:r w:rsidRPr="00A7651E">
        <w:rPr>
          <w:rFonts w:ascii="Arial" w:hAnsi="Arial" w:cs="Arial"/>
          <w:i/>
          <w:iCs/>
        </w:rPr>
        <w:t>15</w:t>
      </w:r>
      <w:r w:rsidRPr="00A7651E">
        <w:rPr>
          <w:rFonts w:ascii="Arial" w:hAnsi="Arial" w:cs="Arial"/>
        </w:rPr>
        <w:t>(1). https://doi.org/10.3390/ijerph15010009</w:t>
      </w:r>
    </w:p>
    <w:p w14:paraId="08B8BC0F" w14:textId="77777777" w:rsidR="00A7651E" w:rsidRPr="00A7651E" w:rsidRDefault="00A7651E" w:rsidP="00A7651E">
      <w:pPr>
        <w:pStyle w:val="Body"/>
        <w:rPr>
          <w:rFonts w:ascii="Arial" w:hAnsi="Arial" w:cs="Arial"/>
        </w:rPr>
      </w:pPr>
      <w:r w:rsidRPr="00A7651E">
        <w:rPr>
          <w:rFonts w:ascii="Arial" w:hAnsi="Arial" w:cs="Arial"/>
        </w:rPr>
        <w:t xml:space="preserve">Wanner, P. (2021). Plastic in agricultural soils – A global risk for groundwater systems and drinking water supplies? – A review. </w:t>
      </w:r>
      <w:r w:rsidRPr="00A7651E">
        <w:rPr>
          <w:rFonts w:ascii="Arial" w:hAnsi="Arial" w:cs="Arial"/>
          <w:i/>
          <w:iCs/>
        </w:rPr>
        <w:t>Chemosphere</w:t>
      </w:r>
      <w:r w:rsidRPr="00A7651E">
        <w:rPr>
          <w:rFonts w:ascii="Arial" w:hAnsi="Arial" w:cs="Arial"/>
        </w:rPr>
        <w:t xml:space="preserve">, </w:t>
      </w:r>
      <w:r w:rsidRPr="00A7651E">
        <w:rPr>
          <w:rFonts w:ascii="Arial" w:hAnsi="Arial" w:cs="Arial"/>
          <w:i/>
          <w:iCs/>
        </w:rPr>
        <w:t>264</w:t>
      </w:r>
      <w:r w:rsidRPr="00A7651E">
        <w:rPr>
          <w:rFonts w:ascii="Arial" w:hAnsi="Arial" w:cs="Arial"/>
        </w:rPr>
        <w:t>, 128453. https://doi.org/10.1016/j.chemosphere.2020.128453</w:t>
      </w:r>
    </w:p>
    <w:p w14:paraId="2E2E47BC" w14:textId="71095BC1" w:rsidR="00BD5618" w:rsidRPr="00A7651E" w:rsidRDefault="00A7651E" w:rsidP="00A7651E">
      <w:pPr>
        <w:pStyle w:val="Body"/>
        <w:rPr>
          <w:rFonts w:ascii="Arial" w:hAnsi="Arial" w:cs="Arial"/>
        </w:rPr>
      </w:pPr>
      <w:bookmarkStart w:id="19" w:name="_Hlk177173572"/>
      <w:r w:rsidRPr="00A7651E">
        <w:rPr>
          <w:rFonts w:ascii="Arial" w:hAnsi="Arial" w:cs="Arial"/>
        </w:rPr>
        <w:t>Ziani</w:t>
      </w:r>
      <w:bookmarkEnd w:id="19"/>
      <w:r w:rsidRPr="00A7651E">
        <w:rPr>
          <w:rFonts w:ascii="Arial" w:hAnsi="Arial" w:cs="Arial"/>
        </w:rPr>
        <w:t xml:space="preserve">, K., Ioniță-Mîndrican, B., Mititelu, M., Neacșu, S. M., Negrei, C., Moroșan, E., Drăgănescu, D., &amp; Preda, T. (2023). Microplastics: A Real Global Threat for Environment and Food Safety: A State of the Art Review. </w:t>
      </w:r>
      <w:r w:rsidRPr="00A7651E">
        <w:rPr>
          <w:rFonts w:ascii="Arial" w:hAnsi="Arial" w:cs="Arial"/>
          <w:i/>
          <w:iCs/>
        </w:rPr>
        <w:t>Nutrients</w:t>
      </w:r>
      <w:r w:rsidRPr="00A7651E">
        <w:rPr>
          <w:rFonts w:ascii="Arial" w:hAnsi="Arial" w:cs="Arial"/>
        </w:rPr>
        <w:t xml:space="preserve">, </w:t>
      </w:r>
      <w:r w:rsidRPr="00A7651E">
        <w:rPr>
          <w:rFonts w:ascii="Arial" w:hAnsi="Arial" w:cs="Arial"/>
          <w:i/>
          <w:iCs/>
        </w:rPr>
        <w:t>15</w:t>
      </w:r>
      <w:r w:rsidRPr="00A7651E">
        <w:rPr>
          <w:rFonts w:ascii="Arial" w:hAnsi="Arial" w:cs="Arial"/>
        </w:rPr>
        <w:t>(3). https://doi.org/10.3390/nu1503061</w:t>
      </w:r>
    </w:p>
    <w:sectPr w:rsidR="00BD5618" w:rsidRPr="00A7651E" w:rsidSect="008712CF">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DC3E" w14:textId="77777777" w:rsidR="00CC346A" w:rsidRDefault="00CC346A">
      <w:r>
        <w:separator/>
      </w:r>
    </w:p>
  </w:endnote>
  <w:endnote w:type="continuationSeparator" w:id="0">
    <w:p w14:paraId="34AC3E77" w14:textId="77777777" w:rsidR="00CC346A" w:rsidRDefault="00CC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43FA" w14:textId="77777777" w:rsidR="005D18AB" w:rsidRDefault="005D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369C" w14:textId="77777777" w:rsidR="005D18AB" w:rsidRDefault="005D1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C8AB" w14:textId="77777777" w:rsidR="00BD5618" w:rsidRDefault="00BD5618">
    <w:pPr>
      <w:pStyle w:val="Footer"/>
      <w:rPr>
        <w:rFonts w:ascii="Arial" w:hAnsi="Arial" w:cs="Arial"/>
        <w:sz w:val="16"/>
      </w:rPr>
    </w:pPr>
  </w:p>
  <w:p w14:paraId="2CAD1B11" w14:textId="77777777" w:rsidR="00BD5618" w:rsidRDefault="00BD561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F437F1" w14:textId="77777777" w:rsidR="00BD5618" w:rsidRDefault="00BD5618">
    <w:pPr>
      <w:pStyle w:val="Footer"/>
      <w:rPr>
        <w:rFonts w:ascii="Arial" w:hAnsi="Arial" w:cs="Arial"/>
        <w:sz w:val="16"/>
      </w:rPr>
    </w:pPr>
  </w:p>
  <w:p w14:paraId="3F12C715" w14:textId="77777777" w:rsidR="00BD5618" w:rsidRPr="009E048A" w:rsidRDefault="00BD561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9C96" w14:textId="77777777" w:rsidR="00BD5618" w:rsidRPr="00C37E61" w:rsidRDefault="00BD561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F899" w14:textId="77777777" w:rsidR="00CC346A" w:rsidRDefault="00CC346A">
      <w:r>
        <w:separator/>
      </w:r>
    </w:p>
  </w:footnote>
  <w:footnote w:type="continuationSeparator" w:id="0">
    <w:p w14:paraId="3A38854A" w14:textId="77777777" w:rsidR="00CC346A" w:rsidRDefault="00CC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E2C" w14:textId="671B7E4A" w:rsidR="005D18AB" w:rsidRDefault="00000000">
    <w:pPr>
      <w:pStyle w:val="Header"/>
    </w:pPr>
    <w:r>
      <w:rPr>
        <w:noProof/>
      </w:rPr>
      <w:pict w14:anchorId="5FDE1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E3F" w14:textId="446A6387" w:rsidR="005D18AB" w:rsidRDefault="00000000">
    <w:pPr>
      <w:pStyle w:val="Header"/>
    </w:pPr>
    <w:r>
      <w:rPr>
        <w:noProof/>
      </w:rPr>
      <w:pict w14:anchorId="062E9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72D4" w14:textId="242607E8" w:rsidR="00BD5618" w:rsidRPr="00296529" w:rsidRDefault="00000000" w:rsidP="00296529">
    <w:pPr>
      <w:ind w:left="2160"/>
      <w:jc w:val="center"/>
      <w:rPr>
        <w:rFonts w:ascii="Times New Roman" w:eastAsia="Calibri" w:hAnsi="Times New Roman"/>
        <w:i/>
        <w:sz w:val="18"/>
        <w:szCs w:val="22"/>
      </w:rPr>
    </w:pPr>
    <w:r>
      <w:rPr>
        <w:noProof/>
      </w:rPr>
      <w:pict w14:anchorId="23418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29E963" w14:textId="77777777" w:rsidR="00BD5618" w:rsidRPr="00296529" w:rsidRDefault="00BD561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EB418C" w14:textId="77777777" w:rsidR="00BD5618" w:rsidRPr="00296529" w:rsidRDefault="00BD561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3E75BE" w14:textId="77777777" w:rsidR="00BD5618" w:rsidRPr="00296529" w:rsidRDefault="00BD561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37EAB8" w14:textId="77777777" w:rsidR="00BD5618" w:rsidRDefault="00BD561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344F84" w14:textId="77777777" w:rsidR="00BD5618" w:rsidRDefault="00BD561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DB370B" w14:textId="77777777" w:rsidR="00BD5618" w:rsidRDefault="00BD561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CC7B" w14:textId="5AA0173B" w:rsidR="005D18AB" w:rsidRDefault="00000000">
    <w:pPr>
      <w:pStyle w:val="Header"/>
    </w:pPr>
    <w:r>
      <w:rPr>
        <w:noProof/>
      </w:rPr>
      <w:pict w14:anchorId="2046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3B41" w14:textId="1EA86E19" w:rsidR="005D18AB" w:rsidRDefault="00000000">
    <w:pPr>
      <w:pStyle w:val="Header"/>
    </w:pPr>
    <w:r>
      <w:rPr>
        <w:noProof/>
      </w:rPr>
      <w:pict w14:anchorId="22EAA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A69" w14:textId="1EA0E288" w:rsidR="005D18AB" w:rsidRDefault="00000000">
    <w:pPr>
      <w:pStyle w:val="Header"/>
    </w:pPr>
    <w:r>
      <w:rPr>
        <w:noProof/>
      </w:rPr>
      <w:pict w14:anchorId="3D4B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0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18"/>
    <w:rsid w:val="00005FA9"/>
    <w:rsid w:val="00006ECB"/>
    <w:rsid w:val="00110A6B"/>
    <w:rsid w:val="00192FC6"/>
    <w:rsid w:val="002E001A"/>
    <w:rsid w:val="00304842"/>
    <w:rsid w:val="00360C32"/>
    <w:rsid w:val="00454CD6"/>
    <w:rsid w:val="005D18AB"/>
    <w:rsid w:val="00647AA8"/>
    <w:rsid w:val="006536D8"/>
    <w:rsid w:val="006A2D1D"/>
    <w:rsid w:val="006F5EF1"/>
    <w:rsid w:val="006F6190"/>
    <w:rsid w:val="007F777A"/>
    <w:rsid w:val="0087027A"/>
    <w:rsid w:val="008712CF"/>
    <w:rsid w:val="00914844"/>
    <w:rsid w:val="009F0628"/>
    <w:rsid w:val="00A35EE8"/>
    <w:rsid w:val="00A7651E"/>
    <w:rsid w:val="00AD2A76"/>
    <w:rsid w:val="00AE5426"/>
    <w:rsid w:val="00AE738B"/>
    <w:rsid w:val="00B525F7"/>
    <w:rsid w:val="00B67A4C"/>
    <w:rsid w:val="00BC677C"/>
    <w:rsid w:val="00BD5618"/>
    <w:rsid w:val="00CC346A"/>
    <w:rsid w:val="00CD5913"/>
    <w:rsid w:val="00CF56A1"/>
    <w:rsid w:val="00D50D43"/>
    <w:rsid w:val="00DC3183"/>
    <w:rsid w:val="00E14C0D"/>
    <w:rsid w:val="00F6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D1CD"/>
  <w15:chartTrackingRefBased/>
  <w15:docId w15:val="{B9C0CB86-2E18-4FAB-A95C-52F3F832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18"/>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BD5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6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6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6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6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618"/>
    <w:rPr>
      <w:rFonts w:eastAsiaTheme="majorEastAsia" w:cstheme="majorBidi"/>
      <w:color w:val="272727" w:themeColor="text1" w:themeTint="D8"/>
    </w:rPr>
  </w:style>
  <w:style w:type="paragraph" w:styleId="Title">
    <w:name w:val="Title"/>
    <w:basedOn w:val="Normal"/>
    <w:next w:val="Normal"/>
    <w:link w:val="TitleChar"/>
    <w:uiPriority w:val="10"/>
    <w:qFormat/>
    <w:rsid w:val="00BD56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618"/>
    <w:pPr>
      <w:spacing w:before="160"/>
      <w:jc w:val="center"/>
    </w:pPr>
    <w:rPr>
      <w:i/>
      <w:iCs/>
      <w:color w:val="404040" w:themeColor="text1" w:themeTint="BF"/>
    </w:rPr>
  </w:style>
  <w:style w:type="character" w:customStyle="1" w:styleId="QuoteChar">
    <w:name w:val="Quote Char"/>
    <w:basedOn w:val="DefaultParagraphFont"/>
    <w:link w:val="Quote"/>
    <w:uiPriority w:val="29"/>
    <w:rsid w:val="00BD5618"/>
    <w:rPr>
      <w:i/>
      <w:iCs/>
      <w:color w:val="404040" w:themeColor="text1" w:themeTint="BF"/>
    </w:rPr>
  </w:style>
  <w:style w:type="paragraph" w:styleId="ListParagraph">
    <w:name w:val="List Paragraph"/>
    <w:basedOn w:val="Normal"/>
    <w:uiPriority w:val="34"/>
    <w:qFormat/>
    <w:rsid w:val="00BD5618"/>
    <w:pPr>
      <w:ind w:left="720"/>
      <w:contextualSpacing/>
    </w:pPr>
  </w:style>
  <w:style w:type="character" w:styleId="IntenseEmphasis">
    <w:name w:val="Intense Emphasis"/>
    <w:basedOn w:val="DefaultParagraphFont"/>
    <w:uiPriority w:val="21"/>
    <w:qFormat/>
    <w:rsid w:val="00BD5618"/>
    <w:rPr>
      <w:i/>
      <w:iCs/>
      <w:color w:val="0F4761" w:themeColor="accent1" w:themeShade="BF"/>
    </w:rPr>
  </w:style>
  <w:style w:type="paragraph" w:styleId="IntenseQuote">
    <w:name w:val="Intense Quote"/>
    <w:basedOn w:val="Normal"/>
    <w:next w:val="Normal"/>
    <w:link w:val="IntenseQuoteChar"/>
    <w:uiPriority w:val="30"/>
    <w:qFormat/>
    <w:rsid w:val="00BD5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618"/>
    <w:rPr>
      <w:i/>
      <w:iCs/>
      <w:color w:val="0F4761" w:themeColor="accent1" w:themeShade="BF"/>
    </w:rPr>
  </w:style>
  <w:style w:type="character" w:styleId="IntenseReference">
    <w:name w:val="Intense Reference"/>
    <w:basedOn w:val="DefaultParagraphFont"/>
    <w:uiPriority w:val="32"/>
    <w:qFormat/>
    <w:rsid w:val="00BD5618"/>
    <w:rPr>
      <w:b/>
      <w:bCs/>
      <w:smallCaps/>
      <w:color w:val="0F4761" w:themeColor="accent1" w:themeShade="BF"/>
      <w:spacing w:val="5"/>
    </w:rPr>
  </w:style>
  <w:style w:type="paragraph" w:customStyle="1" w:styleId="Author">
    <w:name w:val="Author"/>
    <w:basedOn w:val="Normal"/>
    <w:rsid w:val="00BD5618"/>
    <w:pPr>
      <w:spacing w:line="280" w:lineRule="exact"/>
      <w:jc w:val="right"/>
    </w:pPr>
    <w:rPr>
      <w:b/>
      <w:sz w:val="24"/>
    </w:rPr>
  </w:style>
  <w:style w:type="paragraph" w:customStyle="1" w:styleId="Affiliation">
    <w:name w:val="Affiliation"/>
    <w:basedOn w:val="Normal"/>
    <w:rsid w:val="00BD5618"/>
    <w:pPr>
      <w:spacing w:after="240" w:line="240" w:lineRule="exact"/>
      <w:jc w:val="right"/>
    </w:pPr>
  </w:style>
  <w:style w:type="paragraph" w:customStyle="1" w:styleId="Body">
    <w:name w:val="Body"/>
    <w:basedOn w:val="Normal"/>
    <w:rsid w:val="00BD5618"/>
    <w:pPr>
      <w:spacing w:after="240"/>
      <w:jc w:val="both"/>
    </w:pPr>
  </w:style>
  <w:style w:type="paragraph" w:customStyle="1" w:styleId="AbstHead">
    <w:name w:val="Abst Head"/>
    <w:basedOn w:val="Normal"/>
    <w:rsid w:val="00BD5618"/>
    <w:pPr>
      <w:keepNext/>
      <w:spacing w:after="240"/>
    </w:pPr>
    <w:rPr>
      <w:b/>
      <w:caps/>
      <w:sz w:val="22"/>
    </w:rPr>
  </w:style>
  <w:style w:type="paragraph" w:customStyle="1" w:styleId="ConcHead">
    <w:name w:val="Conc Head"/>
    <w:basedOn w:val="Normal"/>
    <w:rsid w:val="00BD5618"/>
    <w:pPr>
      <w:keepNext/>
      <w:spacing w:after="240"/>
    </w:pPr>
    <w:rPr>
      <w:b/>
      <w:caps/>
      <w:sz w:val="22"/>
    </w:rPr>
  </w:style>
  <w:style w:type="paragraph" w:customStyle="1" w:styleId="AcknHead">
    <w:name w:val="Ackn Head"/>
    <w:basedOn w:val="Normal"/>
    <w:rsid w:val="00BD5618"/>
    <w:pPr>
      <w:keepNext/>
      <w:spacing w:after="240"/>
    </w:pPr>
    <w:rPr>
      <w:b/>
      <w:caps/>
      <w:sz w:val="22"/>
    </w:rPr>
  </w:style>
  <w:style w:type="paragraph" w:customStyle="1" w:styleId="ReferHead">
    <w:name w:val="Refer Head"/>
    <w:basedOn w:val="Normal"/>
    <w:rsid w:val="00BD5618"/>
    <w:pPr>
      <w:keepNext/>
      <w:spacing w:after="240"/>
    </w:pPr>
    <w:rPr>
      <w:b/>
      <w:caps/>
      <w:sz w:val="22"/>
    </w:rPr>
  </w:style>
  <w:style w:type="paragraph" w:customStyle="1" w:styleId="Copyright">
    <w:name w:val="Copyright"/>
    <w:basedOn w:val="Normal"/>
    <w:rsid w:val="00BD5618"/>
    <w:pPr>
      <w:spacing w:after="960" w:line="200" w:lineRule="exact"/>
    </w:pPr>
    <w:rPr>
      <w:sz w:val="16"/>
    </w:rPr>
  </w:style>
  <w:style w:type="paragraph" w:customStyle="1" w:styleId="Head1">
    <w:name w:val="Head1"/>
    <w:basedOn w:val="Normal"/>
    <w:rsid w:val="00BD5618"/>
    <w:pPr>
      <w:keepNext/>
      <w:spacing w:after="240"/>
    </w:pPr>
    <w:rPr>
      <w:b/>
      <w:caps/>
      <w:sz w:val="22"/>
    </w:rPr>
  </w:style>
  <w:style w:type="paragraph" w:customStyle="1" w:styleId="Appendix">
    <w:name w:val="Appendix"/>
    <w:basedOn w:val="Normal"/>
    <w:rsid w:val="00BD5618"/>
    <w:pPr>
      <w:keepNext/>
      <w:spacing w:after="240"/>
    </w:pPr>
    <w:rPr>
      <w:b/>
      <w:caps/>
      <w:sz w:val="22"/>
    </w:rPr>
  </w:style>
  <w:style w:type="paragraph" w:styleId="Footer">
    <w:name w:val="footer"/>
    <w:basedOn w:val="Normal"/>
    <w:link w:val="FooterChar"/>
    <w:rsid w:val="00BD5618"/>
    <w:pPr>
      <w:tabs>
        <w:tab w:val="center" w:pos="4320"/>
        <w:tab w:val="right" w:pos="8640"/>
      </w:tabs>
    </w:pPr>
  </w:style>
  <w:style w:type="character" w:customStyle="1" w:styleId="FooterChar">
    <w:name w:val="Footer Char"/>
    <w:basedOn w:val="DefaultParagraphFont"/>
    <w:link w:val="Footer"/>
    <w:rsid w:val="00BD5618"/>
    <w:rPr>
      <w:rFonts w:ascii="Helvetica" w:eastAsia="Times New Roman" w:hAnsi="Helvetica" w:cs="Times New Roman"/>
      <w:kern w:val="0"/>
      <w:sz w:val="20"/>
      <w:szCs w:val="20"/>
      <w14:ligatures w14:val="none"/>
    </w:rPr>
  </w:style>
  <w:style w:type="paragraph" w:styleId="Header">
    <w:name w:val="header"/>
    <w:basedOn w:val="Normal"/>
    <w:link w:val="HeaderChar"/>
    <w:rsid w:val="00BD5618"/>
    <w:pPr>
      <w:tabs>
        <w:tab w:val="center" w:pos="4320"/>
        <w:tab w:val="right" w:pos="8640"/>
      </w:tabs>
    </w:pPr>
  </w:style>
  <w:style w:type="character" w:customStyle="1" w:styleId="HeaderChar">
    <w:name w:val="Header Char"/>
    <w:basedOn w:val="DefaultParagraphFont"/>
    <w:link w:val="Header"/>
    <w:rsid w:val="00BD5618"/>
    <w:rPr>
      <w:rFonts w:ascii="Helvetica" w:eastAsia="Times New Roman" w:hAnsi="Helvetica" w:cs="Times New Roman"/>
      <w:kern w:val="0"/>
      <w:sz w:val="20"/>
      <w:szCs w:val="20"/>
      <w14:ligatures w14:val="none"/>
    </w:rPr>
  </w:style>
  <w:style w:type="character" w:styleId="Hyperlink">
    <w:name w:val="Hyperlink"/>
    <w:basedOn w:val="DefaultParagraphFont"/>
    <w:rsid w:val="00BD5618"/>
    <w:rPr>
      <w:color w:val="FF0080"/>
      <w:u w:val="single"/>
    </w:rPr>
  </w:style>
  <w:style w:type="paragraph" w:customStyle="1" w:styleId="Institution">
    <w:name w:val="Institution"/>
    <w:basedOn w:val="Normal"/>
    <w:rsid w:val="00BD5618"/>
    <w:pPr>
      <w:autoSpaceDE w:val="0"/>
      <w:autoSpaceDN w:val="0"/>
      <w:adjustRightInd w:val="0"/>
      <w:spacing w:after="48"/>
      <w:ind w:firstLine="284"/>
      <w:jc w:val="center"/>
    </w:pPr>
    <w:rPr>
      <w:rFonts w:ascii="Verdana" w:hAnsi="Verdana" w:cs="AdvTT50a2f13e.I"/>
      <w:i/>
      <w:sz w:val="16"/>
      <w:szCs w:val="16"/>
    </w:rPr>
  </w:style>
  <w:style w:type="paragraph" w:styleId="NoSpacing">
    <w:name w:val="No Spacing"/>
    <w:uiPriority w:val="1"/>
    <w:qFormat/>
    <w:rsid w:val="00BD5618"/>
    <w:pPr>
      <w:spacing w:after="0" w:line="240" w:lineRule="auto"/>
    </w:pPr>
    <w:rPr>
      <w:rFonts w:ascii="Calibri" w:eastAsia="Calibri" w:hAnsi="Calibri" w:cs="SimSun"/>
      <w:kern w:val="0"/>
      <w:sz w:val="22"/>
      <w:szCs w:val="22"/>
      <w14:ligatures w14:val="none"/>
    </w:rPr>
  </w:style>
  <w:style w:type="table" w:styleId="PlainTable2">
    <w:name w:val="Plain Table 2"/>
    <w:basedOn w:val="TableNormal"/>
    <w:uiPriority w:val="42"/>
    <w:rsid w:val="00BD5618"/>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BD5618"/>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BD5618"/>
  </w:style>
  <w:style w:type="character" w:customStyle="1" w:styleId="UnresolvedMention1">
    <w:name w:val="Unresolved Mention1"/>
    <w:basedOn w:val="DefaultParagraphFont"/>
    <w:uiPriority w:val="99"/>
    <w:semiHidden/>
    <w:unhideWhenUsed/>
    <w:rsid w:val="00BC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doi.org/10.1016/j.rcradv.2022.200084" TargetMode="Externa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hyperlink" Target="https://www.cbsnews.com/news/cement-industry-co2-emissions-climate-change-brimstone/" TargetMode="Externa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hyperlink" Target="http://dx.doi.org/10.4236/gm.2011.1301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hyperlink" Target="https://doi.org/10.3390/polym16192831"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doi.org/10.3390/su12020459"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doi.org/10.1016/j.heliyon.2021.e07678" TargetMode="External"/><Relationship Id="rId27" Type="http://schemas.openxmlformats.org/officeDocument/2006/relationships/header" Target="header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PANAMA%20&amp;%20EBEDE\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PANAMA%20&amp;%20EBEDE\GRAPHS.xlsx"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Sheet1!$B$8:$B$18</c:f>
              <c:numCache>
                <c:formatCode>General</c:formatCode>
                <c:ptCount val="11"/>
                <c:pt idx="0">
                  <c:v>12.5</c:v>
                </c:pt>
                <c:pt idx="1">
                  <c:v>9.5</c:v>
                </c:pt>
                <c:pt idx="2">
                  <c:v>4.75</c:v>
                </c:pt>
                <c:pt idx="3">
                  <c:v>2.36</c:v>
                </c:pt>
                <c:pt idx="4">
                  <c:v>1.18</c:v>
                </c:pt>
                <c:pt idx="5">
                  <c:v>0.85</c:v>
                </c:pt>
                <c:pt idx="6">
                  <c:v>0.6</c:v>
                </c:pt>
                <c:pt idx="7">
                  <c:v>0.42499999999999999</c:v>
                </c:pt>
                <c:pt idx="8">
                  <c:v>0.3</c:v>
                </c:pt>
                <c:pt idx="9">
                  <c:v>0.15</c:v>
                </c:pt>
                <c:pt idx="10">
                  <c:v>7.4999999999999997E-2</c:v>
                </c:pt>
              </c:numCache>
            </c:numRef>
          </c:xVal>
          <c:yVal>
            <c:numRef>
              <c:f>Sheet1!$C$8:$C$18</c:f>
              <c:numCache>
                <c:formatCode>General</c:formatCode>
                <c:ptCount val="11"/>
                <c:pt idx="0">
                  <c:v>100</c:v>
                </c:pt>
                <c:pt idx="1">
                  <c:v>99.13</c:v>
                </c:pt>
                <c:pt idx="2">
                  <c:v>91.77</c:v>
                </c:pt>
                <c:pt idx="3">
                  <c:v>78.41</c:v>
                </c:pt>
                <c:pt idx="4">
                  <c:v>61.49</c:v>
                </c:pt>
                <c:pt idx="5">
                  <c:v>48.34</c:v>
                </c:pt>
                <c:pt idx="6">
                  <c:v>31.98</c:v>
                </c:pt>
                <c:pt idx="7">
                  <c:v>19.170000000000002</c:v>
                </c:pt>
                <c:pt idx="8">
                  <c:v>12.09</c:v>
                </c:pt>
                <c:pt idx="9">
                  <c:v>5.9</c:v>
                </c:pt>
                <c:pt idx="10">
                  <c:v>3.46</c:v>
                </c:pt>
              </c:numCache>
            </c:numRef>
          </c:yVal>
          <c:smooth val="1"/>
          <c:extLst>
            <c:ext xmlns:c16="http://schemas.microsoft.com/office/drawing/2014/chart" uri="{C3380CC4-5D6E-409C-BE32-E72D297353CC}">
              <c16:uniqueId val="{00000000-30B2-4744-8C1E-67330429C680}"/>
            </c:ext>
          </c:extLst>
        </c:ser>
        <c:dLbls>
          <c:showLegendKey val="0"/>
          <c:showVal val="0"/>
          <c:showCatName val="0"/>
          <c:showSerName val="0"/>
          <c:showPercent val="0"/>
          <c:showBubbleSize val="0"/>
        </c:dLbls>
        <c:axId val="300478304"/>
        <c:axId val="300479872"/>
      </c:scatterChart>
      <c:valAx>
        <c:axId val="300478304"/>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No of Sieve</a:t>
                </a:r>
                <a:endParaRPr lang="en-US" sz="7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79872"/>
        <c:crosses val="autoZero"/>
        <c:crossBetween val="midCat"/>
      </c:valAx>
      <c:valAx>
        <c:axId val="30047987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 Passing</a:t>
                </a:r>
                <a:endParaRPr lang="en-US" sz="7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78304"/>
        <c:crossesAt val="1.0000000000000002E-2"/>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Sample A</a:t>
            </a:r>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Sheet1!$AB$9:$AE$9</c:f>
              <c:numCache>
                <c:formatCode>General</c:formatCode>
                <c:ptCount val="4"/>
                <c:pt idx="0">
                  <c:v>7.64</c:v>
                </c:pt>
                <c:pt idx="1">
                  <c:v>11.17</c:v>
                </c:pt>
                <c:pt idx="2">
                  <c:v>13.45</c:v>
                </c:pt>
                <c:pt idx="3">
                  <c:v>23.29</c:v>
                </c:pt>
              </c:numCache>
            </c:numRef>
          </c:xVal>
          <c:yVal>
            <c:numRef>
              <c:f>Sheet1!$AB$10:$AE$10</c:f>
              <c:numCache>
                <c:formatCode>General</c:formatCode>
                <c:ptCount val="4"/>
                <c:pt idx="0">
                  <c:v>1848.8</c:v>
                </c:pt>
                <c:pt idx="1">
                  <c:v>1880</c:v>
                </c:pt>
                <c:pt idx="2">
                  <c:v>1912.7</c:v>
                </c:pt>
                <c:pt idx="3">
                  <c:v>1816.9</c:v>
                </c:pt>
              </c:numCache>
            </c:numRef>
          </c:yVal>
          <c:smooth val="1"/>
          <c:extLst>
            <c:ext xmlns:c16="http://schemas.microsoft.com/office/drawing/2014/chart" uri="{C3380CC4-5D6E-409C-BE32-E72D297353CC}">
              <c16:uniqueId val="{00000000-7416-4435-B001-C9A8FCBE13A6}"/>
            </c:ext>
          </c:extLst>
        </c:ser>
        <c:dLbls>
          <c:showLegendKey val="0"/>
          <c:showVal val="0"/>
          <c:showCatName val="0"/>
          <c:showSerName val="0"/>
          <c:showPercent val="0"/>
          <c:showBubbleSize val="0"/>
        </c:dLbls>
        <c:axId val="300477520"/>
        <c:axId val="300477128"/>
      </c:scatterChart>
      <c:valAx>
        <c:axId val="30047752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vert="horz"/>
              <a:lstStyle/>
              <a:p>
                <a:pPr>
                  <a:defRPr/>
                </a:pPr>
                <a:r>
                  <a:rPr lang="en-US"/>
                  <a:t>Moisture Content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7128"/>
        <c:crosses val="autoZero"/>
        <c:crossBetween val="midCat"/>
      </c:valAx>
      <c:valAx>
        <c:axId val="300477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Dry Density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7520"/>
        <c:crossesAt val="0"/>
        <c:crossBetween val="midCat"/>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Sample B</a:t>
            </a:r>
          </a:p>
        </c:rich>
      </c:tx>
      <c:overlay val="0"/>
      <c:spPr>
        <a:noFill/>
        <a:ln>
          <a:noFill/>
        </a:ln>
        <a:effectLst/>
      </c:spPr>
    </c:title>
    <c:autoTitleDeleted val="0"/>
    <c:plotArea>
      <c:layout/>
      <c:scatterChart>
        <c:scatterStyle val="smoothMarker"/>
        <c:varyColors val="0"/>
        <c:ser>
          <c:idx val="0"/>
          <c:order val="0"/>
          <c:tx>
            <c:strRef>
              <c:f>Sheet1!$I$9</c:f>
              <c:strCache>
                <c:ptCount val="1"/>
                <c:pt idx="0">
                  <c:v>DD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Sheet1!$J$8:$M$8</c:f>
              <c:numCache>
                <c:formatCode>General</c:formatCode>
                <c:ptCount val="4"/>
                <c:pt idx="0">
                  <c:v>15.13</c:v>
                </c:pt>
                <c:pt idx="1">
                  <c:v>16.75</c:v>
                </c:pt>
                <c:pt idx="2">
                  <c:v>23.55</c:v>
                </c:pt>
                <c:pt idx="3">
                  <c:v>24.4</c:v>
                </c:pt>
              </c:numCache>
            </c:numRef>
          </c:xVal>
          <c:yVal>
            <c:numRef>
              <c:f>Sheet1!$J$9:$M$9</c:f>
              <c:numCache>
                <c:formatCode>General</c:formatCode>
                <c:ptCount val="4"/>
                <c:pt idx="0">
                  <c:v>1499.5</c:v>
                </c:pt>
                <c:pt idx="1">
                  <c:v>1633.9</c:v>
                </c:pt>
                <c:pt idx="2">
                  <c:v>1561.5</c:v>
                </c:pt>
                <c:pt idx="3">
                  <c:v>1484.9</c:v>
                </c:pt>
              </c:numCache>
            </c:numRef>
          </c:yVal>
          <c:smooth val="1"/>
          <c:extLst>
            <c:ext xmlns:c16="http://schemas.microsoft.com/office/drawing/2014/chart" uri="{C3380CC4-5D6E-409C-BE32-E72D297353CC}">
              <c16:uniqueId val="{00000000-18F2-4F19-BF7D-BDEA9F8DB7A6}"/>
            </c:ext>
          </c:extLst>
        </c:ser>
        <c:dLbls>
          <c:showLegendKey val="0"/>
          <c:showVal val="0"/>
          <c:showCatName val="0"/>
          <c:showSerName val="0"/>
          <c:showPercent val="0"/>
          <c:showBubbleSize val="0"/>
        </c:dLbls>
        <c:axId val="300476344"/>
        <c:axId val="300475952"/>
      </c:scatterChart>
      <c:valAx>
        <c:axId val="30047634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vert="horz"/>
              <a:lstStyle/>
              <a:p>
                <a:pPr>
                  <a:defRPr/>
                </a:pPr>
                <a:r>
                  <a:rPr lang="en-US"/>
                  <a:t>Moistue Content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5952"/>
        <c:crosses val="autoZero"/>
        <c:crossBetween val="midCat"/>
        <c:majorUnit val="1"/>
      </c:valAx>
      <c:valAx>
        <c:axId val="3004759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Dry Density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00476344"/>
        <c:crosses val="autoZero"/>
        <c:crossBetween val="midCat"/>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Strength of Soil Samples</a:t>
            </a: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275033802592857"/>
          <c:y val="0.12497031621047369"/>
          <c:w val="0.70196420276307425"/>
          <c:h val="0.68189132608423952"/>
        </c:manualLayout>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Sheet1!$A$2:$A$3</c:f>
              <c:strCache>
                <c:ptCount val="2"/>
                <c:pt idx="0">
                  <c:v>Sample A</c:v>
                </c:pt>
                <c:pt idx="1">
                  <c:v>Sample B</c:v>
                </c:pt>
              </c:strCache>
            </c:strRef>
          </c:cat>
          <c:val>
            <c:numRef>
              <c:f>Sheet1!$B$2:$B$3</c:f>
              <c:numCache>
                <c:formatCode>General</c:formatCode>
                <c:ptCount val="2"/>
                <c:pt idx="0">
                  <c:v>173.86</c:v>
                </c:pt>
                <c:pt idx="1">
                  <c:v>248.19</c:v>
                </c:pt>
              </c:numCache>
            </c:numRef>
          </c:val>
          <c:extLst>
            <c:ext xmlns:c16="http://schemas.microsoft.com/office/drawing/2014/chart" uri="{C3380CC4-5D6E-409C-BE32-E72D297353CC}">
              <c16:uniqueId val="{00000000-876C-4507-B90B-7C3734E150B1}"/>
            </c:ext>
          </c:extLst>
        </c:ser>
        <c:ser>
          <c:idx val="1"/>
          <c:order val="1"/>
          <c:tx>
            <c:strRef>
              <c:f>Sheet1!$C$1</c:f>
              <c:strCache>
                <c:ptCount val="1"/>
                <c:pt idx="0">
                  <c:v>0.20%</c:v>
                </c:pt>
              </c:strCache>
            </c:strRef>
          </c:tx>
          <c:spPr>
            <a:solidFill>
              <a:schemeClr val="accent2"/>
            </a:solidFill>
            <a:ln>
              <a:noFill/>
            </a:ln>
            <a:effectLst/>
          </c:spPr>
          <c:invertIfNegative val="0"/>
          <c:cat>
            <c:strRef>
              <c:f>Sheet1!$A$2:$A$3</c:f>
              <c:strCache>
                <c:ptCount val="2"/>
                <c:pt idx="0">
                  <c:v>Sample A</c:v>
                </c:pt>
                <c:pt idx="1">
                  <c:v>Sample B</c:v>
                </c:pt>
              </c:strCache>
            </c:strRef>
          </c:cat>
          <c:val>
            <c:numRef>
              <c:f>Sheet1!$C$2:$C$3</c:f>
              <c:numCache>
                <c:formatCode>General</c:formatCode>
                <c:ptCount val="2"/>
                <c:pt idx="0">
                  <c:v>181.172</c:v>
                </c:pt>
                <c:pt idx="1">
                  <c:v>268.02999999999997</c:v>
                </c:pt>
              </c:numCache>
            </c:numRef>
          </c:val>
          <c:extLst>
            <c:ext xmlns:c16="http://schemas.microsoft.com/office/drawing/2014/chart" uri="{C3380CC4-5D6E-409C-BE32-E72D297353CC}">
              <c16:uniqueId val="{00000001-876C-4507-B90B-7C3734E150B1}"/>
            </c:ext>
          </c:extLst>
        </c:ser>
        <c:ser>
          <c:idx val="2"/>
          <c:order val="2"/>
          <c:tx>
            <c:strRef>
              <c:f>Sheet1!$D$1</c:f>
              <c:strCache>
                <c:ptCount val="1"/>
                <c:pt idx="0">
                  <c:v>0.40%</c:v>
                </c:pt>
              </c:strCache>
            </c:strRef>
          </c:tx>
          <c:spPr>
            <a:solidFill>
              <a:schemeClr val="accent3"/>
            </a:solidFill>
            <a:ln>
              <a:noFill/>
            </a:ln>
            <a:effectLst/>
          </c:spPr>
          <c:invertIfNegative val="0"/>
          <c:cat>
            <c:strRef>
              <c:f>Sheet1!$A$2:$A$3</c:f>
              <c:strCache>
                <c:ptCount val="2"/>
                <c:pt idx="0">
                  <c:v>Sample A</c:v>
                </c:pt>
                <c:pt idx="1">
                  <c:v>Sample B</c:v>
                </c:pt>
              </c:strCache>
            </c:strRef>
          </c:cat>
          <c:val>
            <c:numRef>
              <c:f>Sheet1!$D$2:$D$3</c:f>
              <c:numCache>
                <c:formatCode>General</c:formatCode>
                <c:ptCount val="2"/>
                <c:pt idx="0">
                  <c:v>212.4</c:v>
                </c:pt>
                <c:pt idx="1">
                  <c:v>275.49</c:v>
                </c:pt>
              </c:numCache>
            </c:numRef>
          </c:val>
          <c:extLst>
            <c:ext xmlns:c16="http://schemas.microsoft.com/office/drawing/2014/chart" uri="{C3380CC4-5D6E-409C-BE32-E72D297353CC}">
              <c16:uniqueId val="{00000002-876C-4507-B90B-7C3734E150B1}"/>
            </c:ext>
          </c:extLst>
        </c:ser>
        <c:ser>
          <c:idx val="3"/>
          <c:order val="3"/>
          <c:tx>
            <c:strRef>
              <c:f>Sheet1!$E$1</c:f>
              <c:strCache>
                <c:ptCount val="1"/>
                <c:pt idx="0">
                  <c:v>0.70%</c:v>
                </c:pt>
              </c:strCache>
            </c:strRef>
          </c:tx>
          <c:spPr>
            <a:solidFill>
              <a:schemeClr val="accent4"/>
            </a:solidFill>
            <a:ln>
              <a:noFill/>
            </a:ln>
            <a:effectLst/>
          </c:spPr>
          <c:invertIfNegative val="0"/>
          <c:cat>
            <c:strRef>
              <c:f>Sheet1!$A$2:$A$3</c:f>
              <c:strCache>
                <c:ptCount val="2"/>
                <c:pt idx="0">
                  <c:v>Sample A</c:v>
                </c:pt>
                <c:pt idx="1">
                  <c:v>Sample B</c:v>
                </c:pt>
              </c:strCache>
            </c:strRef>
          </c:cat>
          <c:val>
            <c:numRef>
              <c:f>Sheet1!$E$2:$E$3</c:f>
              <c:numCache>
                <c:formatCode>General</c:formatCode>
                <c:ptCount val="2"/>
                <c:pt idx="0">
                  <c:v>238.54</c:v>
                </c:pt>
                <c:pt idx="1">
                  <c:v>292.75</c:v>
                </c:pt>
              </c:numCache>
            </c:numRef>
          </c:val>
          <c:extLst>
            <c:ext xmlns:c16="http://schemas.microsoft.com/office/drawing/2014/chart" uri="{C3380CC4-5D6E-409C-BE32-E72D297353CC}">
              <c16:uniqueId val="{00000003-876C-4507-B90B-7C3734E150B1}"/>
            </c:ext>
          </c:extLst>
        </c:ser>
        <c:ser>
          <c:idx val="4"/>
          <c:order val="4"/>
          <c:tx>
            <c:strRef>
              <c:f>Sheet1!$F$1</c:f>
              <c:strCache>
                <c:ptCount val="1"/>
                <c:pt idx="0">
                  <c:v>0.80%</c:v>
                </c:pt>
              </c:strCache>
            </c:strRef>
          </c:tx>
          <c:spPr>
            <a:solidFill>
              <a:schemeClr val="accent5"/>
            </a:solidFill>
            <a:ln>
              <a:noFill/>
            </a:ln>
            <a:effectLst/>
          </c:spPr>
          <c:invertIfNegative val="0"/>
          <c:cat>
            <c:strRef>
              <c:f>Sheet1!$A$2:$A$3</c:f>
              <c:strCache>
                <c:ptCount val="2"/>
                <c:pt idx="0">
                  <c:v>Sample A</c:v>
                </c:pt>
                <c:pt idx="1">
                  <c:v>Sample B</c:v>
                </c:pt>
              </c:strCache>
            </c:strRef>
          </c:cat>
          <c:val>
            <c:numRef>
              <c:f>Sheet1!$F$2:$F$3</c:f>
              <c:numCache>
                <c:formatCode>General</c:formatCode>
                <c:ptCount val="2"/>
                <c:pt idx="0">
                  <c:v>207.35</c:v>
                </c:pt>
                <c:pt idx="1">
                  <c:v>250.63</c:v>
                </c:pt>
              </c:numCache>
            </c:numRef>
          </c:val>
          <c:extLst>
            <c:ext xmlns:c16="http://schemas.microsoft.com/office/drawing/2014/chart" uri="{C3380CC4-5D6E-409C-BE32-E72D297353CC}">
              <c16:uniqueId val="{00000004-876C-4507-B90B-7C3734E150B1}"/>
            </c:ext>
          </c:extLst>
        </c:ser>
        <c:ser>
          <c:idx val="5"/>
          <c:order val="5"/>
          <c:tx>
            <c:strRef>
              <c:f>Sheet1!$G$1</c:f>
              <c:strCache>
                <c:ptCount val="1"/>
                <c:pt idx="0">
                  <c:v>1.00%</c:v>
                </c:pt>
              </c:strCache>
            </c:strRef>
          </c:tx>
          <c:spPr>
            <a:solidFill>
              <a:schemeClr val="accent6"/>
            </a:solidFill>
            <a:ln>
              <a:noFill/>
            </a:ln>
            <a:effectLst/>
          </c:spPr>
          <c:invertIfNegative val="0"/>
          <c:cat>
            <c:strRef>
              <c:f>Sheet1!$A$2:$A$3</c:f>
              <c:strCache>
                <c:ptCount val="2"/>
                <c:pt idx="0">
                  <c:v>Sample A</c:v>
                </c:pt>
                <c:pt idx="1">
                  <c:v>Sample B</c:v>
                </c:pt>
              </c:strCache>
            </c:strRef>
          </c:cat>
          <c:val>
            <c:numRef>
              <c:f>Sheet1!$G$2:$G$3</c:f>
              <c:numCache>
                <c:formatCode>General</c:formatCode>
                <c:ptCount val="2"/>
                <c:pt idx="0">
                  <c:v>193.91</c:v>
                </c:pt>
                <c:pt idx="1">
                  <c:v>238.68</c:v>
                </c:pt>
              </c:numCache>
            </c:numRef>
          </c:val>
          <c:extLst>
            <c:ext xmlns:c16="http://schemas.microsoft.com/office/drawing/2014/chart" uri="{C3380CC4-5D6E-409C-BE32-E72D297353CC}">
              <c16:uniqueId val="{00000005-876C-4507-B90B-7C3734E150B1}"/>
            </c:ext>
          </c:extLst>
        </c:ser>
        <c:dLbls>
          <c:showLegendKey val="0"/>
          <c:showVal val="0"/>
          <c:showCatName val="0"/>
          <c:showSerName val="0"/>
          <c:showPercent val="0"/>
          <c:showBubbleSize val="0"/>
        </c:dLbls>
        <c:gapWidth val="219"/>
        <c:overlap val="-27"/>
        <c:axId val="844438816"/>
        <c:axId val="844458016"/>
      </c:barChart>
      <c:catAx>
        <c:axId val="844438816"/>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Dosage of Gum Arabic</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4458016"/>
        <c:crosses val="autoZero"/>
        <c:auto val="1"/>
        <c:lblAlgn val="ctr"/>
        <c:lblOffset val="100"/>
        <c:noMultiLvlLbl val="0"/>
      </c:catAx>
      <c:valAx>
        <c:axId val="844458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strength  (kN/m2) </a:t>
                </a:r>
              </a:p>
            </c:rich>
          </c:tx>
          <c:layout>
            <c:manualLayout>
              <c:xMode val="edge"/>
              <c:yMode val="edge"/>
              <c:x val="3.4835759166467826E-2"/>
              <c:y val="0.2727215348081489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4438816"/>
        <c:crosses val="autoZero"/>
        <c:crossBetween val="between"/>
      </c:valAx>
      <c:spPr>
        <a:noFill/>
        <a:ln>
          <a:noFill/>
        </a:ln>
        <a:effectLst/>
      </c:spPr>
    </c:plotArea>
    <c:legend>
      <c:legendPos val="b"/>
      <c:layout>
        <c:manualLayout>
          <c:xMode val="edge"/>
          <c:yMode val="edge"/>
          <c:x val="0.8623488615270507"/>
          <c:y val="0.23004523993256068"/>
          <c:w val="0.12590950712369986"/>
          <c:h val="0.35657807637027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15</Pages>
  <Words>6528</Words>
  <Characters>37211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Editor GP 005</cp:lastModifiedBy>
  <cp:revision>25</cp:revision>
  <dcterms:created xsi:type="dcterms:W3CDTF">2025-10-02T09:48:00Z</dcterms:created>
  <dcterms:modified xsi:type="dcterms:W3CDTF">2025-10-28T11:11:00Z</dcterms:modified>
</cp:coreProperties>
</file>