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6D19" w14:textId="77777777" w:rsidR="0064084E" w:rsidRDefault="0064084E" w:rsidP="00610816">
      <w:pPr>
        <w:spacing w:line="276" w:lineRule="auto"/>
        <w:jc w:val="center"/>
        <w:rPr>
          <w:rFonts w:ascii="Arial" w:hAnsi="Arial" w:cs="Arial"/>
          <w:b/>
          <w:bCs/>
          <w:sz w:val="22"/>
          <w:szCs w:val="22"/>
        </w:rPr>
      </w:pPr>
      <w:r w:rsidRPr="0064084E">
        <w:rPr>
          <w:rFonts w:ascii="Arial" w:hAnsi="Arial" w:cs="Arial"/>
          <w:b/>
          <w:bCs/>
          <w:sz w:val="22"/>
          <w:szCs w:val="22"/>
        </w:rPr>
        <w:t>Analytics of Third-Party Risk in U.S. Supply Chains: AI for Proactive Risk Scoring and Mitigation</w:t>
      </w:r>
    </w:p>
    <w:p w14:paraId="7D8577A0" w14:textId="77777777" w:rsidR="00610816" w:rsidRDefault="00610816" w:rsidP="000C6EE6">
      <w:pPr>
        <w:spacing w:line="276" w:lineRule="auto"/>
        <w:jc w:val="right"/>
        <w:rPr>
          <w:rFonts w:ascii="Arial" w:hAnsi="Arial" w:cs="Arial"/>
          <w:b/>
          <w:bCs/>
          <w:sz w:val="22"/>
          <w:szCs w:val="22"/>
        </w:rPr>
      </w:pPr>
    </w:p>
    <w:p w14:paraId="3D89A8BF" w14:textId="77777777" w:rsidR="00652119" w:rsidRPr="00CB1F9E" w:rsidRDefault="00652119" w:rsidP="00CB1F9E">
      <w:pPr>
        <w:spacing w:line="276" w:lineRule="auto"/>
        <w:rPr>
          <w:rFonts w:ascii="Arial" w:hAnsi="Arial" w:cs="Arial"/>
          <w:b/>
          <w:bCs/>
          <w:sz w:val="22"/>
          <w:szCs w:val="22"/>
        </w:rPr>
      </w:pPr>
    </w:p>
    <w:p w14:paraId="03C375B0" w14:textId="77777777" w:rsidR="00636CA7" w:rsidRPr="00C317F1" w:rsidRDefault="00636CA7" w:rsidP="00015FAE">
      <w:pPr>
        <w:spacing w:line="276" w:lineRule="auto"/>
        <w:jc w:val="both"/>
        <w:rPr>
          <w:rFonts w:ascii="Arial" w:hAnsi="Arial" w:cs="Arial"/>
          <w:b/>
          <w:bCs/>
          <w:sz w:val="22"/>
          <w:szCs w:val="22"/>
        </w:rPr>
      </w:pPr>
      <w:r w:rsidRPr="00C317F1">
        <w:rPr>
          <w:rFonts w:ascii="Arial" w:hAnsi="Arial" w:cs="Arial"/>
          <w:b/>
          <w:bCs/>
          <w:sz w:val="22"/>
          <w:szCs w:val="22"/>
        </w:rPr>
        <w:t>Abstract</w:t>
      </w:r>
    </w:p>
    <w:p w14:paraId="31B15175" w14:textId="54E0831E" w:rsidR="00F64DC1" w:rsidRPr="00C317F1" w:rsidRDefault="00FC586A" w:rsidP="00EB51A5">
      <w:pPr>
        <w:spacing w:line="276" w:lineRule="auto"/>
        <w:jc w:val="both"/>
        <w:rPr>
          <w:rFonts w:ascii="Arial" w:hAnsi="Arial" w:cs="Arial"/>
          <w:sz w:val="20"/>
          <w:szCs w:val="20"/>
        </w:rPr>
      </w:pPr>
      <w:r w:rsidRPr="00C317F1">
        <w:rPr>
          <w:rFonts w:ascii="Arial" w:hAnsi="Arial" w:cs="Arial"/>
          <w:sz w:val="20"/>
          <w:szCs w:val="20"/>
        </w:rPr>
        <w:t xml:space="preserve">U.S. supply chains face escalating third-party risks across cyber, financial, operational, and ESG domains as multi-tier networks, data heterogeneity, and regulatory scrutiny expand. This study aims to </w:t>
      </w:r>
      <w:proofErr w:type="spellStart"/>
      <w:r w:rsidR="002D39D8">
        <w:rPr>
          <w:rFonts w:ascii="Arial" w:hAnsi="Arial" w:cs="Arial"/>
          <w:sz w:val="20"/>
          <w:szCs w:val="20"/>
        </w:rPr>
        <w:t>synthesise</w:t>
      </w:r>
      <w:proofErr w:type="spellEnd"/>
      <w:r w:rsidRPr="00C317F1">
        <w:rPr>
          <w:rFonts w:ascii="Arial" w:hAnsi="Arial" w:cs="Arial"/>
          <w:sz w:val="20"/>
          <w:szCs w:val="20"/>
        </w:rPr>
        <w:t xml:space="preserve"> how AI/ML models and data pipelines produce decision-useful vendor risk scores and to link analytics with governance for resilience and compliance. </w:t>
      </w:r>
      <w:r w:rsidR="00EB51A5" w:rsidRPr="002D39D8">
        <w:rPr>
          <w:rFonts w:ascii="Arial" w:hAnsi="Arial" w:cs="Arial"/>
          <w:color w:val="002060"/>
          <w:sz w:val="20"/>
          <w:szCs w:val="20"/>
        </w:rPr>
        <w:t>To ensure a comprehensive review, a systematic search was conducted, encompassing peer-reviewed, U.S.-anchored studies published between 2015 and 2025. These studies were retrieved from prominent databases, including Scopus, Web of Science, IEEE Xplore, ACM Digital Library, PubMed, and ScienceDirect. The selection process involved a combination of backward and forward snowballing, resulting in the identification of 15 cases that met the predetermined criteria</w:t>
      </w:r>
      <w:r w:rsidR="00EB51A5" w:rsidRPr="00EB51A5">
        <w:rPr>
          <w:rFonts w:ascii="Arial" w:hAnsi="Arial" w:cs="Arial"/>
          <w:sz w:val="20"/>
          <w:szCs w:val="20"/>
        </w:rPr>
        <w:t>.</w:t>
      </w:r>
      <w:r w:rsidR="00EB51A5">
        <w:rPr>
          <w:rFonts w:ascii="Arial" w:hAnsi="Arial" w:cs="Arial"/>
          <w:sz w:val="20"/>
          <w:szCs w:val="20"/>
        </w:rPr>
        <w:t xml:space="preserve"> </w:t>
      </w:r>
      <w:r w:rsidR="00EB51A5" w:rsidRPr="00EB51A5">
        <w:rPr>
          <w:rFonts w:ascii="Arial" w:hAnsi="Arial" w:cs="Arial"/>
          <w:sz w:val="20"/>
          <w:szCs w:val="20"/>
        </w:rPr>
        <w:t>A review of the included papers on distress prediction reveals that text-augmented models exhibited superior performance in terms of discrimination metrics, such as AUC and PR, when compared to ratio-only baselines. In the context of inbound logistics, ETA models demonstrated a reduction in mean absolute error (MAE) and root mean square error (RMSE) when operating in the presence of disruptions</w:t>
      </w:r>
      <w:r w:rsidR="00117077">
        <w:rPr>
          <w:rFonts w:ascii="Arial" w:hAnsi="Arial" w:cs="Arial"/>
          <w:sz w:val="20"/>
          <w:szCs w:val="20"/>
        </w:rPr>
        <w:t>. This finding</w:t>
      </w:r>
      <w:r w:rsidR="00EB51A5" w:rsidRPr="00EB51A5">
        <w:rPr>
          <w:rFonts w:ascii="Arial" w:hAnsi="Arial" w:cs="Arial"/>
          <w:sz w:val="20"/>
          <w:szCs w:val="20"/>
        </w:rPr>
        <w:t xml:space="preserve"> aligns with the observations reported in production-adjacent cases.</w:t>
      </w:r>
      <w:r w:rsidRPr="00C317F1">
        <w:rPr>
          <w:rFonts w:ascii="Arial" w:hAnsi="Arial" w:cs="Arial"/>
          <w:sz w:val="20"/>
          <w:szCs w:val="20"/>
        </w:rPr>
        <w:t xml:space="preserve"> The review employed a combination of backward and forward snowballing, with a </w:t>
      </w:r>
      <w:proofErr w:type="spellStart"/>
      <w:r w:rsidR="00EB51A5">
        <w:rPr>
          <w:rFonts w:ascii="Arial" w:hAnsi="Arial" w:cs="Arial"/>
          <w:sz w:val="20"/>
          <w:szCs w:val="20"/>
        </w:rPr>
        <w:t>standardised</w:t>
      </w:r>
      <w:proofErr w:type="spellEnd"/>
      <w:r w:rsidRPr="00C317F1">
        <w:rPr>
          <w:rFonts w:ascii="Arial" w:hAnsi="Arial" w:cs="Arial"/>
          <w:sz w:val="20"/>
          <w:szCs w:val="20"/>
        </w:rPr>
        <w:t xml:space="preserve"> extraction template </w:t>
      </w:r>
      <w:proofErr w:type="spellStart"/>
      <w:r w:rsidR="00117077">
        <w:rPr>
          <w:rFonts w:ascii="Arial" w:hAnsi="Arial" w:cs="Arial"/>
          <w:sz w:val="20"/>
          <w:szCs w:val="20"/>
        </w:rPr>
        <w:t>utilised</w:t>
      </w:r>
      <w:proofErr w:type="spellEnd"/>
      <w:r w:rsidRPr="00C317F1">
        <w:rPr>
          <w:rFonts w:ascii="Arial" w:hAnsi="Arial" w:cs="Arial"/>
          <w:sz w:val="20"/>
          <w:szCs w:val="20"/>
        </w:rPr>
        <w:t xml:space="preserve"> for models, data sources, metrics, and governance </w:t>
      </w:r>
      <w:r w:rsidR="00117077">
        <w:rPr>
          <w:rFonts w:ascii="Arial" w:hAnsi="Arial" w:cs="Arial"/>
          <w:sz w:val="20"/>
          <w:szCs w:val="20"/>
        </w:rPr>
        <w:t>artefacts</w:t>
      </w:r>
      <w:r w:rsidRPr="00C317F1">
        <w:rPr>
          <w:rFonts w:ascii="Arial" w:hAnsi="Arial" w:cs="Arial"/>
          <w:sz w:val="20"/>
          <w:szCs w:val="20"/>
        </w:rPr>
        <w:t xml:space="preserve">. </w:t>
      </w:r>
      <w:r w:rsidR="00F64DC1" w:rsidRPr="00C317F1">
        <w:rPr>
          <w:rFonts w:ascii="Arial" w:hAnsi="Arial" w:cs="Arial"/>
          <w:sz w:val="20"/>
          <w:szCs w:val="20"/>
        </w:rPr>
        <w:t>However, reporting is heterogeneous: calibration is often absent, multi-tier visibility remains sparse, and drift monitoring/explainability are inconsistently implemented, with coverage bias risks for small vendors. Future research should</w:t>
      </w:r>
      <w:r w:rsidRPr="00C317F1">
        <w:rPr>
          <w:rFonts w:ascii="Arial" w:hAnsi="Arial" w:cs="Arial"/>
          <w:sz w:val="20"/>
          <w:szCs w:val="20"/>
        </w:rPr>
        <w:t xml:space="preserve"> establish open, U.S.-anchored benchmarks; </w:t>
      </w:r>
      <w:proofErr w:type="spellStart"/>
      <w:r w:rsidR="00117077">
        <w:rPr>
          <w:rFonts w:ascii="Arial" w:hAnsi="Arial" w:cs="Arial"/>
          <w:sz w:val="20"/>
          <w:szCs w:val="20"/>
        </w:rPr>
        <w:t>standardise</w:t>
      </w:r>
      <w:proofErr w:type="spellEnd"/>
      <w:r w:rsidRPr="00C317F1">
        <w:rPr>
          <w:rFonts w:ascii="Arial" w:hAnsi="Arial" w:cs="Arial"/>
          <w:sz w:val="20"/>
          <w:szCs w:val="20"/>
        </w:rPr>
        <w:t xml:space="preserve"> reporting and calibration; adopt causal and survival designs for cost-of-error and hazard; </w:t>
      </w:r>
      <w:proofErr w:type="spellStart"/>
      <w:r w:rsidR="00117077">
        <w:rPr>
          <w:rFonts w:ascii="Arial" w:hAnsi="Arial" w:cs="Arial"/>
          <w:sz w:val="20"/>
          <w:szCs w:val="20"/>
        </w:rPr>
        <w:t>operationalise</w:t>
      </w:r>
      <w:proofErr w:type="spellEnd"/>
      <w:r w:rsidRPr="00C317F1">
        <w:rPr>
          <w:rFonts w:ascii="Arial" w:hAnsi="Arial" w:cs="Arial"/>
          <w:sz w:val="20"/>
          <w:szCs w:val="20"/>
        </w:rPr>
        <w:t xml:space="preserve"> human-in-the-loop controls, provenance scoring, and drift-aware </w:t>
      </w:r>
      <w:proofErr w:type="spellStart"/>
      <w:r w:rsidRPr="00C317F1">
        <w:rPr>
          <w:rFonts w:ascii="Arial" w:hAnsi="Arial" w:cs="Arial"/>
          <w:sz w:val="20"/>
          <w:szCs w:val="20"/>
        </w:rPr>
        <w:t>MLOps</w:t>
      </w:r>
      <w:proofErr w:type="spellEnd"/>
      <w:r w:rsidRPr="00C317F1">
        <w:rPr>
          <w:rFonts w:ascii="Arial" w:hAnsi="Arial" w:cs="Arial"/>
          <w:sz w:val="20"/>
          <w:szCs w:val="20"/>
        </w:rPr>
        <w:t xml:space="preserve"> for ERP/IoT and OSINT pipelines at production scale.</w:t>
      </w:r>
    </w:p>
    <w:p w14:paraId="0B74016C" w14:textId="666AFE79" w:rsidR="0000561E" w:rsidRDefault="0000561E" w:rsidP="00015FAE">
      <w:pPr>
        <w:spacing w:line="276" w:lineRule="auto"/>
        <w:jc w:val="both"/>
        <w:rPr>
          <w:rFonts w:ascii="Arial" w:hAnsi="Arial" w:cs="Arial"/>
          <w:i/>
          <w:iCs/>
          <w:sz w:val="20"/>
          <w:szCs w:val="20"/>
        </w:rPr>
      </w:pPr>
      <w:r w:rsidRPr="00C317F1">
        <w:rPr>
          <w:rFonts w:ascii="Arial" w:hAnsi="Arial" w:cs="Arial"/>
          <w:b/>
          <w:bCs/>
          <w:sz w:val="20"/>
          <w:szCs w:val="20"/>
        </w:rPr>
        <w:t>Keywords:</w:t>
      </w:r>
      <w:r w:rsidRPr="00C317F1">
        <w:rPr>
          <w:rFonts w:ascii="Arial" w:hAnsi="Arial" w:cs="Arial"/>
          <w:sz w:val="20"/>
          <w:szCs w:val="20"/>
        </w:rPr>
        <w:t xml:space="preserve"> </w:t>
      </w:r>
      <w:r w:rsidRPr="00C317F1">
        <w:rPr>
          <w:rFonts w:ascii="Arial" w:hAnsi="Arial" w:cs="Arial"/>
          <w:i/>
          <w:iCs/>
          <w:sz w:val="20"/>
          <w:szCs w:val="20"/>
        </w:rPr>
        <w:t>Third-Party Risk Management (TPRM); Supply Chain Analytics; Machine Learning (AI); Explainable AI (XAI); Model Risk Governance.</w:t>
      </w:r>
    </w:p>
    <w:p w14:paraId="50BD07E2" w14:textId="77777777" w:rsidR="00610816" w:rsidRDefault="00610816" w:rsidP="00015FAE">
      <w:pPr>
        <w:spacing w:line="276" w:lineRule="auto"/>
        <w:jc w:val="both"/>
        <w:rPr>
          <w:rFonts w:ascii="Arial" w:hAnsi="Arial" w:cs="Arial"/>
          <w:i/>
          <w:iCs/>
          <w:sz w:val="20"/>
          <w:szCs w:val="20"/>
        </w:rPr>
      </w:pPr>
    </w:p>
    <w:p w14:paraId="3C7E7035" w14:textId="02FF7C84" w:rsidR="00AB439A" w:rsidRPr="00C317F1" w:rsidRDefault="007D6A04" w:rsidP="00015FAE">
      <w:pPr>
        <w:spacing w:line="276" w:lineRule="auto"/>
        <w:jc w:val="both"/>
        <w:rPr>
          <w:rFonts w:ascii="Arial" w:hAnsi="Arial" w:cs="Arial"/>
          <w:b/>
          <w:bCs/>
          <w:sz w:val="22"/>
          <w:szCs w:val="22"/>
        </w:rPr>
      </w:pPr>
      <w:r w:rsidRPr="00C317F1">
        <w:rPr>
          <w:rFonts w:ascii="Arial" w:hAnsi="Arial" w:cs="Arial"/>
          <w:b/>
          <w:bCs/>
          <w:sz w:val="22"/>
          <w:szCs w:val="22"/>
        </w:rPr>
        <w:t xml:space="preserve">1.0 </w:t>
      </w:r>
      <w:r w:rsidR="00AB439A" w:rsidRPr="00C317F1">
        <w:rPr>
          <w:rFonts w:ascii="Arial" w:hAnsi="Arial" w:cs="Arial"/>
          <w:b/>
          <w:bCs/>
          <w:sz w:val="22"/>
          <w:szCs w:val="22"/>
        </w:rPr>
        <w:t>Introduction</w:t>
      </w:r>
    </w:p>
    <w:p w14:paraId="462BC96E" w14:textId="18DB5795" w:rsidR="007D6A04" w:rsidRPr="00C317F1" w:rsidRDefault="007D6A04" w:rsidP="00015FAE">
      <w:pPr>
        <w:pStyle w:val="ListParagraph"/>
        <w:numPr>
          <w:ilvl w:val="1"/>
          <w:numId w:val="1"/>
        </w:numPr>
        <w:spacing w:line="276" w:lineRule="auto"/>
        <w:jc w:val="both"/>
        <w:rPr>
          <w:rFonts w:ascii="Arial" w:hAnsi="Arial" w:cs="Arial"/>
          <w:b/>
          <w:bCs/>
          <w:sz w:val="22"/>
          <w:szCs w:val="22"/>
        </w:rPr>
      </w:pPr>
      <w:r w:rsidRPr="00C317F1">
        <w:rPr>
          <w:rFonts w:ascii="Arial" w:hAnsi="Arial" w:cs="Arial"/>
          <w:b/>
          <w:bCs/>
          <w:sz w:val="22"/>
          <w:szCs w:val="22"/>
        </w:rPr>
        <w:t>Problem and context/Background</w:t>
      </w:r>
    </w:p>
    <w:p w14:paraId="29870239" w14:textId="75554906" w:rsidR="00AB439A" w:rsidRPr="00C317F1" w:rsidRDefault="00AB439A" w:rsidP="00015FAE">
      <w:pPr>
        <w:spacing w:line="276" w:lineRule="auto"/>
        <w:jc w:val="both"/>
        <w:rPr>
          <w:rFonts w:ascii="Arial" w:hAnsi="Arial" w:cs="Arial"/>
          <w:sz w:val="20"/>
          <w:szCs w:val="20"/>
        </w:rPr>
      </w:pPr>
      <w:r w:rsidRPr="00C317F1">
        <w:rPr>
          <w:rFonts w:ascii="Arial" w:hAnsi="Arial" w:cs="Arial"/>
          <w:sz w:val="20"/>
          <w:szCs w:val="20"/>
        </w:rPr>
        <w:t xml:space="preserve">In the United States, supply chains are increasingly </w:t>
      </w:r>
      <w:proofErr w:type="spellStart"/>
      <w:r w:rsidR="00117077">
        <w:rPr>
          <w:rFonts w:ascii="Arial" w:hAnsi="Arial" w:cs="Arial"/>
          <w:sz w:val="20"/>
          <w:szCs w:val="20"/>
        </w:rPr>
        <w:t>characterised</w:t>
      </w:r>
      <w:proofErr w:type="spellEnd"/>
      <w:r w:rsidRPr="00C317F1">
        <w:rPr>
          <w:rFonts w:ascii="Arial" w:hAnsi="Arial" w:cs="Arial"/>
          <w:sz w:val="20"/>
          <w:szCs w:val="20"/>
        </w:rPr>
        <w:t xml:space="preserve"> by multi-tier networks, wherein first-tier suppliers serve as intermediaries, facilitating the exchange of information and incentives between focal firms and upstream partners. This configuration introduces opacity and double-agency risks, which complicate the oversight of vendors and sub-vendors (Wilhelm et al., 2016). In circumstances where inputs are highly specific, idiosyncratic disruptions at even a minor supplier have the potential to propagate throughout production networks, thereby amplifying shocks and exposing concentration risks that traditional assessments tend to underestimate (Barrot &amp; </w:t>
      </w:r>
      <w:proofErr w:type="spellStart"/>
      <w:r w:rsidRPr="00C317F1">
        <w:rPr>
          <w:rFonts w:ascii="Arial" w:hAnsi="Arial" w:cs="Arial"/>
          <w:sz w:val="20"/>
          <w:szCs w:val="20"/>
        </w:rPr>
        <w:t>Sauvagnat</w:t>
      </w:r>
      <w:proofErr w:type="spellEnd"/>
      <w:r w:rsidRPr="00C317F1">
        <w:rPr>
          <w:rFonts w:ascii="Arial" w:hAnsi="Arial" w:cs="Arial"/>
          <w:sz w:val="20"/>
          <w:szCs w:val="20"/>
        </w:rPr>
        <w:t xml:space="preserve">, 2016). The ongoing global pandemic has demonstrated the limitations of traditional risk management frameworks in addressing the complex and simultaneous supply and demand perturbations that characterize the contemporary business landscape. This has led to a growing interest in analytics that can effectively capture the dynamics, interdependencies, and rapid reconfiguration options present in such environments (Craighead et al., 2020). The prevalence of cyberattacks underscores this interdependence. For instance, operational outages and price dislocations </w:t>
      </w:r>
      <w:r w:rsidRPr="00C317F1">
        <w:rPr>
          <w:rFonts w:ascii="Arial" w:hAnsi="Arial" w:cs="Arial"/>
          <w:sz w:val="20"/>
          <w:szCs w:val="20"/>
        </w:rPr>
        <w:lastRenderedPageBreak/>
        <w:t xml:space="preserve">following the Colonial Pipeline incident illustrate financial and logistics spillovers from a single compromised node (Corbet et al., 2022). </w:t>
      </w:r>
    </w:p>
    <w:p w14:paraId="517E2220" w14:textId="60E42160" w:rsidR="00AB439A" w:rsidRPr="00C317F1" w:rsidRDefault="00AB439A" w:rsidP="00015FAE">
      <w:pPr>
        <w:spacing w:line="276" w:lineRule="auto"/>
        <w:jc w:val="both"/>
        <w:rPr>
          <w:rFonts w:ascii="Arial" w:hAnsi="Arial" w:cs="Arial"/>
          <w:sz w:val="20"/>
          <w:szCs w:val="20"/>
        </w:rPr>
      </w:pPr>
      <w:r w:rsidRPr="00C317F1">
        <w:rPr>
          <w:rFonts w:ascii="Arial" w:hAnsi="Arial" w:cs="Arial"/>
          <w:sz w:val="20"/>
          <w:szCs w:val="20"/>
        </w:rPr>
        <w:t>Concurrently, enterprises accumulate an unprecedented amount of data related to logistics and procurement, yet analytical sophistication and integration demonstrate variability across sectors and hierarchical levels (Wang et al., 2016). The Internet of Things (IoT) telemetry has been demonstrated to enhance in-transit visibility and exception detection. However, interoperability challenges, data quality issues, and ownership barriers impede its comprehensive implementation for enterprise risk scoring (Ahmed et al., 2021). The concept of traceability is further complicated by temporality, the pervasive nature of supply chains, and the ambiguity of product information, which collectively impede efforts to attribute defects or delays to specific third parties (</w:t>
      </w:r>
      <w:proofErr w:type="spellStart"/>
      <w:r w:rsidRPr="00C317F1">
        <w:rPr>
          <w:rFonts w:ascii="Arial" w:hAnsi="Arial" w:cs="Arial"/>
          <w:sz w:val="20"/>
          <w:szCs w:val="20"/>
        </w:rPr>
        <w:t>Wowak</w:t>
      </w:r>
      <w:proofErr w:type="spellEnd"/>
      <w:r w:rsidRPr="00C317F1">
        <w:rPr>
          <w:rFonts w:ascii="Arial" w:hAnsi="Arial" w:cs="Arial"/>
          <w:sz w:val="20"/>
          <w:szCs w:val="20"/>
        </w:rPr>
        <w:t xml:space="preserve"> et al., 2016). The implementation of artificial intelligence (AI) and machine learning (ML) across heterogeneous data sources necessitates meticulous documentation of datasets. This is crucial for elucidating the provenance, scope, and permissible usage of these data. This is particularly salient when establishing links between operational telemetry and vendor outcomes (Gebru et al., 2021).</w:t>
      </w:r>
    </w:p>
    <w:p w14:paraId="44BA26ED" w14:textId="77777777" w:rsidR="00AB439A" w:rsidRPr="00C317F1" w:rsidRDefault="00AB439A" w:rsidP="00015FAE">
      <w:pPr>
        <w:spacing w:line="276" w:lineRule="auto"/>
        <w:jc w:val="both"/>
        <w:rPr>
          <w:rFonts w:ascii="Arial" w:hAnsi="Arial" w:cs="Arial"/>
          <w:sz w:val="20"/>
          <w:szCs w:val="20"/>
        </w:rPr>
      </w:pPr>
      <w:r w:rsidRPr="00C317F1">
        <w:rPr>
          <w:rFonts w:ascii="Arial" w:hAnsi="Arial" w:cs="Arial"/>
          <w:sz w:val="20"/>
          <w:szCs w:val="20"/>
        </w:rPr>
        <w:t xml:space="preserve">Comparable transparency at the model level is necessary for effective communication of assumptions, intended use, limitations, and monitored risks to stakeholders involved in procurement, security, and compliance (Mitchell et al., 2019). Concerns regarding bias and fairness emerge when training data underrepresents small or new suppliers, potentially resulting in disparate impacts on factors such as onboarding, pricing, or audit prioritization (Mehrabi et al., 2021). </w:t>
      </w:r>
      <w:proofErr w:type="spellStart"/>
      <w:r w:rsidRPr="00C317F1">
        <w:rPr>
          <w:rFonts w:ascii="Arial" w:hAnsi="Arial" w:cs="Arial"/>
          <w:sz w:val="20"/>
          <w:szCs w:val="20"/>
        </w:rPr>
        <w:t>Nonstationarity</w:t>
      </w:r>
      <w:proofErr w:type="spellEnd"/>
      <w:r w:rsidRPr="00C317F1">
        <w:rPr>
          <w:rFonts w:ascii="Arial" w:hAnsi="Arial" w:cs="Arial"/>
          <w:sz w:val="20"/>
          <w:szCs w:val="20"/>
        </w:rPr>
        <w:t xml:space="preserve"> is endemic; seasonality, regime shifts, and adversarial behavior induce concept drift, requiring continuous monitoring, adaptive thresholds, and retraining policies for third-party risk models (Hinder et al., 2024). Research within the financial sector indicates that explainable, robust, and stress-tested AI—supported by documentation, validation, and incident processes—is necessary for regulatory acceptance and operational reliability (Fritz-Morgenthal et al., 2022). In light of these challenges, the primary issue is not the absence of data, but rather the presence of well-regulated, governable analytics that integrate disclosures, ERP/IoT, and OSINT to produce timely, interpretable, and auditable third-party risk insights capable of withstanding cascading shocks and regulatory scrutiny.</w:t>
      </w:r>
    </w:p>
    <w:p w14:paraId="201EF43F" w14:textId="1F127AD9" w:rsidR="00AB439A" w:rsidRPr="00C317F1" w:rsidRDefault="007D6A04" w:rsidP="00015FAE">
      <w:pPr>
        <w:pStyle w:val="ListParagraph"/>
        <w:numPr>
          <w:ilvl w:val="1"/>
          <w:numId w:val="1"/>
        </w:numPr>
        <w:spacing w:line="276" w:lineRule="auto"/>
        <w:jc w:val="both"/>
        <w:rPr>
          <w:rFonts w:ascii="Arial" w:hAnsi="Arial" w:cs="Arial"/>
          <w:b/>
          <w:bCs/>
          <w:sz w:val="22"/>
          <w:szCs w:val="22"/>
        </w:rPr>
      </w:pPr>
      <w:r w:rsidRPr="00C317F1">
        <w:rPr>
          <w:rFonts w:ascii="Arial" w:hAnsi="Arial" w:cs="Arial"/>
          <w:b/>
          <w:bCs/>
          <w:sz w:val="22"/>
          <w:szCs w:val="22"/>
        </w:rPr>
        <w:t>Definitions &amp; scope boundaries</w:t>
      </w:r>
    </w:p>
    <w:p w14:paraId="4FF30F75" w14:textId="4DEA5CC8" w:rsidR="00636CA7" w:rsidRPr="00C317F1" w:rsidRDefault="007D6A04" w:rsidP="00015FAE">
      <w:pPr>
        <w:spacing w:before="100" w:beforeAutospacing="1" w:after="100" w:afterAutospacing="1" w:line="276" w:lineRule="auto"/>
        <w:jc w:val="both"/>
        <w:rPr>
          <w:rFonts w:ascii="Arial" w:eastAsia="Times New Roman" w:hAnsi="Arial" w:cs="Arial"/>
          <w:kern w:val="0"/>
          <w:sz w:val="20"/>
          <w:szCs w:val="20"/>
          <w14:ligatures w14:val="none"/>
        </w:rPr>
      </w:pPr>
      <w:r w:rsidRPr="00C317F1">
        <w:rPr>
          <w:rFonts w:ascii="Arial" w:eastAsia="Times New Roman" w:hAnsi="Arial" w:cs="Arial"/>
          <w:kern w:val="0"/>
          <w:sz w:val="20"/>
          <w:szCs w:val="20"/>
          <w14:ligatures w14:val="none"/>
        </w:rPr>
        <w:t>Third-party (vendor) risk is defined as the potential vulnerabilities stemming from external suppliers across the first and higher tiers, which can be transmitted through interdependence, information asymmetry, and contractual obligations (Ho et al., 2015). The analytic scope encompasses artificial intelligence (AI)/machine learning (ML) methods, including supervised and unsupervised learning, natural language processing (NLP) over disclosures and contracts, time-series forecasting, and ensembles. These methods are applied to measurable outcomes in U.S. supply chains. Data foundations include textual disclosures such as SEC 10-K/10-Q, which contain forward-looking risk language relevant for modeling (Loughran &amp; McDonald, 2016). The integration of operational telemetry from Internet of Things (IoT) and logistics systems has been demonstrated to enhance visibility, thereby facilitating the identification of process states, exceptions, and asset conditions (</w:t>
      </w:r>
      <w:proofErr w:type="spellStart"/>
      <w:r w:rsidRPr="00C317F1">
        <w:rPr>
          <w:rFonts w:ascii="Arial" w:eastAsia="Times New Roman" w:hAnsi="Arial" w:cs="Arial"/>
          <w:kern w:val="0"/>
          <w:sz w:val="20"/>
          <w:szCs w:val="20"/>
          <w14:ligatures w14:val="none"/>
        </w:rPr>
        <w:t>Rejeb</w:t>
      </w:r>
      <w:proofErr w:type="spellEnd"/>
      <w:r w:rsidRPr="00C317F1">
        <w:rPr>
          <w:rFonts w:ascii="Arial" w:eastAsia="Times New Roman" w:hAnsi="Arial" w:cs="Arial"/>
          <w:kern w:val="0"/>
          <w:sz w:val="20"/>
          <w:szCs w:val="20"/>
          <w14:ligatures w14:val="none"/>
        </w:rPr>
        <w:t xml:space="preserve"> et al., 2020). The credibility of open-source intelligence and adverse-media streams, which contribute external signals, necessitates assessment and the implementation of provenance controls (Browne et al., 2024). The evaluation process places significant emphasis on the identification of discriminatory patterns among classifiers and the utilization of error metrics to assess the performance of regression models. These evaluations are complemented by statistical testing, which facilitates a comparative analysis of model performance (</w:t>
      </w:r>
      <w:proofErr w:type="spellStart"/>
      <w:r w:rsidRPr="00C317F1">
        <w:rPr>
          <w:rFonts w:ascii="Arial" w:eastAsia="Times New Roman" w:hAnsi="Arial" w:cs="Arial"/>
          <w:kern w:val="0"/>
          <w:sz w:val="20"/>
          <w:szCs w:val="20"/>
          <w14:ligatures w14:val="none"/>
        </w:rPr>
        <w:t>Rainio</w:t>
      </w:r>
      <w:proofErr w:type="spellEnd"/>
      <w:r w:rsidRPr="00C317F1">
        <w:rPr>
          <w:rFonts w:ascii="Arial" w:eastAsia="Times New Roman" w:hAnsi="Arial" w:cs="Arial"/>
          <w:kern w:val="0"/>
          <w:sz w:val="20"/>
          <w:szCs w:val="20"/>
          <w14:ligatures w14:val="none"/>
        </w:rPr>
        <w:t xml:space="preserve"> et al., 2024). Given the necessity of risk scores to support thresholds and oversight, probability calibration is regarded as a primary criterion (Guo et al., 2017). </w:t>
      </w:r>
      <w:r w:rsidR="00D46C83" w:rsidRPr="00C317F1">
        <w:rPr>
          <w:rFonts w:ascii="Arial" w:eastAsia="Times New Roman" w:hAnsi="Arial" w:cs="Arial"/>
          <w:kern w:val="0"/>
          <w:sz w:val="20"/>
          <w:szCs w:val="20"/>
          <w14:ligatures w14:val="none"/>
        </w:rPr>
        <w:t xml:space="preserve">Scope also presumes </w:t>
      </w:r>
      <w:r w:rsidRPr="00C317F1">
        <w:rPr>
          <w:rFonts w:ascii="Arial" w:eastAsia="Times New Roman" w:hAnsi="Arial" w:cs="Arial"/>
          <w:kern w:val="0"/>
          <w:sz w:val="20"/>
          <w:szCs w:val="20"/>
          <w14:ligatures w14:val="none"/>
        </w:rPr>
        <w:t xml:space="preserve">nonstationary, implying that the detection and adaptation of concept drift are essential components of monitoring and lifecycle management (Hinder et al., 2024). </w:t>
      </w:r>
      <w:r w:rsidRPr="00C317F1">
        <w:rPr>
          <w:rFonts w:ascii="Arial" w:eastAsia="Times New Roman" w:hAnsi="Arial" w:cs="Arial"/>
          <w:kern w:val="0"/>
          <w:sz w:val="20"/>
          <w:szCs w:val="20"/>
          <w14:ligatures w14:val="none"/>
        </w:rPr>
        <w:lastRenderedPageBreak/>
        <w:t>Finally, governance boundaries necessitate end-to-end algorithmic auditing</w:t>
      </w:r>
      <w:r w:rsidR="00015FAE" w:rsidRPr="00C317F1">
        <w:rPr>
          <w:rFonts w:ascii="Arial" w:eastAsia="Times New Roman" w:hAnsi="Arial" w:cs="Arial"/>
          <w:kern w:val="0"/>
          <w:sz w:val="20"/>
          <w:szCs w:val="20"/>
          <w14:ligatures w14:val="none"/>
        </w:rPr>
        <w:t xml:space="preserve">, </w:t>
      </w:r>
      <w:r w:rsidRPr="00C317F1">
        <w:rPr>
          <w:rFonts w:ascii="Arial" w:eastAsia="Times New Roman" w:hAnsi="Arial" w:cs="Arial"/>
          <w:kern w:val="0"/>
          <w:sz w:val="20"/>
          <w:szCs w:val="20"/>
          <w14:ligatures w14:val="none"/>
        </w:rPr>
        <w:t>comprising documentation, validation, drift surveillance, and incident response</w:t>
      </w:r>
      <w:r w:rsidR="00015FAE" w:rsidRPr="00C317F1">
        <w:rPr>
          <w:rFonts w:ascii="Arial" w:eastAsia="Times New Roman" w:hAnsi="Arial" w:cs="Arial"/>
          <w:kern w:val="0"/>
          <w:sz w:val="20"/>
          <w:szCs w:val="20"/>
          <w14:ligatures w14:val="none"/>
        </w:rPr>
        <w:t xml:space="preserve"> </w:t>
      </w:r>
      <w:r w:rsidRPr="00C317F1">
        <w:rPr>
          <w:rFonts w:ascii="Arial" w:eastAsia="Times New Roman" w:hAnsi="Arial" w:cs="Arial"/>
          <w:kern w:val="0"/>
          <w:sz w:val="20"/>
          <w:szCs w:val="20"/>
          <w14:ligatures w14:val="none"/>
        </w:rPr>
        <w:t>to ensure accountable use (Raji et al., 2020).</w:t>
      </w:r>
    </w:p>
    <w:p w14:paraId="598E800E" w14:textId="4AD38428" w:rsidR="00015FAE" w:rsidRPr="00C317F1" w:rsidRDefault="00015FAE" w:rsidP="00015FAE">
      <w:pPr>
        <w:pStyle w:val="ListParagraph"/>
        <w:numPr>
          <w:ilvl w:val="1"/>
          <w:numId w:val="1"/>
        </w:numPr>
        <w:spacing w:before="100" w:beforeAutospacing="1" w:after="100" w:afterAutospacing="1" w:line="276" w:lineRule="auto"/>
        <w:jc w:val="both"/>
        <w:rPr>
          <w:rFonts w:ascii="Arial" w:eastAsia="Times New Roman" w:hAnsi="Arial" w:cs="Arial"/>
          <w:b/>
          <w:bCs/>
          <w:kern w:val="0"/>
          <w:sz w:val="22"/>
          <w:szCs w:val="22"/>
          <w14:ligatures w14:val="none"/>
        </w:rPr>
      </w:pPr>
      <w:r w:rsidRPr="00C317F1">
        <w:rPr>
          <w:rFonts w:ascii="Arial" w:eastAsia="Times New Roman" w:hAnsi="Arial" w:cs="Arial"/>
          <w:b/>
          <w:bCs/>
          <w:kern w:val="0"/>
          <w:sz w:val="22"/>
          <w:szCs w:val="22"/>
          <w14:ligatures w14:val="none"/>
        </w:rPr>
        <w:t>Scope of review</w:t>
      </w:r>
    </w:p>
    <w:p w14:paraId="50DFE320" w14:textId="085CFAB3" w:rsidR="00015FAE" w:rsidRPr="00C317F1" w:rsidRDefault="00015FAE" w:rsidP="00015FAE">
      <w:pPr>
        <w:spacing w:before="100" w:beforeAutospacing="1" w:after="100" w:afterAutospacing="1" w:line="276" w:lineRule="auto"/>
        <w:jc w:val="both"/>
        <w:rPr>
          <w:rFonts w:ascii="Arial" w:eastAsia="Times New Roman" w:hAnsi="Arial" w:cs="Arial"/>
          <w:kern w:val="0"/>
          <w:sz w:val="20"/>
          <w:szCs w:val="20"/>
          <w14:ligatures w14:val="none"/>
        </w:rPr>
      </w:pPr>
      <w:r w:rsidRPr="00C317F1">
        <w:rPr>
          <w:rFonts w:ascii="Arial" w:eastAsia="Times New Roman" w:hAnsi="Arial" w:cs="Arial"/>
          <w:kern w:val="0"/>
          <w:sz w:val="20"/>
          <w:szCs w:val="20"/>
          <w14:ligatures w14:val="none"/>
        </w:rPr>
        <w:t xml:space="preserve">This review examines the application of artificial intelligence and machine learning in the analysis of third-party/vendor risk within U.S. supply chains across sectors, including but not limited to healthcare, manufacturing, finance, and adjacent sectors. It synthesizes evidence on model classes (supervised, unsupervised, natural language processing/language model, time-series/forecasting, ensembles), risk domains (cyber, financial, operational, environmental, social, and governance/quality), and data foundations (SEC 10-K/10-Q, enterprise resource planning/procurement, the Internet of Things/logistics telemetry, open-source intelligence/adverse media, health and human services/food and drug administration registries, macro indicators). The evaluation process is centered on the identification of discrimination, calibration, timeliness/lead-time, robustness, and cost-of-error, with particular attention directed towards addressing concept drift. The review is structured around a framework that encompasses people, processes, technology, and governance. It places particular emphasis on model documentation, validation, monitoring, and human-in-the-loop controls. Additionally, it highlights U.S. regulatory alignment and organizational resilience. </w:t>
      </w:r>
    </w:p>
    <w:p w14:paraId="33144F73" w14:textId="395F90DD" w:rsidR="00015FAE" w:rsidRPr="00C317F1" w:rsidRDefault="00015FAE" w:rsidP="00015FAE">
      <w:pPr>
        <w:pStyle w:val="ListParagraph"/>
        <w:numPr>
          <w:ilvl w:val="1"/>
          <w:numId w:val="1"/>
        </w:numPr>
        <w:spacing w:before="100" w:beforeAutospacing="1" w:after="100" w:afterAutospacing="1" w:line="276" w:lineRule="auto"/>
        <w:jc w:val="both"/>
        <w:rPr>
          <w:rFonts w:ascii="Arial" w:eastAsia="Times New Roman" w:hAnsi="Arial" w:cs="Arial"/>
          <w:b/>
          <w:bCs/>
          <w:kern w:val="0"/>
          <w:sz w:val="22"/>
          <w:szCs w:val="22"/>
          <w14:ligatures w14:val="none"/>
        </w:rPr>
      </w:pPr>
      <w:r w:rsidRPr="00C317F1">
        <w:rPr>
          <w:rFonts w:ascii="Arial" w:eastAsia="Times New Roman" w:hAnsi="Arial" w:cs="Arial"/>
          <w:b/>
          <w:bCs/>
          <w:kern w:val="0"/>
          <w:sz w:val="22"/>
          <w:szCs w:val="22"/>
          <w14:ligatures w14:val="none"/>
        </w:rPr>
        <w:t>Aim and Specific objectives of research</w:t>
      </w:r>
    </w:p>
    <w:p w14:paraId="7D99081A" w14:textId="77777777" w:rsidR="009C3C26" w:rsidRPr="00C317F1" w:rsidRDefault="009C3C26" w:rsidP="009C3C26">
      <w:pPr>
        <w:spacing w:before="100" w:beforeAutospacing="1" w:after="100" w:afterAutospacing="1" w:line="240" w:lineRule="auto"/>
        <w:rPr>
          <w:rFonts w:ascii="Arial" w:eastAsia="Times New Roman" w:hAnsi="Arial" w:cs="Arial"/>
          <w:b/>
          <w:bCs/>
          <w:kern w:val="0"/>
          <w14:ligatures w14:val="none"/>
        </w:rPr>
      </w:pPr>
      <w:r w:rsidRPr="00C317F1">
        <w:rPr>
          <w:rFonts w:ascii="Arial" w:eastAsia="Times New Roman" w:hAnsi="Arial" w:cs="Arial"/>
          <w:b/>
          <w:bCs/>
          <w:kern w:val="0"/>
          <w14:ligatures w14:val="none"/>
        </w:rPr>
        <w:t>Aim</w:t>
      </w:r>
    </w:p>
    <w:p w14:paraId="54CD7DBD" w14:textId="56D9917C" w:rsidR="00015FAE" w:rsidRPr="00C317F1" w:rsidRDefault="009C3C26" w:rsidP="009C3C26">
      <w:pPr>
        <w:spacing w:before="100" w:beforeAutospacing="1" w:after="100" w:afterAutospacing="1" w:line="240" w:lineRule="auto"/>
        <w:rPr>
          <w:rFonts w:ascii="Arial" w:eastAsia="Times New Roman" w:hAnsi="Arial" w:cs="Arial"/>
          <w:kern w:val="0"/>
          <w:sz w:val="20"/>
          <w:szCs w:val="20"/>
          <w14:ligatures w14:val="none"/>
        </w:rPr>
      </w:pPr>
      <w:r w:rsidRPr="00C317F1">
        <w:rPr>
          <w:rFonts w:ascii="Arial" w:eastAsia="Times New Roman" w:hAnsi="Arial" w:cs="Arial"/>
          <w:kern w:val="0"/>
          <w:sz w:val="20"/>
          <w:szCs w:val="20"/>
          <w14:ligatures w14:val="none"/>
        </w:rPr>
        <w:t>This study aims to critically synthesize and systematize artificial intelligence (AI) and machine learning (ML) approaches for third-party risk analytics in U.S. supply chains. The study will link model choice, data foundations, and governance mechanisms to regulatory compliance and enterprise resilience.</w:t>
      </w:r>
    </w:p>
    <w:p w14:paraId="0955B284" w14:textId="0E40545A" w:rsidR="00015FAE" w:rsidRPr="00C317F1" w:rsidRDefault="00015FAE" w:rsidP="00015FAE">
      <w:pPr>
        <w:spacing w:before="100" w:beforeAutospacing="1" w:after="100" w:afterAutospacing="1" w:line="276" w:lineRule="auto"/>
        <w:jc w:val="both"/>
        <w:rPr>
          <w:rFonts w:ascii="Arial" w:eastAsia="Times New Roman" w:hAnsi="Arial" w:cs="Arial"/>
          <w:kern w:val="0"/>
          <w:sz w:val="20"/>
          <w:szCs w:val="20"/>
          <w14:ligatures w14:val="none"/>
        </w:rPr>
      </w:pPr>
      <w:r w:rsidRPr="00C317F1">
        <w:rPr>
          <w:rFonts w:ascii="Arial" w:eastAsia="Times New Roman" w:hAnsi="Arial" w:cs="Arial"/>
          <w:kern w:val="0"/>
          <w:sz w:val="20"/>
          <w:szCs w:val="20"/>
          <w14:ligatures w14:val="none"/>
        </w:rPr>
        <w:t>Specific Objectives</w:t>
      </w:r>
    </w:p>
    <w:p w14:paraId="515950AA" w14:textId="22E4D1B4" w:rsidR="00015FAE" w:rsidRPr="00C317F1" w:rsidRDefault="00015FAE" w:rsidP="00015FAE">
      <w:pPr>
        <w:pStyle w:val="ListParagraph"/>
        <w:numPr>
          <w:ilvl w:val="0"/>
          <w:numId w:val="3"/>
        </w:numPr>
        <w:spacing w:before="100" w:beforeAutospacing="1" w:after="100" w:afterAutospacing="1" w:line="276" w:lineRule="auto"/>
        <w:jc w:val="both"/>
        <w:rPr>
          <w:rFonts w:ascii="Arial" w:eastAsia="Times New Roman" w:hAnsi="Arial" w:cs="Arial"/>
          <w:kern w:val="0"/>
          <w:sz w:val="20"/>
          <w:szCs w:val="20"/>
          <w14:ligatures w14:val="none"/>
        </w:rPr>
      </w:pPr>
      <w:r w:rsidRPr="00C317F1">
        <w:rPr>
          <w:rFonts w:ascii="Arial" w:eastAsia="Times New Roman" w:hAnsi="Arial" w:cs="Arial"/>
          <w:kern w:val="0"/>
          <w:sz w:val="20"/>
          <w:szCs w:val="20"/>
          <w14:ligatures w14:val="none"/>
        </w:rPr>
        <w:t>Model landscape &amp; performance: Catalogue AI/ML models and tasks; compare effectiveness using discrimination, calibration, timeliness/lead-time, robustness under drift, and cost-of-error; note deployment maturity.</w:t>
      </w:r>
    </w:p>
    <w:p w14:paraId="4697A6E4" w14:textId="104E70E0" w:rsidR="00015FAE" w:rsidRPr="00C317F1" w:rsidRDefault="00015FAE" w:rsidP="00015FAE">
      <w:pPr>
        <w:pStyle w:val="ListParagraph"/>
        <w:numPr>
          <w:ilvl w:val="0"/>
          <w:numId w:val="3"/>
        </w:numPr>
        <w:spacing w:before="100" w:beforeAutospacing="1" w:after="100" w:afterAutospacing="1" w:line="276" w:lineRule="auto"/>
        <w:jc w:val="both"/>
        <w:rPr>
          <w:rFonts w:ascii="Arial" w:eastAsia="Times New Roman" w:hAnsi="Arial" w:cs="Arial"/>
          <w:kern w:val="0"/>
          <w:sz w:val="20"/>
          <w:szCs w:val="20"/>
          <w14:ligatures w14:val="none"/>
        </w:rPr>
      </w:pPr>
      <w:r w:rsidRPr="00C317F1">
        <w:rPr>
          <w:rFonts w:ascii="Arial" w:eastAsia="Times New Roman" w:hAnsi="Arial" w:cs="Arial"/>
          <w:kern w:val="0"/>
          <w:sz w:val="20"/>
          <w:szCs w:val="20"/>
          <w14:ligatures w14:val="none"/>
        </w:rPr>
        <w:t>Risk coverage &amp; data foundations: Map risk domains (cyber, financial, operational, ESG/quality) to data sources (SEC filings, ERP/IoT, OSINT, registries, macro); assess availability, latency, quality, privacy, and bias contributions; recommend fusion patterns.</w:t>
      </w:r>
    </w:p>
    <w:p w14:paraId="20F24E81" w14:textId="7340E238" w:rsidR="00015FAE" w:rsidRPr="00C317F1" w:rsidRDefault="00015FAE" w:rsidP="00015FAE">
      <w:pPr>
        <w:pStyle w:val="ListParagraph"/>
        <w:numPr>
          <w:ilvl w:val="0"/>
          <w:numId w:val="3"/>
        </w:numPr>
        <w:spacing w:before="100" w:beforeAutospacing="1" w:after="100" w:afterAutospacing="1" w:line="276" w:lineRule="auto"/>
        <w:jc w:val="both"/>
        <w:rPr>
          <w:rFonts w:ascii="Arial" w:eastAsia="Times New Roman" w:hAnsi="Arial" w:cs="Arial"/>
          <w:kern w:val="0"/>
          <w:sz w:val="20"/>
          <w:szCs w:val="20"/>
          <w14:ligatures w14:val="none"/>
        </w:rPr>
      </w:pPr>
      <w:r w:rsidRPr="00C317F1">
        <w:rPr>
          <w:rFonts w:ascii="Arial" w:eastAsia="Times New Roman" w:hAnsi="Arial" w:cs="Arial"/>
          <w:kern w:val="0"/>
          <w:sz w:val="20"/>
          <w:szCs w:val="20"/>
          <w14:ligatures w14:val="none"/>
        </w:rPr>
        <w:t xml:space="preserve">Trust, governance &amp; adoption: Evaluate transparency, explainability, fairness, model-risk management, and </w:t>
      </w:r>
      <w:proofErr w:type="spellStart"/>
      <w:r w:rsidRPr="00C317F1">
        <w:rPr>
          <w:rFonts w:ascii="Arial" w:eastAsia="Times New Roman" w:hAnsi="Arial" w:cs="Arial"/>
          <w:kern w:val="0"/>
          <w:sz w:val="20"/>
          <w:szCs w:val="20"/>
          <w14:ligatures w14:val="none"/>
        </w:rPr>
        <w:t>MLOps</w:t>
      </w:r>
      <w:proofErr w:type="spellEnd"/>
      <w:r w:rsidRPr="00C317F1">
        <w:rPr>
          <w:rFonts w:ascii="Arial" w:eastAsia="Times New Roman" w:hAnsi="Arial" w:cs="Arial"/>
          <w:kern w:val="0"/>
          <w:sz w:val="20"/>
          <w:szCs w:val="20"/>
          <w14:ligatures w14:val="none"/>
        </w:rPr>
        <w:t xml:space="preserve"> integration into procurement/security/compliance workflows; propose a governance blueprint with monitoring and human-in-the-loop overrides.</w:t>
      </w:r>
    </w:p>
    <w:p w14:paraId="35991807" w14:textId="77777777" w:rsidR="00874BAE" w:rsidRPr="00C317F1" w:rsidRDefault="00874BAE" w:rsidP="00874BAE">
      <w:pPr>
        <w:spacing w:line="276" w:lineRule="auto"/>
        <w:jc w:val="both"/>
        <w:rPr>
          <w:rFonts w:ascii="Arial" w:hAnsi="Arial" w:cs="Arial"/>
          <w:b/>
          <w:bCs/>
          <w:sz w:val="22"/>
          <w:szCs w:val="22"/>
        </w:rPr>
      </w:pPr>
      <w:r w:rsidRPr="00C317F1">
        <w:rPr>
          <w:rFonts w:ascii="Arial" w:hAnsi="Arial" w:cs="Arial"/>
          <w:b/>
          <w:bCs/>
          <w:sz w:val="22"/>
          <w:szCs w:val="22"/>
        </w:rPr>
        <w:t>2. Methodology</w:t>
      </w:r>
    </w:p>
    <w:p w14:paraId="109399A3" w14:textId="2D3E3B2F" w:rsidR="00831B5E" w:rsidRPr="00C317F1" w:rsidRDefault="00831B5E" w:rsidP="00831B5E">
      <w:pPr>
        <w:spacing w:line="276" w:lineRule="auto"/>
        <w:jc w:val="both"/>
        <w:rPr>
          <w:rFonts w:ascii="Arial" w:hAnsi="Arial" w:cs="Arial"/>
          <w:sz w:val="20"/>
          <w:szCs w:val="20"/>
        </w:rPr>
      </w:pPr>
      <w:r w:rsidRPr="00C317F1">
        <w:rPr>
          <w:rFonts w:ascii="Arial" w:hAnsi="Arial" w:cs="Arial"/>
          <w:sz w:val="20"/>
          <w:szCs w:val="20"/>
        </w:rPr>
        <w:t>This review systematically investigated the model landscape, risk coverage, data foundations, and governance of AI/ML for third-party (vendor) risk analytics in U.S. supply chains. A structured, reproducible process was employed to identify, screen, and synthesize peer-reviewed primary studies and high-quality practice evidence that map to the manuscript's sections and research objectives.  Furthermore, an effort was made to identify deficiencies in calibration, drift monitoring, interpretability, and multi-tier visibility that impede reliable deployment.</w:t>
      </w:r>
    </w:p>
    <w:p w14:paraId="5D6B38FE" w14:textId="77777777" w:rsidR="00F671EB" w:rsidRDefault="00F671EB" w:rsidP="00831B5E">
      <w:pPr>
        <w:spacing w:line="276" w:lineRule="auto"/>
        <w:jc w:val="both"/>
        <w:rPr>
          <w:rFonts w:ascii="Arial" w:hAnsi="Arial" w:cs="Arial"/>
          <w:b/>
          <w:bCs/>
          <w:sz w:val="22"/>
          <w:szCs w:val="22"/>
        </w:rPr>
      </w:pPr>
    </w:p>
    <w:p w14:paraId="1B41D46C" w14:textId="001C6C16" w:rsidR="00831B5E" w:rsidRPr="00C317F1" w:rsidRDefault="00831B5E" w:rsidP="00831B5E">
      <w:pPr>
        <w:spacing w:line="276" w:lineRule="auto"/>
        <w:jc w:val="both"/>
        <w:rPr>
          <w:rFonts w:ascii="Arial" w:hAnsi="Arial" w:cs="Arial"/>
          <w:b/>
          <w:bCs/>
          <w:sz w:val="22"/>
          <w:szCs w:val="22"/>
        </w:rPr>
      </w:pPr>
      <w:r w:rsidRPr="00C317F1">
        <w:rPr>
          <w:rFonts w:ascii="Arial" w:hAnsi="Arial" w:cs="Arial"/>
          <w:b/>
          <w:bCs/>
          <w:sz w:val="22"/>
          <w:szCs w:val="22"/>
        </w:rPr>
        <w:lastRenderedPageBreak/>
        <w:t>2.1 Search Strategy</w:t>
      </w:r>
    </w:p>
    <w:p w14:paraId="3A90A6E6" w14:textId="6ACD2122" w:rsidR="00831B5E" w:rsidRPr="00C317F1" w:rsidRDefault="00831B5E" w:rsidP="00831B5E">
      <w:pPr>
        <w:spacing w:line="276" w:lineRule="auto"/>
        <w:jc w:val="both"/>
        <w:rPr>
          <w:rFonts w:ascii="Arial" w:hAnsi="Arial" w:cs="Arial"/>
          <w:sz w:val="20"/>
          <w:szCs w:val="20"/>
        </w:rPr>
      </w:pPr>
      <w:r w:rsidRPr="00C317F1">
        <w:rPr>
          <w:rFonts w:ascii="Arial" w:hAnsi="Arial" w:cs="Arial"/>
          <w:sz w:val="20"/>
          <w:szCs w:val="20"/>
        </w:rPr>
        <w:t>A comprehensive search was conducted across multiple databases, including Scopus, Web of Science, IEEE Xplore, ACM Digital Library, PubMed, and ScienceDirect. This approach was complemented by Google Scholar to ensure comprehensive coverage. A query was constructed to combine controlled terms and free-text synonyms to maximize recall. The query was formulated as follows: ("third-party risk" OR "vendor risk" OR "supplier risk" OR "supply chain risk analytics") AND ("United States" OR "U.S." OR "SEC" OR "FDA" OR "HHS"). The query was then expanded to include the following terms: ("machine learning" OR "AI" OR "NLP" OR "topic modeling" OR "graph" OR "time-series") AND ("cyber" OR "financial distress" OR "operational" OR "ESG" OR "quality") AND ("ERP" OR "IoT" OR "OSINT/adverse media" OR "10-K/10-Q"). Limits: English; 2015–2025. Additionally, a comprehensive review of the reference lists of the included papers was conducted. The industry and policy reports on model-risk governance were reviewed solely to contextualize the findings from the peer-reviewed studies. For each record, the following variables were extracted: risk domain, sector, U.S. anchoring, data sources (SEC filings; ERP/IoT/logistics; HHS/FDA; OSINT), model family, target/labels, evaluation (AUC/PR/F1; MAE/MAPE/RMSE; calibration/timeliness), interpretability, drift handling, deployment maturity, and governance artifacts.</w:t>
      </w:r>
    </w:p>
    <w:p w14:paraId="4EEE37C5" w14:textId="7F86F257" w:rsidR="00024CE9" w:rsidRDefault="00955CD2" w:rsidP="00955CD2">
      <w:pPr>
        <w:spacing w:line="276" w:lineRule="auto"/>
        <w:jc w:val="both"/>
        <w:rPr>
          <w:rFonts w:ascii="Arial" w:hAnsi="Arial" w:cs="Arial"/>
          <w:b/>
          <w:bCs/>
          <w:sz w:val="22"/>
          <w:szCs w:val="22"/>
        </w:rPr>
      </w:pPr>
      <w:r w:rsidRPr="00C317F1">
        <w:rPr>
          <w:rFonts w:ascii="Arial" w:hAnsi="Arial" w:cs="Arial"/>
          <w:b/>
          <w:bCs/>
          <w:sz w:val="22"/>
          <w:szCs w:val="22"/>
        </w:rPr>
        <w:t xml:space="preserve">2.2 </w:t>
      </w:r>
      <w:r w:rsidR="00024CE9">
        <w:rPr>
          <w:rFonts w:ascii="Arial" w:hAnsi="Arial" w:cs="Arial"/>
          <w:b/>
          <w:bCs/>
          <w:sz w:val="22"/>
          <w:szCs w:val="22"/>
        </w:rPr>
        <w:t>Inclusion and Exclusion Criteria</w:t>
      </w:r>
    </w:p>
    <w:p w14:paraId="727A6FC9" w14:textId="35A5E42D" w:rsidR="00955CD2" w:rsidRPr="00C317F1" w:rsidRDefault="00024CE9" w:rsidP="00955CD2">
      <w:pPr>
        <w:spacing w:line="276" w:lineRule="auto"/>
        <w:jc w:val="both"/>
        <w:rPr>
          <w:rFonts w:ascii="Arial" w:hAnsi="Arial" w:cs="Arial"/>
          <w:b/>
          <w:bCs/>
          <w:sz w:val="22"/>
          <w:szCs w:val="22"/>
        </w:rPr>
      </w:pPr>
      <w:r>
        <w:rPr>
          <w:rFonts w:ascii="Arial" w:hAnsi="Arial" w:cs="Arial"/>
          <w:b/>
          <w:bCs/>
          <w:sz w:val="22"/>
          <w:szCs w:val="22"/>
        </w:rPr>
        <w:t xml:space="preserve">2.2.1 </w:t>
      </w:r>
      <w:r w:rsidR="00955CD2" w:rsidRPr="00C317F1">
        <w:rPr>
          <w:rFonts w:ascii="Arial" w:hAnsi="Arial" w:cs="Arial"/>
          <w:b/>
          <w:bCs/>
          <w:sz w:val="22"/>
          <w:szCs w:val="22"/>
        </w:rPr>
        <w:t>Inclusion Criteria</w:t>
      </w:r>
    </w:p>
    <w:p w14:paraId="7476E898" w14:textId="77777777" w:rsidR="00955CD2" w:rsidRPr="00C317F1" w:rsidRDefault="00955CD2" w:rsidP="00955CD2">
      <w:pPr>
        <w:spacing w:line="276" w:lineRule="auto"/>
        <w:jc w:val="both"/>
        <w:rPr>
          <w:rFonts w:ascii="Arial" w:hAnsi="Arial" w:cs="Arial"/>
          <w:sz w:val="20"/>
          <w:szCs w:val="20"/>
        </w:rPr>
      </w:pPr>
      <w:r w:rsidRPr="00C317F1">
        <w:rPr>
          <w:rFonts w:ascii="Arial" w:hAnsi="Arial" w:cs="Arial"/>
          <w:sz w:val="20"/>
          <w:szCs w:val="20"/>
        </w:rPr>
        <w:t>Studies were eligible if they:</w:t>
      </w:r>
    </w:p>
    <w:p w14:paraId="0810BDAB" w14:textId="77777777" w:rsidR="00955CD2" w:rsidRPr="00C317F1" w:rsidRDefault="00955CD2" w:rsidP="00955CD2">
      <w:pPr>
        <w:pStyle w:val="ListParagraph"/>
        <w:numPr>
          <w:ilvl w:val="0"/>
          <w:numId w:val="4"/>
        </w:numPr>
        <w:spacing w:line="276" w:lineRule="auto"/>
        <w:jc w:val="both"/>
        <w:rPr>
          <w:rFonts w:ascii="Arial" w:hAnsi="Arial" w:cs="Arial"/>
          <w:sz w:val="20"/>
          <w:szCs w:val="20"/>
        </w:rPr>
      </w:pPr>
      <w:r w:rsidRPr="00C317F1">
        <w:rPr>
          <w:rFonts w:ascii="Arial" w:hAnsi="Arial" w:cs="Arial"/>
          <w:sz w:val="20"/>
          <w:szCs w:val="20"/>
        </w:rPr>
        <w:t>Examined AI/ML methods (supervised/unsupervised, NLP/LLM, time-series/forecasting, ensembles) applied to third-party/vendor risk in U.S. supply chains;</w:t>
      </w:r>
    </w:p>
    <w:p w14:paraId="548DC01E" w14:textId="77777777" w:rsidR="00955CD2" w:rsidRPr="00C317F1" w:rsidRDefault="00955CD2" w:rsidP="00955CD2">
      <w:pPr>
        <w:pStyle w:val="ListParagraph"/>
        <w:numPr>
          <w:ilvl w:val="0"/>
          <w:numId w:val="4"/>
        </w:numPr>
        <w:spacing w:line="276" w:lineRule="auto"/>
        <w:jc w:val="both"/>
        <w:rPr>
          <w:rFonts w:ascii="Arial" w:hAnsi="Arial" w:cs="Arial"/>
          <w:sz w:val="20"/>
          <w:szCs w:val="20"/>
        </w:rPr>
      </w:pPr>
      <w:r w:rsidRPr="00C317F1">
        <w:rPr>
          <w:rFonts w:ascii="Arial" w:hAnsi="Arial" w:cs="Arial"/>
          <w:sz w:val="20"/>
          <w:szCs w:val="20"/>
        </w:rPr>
        <w:t>Addressed ≥1 risk domain (cyber, financial, operational, ESG/quality);</w:t>
      </w:r>
    </w:p>
    <w:p w14:paraId="5E056E94" w14:textId="77777777" w:rsidR="00955CD2" w:rsidRPr="00C317F1" w:rsidRDefault="00955CD2" w:rsidP="00955CD2">
      <w:pPr>
        <w:pStyle w:val="ListParagraph"/>
        <w:numPr>
          <w:ilvl w:val="0"/>
          <w:numId w:val="4"/>
        </w:numPr>
        <w:spacing w:line="276" w:lineRule="auto"/>
        <w:jc w:val="both"/>
        <w:rPr>
          <w:rFonts w:ascii="Arial" w:hAnsi="Arial" w:cs="Arial"/>
          <w:sz w:val="20"/>
          <w:szCs w:val="20"/>
        </w:rPr>
      </w:pPr>
      <w:r w:rsidRPr="00C317F1">
        <w:rPr>
          <w:rFonts w:ascii="Arial" w:hAnsi="Arial" w:cs="Arial"/>
          <w:sz w:val="20"/>
          <w:szCs w:val="20"/>
        </w:rPr>
        <w:t xml:space="preserve"> Used relevant data foundations (SEC 10-K/10-Q, ERP/procurement, IoT/logistics, OSINT/adverse media, HHS/FDA);</w:t>
      </w:r>
    </w:p>
    <w:p w14:paraId="21DE2F81" w14:textId="77777777" w:rsidR="00955CD2" w:rsidRPr="00C317F1" w:rsidRDefault="00955CD2" w:rsidP="00955CD2">
      <w:pPr>
        <w:pStyle w:val="ListParagraph"/>
        <w:numPr>
          <w:ilvl w:val="0"/>
          <w:numId w:val="4"/>
        </w:numPr>
        <w:spacing w:line="276" w:lineRule="auto"/>
        <w:jc w:val="both"/>
        <w:rPr>
          <w:rFonts w:ascii="Arial" w:hAnsi="Arial" w:cs="Arial"/>
          <w:sz w:val="20"/>
          <w:szCs w:val="20"/>
        </w:rPr>
      </w:pPr>
      <w:r w:rsidRPr="00C317F1">
        <w:rPr>
          <w:rFonts w:ascii="Arial" w:hAnsi="Arial" w:cs="Arial"/>
          <w:sz w:val="20"/>
          <w:szCs w:val="20"/>
        </w:rPr>
        <w:t>Reported evaluation with discrimination/error metrics and, where available, calibration and/or timeliness/lead-time;</w:t>
      </w:r>
    </w:p>
    <w:p w14:paraId="5DE73522" w14:textId="02E838F8" w:rsidR="00831B5E" w:rsidRPr="00C317F1" w:rsidRDefault="00955CD2" w:rsidP="00955CD2">
      <w:pPr>
        <w:pStyle w:val="ListParagraph"/>
        <w:numPr>
          <w:ilvl w:val="0"/>
          <w:numId w:val="4"/>
        </w:numPr>
        <w:spacing w:line="276" w:lineRule="auto"/>
        <w:jc w:val="both"/>
        <w:rPr>
          <w:rFonts w:ascii="Arial" w:hAnsi="Arial" w:cs="Arial"/>
          <w:sz w:val="20"/>
          <w:szCs w:val="20"/>
        </w:rPr>
      </w:pPr>
      <w:r w:rsidRPr="00C317F1">
        <w:rPr>
          <w:rFonts w:ascii="Arial" w:hAnsi="Arial" w:cs="Arial"/>
          <w:sz w:val="20"/>
          <w:szCs w:val="20"/>
        </w:rPr>
        <w:t>Provided methodological detail sufficient for data extraction and thematic synthesis.</w:t>
      </w:r>
    </w:p>
    <w:p w14:paraId="16DFCE7A" w14:textId="766AC23D" w:rsidR="00955CD2" w:rsidRPr="00C317F1" w:rsidRDefault="00024CE9" w:rsidP="00955CD2">
      <w:pPr>
        <w:spacing w:line="276" w:lineRule="auto"/>
        <w:jc w:val="both"/>
        <w:rPr>
          <w:rFonts w:ascii="Arial" w:hAnsi="Arial" w:cs="Arial"/>
          <w:b/>
          <w:bCs/>
          <w:sz w:val="22"/>
          <w:szCs w:val="22"/>
        </w:rPr>
      </w:pPr>
      <w:r w:rsidRPr="00C317F1">
        <w:rPr>
          <w:rFonts w:ascii="Arial" w:hAnsi="Arial" w:cs="Arial"/>
          <w:b/>
          <w:bCs/>
          <w:sz w:val="22"/>
          <w:szCs w:val="22"/>
        </w:rPr>
        <w:t>2.</w:t>
      </w:r>
      <w:r>
        <w:rPr>
          <w:rFonts w:ascii="Arial" w:hAnsi="Arial" w:cs="Arial"/>
          <w:b/>
          <w:bCs/>
          <w:sz w:val="22"/>
          <w:szCs w:val="22"/>
        </w:rPr>
        <w:t xml:space="preserve">2.2 </w:t>
      </w:r>
      <w:r w:rsidRPr="00C317F1">
        <w:rPr>
          <w:rFonts w:ascii="Arial" w:hAnsi="Arial" w:cs="Arial"/>
          <w:b/>
          <w:bCs/>
          <w:sz w:val="22"/>
          <w:szCs w:val="22"/>
        </w:rPr>
        <w:t>Exclusion</w:t>
      </w:r>
      <w:r w:rsidR="00955CD2" w:rsidRPr="00C317F1">
        <w:rPr>
          <w:rFonts w:ascii="Arial" w:hAnsi="Arial" w:cs="Arial"/>
          <w:b/>
          <w:bCs/>
          <w:sz w:val="22"/>
          <w:szCs w:val="22"/>
        </w:rPr>
        <w:t xml:space="preserve"> Criteria</w:t>
      </w:r>
    </w:p>
    <w:p w14:paraId="2300CA61" w14:textId="77777777" w:rsidR="00955CD2" w:rsidRPr="00C317F1" w:rsidRDefault="00955CD2" w:rsidP="00955CD2">
      <w:pPr>
        <w:spacing w:line="276" w:lineRule="auto"/>
        <w:jc w:val="both"/>
        <w:rPr>
          <w:rFonts w:ascii="Arial" w:hAnsi="Arial" w:cs="Arial"/>
          <w:sz w:val="20"/>
          <w:szCs w:val="20"/>
        </w:rPr>
      </w:pPr>
      <w:r w:rsidRPr="00C317F1">
        <w:rPr>
          <w:rFonts w:ascii="Arial" w:hAnsi="Arial" w:cs="Arial"/>
          <w:sz w:val="20"/>
          <w:szCs w:val="20"/>
        </w:rPr>
        <w:t>Records were excluded if they:</w:t>
      </w:r>
    </w:p>
    <w:p w14:paraId="5F39C7FE" w14:textId="77777777" w:rsidR="00955CD2" w:rsidRPr="00C317F1" w:rsidRDefault="00955CD2" w:rsidP="00955CD2">
      <w:pPr>
        <w:pStyle w:val="ListParagraph"/>
        <w:numPr>
          <w:ilvl w:val="0"/>
          <w:numId w:val="5"/>
        </w:numPr>
        <w:spacing w:line="276" w:lineRule="auto"/>
        <w:jc w:val="both"/>
        <w:rPr>
          <w:rFonts w:ascii="Arial" w:hAnsi="Arial" w:cs="Arial"/>
          <w:sz w:val="20"/>
          <w:szCs w:val="20"/>
        </w:rPr>
      </w:pPr>
      <w:r w:rsidRPr="00C317F1">
        <w:rPr>
          <w:rFonts w:ascii="Arial" w:hAnsi="Arial" w:cs="Arial"/>
          <w:sz w:val="20"/>
          <w:szCs w:val="20"/>
        </w:rPr>
        <w:t xml:space="preserve"> Were non-U.S., non-English, or outside 2015–2025;</w:t>
      </w:r>
    </w:p>
    <w:p w14:paraId="76CF7F60" w14:textId="77777777" w:rsidR="00955CD2" w:rsidRPr="00C317F1" w:rsidRDefault="00955CD2" w:rsidP="00955CD2">
      <w:pPr>
        <w:pStyle w:val="ListParagraph"/>
        <w:numPr>
          <w:ilvl w:val="0"/>
          <w:numId w:val="5"/>
        </w:numPr>
        <w:spacing w:line="276" w:lineRule="auto"/>
        <w:jc w:val="both"/>
        <w:rPr>
          <w:rFonts w:ascii="Arial" w:hAnsi="Arial" w:cs="Arial"/>
          <w:sz w:val="20"/>
          <w:szCs w:val="20"/>
        </w:rPr>
      </w:pPr>
      <w:r w:rsidRPr="00C317F1">
        <w:rPr>
          <w:rFonts w:ascii="Arial" w:hAnsi="Arial" w:cs="Arial"/>
          <w:sz w:val="20"/>
          <w:szCs w:val="20"/>
        </w:rPr>
        <w:t xml:space="preserve"> Were purely rules-based (e.g., checklists/thresholds) without analytical/learning components;</w:t>
      </w:r>
    </w:p>
    <w:p w14:paraId="6F54FB8B" w14:textId="77777777" w:rsidR="00955CD2" w:rsidRPr="00C317F1" w:rsidRDefault="00955CD2" w:rsidP="00955CD2">
      <w:pPr>
        <w:pStyle w:val="ListParagraph"/>
        <w:numPr>
          <w:ilvl w:val="0"/>
          <w:numId w:val="5"/>
        </w:numPr>
        <w:spacing w:line="276" w:lineRule="auto"/>
        <w:jc w:val="both"/>
        <w:rPr>
          <w:rFonts w:ascii="Arial" w:hAnsi="Arial" w:cs="Arial"/>
          <w:sz w:val="20"/>
          <w:szCs w:val="20"/>
        </w:rPr>
      </w:pPr>
      <w:r w:rsidRPr="00C317F1">
        <w:rPr>
          <w:rFonts w:ascii="Arial" w:hAnsi="Arial" w:cs="Arial"/>
          <w:sz w:val="20"/>
          <w:szCs w:val="20"/>
        </w:rPr>
        <w:t>Lacked empirical or substantive conceptual relevance (e.g., promotional material) or insufficient methodological transparency;</w:t>
      </w:r>
    </w:p>
    <w:p w14:paraId="5D0C319A" w14:textId="5093CBB0" w:rsidR="00987B5D" w:rsidRDefault="00955CD2" w:rsidP="00987B5D">
      <w:pPr>
        <w:pStyle w:val="ListParagraph"/>
        <w:numPr>
          <w:ilvl w:val="0"/>
          <w:numId w:val="5"/>
        </w:numPr>
        <w:spacing w:line="276" w:lineRule="auto"/>
        <w:jc w:val="both"/>
        <w:rPr>
          <w:rFonts w:ascii="Arial" w:hAnsi="Arial" w:cs="Arial"/>
          <w:sz w:val="20"/>
          <w:szCs w:val="20"/>
        </w:rPr>
      </w:pPr>
      <w:r w:rsidRPr="00C317F1">
        <w:rPr>
          <w:rFonts w:ascii="Arial" w:hAnsi="Arial" w:cs="Arial"/>
          <w:sz w:val="20"/>
          <w:szCs w:val="20"/>
        </w:rPr>
        <w:t>Duplicated the same dataset/case without new analysis (the most comprehensive, methodologically robust version was retained).</w:t>
      </w:r>
    </w:p>
    <w:p w14:paraId="32B8B8C3" w14:textId="689A7C1E" w:rsidR="009E70D3" w:rsidRDefault="009E70D3" w:rsidP="009E70D3">
      <w:pPr>
        <w:spacing w:line="276" w:lineRule="auto"/>
        <w:jc w:val="both"/>
        <w:rPr>
          <w:rFonts w:ascii="Arial" w:hAnsi="Arial" w:cs="Arial"/>
          <w:b/>
          <w:bCs/>
          <w:sz w:val="20"/>
          <w:szCs w:val="20"/>
        </w:rPr>
      </w:pPr>
      <w:r w:rsidRPr="009E70D3">
        <w:rPr>
          <w:rFonts w:ascii="Arial" w:hAnsi="Arial" w:cs="Arial"/>
          <w:b/>
          <w:bCs/>
          <w:sz w:val="20"/>
          <w:szCs w:val="20"/>
        </w:rPr>
        <w:t>2.</w:t>
      </w:r>
      <w:r w:rsidR="00024CE9">
        <w:rPr>
          <w:rFonts w:ascii="Arial" w:hAnsi="Arial" w:cs="Arial"/>
          <w:b/>
          <w:bCs/>
          <w:sz w:val="20"/>
          <w:szCs w:val="20"/>
        </w:rPr>
        <w:t>3</w:t>
      </w:r>
      <w:r w:rsidRPr="009E70D3">
        <w:rPr>
          <w:rFonts w:ascii="Arial" w:hAnsi="Arial" w:cs="Arial"/>
          <w:b/>
          <w:bCs/>
          <w:sz w:val="20"/>
          <w:szCs w:val="20"/>
        </w:rPr>
        <w:t xml:space="preserve"> Quality appraisal</w:t>
      </w:r>
    </w:p>
    <w:p w14:paraId="519F00D3" w14:textId="2EEB1098" w:rsidR="009E70D3" w:rsidRPr="00680444" w:rsidRDefault="00680444" w:rsidP="009E70D3">
      <w:pPr>
        <w:spacing w:line="276" w:lineRule="auto"/>
        <w:jc w:val="both"/>
        <w:rPr>
          <w:rFonts w:ascii="Arial" w:hAnsi="Arial" w:cs="Arial"/>
          <w:sz w:val="20"/>
          <w:szCs w:val="20"/>
        </w:rPr>
      </w:pPr>
      <w:r w:rsidRPr="00680444">
        <w:rPr>
          <w:rFonts w:ascii="Arial" w:hAnsi="Arial" w:cs="Arial"/>
          <w:sz w:val="20"/>
          <w:szCs w:val="20"/>
        </w:rPr>
        <w:t>A preliminary investigation was conducted to assess the appropriateness of the study type and the quality of the research methods employed. This investigation involved the following three steps: (</w:t>
      </w:r>
      <w:proofErr w:type="spellStart"/>
      <w:r w:rsidRPr="00680444">
        <w:rPr>
          <w:rFonts w:ascii="Arial" w:hAnsi="Arial" w:cs="Arial"/>
          <w:sz w:val="20"/>
          <w:szCs w:val="20"/>
        </w:rPr>
        <w:t>i</w:t>
      </w:r>
      <w:proofErr w:type="spellEnd"/>
      <w:r w:rsidRPr="00680444">
        <w:rPr>
          <w:rFonts w:ascii="Arial" w:hAnsi="Arial" w:cs="Arial"/>
          <w:sz w:val="20"/>
          <w:szCs w:val="20"/>
        </w:rPr>
        <w:t xml:space="preserve">) a screening of predictive </w:t>
      </w:r>
      <w:r w:rsidR="00024CE9">
        <w:rPr>
          <w:rFonts w:ascii="Arial" w:hAnsi="Arial" w:cs="Arial"/>
          <w:sz w:val="20"/>
          <w:szCs w:val="20"/>
        </w:rPr>
        <w:t>modelling</w:t>
      </w:r>
      <w:r w:rsidRPr="00680444">
        <w:rPr>
          <w:rFonts w:ascii="Arial" w:hAnsi="Arial" w:cs="Arial"/>
          <w:sz w:val="20"/>
          <w:szCs w:val="20"/>
        </w:rPr>
        <w:t xml:space="preserve"> studies using a PROBAST-style checklist, encompassing participants, predictors, outcomes, and analysis; (ii) an examination of quasi-experimental impact papers for identification strategy; and (iii) a review of time-series/forecasting studies for leakage controls, drift handling, and out-of-sample evaluation protocol. A summary table is provided in Table 1; however, due to the presence of significant heterogeneity among the metrics, a meta-analysis was not conducted.</w:t>
      </w:r>
    </w:p>
    <w:p w14:paraId="1ED791EB" w14:textId="77777777" w:rsidR="00024CE9" w:rsidRDefault="00024CE9" w:rsidP="00955CD2">
      <w:pPr>
        <w:spacing w:line="276" w:lineRule="auto"/>
        <w:jc w:val="both"/>
        <w:rPr>
          <w:rFonts w:ascii="Arial" w:hAnsi="Arial" w:cs="Arial"/>
          <w:b/>
          <w:bCs/>
          <w:sz w:val="22"/>
          <w:szCs w:val="22"/>
        </w:rPr>
      </w:pPr>
    </w:p>
    <w:p w14:paraId="0732D242" w14:textId="770BE831" w:rsidR="00955CD2" w:rsidRPr="00C317F1" w:rsidRDefault="00955CD2" w:rsidP="00955CD2">
      <w:pPr>
        <w:spacing w:line="276" w:lineRule="auto"/>
        <w:jc w:val="both"/>
        <w:rPr>
          <w:rFonts w:ascii="Arial" w:hAnsi="Arial" w:cs="Arial"/>
          <w:b/>
          <w:bCs/>
          <w:sz w:val="22"/>
          <w:szCs w:val="22"/>
        </w:rPr>
      </w:pPr>
      <w:r w:rsidRPr="00C317F1">
        <w:rPr>
          <w:rFonts w:ascii="Arial" w:hAnsi="Arial" w:cs="Arial"/>
          <w:b/>
          <w:bCs/>
          <w:sz w:val="22"/>
          <w:szCs w:val="22"/>
        </w:rPr>
        <w:t xml:space="preserve">2.4 Case Study Selection and Thematic </w:t>
      </w:r>
      <w:proofErr w:type="spellStart"/>
      <w:r w:rsidRPr="00C317F1">
        <w:rPr>
          <w:rFonts w:ascii="Arial" w:hAnsi="Arial" w:cs="Arial"/>
          <w:b/>
          <w:bCs/>
          <w:sz w:val="22"/>
          <w:szCs w:val="22"/>
        </w:rPr>
        <w:t>Categorisation</w:t>
      </w:r>
      <w:proofErr w:type="spellEnd"/>
    </w:p>
    <w:p w14:paraId="585D610E" w14:textId="6102E11D" w:rsidR="00955CD2" w:rsidRDefault="00955CD2" w:rsidP="00955CD2">
      <w:pPr>
        <w:spacing w:line="276" w:lineRule="auto"/>
        <w:jc w:val="both"/>
        <w:rPr>
          <w:rFonts w:ascii="Arial" w:hAnsi="Arial" w:cs="Arial"/>
          <w:color w:val="002060"/>
          <w:sz w:val="20"/>
          <w:szCs w:val="20"/>
        </w:rPr>
      </w:pPr>
      <w:r w:rsidRPr="00C317F1">
        <w:rPr>
          <w:rFonts w:ascii="Arial" w:hAnsi="Arial" w:cs="Arial"/>
          <w:sz w:val="20"/>
          <w:szCs w:val="20"/>
        </w:rPr>
        <w:t xml:space="preserve">The application of these criteria resulted in the identification of 15 U.S. studies/cases. For each case, we systematically documented the sector, risk category, data sources, model class, target/outcome, metrics (AUC/PR/F1; MAE/MAPE/RMSE; calibration/timeliness), interpretability </w:t>
      </w:r>
      <w:r w:rsidR="00024CE9">
        <w:rPr>
          <w:rFonts w:ascii="Arial" w:hAnsi="Arial" w:cs="Arial"/>
          <w:sz w:val="20"/>
          <w:szCs w:val="20"/>
        </w:rPr>
        <w:t>artefacts</w:t>
      </w:r>
      <w:r w:rsidRPr="00C317F1">
        <w:rPr>
          <w:rFonts w:ascii="Arial" w:hAnsi="Arial" w:cs="Arial"/>
          <w:sz w:val="20"/>
          <w:szCs w:val="20"/>
        </w:rPr>
        <w:t xml:space="preserve">, deployment maturity, and governance notes (documentation, validation, monitoring, overrides). The evidence was methodically </w:t>
      </w:r>
      <w:proofErr w:type="spellStart"/>
      <w:r w:rsidR="00024CE9">
        <w:rPr>
          <w:rFonts w:ascii="Arial" w:hAnsi="Arial" w:cs="Arial"/>
          <w:sz w:val="20"/>
          <w:szCs w:val="20"/>
        </w:rPr>
        <w:t>organised</w:t>
      </w:r>
      <w:proofErr w:type="spellEnd"/>
      <w:r w:rsidRPr="00C317F1">
        <w:rPr>
          <w:rFonts w:ascii="Arial" w:hAnsi="Arial" w:cs="Arial"/>
          <w:sz w:val="20"/>
          <w:szCs w:val="20"/>
        </w:rPr>
        <w:t xml:space="preserve"> into three domains, aligning with the review objectives. The first component is entitled "Model Landscape &amp; Performance." The second component is entitled "Risk Coverage &amp; Data Foundations." The third component is entitled "Trust, Governance &amp; Adoption Pathways." The aforementioned structure provided the foundational framework for synthesis in the Results and Discussion sections. This structure enabled cross-domain comparisons, facilitated the identification of recurring gaps (e.g., calibration and drift management), and contributed to the articulation of a governance blueprint. The governance blueprint linked people, processes, technology, and governance controls to U.S. compliance and resilience outcomes.</w:t>
      </w:r>
      <w:r w:rsidR="00024CE9">
        <w:rPr>
          <w:rFonts w:ascii="Arial" w:hAnsi="Arial" w:cs="Arial"/>
          <w:sz w:val="20"/>
          <w:szCs w:val="20"/>
        </w:rPr>
        <w:t xml:space="preserve"> </w:t>
      </w:r>
      <w:r w:rsidR="00024CE9" w:rsidRPr="002D39D8">
        <w:rPr>
          <w:rFonts w:ascii="Arial" w:hAnsi="Arial" w:cs="Arial"/>
          <w:color w:val="002060"/>
          <w:sz w:val="20"/>
          <w:szCs w:val="20"/>
        </w:rPr>
        <w:t>Given the heterogeneity of targets and metrics (AUC/PR/F1 for classifiers; MAE/MAPE/RMSE for forecasts), cross-study comparisons are qualitative in nature. We refrain from pooled effect estimates and instead organize findings by task type with consistent metric families.</w:t>
      </w:r>
    </w:p>
    <w:p w14:paraId="17DE9F2B" w14:textId="77777777" w:rsidR="00F671EB" w:rsidRDefault="00F671EB" w:rsidP="00955CD2">
      <w:pPr>
        <w:spacing w:line="276" w:lineRule="auto"/>
        <w:jc w:val="both"/>
        <w:rPr>
          <w:rFonts w:ascii="Arial" w:hAnsi="Arial" w:cs="Arial"/>
          <w:color w:val="002060"/>
          <w:sz w:val="20"/>
          <w:szCs w:val="20"/>
        </w:rPr>
      </w:pPr>
    </w:p>
    <w:p w14:paraId="0493C308" w14:textId="4C920DE1" w:rsidR="00F671EB" w:rsidRDefault="008C32EA" w:rsidP="008C32EA">
      <w:pPr>
        <w:spacing w:line="276" w:lineRule="auto"/>
        <w:jc w:val="center"/>
        <w:rPr>
          <w:rFonts w:ascii="Arial" w:hAnsi="Arial" w:cs="Arial"/>
          <w:color w:val="002060"/>
          <w:sz w:val="20"/>
          <w:szCs w:val="20"/>
        </w:rPr>
      </w:pPr>
      <w:r>
        <w:rPr>
          <w:rFonts w:ascii="Arial" w:hAnsi="Arial" w:cs="Arial"/>
          <w:noProof/>
          <w:color w:val="002060"/>
          <w:sz w:val="20"/>
          <w:szCs w:val="20"/>
        </w:rPr>
        <w:drawing>
          <wp:inline distT="0" distB="0" distL="0" distR="0" wp14:anchorId="02C638A2" wp14:editId="55C781AA">
            <wp:extent cx="4941235" cy="3611880"/>
            <wp:effectExtent l="0" t="0" r="0" b="7620"/>
            <wp:docPr id="2108372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6950" cy="3623367"/>
                    </a:xfrm>
                    <a:prstGeom prst="rect">
                      <a:avLst/>
                    </a:prstGeom>
                    <a:noFill/>
                  </pic:spPr>
                </pic:pic>
              </a:graphicData>
            </a:graphic>
          </wp:inline>
        </w:drawing>
      </w:r>
    </w:p>
    <w:p w14:paraId="2AF0EE28" w14:textId="2A426BDA" w:rsidR="00F671EB" w:rsidRDefault="00F671EB" w:rsidP="00F671EB">
      <w:pPr>
        <w:spacing w:line="276" w:lineRule="auto"/>
        <w:jc w:val="center"/>
        <w:rPr>
          <w:rFonts w:ascii="Arial" w:hAnsi="Arial" w:cs="Arial"/>
          <w:color w:val="002060"/>
          <w:sz w:val="20"/>
          <w:szCs w:val="20"/>
        </w:rPr>
      </w:pPr>
      <w:r>
        <w:rPr>
          <w:rFonts w:ascii="Arial" w:hAnsi="Arial" w:cs="Arial"/>
          <w:color w:val="002060"/>
          <w:sz w:val="20"/>
          <w:szCs w:val="20"/>
        </w:rPr>
        <w:t>Figure 1: Prisma Flow Diagram</w:t>
      </w:r>
    </w:p>
    <w:p w14:paraId="615B186E" w14:textId="77777777" w:rsidR="00F671EB" w:rsidRDefault="00F671EB" w:rsidP="00955CD2">
      <w:pPr>
        <w:spacing w:line="276" w:lineRule="auto"/>
        <w:jc w:val="both"/>
        <w:rPr>
          <w:rFonts w:ascii="Arial" w:hAnsi="Arial" w:cs="Arial"/>
          <w:color w:val="002060"/>
          <w:sz w:val="20"/>
          <w:szCs w:val="20"/>
        </w:rPr>
      </w:pPr>
    </w:p>
    <w:p w14:paraId="083DEC7C" w14:textId="77777777" w:rsidR="008C32EA" w:rsidRDefault="008C32EA" w:rsidP="00015FAE">
      <w:pPr>
        <w:spacing w:line="276" w:lineRule="auto"/>
        <w:jc w:val="both"/>
        <w:rPr>
          <w:rFonts w:ascii="Arial" w:hAnsi="Arial" w:cs="Arial"/>
          <w:b/>
          <w:bCs/>
          <w:sz w:val="22"/>
          <w:szCs w:val="22"/>
        </w:rPr>
      </w:pPr>
    </w:p>
    <w:p w14:paraId="5DE5DBE7" w14:textId="77777777" w:rsidR="008C32EA" w:rsidRDefault="008C32EA" w:rsidP="00015FAE">
      <w:pPr>
        <w:spacing w:line="276" w:lineRule="auto"/>
        <w:jc w:val="both"/>
        <w:rPr>
          <w:rFonts w:ascii="Arial" w:hAnsi="Arial" w:cs="Arial"/>
          <w:b/>
          <w:bCs/>
          <w:sz w:val="22"/>
          <w:szCs w:val="22"/>
        </w:rPr>
      </w:pPr>
    </w:p>
    <w:p w14:paraId="001E437C" w14:textId="4AA603A0" w:rsidR="00304DD2" w:rsidRPr="00C317F1" w:rsidRDefault="005A3B5F" w:rsidP="00015FAE">
      <w:pPr>
        <w:spacing w:line="276" w:lineRule="auto"/>
        <w:jc w:val="both"/>
        <w:rPr>
          <w:rFonts w:ascii="Arial" w:hAnsi="Arial" w:cs="Arial"/>
          <w:b/>
          <w:bCs/>
          <w:sz w:val="22"/>
          <w:szCs w:val="22"/>
        </w:rPr>
      </w:pPr>
      <w:r w:rsidRPr="00C317F1">
        <w:rPr>
          <w:rFonts w:ascii="Arial" w:hAnsi="Arial" w:cs="Arial"/>
          <w:b/>
          <w:bCs/>
          <w:sz w:val="22"/>
          <w:szCs w:val="22"/>
        </w:rPr>
        <w:lastRenderedPageBreak/>
        <w:t>3.0 Result</w:t>
      </w:r>
    </w:p>
    <w:p w14:paraId="55931BAE" w14:textId="076A1AA9" w:rsidR="005A3B5F" w:rsidRPr="00C317F1" w:rsidRDefault="005A3B5F" w:rsidP="00015FAE">
      <w:pPr>
        <w:spacing w:line="276" w:lineRule="auto"/>
        <w:jc w:val="both"/>
        <w:rPr>
          <w:rFonts w:ascii="Arial" w:hAnsi="Arial" w:cs="Arial"/>
          <w:b/>
          <w:bCs/>
          <w:sz w:val="22"/>
          <w:szCs w:val="22"/>
        </w:rPr>
      </w:pPr>
      <w:r w:rsidRPr="00C317F1">
        <w:rPr>
          <w:rFonts w:ascii="Arial" w:hAnsi="Arial" w:cs="Arial"/>
          <w:b/>
          <w:bCs/>
          <w:sz w:val="22"/>
          <w:szCs w:val="22"/>
        </w:rPr>
        <w:t>3.</w:t>
      </w:r>
      <w:r w:rsidR="00955CD2" w:rsidRPr="00C317F1">
        <w:rPr>
          <w:rFonts w:ascii="Arial" w:hAnsi="Arial" w:cs="Arial"/>
          <w:b/>
          <w:bCs/>
          <w:sz w:val="22"/>
          <w:szCs w:val="22"/>
        </w:rPr>
        <w:t>1</w:t>
      </w:r>
      <w:r w:rsidRPr="00C317F1">
        <w:rPr>
          <w:rFonts w:ascii="Arial" w:hAnsi="Arial" w:cs="Arial"/>
          <w:b/>
          <w:bCs/>
          <w:sz w:val="22"/>
          <w:szCs w:val="22"/>
        </w:rPr>
        <w:t xml:space="preserve"> Summary of Study Characteristics</w:t>
      </w:r>
    </w:p>
    <w:p w14:paraId="25428129" w14:textId="5397B3E3" w:rsidR="005A3B5F" w:rsidRPr="00C317F1" w:rsidRDefault="00987B5D" w:rsidP="00015FAE">
      <w:pPr>
        <w:spacing w:line="276" w:lineRule="auto"/>
        <w:jc w:val="both"/>
        <w:rPr>
          <w:rFonts w:ascii="Arial" w:hAnsi="Arial" w:cs="Arial"/>
          <w:sz w:val="20"/>
          <w:szCs w:val="20"/>
        </w:rPr>
      </w:pPr>
      <w:r w:rsidRPr="00987B5D">
        <w:rPr>
          <w:rFonts w:ascii="Arial" w:hAnsi="Arial" w:cs="Arial"/>
          <w:sz w:val="20"/>
          <w:szCs w:val="20"/>
        </w:rPr>
        <w:t>The identification, screening, eligibility, and inclusion of participants followed the PRISMA 2020 guidelines. A flow diagram (Figure</w:t>
      </w:r>
      <w:r>
        <w:rPr>
          <w:rFonts w:ascii="Arial" w:hAnsi="Arial" w:cs="Arial"/>
          <w:sz w:val="20"/>
          <w:szCs w:val="20"/>
        </w:rPr>
        <w:t xml:space="preserve"> </w:t>
      </w:r>
      <w:r w:rsidRPr="00987B5D">
        <w:rPr>
          <w:rFonts w:ascii="Arial" w:hAnsi="Arial" w:cs="Arial"/>
          <w:sz w:val="20"/>
          <w:szCs w:val="20"/>
        </w:rPr>
        <w:t>1) details the records identified across databases, de-duplicated, screened by title/abstract, assessed in full text, and included</w:t>
      </w:r>
      <w:r>
        <w:rPr>
          <w:rFonts w:ascii="Arial" w:hAnsi="Arial" w:cs="Arial"/>
          <w:sz w:val="20"/>
          <w:szCs w:val="20"/>
        </w:rPr>
        <w:t xml:space="preserve">. </w:t>
      </w:r>
      <w:r w:rsidR="00E94D3B" w:rsidRPr="00C317F1">
        <w:rPr>
          <w:rFonts w:ascii="Arial" w:hAnsi="Arial" w:cs="Arial"/>
          <w:sz w:val="20"/>
          <w:szCs w:val="20"/>
        </w:rPr>
        <w:t>The included U.S. case studies</w:t>
      </w:r>
      <w:r w:rsidR="00ED65D3" w:rsidRPr="00C317F1">
        <w:rPr>
          <w:rFonts w:ascii="Arial" w:hAnsi="Arial" w:cs="Arial"/>
          <w:sz w:val="20"/>
          <w:szCs w:val="20"/>
        </w:rPr>
        <w:t xml:space="preserve"> (</w:t>
      </w:r>
      <w:r w:rsidR="00463530">
        <w:rPr>
          <w:rFonts w:ascii="Arial" w:hAnsi="Arial" w:cs="Arial"/>
          <w:sz w:val="20"/>
          <w:szCs w:val="20"/>
        </w:rPr>
        <w:t>Table</w:t>
      </w:r>
      <w:r w:rsidR="00ED65D3" w:rsidRPr="00C317F1">
        <w:rPr>
          <w:rFonts w:ascii="Arial" w:hAnsi="Arial" w:cs="Arial"/>
          <w:sz w:val="20"/>
          <w:szCs w:val="20"/>
        </w:rPr>
        <w:t xml:space="preserve"> 1)</w:t>
      </w:r>
      <w:r w:rsidR="00E94D3B" w:rsidRPr="00C317F1">
        <w:rPr>
          <w:rFonts w:ascii="Arial" w:hAnsi="Arial" w:cs="Arial"/>
          <w:sz w:val="20"/>
          <w:szCs w:val="20"/>
        </w:rPr>
        <w:t xml:space="preserve"> span the sectors of healthcare, manufacturing, finance, and automotive supply. The samples are drawn from SEC 10-K/10-Q narratives and earnings calls, inbound-logistics and ERP records, IoT/telemetry records, HHS breach and FDA recall registries, and macroeconomic indicators</w:t>
      </w:r>
      <w:r w:rsidR="005425B7">
        <w:rPr>
          <w:rFonts w:ascii="Arial" w:hAnsi="Arial" w:cs="Arial"/>
          <w:sz w:val="20"/>
          <w:szCs w:val="20"/>
        </w:rPr>
        <w:t xml:space="preserve">. </w:t>
      </w:r>
      <w:r w:rsidR="005425B7" w:rsidRPr="002D39D8">
        <w:rPr>
          <w:rFonts w:ascii="Arial" w:hAnsi="Arial" w:cs="Arial"/>
          <w:color w:val="002060"/>
          <w:sz w:val="20"/>
          <w:szCs w:val="20"/>
        </w:rPr>
        <w:t>Table 2 provides a comprehensive overview of the domains, data foundations, and model families</w:t>
      </w:r>
      <w:r w:rsidR="00E94D3B" w:rsidRPr="002D39D8">
        <w:rPr>
          <w:rFonts w:ascii="Arial" w:hAnsi="Arial" w:cs="Arial"/>
          <w:color w:val="002060"/>
          <w:sz w:val="20"/>
          <w:szCs w:val="20"/>
        </w:rPr>
        <w:t xml:space="preserve">. </w:t>
      </w:r>
      <w:r w:rsidR="00E94D3B" w:rsidRPr="00C317F1">
        <w:rPr>
          <w:rFonts w:ascii="Arial" w:hAnsi="Arial" w:cs="Arial"/>
          <w:sz w:val="20"/>
          <w:szCs w:val="20"/>
        </w:rPr>
        <w:t xml:space="preserve">The insurance policy encompasses a range of potential risks, including cyber threats, financial distress, operational reliability and lead-time, and environmental, social, and governance (ESG) concerns, as well as quality issues. The methods encompass supervised classification/regression (logit, trees, GBMs), deep learning for text and time series, topic modelling (LDA), and ensembles. The targets encompass a range of metrics, including breach likelihood, bankruptcy/default, delivery ETA or delay risk, recall probability, and disclosure-derived risk topics. The metrics reported </w:t>
      </w:r>
      <w:proofErr w:type="spellStart"/>
      <w:r w:rsidR="00E94D3B" w:rsidRPr="00C317F1">
        <w:rPr>
          <w:rFonts w:ascii="Arial" w:hAnsi="Arial" w:cs="Arial"/>
          <w:sz w:val="20"/>
          <w:szCs w:val="20"/>
        </w:rPr>
        <w:t>emphasise</w:t>
      </w:r>
      <w:proofErr w:type="spellEnd"/>
      <w:r w:rsidR="00E94D3B" w:rsidRPr="00C317F1">
        <w:rPr>
          <w:rFonts w:ascii="Arial" w:hAnsi="Arial" w:cs="Arial"/>
          <w:sz w:val="20"/>
          <w:szCs w:val="20"/>
        </w:rPr>
        <w:t xml:space="preserve"> the area under the curve (AUC), the precision-recall (PR) curve, the F1 score for classifiers, and the mean absolute error (MAE), the mean absolute percentage error (MAPE), and the root mean square error (RMSE) for forecasts. Lead time is occasionally shown for forecasts. The deployment maturity of these systems ranges from research-grade prototypes to pilot or production-adjacent implementations within major U.S. </w:t>
      </w:r>
      <w:proofErr w:type="spellStart"/>
      <w:r w:rsidR="00E94D3B" w:rsidRPr="00C317F1">
        <w:rPr>
          <w:rFonts w:ascii="Arial" w:hAnsi="Arial" w:cs="Arial"/>
          <w:sz w:val="20"/>
          <w:szCs w:val="20"/>
        </w:rPr>
        <w:t>organisations</w:t>
      </w:r>
      <w:proofErr w:type="spellEnd"/>
      <w:r w:rsidR="00E94D3B" w:rsidRPr="00C317F1">
        <w:rPr>
          <w:rFonts w:ascii="Arial" w:hAnsi="Arial" w:cs="Arial"/>
          <w:sz w:val="20"/>
          <w:szCs w:val="20"/>
        </w:rPr>
        <w:t>. It is important to note that data sets can vary significantly in terms of size and completeness.</w:t>
      </w:r>
    </w:p>
    <w:p w14:paraId="4B7073E8" w14:textId="1937D63A" w:rsidR="005A3B5F" w:rsidRPr="00C317F1" w:rsidRDefault="005A3B5F" w:rsidP="00015FAE">
      <w:pPr>
        <w:spacing w:line="276" w:lineRule="auto"/>
        <w:jc w:val="both"/>
        <w:rPr>
          <w:rFonts w:ascii="Arial" w:hAnsi="Arial" w:cs="Arial"/>
          <w:b/>
          <w:bCs/>
          <w:sz w:val="22"/>
          <w:szCs w:val="22"/>
        </w:rPr>
      </w:pPr>
      <w:r w:rsidRPr="00C317F1">
        <w:rPr>
          <w:rFonts w:ascii="Arial" w:hAnsi="Arial" w:cs="Arial"/>
          <w:b/>
          <w:bCs/>
          <w:sz w:val="22"/>
          <w:szCs w:val="22"/>
        </w:rPr>
        <w:t>3.3 Thematic Analysis</w:t>
      </w:r>
    </w:p>
    <w:p w14:paraId="5ABC1E0A" w14:textId="7F3E5CFC" w:rsidR="005A3B5F" w:rsidRPr="00C317F1" w:rsidRDefault="005A3B5F" w:rsidP="00015FAE">
      <w:pPr>
        <w:spacing w:line="276" w:lineRule="auto"/>
        <w:jc w:val="both"/>
        <w:rPr>
          <w:rFonts w:ascii="Arial" w:hAnsi="Arial" w:cs="Arial"/>
          <w:b/>
          <w:bCs/>
          <w:sz w:val="22"/>
          <w:szCs w:val="22"/>
        </w:rPr>
      </w:pPr>
      <w:r w:rsidRPr="00C317F1">
        <w:rPr>
          <w:rFonts w:ascii="Arial" w:hAnsi="Arial" w:cs="Arial"/>
          <w:b/>
          <w:bCs/>
          <w:sz w:val="22"/>
          <w:szCs w:val="22"/>
        </w:rPr>
        <w:t xml:space="preserve">Theme 1: Model Landscape &amp; Performance </w:t>
      </w:r>
    </w:p>
    <w:p w14:paraId="048A51AE" w14:textId="5F5C5779" w:rsidR="005A3B5F" w:rsidRPr="00C317F1" w:rsidRDefault="005A3B5F" w:rsidP="00015FAE">
      <w:pPr>
        <w:spacing w:line="276" w:lineRule="auto"/>
        <w:jc w:val="both"/>
        <w:rPr>
          <w:rFonts w:ascii="Arial" w:hAnsi="Arial" w:cs="Arial"/>
          <w:sz w:val="20"/>
          <w:szCs w:val="20"/>
        </w:rPr>
      </w:pPr>
      <w:r w:rsidRPr="00C317F1">
        <w:rPr>
          <w:rFonts w:ascii="Arial" w:hAnsi="Arial" w:cs="Arial"/>
          <w:sz w:val="20"/>
          <w:szCs w:val="20"/>
        </w:rPr>
        <w:t>The application of deep learning techniques to regulatory text has been demonstrated to enhance the prediction of financial distress, a process that involves the extraction of semantically rich cues from 10-K narratives (Mai et al., 2019). Transfer-learned NLP features from earnings calls have been shown to improve bankruptcy classification beyond the limitations of ratios and market signals (Siddiqui et al., 2023). The application of topic modelling to bank risk factors has yielded emergent categories that are conducive to the longitudinal monitoring of portfolio exposure (Hanley and Hoberg, 2019). Multi-label classifiers on Item 1A map granular risk taxonomies for enterprise scoring (Grundy and Petry, 2021). During the pandemic, there have been significant shifts in the topics discussed, resulting in a reallocation of operational and Environmental, Social, and Governance (ESG) exposure across firms (Cao and Ren, 2022). Mandatory cyber-risk disclosures support supervised incident prediction, illustrating governance-compatible text pipelines for cyber vendor scoring (Kesari, 2022). In the field of healthcare, supervised models have been developed that link external cybersecurity ratings to breach likelihood, thereby informing vendor due diligence triage (Choi and Johnson, 2021). Quality and safety risks are modelled via supervised classifiers to forecast device recalls with lead times (</w:t>
      </w:r>
      <w:proofErr w:type="spellStart"/>
      <w:r w:rsidRPr="00C317F1">
        <w:rPr>
          <w:rFonts w:ascii="Arial" w:hAnsi="Arial" w:cs="Arial"/>
          <w:sz w:val="20"/>
          <w:szCs w:val="20"/>
        </w:rPr>
        <w:t>Slivinskis</w:t>
      </w:r>
      <w:proofErr w:type="spellEnd"/>
      <w:r w:rsidRPr="00C317F1">
        <w:rPr>
          <w:rFonts w:ascii="Arial" w:hAnsi="Arial" w:cs="Arial"/>
          <w:sz w:val="20"/>
          <w:szCs w:val="20"/>
        </w:rPr>
        <w:t xml:space="preserve"> et al., 2024). Ensemble regressors and gradient boosting have been shown to refine ETA forecasts during disruptions, thereby enabling proactive replanning (Camur et al., 2024). Research on small-batch manufacturing indicates that the incorporation of fused transactional features leads to a reduction in lead-time error (</w:t>
      </w:r>
      <w:proofErr w:type="spellStart"/>
      <w:r w:rsidRPr="00C317F1">
        <w:rPr>
          <w:rFonts w:ascii="Arial" w:hAnsi="Arial" w:cs="Arial"/>
          <w:sz w:val="20"/>
          <w:szCs w:val="20"/>
        </w:rPr>
        <w:t>Rokoss</w:t>
      </w:r>
      <w:proofErr w:type="spellEnd"/>
      <w:r w:rsidRPr="00C317F1">
        <w:rPr>
          <w:rFonts w:ascii="Arial" w:hAnsi="Arial" w:cs="Arial"/>
          <w:sz w:val="20"/>
          <w:szCs w:val="20"/>
        </w:rPr>
        <w:t xml:space="preserve"> et al., 2024). Disclosure signals have been demonstrated to impact inventories and returns, thereby establishing a nexus between model outputs and decisions in volatile U.S. demand conditions (Kroes et al., 2025).</w:t>
      </w:r>
    </w:p>
    <w:p w14:paraId="24209EE0" w14:textId="4D4E6380" w:rsidR="005A3B5F" w:rsidRPr="00C317F1" w:rsidRDefault="005A3B5F" w:rsidP="00015FAE">
      <w:pPr>
        <w:spacing w:line="276" w:lineRule="auto"/>
        <w:jc w:val="both"/>
        <w:rPr>
          <w:rFonts w:ascii="Arial" w:hAnsi="Arial" w:cs="Arial"/>
          <w:b/>
          <w:bCs/>
          <w:sz w:val="22"/>
          <w:szCs w:val="22"/>
        </w:rPr>
      </w:pPr>
      <w:r w:rsidRPr="00C317F1">
        <w:rPr>
          <w:rFonts w:ascii="Arial" w:hAnsi="Arial" w:cs="Arial"/>
          <w:b/>
          <w:bCs/>
          <w:sz w:val="22"/>
          <w:szCs w:val="22"/>
        </w:rPr>
        <w:t>Theme 2:  Risk Coverage &amp; Data Foundations</w:t>
      </w:r>
    </w:p>
    <w:p w14:paraId="377D4D45" w14:textId="6D7BFDA9" w:rsidR="00DC2DDF" w:rsidRPr="00C317F1" w:rsidRDefault="00DC2DDF" w:rsidP="00015FAE">
      <w:pPr>
        <w:spacing w:line="276" w:lineRule="auto"/>
        <w:jc w:val="both"/>
        <w:rPr>
          <w:rFonts w:ascii="Arial" w:hAnsi="Arial" w:cs="Arial"/>
          <w:sz w:val="20"/>
          <w:szCs w:val="20"/>
        </w:rPr>
      </w:pPr>
      <w:r w:rsidRPr="00C317F1">
        <w:rPr>
          <w:rFonts w:ascii="Arial" w:hAnsi="Arial" w:cs="Arial"/>
          <w:sz w:val="20"/>
          <w:szCs w:val="20"/>
        </w:rPr>
        <w:t xml:space="preserve">The cyber vendor risk assessment employs external ratings that are correlated with breaches in U.S. hospitals (Choi and Johnson, 2021). Post-breach productivity losses demonstrate that cyber risk has a </w:t>
      </w:r>
      <w:r w:rsidRPr="00C317F1">
        <w:rPr>
          <w:rFonts w:ascii="Arial" w:hAnsi="Arial" w:cs="Arial"/>
          <w:sz w:val="20"/>
          <w:szCs w:val="20"/>
        </w:rPr>
        <w:lastRenderedPageBreak/>
        <w:t xml:space="preserve">cascading effect on operations (Lee and Choi, 2021). As posited by Mai et al. (2019), 10-K narratives yield signals that enhance bankruptcy prediction beyond ratios. The subjects of bank risk as outlined in Item 1A support the monitoring of emerging risks (Hanley and Hoberg, 2019). The innovation intensity, as estimated from the 10-K text, provides ESG-relevant comparators for resilience planning (Nousiainen et al., 2024). The </w:t>
      </w:r>
      <w:proofErr w:type="spellStart"/>
      <w:r w:rsidRPr="00C317F1">
        <w:rPr>
          <w:rFonts w:ascii="Arial" w:hAnsi="Arial" w:cs="Arial"/>
          <w:sz w:val="20"/>
          <w:szCs w:val="20"/>
        </w:rPr>
        <w:t>utilisation</w:t>
      </w:r>
      <w:proofErr w:type="spellEnd"/>
      <w:r w:rsidRPr="00C317F1">
        <w:rPr>
          <w:rFonts w:ascii="Arial" w:hAnsi="Arial" w:cs="Arial"/>
          <w:sz w:val="20"/>
          <w:szCs w:val="20"/>
        </w:rPr>
        <w:t xml:space="preserve"> of ensemble regressors on inbound logistics and ERP data has been demonstrated to enhance the accuracy of estimated delivery times (ETAs) during periods of disruption, thereby informing procurement actions (Camur et al., 2024). According to </w:t>
      </w:r>
      <w:proofErr w:type="spellStart"/>
      <w:r w:rsidRPr="00C317F1">
        <w:rPr>
          <w:rFonts w:ascii="Arial" w:hAnsi="Arial" w:cs="Arial"/>
          <w:sz w:val="20"/>
          <w:szCs w:val="20"/>
        </w:rPr>
        <w:t>Rokoss</w:t>
      </w:r>
      <w:proofErr w:type="spellEnd"/>
      <w:r w:rsidRPr="00C317F1">
        <w:rPr>
          <w:rFonts w:ascii="Arial" w:hAnsi="Arial" w:cs="Arial"/>
          <w:sz w:val="20"/>
          <w:szCs w:val="20"/>
        </w:rPr>
        <w:t xml:space="preserve"> et al. (2024), the implementation of a small-batch firm model has been demonstrated to effectively mitigate lead-time error through the integration of transactional and shop-floor features. The integration of macro indicators with supply-chain Key Performance Indicators (KPIs) has been demonstrated to facilitate the provision of early warnings regarding delivery delays (Gabellini et al., 2024). Disclosure-based supply chain risk signals have been associated with inventory slack and stock returns, thereby linking analytics to decisions (Kroes et al., 2025). The reweighting of disclosure topics during the pandemic period indicates a shift in operational and ESG exposure that models must track (Cao and Ren, 2022). The amalgamation of these findings prompts the integration of multi-source fusion across text, ERP, IoT, and macro pipelines for the purpose of robust third-party risk scoring (Camur et al., 2024). Mandatory cyber disclosures have been shown to add predictive text signals for incident targeting (Kesari, 2022).</w:t>
      </w:r>
    </w:p>
    <w:p w14:paraId="2904D672" w14:textId="370E5A42" w:rsidR="005A3B5F" w:rsidRPr="00C317F1" w:rsidRDefault="00DC2DDF" w:rsidP="00015FAE">
      <w:pPr>
        <w:spacing w:line="276" w:lineRule="auto"/>
        <w:jc w:val="both"/>
        <w:rPr>
          <w:rFonts w:ascii="Arial" w:hAnsi="Arial" w:cs="Arial"/>
          <w:b/>
          <w:bCs/>
          <w:sz w:val="22"/>
          <w:szCs w:val="22"/>
        </w:rPr>
      </w:pPr>
      <w:r w:rsidRPr="00C317F1">
        <w:rPr>
          <w:rFonts w:ascii="Arial" w:hAnsi="Arial" w:cs="Arial"/>
          <w:b/>
          <w:bCs/>
          <w:sz w:val="22"/>
          <w:szCs w:val="22"/>
        </w:rPr>
        <w:t>Theme 3: Trust, Governance &amp; Adoption Pathways</w:t>
      </w:r>
    </w:p>
    <w:p w14:paraId="7E704CDB" w14:textId="720A63D1" w:rsidR="00BD4A5A" w:rsidRPr="00C317F1" w:rsidRDefault="00DC2DDF" w:rsidP="00015FAE">
      <w:pPr>
        <w:spacing w:line="276" w:lineRule="auto"/>
        <w:jc w:val="both"/>
        <w:rPr>
          <w:rFonts w:ascii="Arial" w:hAnsi="Arial" w:cs="Arial"/>
          <w:b/>
          <w:bCs/>
          <w:sz w:val="20"/>
          <w:szCs w:val="20"/>
        </w:rPr>
      </w:pPr>
      <w:r w:rsidRPr="00C317F1">
        <w:rPr>
          <w:rFonts w:ascii="Arial" w:hAnsi="Arial" w:cs="Arial"/>
          <w:sz w:val="20"/>
          <w:szCs w:val="20"/>
        </w:rPr>
        <w:t>Mandated cyber disclosures provide governance-compatible inputs while enabling auditable prediction workflows for incident risk (Kesari, 2022). As posited by Choi and Johnson (2021), vendor assessments necessitate not only bias testing but also ongoing monitoring to ensure adequate external rating coverage and representativeness. The observed productivity losses following breaches substantiate the necessity for human-in-the-loop escalation protocols within operational playbooks (Lee and Choi, 2021). Disclosure signals associated with inventory slack and returns inform business-aligned thresholds and override protocols (Kroes et al., 2025). The shift in focus to pandemic-era issues has prompted a recalibration of third-party risk scores and the introduction of drift dashboards (Cao and Ren, 2022). Granular multi-risk taxonomies from 10-K text require change-control to manage label evolution and consistency (Grundy and Petry, n.d.). Text-based proxies necessitate outcome checks to mitigate the mismeasurement of ESG or innovation signals (Nousiainen et al., 2024). Feature importance and partial-dependence plots facilitate stakeholder sign-off during disrupted operations (Camur et al., 2024). Cross-site transfer has been demonstrated to be associated with concept drift and limitations on external validity (</w:t>
      </w:r>
      <w:proofErr w:type="spellStart"/>
      <w:r w:rsidRPr="00C317F1">
        <w:rPr>
          <w:rFonts w:ascii="Arial" w:hAnsi="Arial" w:cs="Arial"/>
          <w:sz w:val="20"/>
          <w:szCs w:val="20"/>
        </w:rPr>
        <w:t>Rokoss</w:t>
      </w:r>
      <w:proofErr w:type="spellEnd"/>
      <w:r w:rsidRPr="00C317F1">
        <w:rPr>
          <w:rFonts w:ascii="Arial" w:hAnsi="Arial" w:cs="Arial"/>
          <w:sz w:val="20"/>
          <w:szCs w:val="20"/>
        </w:rPr>
        <w:t xml:space="preserve"> et al., 2024). As posited by Gabellini et al. (2024), early-warning horizons and timeliness metrics should be incorporated into risk acceptance criteria for delay forecasting. Recall-risk prediction has been demonstrated to highlight regulatory alignment, incident reporting readiness, and escalation SLAs (</w:t>
      </w:r>
      <w:proofErr w:type="spellStart"/>
      <w:r w:rsidRPr="00C317F1">
        <w:rPr>
          <w:rFonts w:ascii="Arial" w:hAnsi="Arial" w:cs="Arial"/>
          <w:sz w:val="20"/>
          <w:szCs w:val="20"/>
        </w:rPr>
        <w:t>Slivinskis</w:t>
      </w:r>
      <w:proofErr w:type="spellEnd"/>
      <w:r w:rsidRPr="00C317F1">
        <w:rPr>
          <w:rFonts w:ascii="Arial" w:hAnsi="Arial" w:cs="Arial"/>
          <w:sz w:val="20"/>
          <w:szCs w:val="20"/>
        </w:rPr>
        <w:t xml:space="preserve"> et al., 2024). Transcription </w:t>
      </w:r>
      <w:r w:rsidR="00E94D3B" w:rsidRPr="00C317F1">
        <w:rPr>
          <w:rFonts w:ascii="Arial" w:hAnsi="Arial" w:cs="Arial"/>
          <w:sz w:val="20"/>
          <w:szCs w:val="20"/>
        </w:rPr>
        <w:t>artefacts</w:t>
      </w:r>
      <w:r w:rsidRPr="00C317F1">
        <w:rPr>
          <w:rFonts w:ascii="Arial" w:hAnsi="Arial" w:cs="Arial"/>
          <w:sz w:val="20"/>
          <w:szCs w:val="20"/>
        </w:rPr>
        <w:t xml:space="preserve"> in call data underscore the necessity of documentation of provenance and quality assurance (QA) to control bias propagation (Siddiqui et al., 2023).</w:t>
      </w:r>
    </w:p>
    <w:p w14:paraId="4E7846BB" w14:textId="77777777" w:rsidR="00BD4A5A" w:rsidRPr="00C317F1" w:rsidRDefault="00BD4A5A" w:rsidP="00015FAE">
      <w:pPr>
        <w:spacing w:line="276" w:lineRule="auto"/>
        <w:jc w:val="both"/>
        <w:rPr>
          <w:rFonts w:ascii="Arial" w:hAnsi="Arial" w:cs="Arial"/>
          <w:b/>
          <w:bCs/>
          <w:sz w:val="22"/>
          <w:szCs w:val="22"/>
        </w:rPr>
        <w:sectPr w:rsidR="00BD4A5A" w:rsidRPr="00C317F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D35C389" w14:textId="5E36A6A7" w:rsidR="00BD4A5A" w:rsidRPr="00C317F1" w:rsidRDefault="004F7253" w:rsidP="004F7253">
      <w:pPr>
        <w:spacing w:line="276" w:lineRule="auto"/>
        <w:jc w:val="center"/>
        <w:rPr>
          <w:rFonts w:ascii="Arial" w:hAnsi="Arial" w:cs="Arial"/>
          <w:sz w:val="20"/>
          <w:szCs w:val="20"/>
        </w:rPr>
      </w:pPr>
      <w:r w:rsidRPr="00C317F1">
        <w:rPr>
          <w:rFonts w:ascii="Arial" w:hAnsi="Arial" w:cs="Arial"/>
          <w:b/>
          <w:sz w:val="20"/>
          <w:szCs w:val="20"/>
        </w:rPr>
        <w:lastRenderedPageBreak/>
        <w:t>Table 1: Summary of Included Studies</w:t>
      </w:r>
    </w:p>
    <w:tbl>
      <w:tblPr>
        <w:tblStyle w:val="TableGrid"/>
        <w:tblW w:w="0" w:type="auto"/>
        <w:tblInd w:w="-572" w:type="dxa"/>
        <w:tblLook w:val="04A0" w:firstRow="1" w:lastRow="0" w:firstColumn="1" w:lastColumn="0" w:noHBand="0" w:noVBand="1"/>
      </w:tblPr>
      <w:tblGrid>
        <w:gridCol w:w="848"/>
        <w:gridCol w:w="1016"/>
        <w:gridCol w:w="1331"/>
        <w:gridCol w:w="1303"/>
        <w:gridCol w:w="967"/>
        <w:gridCol w:w="1318"/>
        <w:gridCol w:w="911"/>
        <w:gridCol w:w="854"/>
        <w:gridCol w:w="1920"/>
        <w:gridCol w:w="1128"/>
        <w:gridCol w:w="749"/>
        <w:gridCol w:w="1177"/>
      </w:tblGrid>
      <w:tr w:rsidR="00BD4A5A" w:rsidRPr="00C317F1" w14:paraId="7C386DA9" w14:textId="77777777" w:rsidTr="00636CA7">
        <w:tc>
          <w:tcPr>
            <w:tcW w:w="1581" w:type="dxa"/>
          </w:tcPr>
          <w:p w14:paraId="029B346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Short citation (Year, Journal)</w:t>
            </w:r>
          </w:p>
        </w:tc>
        <w:tc>
          <w:tcPr>
            <w:tcW w:w="973" w:type="dxa"/>
          </w:tcPr>
          <w:p w14:paraId="1736919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Sector</w:t>
            </w:r>
          </w:p>
        </w:tc>
        <w:tc>
          <w:tcPr>
            <w:tcW w:w="1255" w:type="dxa"/>
          </w:tcPr>
          <w:p w14:paraId="237C017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Risk category</w:t>
            </w:r>
          </w:p>
        </w:tc>
        <w:tc>
          <w:tcPr>
            <w:tcW w:w="1212" w:type="dxa"/>
          </w:tcPr>
          <w:p w14:paraId="6751C24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Data sources (primary)</w:t>
            </w:r>
          </w:p>
        </w:tc>
        <w:tc>
          <w:tcPr>
            <w:tcW w:w="894" w:type="dxa"/>
          </w:tcPr>
          <w:p w14:paraId="4697A5B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Model class</w:t>
            </w:r>
          </w:p>
        </w:tc>
        <w:tc>
          <w:tcPr>
            <w:tcW w:w="1227" w:type="dxa"/>
          </w:tcPr>
          <w:p w14:paraId="42BC471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Target/outcome</w:t>
            </w:r>
          </w:p>
        </w:tc>
        <w:tc>
          <w:tcPr>
            <w:tcW w:w="831" w:type="dxa"/>
          </w:tcPr>
          <w:p w14:paraId="4C00751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Metrics reported</w:t>
            </w:r>
          </w:p>
        </w:tc>
        <w:tc>
          <w:tcPr>
            <w:tcW w:w="838" w:type="dxa"/>
          </w:tcPr>
          <w:p w14:paraId="489868C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Key finding (concise)</w:t>
            </w:r>
          </w:p>
        </w:tc>
        <w:tc>
          <w:tcPr>
            <w:tcW w:w="1821" w:type="dxa"/>
          </w:tcPr>
          <w:p w14:paraId="19F8F62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Interpretability/transparency</w:t>
            </w:r>
          </w:p>
        </w:tc>
        <w:tc>
          <w:tcPr>
            <w:tcW w:w="1086" w:type="dxa"/>
          </w:tcPr>
          <w:p w14:paraId="7F074DA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Deployment maturity</w:t>
            </w:r>
          </w:p>
        </w:tc>
        <w:tc>
          <w:tcPr>
            <w:tcW w:w="704" w:type="dxa"/>
          </w:tcPr>
          <w:p w14:paraId="563A7DD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U.S. anchor &amp; sample</w:t>
            </w:r>
          </w:p>
        </w:tc>
        <w:tc>
          <w:tcPr>
            <w:tcW w:w="1100" w:type="dxa"/>
          </w:tcPr>
          <w:p w14:paraId="1CFBA01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Limitations/bias notes</w:t>
            </w:r>
          </w:p>
        </w:tc>
      </w:tr>
      <w:tr w:rsidR="00BD4A5A" w:rsidRPr="00C317F1" w14:paraId="64D16110" w14:textId="77777777" w:rsidTr="00636CA7">
        <w:tc>
          <w:tcPr>
            <w:tcW w:w="1581" w:type="dxa"/>
          </w:tcPr>
          <w:p w14:paraId="1BD3E329" w14:textId="64FFDAF8"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Choi &amp; Johnson (2021)</w:t>
            </w:r>
          </w:p>
        </w:tc>
        <w:tc>
          <w:tcPr>
            <w:tcW w:w="973" w:type="dxa"/>
          </w:tcPr>
          <w:p w14:paraId="2ABE4BA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Healthcare</w:t>
            </w:r>
          </w:p>
        </w:tc>
        <w:tc>
          <w:tcPr>
            <w:tcW w:w="1255" w:type="dxa"/>
          </w:tcPr>
          <w:p w14:paraId="616807A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Cyber</w:t>
            </w:r>
          </w:p>
        </w:tc>
        <w:tc>
          <w:tcPr>
            <w:tcW w:w="1212" w:type="dxa"/>
          </w:tcPr>
          <w:p w14:paraId="6EFA52E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External cyber ratings; HHS breach registry</w:t>
            </w:r>
          </w:p>
        </w:tc>
        <w:tc>
          <w:tcPr>
            <w:tcW w:w="894" w:type="dxa"/>
          </w:tcPr>
          <w:p w14:paraId="144C5652"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Supervised (logit/tree)</w:t>
            </w:r>
          </w:p>
        </w:tc>
        <w:tc>
          <w:tcPr>
            <w:tcW w:w="1227" w:type="dxa"/>
          </w:tcPr>
          <w:p w14:paraId="4F9843F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Hospital breach probability</w:t>
            </w:r>
          </w:p>
        </w:tc>
        <w:tc>
          <w:tcPr>
            <w:tcW w:w="831" w:type="dxa"/>
          </w:tcPr>
          <w:p w14:paraId="1F73E26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AUC; OR; CI</w:t>
            </w:r>
          </w:p>
        </w:tc>
        <w:tc>
          <w:tcPr>
            <w:tcW w:w="838" w:type="dxa"/>
          </w:tcPr>
          <w:p w14:paraId="3BC0449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Ratings are associated with breach likelihood</w:t>
            </w:r>
          </w:p>
        </w:tc>
        <w:tc>
          <w:tcPr>
            <w:tcW w:w="1821" w:type="dxa"/>
          </w:tcPr>
          <w:p w14:paraId="5A13DB7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Coefficients; robustness checks</w:t>
            </w:r>
          </w:p>
        </w:tc>
        <w:tc>
          <w:tcPr>
            <w:tcW w:w="1086" w:type="dxa"/>
          </w:tcPr>
          <w:p w14:paraId="46D6A40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Observational / policy-informative</w:t>
            </w:r>
          </w:p>
        </w:tc>
        <w:tc>
          <w:tcPr>
            <w:tcW w:w="704" w:type="dxa"/>
          </w:tcPr>
          <w:p w14:paraId="335F141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hospitals, multi-year</w:t>
            </w:r>
          </w:p>
        </w:tc>
        <w:tc>
          <w:tcPr>
            <w:tcW w:w="1100" w:type="dxa"/>
          </w:tcPr>
          <w:p w14:paraId="619323CD"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Confounding; coverage bias</w:t>
            </w:r>
          </w:p>
        </w:tc>
      </w:tr>
      <w:tr w:rsidR="00BD4A5A" w:rsidRPr="00C317F1" w14:paraId="4FA9F061" w14:textId="77777777" w:rsidTr="00636CA7">
        <w:tc>
          <w:tcPr>
            <w:tcW w:w="1581" w:type="dxa"/>
          </w:tcPr>
          <w:p w14:paraId="4F858ABD" w14:textId="468046CB"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Lee et al. (2021)</w:t>
            </w:r>
          </w:p>
        </w:tc>
        <w:tc>
          <w:tcPr>
            <w:tcW w:w="973" w:type="dxa"/>
          </w:tcPr>
          <w:p w14:paraId="51284C0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Healthcare</w:t>
            </w:r>
          </w:p>
        </w:tc>
        <w:tc>
          <w:tcPr>
            <w:tcW w:w="1255" w:type="dxa"/>
          </w:tcPr>
          <w:p w14:paraId="11F97A71" w14:textId="77777777" w:rsidR="00BD4A5A" w:rsidRPr="00C317F1" w:rsidRDefault="00BD4A5A" w:rsidP="00015FAE">
            <w:pPr>
              <w:spacing w:line="276" w:lineRule="auto"/>
              <w:jc w:val="both"/>
              <w:rPr>
                <w:rFonts w:ascii="Arial" w:hAnsi="Arial" w:cs="Arial"/>
                <w:sz w:val="20"/>
                <w:szCs w:val="20"/>
              </w:rPr>
            </w:pPr>
            <w:proofErr w:type="spellStart"/>
            <w:r w:rsidRPr="00C317F1">
              <w:rPr>
                <w:rFonts w:ascii="Arial" w:hAnsi="Arial" w:cs="Arial"/>
                <w:sz w:val="20"/>
                <w:szCs w:val="20"/>
              </w:rPr>
              <w:t>Cyber→Operational</w:t>
            </w:r>
            <w:proofErr w:type="spellEnd"/>
          </w:p>
        </w:tc>
        <w:tc>
          <w:tcPr>
            <w:tcW w:w="1212" w:type="dxa"/>
          </w:tcPr>
          <w:p w14:paraId="2ADB08F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HHS breach events; hospital operations</w:t>
            </w:r>
          </w:p>
        </w:tc>
        <w:tc>
          <w:tcPr>
            <w:tcW w:w="894" w:type="dxa"/>
          </w:tcPr>
          <w:p w14:paraId="2FF46D6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 xml:space="preserve">Causal </w:t>
            </w:r>
            <w:proofErr w:type="spellStart"/>
            <w:r w:rsidRPr="00C317F1">
              <w:rPr>
                <w:rFonts w:ascii="Arial" w:hAnsi="Arial" w:cs="Arial"/>
                <w:sz w:val="20"/>
                <w:szCs w:val="20"/>
              </w:rPr>
              <w:t>DiD</w:t>
            </w:r>
            <w:proofErr w:type="spellEnd"/>
            <w:r w:rsidRPr="00C317F1">
              <w:rPr>
                <w:rFonts w:ascii="Arial" w:hAnsi="Arial" w:cs="Arial"/>
                <w:sz w:val="20"/>
                <w:szCs w:val="20"/>
              </w:rPr>
              <w:t xml:space="preserve"> (benchmark)</w:t>
            </w:r>
          </w:p>
        </w:tc>
        <w:tc>
          <w:tcPr>
            <w:tcW w:w="1227" w:type="dxa"/>
          </w:tcPr>
          <w:p w14:paraId="4F16220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Post-breach productivity impact</w:t>
            </w:r>
          </w:p>
        </w:tc>
        <w:tc>
          <w:tcPr>
            <w:tcW w:w="831" w:type="dxa"/>
          </w:tcPr>
          <w:p w14:paraId="1F24019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Effect sizes; CI</w:t>
            </w:r>
          </w:p>
        </w:tc>
        <w:tc>
          <w:tcPr>
            <w:tcW w:w="838" w:type="dxa"/>
          </w:tcPr>
          <w:p w14:paraId="435DEDA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Breaches reduce operational productivity</w:t>
            </w:r>
          </w:p>
        </w:tc>
        <w:tc>
          <w:tcPr>
            <w:tcW w:w="1821" w:type="dxa"/>
          </w:tcPr>
          <w:p w14:paraId="0572D37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Transparent identification</w:t>
            </w:r>
          </w:p>
        </w:tc>
        <w:tc>
          <w:tcPr>
            <w:tcW w:w="1086" w:type="dxa"/>
          </w:tcPr>
          <w:p w14:paraId="2126839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Real-world, post-event</w:t>
            </w:r>
          </w:p>
        </w:tc>
        <w:tc>
          <w:tcPr>
            <w:tcW w:w="704" w:type="dxa"/>
          </w:tcPr>
          <w:p w14:paraId="5D934D7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hospitals; national</w:t>
            </w:r>
          </w:p>
        </w:tc>
        <w:tc>
          <w:tcPr>
            <w:tcW w:w="1100" w:type="dxa"/>
          </w:tcPr>
          <w:p w14:paraId="7710842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Not ML scoring; omitted vars</w:t>
            </w:r>
          </w:p>
        </w:tc>
      </w:tr>
      <w:tr w:rsidR="00BD4A5A" w:rsidRPr="00C317F1" w14:paraId="2F29E97F" w14:textId="77777777" w:rsidTr="00636CA7">
        <w:tc>
          <w:tcPr>
            <w:tcW w:w="1581" w:type="dxa"/>
          </w:tcPr>
          <w:p w14:paraId="4577A5F6" w14:textId="6EE07EE3"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Mai et al. (2019)</w:t>
            </w:r>
          </w:p>
        </w:tc>
        <w:tc>
          <w:tcPr>
            <w:tcW w:w="973" w:type="dxa"/>
          </w:tcPr>
          <w:p w14:paraId="1A26975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Cross-sector (public firms)</w:t>
            </w:r>
          </w:p>
        </w:tc>
        <w:tc>
          <w:tcPr>
            <w:tcW w:w="1255" w:type="dxa"/>
          </w:tcPr>
          <w:p w14:paraId="5589080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Financial (distress)</w:t>
            </w:r>
          </w:p>
        </w:tc>
        <w:tc>
          <w:tcPr>
            <w:tcW w:w="1212" w:type="dxa"/>
          </w:tcPr>
          <w:p w14:paraId="0505AE1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SEC 10-K text + accounting ratios</w:t>
            </w:r>
          </w:p>
        </w:tc>
        <w:tc>
          <w:tcPr>
            <w:tcW w:w="894" w:type="dxa"/>
          </w:tcPr>
          <w:p w14:paraId="45F46F0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Deep learning (text) + supervised</w:t>
            </w:r>
          </w:p>
        </w:tc>
        <w:tc>
          <w:tcPr>
            <w:tcW w:w="1227" w:type="dxa"/>
          </w:tcPr>
          <w:p w14:paraId="4D53AAF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Bankruptcy/distress prediction</w:t>
            </w:r>
          </w:p>
        </w:tc>
        <w:tc>
          <w:tcPr>
            <w:tcW w:w="831" w:type="dxa"/>
          </w:tcPr>
          <w:p w14:paraId="1DD1CC2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AUC; Accuracy; PR/F1</w:t>
            </w:r>
          </w:p>
        </w:tc>
        <w:tc>
          <w:tcPr>
            <w:tcW w:w="838" w:type="dxa"/>
          </w:tcPr>
          <w:p w14:paraId="1490A2A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10-K text improves prediction</w:t>
            </w:r>
          </w:p>
        </w:tc>
        <w:tc>
          <w:tcPr>
            <w:tcW w:w="1821" w:type="dxa"/>
          </w:tcPr>
          <w:p w14:paraId="0BBD590F"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Salient terms; limited XAI</w:t>
            </w:r>
          </w:p>
        </w:tc>
        <w:tc>
          <w:tcPr>
            <w:tcW w:w="1086" w:type="dxa"/>
          </w:tcPr>
          <w:p w14:paraId="7A0E4D3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Research-grade</w:t>
            </w:r>
          </w:p>
        </w:tc>
        <w:tc>
          <w:tcPr>
            <w:tcW w:w="704" w:type="dxa"/>
          </w:tcPr>
          <w:p w14:paraId="11B6379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U.S.-listed firms</w:t>
            </w:r>
          </w:p>
        </w:tc>
        <w:tc>
          <w:tcPr>
            <w:tcW w:w="1100" w:type="dxa"/>
          </w:tcPr>
          <w:p w14:paraId="167F5D4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Survivorship; disclosure heterogeneity</w:t>
            </w:r>
          </w:p>
        </w:tc>
      </w:tr>
      <w:tr w:rsidR="00BD4A5A" w:rsidRPr="00C317F1" w14:paraId="23457335" w14:textId="77777777" w:rsidTr="00636CA7">
        <w:tc>
          <w:tcPr>
            <w:tcW w:w="1581" w:type="dxa"/>
          </w:tcPr>
          <w:p w14:paraId="75EF8746" w14:textId="6A6056B5"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Siddiqui et al. (2023</w:t>
            </w:r>
            <w:r w:rsidR="00636CA7" w:rsidRPr="00C317F1">
              <w:rPr>
                <w:rFonts w:ascii="Arial" w:hAnsi="Arial" w:cs="Arial"/>
                <w:sz w:val="20"/>
                <w:szCs w:val="20"/>
              </w:rPr>
              <w:t>)</w:t>
            </w:r>
          </w:p>
        </w:tc>
        <w:tc>
          <w:tcPr>
            <w:tcW w:w="973" w:type="dxa"/>
          </w:tcPr>
          <w:p w14:paraId="012575F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Cross-sector</w:t>
            </w:r>
          </w:p>
        </w:tc>
        <w:tc>
          <w:tcPr>
            <w:tcW w:w="1255" w:type="dxa"/>
          </w:tcPr>
          <w:p w14:paraId="152BC0E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Financial (distress)</w:t>
            </w:r>
          </w:p>
        </w:tc>
        <w:tc>
          <w:tcPr>
            <w:tcW w:w="1212" w:type="dxa"/>
          </w:tcPr>
          <w:p w14:paraId="4A932F0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Earnings calls + financials</w:t>
            </w:r>
          </w:p>
        </w:tc>
        <w:tc>
          <w:tcPr>
            <w:tcW w:w="894" w:type="dxa"/>
          </w:tcPr>
          <w:p w14:paraId="0B80539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NLP + supervised / transfer learning</w:t>
            </w:r>
          </w:p>
        </w:tc>
        <w:tc>
          <w:tcPr>
            <w:tcW w:w="1227" w:type="dxa"/>
          </w:tcPr>
          <w:p w14:paraId="55126AA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Bankruptcy/default prediction</w:t>
            </w:r>
          </w:p>
        </w:tc>
        <w:tc>
          <w:tcPr>
            <w:tcW w:w="831" w:type="dxa"/>
          </w:tcPr>
          <w:p w14:paraId="3E92F42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AUC; F1; PR</w:t>
            </w:r>
          </w:p>
        </w:tc>
        <w:tc>
          <w:tcPr>
            <w:tcW w:w="838" w:type="dxa"/>
          </w:tcPr>
          <w:p w14:paraId="26ADEB7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Call-text features add signal</w:t>
            </w:r>
          </w:p>
        </w:tc>
        <w:tc>
          <w:tcPr>
            <w:tcW w:w="1821" w:type="dxa"/>
          </w:tcPr>
          <w:p w14:paraId="792FFA6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Feature importance (limited)</w:t>
            </w:r>
          </w:p>
        </w:tc>
        <w:tc>
          <w:tcPr>
            <w:tcW w:w="1086" w:type="dxa"/>
          </w:tcPr>
          <w:p w14:paraId="40A5C25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Research-grade</w:t>
            </w:r>
          </w:p>
        </w:tc>
        <w:tc>
          <w:tcPr>
            <w:tcW w:w="704" w:type="dxa"/>
          </w:tcPr>
          <w:p w14:paraId="321C7E2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firms; multi-year</w:t>
            </w:r>
          </w:p>
        </w:tc>
        <w:tc>
          <w:tcPr>
            <w:tcW w:w="1100" w:type="dxa"/>
          </w:tcPr>
          <w:p w14:paraId="0A20B17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Class imbalance; transcription noise</w:t>
            </w:r>
          </w:p>
        </w:tc>
      </w:tr>
      <w:tr w:rsidR="00BD4A5A" w:rsidRPr="00C317F1" w14:paraId="0C4873FB" w14:textId="77777777" w:rsidTr="00636CA7">
        <w:tc>
          <w:tcPr>
            <w:tcW w:w="1581" w:type="dxa"/>
          </w:tcPr>
          <w:p w14:paraId="3A618295" w14:textId="0CEB503F"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lastRenderedPageBreak/>
              <w:t>Hanley &amp; Hoberg (2019)</w:t>
            </w:r>
          </w:p>
        </w:tc>
        <w:tc>
          <w:tcPr>
            <w:tcW w:w="973" w:type="dxa"/>
          </w:tcPr>
          <w:p w14:paraId="49DB6F2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Banking</w:t>
            </w:r>
          </w:p>
        </w:tc>
        <w:tc>
          <w:tcPr>
            <w:tcW w:w="1255" w:type="dxa"/>
          </w:tcPr>
          <w:p w14:paraId="02445A5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Financial/regulatory</w:t>
            </w:r>
          </w:p>
        </w:tc>
        <w:tc>
          <w:tcPr>
            <w:tcW w:w="1212" w:type="dxa"/>
          </w:tcPr>
          <w:p w14:paraId="134AFC1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10-K Item 1A (bank risk factors)</w:t>
            </w:r>
          </w:p>
        </w:tc>
        <w:tc>
          <w:tcPr>
            <w:tcW w:w="894" w:type="dxa"/>
          </w:tcPr>
          <w:p w14:paraId="3EB616E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Topic modeling (LDA)</w:t>
            </w:r>
          </w:p>
        </w:tc>
        <w:tc>
          <w:tcPr>
            <w:tcW w:w="1227" w:type="dxa"/>
          </w:tcPr>
          <w:p w14:paraId="6A99D29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Emerging risk topic detection</w:t>
            </w:r>
          </w:p>
        </w:tc>
        <w:tc>
          <w:tcPr>
            <w:tcW w:w="831" w:type="dxa"/>
          </w:tcPr>
          <w:p w14:paraId="2A30E4E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Coherence; associations</w:t>
            </w:r>
          </w:p>
        </w:tc>
        <w:tc>
          <w:tcPr>
            <w:tcW w:w="838" w:type="dxa"/>
          </w:tcPr>
          <w:p w14:paraId="30CABAB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Text topics capture emerging risks</w:t>
            </w:r>
          </w:p>
        </w:tc>
        <w:tc>
          <w:tcPr>
            <w:tcW w:w="1821" w:type="dxa"/>
          </w:tcPr>
          <w:p w14:paraId="6C6A439D"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Interpretable topics</w:t>
            </w:r>
          </w:p>
        </w:tc>
        <w:tc>
          <w:tcPr>
            <w:tcW w:w="1086" w:type="dxa"/>
          </w:tcPr>
          <w:p w14:paraId="43B0DA4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Research-grade</w:t>
            </w:r>
          </w:p>
        </w:tc>
        <w:tc>
          <w:tcPr>
            <w:tcW w:w="704" w:type="dxa"/>
          </w:tcPr>
          <w:p w14:paraId="72B242D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banks; multi-year</w:t>
            </w:r>
          </w:p>
        </w:tc>
        <w:tc>
          <w:tcPr>
            <w:tcW w:w="1100" w:type="dxa"/>
          </w:tcPr>
          <w:p w14:paraId="3BBAE74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Topic drift: managerial text</w:t>
            </w:r>
          </w:p>
        </w:tc>
      </w:tr>
      <w:tr w:rsidR="00BD4A5A" w:rsidRPr="00C317F1" w14:paraId="07567A17" w14:textId="77777777" w:rsidTr="00636CA7">
        <w:tc>
          <w:tcPr>
            <w:tcW w:w="1581" w:type="dxa"/>
          </w:tcPr>
          <w:p w14:paraId="52961317" w14:textId="599C0796"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Cao et al. (2022)</w:t>
            </w:r>
          </w:p>
        </w:tc>
        <w:tc>
          <w:tcPr>
            <w:tcW w:w="973" w:type="dxa"/>
          </w:tcPr>
          <w:p w14:paraId="626727F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Cross-sector</w:t>
            </w:r>
          </w:p>
        </w:tc>
        <w:tc>
          <w:tcPr>
            <w:tcW w:w="1255" w:type="dxa"/>
          </w:tcPr>
          <w:p w14:paraId="2A74AA3D"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Operational/ESG (text-risk)</w:t>
            </w:r>
          </w:p>
        </w:tc>
        <w:tc>
          <w:tcPr>
            <w:tcW w:w="1212" w:type="dxa"/>
          </w:tcPr>
          <w:p w14:paraId="58B39D8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SEC 10-K/10-Q risk sections</w:t>
            </w:r>
          </w:p>
        </w:tc>
        <w:tc>
          <w:tcPr>
            <w:tcW w:w="894" w:type="dxa"/>
          </w:tcPr>
          <w:p w14:paraId="7DAF4D2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Topic modeling + ML comparisons</w:t>
            </w:r>
          </w:p>
        </w:tc>
        <w:tc>
          <w:tcPr>
            <w:tcW w:w="1227" w:type="dxa"/>
          </w:tcPr>
          <w:p w14:paraId="4930072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Pandemic-era risk reweighting</w:t>
            </w:r>
          </w:p>
        </w:tc>
        <w:tc>
          <w:tcPr>
            <w:tcW w:w="831" w:type="dxa"/>
          </w:tcPr>
          <w:p w14:paraId="528FDE6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Topic shifts; associations</w:t>
            </w:r>
          </w:p>
        </w:tc>
        <w:tc>
          <w:tcPr>
            <w:tcW w:w="838" w:type="dxa"/>
          </w:tcPr>
          <w:p w14:paraId="7453F0D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COVID reshaped risk structures</w:t>
            </w:r>
          </w:p>
        </w:tc>
        <w:tc>
          <w:tcPr>
            <w:tcW w:w="1821" w:type="dxa"/>
          </w:tcPr>
          <w:p w14:paraId="534AE5EF"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Transparent topic pipeline</w:t>
            </w:r>
          </w:p>
        </w:tc>
        <w:tc>
          <w:tcPr>
            <w:tcW w:w="1086" w:type="dxa"/>
          </w:tcPr>
          <w:p w14:paraId="7B63D17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Research-grade</w:t>
            </w:r>
          </w:p>
        </w:tc>
        <w:tc>
          <w:tcPr>
            <w:tcW w:w="704" w:type="dxa"/>
          </w:tcPr>
          <w:p w14:paraId="3F67EC0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SEC filings</w:t>
            </w:r>
          </w:p>
        </w:tc>
        <w:tc>
          <w:tcPr>
            <w:tcW w:w="1100" w:type="dxa"/>
          </w:tcPr>
          <w:p w14:paraId="10D6466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Period-specific; reporting incentives</w:t>
            </w:r>
          </w:p>
        </w:tc>
      </w:tr>
      <w:tr w:rsidR="00BD4A5A" w:rsidRPr="00C317F1" w14:paraId="73F673D9" w14:textId="77777777" w:rsidTr="00636CA7">
        <w:tc>
          <w:tcPr>
            <w:tcW w:w="1581" w:type="dxa"/>
          </w:tcPr>
          <w:p w14:paraId="1B967416" w14:textId="750F85C4"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Nousiainen et al. (2024)</w:t>
            </w:r>
          </w:p>
        </w:tc>
        <w:tc>
          <w:tcPr>
            <w:tcW w:w="973" w:type="dxa"/>
          </w:tcPr>
          <w:p w14:paraId="75F03E8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Cross-sector</w:t>
            </w:r>
          </w:p>
        </w:tc>
        <w:tc>
          <w:tcPr>
            <w:tcW w:w="1255" w:type="dxa"/>
          </w:tcPr>
          <w:p w14:paraId="1C9B359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ESG/Innovation proxy</w:t>
            </w:r>
          </w:p>
        </w:tc>
        <w:tc>
          <w:tcPr>
            <w:tcW w:w="1212" w:type="dxa"/>
          </w:tcPr>
          <w:p w14:paraId="096350B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SEC 10-K full-text</w:t>
            </w:r>
          </w:p>
        </w:tc>
        <w:tc>
          <w:tcPr>
            <w:tcW w:w="894" w:type="dxa"/>
          </w:tcPr>
          <w:p w14:paraId="421BA60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NLP (LDA/ML) + supervised validation</w:t>
            </w:r>
          </w:p>
        </w:tc>
        <w:tc>
          <w:tcPr>
            <w:tcW w:w="1227" w:type="dxa"/>
          </w:tcPr>
          <w:p w14:paraId="39BCA9C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Innovation intensity proxy</w:t>
            </w:r>
          </w:p>
        </w:tc>
        <w:tc>
          <w:tcPr>
            <w:tcW w:w="831" w:type="dxa"/>
          </w:tcPr>
          <w:p w14:paraId="15C9948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Predictive R²; correlations</w:t>
            </w:r>
          </w:p>
        </w:tc>
        <w:tc>
          <w:tcPr>
            <w:tcW w:w="838" w:type="dxa"/>
          </w:tcPr>
          <w:p w14:paraId="7153CE1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Text features form robust measures</w:t>
            </w:r>
          </w:p>
        </w:tc>
        <w:tc>
          <w:tcPr>
            <w:tcW w:w="1821" w:type="dxa"/>
          </w:tcPr>
          <w:p w14:paraId="37163A6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Transparent features; validation</w:t>
            </w:r>
          </w:p>
        </w:tc>
        <w:tc>
          <w:tcPr>
            <w:tcW w:w="1086" w:type="dxa"/>
          </w:tcPr>
          <w:p w14:paraId="6ACB203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Research-grade</w:t>
            </w:r>
          </w:p>
        </w:tc>
        <w:tc>
          <w:tcPr>
            <w:tcW w:w="704" w:type="dxa"/>
          </w:tcPr>
          <w:p w14:paraId="0D9FAA9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public firms</w:t>
            </w:r>
          </w:p>
        </w:tc>
        <w:tc>
          <w:tcPr>
            <w:tcW w:w="1100" w:type="dxa"/>
          </w:tcPr>
          <w:p w14:paraId="415EFC0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 xml:space="preserve">Construct validity </w:t>
            </w:r>
            <w:proofErr w:type="spellStart"/>
            <w:r w:rsidRPr="00C317F1">
              <w:rPr>
                <w:rFonts w:ascii="Arial" w:hAnsi="Arial" w:cs="Arial"/>
                <w:sz w:val="20"/>
                <w:szCs w:val="20"/>
              </w:rPr>
              <w:t>generalisation</w:t>
            </w:r>
            <w:proofErr w:type="spellEnd"/>
          </w:p>
        </w:tc>
      </w:tr>
      <w:tr w:rsidR="00BD4A5A" w:rsidRPr="00C317F1" w14:paraId="33FCA810" w14:textId="77777777" w:rsidTr="00636CA7">
        <w:tc>
          <w:tcPr>
            <w:tcW w:w="1581" w:type="dxa"/>
          </w:tcPr>
          <w:p w14:paraId="50C7429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Kroes et al. (2025)</w:t>
            </w:r>
          </w:p>
        </w:tc>
        <w:tc>
          <w:tcPr>
            <w:tcW w:w="973" w:type="dxa"/>
          </w:tcPr>
          <w:p w14:paraId="0752975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Cross-sector (ops/markets)</w:t>
            </w:r>
          </w:p>
        </w:tc>
        <w:tc>
          <w:tcPr>
            <w:tcW w:w="1255" w:type="dxa"/>
          </w:tcPr>
          <w:p w14:paraId="0683A69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Operational/ESG</w:t>
            </w:r>
          </w:p>
        </w:tc>
        <w:tc>
          <w:tcPr>
            <w:tcW w:w="1212" w:type="dxa"/>
          </w:tcPr>
          <w:p w14:paraId="039AB01F"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10-K supply-chain risk disclosures; ops/market</w:t>
            </w:r>
          </w:p>
        </w:tc>
        <w:tc>
          <w:tcPr>
            <w:tcW w:w="894" w:type="dxa"/>
          </w:tcPr>
          <w:p w14:paraId="606350C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NLP classification + econometrics</w:t>
            </w:r>
          </w:p>
        </w:tc>
        <w:tc>
          <w:tcPr>
            <w:tcW w:w="1227" w:type="dxa"/>
          </w:tcPr>
          <w:p w14:paraId="5D1DDE7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Disclosure ↔ inventory slack/returns</w:t>
            </w:r>
          </w:p>
        </w:tc>
        <w:tc>
          <w:tcPr>
            <w:tcW w:w="831" w:type="dxa"/>
          </w:tcPr>
          <w:p w14:paraId="5DED749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Regression fits; effect sizes</w:t>
            </w:r>
          </w:p>
        </w:tc>
        <w:tc>
          <w:tcPr>
            <w:tcW w:w="838" w:type="dxa"/>
          </w:tcPr>
          <w:p w14:paraId="799DD4F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SC risk text links to ops &amp; returns</w:t>
            </w:r>
          </w:p>
        </w:tc>
        <w:tc>
          <w:tcPr>
            <w:tcW w:w="1821" w:type="dxa"/>
          </w:tcPr>
          <w:p w14:paraId="3700C07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Disclosure mapping; limited XAI</w:t>
            </w:r>
          </w:p>
        </w:tc>
        <w:tc>
          <w:tcPr>
            <w:tcW w:w="1086" w:type="dxa"/>
          </w:tcPr>
          <w:p w14:paraId="32E50F1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Research-grade</w:t>
            </w:r>
          </w:p>
        </w:tc>
        <w:tc>
          <w:tcPr>
            <w:tcW w:w="704" w:type="dxa"/>
          </w:tcPr>
          <w:p w14:paraId="1881C2F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firms, post-2013</w:t>
            </w:r>
          </w:p>
        </w:tc>
        <w:tc>
          <w:tcPr>
            <w:tcW w:w="1100" w:type="dxa"/>
          </w:tcPr>
          <w:p w14:paraId="4521927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Disclosure bias; industry heterogeneity</w:t>
            </w:r>
          </w:p>
        </w:tc>
      </w:tr>
      <w:tr w:rsidR="00BD4A5A" w:rsidRPr="00C317F1" w14:paraId="63A80CF2" w14:textId="77777777" w:rsidTr="00636CA7">
        <w:tc>
          <w:tcPr>
            <w:tcW w:w="1581" w:type="dxa"/>
          </w:tcPr>
          <w:p w14:paraId="7EC8369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Kesari (2022)</w:t>
            </w:r>
          </w:p>
        </w:tc>
        <w:tc>
          <w:tcPr>
            <w:tcW w:w="973" w:type="dxa"/>
          </w:tcPr>
          <w:p w14:paraId="61E240D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Cross-sector</w:t>
            </w:r>
          </w:p>
        </w:tc>
        <w:tc>
          <w:tcPr>
            <w:tcW w:w="1255" w:type="dxa"/>
          </w:tcPr>
          <w:p w14:paraId="3FDDCB1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Cyber</w:t>
            </w:r>
          </w:p>
        </w:tc>
        <w:tc>
          <w:tcPr>
            <w:tcW w:w="1212" w:type="dxa"/>
          </w:tcPr>
          <w:p w14:paraId="3AC46B6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SEC 10-K cyber text; breach events</w:t>
            </w:r>
          </w:p>
        </w:tc>
        <w:tc>
          <w:tcPr>
            <w:tcW w:w="894" w:type="dxa"/>
          </w:tcPr>
          <w:p w14:paraId="1C5802B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NLP features + supervised</w:t>
            </w:r>
          </w:p>
        </w:tc>
        <w:tc>
          <w:tcPr>
            <w:tcW w:w="1227" w:type="dxa"/>
          </w:tcPr>
          <w:p w14:paraId="776BF85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Predict future cyber incidents</w:t>
            </w:r>
          </w:p>
        </w:tc>
        <w:tc>
          <w:tcPr>
            <w:tcW w:w="831" w:type="dxa"/>
          </w:tcPr>
          <w:p w14:paraId="0423431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Accuracy; AUC</w:t>
            </w:r>
          </w:p>
        </w:tc>
        <w:tc>
          <w:tcPr>
            <w:tcW w:w="838" w:type="dxa"/>
          </w:tcPr>
          <w:p w14:paraId="57D11A8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Mandatory text flags future events</w:t>
            </w:r>
          </w:p>
        </w:tc>
        <w:tc>
          <w:tcPr>
            <w:tcW w:w="1821" w:type="dxa"/>
          </w:tcPr>
          <w:p w14:paraId="0BF372B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Governance-focused transparency</w:t>
            </w:r>
          </w:p>
        </w:tc>
        <w:tc>
          <w:tcPr>
            <w:tcW w:w="1086" w:type="dxa"/>
          </w:tcPr>
          <w:p w14:paraId="1585209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Research-grade / policy relevance</w:t>
            </w:r>
          </w:p>
        </w:tc>
        <w:tc>
          <w:tcPr>
            <w:tcW w:w="704" w:type="dxa"/>
          </w:tcPr>
          <w:p w14:paraId="2F3F09B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SEC filers</w:t>
            </w:r>
          </w:p>
        </w:tc>
        <w:tc>
          <w:tcPr>
            <w:tcW w:w="1100" w:type="dxa"/>
          </w:tcPr>
          <w:p w14:paraId="2065277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Reproducibility constraints</w:t>
            </w:r>
          </w:p>
        </w:tc>
      </w:tr>
      <w:tr w:rsidR="00BD4A5A" w:rsidRPr="00C317F1" w14:paraId="3AFA5C88" w14:textId="77777777" w:rsidTr="00636CA7">
        <w:tc>
          <w:tcPr>
            <w:tcW w:w="1581" w:type="dxa"/>
          </w:tcPr>
          <w:p w14:paraId="41057E6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Camur et al. (2024)</w:t>
            </w:r>
          </w:p>
        </w:tc>
        <w:tc>
          <w:tcPr>
            <w:tcW w:w="973" w:type="dxa"/>
          </w:tcPr>
          <w:p w14:paraId="0ACEEAC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Energy manufacturing (GE Gas Power)</w:t>
            </w:r>
          </w:p>
        </w:tc>
        <w:tc>
          <w:tcPr>
            <w:tcW w:w="1255" w:type="dxa"/>
          </w:tcPr>
          <w:p w14:paraId="3F1147A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Operational (delivery risk)</w:t>
            </w:r>
          </w:p>
        </w:tc>
        <w:tc>
          <w:tcPr>
            <w:tcW w:w="1212" w:type="dxa"/>
          </w:tcPr>
          <w:p w14:paraId="14F5D0F2"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Inbound logistics/ERP; supplier ETAs</w:t>
            </w:r>
          </w:p>
        </w:tc>
        <w:tc>
          <w:tcPr>
            <w:tcW w:w="894" w:type="dxa"/>
          </w:tcPr>
          <w:p w14:paraId="355D852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Supervised (RF/GBM best)</w:t>
            </w:r>
          </w:p>
        </w:tc>
        <w:tc>
          <w:tcPr>
            <w:tcW w:w="1227" w:type="dxa"/>
          </w:tcPr>
          <w:p w14:paraId="5FC99CE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Predict availability dates/ETAs</w:t>
            </w:r>
          </w:p>
        </w:tc>
        <w:tc>
          <w:tcPr>
            <w:tcW w:w="831" w:type="dxa"/>
          </w:tcPr>
          <w:p w14:paraId="549445A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MAE; MAPE; RMSE</w:t>
            </w:r>
          </w:p>
        </w:tc>
        <w:tc>
          <w:tcPr>
            <w:tcW w:w="838" w:type="dxa"/>
          </w:tcPr>
          <w:p w14:paraId="57419A7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ML improves ETA accura</w:t>
            </w:r>
            <w:r w:rsidRPr="00C317F1">
              <w:rPr>
                <w:rFonts w:ascii="Arial" w:hAnsi="Arial" w:cs="Arial"/>
                <w:sz w:val="20"/>
                <w:szCs w:val="20"/>
              </w:rPr>
              <w:lastRenderedPageBreak/>
              <w:t>cy in disruption</w:t>
            </w:r>
          </w:p>
        </w:tc>
        <w:tc>
          <w:tcPr>
            <w:tcW w:w="1821" w:type="dxa"/>
          </w:tcPr>
          <w:p w14:paraId="0ACFD646" w14:textId="6F168C12"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lastRenderedPageBreak/>
              <w:t>Feature importance</w:t>
            </w:r>
            <w:r w:rsidR="004F7253" w:rsidRPr="00C317F1">
              <w:rPr>
                <w:rFonts w:ascii="Arial" w:hAnsi="Arial" w:cs="Arial"/>
                <w:sz w:val="20"/>
                <w:szCs w:val="20"/>
              </w:rPr>
              <w:t>:</w:t>
            </w:r>
            <w:r w:rsidRPr="00C317F1">
              <w:rPr>
                <w:rFonts w:ascii="Arial" w:hAnsi="Arial" w:cs="Arial"/>
                <w:sz w:val="20"/>
                <w:szCs w:val="20"/>
              </w:rPr>
              <w:t xml:space="preserve"> PDPs</w:t>
            </w:r>
          </w:p>
        </w:tc>
        <w:tc>
          <w:tcPr>
            <w:tcW w:w="1086" w:type="dxa"/>
          </w:tcPr>
          <w:p w14:paraId="625BE56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Pilot/production-adjacent</w:t>
            </w:r>
          </w:p>
        </w:tc>
        <w:tc>
          <w:tcPr>
            <w:tcW w:w="704" w:type="dxa"/>
          </w:tcPr>
          <w:p w14:paraId="7A7BFC6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OEM case data</w:t>
            </w:r>
          </w:p>
        </w:tc>
        <w:tc>
          <w:tcPr>
            <w:tcW w:w="1100" w:type="dxa"/>
          </w:tcPr>
          <w:p w14:paraId="018DE0E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Single-firm; drift risk</w:t>
            </w:r>
          </w:p>
        </w:tc>
      </w:tr>
      <w:tr w:rsidR="00BD4A5A" w:rsidRPr="00C317F1" w14:paraId="0327E960" w14:textId="77777777" w:rsidTr="00636CA7">
        <w:tc>
          <w:tcPr>
            <w:tcW w:w="1581" w:type="dxa"/>
          </w:tcPr>
          <w:p w14:paraId="31BC99FC" w14:textId="77777777" w:rsidR="00BD4A5A" w:rsidRPr="00C317F1" w:rsidRDefault="00BD4A5A" w:rsidP="00015FAE">
            <w:pPr>
              <w:spacing w:line="276" w:lineRule="auto"/>
              <w:jc w:val="both"/>
              <w:rPr>
                <w:rFonts w:ascii="Arial" w:hAnsi="Arial" w:cs="Arial"/>
                <w:sz w:val="20"/>
                <w:szCs w:val="20"/>
              </w:rPr>
            </w:pPr>
            <w:proofErr w:type="spellStart"/>
            <w:r w:rsidRPr="00C317F1">
              <w:rPr>
                <w:rFonts w:ascii="Arial" w:hAnsi="Arial" w:cs="Arial"/>
                <w:sz w:val="20"/>
                <w:szCs w:val="20"/>
              </w:rPr>
              <w:t>Slivinskis</w:t>
            </w:r>
            <w:proofErr w:type="spellEnd"/>
            <w:r w:rsidRPr="00C317F1">
              <w:rPr>
                <w:rFonts w:ascii="Arial" w:hAnsi="Arial" w:cs="Arial"/>
                <w:sz w:val="20"/>
                <w:szCs w:val="20"/>
              </w:rPr>
              <w:t xml:space="preserve"> et al. (2025)</w:t>
            </w:r>
          </w:p>
        </w:tc>
        <w:tc>
          <w:tcPr>
            <w:tcW w:w="973" w:type="dxa"/>
          </w:tcPr>
          <w:p w14:paraId="2B6C2FE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Healthcare devices</w:t>
            </w:r>
          </w:p>
        </w:tc>
        <w:tc>
          <w:tcPr>
            <w:tcW w:w="1255" w:type="dxa"/>
          </w:tcPr>
          <w:p w14:paraId="7076F5E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ESG/quality &amp; operational</w:t>
            </w:r>
          </w:p>
        </w:tc>
        <w:tc>
          <w:tcPr>
            <w:tcW w:w="1212" w:type="dxa"/>
          </w:tcPr>
          <w:p w14:paraId="1EC48D3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FDA recalls; public signals</w:t>
            </w:r>
          </w:p>
        </w:tc>
        <w:tc>
          <w:tcPr>
            <w:tcW w:w="894" w:type="dxa"/>
          </w:tcPr>
          <w:p w14:paraId="756A38D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Supervised classifier</w:t>
            </w:r>
          </w:p>
        </w:tc>
        <w:tc>
          <w:tcPr>
            <w:tcW w:w="1227" w:type="dxa"/>
          </w:tcPr>
          <w:p w14:paraId="0713835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Predict device recall risk (lead)</w:t>
            </w:r>
          </w:p>
        </w:tc>
        <w:tc>
          <w:tcPr>
            <w:tcW w:w="831" w:type="dxa"/>
          </w:tcPr>
          <w:p w14:paraId="12A2AEE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AUC; PR; F1</w:t>
            </w:r>
          </w:p>
        </w:tc>
        <w:tc>
          <w:tcPr>
            <w:tcW w:w="838" w:type="dxa"/>
          </w:tcPr>
          <w:p w14:paraId="061C5E9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Early recall-risk prediction feasible</w:t>
            </w:r>
          </w:p>
        </w:tc>
        <w:tc>
          <w:tcPr>
            <w:tcW w:w="1821" w:type="dxa"/>
          </w:tcPr>
          <w:p w14:paraId="096465D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Feature importance (some)</w:t>
            </w:r>
          </w:p>
        </w:tc>
        <w:tc>
          <w:tcPr>
            <w:tcW w:w="1086" w:type="dxa"/>
          </w:tcPr>
          <w:p w14:paraId="6BA3FDC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Research-grade</w:t>
            </w:r>
          </w:p>
        </w:tc>
        <w:tc>
          <w:tcPr>
            <w:tcW w:w="704" w:type="dxa"/>
          </w:tcPr>
          <w:p w14:paraId="0D4B0A12"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FDA datasets</w:t>
            </w:r>
          </w:p>
        </w:tc>
        <w:tc>
          <w:tcPr>
            <w:tcW w:w="1100" w:type="dxa"/>
          </w:tcPr>
          <w:p w14:paraId="12CDFB2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Label noise; heterogeneous devices</w:t>
            </w:r>
          </w:p>
        </w:tc>
      </w:tr>
      <w:tr w:rsidR="00BD4A5A" w:rsidRPr="00C317F1" w14:paraId="4751EB2D" w14:textId="77777777" w:rsidTr="00636CA7">
        <w:tc>
          <w:tcPr>
            <w:tcW w:w="1581" w:type="dxa"/>
          </w:tcPr>
          <w:p w14:paraId="2D30A6D2" w14:textId="77777777" w:rsidR="00BD4A5A" w:rsidRPr="00C317F1" w:rsidRDefault="00BD4A5A" w:rsidP="00015FAE">
            <w:pPr>
              <w:spacing w:line="276" w:lineRule="auto"/>
              <w:jc w:val="both"/>
              <w:rPr>
                <w:rFonts w:ascii="Arial" w:hAnsi="Arial" w:cs="Arial"/>
                <w:sz w:val="20"/>
                <w:szCs w:val="20"/>
              </w:rPr>
            </w:pPr>
            <w:proofErr w:type="spellStart"/>
            <w:r w:rsidRPr="00C317F1">
              <w:rPr>
                <w:rFonts w:ascii="Arial" w:hAnsi="Arial" w:cs="Arial"/>
                <w:sz w:val="20"/>
                <w:szCs w:val="20"/>
              </w:rPr>
              <w:t>Rokoss</w:t>
            </w:r>
            <w:proofErr w:type="spellEnd"/>
            <w:r w:rsidRPr="00C317F1">
              <w:rPr>
                <w:rFonts w:ascii="Arial" w:hAnsi="Arial" w:cs="Arial"/>
                <w:sz w:val="20"/>
                <w:szCs w:val="20"/>
              </w:rPr>
              <w:t xml:space="preserve"> et al. (2024)</w:t>
            </w:r>
          </w:p>
        </w:tc>
        <w:tc>
          <w:tcPr>
            <w:tcW w:w="973" w:type="dxa"/>
          </w:tcPr>
          <w:p w14:paraId="3E7CA0C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Manufacturing</w:t>
            </w:r>
          </w:p>
        </w:tc>
        <w:tc>
          <w:tcPr>
            <w:tcW w:w="1255" w:type="dxa"/>
          </w:tcPr>
          <w:p w14:paraId="4E31D98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Operational (lead-time)</w:t>
            </w:r>
          </w:p>
        </w:tc>
        <w:tc>
          <w:tcPr>
            <w:tcW w:w="1212" w:type="dxa"/>
          </w:tcPr>
          <w:p w14:paraId="6971D51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Transactional/ERP; shop-floor</w:t>
            </w:r>
          </w:p>
        </w:tc>
        <w:tc>
          <w:tcPr>
            <w:tcW w:w="894" w:type="dxa"/>
          </w:tcPr>
          <w:p w14:paraId="4F08F28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Supervised regression (GBM/NN)</w:t>
            </w:r>
          </w:p>
        </w:tc>
        <w:tc>
          <w:tcPr>
            <w:tcW w:w="1227" w:type="dxa"/>
          </w:tcPr>
          <w:p w14:paraId="254C113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Predict delivery/lead-time risk</w:t>
            </w:r>
          </w:p>
        </w:tc>
        <w:tc>
          <w:tcPr>
            <w:tcW w:w="831" w:type="dxa"/>
          </w:tcPr>
          <w:p w14:paraId="723D0FF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RMSE; MAE</w:t>
            </w:r>
          </w:p>
        </w:tc>
        <w:tc>
          <w:tcPr>
            <w:tcW w:w="838" w:type="dxa"/>
          </w:tcPr>
          <w:p w14:paraId="2B9B792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Fusion reduces lead-time error</w:t>
            </w:r>
          </w:p>
        </w:tc>
        <w:tc>
          <w:tcPr>
            <w:tcW w:w="1821" w:type="dxa"/>
          </w:tcPr>
          <w:p w14:paraId="068302E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SHAP/LIME (NR exact)</w:t>
            </w:r>
          </w:p>
        </w:tc>
        <w:tc>
          <w:tcPr>
            <w:tcW w:w="1086" w:type="dxa"/>
          </w:tcPr>
          <w:p w14:paraId="6B13A49F"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Pilot</w:t>
            </w:r>
          </w:p>
        </w:tc>
        <w:tc>
          <w:tcPr>
            <w:tcW w:w="704" w:type="dxa"/>
          </w:tcPr>
          <w:p w14:paraId="6B9F4AE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U.S.-included case context</w:t>
            </w:r>
          </w:p>
        </w:tc>
        <w:tc>
          <w:tcPr>
            <w:tcW w:w="1100" w:type="dxa"/>
          </w:tcPr>
          <w:p w14:paraId="5908F2A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Mixed-site data; external validity</w:t>
            </w:r>
          </w:p>
        </w:tc>
      </w:tr>
      <w:tr w:rsidR="00BD4A5A" w:rsidRPr="00C317F1" w14:paraId="18157168" w14:textId="77777777" w:rsidTr="00636CA7">
        <w:tc>
          <w:tcPr>
            <w:tcW w:w="1581" w:type="dxa"/>
          </w:tcPr>
          <w:p w14:paraId="2CB7F68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Gabellini et al. (2024</w:t>
            </w:r>
          </w:p>
        </w:tc>
        <w:tc>
          <w:tcPr>
            <w:tcW w:w="973" w:type="dxa"/>
          </w:tcPr>
          <w:p w14:paraId="2878DF4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Automotive supply</w:t>
            </w:r>
          </w:p>
        </w:tc>
        <w:tc>
          <w:tcPr>
            <w:tcW w:w="1255" w:type="dxa"/>
          </w:tcPr>
          <w:p w14:paraId="401A588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Operational (delay risk)</w:t>
            </w:r>
          </w:p>
        </w:tc>
        <w:tc>
          <w:tcPr>
            <w:tcW w:w="1212" w:type="dxa"/>
          </w:tcPr>
          <w:p w14:paraId="4DC3BDB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Macro indicators; supply KPIs</w:t>
            </w:r>
          </w:p>
        </w:tc>
        <w:tc>
          <w:tcPr>
            <w:tcW w:w="894" w:type="dxa"/>
          </w:tcPr>
          <w:p w14:paraId="6951DA9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Deep learning (time-series)</w:t>
            </w:r>
          </w:p>
        </w:tc>
        <w:tc>
          <w:tcPr>
            <w:tcW w:w="1227" w:type="dxa"/>
          </w:tcPr>
          <w:p w14:paraId="043AB24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Predict delivery delay risk</w:t>
            </w:r>
          </w:p>
        </w:tc>
        <w:tc>
          <w:tcPr>
            <w:tcW w:w="831" w:type="dxa"/>
          </w:tcPr>
          <w:p w14:paraId="5AD66A8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RMSE; MAE; hit-rate</w:t>
            </w:r>
          </w:p>
        </w:tc>
        <w:tc>
          <w:tcPr>
            <w:tcW w:w="838" w:type="dxa"/>
          </w:tcPr>
          <w:p w14:paraId="6EC2300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Macro + ops signals boost alerts</w:t>
            </w:r>
          </w:p>
        </w:tc>
        <w:tc>
          <w:tcPr>
            <w:tcW w:w="1821" w:type="dxa"/>
          </w:tcPr>
          <w:p w14:paraId="2AB9A56F"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Architecture transparent; XAI NR</w:t>
            </w:r>
          </w:p>
        </w:tc>
        <w:tc>
          <w:tcPr>
            <w:tcW w:w="1086" w:type="dxa"/>
          </w:tcPr>
          <w:p w14:paraId="2F0C56F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Research-grade</w:t>
            </w:r>
          </w:p>
        </w:tc>
        <w:tc>
          <w:tcPr>
            <w:tcW w:w="704" w:type="dxa"/>
          </w:tcPr>
          <w:p w14:paraId="0771DC3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Includes U.S. macro variables</w:t>
            </w:r>
          </w:p>
        </w:tc>
        <w:tc>
          <w:tcPr>
            <w:tcW w:w="1100" w:type="dxa"/>
          </w:tcPr>
          <w:p w14:paraId="3619D53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Region mix; verify U.S. share</w:t>
            </w:r>
          </w:p>
        </w:tc>
      </w:tr>
      <w:tr w:rsidR="00BD4A5A" w:rsidRPr="00C317F1" w14:paraId="6D4D2D21" w14:textId="77777777" w:rsidTr="00636CA7">
        <w:tc>
          <w:tcPr>
            <w:tcW w:w="1581" w:type="dxa"/>
          </w:tcPr>
          <w:p w14:paraId="09AC4EC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Grundy &amp; Petry (2021)</w:t>
            </w:r>
          </w:p>
        </w:tc>
        <w:tc>
          <w:tcPr>
            <w:tcW w:w="973" w:type="dxa"/>
          </w:tcPr>
          <w:p w14:paraId="3256809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Cross-sector</w:t>
            </w:r>
          </w:p>
        </w:tc>
        <w:tc>
          <w:tcPr>
            <w:tcW w:w="1255" w:type="dxa"/>
          </w:tcPr>
          <w:p w14:paraId="3B8FA3A1"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Multi-risk taxonomy</w:t>
            </w:r>
          </w:p>
        </w:tc>
        <w:tc>
          <w:tcPr>
            <w:tcW w:w="1212" w:type="dxa"/>
          </w:tcPr>
          <w:p w14:paraId="1085269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10-K risk text (S&amp;P 1500)</w:t>
            </w:r>
          </w:p>
        </w:tc>
        <w:tc>
          <w:tcPr>
            <w:tcW w:w="894" w:type="dxa"/>
          </w:tcPr>
          <w:p w14:paraId="5F2727A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Multi-label classification (ML)</w:t>
            </w:r>
          </w:p>
        </w:tc>
        <w:tc>
          <w:tcPr>
            <w:tcW w:w="1227" w:type="dxa"/>
          </w:tcPr>
          <w:p w14:paraId="7C2A257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Map 30+ risk categories</w:t>
            </w:r>
          </w:p>
        </w:tc>
        <w:tc>
          <w:tcPr>
            <w:tcW w:w="831" w:type="dxa"/>
          </w:tcPr>
          <w:p w14:paraId="77EC053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Precision; Recall</w:t>
            </w:r>
          </w:p>
        </w:tc>
        <w:tc>
          <w:tcPr>
            <w:tcW w:w="838" w:type="dxa"/>
          </w:tcPr>
          <w:p w14:paraId="34921296" w14:textId="6F8BA1B8"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 xml:space="preserve">Granular multi-risk mapping </w:t>
            </w:r>
            <w:r w:rsidR="004F7253" w:rsidRPr="00C317F1">
              <w:rPr>
                <w:rFonts w:ascii="Arial" w:hAnsi="Arial" w:cs="Arial"/>
                <w:sz w:val="20"/>
                <w:szCs w:val="20"/>
              </w:rPr>
              <w:t xml:space="preserve">is </w:t>
            </w:r>
            <w:r w:rsidRPr="00C317F1">
              <w:rPr>
                <w:rFonts w:ascii="Arial" w:hAnsi="Arial" w:cs="Arial"/>
                <w:sz w:val="20"/>
                <w:szCs w:val="20"/>
              </w:rPr>
              <w:t>feasible</w:t>
            </w:r>
          </w:p>
        </w:tc>
        <w:tc>
          <w:tcPr>
            <w:tcW w:w="1821" w:type="dxa"/>
          </w:tcPr>
          <w:p w14:paraId="62DFD01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Limited feature importance</w:t>
            </w:r>
          </w:p>
        </w:tc>
        <w:tc>
          <w:tcPr>
            <w:tcW w:w="1086" w:type="dxa"/>
          </w:tcPr>
          <w:p w14:paraId="3F3F0D1F"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Research-grade (non-journal)</w:t>
            </w:r>
          </w:p>
        </w:tc>
        <w:tc>
          <w:tcPr>
            <w:tcW w:w="704" w:type="dxa"/>
          </w:tcPr>
          <w:p w14:paraId="70E74762"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S&amp;P 1500</w:t>
            </w:r>
          </w:p>
        </w:tc>
        <w:tc>
          <w:tcPr>
            <w:tcW w:w="1100" w:type="dxa"/>
          </w:tcPr>
          <w:p w14:paraId="73AA74BB" w14:textId="586BCC6F"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 xml:space="preserve">Consider </w:t>
            </w:r>
            <w:r w:rsidR="004F7253" w:rsidRPr="00C317F1">
              <w:rPr>
                <w:rFonts w:ascii="Arial" w:hAnsi="Arial" w:cs="Arial"/>
                <w:sz w:val="20"/>
                <w:szCs w:val="20"/>
              </w:rPr>
              <w:t xml:space="preserve">a </w:t>
            </w:r>
            <w:r w:rsidRPr="00C317F1">
              <w:rPr>
                <w:rFonts w:ascii="Arial" w:hAnsi="Arial" w:cs="Arial"/>
                <w:sz w:val="20"/>
                <w:szCs w:val="20"/>
              </w:rPr>
              <w:t>journal-only swap</w:t>
            </w:r>
          </w:p>
        </w:tc>
      </w:tr>
    </w:tbl>
    <w:p w14:paraId="1B0567D4" w14:textId="77777777" w:rsidR="00874BAE" w:rsidRPr="00C317F1" w:rsidRDefault="00874BAE" w:rsidP="00015FAE">
      <w:pPr>
        <w:spacing w:line="276" w:lineRule="auto"/>
        <w:jc w:val="both"/>
        <w:rPr>
          <w:rFonts w:ascii="Arial" w:hAnsi="Arial" w:cs="Arial"/>
          <w:b/>
          <w:sz w:val="20"/>
          <w:szCs w:val="20"/>
        </w:rPr>
      </w:pPr>
    </w:p>
    <w:p w14:paraId="7ED2C958" w14:textId="77777777" w:rsidR="00C317F1" w:rsidRDefault="00C317F1" w:rsidP="00015FAE">
      <w:pPr>
        <w:spacing w:line="276" w:lineRule="auto"/>
        <w:jc w:val="both"/>
        <w:rPr>
          <w:rFonts w:ascii="Arial" w:hAnsi="Arial" w:cs="Arial"/>
          <w:b/>
          <w:sz w:val="20"/>
          <w:szCs w:val="20"/>
        </w:rPr>
      </w:pPr>
    </w:p>
    <w:p w14:paraId="7DF23DDE" w14:textId="77777777" w:rsidR="00C317F1" w:rsidRDefault="00C317F1" w:rsidP="00015FAE">
      <w:pPr>
        <w:spacing w:line="276" w:lineRule="auto"/>
        <w:jc w:val="both"/>
        <w:rPr>
          <w:rFonts w:ascii="Arial" w:hAnsi="Arial" w:cs="Arial"/>
          <w:b/>
          <w:sz w:val="20"/>
          <w:szCs w:val="20"/>
        </w:rPr>
      </w:pPr>
    </w:p>
    <w:p w14:paraId="524C232B" w14:textId="31746E99" w:rsidR="00BD4A5A" w:rsidRDefault="004C1E46" w:rsidP="004C1E46">
      <w:pPr>
        <w:spacing w:line="276" w:lineRule="auto"/>
        <w:jc w:val="center"/>
        <w:rPr>
          <w:rFonts w:ascii="Arial" w:hAnsi="Arial" w:cs="Arial"/>
          <w:b/>
          <w:sz w:val="20"/>
          <w:szCs w:val="20"/>
        </w:rPr>
      </w:pPr>
      <w:r w:rsidRPr="004C1E46">
        <w:rPr>
          <w:rFonts w:ascii="Arial" w:hAnsi="Arial" w:cs="Arial"/>
          <w:b/>
          <w:sz w:val="20"/>
          <w:szCs w:val="20"/>
        </w:rPr>
        <w:lastRenderedPageBreak/>
        <w:t>Table 2:</w:t>
      </w:r>
      <w:r>
        <w:rPr>
          <w:rFonts w:ascii="Arial" w:hAnsi="Arial" w:cs="Arial"/>
          <w:b/>
          <w:sz w:val="20"/>
          <w:szCs w:val="20"/>
        </w:rPr>
        <w:t xml:space="preserve"> </w:t>
      </w:r>
      <w:r w:rsidRPr="004C1E46">
        <w:rPr>
          <w:rFonts w:ascii="Arial" w:hAnsi="Arial" w:cs="Arial"/>
          <w:b/>
          <w:sz w:val="20"/>
          <w:szCs w:val="20"/>
        </w:rPr>
        <w:t>Cross</w:t>
      </w:r>
      <w:r w:rsidRPr="004C1E46">
        <w:rPr>
          <w:rFonts w:ascii="Cambria Math" w:hAnsi="Cambria Math" w:cs="Cambria Math"/>
          <w:b/>
          <w:sz w:val="20"/>
          <w:szCs w:val="20"/>
        </w:rPr>
        <w:t>‑</w:t>
      </w:r>
      <w:r w:rsidRPr="004C1E46">
        <w:rPr>
          <w:rFonts w:ascii="Arial" w:hAnsi="Arial" w:cs="Arial"/>
          <w:b/>
          <w:sz w:val="20"/>
          <w:szCs w:val="20"/>
        </w:rPr>
        <w:t>walk: Risk Domain × Data × Model × Metrics</w:t>
      </w:r>
    </w:p>
    <w:tbl>
      <w:tblPr>
        <w:tblStyle w:val="TableGrid"/>
        <w:tblW w:w="0" w:type="auto"/>
        <w:jc w:val="center"/>
        <w:tblLook w:val="04A0" w:firstRow="1" w:lastRow="0" w:firstColumn="1" w:lastColumn="0" w:noHBand="0" w:noVBand="1"/>
      </w:tblPr>
      <w:tblGrid>
        <w:gridCol w:w="2158"/>
        <w:gridCol w:w="2158"/>
        <w:gridCol w:w="2158"/>
        <w:gridCol w:w="2158"/>
        <w:gridCol w:w="2295"/>
      </w:tblGrid>
      <w:tr w:rsidR="004C1E46" w14:paraId="5829951C" w14:textId="06F4C321" w:rsidTr="00676C47">
        <w:trPr>
          <w:jc w:val="center"/>
        </w:trPr>
        <w:tc>
          <w:tcPr>
            <w:tcW w:w="2158" w:type="dxa"/>
          </w:tcPr>
          <w:p w14:paraId="4C3329E3" w14:textId="22452CBA" w:rsidR="004C1E46" w:rsidRDefault="004C1E46" w:rsidP="00015FAE">
            <w:pPr>
              <w:spacing w:line="276" w:lineRule="auto"/>
              <w:jc w:val="both"/>
              <w:rPr>
                <w:rFonts w:ascii="Arial" w:hAnsi="Arial" w:cs="Arial"/>
                <w:sz w:val="20"/>
                <w:szCs w:val="20"/>
              </w:rPr>
            </w:pPr>
            <w:r w:rsidRPr="001532D7">
              <w:rPr>
                <w:rFonts w:ascii="Arial" w:hAnsi="Arial" w:cs="Arial"/>
                <w:sz w:val="20"/>
                <w:szCs w:val="20"/>
              </w:rPr>
              <w:t>Risk domain</w:t>
            </w:r>
          </w:p>
        </w:tc>
        <w:tc>
          <w:tcPr>
            <w:tcW w:w="2158" w:type="dxa"/>
          </w:tcPr>
          <w:p w14:paraId="61DABE95" w14:textId="0E38F957" w:rsidR="004C1E46" w:rsidRDefault="004C1E46" w:rsidP="00015FAE">
            <w:pPr>
              <w:spacing w:line="276" w:lineRule="auto"/>
              <w:jc w:val="both"/>
              <w:rPr>
                <w:rFonts w:ascii="Arial" w:hAnsi="Arial" w:cs="Arial"/>
                <w:sz w:val="20"/>
                <w:szCs w:val="20"/>
              </w:rPr>
            </w:pPr>
            <w:r w:rsidRPr="001532D7">
              <w:rPr>
                <w:rFonts w:ascii="Arial" w:hAnsi="Arial" w:cs="Arial"/>
                <w:sz w:val="20"/>
                <w:szCs w:val="20"/>
              </w:rPr>
              <w:t>Primary data sources (examples)</w:t>
            </w:r>
          </w:p>
        </w:tc>
        <w:tc>
          <w:tcPr>
            <w:tcW w:w="2158" w:type="dxa"/>
          </w:tcPr>
          <w:p w14:paraId="1FCE4128" w14:textId="0F0FBA2D" w:rsidR="004C1E46" w:rsidRDefault="004C1E46" w:rsidP="00015FAE">
            <w:pPr>
              <w:spacing w:line="276" w:lineRule="auto"/>
              <w:jc w:val="both"/>
              <w:rPr>
                <w:rFonts w:ascii="Arial" w:hAnsi="Arial" w:cs="Arial"/>
                <w:sz w:val="20"/>
                <w:szCs w:val="20"/>
              </w:rPr>
            </w:pPr>
            <w:r w:rsidRPr="001532D7">
              <w:rPr>
                <w:rFonts w:ascii="Arial" w:hAnsi="Arial" w:cs="Arial"/>
                <w:sz w:val="20"/>
                <w:szCs w:val="20"/>
              </w:rPr>
              <w:t>Typical model families</w:t>
            </w:r>
          </w:p>
        </w:tc>
        <w:tc>
          <w:tcPr>
            <w:tcW w:w="2158" w:type="dxa"/>
          </w:tcPr>
          <w:p w14:paraId="46A66C01" w14:textId="5FF7FF14" w:rsidR="004C1E46" w:rsidRDefault="004C1E46" w:rsidP="00015FAE">
            <w:pPr>
              <w:spacing w:line="276" w:lineRule="auto"/>
              <w:jc w:val="both"/>
              <w:rPr>
                <w:rFonts w:ascii="Arial" w:hAnsi="Arial" w:cs="Arial"/>
                <w:sz w:val="20"/>
                <w:szCs w:val="20"/>
              </w:rPr>
            </w:pPr>
            <w:r w:rsidRPr="001532D7">
              <w:rPr>
                <w:rFonts w:ascii="Arial" w:hAnsi="Arial" w:cs="Arial"/>
                <w:sz w:val="20"/>
                <w:szCs w:val="20"/>
              </w:rPr>
              <w:t>Typical evaluation metrics</w:t>
            </w:r>
          </w:p>
        </w:tc>
        <w:tc>
          <w:tcPr>
            <w:tcW w:w="2295" w:type="dxa"/>
          </w:tcPr>
          <w:p w14:paraId="76EE85C1" w14:textId="40DF50ED" w:rsidR="004C1E46" w:rsidRPr="001532D7" w:rsidRDefault="004C1E46" w:rsidP="00015FAE">
            <w:pPr>
              <w:spacing w:line="276" w:lineRule="auto"/>
              <w:jc w:val="both"/>
              <w:rPr>
                <w:rFonts w:ascii="Arial" w:hAnsi="Arial" w:cs="Arial"/>
                <w:sz w:val="20"/>
                <w:szCs w:val="20"/>
              </w:rPr>
            </w:pPr>
            <w:r>
              <w:rPr>
                <w:rFonts w:ascii="Arial" w:hAnsi="Arial" w:cs="Arial"/>
                <w:sz w:val="20"/>
                <w:szCs w:val="20"/>
              </w:rPr>
              <w:t>Notes</w:t>
            </w:r>
          </w:p>
        </w:tc>
      </w:tr>
      <w:tr w:rsidR="004C1E46" w14:paraId="4DA82608" w14:textId="378E22DE" w:rsidTr="00676C47">
        <w:trPr>
          <w:jc w:val="center"/>
        </w:trPr>
        <w:tc>
          <w:tcPr>
            <w:tcW w:w="2158" w:type="dxa"/>
          </w:tcPr>
          <w:p w14:paraId="4E4A3122" w14:textId="742B46E8" w:rsidR="004C1E46" w:rsidRDefault="004C1E46" w:rsidP="00015FAE">
            <w:pPr>
              <w:spacing w:line="276" w:lineRule="auto"/>
              <w:jc w:val="both"/>
              <w:rPr>
                <w:rFonts w:ascii="Arial" w:hAnsi="Arial" w:cs="Arial"/>
                <w:sz w:val="20"/>
                <w:szCs w:val="20"/>
              </w:rPr>
            </w:pPr>
            <w:r w:rsidRPr="00E75E83">
              <w:rPr>
                <w:rFonts w:ascii="Arial" w:hAnsi="Arial" w:cs="Arial"/>
                <w:sz w:val="20"/>
                <w:szCs w:val="20"/>
              </w:rPr>
              <w:t xml:space="preserve">Financial </w:t>
            </w:r>
            <w:r>
              <w:rPr>
                <w:rFonts w:ascii="Arial" w:hAnsi="Arial" w:cs="Arial"/>
                <w:sz w:val="20"/>
                <w:szCs w:val="20"/>
              </w:rPr>
              <w:t>distress/default</w:t>
            </w:r>
          </w:p>
        </w:tc>
        <w:tc>
          <w:tcPr>
            <w:tcW w:w="2158" w:type="dxa"/>
          </w:tcPr>
          <w:p w14:paraId="0F4BB6A7" w14:textId="10A0DCD9" w:rsidR="004C1E46" w:rsidRDefault="004C1E46" w:rsidP="00015FAE">
            <w:pPr>
              <w:spacing w:line="276" w:lineRule="auto"/>
              <w:jc w:val="both"/>
              <w:rPr>
                <w:rFonts w:ascii="Arial" w:hAnsi="Arial" w:cs="Arial"/>
                <w:sz w:val="20"/>
                <w:szCs w:val="20"/>
              </w:rPr>
            </w:pPr>
            <w:r w:rsidRPr="00E75E83">
              <w:rPr>
                <w:rFonts w:ascii="Arial" w:hAnsi="Arial" w:cs="Arial"/>
                <w:sz w:val="20"/>
                <w:szCs w:val="20"/>
              </w:rPr>
              <w:t>SEC 10-K/10-Q narratives; earnings-call transcripts; accounting ratios &amp; market signals</w:t>
            </w:r>
          </w:p>
        </w:tc>
        <w:tc>
          <w:tcPr>
            <w:tcW w:w="2158" w:type="dxa"/>
          </w:tcPr>
          <w:p w14:paraId="66AADB37" w14:textId="49D56129" w:rsidR="004C1E46" w:rsidRDefault="004C1E46" w:rsidP="00015FAE">
            <w:pPr>
              <w:spacing w:line="276" w:lineRule="auto"/>
              <w:jc w:val="both"/>
              <w:rPr>
                <w:rFonts w:ascii="Arial" w:hAnsi="Arial" w:cs="Arial"/>
                <w:sz w:val="20"/>
                <w:szCs w:val="20"/>
              </w:rPr>
            </w:pPr>
            <w:r w:rsidRPr="00E75E83">
              <w:rPr>
                <w:rFonts w:ascii="Arial" w:hAnsi="Arial" w:cs="Arial"/>
                <w:sz w:val="20"/>
                <w:szCs w:val="20"/>
              </w:rPr>
              <w:t>Deep NLP (text); supervised classifiers (logit, tree ensembles); transfer learning</w:t>
            </w:r>
          </w:p>
        </w:tc>
        <w:tc>
          <w:tcPr>
            <w:tcW w:w="2158" w:type="dxa"/>
          </w:tcPr>
          <w:p w14:paraId="43A8AFD0" w14:textId="53588A1E" w:rsidR="004C1E46" w:rsidRDefault="004C1E46" w:rsidP="00015FAE">
            <w:pPr>
              <w:spacing w:line="276" w:lineRule="auto"/>
              <w:jc w:val="both"/>
              <w:rPr>
                <w:rFonts w:ascii="Arial" w:hAnsi="Arial" w:cs="Arial"/>
                <w:sz w:val="20"/>
                <w:szCs w:val="20"/>
              </w:rPr>
            </w:pPr>
            <w:r w:rsidRPr="00E75E83">
              <w:rPr>
                <w:rFonts w:ascii="Arial" w:hAnsi="Arial" w:cs="Arial"/>
                <w:sz w:val="20"/>
                <w:szCs w:val="20"/>
              </w:rPr>
              <w:t>AUC; PR; F1; Accuracy</w:t>
            </w:r>
          </w:p>
        </w:tc>
        <w:tc>
          <w:tcPr>
            <w:tcW w:w="2295" w:type="dxa"/>
          </w:tcPr>
          <w:p w14:paraId="62DC6BE6" w14:textId="42BC2487" w:rsidR="004C1E46" w:rsidRPr="00E75E83" w:rsidRDefault="004C1E46" w:rsidP="00015FAE">
            <w:pPr>
              <w:spacing w:line="276" w:lineRule="auto"/>
              <w:jc w:val="both"/>
              <w:rPr>
                <w:rFonts w:ascii="Arial" w:hAnsi="Arial" w:cs="Arial"/>
                <w:sz w:val="20"/>
                <w:szCs w:val="20"/>
              </w:rPr>
            </w:pPr>
            <w:r w:rsidRPr="004C1E46">
              <w:rPr>
                <w:rFonts w:ascii="Arial" w:hAnsi="Arial" w:cs="Arial"/>
                <w:sz w:val="20"/>
                <w:szCs w:val="20"/>
              </w:rPr>
              <w:t>Text features add signal beyond ratios; class imbalance &amp; transcription noise noted</w:t>
            </w:r>
          </w:p>
        </w:tc>
      </w:tr>
      <w:tr w:rsidR="004C1E46" w14:paraId="413715E9" w14:textId="3D243ACF" w:rsidTr="00676C47">
        <w:trPr>
          <w:jc w:val="center"/>
        </w:trPr>
        <w:tc>
          <w:tcPr>
            <w:tcW w:w="2158" w:type="dxa"/>
          </w:tcPr>
          <w:p w14:paraId="46C7F26C" w14:textId="1B8C19D4" w:rsidR="004C1E46" w:rsidRDefault="004C1E46" w:rsidP="00015FAE">
            <w:pPr>
              <w:spacing w:line="276" w:lineRule="auto"/>
              <w:jc w:val="both"/>
              <w:rPr>
                <w:rFonts w:ascii="Arial" w:hAnsi="Arial" w:cs="Arial"/>
                <w:sz w:val="20"/>
                <w:szCs w:val="20"/>
              </w:rPr>
            </w:pPr>
            <w:r w:rsidRPr="00E75E83">
              <w:rPr>
                <w:rFonts w:ascii="Arial" w:hAnsi="Arial" w:cs="Arial"/>
                <w:sz w:val="20"/>
                <w:szCs w:val="20"/>
              </w:rPr>
              <w:t>Cyber incident risk (vendor/hospital)</w:t>
            </w:r>
          </w:p>
        </w:tc>
        <w:tc>
          <w:tcPr>
            <w:tcW w:w="2158" w:type="dxa"/>
          </w:tcPr>
          <w:p w14:paraId="7FABFA30" w14:textId="2FCD4DB8" w:rsidR="004C1E46" w:rsidRDefault="004C1E46" w:rsidP="00015FAE">
            <w:pPr>
              <w:spacing w:line="276" w:lineRule="auto"/>
              <w:jc w:val="both"/>
              <w:rPr>
                <w:rFonts w:ascii="Arial" w:hAnsi="Arial" w:cs="Arial"/>
                <w:sz w:val="20"/>
                <w:szCs w:val="20"/>
              </w:rPr>
            </w:pPr>
            <w:r w:rsidRPr="00E75E83">
              <w:rPr>
                <w:rFonts w:ascii="Arial" w:hAnsi="Arial" w:cs="Arial"/>
                <w:sz w:val="20"/>
                <w:szCs w:val="20"/>
              </w:rPr>
              <w:t>SEC 10-K cyber-risk text; HHS breach registry; external cyber ratings</w:t>
            </w:r>
          </w:p>
        </w:tc>
        <w:tc>
          <w:tcPr>
            <w:tcW w:w="2158" w:type="dxa"/>
          </w:tcPr>
          <w:p w14:paraId="03AA054B" w14:textId="51A84344" w:rsidR="004C1E46" w:rsidRDefault="004C1E46" w:rsidP="00015FAE">
            <w:pPr>
              <w:spacing w:line="276" w:lineRule="auto"/>
              <w:jc w:val="both"/>
              <w:rPr>
                <w:rFonts w:ascii="Arial" w:hAnsi="Arial" w:cs="Arial"/>
                <w:sz w:val="20"/>
                <w:szCs w:val="20"/>
              </w:rPr>
            </w:pPr>
            <w:r w:rsidRPr="00E75E83">
              <w:rPr>
                <w:rFonts w:ascii="Arial" w:hAnsi="Arial" w:cs="Arial"/>
                <w:sz w:val="20"/>
                <w:szCs w:val="20"/>
              </w:rPr>
              <w:t>NLP features + supervised classifiers (logit/tree)</w:t>
            </w:r>
          </w:p>
        </w:tc>
        <w:tc>
          <w:tcPr>
            <w:tcW w:w="2158" w:type="dxa"/>
          </w:tcPr>
          <w:p w14:paraId="2C99B97B" w14:textId="78904336" w:rsidR="004C1E46" w:rsidRDefault="004C1E46" w:rsidP="00015FAE">
            <w:pPr>
              <w:spacing w:line="276" w:lineRule="auto"/>
              <w:jc w:val="both"/>
              <w:rPr>
                <w:rFonts w:ascii="Arial" w:hAnsi="Arial" w:cs="Arial"/>
                <w:sz w:val="20"/>
                <w:szCs w:val="20"/>
              </w:rPr>
            </w:pPr>
            <w:r w:rsidRPr="00E75E83">
              <w:rPr>
                <w:rFonts w:ascii="Arial" w:hAnsi="Arial" w:cs="Arial"/>
                <w:sz w:val="20"/>
                <w:szCs w:val="20"/>
              </w:rPr>
              <w:t>AUC; Accuracy; OR; CI</w:t>
            </w:r>
          </w:p>
        </w:tc>
        <w:tc>
          <w:tcPr>
            <w:tcW w:w="2295" w:type="dxa"/>
          </w:tcPr>
          <w:p w14:paraId="31F0F263" w14:textId="6DC45E5B" w:rsidR="004C1E46" w:rsidRPr="00E75E83" w:rsidRDefault="004C1E46" w:rsidP="00015FAE">
            <w:pPr>
              <w:spacing w:line="276" w:lineRule="auto"/>
              <w:jc w:val="both"/>
              <w:rPr>
                <w:rFonts w:ascii="Arial" w:hAnsi="Arial" w:cs="Arial"/>
                <w:sz w:val="20"/>
                <w:szCs w:val="20"/>
              </w:rPr>
            </w:pPr>
            <w:r w:rsidRPr="004C1E46">
              <w:rPr>
                <w:rFonts w:ascii="Arial" w:hAnsi="Arial" w:cs="Arial"/>
                <w:sz w:val="20"/>
                <w:szCs w:val="20"/>
              </w:rPr>
              <w:t>Mandatory disclosures predictive; governance</w:t>
            </w:r>
            <w:r w:rsidRPr="004C1E46">
              <w:rPr>
                <w:rFonts w:ascii="Cambria Math" w:hAnsi="Cambria Math" w:cs="Cambria Math"/>
                <w:sz w:val="20"/>
                <w:szCs w:val="20"/>
              </w:rPr>
              <w:t>‑</w:t>
            </w:r>
            <w:r w:rsidRPr="004C1E46">
              <w:rPr>
                <w:rFonts w:ascii="Arial" w:hAnsi="Arial" w:cs="Arial"/>
                <w:sz w:val="20"/>
                <w:szCs w:val="20"/>
              </w:rPr>
              <w:t>compatible text pipelines</w:t>
            </w:r>
          </w:p>
        </w:tc>
      </w:tr>
      <w:tr w:rsidR="004C1E46" w14:paraId="075E1C0B" w14:textId="038F9BFB" w:rsidTr="00676C47">
        <w:trPr>
          <w:jc w:val="center"/>
        </w:trPr>
        <w:tc>
          <w:tcPr>
            <w:tcW w:w="2158" w:type="dxa"/>
          </w:tcPr>
          <w:p w14:paraId="79505B24" w14:textId="6911B7C3" w:rsidR="004C1E46" w:rsidRDefault="004C1E46" w:rsidP="00015FAE">
            <w:pPr>
              <w:spacing w:line="276" w:lineRule="auto"/>
              <w:jc w:val="both"/>
              <w:rPr>
                <w:rFonts w:ascii="Arial" w:hAnsi="Arial" w:cs="Arial"/>
                <w:sz w:val="20"/>
                <w:szCs w:val="20"/>
              </w:rPr>
            </w:pPr>
            <w:r w:rsidRPr="00E75E83">
              <w:rPr>
                <w:rFonts w:ascii="Arial" w:hAnsi="Arial" w:cs="Arial"/>
                <w:sz w:val="20"/>
                <w:szCs w:val="20"/>
              </w:rPr>
              <w:t>Operational ETA / lead-time / delivery delay</w:t>
            </w:r>
          </w:p>
        </w:tc>
        <w:tc>
          <w:tcPr>
            <w:tcW w:w="2158" w:type="dxa"/>
          </w:tcPr>
          <w:p w14:paraId="1AC56991" w14:textId="0CA649D8" w:rsidR="004C1E46" w:rsidRDefault="004C1E46" w:rsidP="00015FAE">
            <w:pPr>
              <w:spacing w:line="276" w:lineRule="auto"/>
              <w:jc w:val="both"/>
              <w:rPr>
                <w:rFonts w:ascii="Arial" w:hAnsi="Arial" w:cs="Arial"/>
                <w:sz w:val="20"/>
                <w:szCs w:val="20"/>
              </w:rPr>
            </w:pPr>
            <w:r w:rsidRPr="00E75E83">
              <w:rPr>
                <w:rFonts w:ascii="Arial" w:hAnsi="Arial" w:cs="Arial"/>
                <w:sz w:val="20"/>
                <w:szCs w:val="20"/>
              </w:rPr>
              <w:t>Inbound logistics &amp; ERP; supplier ETAs; shop-floor; macro indicators + supply KPIs</w:t>
            </w:r>
          </w:p>
        </w:tc>
        <w:tc>
          <w:tcPr>
            <w:tcW w:w="2158" w:type="dxa"/>
          </w:tcPr>
          <w:p w14:paraId="226FB253" w14:textId="0FE1B84E" w:rsidR="004C1E46" w:rsidRDefault="004C1E46" w:rsidP="00015FAE">
            <w:pPr>
              <w:spacing w:line="276" w:lineRule="auto"/>
              <w:jc w:val="both"/>
              <w:rPr>
                <w:rFonts w:ascii="Arial" w:hAnsi="Arial" w:cs="Arial"/>
                <w:sz w:val="20"/>
                <w:szCs w:val="20"/>
              </w:rPr>
            </w:pPr>
            <w:r w:rsidRPr="00E75E83">
              <w:rPr>
                <w:rFonts w:ascii="Arial" w:hAnsi="Arial" w:cs="Arial"/>
                <w:sz w:val="20"/>
                <w:szCs w:val="20"/>
              </w:rPr>
              <w:t>Supervised regression (RF/GBM); deep time-series NN</w:t>
            </w:r>
          </w:p>
        </w:tc>
        <w:tc>
          <w:tcPr>
            <w:tcW w:w="2158" w:type="dxa"/>
          </w:tcPr>
          <w:p w14:paraId="3218DB0B" w14:textId="6E6FBE98" w:rsidR="004C1E46" w:rsidRDefault="004C1E46" w:rsidP="00015FAE">
            <w:pPr>
              <w:spacing w:line="276" w:lineRule="auto"/>
              <w:jc w:val="both"/>
              <w:rPr>
                <w:rFonts w:ascii="Arial" w:hAnsi="Arial" w:cs="Arial"/>
                <w:sz w:val="20"/>
                <w:szCs w:val="20"/>
              </w:rPr>
            </w:pPr>
            <w:r w:rsidRPr="00E75E83">
              <w:rPr>
                <w:rFonts w:ascii="Arial" w:hAnsi="Arial" w:cs="Arial"/>
                <w:sz w:val="20"/>
                <w:szCs w:val="20"/>
              </w:rPr>
              <w:t>MAE; MAPE; RMSE; hit-rate</w:t>
            </w:r>
          </w:p>
        </w:tc>
        <w:tc>
          <w:tcPr>
            <w:tcW w:w="2295" w:type="dxa"/>
          </w:tcPr>
          <w:p w14:paraId="375FA1C2" w14:textId="24F6F633" w:rsidR="004C1E46" w:rsidRPr="00E75E83" w:rsidRDefault="004C1E46" w:rsidP="00015FAE">
            <w:pPr>
              <w:spacing w:line="276" w:lineRule="auto"/>
              <w:jc w:val="both"/>
              <w:rPr>
                <w:rFonts w:ascii="Arial" w:hAnsi="Arial" w:cs="Arial"/>
                <w:sz w:val="20"/>
                <w:szCs w:val="20"/>
              </w:rPr>
            </w:pPr>
            <w:r w:rsidRPr="004C1E46">
              <w:rPr>
                <w:rFonts w:ascii="Arial" w:hAnsi="Arial" w:cs="Arial"/>
                <w:sz w:val="20"/>
                <w:szCs w:val="20"/>
              </w:rPr>
              <w:t>ML improves ETA error vs. classical baselines; single</w:t>
            </w:r>
            <w:r w:rsidRPr="004C1E46">
              <w:rPr>
                <w:rFonts w:ascii="Cambria Math" w:hAnsi="Cambria Math" w:cs="Cambria Math"/>
                <w:sz w:val="20"/>
                <w:szCs w:val="20"/>
              </w:rPr>
              <w:t>‑</w:t>
            </w:r>
            <w:r w:rsidRPr="004C1E46">
              <w:rPr>
                <w:rFonts w:ascii="Arial" w:hAnsi="Arial" w:cs="Arial"/>
                <w:sz w:val="20"/>
                <w:szCs w:val="20"/>
              </w:rPr>
              <w:t>firm drift risk noted; PDP feature importance</w:t>
            </w:r>
          </w:p>
        </w:tc>
      </w:tr>
      <w:tr w:rsidR="004C1E46" w14:paraId="43BA4EA5" w14:textId="6ACD6471" w:rsidTr="00676C47">
        <w:trPr>
          <w:jc w:val="center"/>
        </w:trPr>
        <w:tc>
          <w:tcPr>
            <w:tcW w:w="2158" w:type="dxa"/>
          </w:tcPr>
          <w:p w14:paraId="252FF899" w14:textId="59675C3C" w:rsidR="004C1E46" w:rsidRDefault="004C1E46" w:rsidP="00015FAE">
            <w:pPr>
              <w:spacing w:line="276" w:lineRule="auto"/>
              <w:jc w:val="both"/>
              <w:rPr>
                <w:rFonts w:ascii="Arial" w:hAnsi="Arial" w:cs="Arial"/>
                <w:sz w:val="20"/>
                <w:szCs w:val="20"/>
              </w:rPr>
            </w:pPr>
            <w:r w:rsidRPr="00E75E83">
              <w:rPr>
                <w:rFonts w:ascii="Arial" w:hAnsi="Arial" w:cs="Arial"/>
                <w:sz w:val="20"/>
                <w:szCs w:val="20"/>
              </w:rPr>
              <w:t xml:space="preserve">Product </w:t>
            </w:r>
            <w:r w:rsidR="00676C47">
              <w:rPr>
                <w:rFonts w:ascii="Arial" w:hAnsi="Arial" w:cs="Arial"/>
                <w:sz w:val="20"/>
                <w:szCs w:val="20"/>
              </w:rPr>
              <w:t>recall/quality</w:t>
            </w:r>
            <w:r w:rsidRPr="00E75E83">
              <w:rPr>
                <w:rFonts w:ascii="Arial" w:hAnsi="Arial" w:cs="Arial"/>
                <w:sz w:val="20"/>
                <w:szCs w:val="20"/>
              </w:rPr>
              <w:t xml:space="preserve"> risk (healthcare devices)</w:t>
            </w:r>
          </w:p>
        </w:tc>
        <w:tc>
          <w:tcPr>
            <w:tcW w:w="2158" w:type="dxa"/>
          </w:tcPr>
          <w:p w14:paraId="3C60DBAD" w14:textId="64DEDF05" w:rsidR="004C1E46" w:rsidRDefault="004C1E46" w:rsidP="00015FAE">
            <w:pPr>
              <w:spacing w:line="276" w:lineRule="auto"/>
              <w:jc w:val="both"/>
              <w:rPr>
                <w:rFonts w:ascii="Arial" w:hAnsi="Arial" w:cs="Arial"/>
                <w:sz w:val="20"/>
                <w:szCs w:val="20"/>
              </w:rPr>
            </w:pPr>
            <w:r w:rsidRPr="00E75E83">
              <w:rPr>
                <w:rFonts w:ascii="Arial" w:hAnsi="Arial" w:cs="Arial"/>
                <w:sz w:val="20"/>
                <w:szCs w:val="20"/>
              </w:rPr>
              <w:t>FDA recall datasets; public OSINT signals</w:t>
            </w:r>
          </w:p>
        </w:tc>
        <w:tc>
          <w:tcPr>
            <w:tcW w:w="2158" w:type="dxa"/>
          </w:tcPr>
          <w:p w14:paraId="6AD84A5F" w14:textId="2E519A05" w:rsidR="004C1E46" w:rsidRDefault="004C1E46" w:rsidP="00015FAE">
            <w:pPr>
              <w:spacing w:line="276" w:lineRule="auto"/>
              <w:jc w:val="both"/>
              <w:rPr>
                <w:rFonts w:ascii="Arial" w:hAnsi="Arial" w:cs="Arial"/>
                <w:sz w:val="20"/>
                <w:szCs w:val="20"/>
              </w:rPr>
            </w:pPr>
            <w:r w:rsidRPr="00E75E83">
              <w:rPr>
                <w:rFonts w:ascii="Arial" w:hAnsi="Arial" w:cs="Arial"/>
                <w:sz w:val="20"/>
                <w:szCs w:val="20"/>
              </w:rPr>
              <w:t>Supervised classifiers</w:t>
            </w:r>
          </w:p>
        </w:tc>
        <w:tc>
          <w:tcPr>
            <w:tcW w:w="2158" w:type="dxa"/>
          </w:tcPr>
          <w:p w14:paraId="06AA0624" w14:textId="5FAFEEF0" w:rsidR="004C1E46" w:rsidRDefault="004C1E46" w:rsidP="00015FAE">
            <w:pPr>
              <w:spacing w:line="276" w:lineRule="auto"/>
              <w:jc w:val="both"/>
              <w:rPr>
                <w:rFonts w:ascii="Arial" w:hAnsi="Arial" w:cs="Arial"/>
                <w:sz w:val="20"/>
                <w:szCs w:val="20"/>
              </w:rPr>
            </w:pPr>
            <w:r w:rsidRPr="00E75E83">
              <w:rPr>
                <w:rFonts w:ascii="Arial" w:hAnsi="Arial" w:cs="Arial"/>
                <w:sz w:val="20"/>
                <w:szCs w:val="20"/>
              </w:rPr>
              <w:t>AUC; PR; F1</w:t>
            </w:r>
          </w:p>
        </w:tc>
        <w:tc>
          <w:tcPr>
            <w:tcW w:w="2295" w:type="dxa"/>
          </w:tcPr>
          <w:p w14:paraId="64934280" w14:textId="0DBB9195" w:rsidR="004C1E46" w:rsidRPr="00E75E83" w:rsidRDefault="004C1E46" w:rsidP="00015FAE">
            <w:pPr>
              <w:spacing w:line="276" w:lineRule="auto"/>
              <w:jc w:val="both"/>
              <w:rPr>
                <w:rFonts w:ascii="Arial" w:hAnsi="Arial" w:cs="Arial"/>
                <w:sz w:val="20"/>
                <w:szCs w:val="20"/>
              </w:rPr>
            </w:pPr>
            <w:r w:rsidRPr="004C1E46">
              <w:rPr>
                <w:rFonts w:ascii="Arial" w:hAnsi="Arial" w:cs="Arial"/>
                <w:sz w:val="20"/>
                <w:szCs w:val="20"/>
              </w:rPr>
              <w:t>Early recall</w:t>
            </w:r>
            <w:r w:rsidRPr="004C1E46">
              <w:rPr>
                <w:rFonts w:ascii="Cambria Math" w:hAnsi="Cambria Math" w:cs="Cambria Math"/>
                <w:sz w:val="20"/>
                <w:szCs w:val="20"/>
              </w:rPr>
              <w:t>‑</w:t>
            </w:r>
            <w:r w:rsidRPr="004C1E46">
              <w:rPr>
                <w:rFonts w:ascii="Arial" w:hAnsi="Arial" w:cs="Arial"/>
                <w:sz w:val="20"/>
                <w:szCs w:val="20"/>
              </w:rPr>
              <w:t>risk prediction feasible; label noise &amp; device heterogeneity</w:t>
            </w:r>
          </w:p>
        </w:tc>
      </w:tr>
      <w:tr w:rsidR="004C1E46" w14:paraId="39A0C805" w14:textId="006B27A8" w:rsidTr="00676C47">
        <w:trPr>
          <w:jc w:val="center"/>
        </w:trPr>
        <w:tc>
          <w:tcPr>
            <w:tcW w:w="2158" w:type="dxa"/>
          </w:tcPr>
          <w:p w14:paraId="184C7AE2" w14:textId="594CD3B1" w:rsidR="004C1E46" w:rsidRPr="00E75E83" w:rsidRDefault="004C1E46" w:rsidP="00015FAE">
            <w:pPr>
              <w:spacing w:line="276" w:lineRule="auto"/>
              <w:jc w:val="both"/>
              <w:rPr>
                <w:rFonts w:ascii="Arial" w:hAnsi="Arial" w:cs="Arial"/>
                <w:sz w:val="20"/>
                <w:szCs w:val="20"/>
              </w:rPr>
            </w:pPr>
            <w:r w:rsidRPr="00E75E83">
              <w:rPr>
                <w:rFonts w:ascii="Arial" w:hAnsi="Arial" w:cs="Arial"/>
                <w:sz w:val="20"/>
                <w:szCs w:val="20"/>
              </w:rPr>
              <w:t xml:space="preserve">Multi-risk </w:t>
            </w:r>
            <w:r w:rsidR="00676C47">
              <w:rPr>
                <w:rFonts w:ascii="Arial" w:hAnsi="Arial" w:cs="Arial"/>
                <w:sz w:val="20"/>
                <w:szCs w:val="20"/>
              </w:rPr>
              <w:t>taxonomy/exposure</w:t>
            </w:r>
            <w:r w:rsidRPr="00E75E83">
              <w:rPr>
                <w:rFonts w:ascii="Arial" w:hAnsi="Arial" w:cs="Arial"/>
                <w:sz w:val="20"/>
                <w:szCs w:val="20"/>
              </w:rPr>
              <w:t xml:space="preserve"> mapping</w:t>
            </w:r>
          </w:p>
        </w:tc>
        <w:tc>
          <w:tcPr>
            <w:tcW w:w="2158" w:type="dxa"/>
          </w:tcPr>
          <w:p w14:paraId="4912F33D" w14:textId="6F55B626" w:rsidR="004C1E46" w:rsidRPr="00E75E83" w:rsidRDefault="004C1E46" w:rsidP="00015FAE">
            <w:pPr>
              <w:spacing w:line="276" w:lineRule="auto"/>
              <w:jc w:val="both"/>
              <w:rPr>
                <w:rFonts w:ascii="Arial" w:hAnsi="Arial" w:cs="Arial"/>
                <w:sz w:val="20"/>
                <w:szCs w:val="20"/>
              </w:rPr>
            </w:pPr>
            <w:r w:rsidRPr="00E75E83">
              <w:rPr>
                <w:rFonts w:ascii="Arial" w:hAnsi="Arial" w:cs="Arial"/>
                <w:sz w:val="20"/>
                <w:szCs w:val="20"/>
              </w:rPr>
              <w:t>SEC 10-K Item 1A risk factors; full-text 10-K</w:t>
            </w:r>
          </w:p>
        </w:tc>
        <w:tc>
          <w:tcPr>
            <w:tcW w:w="2158" w:type="dxa"/>
          </w:tcPr>
          <w:p w14:paraId="770A3B68" w14:textId="7010FFF3" w:rsidR="004C1E46" w:rsidRPr="00E75E83" w:rsidRDefault="004C1E46" w:rsidP="00015FAE">
            <w:pPr>
              <w:spacing w:line="276" w:lineRule="auto"/>
              <w:jc w:val="both"/>
              <w:rPr>
                <w:rFonts w:ascii="Arial" w:hAnsi="Arial" w:cs="Arial"/>
                <w:sz w:val="20"/>
                <w:szCs w:val="20"/>
              </w:rPr>
            </w:pPr>
            <w:r w:rsidRPr="00E75E83">
              <w:rPr>
                <w:rFonts w:ascii="Arial" w:hAnsi="Arial" w:cs="Arial"/>
                <w:sz w:val="20"/>
                <w:szCs w:val="20"/>
              </w:rPr>
              <w:t>Topic modelling (LDA); multi-label ML classifiers</w:t>
            </w:r>
          </w:p>
        </w:tc>
        <w:tc>
          <w:tcPr>
            <w:tcW w:w="2158" w:type="dxa"/>
          </w:tcPr>
          <w:p w14:paraId="5E95F339" w14:textId="620207FA" w:rsidR="004C1E46" w:rsidRPr="00E75E83" w:rsidRDefault="004C1E46" w:rsidP="00015FAE">
            <w:pPr>
              <w:spacing w:line="276" w:lineRule="auto"/>
              <w:jc w:val="both"/>
              <w:rPr>
                <w:rFonts w:ascii="Arial" w:hAnsi="Arial" w:cs="Arial"/>
                <w:sz w:val="20"/>
                <w:szCs w:val="20"/>
              </w:rPr>
            </w:pPr>
            <w:r w:rsidRPr="00E75E83">
              <w:rPr>
                <w:rFonts w:ascii="Arial" w:hAnsi="Arial" w:cs="Arial"/>
                <w:sz w:val="20"/>
                <w:szCs w:val="20"/>
              </w:rPr>
              <w:t>Precision; Recall; topic coherence</w:t>
            </w:r>
          </w:p>
        </w:tc>
        <w:tc>
          <w:tcPr>
            <w:tcW w:w="2295" w:type="dxa"/>
          </w:tcPr>
          <w:p w14:paraId="29DD14E0" w14:textId="6D92468A" w:rsidR="004C1E46" w:rsidRPr="00E75E83" w:rsidRDefault="004C1E46" w:rsidP="00015FAE">
            <w:pPr>
              <w:spacing w:line="276" w:lineRule="auto"/>
              <w:jc w:val="both"/>
              <w:rPr>
                <w:rFonts w:ascii="Arial" w:hAnsi="Arial" w:cs="Arial"/>
                <w:sz w:val="20"/>
                <w:szCs w:val="20"/>
              </w:rPr>
            </w:pPr>
            <w:r w:rsidRPr="004C1E46">
              <w:rPr>
                <w:rFonts w:ascii="Arial" w:hAnsi="Arial" w:cs="Arial"/>
                <w:sz w:val="20"/>
                <w:szCs w:val="20"/>
              </w:rPr>
              <w:t>Pandemic</w:t>
            </w:r>
            <w:r w:rsidRPr="004C1E46">
              <w:rPr>
                <w:rFonts w:ascii="Cambria Math" w:hAnsi="Cambria Math" w:cs="Cambria Math"/>
                <w:sz w:val="20"/>
                <w:szCs w:val="20"/>
              </w:rPr>
              <w:t>‑</w:t>
            </w:r>
            <w:r w:rsidRPr="004C1E46">
              <w:rPr>
                <w:rFonts w:ascii="Arial" w:hAnsi="Arial" w:cs="Arial"/>
                <w:sz w:val="20"/>
                <w:szCs w:val="20"/>
              </w:rPr>
              <w:t>era topic reweighting (observed drift) but no explicit drift monitors; change</w:t>
            </w:r>
            <w:r w:rsidRPr="004C1E46">
              <w:rPr>
                <w:rFonts w:ascii="Cambria Math" w:hAnsi="Cambria Math" w:cs="Cambria Math"/>
                <w:sz w:val="20"/>
                <w:szCs w:val="20"/>
              </w:rPr>
              <w:t>‑</w:t>
            </w:r>
            <w:r w:rsidRPr="004C1E46">
              <w:rPr>
                <w:rFonts w:ascii="Arial" w:hAnsi="Arial" w:cs="Arial"/>
                <w:sz w:val="20"/>
                <w:szCs w:val="20"/>
              </w:rPr>
              <w:t>control needed</w:t>
            </w:r>
          </w:p>
        </w:tc>
      </w:tr>
    </w:tbl>
    <w:p w14:paraId="46E02EE0" w14:textId="77777777" w:rsidR="004C1E46" w:rsidRDefault="004C1E46" w:rsidP="00015FAE">
      <w:pPr>
        <w:spacing w:line="276" w:lineRule="auto"/>
        <w:jc w:val="both"/>
        <w:rPr>
          <w:rFonts w:ascii="Arial" w:hAnsi="Arial" w:cs="Arial"/>
          <w:b/>
          <w:sz w:val="20"/>
          <w:szCs w:val="20"/>
        </w:rPr>
      </w:pPr>
    </w:p>
    <w:p w14:paraId="572D3F67" w14:textId="77777777" w:rsidR="004C1E46" w:rsidRDefault="004C1E46" w:rsidP="00015FAE">
      <w:pPr>
        <w:spacing w:line="276" w:lineRule="auto"/>
        <w:jc w:val="both"/>
        <w:rPr>
          <w:rFonts w:ascii="Arial" w:hAnsi="Arial" w:cs="Arial"/>
          <w:b/>
          <w:sz w:val="20"/>
          <w:szCs w:val="20"/>
        </w:rPr>
      </w:pPr>
    </w:p>
    <w:p w14:paraId="057B6C47" w14:textId="77777777" w:rsidR="004C1E46" w:rsidRDefault="004C1E46" w:rsidP="00015FAE">
      <w:pPr>
        <w:spacing w:line="276" w:lineRule="auto"/>
        <w:jc w:val="both"/>
        <w:rPr>
          <w:rFonts w:ascii="Arial" w:hAnsi="Arial" w:cs="Arial"/>
          <w:b/>
          <w:sz w:val="20"/>
          <w:szCs w:val="20"/>
        </w:rPr>
      </w:pPr>
    </w:p>
    <w:p w14:paraId="69CF135B" w14:textId="77777777" w:rsidR="004C1E46" w:rsidRDefault="004C1E46" w:rsidP="00015FAE">
      <w:pPr>
        <w:spacing w:line="276" w:lineRule="auto"/>
        <w:jc w:val="both"/>
        <w:rPr>
          <w:rFonts w:ascii="Arial" w:hAnsi="Arial" w:cs="Arial"/>
          <w:b/>
          <w:sz w:val="20"/>
          <w:szCs w:val="20"/>
        </w:rPr>
      </w:pPr>
    </w:p>
    <w:p w14:paraId="0992FE04" w14:textId="77777777" w:rsidR="004C1E46" w:rsidRDefault="004C1E46" w:rsidP="00015FAE">
      <w:pPr>
        <w:spacing w:line="276" w:lineRule="auto"/>
        <w:jc w:val="both"/>
        <w:rPr>
          <w:rFonts w:ascii="Arial" w:hAnsi="Arial" w:cs="Arial"/>
          <w:b/>
          <w:sz w:val="20"/>
          <w:szCs w:val="20"/>
        </w:rPr>
      </w:pPr>
    </w:p>
    <w:p w14:paraId="2BB96DD4" w14:textId="48268A43" w:rsidR="001532D7" w:rsidRPr="00C317F1" w:rsidRDefault="004C1E46" w:rsidP="00015FAE">
      <w:pPr>
        <w:spacing w:line="276" w:lineRule="auto"/>
        <w:jc w:val="both"/>
        <w:rPr>
          <w:rFonts w:ascii="Arial" w:hAnsi="Arial" w:cs="Arial"/>
          <w:sz w:val="20"/>
          <w:szCs w:val="20"/>
        </w:rPr>
      </w:pPr>
      <w:r w:rsidRPr="00C317F1">
        <w:rPr>
          <w:rFonts w:ascii="Arial" w:hAnsi="Arial" w:cs="Arial"/>
          <w:b/>
          <w:sz w:val="20"/>
          <w:szCs w:val="20"/>
        </w:rPr>
        <w:lastRenderedPageBreak/>
        <w:t>Abbreviations</w:t>
      </w:r>
    </w:p>
    <w:tbl>
      <w:tblPr>
        <w:tblStyle w:val="TableGrid"/>
        <w:tblW w:w="0" w:type="auto"/>
        <w:tblLook w:val="04A0" w:firstRow="1" w:lastRow="0" w:firstColumn="1" w:lastColumn="0" w:noHBand="0" w:noVBand="1"/>
      </w:tblPr>
      <w:tblGrid>
        <w:gridCol w:w="6458"/>
        <w:gridCol w:w="6492"/>
      </w:tblGrid>
      <w:tr w:rsidR="00BD4A5A" w:rsidRPr="00C317F1" w14:paraId="4F97C933" w14:textId="77777777" w:rsidTr="0032654B">
        <w:tc>
          <w:tcPr>
            <w:tcW w:w="7200" w:type="dxa"/>
          </w:tcPr>
          <w:p w14:paraId="4DEE0C4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Abbreviation</w:t>
            </w:r>
          </w:p>
        </w:tc>
        <w:tc>
          <w:tcPr>
            <w:tcW w:w="7200" w:type="dxa"/>
          </w:tcPr>
          <w:p w14:paraId="4059C99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b/>
                <w:sz w:val="20"/>
                <w:szCs w:val="20"/>
              </w:rPr>
              <w:t>Full meaning</w:t>
            </w:r>
          </w:p>
        </w:tc>
      </w:tr>
      <w:tr w:rsidR="00BD4A5A" w:rsidRPr="00C317F1" w14:paraId="7B0B20FD" w14:textId="77777777" w:rsidTr="0032654B">
        <w:tc>
          <w:tcPr>
            <w:tcW w:w="7200" w:type="dxa"/>
          </w:tcPr>
          <w:p w14:paraId="0D0E827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AUC</w:t>
            </w:r>
          </w:p>
        </w:tc>
        <w:tc>
          <w:tcPr>
            <w:tcW w:w="7200" w:type="dxa"/>
          </w:tcPr>
          <w:p w14:paraId="00B0006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Area Under the Receiver Operating Characteristic Curve</w:t>
            </w:r>
          </w:p>
        </w:tc>
      </w:tr>
      <w:tr w:rsidR="00BD4A5A" w:rsidRPr="00C317F1" w14:paraId="6118244F" w14:textId="77777777" w:rsidTr="0032654B">
        <w:tc>
          <w:tcPr>
            <w:tcW w:w="7200" w:type="dxa"/>
          </w:tcPr>
          <w:p w14:paraId="74FD7A0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CI</w:t>
            </w:r>
          </w:p>
        </w:tc>
        <w:tc>
          <w:tcPr>
            <w:tcW w:w="7200" w:type="dxa"/>
          </w:tcPr>
          <w:p w14:paraId="3B3E538D"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Confidence Interval</w:t>
            </w:r>
          </w:p>
        </w:tc>
      </w:tr>
      <w:tr w:rsidR="00BD4A5A" w:rsidRPr="00C317F1" w14:paraId="4C63CC12" w14:textId="77777777" w:rsidTr="0032654B">
        <w:tc>
          <w:tcPr>
            <w:tcW w:w="7200" w:type="dxa"/>
          </w:tcPr>
          <w:p w14:paraId="7635CD9A" w14:textId="77777777" w:rsidR="00BD4A5A" w:rsidRPr="00C317F1" w:rsidRDefault="00BD4A5A" w:rsidP="00015FAE">
            <w:pPr>
              <w:spacing w:line="276" w:lineRule="auto"/>
              <w:jc w:val="both"/>
              <w:rPr>
                <w:rFonts w:ascii="Arial" w:hAnsi="Arial" w:cs="Arial"/>
                <w:sz w:val="20"/>
                <w:szCs w:val="20"/>
              </w:rPr>
            </w:pPr>
            <w:proofErr w:type="spellStart"/>
            <w:r w:rsidRPr="00C317F1">
              <w:rPr>
                <w:rFonts w:ascii="Arial" w:hAnsi="Arial" w:cs="Arial"/>
                <w:sz w:val="20"/>
                <w:szCs w:val="20"/>
              </w:rPr>
              <w:t>DiD</w:t>
            </w:r>
            <w:proofErr w:type="spellEnd"/>
          </w:p>
        </w:tc>
        <w:tc>
          <w:tcPr>
            <w:tcW w:w="7200" w:type="dxa"/>
          </w:tcPr>
          <w:p w14:paraId="091D842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Difference-in-Differences</w:t>
            </w:r>
          </w:p>
        </w:tc>
      </w:tr>
      <w:tr w:rsidR="00BD4A5A" w:rsidRPr="00C317F1" w14:paraId="24E630A6" w14:textId="77777777" w:rsidTr="0032654B">
        <w:tc>
          <w:tcPr>
            <w:tcW w:w="7200" w:type="dxa"/>
          </w:tcPr>
          <w:p w14:paraId="2B98AAB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ESG</w:t>
            </w:r>
          </w:p>
        </w:tc>
        <w:tc>
          <w:tcPr>
            <w:tcW w:w="7200" w:type="dxa"/>
          </w:tcPr>
          <w:p w14:paraId="1AD97EE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Environmental, Social, and Governance</w:t>
            </w:r>
          </w:p>
        </w:tc>
      </w:tr>
      <w:tr w:rsidR="00BD4A5A" w:rsidRPr="00C317F1" w14:paraId="2CA72CE8" w14:textId="77777777" w:rsidTr="0032654B">
        <w:tc>
          <w:tcPr>
            <w:tcW w:w="7200" w:type="dxa"/>
          </w:tcPr>
          <w:p w14:paraId="2DE503C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ESWA</w:t>
            </w:r>
          </w:p>
        </w:tc>
        <w:tc>
          <w:tcPr>
            <w:tcW w:w="7200" w:type="dxa"/>
          </w:tcPr>
          <w:p w14:paraId="45CEE15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Expert Systems with Applications</w:t>
            </w:r>
          </w:p>
        </w:tc>
      </w:tr>
      <w:tr w:rsidR="00BD4A5A" w:rsidRPr="00C317F1" w14:paraId="63175529" w14:textId="77777777" w:rsidTr="0032654B">
        <w:tc>
          <w:tcPr>
            <w:tcW w:w="7200" w:type="dxa"/>
          </w:tcPr>
          <w:p w14:paraId="24728E82"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FDA</w:t>
            </w:r>
          </w:p>
        </w:tc>
        <w:tc>
          <w:tcPr>
            <w:tcW w:w="7200" w:type="dxa"/>
          </w:tcPr>
          <w:p w14:paraId="59D1DCF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Food and Drug Administration</w:t>
            </w:r>
          </w:p>
        </w:tc>
      </w:tr>
      <w:tr w:rsidR="00BD4A5A" w:rsidRPr="00C317F1" w14:paraId="0ECAE535" w14:textId="77777777" w:rsidTr="0032654B">
        <w:tc>
          <w:tcPr>
            <w:tcW w:w="7200" w:type="dxa"/>
          </w:tcPr>
          <w:p w14:paraId="112AE6C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GBM</w:t>
            </w:r>
          </w:p>
        </w:tc>
        <w:tc>
          <w:tcPr>
            <w:tcW w:w="7200" w:type="dxa"/>
          </w:tcPr>
          <w:p w14:paraId="35E434D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Gradient Boosting Machine</w:t>
            </w:r>
          </w:p>
        </w:tc>
      </w:tr>
      <w:tr w:rsidR="00BD4A5A" w:rsidRPr="00C317F1" w14:paraId="21AFB742" w14:textId="77777777" w:rsidTr="0032654B">
        <w:tc>
          <w:tcPr>
            <w:tcW w:w="7200" w:type="dxa"/>
          </w:tcPr>
          <w:p w14:paraId="18C7ED5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HHS</w:t>
            </w:r>
          </w:p>
        </w:tc>
        <w:tc>
          <w:tcPr>
            <w:tcW w:w="7200" w:type="dxa"/>
          </w:tcPr>
          <w:p w14:paraId="48E8AFD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Department of Health and Human Services</w:t>
            </w:r>
          </w:p>
        </w:tc>
      </w:tr>
      <w:tr w:rsidR="00BD4A5A" w:rsidRPr="00C317F1" w14:paraId="65407ACD" w14:textId="77777777" w:rsidTr="0032654B">
        <w:tc>
          <w:tcPr>
            <w:tcW w:w="7200" w:type="dxa"/>
          </w:tcPr>
          <w:p w14:paraId="6D16301F" w14:textId="77777777" w:rsidR="00BD4A5A" w:rsidRPr="00C317F1" w:rsidRDefault="00BD4A5A" w:rsidP="00015FAE">
            <w:pPr>
              <w:spacing w:line="276" w:lineRule="auto"/>
              <w:jc w:val="both"/>
              <w:rPr>
                <w:rFonts w:ascii="Arial" w:hAnsi="Arial" w:cs="Arial"/>
                <w:sz w:val="20"/>
                <w:szCs w:val="20"/>
              </w:rPr>
            </w:pPr>
            <w:proofErr w:type="spellStart"/>
            <w:r w:rsidRPr="00C317F1">
              <w:rPr>
                <w:rFonts w:ascii="Arial" w:hAnsi="Arial" w:cs="Arial"/>
                <w:sz w:val="20"/>
                <w:szCs w:val="20"/>
              </w:rPr>
              <w:t>JamIA</w:t>
            </w:r>
            <w:proofErr w:type="spellEnd"/>
            <w:r w:rsidRPr="00C317F1">
              <w:rPr>
                <w:rFonts w:ascii="Arial" w:hAnsi="Arial" w:cs="Arial"/>
                <w:sz w:val="20"/>
                <w:szCs w:val="20"/>
              </w:rPr>
              <w:t>/JAMIA</w:t>
            </w:r>
          </w:p>
        </w:tc>
        <w:tc>
          <w:tcPr>
            <w:tcW w:w="7200" w:type="dxa"/>
          </w:tcPr>
          <w:p w14:paraId="07410A9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Journal of the American Medical Informatics Association</w:t>
            </w:r>
          </w:p>
        </w:tc>
      </w:tr>
      <w:tr w:rsidR="00BD4A5A" w:rsidRPr="00C317F1" w14:paraId="13F859D4" w14:textId="77777777" w:rsidTr="0032654B">
        <w:tc>
          <w:tcPr>
            <w:tcW w:w="7200" w:type="dxa"/>
          </w:tcPr>
          <w:p w14:paraId="75B407E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JMIR</w:t>
            </w:r>
          </w:p>
        </w:tc>
        <w:tc>
          <w:tcPr>
            <w:tcW w:w="7200" w:type="dxa"/>
          </w:tcPr>
          <w:p w14:paraId="16A0054F"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Journal of Medical Internet Research</w:t>
            </w:r>
          </w:p>
        </w:tc>
      </w:tr>
      <w:tr w:rsidR="00BD4A5A" w:rsidRPr="00C317F1" w14:paraId="47FB87D4" w14:textId="77777777" w:rsidTr="0032654B">
        <w:tc>
          <w:tcPr>
            <w:tcW w:w="7200" w:type="dxa"/>
          </w:tcPr>
          <w:p w14:paraId="399AE159"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JFI</w:t>
            </w:r>
          </w:p>
        </w:tc>
        <w:tc>
          <w:tcPr>
            <w:tcW w:w="7200" w:type="dxa"/>
          </w:tcPr>
          <w:p w14:paraId="05C3EA2E"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Journal of Financial Intermediation</w:t>
            </w:r>
          </w:p>
        </w:tc>
      </w:tr>
      <w:tr w:rsidR="00BD4A5A" w:rsidRPr="00C317F1" w14:paraId="7C13FCDB" w14:textId="77777777" w:rsidTr="0032654B">
        <w:tc>
          <w:tcPr>
            <w:tcW w:w="7200" w:type="dxa"/>
          </w:tcPr>
          <w:p w14:paraId="1796B4C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KPI</w:t>
            </w:r>
          </w:p>
        </w:tc>
        <w:tc>
          <w:tcPr>
            <w:tcW w:w="7200" w:type="dxa"/>
          </w:tcPr>
          <w:p w14:paraId="0BA2B55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Key Performance Indicator</w:t>
            </w:r>
          </w:p>
        </w:tc>
      </w:tr>
      <w:tr w:rsidR="00BD4A5A" w:rsidRPr="00C317F1" w14:paraId="30C5F0D5" w14:textId="77777777" w:rsidTr="0032654B">
        <w:tc>
          <w:tcPr>
            <w:tcW w:w="7200" w:type="dxa"/>
          </w:tcPr>
          <w:p w14:paraId="25D8627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LDA</w:t>
            </w:r>
          </w:p>
        </w:tc>
        <w:tc>
          <w:tcPr>
            <w:tcW w:w="7200" w:type="dxa"/>
          </w:tcPr>
          <w:p w14:paraId="7946EB8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Latent Dirichlet Allocation</w:t>
            </w:r>
          </w:p>
        </w:tc>
      </w:tr>
      <w:tr w:rsidR="00BD4A5A" w:rsidRPr="00C317F1" w14:paraId="4408F028" w14:textId="77777777" w:rsidTr="0032654B">
        <w:tc>
          <w:tcPr>
            <w:tcW w:w="7200" w:type="dxa"/>
          </w:tcPr>
          <w:p w14:paraId="34B4F91D"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MAE</w:t>
            </w:r>
          </w:p>
        </w:tc>
        <w:tc>
          <w:tcPr>
            <w:tcW w:w="7200" w:type="dxa"/>
          </w:tcPr>
          <w:p w14:paraId="1DC5B04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Mean Absolute Error</w:t>
            </w:r>
          </w:p>
        </w:tc>
      </w:tr>
      <w:tr w:rsidR="00BD4A5A" w:rsidRPr="00C317F1" w14:paraId="25CDB0FC" w14:textId="77777777" w:rsidTr="0032654B">
        <w:tc>
          <w:tcPr>
            <w:tcW w:w="7200" w:type="dxa"/>
          </w:tcPr>
          <w:p w14:paraId="25F2103D"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MAPE</w:t>
            </w:r>
          </w:p>
        </w:tc>
        <w:tc>
          <w:tcPr>
            <w:tcW w:w="7200" w:type="dxa"/>
          </w:tcPr>
          <w:p w14:paraId="5265C89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Mean Absolute Percentage Error</w:t>
            </w:r>
          </w:p>
        </w:tc>
      </w:tr>
      <w:tr w:rsidR="00BD4A5A" w:rsidRPr="00C317F1" w14:paraId="3E16EA21" w14:textId="77777777" w:rsidTr="0032654B">
        <w:tc>
          <w:tcPr>
            <w:tcW w:w="7200" w:type="dxa"/>
          </w:tcPr>
          <w:p w14:paraId="5F0B82BF"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NN</w:t>
            </w:r>
          </w:p>
        </w:tc>
        <w:tc>
          <w:tcPr>
            <w:tcW w:w="7200" w:type="dxa"/>
          </w:tcPr>
          <w:p w14:paraId="57A3B30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Neural Network</w:t>
            </w:r>
          </w:p>
        </w:tc>
      </w:tr>
      <w:tr w:rsidR="00BD4A5A" w:rsidRPr="00C317F1" w14:paraId="6A7370F1" w14:textId="77777777" w:rsidTr="0032654B">
        <w:tc>
          <w:tcPr>
            <w:tcW w:w="7200" w:type="dxa"/>
          </w:tcPr>
          <w:p w14:paraId="1020D9BF"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OEM</w:t>
            </w:r>
          </w:p>
        </w:tc>
        <w:tc>
          <w:tcPr>
            <w:tcW w:w="7200" w:type="dxa"/>
          </w:tcPr>
          <w:p w14:paraId="574E1B20"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Original Equipment Manufacturer</w:t>
            </w:r>
          </w:p>
        </w:tc>
      </w:tr>
      <w:tr w:rsidR="00BD4A5A" w:rsidRPr="00C317F1" w14:paraId="147DC066" w14:textId="77777777" w:rsidTr="0032654B">
        <w:tc>
          <w:tcPr>
            <w:tcW w:w="7200" w:type="dxa"/>
          </w:tcPr>
          <w:p w14:paraId="69C0B0F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OR</w:t>
            </w:r>
          </w:p>
        </w:tc>
        <w:tc>
          <w:tcPr>
            <w:tcW w:w="7200" w:type="dxa"/>
          </w:tcPr>
          <w:p w14:paraId="2052687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Odds Ratio</w:t>
            </w:r>
          </w:p>
        </w:tc>
      </w:tr>
      <w:tr w:rsidR="00BD4A5A" w:rsidRPr="00C317F1" w14:paraId="1CBDD09C" w14:textId="77777777" w:rsidTr="0032654B">
        <w:tc>
          <w:tcPr>
            <w:tcW w:w="7200" w:type="dxa"/>
          </w:tcPr>
          <w:p w14:paraId="374ABA82"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PDP</w:t>
            </w:r>
          </w:p>
        </w:tc>
        <w:tc>
          <w:tcPr>
            <w:tcW w:w="7200" w:type="dxa"/>
          </w:tcPr>
          <w:p w14:paraId="48E1E292"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Partial Dependence Plot</w:t>
            </w:r>
          </w:p>
        </w:tc>
      </w:tr>
      <w:tr w:rsidR="00BD4A5A" w:rsidRPr="00C317F1" w14:paraId="79A7506F" w14:textId="77777777" w:rsidTr="0032654B">
        <w:tc>
          <w:tcPr>
            <w:tcW w:w="7200" w:type="dxa"/>
          </w:tcPr>
          <w:p w14:paraId="38F8B4C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PR</w:t>
            </w:r>
          </w:p>
        </w:tc>
        <w:tc>
          <w:tcPr>
            <w:tcW w:w="7200" w:type="dxa"/>
          </w:tcPr>
          <w:p w14:paraId="383C3AC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Precision-Recall (or Precision/Recall, context-dependent)</w:t>
            </w:r>
          </w:p>
        </w:tc>
      </w:tr>
      <w:tr w:rsidR="00BD4A5A" w:rsidRPr="00C317F1" w14:paraId="349F9928" w14:textId="77777777" w:rsidTr="0032654B">
        <w:tc>
          <w:tcPr>
            <w:tcW w:w="7200" w:type="dxa"/>
          </w:tcPr>
          <w:p w14:paraId="22C5AD5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R²</w:t>
            </w:r>
          </w:p>
        </w:tc>
        <w:tc>
          <w:tcPr>
            <w:tcW w:w="7200" w:type="dxa"/>
          </w:tcPr>
          <w:p w14:paraId="14985FCB"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Coefficient of Determination</w:t>
            </w:r>
          </w:p>
        </w:tc>
      </w:tr>
      <w:tr w:rsidR="00BD4A5A" w:rsidRPr="00C317F1" w14:paraId="65F1062D" w14:textId="77777777" w:rsidTr="0032654B">
        <w:tc>
          <w:tcPr>
            <w:tcW w:w="7200" w:type="dxa"/>
          </w:tcPr>
          <w:p w14:paraId="69C36606"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RF</w:t>
            </w:r>
          </w:p>
        </w:tc>
        <w:tc>
          <w:tcPr>
            <w:tcW w:w="7200" w:type="dxa"/>
          </w:tcPr>
          <w:p w14:paraId="082DF3DC"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Random Forest</w:t>
            </w:r>
          </w:p>
        </w:tc>
      </w:tr>
      <w:tr w:rsidR="00BD4A5A" w:rsidRPr="00C317F1" w14:paraId="0A065D20" w14:textId="77777777" w:rsidTr="0032654B">
        <w:tc>
          <w:tcPr>
            <w:tcW w:w="7200" w:type="dxa"/>
          </w:tcPr>
          <w:p w14:paraId="6A86E295"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RMSE</w:t>
            </w:r>
          </w:p>
        </w:tc>
        <w:tc>
          <w:tcPr>
            <w:tcW w:w="7200" w:type="dxa"/>
          </w:tcPr>
          <w:p w14:paraId="53AF6018"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Root Mean Squared Error</w:t>
            </w:r>
          </w:p>
        </w:tc>
      </w:tr>
      <w:tr w:rsidR="00BD4A5A" w:rsidRPr="00C317F1" w14:paraId="09B1BCFD" w14:textId="77777777" w:rsidTr="0032654B">
        <w:tc>
          <w:tcPr>
            <w:tcW w:w="7200" w:type="dxa"/>
          </w:tcPr>
          <w:p w14:paraId="312F5763"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SC</w:t>
            </w:r>
          </w:p>
        </w:tc>
        <w:tc>
          <w:tcPr>
            <w:tcW w:w="7200" w:type="dxa"/>
          </w:tcPr>
          <w:p w14:paraId="003844BD"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Supply Chain</w:t>
            </w:r>
          </w:p>
        </w:tc>
      </w:tr>
      <w:tr w:rsidR="00BD4A5A" w:rsidRPr="00C317F1" w14:paraId="6E65A92D" w14:textId="77777777" w:rsidTr="0032654B">
        <w:tc>
          <w:tcPr>
            <w:tcW w:w="7200" w:type="dxa"/>
          </w:tcPr>
          <w:p w14:paraId="02ABDD7A"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SEC</w:t>
            </w:r>
          </w:p>
        </w:tc>
        <w:tc>
          <w:tcPr>
            <w:tcW w:w="7200" w:type="dxa"/>
          </w:tcPr>
          <w:p w14:paraId="165C4F94"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U.S. Securities and Exchange Commission</w:t>
            </w:r>
          </w:p>
        </w:tc>
      </w:tr>
      <w:tr w:rsidR="00BD4A5A" w:rsidRPr="00C317F1" w14:paraId="2B247EA0" w14:textId="77777777" w:rsidTr="0032654B">
        <w:tc>
          <w:tcPr>
            <w:tcW w:w="7200" w:type="dxa"/>
          </w:tcPr>
          <w:p w14:paraId="4D18070F"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XAI</w:t>
            </w:r>
          </w:p>
        </w:tc>
        <w:tc>
          <w:tcPr>
            <w:tcW w:w="7200" w:type="dxa"/>
          </w:tcPr>
          <w:p w14:paraId="2DD3A317" w14:textId="77777777" w:rsidR="00BD4A5A" w:rsidRPr="00C317F1" w:rsidRDefault="00BD4A5A" w:rsidP="00015FAE">
            <w:pPr>
              <w:spacing w:line="276" w:lineRule="auto"/>
              <w:jc w:val="both"/>
              <w:rPr>
                <w:rFonts w:ascii="Arial" w:hAnsi="Arial" w:cs="Arial"/>
                <w:sz w:val="20"/>
                <w:szCs w:val="20"/>
              </w:rPr>
            </w:pPr>
            <w:r w:rsidRPr="00C317F1">
              <w:rPr>
                <w:rFonts w:ascii="Arial" w:hAnsi="Arial" w:cs="Arial"/>
                <w:sz w:val="20"/>
                <w:szCs w:val="20"/>
              </w:rPr>
              <w:t>Explainable Artificial Intelligence</w:t>
            </w:r>
          </w:p>
        </w:tc>
      </w:tr>
    </w:tbl>
    <w:p w14:paraId="773E4FB8" w14:textId="77777777" w:rsidR="00BD4A5A" w:rsidRPr="00C317F1" w:rsidRDefault="00BD4A5A" w:rsidP="00015FAE">
      <w:pPr>
        <w:spacing w:line="276" w:lineRule="auto"/>
        <w:jc w:val="both"/>
        <w:rPr>
          <w:rFonts w:ascii="Arial" w:hAnsi="Arial" w:cs="Arial"/>
          <w:b/>
          <w:bCs/>
          <w:sz w:val="20"/>
          <w:szCs w:val="20"/>
        </w:rPr>
        <w:sectPr w:rsidR="00BD4A5A" w:rsidRPr="00C317F1" w:rsidSect="00BD4A5A">
          <w:pgSz w:w="15840" w:h="12240" w:orient="landscape"/>
          <w:pgMar w:top="1440" w:right="1440" w:bottom="1440" w:left="1440" w:header="720" w:footer="720" w:gutter="0"/>
          <w:cols w:space="720"/>
          <w:docGrid w:linePitch="360"/>
        </w:sectPr>
      </w:pPr>
    </w:p>
    <w:p w14:paraId="7B68AA4B" w14:textId="05DD1B60" w:rsidR="00E94D3B" w:rsidRPr="00C317F1" w:rsidRDefault="00E94D3B" w:rsidP="00015FAE">
      <w:pPr>
        <w:spacing w:line="276" w:lineRule="auto"/>
        <w:jc w:val="both"/>
        <w:rPr>
          <w:rFonts w:ascii="Arial" w:hAnsi="Arial" w:cs="Arial"/>
          <w:b/>
          <w:bCs/>
          <w:sz w:val="22"/>
          <w:szCs w:val="22"/>
        </w:rPr>
      </w:pPr>
      <w:r w:rsidRPr="00C317F1">
        <w:rPr>
          <w:rFonts w:ascii="Arial" w:hAnsi="Arial" w:cs="Arial"/>
          <w:b/>
          <w:bCs/>
          <w:sz w:val="22"/>
          <w:szCs w:val="22"/>
        </w:rPr>
        <w:lastRenderedPageBreak/>
        <w:t xml:space="preserve">4.0 </w:t>
      </w:r>
      <w:r w:rsidR="00EE3E3B">
        <w:rPr>
          <w:rFonts w:ascii="Arial" w:hAnsi="Arial" w:cs="Arial"/>
          <w:b/>
          <w:bCs/>
          <w:sz w:val="22"/>
          <w:szCs w:val="22"/>
        </w:rPr>
        <w:t>DISCUSSION</w:t>
      </w:r>
    </w:p>
    <w:p w14:paraId="301C4493" w14:textId="123FFA18" w:rsidR="00E94D3B" w:rsidRPr="00C317F1" w:rsidRDefault="00E94D3B" w:rsidP="00015FAE">
      <w:pPr>
        <w:spacing w:line="276" w:lineRule="auto"/>
        <w:jc w:val="both"/>
        <w:rPr>
          <w:rFonts w:ascii="Arial" w:hAnsi="Arial" w:cs="Arial"/>
          <w:b/>
          <w:bCs/>
          <w:sz w:val="22"/>
          <w:szCs w:val="22"/>
        </w:rPr>
      </w:pPr>
      <w:r w:rsidRPr="00C317F1">
        <w:rPr>
          <w:rFonts w:ascii="Arial" w:hAnsi="Arial" w:cs="Arial"/>
          <w:b/>
          <w:bCs/>
          <w:sz w:val="22"/>
          <w:szCs w:val="22"/>
        </w:rPr>
        <w:t>4.1 Summary of key findings</w:t>
      </w:r>
    </w:p>
    <w:p w14:paraId="7190D046" w14:textId="7BD4C06E" w:rsidR="00E94D3B" w:rsidRDefault="00E94D3B" w:rsidP="00015FAE">
      <w:pPr>
        <w:spacing w:line="276" w:lineRule="auto"/>
        <w:jc w:val="both"/>
        <w:rPr>
          <w:rFonts w:ascii="Arial" w:hAnsi="Arial" w:cs="Arial"/>
          <w:sz w:val="20"/>
          <w:szCs w:val="20"/>
        </w:rPr>
      </w:pPr>
      <w:r w:rsidRPr="00C317F1">
        <w:rPr>
          <w:rFonts w:ascii="Arial" w:hAnsi="Arial" w:cs="Arial"/>
          <w:sz w:val="20"/>
          <w:szCs w:val="20"/>
        </w:rPr>
        <w:t xml:space="preserve">A collective analysis of studies demonstrates the capacity of AI/ML to generate quantifiable benefits across various risk domains. Text-based models that are constructed on 10-K narratives and earnings calls have demonstrated a consistent ability to outperform ratio-only baselines in predicting U.S. firm distress. This suggests that narrative disclosures contain forward-looking signals. The </w:t>
      </w:r>
      <w:proofErr w:type="spellStart"/>
      <w:r w:rsidRPr="00C317F1">
        <w:rPr>
          <w:rFonts w:ascii="Arial" w:hAnsi="Arial" w:cs="Arial"/>
          <w:sz w:val="20"/>
          <w:szCs w:val="20"/>
        </w:rPr>
        <w:t>utilisation</w:t>
      </w:r>
      <w:proofErr w:type="spellEnd"/>
      <w:r w:rsidRPr="00C317F1">
        <w:rPr>
          <w:rFonts w:ascii="Arial" w:hAnsi="Arial" w:cs="Arial"/>
          <w:sz w:val="20"/>
          <w:szCs w:val="20"/>
        </w:rPr>
        <w:t xml:space="preserve"> of topic models, which are employed to </w:t>
      </w:r>
      <w:proofErr w:type="spellStart"/>
      <w:r w:rsidRPr="00C317F1">
        <w:rPr>
          <w:rFonts w:ascii="Arial" w:hAnsi="Arial" w:cs="Arial"/>
          <w:sz w:val="20"/>
          <w:szCs w:val="20"/>
        </w:rPr>
        <w:t>analyse</w:t>
      </w:r>
      <w:proofErr w:type="spellEnd"/>
      <w:r w:rsidRPr="00C317F1">
        <w:rPr>
          <w:rFonts w:ascii="Arial" w:hAnsi="Arial" w:cs="Arial"/>
          <w:sz w:val="20"/>
          <w:szCs w:val="20"/>
        </w:rPr>
        <w:t xml:space="preserve"> bank risk factors and broader SEC filings, has emerged as a significant method for identifying shifting exposure. This approach has been particularly effective in capturing reweighting that occurs during the pandemic era, thereby highlighting operational and ESG vulnerabilities that may not be fully captured by traditional indicators. In the context of cyber risk, external security ratings and mandated disclosure text have been shown to possess predictive capabilities regarding the likelihood of breach or incident occurrence. Moreover, quasi-experimental evidence has been demonstrated to establish a link between breaches and tangible productivity losses, thereby highlighting the downstream operational impact. Operations research has shown that gradient-boosted and ensemble regressors trained on inbound logistics and ERP data can reduce ETA error during disruptions. Complementary deep learning with macro indicators and supply KPIs has also shown the potential to enable earlier delay warnings. A case analysis of manufacturing processes indicates that the integration of transactional and shop-floor features enhances lead-time reliability. In regulated healthcare supply chains, classifiers built on FDA recall and open signals provide early recall-risk alerts.</w:t>
      </w:r>
      <w:r w:rsidR="005425B7">
        <w:rPr>
          <w:rFonts w:ascii="Arial" w:hAnsi="Arial" w:cs="Arial"/>
          <w:sz w:val="20"/>
          <w:szCs w:val="20"/>
        </w:rPr>
        <w:t xml:space="preserve"> </w:t>
      </w:r>
      <w:r w:rsidR="005425B7" w:rsidRPr="005425B7">
        <w:rPr>
          <w:rFonts w:ascii="Arial" w:hAnsi="Arial" w:cs="Arial"/>
          <w:sz w:val="20"/>
          <w:szCs w:val="20"/>
        </w:rPr>
        <w:t xml:space="preserve">The findings </w:t>
      </w:r>
      <w:proofErr w:type="spellStart"/>
      <w:r w:rsidR="00BB0A76">
        <w:rPr>
          <w:rFonts w:ascii="Arial" w:hAnsi="Arial" w:cs="Arial"/>
          <w:sz w:val="20"/>
          <w:szCs w:val="20"/>
        </w:rPr>
        <w:t>emphasise</w:t>
      </w:r>
      <w:proofErr w:type="spellEnd"/>
      <w:r w:rsidR="005425B7" w:rsidRPr="005425B7">
        <w:rPr>
          <w:rFonts w:ascii="Arial" w:hAnsi="Arial" w:cs="Arial"/>
          <w:sz w:val="20"/>
          <w:szCs w:val="20"/>
        </w:rPr>
        <w:t xml:space="preserve"> U.S. disclosures (SEC 10-K/10-Q), registries (HHS/FDA), and governance expectations. </w:t>
      </w:r>
      <w:r w:rsidR="00BB0A76">
        <w:rPr>
          <w:rFonts w:ascii="Arial" w:hAnsi="Arial" w:cs="Arial"/>
          <w:sz w:val="20"/>
          <w:szCs w:val="20"/>
        </w:rPr>
        <w:t>To</w:t>
      </w:r>
      <w:r w:rsidR="005425B7" w:rsidRPr="005425B7">
        <w:rPr>
          <w:rFonts w:ascii="Arial" w:hAnsi="Arial" w:cs="Arial"/>
          <w:sz w:val="20"/>
          <w:szCs w:val="20"/>
        </w:rPr>
        <w:t xml:space="preserve"> port this to other jurisdictions, analogous artifacts must be substituted (e.g., national corporate filings/recall registries), re-validating thresholds, and re-auditing fairness for local supplier size distributions. Consequently, the blueprint is regarded as portable by pattern rather than by </w:t>
      </w:r>
      <w:proofErr w:type="spellStart"/>
      <w:r w:rsidR="00BB0A76">
        <w:rPr>
          <w:rFonts w:ascii="Arial" w:hAnsi="Arial" w:cs="Arial"/>
          <w:sz w:val="20"/>
          <w:szCs w:val="20"/>
        </w:rPr>
        <w:t>parameterisation</w:t>
      </w:r>
      <w:proofErr w:type="spellEnd"/>
      <w:r w:rsidR="005425B7" w:rsidRPr="005425B7">
        <w:rPr>
          <w:rFonts w:ascii="Arial" w:hAnsi="Arial" w:cs="Arial"/>
          <w:sz w:val="20"/>
          <w:szCs w:val="20"/>
        </w:rPr>
        <w:t>, unless it is re-estimated with in-country data.</w:t>
      </w:r>
    </w:p>
    <w:p w14:paraId="3BA93576" w14:textId="77777777" w:rsidR="00E94D3B" w:rsidRPr="00C317F1" w:rsidRDefault="00E94D3B" w:rsidP="00015FAE">
      <w:pPr>
        <w:spacing w:line="276" w:lineRule="auto"/>
        <w:jc w:val="both"/>
        <w:rPr>
          <w:rFonts w:ascii="Arial" w:hAnsi="Arial" w:cs="Arial"/>
          <w:b/>
          <w:bCs/>
          <w:sz w:val="22"/>
          <w:szCs w:val="22"/>
        </w:rPr>
      </w:pPr>
      <w:r w:rsidRPr="00C317F1">
        <w:rPr>
          <w:rFonts w:ascii="Arial" w:hAnsi="Arial" w:cs="Arial"/>
          <w:b/>
          <w:bCs/>
          <w:sz w:val="22"/>
          <w:szCs w:val="22"/>
        </w:rPr>
        <w:t>4.2 Comparison of existing literature</w:t>
      </w:r>
    </w:p>
    <w:p w14:paraId="0E6DE0A3" w14:textId="768E2D2F" w:rsidR="0062749F" w:rsidRPr="00C317F1" w:rsidRDefault="0062749F" w:rsidP="00015FAE">
      <w:pPr>
        <w:spacing w:line="276" w:lineRule="auto"/>
        <w:jc w:val="both"/>
        <w:rPr>
          <w:rFonts w:ascii="Arial" w:hAnsi="Arial" w:cs="Arial"/>
          <w:sz w:val="20"/>
          <w:szCs w:val="20"/>
        </w:rPr>
      </w:pPr>
      <w:r w:rsidRPr="00C317F1">
        <w:rPr>
          <w:rFonts w:ascii="Arial" w:hAnsi="Arial" w:cs="Arial"/>
          <w:sz w:val="20"/>
          <w:szCs w:val="20"/>
        </w:rPr>
        <w:t xml:space="preserve">The conclusion that deep and ensemble models enhance predictive accuracy is consistent with the findings of supply-chain surveys. However, these same reviews caution about evaluation heterogeneity and fragile </w:t>
      </w:r>
      <w:proofErr w:type="spellStart"/>
      <w:r w:rsidR="0073483C" w:rsidRPr="00C317F1">
        <w:rPr>
          <w:rFonts w:ascii="Arial" w:hAnsi="Arial" w:cs="Arial"/>
          <w:sz w:val="20"/>
          <w:szCs w:val="20"/>
        </w:rPr>
        <w:t>generalisation</w:t>
      </w:r>
      <w:proofErr w:type="spellEnd"/>
      <w:r w:rsidRPr="00C317F1">
        <w:rPr>
          <w:rFonts w:ascii="Arial" w:hAnsi="Arial" w:cs="Arial"/>
          <w:sz w:val="20"/>
          <w:szCs w:val="20"/>
        </w:rPr>
        <w:t xml:space="preserve"> (</w:t>
      </w:r>
      <w:proofErr w:type="spellStart"/>
      <w:r w:rsidRPr="00C317F1">
        <w:rPr>
          <w:rFonts w:ascii="Arial" w:hAnsi="Arial" w:cs="Arial"/>
          <w:sz w:val="20"/>
          <w:szCs w:val="20"/>
        </w:rPr>
        <w:t>Baryannis</w:t>
      </w:r>
      <w:proofErr w:type="spellEnd"/>
      <w:r w:rsidRPr="00C317F1">
        <w:rPr>
          <w:rFonts w:ascii="Arial" w:hAnsi="Arial" w:cs="Arial"/>
          <w:sz w:val="20"/>
          <w:szCs w:val="20"/>
        </w:rPr>
        <w:t xml:space="preserve">, 2019). In contrast to the case-level evidence from the United States, broad SLRs </w:t>
      </w:r>
      <w:proofErr w:type="spellStart"/>
      <w:r w:rsidR="0073483C" w:rsidRPr="00C317F1">
        <w:rPr>
          <w:rFonts w:ascii="Arial" w:hAnsi="Arial" w:cs="Arial"/>
          <w:sz w:val="20"/>
          <w:szCs w:val="20"/>
        </w:rPr>
        <w:t>synthesise</w:t>
      </w:r>
      <w:proofErr w:type="spellEnd"/>
      <w:r w:rsidRPr="00C317F1">
        <w:rPr>
          <w:rFonts w:ascii="Arial" w:hAnsi="Arial" w:cs="Arial"/>
          <w:sz w:val="20"/>
          <w:szCs w:val="20"/>
        </w:rPr>
        <w:t xml:space="preserve"> multi-region corpora, which can overstate external validity for regulated U.S. contexts (</w:t>
      </w:r>
      <w:proofErr w:type="spellStart"/>
      <w:r w:rsidRPr="00C317F1">
        <w:rPr>
          <w:rFonts w:ascii="Arial" w:hAnsi="Arial" w:cs="Arial"/>
          <w:sz w:val="20"/>
          <w:szCs w:val="20"/>
        </w:rPr>
        <w:t>Toorajipour</w:t>
      </w:r>
      <w:proofErr w:type="spellEnd"/>
      <w:r w:rsidRPr="00C317F1">
        <w:rPr>
          <w:rFonts w:ascii="Arial" w:hAnsi="Arial" w:cs="Arial"/>
          <w:sz w:val="20"/>
          <w:szCs w:val="20"/>
        </w:rPr>
        <w:t xml:space="preserve"> et al., 2021). Bibliometric mapping reveals the rapid dissemination of AI across SCM, yet it also highlights the fragmentation of metric reporting. This finding aligns with the identified calibration gap and underscores the necessity for </w:t>
      </w:r>
      <w:proofErr w:type="spellStart"/>
      <w:r w:rsidR="0073483C" w:rsidRPr="00C317F1">
        <w:rPr>
          <w:rFonts w:ascii="Arial" w:hAnsi="Arial" w:cs="Arial"/>
          <w:sz w:val="20"/>
          <w:szCs w:val="20"/>
        </w:rPr>
        <w:t>standardised</w:t>
      </w:r>
      <w:proofErr w:type="spellEnd"/>
      <w:r w:rsidRPr="00C317F1">
        <w:rPr>
          <w:rFonts w:ascii="Arial" w:hAnsi="Arial" w:cs="Arial"/>
          <w:sz w:val="20"/>
          <w:szCs w:val="20"/>
        </w:rPr>
        <w:t xml:space="preserve"> benchmarks (</w:t>
      </w:r>
      <w:proofErr w:type="spellStart"/>
      <w:r w:rsidRPr="00C317F1">
        <w:rPr>
          <w:rFonts w:ascii="Arial" w:hAnsi="Arial" w:cs="Arial"/>
          <w:sz w:val="20"/>
          <w:szCs w:val="20"/>
        </w:rPr>
        <w:t>Culot</w:t>
      </w:r>
      <w:proofErr w:type="spellEnd"/>
      <w:r w:rsidRPr="00C317F1">
        <w:rPr>
          <w:rFonts w:ascii="Arial" w:hAnsi="Arial" w:cs="Arial"/>
          <w:sz w:val="20"/>
          <w:szCs w:val="20"/>
        </w:rPr>
        <w:t xml:space="preserve"> et al., 2024). When evaluated within the framework of resilience theory, the efficacy of timeliness and lead-time gains in enhancing survivability is substantiated. Conversely, viability models advocate for the integration of these metrics with network-level reconfiguration tests, as posited by Ivanov and </w:t>
      </w:r>
      <w:proofErr w:type="spellStart"/>
      <w:r w:rsidRPr="00C317F1">
        <w:rPr>
          <w:rFonts w:ascii="Arial" w:hAnsi="Arial" w:cs="Arial"/>
          <w:sz w:val="20"/>
          <w:szCs w:val="20"/>
        </w:rPr>
        <w:t>Dolgui</w:t>
      </w:r>
      <w:proofErr w:type="spellEnd"/>
      <w:r w:rsidRPr="00C317F1">
        <w:rPr>
          <w:rFonts w:ascii="Arial" w:hAnsi="Arial" w:cs="Arial"/>
          <w:sz w:val="20"/>
          <w:szCs w:val="20"/>
        </w:rPr>
        <w:t xml:space="preserve"> (2020). The viable supply-chain lens insists on integrating agility and sustainability targets into model acceptance criteria, extending governance blueprints (Ivanov, 2022).</w:t>
      </w:r>
    </w:p>
    <w:p w14:paraId="77212AD8" w14:textId="213E14EB" w:rsidR="0062749F" w:rsidRPr="00C317F1" w:rsidRDefault="0062749F" w:rsidP="00015FAE">
      <w:pPr>
        <w:spacing w:line="276" w:lineRule="auto"/>
        <w:jc w:val="both"/>
        <w:rPr>
          <w:rFonts w:ascii="Arial" w:hAnsi="Arial" w:cs="Arial"/>
          <w:sz w:val="20"/>
          <w:szCs w:val="20"/>
        </w:rPr>
      </w:pPr>
      <w:r w:rsidRPr="00C317F1">
        <w:rPr>
          <w:rFonts w:ascii="Arial" w:hAnsi="Arial" w:cs="Arial"/>
          <w:sz w:val="20"/>
          <w:szCs w:val="20"/>
        </w:rPr>
        <w:t xml:space="preserve">The concept of "digital supply chain surveillance" appears to align with the necessity of continuous monitoring, as outlined in the call for action. However, it is important to note that this approach may also introduce ethical and oversight challenges that have only begun to be addressed (Brintrup, 2024). As indicated by Khedr et al. (2024), the efficacy of deep-learning reviews in validating architectural choices is contingent upon the consideration of two factors. Firstly, the congruence between architectural design and data management practices is as crucial as the selection of the model class. LLM-based event extraction has been demonstrated to complement OSINT pipelines; however, it has also been shown to engender provenance and hallucination risks that are not present in typical deployments (Shahsavari et al., 2024). In the context of high-stakes actions, interpretable-first stances challenge one's reliance on post-hoc XAI </w:t>
      </w:r>
      <w:r w:rsidRPr="00C317F1">
        <w:rPr>
          <w:rFonts w:ascii="Arial" w:hAnsi="Arial" w:cs="Arial"/>
          <w:sz w:val="20"/>
          <w:szCs w:val="20"/>
        </w:rPr>
        <w:lastRenderedPageBreak/>
        <w:t>(Rudin, 2019).</w:t>
      </w:r>
      <w:r w:rsidRPr="00C317F1">
        <w:rPr>
          <w:rFonts w:ascii="Arial" w:hAnsi="Arial" w:cs="Arial"/>
          <w:sz w:val="22"/>
          <w:szCs w:val="22"/>
        </w:rPr>
        <w:t xml:space="preserve"> </w:t>
      </w:r>
      <w:r w:rsidRPr="00C317F1">
        <w:rPr>
          <w:rFonts w:ascii="Arial" w:hAnsi="Arial" w:cs="Arial"/>
          <w:sz w:val="20"/>
          <w:szCs w:val="20"/>
        </w:rPr>
        <w:t>As indicated by reviews of artificial intelligence (AI) in the finance sector, there is an increasing trend of regulatory expectations. This suggests the need for strengthening recommendations concerning model cards and calibrated thresholds (</w:t>
      </w:r>
      <w:proofErr w:type="spellStart"/>
      <w:r w:rsidRPr="00C317F1">
        <w:rPr>
          <w:rFonts w:ascii="Arial" w:hAnsi="Arial" w:cs="Arial"/>
          <w:sz w:val="20"/>
          <w:szCs w:val="20"/>
        </w:rPr>
        <w:t>Cerneviciene</w:t>
      </w:r>
      <w:proofErr w:type="spellEnd"/>
      <w:r w:rsidRPr="00C317F1">
        <w:rPr>
          <w:rFonts w:ascii="Arial" w:hAnsi="Arial" w:cs="Arial"/>
          <w:sz w:val="20"/>
          <w:szCs w:val="20"/>
        </w:rPr>
        <w:t xml:space="preserve"> et al., 2024).</w:t>
      </w:r>
    </w:p>
    <w:p w14:paraId="58F63FA8" w14:textId="0D994ADA" w:rsidR="0062749F" w:rsidRDefault="0062749F" w:rsidP="00015FAE">
      <w:pPr>
        <w:spacing w:line="276" w:lineRule="auto"/>
        <w:jc w:val="both"/>
        <w:rPr>
          <w:rFonts w:ascii="Arial" w:hAnsi="Arial" w:cs="Arial"/>
          <w:sz w:val="20"/>
          <w:szCs w:val="20"/>
        </w:rPr>
      </w:pPr>
      <w:r w:rsidRPr="00C317F1">
        <w:rPr>
          <w:rFonts w:ascii="Arial" w:hAnsi="Arial" w:cs="Arial"/>
          <w:sz w:val="20"/>
          <w:szCs w:val="20"/>
        </w:rPr>
        <w:t>Recent surveys suggest the value of taxonomies for explainable artificial intelligence (XAI) tailored to specific domains, in accordance with stakeholder-</w:t>
      </w:r>
      <w:proofErr w:type="spellStart"/>
      <w:r w:rsidRPr="00C317F1">
        <w:rPr>
          <w:rFonts w:ascii="Arial" w:hAnsi="Arial" w:cs="Arial"/>
          <w:sz w:val="20"/>
          <w:szCs w:val="20"/>
        </w:rPr>
        <w:t>customised</w:t>
      </w:r>
      <w:proofErr w:type="spellEnd"/>
      <w:r w:rsidRPr="00C317F1">
        <w:rPr>
          <w:rFonts w:ascii="Arial" w:hAnsi="Arial" w:cs="Arial"/>
          <w:sz w:val="20"/>
          <w:szCs w:val="20"/>
        </w:rPr>
        <w:t xml:space="preserve"> explanations (Yeo et al., 2025). The efficacy of SHAP/PDP in facilitating the generation of production-oriented audit trails has been demonstrated through a series of empirical studies (see Davis et al., 2023). These studies substantiate the claims put forth by </w:t>
      </w:r>
      <w:proofErr w:type="spellStart"/>
      <w:r w:rsidRPr="00C317F1">
        <w:rPr>
          <w:rFonts w:ascii="Arial" w:hAnsi="Arial" w:cs="Arial"/>
          <w:sz w:val="20"/>
          <w:szCs w:val="20"/>
        </w:rPr>
        <w:t>MLOps</w:t>
      </w:r>
      <w:proofErr w:type="spellEnd"/>
      <w:r w:rsidRPr="00C317F1">
        <w:rPr>
          <w:rFonts w:ascii="Arial" w:hAnsi="Arial" w:cs="Arial"/>
          <w:sz w:val="20"/>
          <w:szCs w:val="20"/>
        </w:rPr>
        <w:t xml:space="preserve"> concerning SHAP/PDP's capacity to enhance operational processes within machine learning domains. </w:t>
      </w:r>
      <w:r w:rsidR="00271C11" w:rsidRPr="00C317F1">
        <w:rPr>
          <w:rFonts w:ascii="Arial" w:hAnsi="Arial" w:cs="Arial"/>
          <w:sz w:val="20"/>
          <w:szCs w:val="20"/>
        </w:rPr>
        <w:t xml:space="preserve">Explainable survival analysis demonstrates time-to-event framing that could </w:t>
      </w:r>
      <w:proofErr w:type="spellStart"/>
      <w:r w:rsidR="00271C11" w:rsidRPr="00C317F1">
        <w:rPr>
          <w:rFonts w:ascii="Arial" w:hAnsi="Arial" w:cs="Arial"/>
          <w:sz w:val="20"/>
          <w:szCs w:val="20"/>
        </w:rPr>
        <w:t>generalise</w:t>
      </w:r>
      <w:proofErr w:type="spellEnd"/>
      <w:r w:rsidR="00271C11" w:rsidRPr="00C317F1">
        <w:rPr>
          <w:rFonts w:ascii="Arial" w:hAnsi="Arial" w:cs="Arial"/>
          <w:sz w:val="20"/>
          <w:szCs w:val="20"/>
        </w:rPr>
        <w:t xml:space="preserve"> to supplier failure hazards, complementing our classification and regression suite (Bone-Winkel &amp; Reichenbach, 2024). Finally, the use of OSINT reviews underscores the necessity of addressing credibility vetting and adversarial manipulation concerns within adverse-media pipelines. Additionally, fairness surveys motivate the testing of bias for size-of-vendor and coverage effects, both of which are integrated into our blueprint (Browne et al., 2024; Caton &amp; Haas, 2024).</w:t>
      </w:r>
    </w:p>
    <w:p w14:paraId="775BB5DA" w14:textId="2F13BA85" w:rsidR="00BB0A76" w:rsidRPr="00BB0A76" w:rsidRDefault="00BB0A76" w:rsidP="00BB0A76">
      <w:pPr>
        <w:spacing w:line="276" w:lineRule="auto"/>
        <w:jc w:val="both"/>
        <w:rPr>
          <w:rFonts w:ascii="Arial" w:hAnsi="Arial" w:cs="Arial"/>
          <w:b/>
          <w:bCs/>
          <w:color w:val="002060"/>
          <w:sz w:val="20"/>
          <w:szCs w:val="20"/>
        </w:rPr>
      </w:pPr>
      <w:r w:rsidRPr="00BB0A76">
        <w:rPr>
          <w:rFonts w:ascii="Arial" w:hAnsi="Arial" w:cs="Arial"/>
          <w:b/>
          <w:bCs/>
          <w:color w:val="002060"/>
          <w:sz w:val="20"/>
          <w:szCs w:val="20"/>
        </w:rPr>
        <w:t>4.</w:t>
      </w:r>
      <w:r w:rsidR="00A550F6">
        <w:rPr>
          <w:rFonts w:ascii="Arial" w:hAnsi="Arial" w:cs="Arial"/>
          <w:b/>
          <w:bCs/>
          <w:color w:val="002060"/>
          <w:sz w:val="20"/>
          <w:szCs w:val="20"/>
        </w:rPr>
        <w:t>3</w:t>
      </w:r>
      <w:r w:rsidRPr="00BB0A76">
        <w:rPr>
          <w:rFonts w:ascii="Arial" w:hAnsi="Arial" w:cs="Arial"/>
          <w:b/>
          <w:bCs/>
          <w:color w:val="002060"/>
          <w:sz w:val="20"/>
          <w:szCs w:val="20"/>
        </w:rPr>
        <w:t xml:space="preserve"> </w:t>
      </w:r>
      <w:r w:rsidR="00A550F6" w:rsidRPr="00A550F6">
        <w:rPr>
          <w:rFonts w:ascii="Arial" w:hAnsi="Arial" w:cs="Arial"/>
          <w:b/>
          <w:bCs/>
          <w:color w:val="002060"/>
          <w:sz w:val="20"/>
          <w:szCs w:val="20"/>
        </w:rPr>
        <w:t>Implications for practice: Minimum viable governance checklist.</w:t>
      </w:r>
    </w:p>
    <w:p w14:paraId="145C6B80" w14:textId="77777777" w:rsidR="00BB0A76" w:rsidRPr="00BB0A76" w:rsidRDefault="00BB0A76" w:rsidP="00BB0A76">
      <w:pPr>
        <w:spacing w:line="276" w:lineRule="auto"/>
        <w:jc w:val="both"/>
        <w:rPr>
          <w:rFonts w:ascii="Arial" w:hAnsi="Arial" w:cs="Arial"/>
          <w:color w:val="002060"/>
          <w:sz w:val="20"/>
          <w:szCs w:val="20"/>
        </w:rPr>
      </w:pPr>
      <w:r w:rsidRPr="00BB0A76">
        <w:rPr>
          <w:rFonts w:ascii="Arial" w:hAnsi="Arial" w:cs="Arial"/>
          <w:color w:val="002060"/>
          <w:sz w:val="20"/>
          <w:szCs w:val="20"/>
        </w:rPr>
        <w:t>The minimum viable governance framework for third-party risk analytics encompasses the following elements:</w:t>
      </w:r>
    </w:p>
    <w:p w14:paraId="3894D85B" w14:textId="77777777" w:rsidR="00BB0A76" w:rsidRPr="00BB0A76" w:rsidRDefault="00BB0A76" w:rsidP="00BB0A76">
      <w:pPr>
        <w:spacing w:line="276" w:lineRule="auto"/>
        <w:jc w:val="both"/>
        <w:rPr>
          <w:rFonts w:ascii="Arial" w:hAnsi="Arial" w:cs="Arial"/>
          <w:color w:val="002060"/>
          <w:sz w:val="20"/>
          <w:szCs w:val="20"/>
        </w:rPr>
      </w:pPr>
      <w:r w:rsidRPr="00BB0A76">
        <w:rPr>
          <w:rFonts w:ascii="Arial" w:hAnsi="Arial" w:cs="Arial"/>
          <w:color w:val="002060"/>
          <w:sz w:val="20"/>
          <w:szCs w:val="20"/>
        </w:rPr>
        <w:t>-</w:t>
      </w:r>
      <w:r w:rsidRPr="00BB0A76">
        <w:rPr>
          <w:rFonts w:ascii="Arial" w:hAnsi="Arial" w:cs="Arial"/>
          <w:color w:val="002060"/>
          <w:sz w:val="20"/>
          <w:szCs w:val="20"/>
        </w:rPr>
        <w:tab/>
        <w:t>Document datasets, including provenance, scope, and the management of Personally Identifiable Information (PII) and Protected Health Information (PHI).</w:t>
      </w:r>
    </w:p>
    <w:p w14:paraId="413CE025" w14:textId="77777777" w:rsidR="00BB0A76" w:rsidRPr="00BB0A76" w:rsidRDefault="00BB0A76" w:rsidP="00BB0A76">
      <w:pPr>
        <w:spacing w:line="276" w:lineRule="auto"/>
        <w:jc w:val="both"/>
        <w:rPr>
          <w:rFonts w:ascii="Arial" w:hAnsi="Arial" w:cs="Arial"/>
          <w:color w:val="002060"/>
          <w:sz w:val="20"/>
          <w:szCs w:val="20"/>
        </w:rPr>
      </w:pPr>
      <w:r w:rsidRPr="00BB0A76">
        <w:rPr>
          <w:rFonts w:ascii="Arial" w:hAnsi="Arial" w:cs="Arial"/>
          <w:color w:val="002060"/>
          <w:sz w:val="20"/>
          <w:szCs w:val="20"/>
        </w:rPr>
        <w:t>-</w:t>
      </w:r>
      <w:r w:rsidRPr="00BB0A76">
        <w:rPr>
          <w:rFonts w:ascii="Arial" w:hAnsi="Arial" w:cs="Arial"/>
          <w:color w:val="002060"/>
          <w:sz w:val="20"/>
          <w:szCs w:val="20"/>
        </w:rPr>
        <w:tab/>
        <w:t>The publication of model cards, detailing intended use, thresholds, calibration, and Explainable Artificial Intelligence (XAI).</w:t>
      </w:r>
    </w:p>
    <w:p w14:paraId="576FB10C" w14:textId="77777777" w:rsidR="00BB0A76" w:rsidRPr="00BB0A76" w:rsidRDefault="00BB0A76" w:rsidP="00BB0A76">
      <w:pPr>
        <w:spacing w:line="276" w:lineRule="auto"/>
        <w:jc w:val="both"/>
        <w:rPr>
          <w:rFonts w:ascii="Arial" w:hAnsi="Arial" w:cs="Arial"/>
          <w:color w:val="002060"/>
          <w:sz w:val="20"/>
          <w:szCs w:val="20"/>
        </w:rPr>
      </w:pPr>
      <w:r w:rsidRPr="00BB0A76">
        <w:rPr>
          <w:rFonts w:ascii="Arial" w:hAnsi="Arial" w:cs="Arial"/>
          <w:color w:val="002060"/>
          <w:sz w:val="20"/>
          <w:szCs w:val="20"/>
        </w:rPr>
        <w:t>-</w:t>
      </w:r>
      <w:r w:rsidRPr="00BB0A76">
        <w:rPr>
          <w:rFonts w:ascii="Arial" w:hAnsi="Arial" w:cs="Arial"/>
          <w:color w:val="002060"/>
          <w:sz w:val="20"/>
          <w:szCs w:val="20"/>
        </w:rPr>
        <w:tab/>
        <w:t>The validation of out-of-time models with fairness checks.</w:t>
      </w:r>
    </w:p>
    <w:p w14:paraId="72E80FBE" w14:textId="77777777" w:rsidR="00BB0A76" w:rsidRPr="00BB0A76" w:rsidRDefault="00BB0A76" w:rsidP="00BB0A76">
      <w:pPr>
        <w:spacing w:line="276" w:lineRule="auto"/>
        <w:jc w:val="both"/>
        <w:rPr>
          <w:rFonts w:ascii="Arial" w:hAnsi="Arial" w:cs="Arial"/>
          <w:color w:val="002060"/>
          <w:sz w:val="20"/>
          <w:szCs w:val="20"/>
        </w:rPr>
      </w:pPr>
      <w:r w:rsidRPr="00BB0A76">
        <w:rPr>
          <w:rFonts w:ascii="Arial" w:hAnsi="Arial" w:cs="Arial"/>
          <w:color w:val="002060"/>
          <w:sz w:val="20"/>
          <w:szCs w:val="20"/>
        </w:rPr>
        <w:t>-</w:t>
      </w:r>
      <w:r w:rsidRPr="00BB0A76">
        <w:rPr>
          <w:rFonts w:ascii="Arial" w:hAnsi="Arial" w:cs="Arial"/>
          <w:color w:val="002060"/>
          <w:sz w:val="20"/>
          <w:szCs w:val="20"/>
        </w:rPr>
        <w:tab/>
        <w:t>The monitoring of data and model drift with alert quality control and a retraining policy.</w:t>
      </w:r>
    </w:p>
    <w:p w14:paraId="69D04E60" w14:textId="5D57BF55" w:rsidR="00BB0A76" w:rsidRPr="00BB0A76" w:rsidRDefault="00BB0A76" w:rsidP="00015FAE">
      <w:pPr>
        <w:spacing w:line="276" w:lineRule="auto"/>
        <w:jc w:val="both"/>
        <w:rPr>
          <w:rFonts w:ascii="Arial" w:hAnsi="Arial" w:cs="Arial"/>
          <w:color w:val="002060"/>
          <w:sz w:val="20"/>
          <w:szCs w:val="20"/>
        </w:rPr>
      </w:pPr>
      <w:r w:rsidRPr="00BB0A76">
        <w:rPr>
          <w:rFonts w:ascii="Arial" w:hAnsi="Arial" w:cs="Arial"/>
          <w:color w:val="002060"/>
          <w:sz w:val="20"/>
          <w:szCs w:val="20"/>
        </w:rPr>
        <w:t>-</w:t>
      </w:r>
      <w:r w:rsidRPr="00BB0A76">
        <w:rPr>
          <w:rFonts w:ascii="Arial" w:hAnsi="Arial" w:cs="Arial"/>
          <w:color w:val="002060"/>
          <w:sz w:val="20"/>
          <w:szCs w:val="20"/>
        </w:rPr>
        <w:tab/>
        <w:t xml:space="preserve">The </w:t>
      </w:r>
      <w:proofErr w:type="spellStart"/>
      <w:r>
        <w:rPr>
          <w:rFonts w:ascii="Arial" w:hAnsi="Arial" w:cs="Arial"/>
          <w:color w:val="002060"/>
          <w:sz w:val="20"/>
          <w:szCs w:val="20"/>
        </w:rPr>
        <w:t>operationalisation</w:t>
      </w:r>
      <w:proofErr w:type="spellEnd"/>
      <w:r w:rsidRPr="00BB0A76">
        <w:rPr>
          <w:rFonts w:ascii="Arial" w:hAnsi="Arial" w:cs="Arial"/>
          <w:color w:val="002060"/>
          <w:sz w:val="20"/>
          <w:szCs w:val="20"/>
        </w:rPr>
        <w:t xml:space="preserve"> of human-in-the-loop overrides, incident playbooks, and auditable logs. It is </w:t>
      </w:r>
      <w:r>
        <w:rPr>
          <w:rFonts w:ascii="Arial" w:hAnsi="Arial" w:cs="Arial"/>
          <w:color w:val="002060"/>
          <w:sz w:val="20"/>
          <w:szCs w:val="20"/>
        </w:rPr>
        <w:t>essential</w:t>
      </w:r>
      <w:r w:rsidRPr="00BB0A76">
        <w:rPr>
          <w:rFonts w:ascii="Arial" w:hAnsi="Arial" w:cs="Arial"/>
          <w:color w:val="002060"/>
          <w:sz w:val="20"/>
          <w:szCs w:val="20"/>
        </w:rPr>
        <w:t xml:space="preserve"> to ascertain governance ownership, establish a review cadence, and ensure accountability.</w:t>
      </w:r>
    </w:p>
    <w:p w14:paraId="5A0057E5" w14:textId="60D57120" w:rsidR="0091085D" w:rsidRPr="00C317F1" w:rsidRDefault="0091085D" w:rsidP="00015FAE">
      <w:pPr>
        <w:spacing w:line="276" w:lineRule="auto"/>
        <w:jc w:val="both"/>
        <w:rPr>
          <w:rFonts w:ascii="Arial" w:hAnsi="Arial" w:cs="Arial"/>
          <w:b/>
          <w:bCs/>
          <w:sz w:val="22"/>
          <w:szCs w:val="22"/>
        </w:rPr>
      </w:pPr>
      <w:r w:rsidRPr="00C317F1">
        <w:rPr>
          <w:rFonts w:ascii="Arial" w:hAnsi="Arial" w:cs="Arial"/>
          <w:b/>
          <w:bCs/>
          <w:sz w:val="22"/>
          <w:szCs w:val="22"/>
        </w:rPr>
        <w:t>5.0 Conclusion and recommendations for future research</w:t>
      </w:r>
    </w:p>
    <w:p w14:paraId="7AFC098B" w14:textId="504E245A" w:rsidR="00271C11" w:rsidRPr="00C317F1" w:rsidRDefault="0091085D" w:rsidP="00015FAE">
      <w:pPr>
        <w:spacing w:line="276" w:lineRule="auto"/>
        <w:jc w:val="both"/>
        <w:rPr>
          <w:rFonts w:ascii="Arial" w:hAnsi="Arial" w:cs="Arial"/>
          <w:b/>
          <w:bCs/>
          <w:sz w:val="22"/>
          <w:szCs w:val="22"/>
        </w:rPr>
      </w:pPr>
      <w:r w:rsidRPr="00C317F1">
        <w:rPr>
          <w:rFonts w:ascii="Arial" w:hAnsi="Arial" w:cs="Arial"/>
          <w:b/>
          <w:bCs/>
          <w:sz w:val="22"/>
          <w:szCs w:val="22"/>
        </w:rPr>
        <w:t>5.1 Conclusion</w:t>
      </w:r>
    </w:p>
    <w:p w14:paraId="7E77BDD1" w14:textId="0005A209" w:rsidR="0091085D" w:rsidRPr="00C317F1" w:rsidRDefault="0091085D" w:rsidP="00015FAE">
      <w:pPr>
        <w:spacing w:line="276" w:lineRule="auto"/>
        <w:jc w:val="both"/>
        <w:rPr>
          <w:rFonts w:ascii="Arial" w:hAnsi="Arial" w:cs="Arial"/>
          <w:sz w:val="20"/>
          <w:szCs w:val="20"/>
        </w:rPr>
      </w:pPr>
      <w:r w:rsidRPr="00C317F1">
        <w:rPr>
          <w:rFonts w:ascii="Arial" w:hAnsi="Arial" w:cs="Arial"/>
          <w:sz w:val="20"/>
          <w:szCs w:val="20"/>
        </w:rPr>
        <w:t xml:space="preserve">This review demonstrates that, under specific conditions, artificial intelligence (AI) and machine learning (ML) can substantially improve third-party risk analytics within U.S. supply chains. These conditions include the alignment of models to risk domains and the incorporation of multi-source data. Text-centric methods employed in SEC disclosures and earnings calls have been shown to enhance the efficacy of financial distress detection. Similarly, the incorporation of cyber disclosures and external ratings has been demonstrated to facilitate breach prediction. Additionally, the utilization of supervised regressors has been observed to reduce error in ETA under disruption. The early warning system for product recalls and delivery delays is feasible; however, the evaluation remains heterogeneous, and calibration is inconsistently reported. Evidence also indicates cascading impacts from cyber events into operations, thereby emphasizing decision-centric metrics such as lead time and cost of error. The generalizability of the data is constrained by three factors: heterogeneous data quality, limited multi-tier visibility, and concept drift. The governance elements of dataset documentation, model cards, monitoring, and human-in-the-loop overrides are necessary to translate scores into action in the areas of procurement, assurance, and compliance. The current state of practice demonstrates significant potential, with evident improvements in performance. </w:t>
      </w:r>
      <w:r w:rsidRPr="00C317F1">
        <w:rPr>
          <w:rFonts w:ascii="Arial" w:hAnsi="Arial" w:cs="Arial"/>
          <w:sz w:val="20"/>
          <w:szCs w:val="20"/>
        </w:rPr>
        <w:lastRenderedPageBreak/>
        <w:t>However, ensuring the reliable and effective implementation requires standardized reporting, systematic drift management, and stakeholder-fit explanations consistent with U.S. regulatory expectations.</w:t>
      </w:r>
    </w:p>
    <w:p w14:paraId="0812A0B1" w14:textId="186B00C2" w:rsidR="0091085D" w:rsidRPr="00C317F1" w:rsidRDefault="0091085D" w:rsidP="00015FAE">
      <w:pPr>
        <w:spacing w:line="276" w:lineRule="auto"/>
        <w:jc w:val="both"/>
        <w:rPr>
          <w:rFonts w:ascii="Arial" w:hAnsi="Arial" w:cs="Arial"/>
          <w:b/>
          <w:bCs/>
          <w:sz w:val="22"/>
          <w:szCs w:val="22"/>
        </w:rPr>
      </w:pPr>
      <w:r w:rsidRPr="00C317F1">
        <w:rPr>
          <w:rFonts w:ascii="Arial" w:hAnsi="Arial" w:cs="Arial"/>
          <w:b/>
          <w:bCs/>
          <w:sz w:val="22"/>
          <w:szCs w:val="22"/>
        </w:rPr>
        <w:t>5.2</w:t>
      </w:r>
      <w:r w:rsidRPr="00C317F1">
        <w:rPr>
          <w:rFonts w:ascii="Arial" w:hAnsi="Arial" w:cs="Arial"/>
          <w:sz w:val="22"/>
          <w:szCs w:val="22"/>
        </w:rPr>
        <w:t xml:space="preserve"> </w:t>
      </w:r>
      <w:r w:rsidRPr="00C317F1">
        <w:rPr>
          <w:rFonts w:ascii="Arial" w:hAnsi="Arial" w:cs="Arial"/>
          <w:b/>
          <w:bCs/>
          <w:sz w:val="22"/>
          <w:szCs w:val="22"/>
        </w:rPr>
        <w:t>Recommendations for future research</w:t>
      </w:r>
    </w:p>
    <w:p w14:paraId="160DAC9A" w14:textId="49253F0F" w:rsidR="0091085D" w:rsidRDefault="0091085D" w:rsidP="0091085D">
      <w:pPr>
        <w:spacing w:line="276" w:lineRule="auto"/>
        <w:jc w:val="both"/>
        <w:rPr>
          <w:rFonts w:ascii="Arial" w:hAnsi="Arial" w:cs="Arial"/>
          <w:sz w:val="20"/>
          <w:szCs w:val="20"/>
        </w:rPr>
      </w:pPr>
      <w:r w:rsidRPr="00C317F1">
        <w:rPr>
          <w:rFonts w:ascii="Arial" w:hAnsi="Arial" w:cs="Arial"/>
          <w:sz w:val="20"/>
          <w:szCs w:val="20"/>
        </w:rPr>
        <w:t>The development of open, U.S.-anchored benchmarks that pair vendor labels with multi-source features across tiers is imperative. This approach will enable reproducible model comparisons and calibration tests. The utilization of advanced causal designs and survival models facilitates the estimation of intervention benefits, costs of error, and supplier hazard over time. The evaluation of human-in-the-loop decision protocols within the contexts of procurement and security operations is imperative. The development of privacy-preserving, drift-aware pipelines for ERP/IoT and OSINT with provenance scoring is essential for ensuring the security and integrity of data processing systems. In order to meet regulatory scrutiny, it is crucial to standardize XAI and documentation. Finally, the integration of risk scores into inventory, sourcing, and incident response policies is to be studied through field experiments.</w:t>
      </w:r>
    </w:p>
    <w:p w14:paraId="27A4B03C" w14:textId="77777777" w:rsidR="000865AB" w:rsidRPr="000865AB" w:rsidRDefault="000865AB" w:rsidP="000865AB">
      <w:pPr>
        <w:spacing w:line="276" w:lineRule="auto"/>
        <w:jc w:val="both"/>
        <w:rPr>
          <w:rFonts w:ascii="Arial" w:hAnsi="Arial" w:cs="Arial"/>
          <w:sz w:val="20"/>
          <w:szCs w:val="20"/>
        </w:rPr>
      </w:pPr>
      <w:r w:rsidRPr="000865AB">
        <w:rPr>
          <w:rFonts w:ascii="Arial" w:hAnsi="Arial" w:cs="Arial"/>
          <w:sz w:val="20"/>
          <w:szCs w:val="20"/>
        </w:rPr>
        <w:t>4.3 Limitations of review</w:t>
      </w:r>
    </w:p>
    <w:p w14:paraId="5001C813" w14:textId="7B4DDB18" w:rsidR="009E7875" w:rsidRDefault="000865AB" w:rsidP="000865AB">
      <w:pPr>
        <w:spacing w:line="276" w:lineRule="auto"/>
        <w:jc w:val="both"/>
        <w:rPr>
          <w:rFonts w:ascii="Arial" w:hAnsi="Arial" w:cs="Arial"/>
          <w:sz w:val="20"/>
          <w:szCs w:val="20"/>
        </w:rPr>
      </w:pPr>
      <w:r w:rsidRPr="000865AB">
        <w:rPr>
          <w:rFonts w:ascii="Arial" w:hAnsi="Arial" w:cs="Arial"/>
          <w:sz w:val="20"/>
          <w:szCs w:val="20"/>
        </w:rPr>
        <w:t>The present review is constrained to U.S. and English-language studies (2015–2025), excluding a considerable number of proprietary or unpublished deployments. The evidence is heterogeneous, with models, labels, and metrics exhibiting variability. Additionally, calibration is inconsistently reported, and causal counterfactuals are infrequent. Disclosure-based proxies may not always align with the actual ground truth, as they are often influenced by managerial interpretations. The presence of multi-tier visibility (Tier-2/3) and IoT/ERP datasets is minimal, thereby constraining operational generalizability. The presence of publication and survivorship bias is a probable consideration. Furthermore, the documentation of fairness, privacy, and drift monitoring practices is found to be disparate, thereby impeding the evaluation of governance maturity.</w:t>
      </w:r>
    </w:p>
    <w:p w14:paraId="20B86148" w14:textId="77777777" w:rsidR="009E7875" w:rsidRDefault="009E7875" w:rsidP="0091085D">
      <w:pPr>
        <w:spacing w:line="276" w:lineRule="auto"/>
        <w:jc w:val="both"/>
        <w:rPr>
          <w:rFonts w:ascii="Arial" w:hAnsi="Arial" w:cs="Arial"/>
          <w:sz w:val="20"/>
          <w:szCs w:val="20"/>
        </w:rPr>
      </w:pPr>
    </w:p>
    <w:p w14:paraId="3618A4D4" w14:textId="77777777" w:rsidR="009E7875" w:rsidRPr="009E7875" w:rsidRDefault="009E7875" w:rsidP="009E7875">
      <w:pPr>
        <w:spacing w:line="276" w:lineRule="auto"/>
        <w:jc w:val="both"/>
        <w:rPr>
          <w:rFonts w:ascii="Arial" w:hAnsi="Arial" w:cs="Arial"/>
          <w:sz w:val="20"/>
          <w:szCs w:val="20"/>
        </w:rPr>
      </w:pPr>
      <w:r w:rsidRPr="009E7875">
        <w:rPr>
          <w:rFonts w:ascii="Arial" w:hAnsi="Arial" w:cs="Arial"/>
          <w:sz w:val="20"/>
          <w:szCs w:val="20"/>
        </w:rPr>
        <w:t>COMPETING INTERESTS DISCLAIMER:</w:t>
      </w:r>
    </w:p>
    <w:p w14:paraId="1FDE9C0B" w14:textId="6A7832ED" w:rsidR="009E7875" w:rsidRDefault="009E7875" w:rsidP="009E7875">
      <w:pPr>
        <w:spacing w:line="276" w:lineRule="auto"/>
        <w:jc w:val="both"/>
        <w:rPr>
          <w:rFonts w:ascii="Arial" w:hAnsi="Arial" w:cs="Arial"/>
          <w:sz w:val="20"/>
          <w:szCs w:val="20"/>
        </w:rPr>
      </w:pPr>
      <w:r w:rsidRPr="009E7875">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3408779" w14:textId="4BC98D0B" w:rsidR="009E7875" w:rsidRDefault="009E7875" w:rsidP="0091085D">
      <w:pPr>
        <w:spacing w:line="276" w:lineRule="auto"/>
        <w:jc w:val="both"/>
        <w:rPr>
          <w:rFonts w:ascii="Arial" w:hAnsi="Arial" w:cs="Arial"/>
          <w:sz w:val="20"/>
          <w:szCs w:val="20"/>
        </w:rPr>
      </w:pPr>
    </w:p>
    <w:p w14:paraId="0E34B2B2" w14:textId="16B80606" w:rsidR="00D8303F" w:rsidRDefault="00D8303F" w:rsidP="0091085D">
      <w:pPr>
        <w:spacing w:line="276" w:lineRule="auto"/>
        <w:jc w:val="both"/>
        <w:rPr>
          <w:rFonts w:ascii="Arial" w:hAnsi="Arial" w:cs="Arial"/>
          <w:sz w:val="20"/>
          <w:szCs w:val="20"/>
        </w:rPr>
      </w:pPr>
    </w:p>
    <w:p w14:paraId="1F8C5728" w14:textId="77777777" w:rsidR="00D8303F" w:rsidRPr="00270720" w:rsidRDefault="00D8303F" w:rsidP="00D8303F">
      <w:pPr>
        <w:rPr>
          <w:highlight w:val="yellow"/>
        </w:rPr>
      </w:pPr>
      <w:r w:rsidRPr="00270720">
        <w:rPr>
          <w:highlight w:val="yellow"/>
        </w:rPr>
        <w:t>Disclaimer (Artificial intelligence)</w:t>
      </w:r>
    </w:p>
    <w:p w14:paraId="65F85326" w14:textId="77777777" w:rsidR="00D8303F" w:rsidRPr="00270720" w:rsidRDefault="00D8303F" w:rsidP="00D8303F">
      <w:pPr>
        <w:rPr>
          <w:highlight w:val="yellow"/>
        </w:rPr>
      </w:pPr>
    </w:p>
    <w:p w14:paraId="029ACCCC" w14:textId="77777777" w:rsidR="00D8303F" w:rsidRPr="00270720" w:rsidRDefault="00D8303F" w:rsidP="00D8303F">
      <w:pPr>
        <w:rPr>
          <w:highlight w:val="yellow"/>
        </w:rPr>
      </w:pPr>
      <w:r w:rsidRPr="00270720">
        <w:rPr>
          <w:highlight w:val="yellow"/>
        </w:rPr>
        <w:t xml:space="preserve">Option 1: </w:t>
      </w:r>
    </w:p>
    <w:p w14:paraId="07AF687B" w14:textId="77777777" w:rsidR="00D8303F" w:rsidRPr="00270720" w:rsidRDefault="00D8303F" w:rsidP="00D8303F">
      <w:pPr>
        <w:rPr>
          <w:highlight w:val="yellow"/>
        </w:rPr>
      </w:pPr>
    </w:p>
    <w:p w14:paraId="6F47FD44" w14:textId="77777777" w:rsidR="00D8303F" w:rsidRPr="00270720" w:rsidRDefault="00D8303F" w:rsidP="00D8303F">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37CC0E95" w14:textId="77777777" w:rsidR="00D8303F" w:rsidRPr="00270720" w:rsidRDefault="00D8303F" w:rsidP="00D8303F">
      <w:pPr>
        <w:rPr>
          <w:highlight w:val="yellow"/>
        </w:rPr>
      </w:pPr>
    </w:p>
    <w:p w14:paraId="2A58429F" w14:textId="77777777" w:rsidR="00D8303F" w:rsidRPr="00270720" w:rsidRDefault="00D8303F" w:rsidP="00D8303F">
      <w:pPr>
        <w:rPr>
          <w:highlight w:val="yellow"/>
        </w:rPr>
      </w:pPr>
      <w:r w:rsidRPr="00270720">
        <w:rPr>
          <w:highlight w:val="yellow"/>
        </w:rPr>
        <w:lastRenderedPageBreak/>
        <w:t xml:space="preserve">Option 2: </w:t>
      </w:r>
    </w:p>
    <w:p w14:paraId="17009519" w14:textId="77777777" w:rsidR="00D8303F" w:rsidRPr="00270720" w:rsidRDefault="00D8303F" w:rsidP="00D8303F">
      <w:pPr>
        <w:rPr>
          <w:highlight w:val="yellow"/>
        </w:rPr>
      </w:pPr>
    </w:p>
    <w:p w14:paraId="0C649090" w14:textId="77777777" w:rsidR="00D8303F" w:rsidRPr="00270720" w:rsidRDefault="00D8303F" w:rsidP="00D8303F">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0AABCC" w14:textId="77777777" w:rsidR="00D8303F" w:rsidRPr="00270720" w:rsidRDefault="00D8303F" w:rsidP="00D8303F">
      <w:pPr>
        <w:rPr>
          <w:highlight w:val="yellow"/>
        </w:rPr>
      </w:pPr>
    </w:p>
    <w:p w14:paraId="796D6F85" w14:textId="77777777" w:rsidR="00D8303F" w:rsidRPr="00270720" w:rsidRDefault="00D8303F" w:rsidP="00D8303F">
      <w:pPr>
        <w:rPr>
          <w:highlight w:val="yellow"/>
        </w:rPr>
      </w:pPr>
      <w:r w:rsidRPr="00270720">
        <w:rPr>
          <w:highlight w:val="yellow"/>
        </w:rPr>
        <w:t>Details of the AI usage are given below:</w:t>
      </w:r>
    </w:p>
    <w:p w14:paraId="765C4D48" w14:textId="77777777" w:rsidR="00D8303F" w:rsidRPr="00270720" w:rsidRDefault="00D8303F" w:rsidP="00D8303F">
      <w:pPr>
        <w:rPr>
          <w:highlight w:val="yellow"/>
        </w:rPr>
      </w:pPr>
      <w:r w:rsidRPr="00270720">
        <w:rPr>
          <w:highlight w:val="yellow"/>
        </w:rPr>
        <w:t>1.</w:t>
      </w:r>
    </w:p>
    <w:p w14:paraId="4E0DA8AF" w14:textId="77777777" w:rsidR="00D8303F" w:rsidRPr="00270720" w:rsidRDefault="00D8303F" w:rsidP="00D8303F">
      <w:pPr>
        <w:rPr>
          <w:highlight w:val="yellow"/>
        </w:rPr>
      </w:pPr>
      <w:r w:rsidRPr="00270720">
        <w:rPr>
          <w:highlight w:val="yellow"/>
        </w:rPr>
        <w:t>2.</w:t>
      </w:r>
    </w:p>
    <w:p w14:paraId="7D0D2035" w14:textId="77777777" w:rsidR="00D8303F" w:rsidRPr="00270720" w:rsidRDefault="00D8303F" w:rsidP="00D8303F">
      <w:r w:rsidRPr="00270720">
        <w:rPr>
          <w:highlight w:val="yellow"/>
        </w:rPr>
        <w:t>3.</w:t>
      </w:r>
    </w:p>
    <w:p w14:paraId="2CCBBFDD" w14:textId="77777777" w:rsidR="00D8303F" w:rsidRDefault="00D8303F" w:rsidP="0091085D">
      <w:pPr>
        <w:spacing w:line="276" w:lineRule="auto"/>
        <w:jc w:val="both"/>
        <w:rPr>
          <w:rFonts w:ascii="Arial" w:hAnsi="Arial" w:cs="Arial"/>
          <w:sz w:val="20"/>
          <w:szCs w:val="20"/>
        </w:rPr>
      </w:pPr>
    </w:p>
    <w:p w14:paraId="4B08FA81" w14:textId="77777777" w:rsidR="009E7875" w:rsidRPr="00C317F1" w:rsidRDefault="009E7875" w:rsidP="0091085D">
      <w:pPr>
        <w:spacing w:line="276" w:lineRule="auto"/>
        <w:jc w:val="both"/>
        <w:rPr>
          <w:rFonts w:ascii="Arial" w:hAnsi="Arial" w:cs="Arial"/>
          <w:sz w:val="20"/>
          <w:szCs w:val="20"/>
        </w:rPr>
      </w:pPr>
    </w:p>
    <w:p w14:paraId="2062428A" w14:textId="255504CC" w:rsidR="00852E0C" w:rsidRPr="00C317F1" w:rsidRDefault="00852E0C" w:rsidP="00015FAE">
      <w:pPr>
        <w:spacing w:line="276" w:lineRule="auto"/>
        <w:jc w:val="both"/>
        <w:rPr>
          <w:rFonts w:ascii="Arial" w:hAnsi="Arial" w:cs="Arial"/>
          <w:b/>
          <w:bCs/>
          <w:sz w:val="22"/>
          <w:szCs w:val="22"/>
        </w:rPr>
      </w:pPr>
      <w:r w:rsidRPr="00C317F1">
        <w:rPr>
          <w:rFonts w:ascii="Arial" w:hAnsi="Arial" w:cs="Arial"/>
          <w:b/>
          <w:bCs/>
          <w:sz w:val="22"/>
          <w:szCs w:val="22"/>
        </w:rPr>
        <w:t>References</w:t>
      </w:r>
    </w:p>
    <w:p w14:paraId="749F6DD0"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Ahmed, S., Kalsoom, T., Ramzan, N., Pervez, Z., Azmat, M., Zeb, B., &amp; Ur Rehman, M. (2021). Towards supply chain visibility using internet of things: A dyadic analysis review. </w:t>
      </w:r>
      <w:r w:rsidRPr="00C317F1">
        <w:rPr>
          <w:rFonts w:ascii="Arial" w:hAnsi="Arial" w:cs="Arial"/>
          <w:i/>
          <w:iCs/>
          <w:sz w:val="20"/>
          <w:szCs w:val="20"/>
        </w:rPr>
        <w:t>Sensors</w:t>
      </w:r>
      <w:r w:rsidRPr="00C317F1">
        <w:rPr>
          <w:rFonts w:ascii="Arial" w:hAnsi="Arial" w:cs="Arial"/>
          <w:sz w:val="20"/>
          <w:szCs w:val="20"/>
        </w:rPr>
        <w:t>, </w:t>
      </w:r>
      <w:r w:rsidRPr="00C317F1">
        <w:rPr>
          <w:rFonts w:ascii="Arial" w:hAnsi="Arial" w:cs="Arial"/>
          <w:i/>
          <w:iCs/>
          <w:sz w:val="20"/>
          <w:szCs w:val="20"/>
        </w:rPr>
        <w:t>21</w:t>
      </w:r>
      <w:r w:rsidRPr="00C317F1">
        <w:rPr>
          <w:rFonts w:ascii="Arial" w:hAnsi="Arial" w:cs="Arial"/>
          <w:sz w:val="20"/>
          <w:szCs w:val="20"/>
        </w:rPr>
        <w:t>(12), 4158.</w:t>
      </w:r>
    </w:p>
    <w:p w14:paraId="2344C1EB"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 xml:space="preserve">Barrot, J.-N., &amp; </w:t>
      </w:r>
      <w:proofErr w:type="spellStart"/>
      <w:r w:rsidRPr="00C317F1">
        <w:rPr>
          <w:rFonts w:ascii="Arial" w:hAnsi="Arial" w:cs="Arial"/>
          <w:sz w:val="20"/>
          <w:szCs w:val="20"/>
        </w:rPr>
        <w:t>Sauvagnat</w:t>
      </w:r>
      <w:proofErr w:type="spellEnd"/>
      <w:r w:rsidRPr="00C317F1">
        <w:rPr>
          <w:rFonts w:ascii="Arial" w:hAnsi="Arial" w:cs="Arial"/>
          <w:sz w:val="20"/>
          <w:szCs w:val="20"/>
        </w:rPr>
        <w:t>, J. (2016). Input specificity and the propagation of idiosyncratic shocks in production networks. The Quarterly Journal of Economics, 131(3), 1543–1592</w:t>
      </w:r>
    </w:p>
    <w:p w14:paraId="1FD029DE" w14:textId="77777777" w:rsidR="00852E0C" w:rsidRPr="00C317F1" w:rsidRDefault="00852E0C" w:rsidP="00015FAE">
      <w:pPr>
        <w:spacing w:line="276" w:lineRule="auto"/>
        <w:jc w:val="both"/>
        <w:rPr>
          <w:rFonts w:ascii="Arial" w:hAnsi="Arial" w:cs="Arial"/>
          <w:sz w:val="20"/>
          <w:szCs w:val="20"/>
        </w:rPr>
      </w:pPr>
      <w:proofErr w:type="spellStart"/>
      <w:r w:rsidRPr="00C317F1">
        <w:rPr>
          <w:rFonts w:ascii="Arial" w:hAnsi="Arial" w:cs="Arial"/>
          <w:sz w:val="20"/>
          <w:szCs w:val="20"/>
        </w:rPr>
        <w:t>Baryannis</w:t>
      </w:r>
      <w:proofErr w:type="spellEnd"/>
      <w:r w:rsidRPr="00C317F1">
        <w:rPr>
          <w:rFonts w:ascii="Arial" w:hAnsi="Arial" w:cs="Arial"/>
          <w:sz w:val="20"/>
          <w:szCs w:val="20"/>
        </w:rPr>
        <w:t>, G., Dani, S., &amp; Antoniou, G. (2019). Predicting supply chain risks using machine learning: The trade-off between performance and interpretability. </w:t>
      </w:r>
      <w:r w:rsidRPr="00C317F1">
        <w:rPr>
          <w:rFonts w:ascii="Arial" w:hAnsi="Arial" w:cs="Arial"/>
          <w:i/>
          <w:iCs/>
          <w:sz w:val="20"/>
          <w:szCs w:val="20"/>
        </w:rPr>
        <w:t>Future Generation Computer Systems</w:t>
      </w:r>
      <w:r w:rsidRPr="00C317F1">
        <w:rPr>
          <w:rFonts w:ascii="Arial" w:hAnsi="Arial" w:cs="Arial"/>
          <w:sz w:val="20"/>
          <w:szCs w:val="20"/>
        </w:rPr>
        <w:t>, </w:t>
      </w:r>
      <w:r w:rsidRPr="00C317F1">
        <w:rPr>
          <w:rFonts w:ascii="Arial" w:hAnsi="Arial" w:cs="Arial"/>
          <w:i/>
          <w:iCs/>
          <w:sz w:val="20"/>
          <w:szCs w:val="20"/>
        </w:rPr>
        <w:t>101</w:t>
      </w:r>
      <w:r w:rsidRPr="00C317F1">
        <w:rPr>
          <w:rFonts w:ascii="Arial" w:hAnsi="Arial" w:cs="Arial"/>
          <w:sz w:val="20"/>
          <w:szCs w:val="20"/>
        </w:rPr>
        <w:t>, 993-1004.</w:t>
      </w:r>
    </w:p>
    <w:p w14:paraId="0FE2E6CB"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Bone-Winkel, G. F., &amp; Reichenbach, F. (2024). Improving credit risk assessment in P2P lending with explainable machine learning survival analysis. </w:t>
      </w:r>
      <w:r w:rsidRPr="00C317F1">
        <w:rPr>
          <w:rFonts w:ascii="Arial" w:hAnsi="Arial" w:cs="Arial"/>
          <w:i/>
          <w:iCs/>
          <w:sz w:val="20"/>
          <w:szCs w:val="20"/>
        </w:rPr>
        <w:t>Digital Finance</w:t>
      </w:r>
      <w:r w:rsidRPr="00C317F1">
        <w:rPr>
          <w:rFonts w:ascii="Arial" w:hAnsi="Arial" w:cs="Arial"/>
          <w:sz w:val="20"/>
          <w:szCs w:val="20"/>
        </w:rPr>
        <w:t>, </w:t>
      </w:r>
      <w:r w:rsidRPr="00C317F1">
        <w:rPr>
          <w:rFonts w:ascii="Arial" w:hAnsi="Arial" w:cs="Arial"/>
          <w:i/>
          <w:iCs/>
          <w:sz w:val="20"/>
          <w:szCs w:val="20"/>
        </w:rPr>
        <w:t>6</w:t>
      </w:r>
      <w:r w:rsidRPr="00C317F1">
        <w:rPr>
          <w:rFonts w:ascii="Arial" w:hAnsi="Arial" w:cs="Arial"/>
          <w:sz w:val="20"/>
          <w:szCs w:val="20"/>
        </w:rPr>
        <w:t>(3), 501-542.</w:t>
      </w:r>
    </w:p>
    <w:p w14:paraId="0EBCB59E"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Brintrup, A., Kosasih, E., Schaffer, P., Zheng, G., Demirel, G., &amp; MacCarthy, B. L. (2024). Digital supply chain surveillance using artificial intelligence: definitions, opportunities and risks. </w:t>
      </w:r>
      <w:r w:rsidRPr="00C317F1">
        <w:rPr>
          <w:rFonts w:ascii="Arial" w:hAnsi="Arial" w:cs="Arial"/>
          <w:i/>
          <w:iCs/>
          <w:sz w:val="20"/>
          <w:szCs w:val="20"/>
        </w:rPr>
        <w:t>International Journal of Production Research</w:t>
      </w:r>
      <w:r w:rsidRPr="00C317F1">
        <w:rPr>
          <w:rFonts w:ascii="Arial" w:hAnsi="Arial" w:cs="Arial"/>
          <w:sz w:val="20"/>
          <w:szCs w:val="20"/>
        </w:rPr>
        <w:t>, </w:t>
      </w:r>
      <w:r w:rsidRPr="00C317F1">
        <w:rPr>
          <w:rFonts w:ascii="Arial" w:hAnsi="Arial" w:cs="Arial"/>
          <w:i/>
          <w:iCs/>
          <w:sz w:val="20"/>
          <w:szCs w:val="20"/>
        </w:rPr>
        <w:t>62</w:t>
      </w:r>
      <w:r w:rsidRPr="00C317F1">
        <w:rPr>
          <w:rFonts w:ascii="Arial" w:hAnsi="Arial" w:cs="Arial"/>
          <w:sz w:val="20"/>
          <w:szCs w:val="20"/>
        </w:rPr>
        <w:t>(13), 4674-4695.</w:t>
      </w:r>
    </w:p>
    <w:p w14:paraId="789026E4"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 xml:space="preserve">Browne, T. O., Abedin, M., &amp; Chowdhury, M. J. M. (2024). A systematic review on research </w:t>
      </w:r>
      <w:proofErr w:type="spellStart"/>
      <w:r w:rsidRPr="00C317F1">
        <w:rPr>
          <w:rFonts w:ascii="Arial" w:hAnsi="Arial" w:cs="Arial"/>
          <w:sz w:val="20"/>
          <w:szCs w:val="20"/>
        </w:rPr>
        <w:t>utilising</w:t>
      </w:r>
      <w:proofErr w:type="spellEnd"/>
      <w:r w:rsidRPr="00C317F1">
        <w:rPr>
          <w:rFonts w:ascii="Arial" w:hAnsi="Arial" w:cs="Arial"/>
          <w:sz w:val="20"/>
          <w:szCs w:val="20"/>
        </w:rPr>
        <w:t xml:space="preserve"> artificial intelligence for open source intelligence (OSINT) applications. </w:t>
      </w:r>
      <w:r w:rsidRPr="00C317F1">
        <w:rPr>
          <w:rFonts w:ascii="Arial" w:hAnsi="Arial" w:cs="Arial"/>
          <w:i/>
          <w:iCs/>
          <w:sz w:val="20"/>
          <w:szCs w:val="20"/>
        </w:rPr>
        <w:t>International Journal of Information Security</w:t>
      </w:r>
      <w:r w:rsidRPr="00C317F1">
        <w:rPr>
          <w:rFonts w:ascii="Arial" w:hAnsi="Arial" w:cs="Arial"/>
          <w:sz w:val="20"/>
          <w:szCs w:val="20"/>
        </w:rPr>
        <w:t>, </w:t>
      </w:r>
      <w:r w:rsidRPr="00C317F1">
        <w:rPr>
          <w:rFonts w:ascii="Arial" w:hAnsi="Arial" w:cs="Arial"/>
          <w:i/>
          <w:iCs/>
          <w:sz w:val="20"/>
          <w:szCs w:val="20"/>
        </w:rPr>
        <w:t>23</w:t>
      </w:r>
      <w:r w:rsidRPr="00C317F1">
        <w:rPr>
          <w:rFonts w:ascii="Arial" w:hAnsi="Arial" w:cs="Arial"/>
          <w:sz w:val="20"/>
          <w:szCs w:val="20"/>
        </w:rPr>
        <w:t>(4), 2911-2938.</w:t>
      </w:r>
    </w:p>
    <w:p w14:paraId="4D30F762"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Cao, L., &amp; Ren, J. (2022). Machine learning shows that the Covid-19 pandemic is impacting US public companies unequally by changing risk structures. </w:t>
      </w:r>
      <w:proofErr w:type="spellStart"/>
      <w:r w:rsidRPr="00C317F1">
        <w:rPr>
          <w:rFonts w:ascii="Arial" w:hAnsi="Arial" w:cs="Arial"/>
          <w:i/>
          <w:iCs/>
          <w:sz w:val="20"/>
          <w:szCs w:val="20"/>
        </w:rPr>
        <w:t>Plos</w:t>
      </w:r>
      <w:proofErr w:type="spellEnd"/>
      <w:r w:rsidRPr="00C317F1">
        <w:rPr>
          <w:rFonts w:ascii="Arial" w:hAnsi="Arial" w:cs="Arial"/>
          <w:i/>
          <w:iCs/>
          <w:sz w:val="20"/>
          <w:szCs w:val="20"/>
        </w:rPr>
        <w:t xml:space="preserve"> one</w:t>
      </w:r>
      <w:r w:rsidRPr="00C317F1">
        <w:rPr>
          <w:rFonts w:ascii="Arial" w:hAnsi="Arial" w:cs="Arial"/>
          <w:sz w:val="20"/>
          <w:szCs w:val="20"/>
        </w:rPr>
        <w:t>, </w:t>
      </w:r>
      <w:r w:rsidRPr="00C317F1">
        <w:rPr>
          <w:rFonts w:ascii="Arial" w:hAnsi="Arial" w:cs="Arial"/>
          <w:i/>
          <w:iCs/>
          <w:sz w:val="20"/>
          <w:szCs w:val="20"/>
        </w:rPr>
        <w:t>17</w:t>
      </w:r>
      <w:r w:rsidRPr="00C317F1">
        <w:rPr>
          <w:rFonts w:ascii="Arial" w:hAnsi="Arial" w:cs="Arial"/>
          <w:sz w:val="20"/>
          <w:szCs w:val="20"/>
        </w:rPr>
        <w:t>(6), e0269582.</w:t>
      </w:r>
    </w:p>
    <w:p w14:paraId="6A8F3C7F"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Camur, M. C., Ravi, S. K., &amp; Saleh, S. (2024). Enhancing supply chain resilience: A machine learning approach for predicting product availability dates under disruption. </w:t>
      </w:r>
      <w:r w:rsidRPr="00C317F1">
        <w:rPr>
          <w:rFonts w:ascii="Arial" w:hAnsi="Arial" w:cs="Arial"/>
          <w:i/>
          <w:iCs/>
          <w:sz w:val="20"/>
          <w:szCs w:val="20"/>
        </w:rPr>
        <w:t>Expert systems with applications</w:t>
      </w:r>
      <w:r w:rsidRPr="00C317F1">
        <w:rPr>
          <w:rFonts w:ascii="Arial" w:hAnsi="Arial" w:cs="Arial"/>
          <w:sz w:val="20"/>
          <w:szCs w:val="20"/>
        </w:rPr>
        <w:t>, </w:t>
      </w:r>
      <w:r w:rsidRPr="00C317F1">
        <w:rPr>
          <w:rFonts w:ascii="Arial" w:hAnsi="Arial" w:cs="Arial"/>
          <w:i/>
          <w:iCs/>
          <w:sz w:val="20"/>
          <w:szCs w:val="20"/>
        </w:rPr>
        <w:t>247</w:t>
      </w:r>
      <w:r w:rsidRPr="00C317F1">
        <w:rPr>
          <w:rFonts w:ascii="Arial" w:hAnsi="Arial" w:cs="Arial"/>
          <w:sz w:val="20"/>
          <w:szCs w:val="20"/>
        </w:rPr>
        <w:t>, 123226.</w:t>
      </w:r>
    </w:p>
    <w:p w14:paraId="1410C26F"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lastRenderedPageBreak/>
        <w:t>Choi, S. J., &amp; Johnson, M. E. (2021). The relationship between cybersecurity ratings and the risk of hospital data breaches. </w:t>
      </w:r>
      <w:r w:rsidRPr="00C317F1">
        <w:rPr>
          <w:rFonts w:ascii="Arial" w:hAnsi="Arial" w:cs="Arial"/>
          <w:i/>
          <w:iCs/>
          <w:sz w:val="20"/>
          <w:szCs w:val="20"/>
        </w:rPr>
        <w:t>Journal of the American Medical Informatics Association</w:t>
      </w:r>
      <w:r w:rsidRPr="00C317F1">
        <w:rPr>
          <w:rFonts w:ascii="Arial" w:hAnsi="Arial" w:cs="Arial"/>
          <w:sz w:val="20"/>
          <w:szCs w:val="20"/>
        </w:rPr>
        <w:t>, </w:t>
      </w:r>
      <w:r w:rsidRPr="00C317F1">
        <w:rPr>
          <w:rFonts w:ascii="Arial" w:hAnsi="Arial" w:cs="Arial"/>
          <w:i/>
          <w:iCs/>
          <w:sz w:val="20"/>
          <w:szCs w:val="20"/>
        </w:rPr>
        <w:t>28</w:t>
      </w:r>
      <w:r w:rsidRPr="00C317F1">
        <w:rPr>
          <w:rFonts w:ascii="Arial" w:hAnsi="Arial" w:cs="Arial"/>
          <w:sz w:val="20"/>
          <w:szCs w:val="20"/>
        </w:rPr>
        <w:t>(10), 2085-2092.</w:t>
      </w:r>
    </w:p>
    <w:p w14:paraId="61FFDE2F" w14:textId="77777777" w:rsidR="00852E0C" w:rsidRPr="00C317F1" w:rsidRDefault="00852E0C" w:rsidP="00015FAE">
      <w:pPr>
        <w:spacing w:line="276" w:lineRule="auto"/>
        <w:jc w:val="both"/>
        <w:rPr>
          <w:rFonts w:ascii="Arial" w:hAnsi="Arial" w:cs="Arial"/>
          <w:sz w:val="20"/>
          <w:szCs w:val="20"/>
        </w:rPr>
      </w:pPr>
      <w:proofErr w:type="spellStart"/>
      <w:r w:rsidRPr="00C317F1">
        <w:rPr>
          <w:rFonts w:ascii="Arial" w:hAnsi="Arial" w:cs="Arial"/>
          <w:sz w:val="20"/>
          <w:szCs w:val="20"/>
        </w:rPr>
        <w:t>Černevičienė</w:t>
      </w:r>
      <w:proofErr w:type="spellEnd"/>
      <w:r w:rsidRPr="00C317F1">
        <w:rPr>
          <w:rFonts w:ascii="Arial" w:hAnsi="Arial" w:cs="Arial"/>
          <w:sz w:val="20"/>
          <w:szCs w:val="20"/>
        </w:rPr>
        <w:t xml:space="preserve">, J., &amp; </w:t>
      </w:r>
      <w:proofErr w:type="spellStart"/>
      <w:r w:rsidRPr="00C317F1">
        <w:rPr>
          <w:rFonts w:ascii="Arial" w:hAnsi="Arial" w:cs="Arial"/>
          <w:sz w:val="20"/>
          <w:szCs w:val="20"/>
        </w:rPr>
        <w:t>Kabašinskas</w:t>
      </w:r>
      <w:proofErr w:type="spellEnd"/>
      <w:r w:rsidRPr="00C317F1">
        <w:rPr>
          <w:rFonts w:ascii="Arial" w:hAnsi="Arial" w:cs="Arial"/>
          <w:sz w:val="20"/>
          <w:szCs w:val="20"/>
        </w:rPr>
        <w:t>, A. (2024). Explainable artificial intelligence (XAI) in finance: a systematic literature review. </w:t>
      </w:r>
      <w:r w:rsidRPr="00C317F1">
        <w:rPr>
          <w:rFonts w:ascii="Arial" w:hAnsi="Arial" w:cs="Arial"/>
          <w:i/>
          <w:iCs/>
          <w:sz w:val="20"/>
          <w:szCs w:val="20"/>
        </w:rPr>
        <w:t>Artificial Intelligence Review</w:t>
      </w:r>
      <w:r w:rsidRPr="00C317F1">
        <w:rPr>
          <w:rFonts w:ascii="Arial" w:hAnsi="Arial" w:cs="Arial"/>
          <w:sz w:val="20"/>
          <w:szCs w:val="20"/>
        </w:rPr>
        <w:t>, </w:t>
      </w:r>
      <w:r w:rsidRPr="00C317F1">
        <w:rPr>
          <w:rFonts w:ascii="Arial" w:hAnsi="Arial" w:cs="Arial"/>
          <w:i/>
          <w:iCs/>
          <w:sz w:val="20"/>
          <w:szCs w:val="20"/>
        </w:rPr>
        <w:t>57</w:t>
      </w:r>
      <w:r w:rsidRPr="00C317F1">
        <w:rPr>
          <w:rFonts w:ascii="Arial" w:hAnsi="Arial" w:cs="Arial"/>
          <w:sz w:val="20"/>
          <w:szCs w:val="20"/>
        </w:rPr>
        <w:t>(8), 216.</w:t>
      </w:r>
    </w:p>
    <w:p w14:paraId="2FFBA451"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Craighead, C. W., Ketchen Jr, D. J., &amp; Darby, J. L. (2020). Pandemics and supply chain management research: toward a theoretical toolbox. </w:t>
      </w:r>
      <w:r w:rsidRPr="00C317F1">
        <w:rPr>
          <w:rFonts w:ascii="Arial" w:hAnsi="Arial" w:cs="Arial"/>
          <w:i/>
          <w:iCs/>
          <w:sz w:val="20"/>
          <w:szCs w:val="20"/>
        </w:rPr>
        <w:t>Decision Sciences</w:t>
      </w:r>
      <w:r w:rsidRPr="00C317F1">
        <w:rPr>
          <w:rFonts w:ascii="Arial" w:hAnsi="Arial" w:cs="Arial"/>
          <w:sz w:val="20"/>
          <w:szCs w:val="20"/>
        </w:rPr>
        <w:t>, </w:t>
      </w:r>
      <w:r w:rsidRPr="00C317F1">
        <w:rPr>
          <w:rFonts w:ascii="Arial" w:hAnsi="Arial" w:cs="Arial"/>
          <w:i/>
          <w:iCs/>
          <w:sz w:val="20"/>
          <w:szCs w:val="20"/>
        </w:rPr>
        <w:t>51</w:t>
      </w:r>
      <w:r w:rsidRPr="00C317F1">
        <w:rPr>
          <w:rFonts w:ascii="Arial" w:hAnsi="Arial" w:cs="Arial"/>
          <w:sz w:val="20"/>
          <w:szCs w:val="20"/>
        </w:rPr>
        <w:t>(4), 838-866.</w:t>
      </w:r>
    </w:p>
    <w:p w14:paraId="63DB78D6"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Corbet, S., &amp; Goodell, J. W. (2022). The reputational contagion effects of ransomware attacks. </w:t>
      </w:r>
      <w:r w:rsidRPr="00C317F1">
        <w:rPr>
          <w:rFonts w:ascii="Arial" w:hAnsi="Arial" w:cs="Arial"/>
          <w:i/>
          <w:iCs/>
          <w:sz w:val="20"/>
          <w:szCs w:val="20"/>
        </w:rPr>
        <w:t>Finance Research Letters</w:t>
      </w:r>
      <w:r w:rsidRPr="00C317F1">
        <w:rPr>
          <w:rFonts w:ascii="Arial" w:hAnsi="Arial" w:cs="Arial"/>
          <w:sz w:val="20"/>
          <w:szCs w:val="20"/>
        </w:rPr>
        <w:t>, </w:t>
      </w:r>
      <w:r w:rsidRPr="00C317F1">
        <w:rPr>
          <w:rFonts w:ascii="Arial" w:hAnsi="Arial" w:cs="Arial"/>
          <w:i/>
          <w:iCs/>
          <w:sz w:val="20"/>
          <w:szCs w:val="20"/>
        </w:rPr>
        <w:t>47</w:t>
      </w:r>
      <w:r w:rsidRPr="00C317F1">
        <w:rPr>
          <w:rFonts w:ascii="Arial" w:hAnsi="Arial" w:cs="Arial"/>
          <w:sz w:val="20"/>
          <w:szCs w:val="20"/>
        </w:rPr>
        <w:t>, 102715.</w:t>
      </w:r>
    </w:p>
    <w:p w14:paraId="75B79988" w14:textId="77777777" w:rsidR="00852E0C" w:rsidRPr="00C317F1" w:rsidRDefault="00852E0C" w:rsidP="00015FAE">
      <w:pPr>
        <w:spacing w:line="276" w:lineRule="auto"/>
        <w:jc w:val="both"/>
        <w:rPr>
          <w:rFonts w:ascii="Arial" w:hAnsi="Arial" w:cs="Arial"/>
          <w:sz w:val="20"/>
          <w:szCs w:val="20"/>
        </w:rPr>
      </w:pPr>
      <w:proofErr w:type="spellStart"/>
      <w:r w:rsidRPr="00C317F1">
        <w:rPr>
          <w:rFonts w:ascii="Arial" w:hAnsi="Arial" w:cs="Arial"/>
          <w:sz w:val="20"/>
          <w:szCs w:val="20"/>
        </w:rPr>
        <w:t>Culot</w:t>
      </w:r>
      <w:proofErr w:type="spellEnd"/>
      <w:r w:rsidRPr="00C317F1">
        <w:rPr>
          <w:rFonts w:ascii="Arial" w:hAnsi="Arial" w:cs="Arial"/>
          <w:sz w:val="20"/>
          <w:szCs w:val="20"/>
        </w:rPr>
        <w:t xml:space="preserve">, G., </w:t>
      </w:r>
      <w:proofErr w:type="spellStart"/>
      <w:r w:rsidRPr="00C317F1">
        <w:rPr>
          <w:rFonts w:ascii="Arial" w:hAnsi="Arial" w:cs="Arial"/>
          <w:sz w:val="20"/>
          <w:szCs w:val="20"/>
        </w:rPr>
        <w:t>Podrecca</w:t>
      </w:r>
      <w:proofErr w:type="spellEnd"/>
      <w:r w:rsidRPr="00C317F1">
        <w:rPr>
          <w:rFonts w:ascii="Arial" w:hAnsi="Arial" w:cs="Arial"/>
          <w:sz w:val="20"/>
          <w:szCs w:val="20"/>
        </w:rPr>
        <w:t xml:space="preserve">, M., &amp; </w:t>
      </w:r>
      <w:proofErr w:type="spellStart"/>
      <w:r w:rsidRPr="00C317F1">
        <w:rPr>
          <w:rFonts w:ascii="Arial" w:hAnsi="Arial" w:cs="Arial"/>
          <w:sz w:val="20"/>
          <w:szCs w:val="20"/>
        </w:rPr>
        <w:t>Nassimbeni</w:t>
      </w:r>
      <w:proofErr w:type="spellEnd"/>
      <w:r w:rsidRPr="00C317F1">
        <w:rPr>
          <w:rFonts w:ascii="Arial" w:hAnsi="Arial" w:cs="Arial"/>
          <w:sz w:val="20"/>
          <w:szCs w:val="20"/>
        </w:rPr>
        <w:t>, G. (2024). Artificial intelligence in supply chain management: A systematic literature review of empirical studies and research directions. </w:t>
      </w:r>
      <w:r w:rsidRPr="00C317F1">
        <w:rPr>
          <w:rFonts w:ascii="Arial" w:hAnsi="Arial" w:cs="Arial"/>
          <w:i/>
          <w:iCs/>
          <w:sz w:val="20"/>
          <w:szCs w:val="20"/>
        </w:rPr>
        <w:t>Computers in industry</w:t>
      </w:r>
      <w:r w:rsidRPr="00C317F1">
        <w:rPr>
          <w:rFonts w:ascii="Arial" w:hAnsi="Arial" w:cs="Arial"/>
          <w:sz w:val="20"/>
          <w:szCs w:val="20"/>
        </w:rPr>
        <w:t>, </w:t>
      </w:r>
      <w:r w:rsidRPr="00C317F1">
        <w:rPr>
          <w:rFonts w:ascii="Arial" w:hAnsi="Arial" w:cs="Arial"/>
          <w:i/>
          <w:iCs/>
          <w:sz w:val="20"/>
          <w:szCs w:val="20"/>
        </w:rPr>
        <w:t>162</w:t>
      </w:r>
      <w:r w:rsidRPr="00C317F1">
        <w:rPr>
          <w:rFonts w:ascii="Arial" w:hAnsi="Arial" w:cs="Arial"/>
          <w:sz w:val="20"/>
          <w:szCs w:val="20"/>
        </w:rPr>
        <w:t>, 104132.</w:t>
      </w:r>
    </w:p>
    <w:p w14:paraId="1F89F6E9"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Davis, R., Lo, A. W., Mishra, S., Nourian, A., Singh, M., Wu, N., &amp; Zhang, R. (2022). Explainable machine learning models of consumer credit risk. </w:t>
      </w:r>
      <w:r w:rsidRPr="00C317F1">
        <w:rPr>
          <w:rFonts w:ascii="Arial" w:hAnsi="Arial" w:cs="Arial"/>
          <w:i/>
          <w:iCs/>
          <w:sz w:val="20"/>
          <w:szCs w:val="20"/>
        </w:rPr>
        <w:t>Available at SSRN</w:t>
      </w:r>
      <w:r w:rsidRPr="00C317F1">
        <w:rPr>
          <w:rFonts w:ascii="Arial" w:hAnsi="Arial" w:cs="Arial"/>
          <w:sz w:val="20"/>
          <w:szCs w:val="20"/>
        </w:rPr>
        <w:t>, </w:t>
      </w:r>
      <w:r w:rsidRPr="00C317F1">
        <w:rPr>
          <w:rFonts w:ascii="Arial" w:hAnsi="Arial" w:cs="Arial"/>
          <w:i/>
          <w:iCs/>
          <w:sz w:val="20"/>
          <w:szCs w:val="20"/>
        </w:rPr>
        <w:t>4006840</w:t>
      </w:r>
      <w:r w:rsidRPr="00C317F1">
        <w:rPr>
          <w:rFonts w:ascii="Arial" w:hAnsi="Arial" w:cs="Arial"/>
          <w:sz w:val="20"/>
          <w:szCs w:val="20"/>
        </w:rPr>
        <w:t>.</w:t>
      </w:r>
    </w:p>
    <w:p w14:paraId="0AD20FE8"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 xml:space="preserve">Fritz-Morgenthal, S., Hein, B., &amp; </w:t>
      </w:r>
      <w:proofErr w:type="spellStart"/>
      <w:r w:rsidRPr="00C317F1">
        <w:rPr>
          <w:rFonts w:ascii="Arial" w:hAnsi="Arial" w:cs="Arial"/>
          <w:sz w:val="20"/>
          <w:szCs w:val="20"/>
        </w:rPr>
        <w:t>Papenbrock</w:t>
      </w:r>
      <w:proofErr w:type="spellEnd"/>
      <w:r w:rsidRPr="00C317F1">
        <w:rPr>
          <w:rFonts w:ascii="Arial" w:hAnsi="Arial" w:cs="Arial"/>
          <w:sz w:val="20"/>
          <w:szCs w:val="20"/>
        </w:rPr>
        <w:t>, J. (2022). Financial risk management and explainable, trustworthy, responsible AI. </w:t>
      </w:r>
      <w:r w:rsidRPr="00C317F1">
        <w:rPr>
          <w:rFonts w:ascii="Arial" w:hAnsi="Arial" w:cs="Arial"/>
          <w:i/>
          <w:iCs/>
          <w:sz w:val="20"/>
          <w:szCs w:val="20"/>
        </w:rPr>
        <w:t>Frontiers in artificial intelligence</w:t>
      </w:r>
      <w:r w:rsidRPr="00C317F1">
        <w:rPr>
          <w:rFonts w:ascii="Arial" w:hAnsi="Arial" w:cs="Arial"/>
          <w:sz w:val="20"/>
          <w:szCs w:val="20"/>
        </w:rPr>
        <w:t>, </w:t>
      </w:r>
      <w:r w:rsidRPr="00C317F1">
        <w:rPr>
          <w:rFonts w:ascii="Arial" w:hAnsi="Arial" w:cs="Arial"/>
          <w:i/>
          <w:iCs/>
          <w:sz w:val="20"/>
          <w:szCs w:val="20"/>
        </w:rPr>
        <w:t>5</w:t>
      </w:r>
      <w:r w:rsidRPr="00C317F1">
        <w:rPr>
          <w:rFonts w:ascii="Arial" w:hAnsi="Arial" w:cs="Arial"/>
          <w:sz w:val="20"/>
          <w:szCs w:val="20"/>
        </w:rPr>
        <w:t>, 779799.</w:t>
      </w:r>
    </w:p>
    <w:p w14:paraId="37B8E0CB"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 xml:space="preserve">Gabellini, M., </w:t>
      </w:r>
      <w:proofErr w:type="spellStart"/>
      <w:r w:rsidRPr="00C317F1">
        <w:rPr>
          <w:rFonts w:ascii="Arial" w:hAnsi="Arial" w:cs="Arial"/>
          <w:sz w:val="20"/>
          <w:szCs w:val="20"/>
        </w:rPr>
        <w:t>Civolani</w:t>
      </w:r>
      <w:proofErr w:type="spellEnd"/>
      <w:r w:rsidRPr="00C317F1">
        <w:rPr>
          <w:rFonts w:ascii="Arial" w:hAnsi="Arial" w:cs="Arial"/>
          <w:sz w:val="20"/>
          <w:szCs w:val="20"/>
        </w:rPr>
        <w:t>, L., Calabrese, F., &amp; Bortolini, M. (2024). A deep learning approach to predict supply chain delivery delay risk based on macroeconomic indicators: A case study in the automotive sector. </w:t>
      </w:r>
      <w:r w:rsidRPr="00C317F1">
        <w:rPr>
          <w:rFonts w:ascii="Arial" w:hAnsi="Arial" w:cs="Arial"/>
          <w:i/>
          <w:iCs/>
          <w:sz w:val="20"/>
          <w:szCs w:val="20"/>
        </w:rPr>
        <w:t>Applied Sciences</w:t>
      </w:r>
      <w:r w:rsidRPr="00C317F1">
        <w:rPr>
          <w:rFonts w:ascii="Arial" w:hAnsi="Arial" w:cs="Arial"/>
          <w:sz w:val="20"/>
          <w:szCs w:val="20"/>
        </w:rPr>
        <w:t>, </w:t>
      </w:r>
      <w:r w:rsidRPr="00C317F1">
        <w:rPr>
          <w:rFonts w:ascii="Arial" w:hAnsi="Arial" w:cs="Arial"/>
          <w:i/>
          <w:iCs/>
          <w:sz w:val="20"/>
          <w:szCs w:val="20"/>
        </w:rPr>
        <w:t>14</w:t>
      </w:r>
      <w:r w:rsidRPr="00C317F1">
        <w:rPr>
          <w:rFonts w:ascii="Arial" w:hAnsi="Arial" w:cs="Arial"/>
          <w:sz w:val="20"/>
          <w:szCs w:val="20"/>
        </w:rPr>
        <w:t>(11), 4688.</w:t>
      </w:r>
    </w:p>
    <w:p w14:paraId="4A949759"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 xml:space="preserve">Gebru, T., Morgenstern, J., Vecchione, B., Vaughan, J. W., Wallach, H., </w:t>
      </w:r>
      <w:proofErr w:type="spellStart"/>
      <w:r w:rsidRPr="00C317F1">
        <w:rPr>
          <w:rFonts w:ascii="Arial" w:hAnsi="Arial" w:cs="Arial"/>
          <w:sz w:val="20"/>
          <w:szCs w:val="20"/>
        </w:rPr>
        <w:t>Daumé</w:t>
      </w:r>
      <w:proofErr w:type="spellEnd"/>
      <w:r w:rsidRPr="00C317F1">
        <w:rPr>
          <w:rFonts w:ascii="Arial" w:hAnsi="Arial" w:cs="Arial"/>
          <w:sz w:val="20"/>
          <w:szCs w:val="20"/>
        </w:rPr>
        <w:t xml:space="preserve"> III, H., &amp; Crawford, K. Datasheets for Datasets Documentation to facilitate communication between dataset creators and consumers.</w:t>
      </w:r>
    </w:p>
    <w:p w14:paraId="417F15BC"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Grundy, B., &amp; Petry, S. 10-K Risk-Factors Quantification and the Information Content of Textual Reporting.</w:t>
      </w:r>
    </w:p>
    <w:p w14:paraId="4371B66C"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Guo, C., Pleiss, G., Sun, Y., &amp; Weinberger, K. Q. (2017, July). On calibration of modern neural networks. In </w:t>
      </w:r>
      <w:r w:rsidRPr="00C317F1">
        <w:rPr>
          <w:rFonts w:ascii="Arial" w:hAnsi="Arial" w:cs="Arial"/>
          <w:i/>
          <w:iCs/>
          <w:sz w:val="20"/>
          <w:szCs w:val="20"/>
        </w:rPr>
        <w:t>International conference on machine learning</w:t>
      </w:r>
      <w:r w:rsidRPr="00C317F1">
        <w:rPr>
          <w:rFonts w:ascii="Arial" w:hAnsi="Arial" w:cs="Arial"/>
          <w:sz w:val="20"/>
          <w:szCs w:val="20"/>
        </w:rPr>
        <w:t> (pp. 1321-1330). PMLR.</w:t>
      </w:r>
    </w:p>
    <w:p w14:paraId="7C702100"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Hanley, K. W., &amp; Hoberg, G. (2019). Dynamic interpretation of emerging risks in the financial sector. </w:t>
      </w:r>
      <w:r w:rsidRPr="00C317F1">
        <w:rPr>
          <w:rFonts w:ascii="Arial" w:hAnsi="Arial" w:cs="Arial"/>
          <w:i/>
          <w:iCs/>
          <w:sz w:val="20"/>
          <w:szCs w:val="20"/>
        </w:rPr>
        <w:t>The Review of Financial Studies</w:t>
      </w:r>
      <w:r w:rsidRPr="00C317F1">
        <w:rPr>
          <w:rFonts w:ascii="Arial" w:hAnsi="Arial" w:cs="Arial"/>
          <w:sz w:val="20"/>
          <w:szCs w:val="20"/>
        </w:rPr>
        <w:t>, </w:t>
      </w:r>
      <w:r w:rsidRPr="00C317F1">
        <w:rPr>
          <w:rFonts w:ascii="Arial" w:hAnsi="Arial" w:cs="Arial"/>
          <w:i/>
          <w:iCs/>
          <w:sz w:val="20"/>
          <w:szCs w:val="20"/>
        </w:rPr>
        <w:t>32</w:t>
      </w:r>
      <w:r w:rsidRPr="00C317F1">
        <w:rPr>
          <w:rFonts w:ascii="Arial" w:hAnsi="Arial" w:cs="Arial"/>
          <w:sz w:val="20"/>
          <w:szCs w:val="20"/>
        </w:rPr>
        <w:t>(12), 4543-4603.</w:t>
      </w:r>
    </w:p>
    <w:p w14:paraId="74AF000C"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 xml:space="preserve">Hinder, F., </w:t>
      </w:r>
      <w:proofErr w:type="spellStart"/>
      <w:r w:rsidRPr="00C317F1">
        <w:rPr>
          <w:rFonts w:ascii="Arial" w:hAnsi="Arial" w:cs="Arial"/>
          <w:sz w:val="20"/>
          <w:szCs w:val="20"/>
        </w:rPr>
        <w:t>Vaquet</w:t>
      </w:r>
      <w:proofErr w:type="spellEnd"/>
      <w:r w:rsidRPr="00C317F1">
        <w:rPr>
          <w:rFonts w:ascii="Arial" w:hAnsi="Arial" w:cs="Arial"/>
          <w:sz w:val="20"/>
          <w:szCs w:val="20"/>
        </w:rPr>
        <w:t>, V., &amp; Hammer, B. (2024). One or two things we know about concept drift—a survey on monitoring in evolving environments. Part A: detecting concept drift. </w:t>
      </w:r>
      <w:r w:rsidRPr="00C317F1">
        <w:rPr>
          <w:rFonts w:ascii="Arial" w:hAnsi="Arial" w:cs="Arial"/>
          <w:i/>
          <w:iCs/>
          <w:sz w:val="20"/>
          <w:szCs w:val="20"/>
        </w:rPr>
        <w:t>Frontiers in Artificial Intelligence</w:t>
      </w:r>
      <w:r w:rsidRPr="00C317F1">
        <w:rPr>
          <w:rFonts w:ascii="Arial" w:hAnsi="Arial" w:cs="Arial"/>
          <w:sz w:val="20"/>
          <w:szCs w:val="20"/>
        </w:rPr>
        <w:t>, </w:t>
      </w:r>
      <w:r w:rsidRPr="00C317F1">
        <w:rPr>
          <w:rFonts w:ascii="Arial" w:hAnsi="Arial" w:cs="Arial"/>
          <w:i/>
          <w:iCs/>
          <w:sz w:val="20"/>
          <w:szCs w:val="20"/>
        </w:rPr>
        <w:t>7</w:t>
      </w:r>
      <w:r w:rsidRPr="00C317F1">
        <w:rPr>
          <w:rFonts w:ascii="Arial" w:hAnsi="Arial" w:cs="Arial"/>
          <w:sz w:val="20"/>
          <w:szCs w:val="20"/>
        </w:rPr>
        <w:t>, 1330257.</w:t>
      </w:r>
    </w:p>
    <w:p w14:paraId="78A1C0B8"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Ho, W., Zheng, T., Yildiz, H., &amp; Talluri, S. (2015). Supply chain risk management: a literature review. </w:t>
      </w:r>
      <w:r w:rsidRPr="00C317F1">
        <w:rPr>
          <w:rFonts w:ascii="Arial" w:hAnsi="Arial" w:cs="Arial"/>
          <w:i/>
          <w:iCs/>
          <w:sz w:val="20"/>
          <w:szCs w:val="20"/>
        </w:rPr>
        <w:t>International journal of production research</w:t>
      </w:r>
      <w:r w:rsidRPr="00C317F1">
        <w:rPr>
          <w:rFonts w:ascii="Arial" w:hAnsi="Arial" w:cs="Arial"/>
          <w:sz w:val="20"/>
          <w:szCs w:val="20"/>
        </w:rPr>
        <w:t>, </w:t>
      </w:r>
      <w:r w:rsidRPr="00C317F1">
        <w:rPr>
          <w:rFonts w:ascii="Arial" w:hAnsi="Arial" w:cs="Arial"/>
          <w:i/>
          <w:iCs/>
          <w:sz w:val="20"/>
          <w:szCs w:val="20"/>
        </w:rPr>
        <w:t>53</w:t>
      </w:r>
      <w:r w:rsidRPr="00C317F1">
        <w:rPr>
          <w:rFonts w:ascii="Arial" w:hAnsi="Arial" w:cs="Arial"/>
          <w:sz w:val="20"/>
          <w:szCs w:val="20"/>
        </w:rPr>
        <w:t>(16), 5031-5069.</w:t>
      </w:r>
    </w:p>
    <w:p w14:paraId="706B567D"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 xml:space="preserve">Ivanov, D., &amp; </w:t>
      </w:r>
      <w:proofErr w:type="spellStart"/>
      <w:r w:rsidRPr="00C317F1">
        <w:rPr>
          <w:rFonts w:ascii="Arial" w:hAnsi="Arial" w:cs="Arial"/>
          <w:sz w:val="20"/>
          <w:szCs w:val="20"/>
        </w:rPr>
        <w:t>Dolgui</w:t>
      </w:r>
      <w:proofErr w:type="spellEnd"/>
      <w:r w:rsidRPr="00C317F1">
        <w:rPr>
          <w:rFonts w:ascii="Arial" w:hAnsi="Arial" w:cs="Arial"/>
          <w:sz w:val="20"/>
          <w:szCs w:val="20"/>
        </w:rPr>
        <w:t>, A. (2020). Viability of intertwined supply networks: extending the supply chain resilience angles towards survivability. A position paper motivated by COVID-19 outbreak. </w:t>
      </w:r>
      <w:r w:rsidRPr="00C317F1">
        <w:rPr>
          <w:rFonts w:ascii="Arial" w:hAnsi="Arial" w:cs="Arial"/>
          <w:i/>
          <w:iCs/>
          <w:sz w:val="20"/>
          <w:szCs w:val="20"/>
        </w:rPr>
        <w:t>International journal of production research</w:t>
      </w:r>
      <w:r w:rsidRPr="00C317F1">
        <w:rPr>
          <w:rFonts w:ascii="Arial" w:hAnsi="Arial" w:cs="Arial"/>
          <w:sz w:val="20"/>
          <w:szCs w:val="20"/>
        </w:rPr>
        <w:t>, </w:t>
      </w:r>
      <w:r w:rsidRPr="00C317F1">
        <w:rPr>
          <w:rFonts w:ascii="Arial" w:hAnsi="Arial" w:cs="Arial"/>
          <w:i/>
          <w:iCs/>
          <w:sz w:val="20"/>
          <w:szCs w:val="20"/>
        </w:rPr>
        <w:t>58</w:t>
      </w:r>
      <w:r w:rsidRPr="00C317F1">
        <w:rPr>
          <w:rFonts w:ascii="Arial" w:hAnsi="Arial" w:cs="Arial"/>
          <w:sz w:val="20"/>
          <w:szCs w:val="20"/>
        </w:rPr>
        <w:t>(10), 2904-2915.</w:t>
      </w:r>
    </w:p>
    <w:p w14:paraId="60E1FF28"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Ivanov, D. (2022). Viable supply chain model: integrating agility, resilience and sustainability perspectives—lessons from and thinking beyond the COVID-19 pandemic. </w:t>
      </w:r>
      <w:r w:rsidRPr="00C317F1">
        <w:rPr>
          <w:rFonts w:ascii="Arial" w:hAnsi="Arial" w:cs="Arial"/>
          <w:i/>
          <w:iCs/>
          <w:sz w:val="20"/>
          <w:szCs w:val="20"/>
        </w:rPr>
        <w:t>Annals of operations research</w:t>
      </w:r>
      <w:r w:rsidRPr="00C317F1">
        <w:rPr>
          <w:rFonts w:ascii="Arial" w:hAnsi="Arial" w:cs="Arial"/>
          <w:sz w:val="20"/>
          <w:szCs w:val="20"/>
        </w:rPr>
        <w:t>, </w:t>
      </w:r>
      <w:r w:rsidRPr="00C317F1">
        <w:rPr>
          <w:rFonts w:ascii="Arial" w:hAnsi="Arial" w:cs="Arial"/>
          <w:i/>
          <w:iCs/>
          <w:sz w:val="20"/>
          <w:szCs w:val="20"/>
        </w:rPr>
        <w:t>319</w:t>
      </w:r>
      <w:r w:rsidRPr="00C317F1">
        <w:rPr>
          <w:rFonts w:ascii="Arial" w:hAnsi="Arial" w:cs="Arial"/>
          <w:sz w:val="20"/>
          <w:szCs w:val="20"/>
        </w:rPr>
        <w:t>(1), 1411-1431.</w:t>
      </w:r>
    </w:p>
    <w:p w14:paraId="59068436"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Kesari, A. (2022). Predicting cybersecurity incidents with machine learning and mandatory disclosure regulation. </w:t>
      </w:r>
      <w:r w:rsidRPr="00C317F1">
        <w:rPr>
          <w:rFonts w:ascii="Arial" w:hAnsi="Arial" w:cs="Arial"/>
          <w:i/>
          <w:iCs/>
          <w:sz w:val="20"/>
          <w:szCs w:val="20"/>
        </w:rPr>
        <w:t xml:space="preserve">U. Ill. JL Tech. &amp; </w:t>
      </w:r>
      <w:proofErr w:type="spellStart"/>
      <w:r w:rsidRPr="00C317F1">
        <w:rPr>
          <w:rFonts w:ascii="Arial" w:hAnsi="Arial" w:cs="Arial"/>
          <w:i/>
          <w:iCs/>
          <w:sz w:val="20"/>
          <w:szCs w:val="20"/>
        </w:rPr>
        <w:t>Pol'y</w:t>
      </w:r>
      <w:proofErr w:type="spellEnd"/>
      <w:r w:rsidRPr="00C317F1">
        <w:rPr>
          <w:rFonts w:ascii="Arial" w:hAnsi="Arial" w:cs="Arial"/>
          <w:sz w:val="20"/>
          <w:szCs w:val="20"/>
        </w:rPr>
        <w:t>, 57.</w:t>
      </w:r>
    </w:p>
    <w:p w14:paraId="6A0AEDEC"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lastRenderedPageBreak/>
        <w:t>Khedr, A. M. (2024). Enhancing supply chain management with deep learning and machine learning techniques: A review. </w:t>
      </w:r>
      <w:r w:rsidRPr="00C317F1">
        <w:rPr>
          <w:rFonts w:ascii="Arial" w:hAnsi="Arial" w:cs="Arial"/>
          <w:i/>
          <w:iCs/>
          <w:sz w:val="20"/>
          <w:szCs w:val="20"/>
        </w:rPr>
        <w:t>Journal of Open Innovation: Technology, Market, and Complexity</w:t>
      </w:r>
      <w:r w:rsidRPr="00C317F1">
        <w:rPr>
          <w:rFonts w:ascii="Arial" w:hAnsi="Arial" w:cs="Arial"/>
          <w:sz w:val="20"/>
          <w:szCs w:val="20"/>
        </w:rPr>
        <w:t>, </w:t>
      </w:r>
      <w:r w:rsidRPr="00C317F1">
        <w:rPr>
          <w:rFonts w:ascii="Arial" w:hAnsi="Arial" w:cs="Arial"/>
          <w:i/>
          <w:iCs/>
          <w:sz w:val="20"/>
          <w:szCs w:val="20"/>
        </w:rPr>
        <w:t>10</w:t>
      </w:r>
      <w:r w:rsidRPr="00C317F1">
        <w:rPr>
          <w:rFonts w:ascii="Arial" w:hAnsi="Arial" w:cs="Arial"/>
          <w:sz w:val="20"/>
          <w:szCs w:val="20"/>
        </w:rPr>
        <w:t>(4), 100379.</w:t>
      </w:r>
    </w:p>
    <w:p w14:paraId="40565C90"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Kroes, J. R., Manikas, A. S., Baig, A., &amp; Land, A. (2025). Supply chain risk disclosures in 10-K filings: implications for inventory slack and stock returns in unstable demand markets. </w:t>
      </w:r>
      <w:r w:rsidRPr="00C317F1">
        <w:rPr>
          <w:rFonts w:ascii="Arial" w:hAnsi="Arial" w:cs="Arial"/>
          <w:i/>
          <w:iCs/>
          <w:sz w:val="20"/>
          <w:szCs w:val="20"/>
        </w:rPr>
        <w:t>International Journal of Production Research</w:t>
      </w:r>
      <w:r w:rsidRPr="00C317F1">
        <w:rPr>
          <w:rFonts w:ascii="Arial" w:hAnsi="Arial" w:cs="Arial"/>
          <w:sz w:val="20"/>
          <w:szCs w:val="20"/>
        </w:rPr>
        <w:t>, 1-19.</w:t>
      </w:r>
    </w:p>
    <w:p w14:paraId="4C29D462"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Loughran, T., &amp; McDonald, B. (2016). Textual analysis in accounting and finance: A survey. </w:t>
      </w:r>
      <w:r w:rsidRPr="00C317F1">
        <w:rPr>
          <w:rFonts w:ascii="Arial" w:hAnsi="Arial" w:cs="Arial"/>
          <w:i/>
          <w:iCs/>
          <w:sz w:val="20"/>
          <w:szCs w:val="20"/>
        </w:rPr>
        <w:t>Journal of accounting research</w:t>
      </w:r>
      <w:r w:rsidRPr="00C317F1">
        <w:rPr>
          <w:rFonts w:ascii="Arial" w:hAnsi="Arial" w:cs="Arial"/>
          <w:sz w:val="20"/>
          <w:szCs w:val="20"/>
        </w:rPr>
        <w:t>, </w:t>
      </w:r>
      <w:r w:rsidRPr="00C317F1">
        <w:rPr>
          <w:rFonts w:ascii="Arial" w:hAnsi="Arial" w:cs="Arial"/>
          <w:i/>
          <w:iCs/>
          <w:sz w:val="20"/>
          <w:szCs w:val="20"/>
        </w:rPr>
        <w:t>54</w:t>
      </w:r>
      <w:r w:rsidRPr="00C317F1">
        <w:rPr>
          <w:rFonts w:ascii="Arial" w:hAnsi="Arial" w:cs="Arial"/>
          <w:sz w:val="20"/>
          <w:szCs w:val="20"/>
        </w:rPr>
        <w:t>(4), 1187-1230.</w:t>
      </w:r>
    </w:p>
    <w:p w14:paraId="7BC585CB"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Lee, J., &amp; Choi, S. J. (2021). Hospital productivity after data breaches: difference-in-differences analysis. </w:t>
      </w:r>
      <w:r w:rsidRPr="00C317F1">
        <w:rPr>
          <w:rFonts w:ascii="Arial" w:hAnsi="Arial" w:cs="Arial"/>
          <w:i/>
          <w:iCs/>
          <w:sz w:val="20"/>
          <w:szCs w:val="20"/>
        </w:rPr>
        <w:t>Journal of medical Internet research</w:t>
      </w:r>
      <w:r w:rsidRPr="00C317F1">
        <w:rPr>
          <w:rFonts w:ascii="Arial" w:hAnsi="Arial" w:cs="Arial"/>
          <w:sz w:val="20"/>
          <w:szCs w:val="20"/>
        </w:rPr>
        <w:t>, </w:t>
      </w:r>
      <w:r w:rsidRPr="00C317F1">
        <w:rPr>
          <w:rFonts w:ascii="Arial" w:hAnsi="Arial" w:cs="Arial"/>
          <w:i/>
          <w:iCs/>
          <w:sz w:val="20"/>
          <w:szCs w:val="20"/>
        </w:rPr>
        <w:t>23</w:t>
      </w:r>
      <w:r w:rsidRPr="00C317F1">
        <w:rPr>
          <w:rFonts w:ascii="Arial" w:hAnsi="Arial" w:cs="Arial"/>
          <w:sz w:val="20"/>
          <w:szCs w:val="20"/>
        </w:rPr>
        <w:t>(7), e26157.</w:t>
      </w:r>
    </w:p>
    <w:p w14:paraId="63AAC6E9"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Mai, F., Tian, S., Lee, C., &amp; Ma, L. (2019). Deep learning models for bankruptcy prediction using textual disclosures. </w:t>
      </w:r>
      <w:r w:rsidRPr="00C317F1">
        <w:rPr>
          <w:rFonts w:ascii="Arial" w:hAnsi="Arial" w:cs="Arial"/>
          <w:i/>
          <w:iCs/>
          <w:sz w:val="20"/>
          <w:szCs w:val="20"/>
        </w:rPr>
        <w:t>European journal of operational research</w:t>
      </w:r>
      <w:r w:rsidRPr="00C317F1">
        <w:rPr>
          <w:rFonts w:ascii="Arial" w:hAnsi="Arial" w:cs="Arial"/>
          <w:sz w:val="20"/>
          <w:szCs w:val="20"/>
        </w:rPr>
        <w:t>, </w:t>
      </w:r>
      <w:r w:rsidRPr="00C317F1">
        <w:rPr>
          <w:rFonts w:ascii="Arial" w:hAnsi="Arial" w:cs="Arial"/>
          <w:i/>
          <w:iCs/>
          <w:sz w:val="20"/>
          <w:szCs w:val="20"/>
        </w:rPr>
        <w:t>274</w:t>
      </w:r>
      <w:r w:rsidRPr="00C317F1">
        <w:rPr>
          <w:rFonts w:ascii="Arial" w:hAnsi="Arial" w:cs="Arial"/>
          <w:sz w:val="20"/>
          <w:szCs w:val="20"/>
        </w:rPr>
        <w:t>(2), 743-758.</w:t>
      </w:r>
    </w:p>
    <w:p w14:paraId="299DD6C0"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 xml:space="preserve">Mehrabi, N., </w:t>
      </w:r>
      <w:proofErr w:type="spellStart"/>
      <w:r w:rsidRPr="00C317F1">
        <w:rPr>
          <w:rFonts w:ascii="Arial" w:hAnsi="Arial" w:cs="Arial"/>
          <w:sz w:val="20"/>
          <w:szCs w:val="20"/>
        </w:rPr>
        <w:t>Morstatter</w:t>
      </w:r>
      <w:proofErr w:type="spellEnd"/>
      <w:r w:rsidRPr="00C317F1">
        <w:rPr>
          <w:rFonts w:ascii="Arial" w:hAnsi="Arial" w:cs="Arial"/>
          <w:sz w:val="20"/>
          <w:szCs w:val="20"/>
        </w:rPr>
        <w:t>, F., Saxena, N., Lerman, K., &amp; Galstyan, A. (2021). A survey on bias and fairness in machine learning. </w:t>
      </w:r>
      <w:r w:rsidRPr="00C317F1">
        <w:rPr>
          <w:rFonts w:ascii="Arial" w:hAnsi="Arial" w:cs="Arial"/>
          <w:i/>
          <w:iCs/>
          <w:sz w:val="20"/>
          <w:szCs w:val="20"/>
        </w:rPr>
        <w:t>ACM computing surveys (CSUR)</w:t>
      </w:r>
      <w:r w:rsidRPr="00C317F1">
        <w:rPr>
          <w:rFonts w:ascii="Arial" w:hAnsi="Arial" w:cs="Arial"/>
          <w:sz w:val="20"/>
          <w:szCs w:val="20"/>
        </w:rPr>
        <w:t>, </w:t>
      </w:r>
      <w:r w:rsidRPr="00C317F1">
        <w:rPr>
          <w:rFonts w:ascii="Arial" w:hAnsi="Arial" w:cs="Arial"/>
          <w:i/>
          <w:iCs/>
          <w:sz w:val="20"/>
          <w:szCs w:val="20"/>
        </w:rPr>
        <w:t>54</w:t>
      </w:r>
      <w:r w:rsidRPr="00C317F1">
        <w:rPr>
          <w:rFonts w:ascii="Arial" w:hAnsi="Arial" w:cs="Arial"/>
          <w:sz w:val="20"/>
          <w:szCs w:val="20"/>
        </w:rPr>
        <w:t>(6), 1-35.</w:t>
      </w:r>
    </w:p>
    <w:p w14:paraId="27445220"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Mitchell, M., Wu, S., Zaldivar, A., Barnes, P., Vasserman, L., Hutchinson, B., ... &amp; Gebru, T. (2019, January). Model cards for model reporting. In </w:t>
      </w:r>
      <w:r w:rsidRPr="00C317F1">
        <w:rPr>
          <w:rFonts w:ascii="Arial" w:hAnsi="Arial" w:cs="Arial"/>
          <w:i/>
          <w:iCs/>
          <w:sz w:val="20"/>
          <w:szCs w:val="20"/>
        </w:rPr>
        <w:t>Proceedings of the conference on fairness, accountability, and transparency</w:t>
      </w:r>
      <w:r w:rsidRPr="00C317F1">
        <w:rPr>
          <w:rFonts w:ascii="Arial" w:hAnsi="Arial" w:cs="Arial"/>
          <w:sz w:val="20"/>
          <w:szCs w:val="20"/>
        </w:rPr>
        <w:t> (pp. 220-229).</w:t>
      </w:r>
    </w:p>
    <w:p w14:paraId="030F6F51"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Nousiainen, E., Ranta, M., Ylinen, M., &amp; Järvenpää, M. (2024). Using machine learning and 10</w:t>
      </w:r>
      <w:r w:rsidRPr="00C317F1">
        <w:rPr>
          <w:rFonts w:ascii="Cambria Math" w:hAnsi="Cambria Math" w:cs="Cambria Math"/>
          <w:sz w:val="20"/>
          <w:szCs w:val="20"/>
        </w:rPr>
        <w:t>‐</w:t>
      </w:r>
      <w:r w:rsidRPr="00C317F1">
        <w:rPr>
          <w:rFonts w:ascii="Arial" w:hAnsi="Arial" w:cs="Arial"/>
          <w:sz w:val="20"/>
          <w:szCs w:val="20"/>
        </w:rPr>
        <w:t>K filings to measure innovation. </w:t>
      </w:r>
      <w:r w:rsidRPr="00C317F1">
        <w:rPr>
          <w:rFonts w:ascii="Arial" w:hAnsi="Arial" w:cs="Arial"/>
          <w:i/>
          <w:iCs/>
          <w:sz w:val="20"/>
          <w:szCs w:val="20"/>
        </w:rPr>
        <w:t>Accounting &amp; Finance</w:t>
      </w:r>
      <w:r w:rsidRPr="00C317F1">
        <w:rPr>
          <w:rFonts w:ascii="Arial" w:hAnsi="Arial" w:cs="Arial"/>
          <w:sz w:val="20"/>
          <w:szCs w:val="20"/>
        </w:rPr>
        <w:t>, </w:t>
      </w:r>
      <w:r w:rsidRPr="00C317F1">
        <w:rPr>
          <w:rFonts w:ascii="Arial" w:hAnsi="Arial" w:cs="Arial"/>
          <w:i/>
          <w:iCs/>
          <w:sz w:val="20"/>
          <w:szCs w:val="20"/>
        </w:rPr>
        <w:t>64</w:t>
      </w:r>
      <w:r w:rsidRPr="00C317F1">
        <w:rPr>
          <w:rFonts w:ascii="Arial" w:hAnsi="Arial" w:cs="Arial"/>
          <w:sz w:val="20"/>
          <w:szCs w:val="20"/>
        </w:rPr>
        <w:t>(4), 3211-3239.</w:t>
      </w:r>
    </w:p>
    <w:p w14:paraId="022E3A2A" w14:textId="77777777" w:rsidR="00852E0C" w:rsidRPr="00C317F1" w:rsidRDefault="00852E0C" w:rsidP="00015FAE">
      <w:pPr>
        <w:spacing w:line="276" w:lineRule="auto"/>
        <w:jc w:val="both"/>
        <w:rPr>
          <w:rFonts w:ascii="Arial" w:hAnsi="Arial" w:cs="Arial"/>
          <w:sz w:val="20"/>
          <w:szCs w:val="20"/>
        </w:rPr>
      </w:pPr>
      <w:proofErr w:type="spellStart"/>
      <w:r w:rsidRPr="00C317F1">
        <w:rPr>
          <w:rFonts w:ascii="Arial" w:hAnsi="Arial" w:cs="Arial"/>
          <w:sz w:val="20"/>
          <w:szCs w:val="20"/>
        </w:rPr>
        <w:t>Rainio</w:t>
      </w:r>
      <w:proofErr w:type="spellEnd"/>
      <w:r w:rsidRPr="00C317F1">
        <w:rPr>
          <w:rFonts w:ascii="Arial" w:hAnsi="Arial" w:cs="Arial"/>
          <w:sz w:val="20"/>
          <w:szCs w:val="20"/>
        </w:rPr>
        <w:t xml:space="preserve">, O., </w:t>
      </w:r>
      <w:proofErr w:type="spellStart"/>
      <w:r w:rsidRPr="00C317F1">
        <w:rPr>
          <w:rFonts w:ascii="Arial" w:hAnsi="Arial" w:cs="Arial"/>
          <w:sz w:val="20"/>
          <w:szCs w:val="20"/>
        </w:rPr>
        <w:t>Teuho</w:t>
      </w:r>
      <w:proofErr w:type="spellEnd"/>
      <w:r w:rsidRPr="00C317F1">
        <w:rPr>
          <w:rFonts w:ascii="Arial" w:hAnsi="Arial" w:cs="Arial"/>
          <w:sz w:val="20"/>
          <w:szCs w:val="20"/>
        </w:rPr>
        <w:t xml:space="preserve">, J., &amp; </w:t>
      </w:r>
      <w:proofErr w:type="spellStart"/>
      <w:r w:rsidRPr="00C317F1">
        <w:rPr>
          <w:rFonts w:ascii="Arial" w:hAnsi="Arial" w:cs="Arial"/>
          <w:sz w:val="20"/>
          <w:szCs w:val="20"/>
        </w:rPr>
        <w:t>Klén</w:t>
      </w:r>
      <w:proofErr w:type="spellEnd"/>
      <w:r w:rsidRPr="00C317F1">
        <w:rPr>
          <w:rFonts w:ascii="Arial" w:hAnsi="Arial" w:cs="Arial"/>
          <w:sz w:val="20"/>
          <w:szCs w:val="20"/>
        </w:rPr>
        <w:t>, R. (2024). Evaluation metrics and statistical tests for machine learning. </w:t>
      </w:r>
      <w:r w:rsidRPr="00C317F1">
        <w:rPr>
          <w:rFonts w:ascii="Arial" w:hAnsi="Arial" w:cs="Arial"/>
          <w:i/>
          <w:iCs/>
          <w:sz w:val="20"/>
          <w:szCs w:val="20"/>
        </w:rPr>
        <w:t>Scientific Reports</w:t>
      </w:r>
      <w:r w:rsidRPr="00C317F1">
        <w:rPr>
          <w:rFonts w:ascii="Arial" w:hAnsi="Arial" w:cs="Arial"/>
          <w:sz w:val="20"/>
          <w:szCs w:val="20"/>
        </w:rPr>
        <w:t>, </w:t>
      </w:r>
      <w:r w:rsidRPr="00C317F1">
        <w:rPr>
          <w:rFonts w:ascii="Arial" w:hAnsi="Arial" w:cs="Arial"/>
          <w:i/>
          <w:iCs/>
          <w:sz w:val="20"/>
          <w:szCs w:val="20"/>
        </w:rPr>
        <w:t>14</w:t>
      </w:r>
      <w:r w:rsidRPr="00C317F1">
        <w:rPr>
          <w:rFonts w:ascii="Arial" w:hAnsi="Arial" w:cs="Arial"/>
          <w:sz w:val="20"/>
          <w:szCs w:val="20"/>
        </w:rPr>
        <w:t>(1), 6086.</w:t>
      </w:r>
    </w:p>
    <w:p w14:paraId="427A1887"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Raji, I. D., Smart, A., White, R. N., Mitchell, M., Gebru, T., Hutchinson, B., ... &amp; Barnes, P. (2020, January). Closing the AI accountability gap: Defining an end-to-end framework for internal algorithmic auditing. In </w:t>
      </w:r>
      <w:r w:rsidRPr="00C317F1">
        <w:rPr>
          <w:rFonts w:ascii="Arial" w:hAnsi="Arial" w:cs="Arial"/>
          <w:i/>
          <w:iCs/>
          <w:sz w:val="20"/>
          <w:szCs w:val="20"/>
        </w:rPr>
        <w:t>Proceedings of the 2020 conference on fairness, accountability, and transparency</w:t>
      </w:r>
      <w:r w:rsidRPr="00C317F1">
        <w:rPr>
          <w:rFonts w:ascii="Arial" w:hAnsi="Arial" w:cs="Arial"/>
          <w:sz w:val="20"/>
          <w:szCs w:val="20"/>
        </w:rPr>
        <w:t> (pp. 33-44).</w:t>
      </w:r>
    </w:p>
    <w:p w14:paraId="610BD784" w14:textId="77777777" w:rsidR="00852E0C" w:rsidRPr="00C317F1" w:rsidRDefault="00852E0C" w:rsidP="00015FAE">
      <w:pPr>
        <w:spacing w:line="276" w:lineRule="auto"/>
        <w:jc w:val="both"/>
        <w:rPr>
          <w:rFonts w:ascii="Arial" w:hAnsi="Arial" w:cs="Arial"/>
          <w:sz w:val="20"/>
          <w:szCs w:val="20"/>
        </w:rPr>
      </w:pPr>
      <w:proofErr w:type="spellStart"/>
      <w:r w:rsidRPr="00C317F1">
        <w:rPr>
          <w:rFonts w:ascii="Arial" w:hAnsi="Arial" w:cs="Arial"/>
          <w:sz w:val="20"/>
          <w:szCs w:val="20"/>
        </w:rPr>
        <w:t>Rokoss</w:t>
      </w:r>
      <w:proofErr w:type="spellEnd"/>
      <w:r w:rsidRPr="00C317F1">
        <w:rPr>
          <w:rFonts w:ascii="Arial" w:hAnsi="Arial" w:cs="Arial"/>
          <w:sz w:val="20"/>
          <w:szCs w:val="20"/>
        </w:rPr>
        <w:t xml:space="preserve">, A., Syberg, M., Tomidei, L., </w:t>
      </w:r>
      <w:proofErr w:type="spellStart"/>
      <w:r w:rsidRPr="00C317F1">
        <w:rPr>
          <w:rFonts w:ascii="Arial" w:hAnsi="Arial" w:cs="Arial"/>
          <w:sz w:val="20"/>
          <w:szCs w:val="20"/>
        </w:rPr>
        <w:t>Hülsing</w:t>
      </w:r>
      <w:proofErr w:type="spellEnd"/>
      <w:r w:rsidRPr="00C317F1">
        <w:rPr>
          <w:rFonts w:ascii="Arial" w:hAnsi="Arial" w:cs="Arial"/>
          <w:sz w:val="20"/>
          <w:szCs w:val="20"/>
        </w:rPr>
        <w:t xml:space="preserve">, C., </w:t>
      </w:r>
      <w:proofErr w:type="spellStart"/>
      <w:r w:rsidRPr="00C317F1">
        <w:rPr>
          <w:rFonts w:ascii="Arial" w:hAnsi="Arial" w:cs="Arial"/>
          <w:sz w:val="20"/>
          <w:szCs w:val="20"/>
        </w:rPr>
        <w:t>Deuse</w:t>
      </w:r>
      <w:proofErr w:type="spellEnd"/>
      <w:r w:rsidRPr="00C317F1">
        <w:rPr>
          <w:rFonts w:ascii="Arial" w:hAnsi="Arial" w:cs="Arial"/>
          <w:sz w:val="20"/>
          <w:szCs w:val="20"/>
        </w:rPr>
        <w:t>, J., &amp; Schmidt, M. (2024). Case study on delivery time determination using a machine learning approach in small batch production companies. </w:t>
      </w:r>
      <w:r w:rsidRPr="00C317F1">
        <w:rPr>
          <w:rFonts w:ascii="Arial" w:hAnsi="Arial" w:cs="Arial"/>
          <w:i/>
          <w:iCs/>
          <w:sz w:val="20"/>
          <w:szCs w:val="20"/>
        </w:rPr>
        <w:t>Journal of intelligent Manufacturing</w:t>
      </w:r>
      <w:r w:rsidRPr="00C317F1">
        <w:rPr>
          <w:rFonts w:ascii="Arial" w:hAnsi="Arial" w:cs="Arial"/>
          <w:sz w:val="20"/>
          <w:szCs w:val="20"/>
        </w:rPr>
        <w:t>, </w:t>
      </w:r>
      <w:r w:rsidRPr="00C317F1">
        <w:rPr>
          <w:rFonts w:ascii="Arial" w:hAnsi="Arial" w:cs="Arial"/>
          <w:i/>
          <w:iCs/>
          <w:sz w:val="20"/>
          <w:szCs w:val="20"/>
        </w:rPr>
        <w:t>35</w:t>
      </w:r>
      <w:r w:rsidRPr="00C317F1">
        <w:rPr>
          <w:rFonts w:ascii="Arial" w:hAnsi="Arial" w:cs="Arial"/>
          <w:sz w:val="20"/>
          <w:szCs w:val="20"/>
        </w:rPr>
        <w:t>(8), 3937-3958.</w:t>
      </w:r>
    </w:p>
    <w:p w14:paraId="1E57CB68" w14:textId="77777777" w:rsidR="00852E0C" w:rsidRPr="00C317F1" w:rsidRDefault="00852E0C" w:rsidP="00015FAE">
      <w:pPr>
        <w:spacing w:line="276" w:lineRule="auto"/>
        <w:jc w:val="both"/>
        <w:rPr>
          <w:rFonts w:ascii="Arial" w:hAnsi="Arial" w:cs="Arial"/>
          <w:sz w:val="20"/>
          <w:szCs w:val="20"/>
        </w:rPr>
      </w:pPr>
      <w:proofErr w:type="spellStart"/>
      <w:r w:rsidRPr="00C317F1">
        <w:rPr>
          <w:rFonts w:ascii="Arial" w:hAnsi="Arial" w:cs="Arial"/>
          <w:sz w:val="20"/>
          <w:szCs w:val="20"/>
        </w:rPr>
        <w:t>Rejeb</w:t>
      </w:r>
      <w:proofErr w:type="spellEnd"/>
      <w:r w:rsidRPr="00C317F1">
        <w:rPr>
          <w:rFonts w:ascii="Arial" w:hAnsi="Arial" w:cs="Arial"/>
          <w:sz w:val="20"/>
          <w:szCs w:val="20"/>
        </w:rPr>
        <w:t xml:space="preserve">, A., </w:t>
      </w:r>
      <w:proofErr w:type="spellStart"/>
      <w:r w:rsidRPr="00C317F1">
        <w:rPr>
          <w:rFonts w:ascii="Arial" w:hAnsi="Arial" w:cs="Arial"/>
          <w:sz w:val="20"/>
          <w:szCs w:val="20"/>
        </w:rPr>
        <w:t>Simske</w:t>
      </w:r>
      <w:proofErr w:type="spellEnd"/>
      <w:r w:rsidRPr="00C317F1">
        <w:rPr>
          <w:rFonts w:ascii="Arial" w:hAnsi="Arial" w:cs="Arial"/>
          <w:sz w:val="20"/>
          <w:szCs w:val="20"/>
        </w:rPr>
        <w:t xml:space="preserve">, S., </w:t>
      </w:r>
      <w:proofErr w:type="spellStart"/>
      <w:r w:rsidRPr="00C317F1">
        <w:rPr>
          <w:rFonts w:ascii="Arial" w:hAnsi="Arial" w:cs="Arial"/>
          <w:sz w:val="20"/>
          <w:szCs w:val="20"/>
        </w:rPr>
        <w:t>Rejeb</w:t>
      </w:r>
      <w:proofErr w:type="spellEnd"/>
      <w:r w:rsidRPr="00C317F1">
        <w:rPr>
          <w:rFonts w:ascii="Arial" w:hAnsi="Arial" w:cs="Arial"/>
          <w:sz w:val="20"/>
          <w:szCs w:val="20"/>
        </w:rPr>
        <w:t xml:space="preserve">, K., </w:t>
      </w:r>
      <w:proofErr w:type="spellStart"/>
      <w:r w:rsidRPr="00C317F1">
        <w:rPr>
          <w:rFonts w:ascii="Arial" w:hAnsi="Arial" w:cs="Arial"/>
          <w:sz w:val="20"/>
          <w:szCs w:val="20"/>
        </w:rPr>
        <w:t>Treiblmaier</w:t>
      </w:r>
      <w:proofErr w:type="spellEnd"/>
      <w:r w:rsidRPr="00C317F1">
        <w:rPr>
          <w:rFonts w:ascii="Arial" w:hAnsi="Arial" w:cs="Arial"/>
          <w:sz w:val="20"/>
          <w:szCs w:val="20"/>
        </w:rPr>
        <w:t xml:space="preserve">, H., &amp; </w:t>
      </w:r>
      <w:proofErr w:type="spellStart"/>
      <w:r w:rsidRPr="00C317F1">
        <w:rPr>
          <w:rFonts w:ascii="Arial" w:hAnsi="Arial" w:cs="Arial"/>
          <w:sz w:val="20"/>
          <w:szCs w:val="20"/>
        </w:rPr>
        <w:t>Zailani</w:t>
      </w:r>
      <w:proofErr w:type="spellEnd"/>
      <w:r w:rsidRPr="00C317F1">
        <w:rPr>
          <w:rFonts w:ascii="Arial" w:hAnsi="Arial" w:cs="Arial"/>
          <w:sz w:val="20"/>
          <w:szCs w:val="20"/>
        </w:rPr>
        <w:t>, S. (2020). Internet of Things research in supply chain management and logistics: A bibliometric analysis. </w:t>
      </w:r>
      <w:r w:rsidRPr="00C317F1">
        <w:rPr>
          <w:rFonts w:ascii="Arial" w:hAnsi="Arial" w:cs="Arial"/>
          <w:i/>
          <w:iCs/>
          <w:sz w:val="20"/>
          <w:szCs w:val="20"/>
        </w:rPr>
        <w:t>Internet of Things</w:t>
      </w:r>
      <w:r w:rsidRPr="00C317F1">
        <w:rPr>
          <w:rFonts w:ascii="Arial" w:hAnsi="Arial" w:cs="Arial"/>
          <w:sz w:val="20"/>
          <w:szCs w:val="20"/>
        </w:rPr>
        <w:t>, </w:t>
      </w:r>
      <w:r w:rsidRPr="00C317F1">
        <w:rPr>
          <w:rFonts w:ascii="Arial" w:hAnsi="Arial" w:cs="Arial"/>
          <w:i/>
          <w:iCs/>
          <w:sz w:val="20"/>
          <w:szCs w:val="20"/>
        </w:rPr>
        <w:t>12</w:t>
      </w:r>
      <w:r w:rsidRPr="00C317F1">
        <w:rPr>
          <w:rFonts w:ascii="Arial" w:hAnsi="Arial" w:cs="Arial"/>
          <w:sz w:val="20"/>
          <w:szCs w:val="20"/>
        </w:rPr>
        <w:t>, 100318.</w:t>
      </w:r>
    </w:p>
    <w:p w14:paraId="29231033"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Rudin, C. (2019). Stop explaining black box machine learning models for high stakes decisions and use interpretable models instead. </w:t>
      </w:r>
      <w:r w:rsidRPr="00C317F1">
        <w:rPr>
          <w:rFonts w:ascii="Arial" w:hAnsi="Arial" w:cs="Arial"/>
          <w:i/>
          <w:iCs/>
          <w:sz w:val="20"/>
          <w:szCs w:val="20"/>
        </w:rPr>
        <w:t>Nature machine intelligence</w:t>
      </w:r>
      <w:r w:rsidRPr="00C317F1">
        <w:rPr>
          <w:rFonts w:ascii="Arial" w:hAnsi="Arial" w:cs="Arial"/>
          <w:sz w:val="20"/>
          <w:szCs w:val="20"/>
        </w:rPr>
        <w:t>, </w:t>
      </w:r>
      <w:r w:rsidRPr="00C317F1">
        <w:rPr>
          <w:rFonts w:ascii="Arial" w:hAnsi="Arial" w:cs="Arial"/>
          <w:i/>
          <w:iCs/>
          <w:sz w:val="20"/>
          <w:szCs w:val="20"/>
        </w:rPr>
        <w:t>1</w:t>
      </w:r>
      <w:r w:rsidRPr="00C317F1">
        <w:rPr>
          <w:rFonts w:ascii="Arial" w:hAnsi="Arial" w:cs="Arial"/>
          <w:sz w:val="20"/>
          <w:szCs w:val="20"/>
        </w:rPr>
        <w:t>(5), 206-215.</w:t>
      </w:r>
    </w:p>
    <w:p w14:paraId="41314FF1"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Shahsavari, M., Hussain, O. K., Saberi, M., &amp; Sharma, P. (2024). Event identification for supply chain risk management through news analysis by using large language models. </w:t>
      </w:r>
      <w:r w:rsidRPr="00C317F1">
        <w:rPr>
          <w:rFonts w:ascii="Arial" w:hAnsi="Arial" w:cs="Arial"/>
          <w:i/>
          <w:iCs/>
          <w:sz w:val="20"/>
          <w:szCs w:val="20"/>
        </w:rPr>
        <w:t xml:space="preserve">The Review of </w:t>
      </w:r>
      <w:proofErr w:type="spellStart"/>
      <w:r w:rsidRPr="00C317F1">
        <w:rPr>
          <w:rFonts w:ascii="Arial" w:hAnsi="Arial" w:cs="Arial"/>
          <w:i/>
          <w:iCs/>
          <w:sz w:val="20"/>
          <w:szCs w:val="20"/>
        </w:rPr>
        <w:t>Socionetwork</w:t>
      </w:r>
      <w:proofErr w:type="spellEnd"/>
      <w:r w:rsidRPr="00C317F1">
        <w:rPr>
          <w:rFonts w:ascii="Arial" w:hAnsi="Arial" w:cs="Arial"/>
          <w:i/>
          <w:iCs/>
          <w:sz w:val="20"/>
          <w:szCs w:val="20"/>
        </w:rPr>
        <w:t xml:space="preserve"> Strategies</w:t>
      </w:r>
      <w:r w:rsidRPr="00C317F1">
        <w:rPr>
          <w:rFonts w:ascii="Arial" w:hAnsi="Arial" w:cs="Arial"/>
          <w:sz w:val="20"/>
          <w:szCs w:val="20"/>
        </w:rPr>
        <w:t>, </w:t>
      </w:r>
      <w:r w:rsidRPr="00C317F1">
        <w:rPr>
          <w:rFonts w:ascii="Arial" w:hAnsi="Arial" w:cs="Arial"/>
          <w:i/>
          <w:iCs/>
          <w:sz w:val="20"/>
          <w:szCs w:val="20"/>
        </w:rPr>
        <w:t>18</w:t>
      </w:r>
      <w:r w:rsidRPr="00C317F1">
        <w:rPr>
          <w:rFonts w:ascii="Arial" w:hAnsi="Arial" w:cs="Arial"/>
          <w:sz w:val="20"/>
          <w:szCs w:val="20"/>
        </w:rPr>
        <w:t>(2), 255-278.</w:t>
      </w:r>
    </w:p>
    <w:p w14:paraId="1BD49B1B"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Siddiqui, H. U. R., de Abajo, B. S., de la Torre Díez, I., Rustam, F., Raza, A., Atta, S., &amp; Ashraf, I. (2023). Predicting bankruptcy of firms using earnings call data and transfer learning. </w:t>
      </w:r>
      <w:proofErr w:type="spellStart"/>
      <w:r w:rsidRPr="00C317F1">
        <w:rPr>
          <w:rFonts w:ascii="Arial" w:hAnsi="Arial" w:cs="Arial"/>
          <w:i/>
          <w:iCs/>
          <w:sz w:val="20"/>
          <w:szCs w:val="20"/>
        </w:rPr>
        <w:t>PeerJ</w:t>
      </w:r>
      <w:proofErr w:type="spellEnd"/>
      <w:r w:rsidRPr="00C317F1">
        <w:rPr>
          <w:rFonts w:ascii="Arial" w:hAnsi="Arial" w:cs="Arial"/>
          <w:i/>
          <w:iCs/>
          <w:sz w:val="20"/>
          <w:szCs w:val="20"/>
        </w:rPr>
        <w:t xml:space="preserve"> Computer Science</w:t>
      </w:r>
      <w:r w:rsidRPr="00C317F1">
        <w:rPr>
          <w:rFonts w:ascii="Arial" w:hAnsi="Arial" w:cs="Arial"/>
          <w:sz w:val="20"/>
          <w:szCs w:val="20"/>
        </w:rPr>
        <w:t>, </w:t>
      </w:r>
      <w:r w:rsidRPr="00C317F1">
        <w:rPr>
          <w:rFonts w:ascii="Arial" w:hAnsi="Arial" w:cs="Arial"/>
          <w:i/>
          <w:iCs/>
          <w:sz w:val="20"/>
          <w:szCs w:val="20"/>
        </w:rPr>
        <w:t>9</w:t>
      </w:r>
      <w:r w:rsidRPr="00C317F1">
        <w:rPr>
          <w:rFonts w:ascii="Arial" w:hAnsi="Arial" w:cs="Arial"/>
          <w:sz w:val="20"/>
          <w:szCs w:val="20"/>
        </w:rPr>
        <w:t>, e1134.</w:t>
      </w:r>
    </w:p>
    <w:p w14:paraId="464F2A62"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 xml:space="preserve">Simon Caton and Christian Haas. 2024. Fairness in Machine Learning: A Survey. ACM Comput. </w:t>
      </w:r>
      <w:proofErr w:type="spellStart"/>
      <w:r w:rsidRPr="00C317F1">
        <w:rPr>
          <w:rFonts w:ascii="Arial" w:hAnsi="Arial" w:cs="Arial"/>
          <w:sz w:val="20"/>
          <w:szCs w:val="20"/>
        </w:rPr>
        <w:t>Surv</w:t>
      </w:r>
      <w:proofErr w:type="spellEnd"/>
      <w:r w:rsidRPr="00C317F1">
        <w:rPr>
          <w:rFonts w:ascii="Arial" w:hAnsi="Arial" w:cs="Arial"/>
          <w:sz w:val="20"/>
          <w:szCs w:val="20"/>
        </w:rPr>
        <w:t xml:space="preserve">. 56, 7, Article 166 (July 2024), 38 pages. </w:t>
      </w:r>
      <w:hyperlink r:id="rId14" w:history="1">
        <w:r w:rsidRPr="00C317F1">
          <w:rPr>
            <w:rStyle w:val="Hyperlink"/>
            <w:rFonts w:ascii="Arial" w:hAnsi="Arial" w:cs="Arial"/>
            <w:sz w:val="20"/>
            <w:szCs w:val="20"/>
          </w:rPr>
          <w:t>https://doi.org/10.1145/3616865</w:t>
        </w:r>
      </w:hyperlink>
    </w:p>
    <w:p w14:paraId="6619C7B1" w14:textId="77777777" w:rsidR="00852E0C" w:rsidRPr="00C317F1" w:rsidRDefault="00852E0C" w:rsidP="00015FAE">
      <w:pPr>
        <w:spacing w:line="276" w:lineRule="auto"/>
        <w:jc w:val="both"/>
        <w:rPr>
          <w:rFonts w:ascii="Arial" w:hAnsi="Arial" w:cs="Arial"/>
          <w:sz w:val="20"/>
          <w:szCs w:val="20"/>
        </w:rPr>
      </w:pPr>
      <w:proofErr w:type="spellStart"/>
      <w:r w:rsidRPr="00C317F1">
        <w:rPr>
          <w:rFonts w:ascii="Arial" w:hAnsi="Arial" w:cs="Arial"/>
          <w:sz w:val="20"/>
          <w:szCs w:val="20"/>
        </w:rPr>
        <w:lastRenderedPageBreak/>
        <w:t>Slivinskis</w:t>
      </w:r>
      <w:proofErr w:type="spellEnd"/>
      <w:r w:rsidRPr="00C317F1">
        <w:rPr>
          <w:rFonts w:ascii="Arial" w:hAnsi="Arial" w:cs="Arial"/>
          <w:sz w:val="20"/>
          <w:szCs w:val="20"/>
        </w:rPr>
        <w:t xml:space="preserve">, V. B., </w:t>
      </w:r>
      <w:proofErr w:type="spellStart"/>
      <w:r w:rsidRPr="00C317F1">
        <w:rPr>
          <w:rFonts w:ascii="Arial" w:hAnsi="Arial" w:cs="Arial"/>
          <w:sz w:val="20"/>
          <w:szCs w:val="20"/>
        </w:rPr>
        <w:t>Maluli</w:t>
      </w:r>
      <w:proofErr w:type="spellEnd"/>
      <w:r w:rsidRPr="00C317F1">
        <w:rPr>
          <w:rFonts w:ascii="Arial" w:hAnsi="Arial" w:cs="Arial"/>
          <w:sz w:val="20"/>
          <w:szCs w:val="20"/>
        </w:rPr>
        <w:t>, I. A., &amp; Broder, J. S. (2024). A Machine Learning Algorithm to Predict Medical Device Recall by the Food and Drug Administration. </w:t>
      </w:r>
      <w:r w:rsidRPr="00C317F1">
        <w:rPr>
          <w:rFonts w:ascii="Arial" w:hAnsi="Arial" w:cs="Arial"/>
          <w:i/>
          <w:iCs/>
          <w:sz w:val="20"/>
          <w:szCs w:val="20"/>
        </w:rPr>
        <w:t>Western Journal of Emergency Medicine</w:t>
      </w:r>
      <w:r w:rsidRPr="00C317F1">
        <w:rPr>
          <w:rFonts w:ascii="Arial" w:hAnsi="Arial" w:cs="Arial"/>
          <w:sz w:val="20"/>
          <w:szCs w:val="20"/>
        </w:rPr>
        <w:t>, </w:t>
      </w:r>
      <w:r w:rsidRPr="00C317F1">
        <w:rPr>
          <w:rFonts w:ascii="Arial" w:hAnsi="Arial" w:cs="Arial"/>
          <w:i/>
          <w:iCs/>
          <w:sz w:val="20"/>
          <w:szCs w:val="20"/>
        </w:rPr>
        <w:t>26</w:t>
      </w:r>
      <w:r w:rsidRPr="00C317F1">
        <w:rPr>
          <w:rFonts w:ascii="Arial" w:hAnsi="Arial" w:cs="Arial"/>
          <w:sz w:val="20"/>
          <w:szCs w:val="20"/>
        </w:rPr>
        <w:t>(1), 161.</w:t>
      </w:r>
    </w:p>
    <w:p w14:paraId="060EC631" w14:textId="77777777" w:rsidR="00852E0C" w:rsidRPr="00C317F1" w:rsidRDefault="00852E0C" w:rsidP="00015FAE">
      <w:pPr>
        <w:spacing w:line="276" w:lineRule="auto"/>
        <w:jc w:val="both"/>
        <w:rPr>
          <w:rFonts w:ascii="Arial" w:hAnsi="Arial" w:cs="Arial"/>
          <w:sz w:val="20"/>
          <w:szCs w:val="20"/>
        </w:rPr>
      </w:pPr>
      <w:proofErr w:type="spellStart"/>
      <w:r w:rsidRPr="00C317F1">
        <w:rPr>
          <w:rFonts w:ascii="Arial" w:hAnsi="Arial" w:cs="Arial"/>
          <w:sz w:val="20"/>
          <w:szCs w:val="20"/>
        </w:rPr>
        <w:t>Toorajipour</w:t>
      </w:r>
      <w:proofErr w:type="spellEnd"/>
      <w:r w:rsidRPr="00C317F1">
        <w:rPr>
          <w:rFonts w:ascii="Arial" w:hAnsi="Arial" w:cs="Arial"/>
          <w:sz w:val="20"/>
          <w:szCs w:val="20"/>
        </w:rPr>
        <w:t xml:space="preserve">, R., </w:t>
      </w:r>
      <w:proofErr w:type="spellStart"/>
      <w:r w:rsidRPr="00C317F1">
        <w:rPr>
          <w:rFonts w:ascii="Arial" w:hAnsi="Arial" w:cs="Arial"/>
          <w:sz w:val="20"/>
          <w:szCs w:val="20"/>
        </w:rPr>
        <w:t>Sohrabpour</w:t>
      </w:r>
      <w:proofErr w:type="spellEnd"/>
      <w:r w:rsidRPr="00C317F1">
        <w:rPr>
          <w:rFonts w:ascii="Arial" w:hAnsi="Arial" w:cs="Arial"/>
          <w:sz w:val="20"/>
          <w:szCs w:val="20"/>
        </w:rPr>
        <w:t xml:space="preserve">, V., </w:t>
      </w:r>
      <w:proofErr w:type="spellStart"/>
      <w:r w:rsidRPr="00C317F1">
        <w:rPr>
          <w:rFonts w:ascii="Arial" w:hAnsi="Arial" w:cs="Arial"/>
          <w:sz w:val="20"/>
          <w:szCs w:val="20"/>
        </w:rPr>
        <w:t>Nazarpour</w:t>
      </w:r>
      <w:proofErr w:type="spellEnd"/>
      <w:r w:rsidRPr="00C317F1">
        <w:rPr>
          <w:rFonts w:ascii="Arial" w:hAnsi="Arial" w:cs="Arial"/>
          <w:sz w:val="20"/>
          <w:szCs w:val="20"/>
        </w:rPr>
        <w:t xml:space="preserve">, A., </w:t>
      </w:r>
      <w:proofErr w:type="spellStart"/>
      <w:r w:rsidRPr="00C317F1">
        <w:rPr>
          <w:rFonts w:ascii="Arial" w:hAnsi="Arial" w:cs="Arial"/>
          <w:sz w:val="20"/>
          <w:szCs w:val="20"/>
        </w:rPr>
        <w:t>Oghazi</w:t>
      </w:r>
      <w:proofErr w:type="spellEnd"/>
      <w:r w:rsidRPr="00C317F1">
        <w:rPr>
          <w:rFonts w:ascii="Arial" w:hAnsi="Arial" w:cs="Arial"/>
          <w:sz w:val="20"/>
          <w:szCs w:val="20"/>
        </w:rPr>
        <w:t>, P., &amp; Fischl, M. (2021). Artificial intelligence in supply chain management: A systematic literature review. </w:t>
      </w:r>
      <w:r w:rsidRPr="00C317F1">
        <w:rPr>
          <w:rFonts w:ascii="Arial" w:hAnsi="Arial" w:cs="Arial"/>
          <w:i/>
          <w:iCs/>
          <w:sz w:val="20"/>
          <w:szCs w:val="20"/>
        </w:rPr>
        <w:t>Journal of Business Research</w:t>
      </w:r>
      <w:r w:rsidRPr="00C317F1">
        <w:rPr>
          <w:rFonts w:ascii="Arial" w:hAnsi="Arial" w:cs="Arial"/>
          <w:sz w:val="20"/>
          <w:szCs w:val="20"/>
        </w:rPr>
        <w:t>, </w:t>
      </w:r>
      <w:r w:rsidRPr="00C317F1">
        <w:rPr>
          <w:rFonts w:ascii="Arial" w:hAnsi="Arial" w:cs="Arial"/>
          <w:i/>
          <w:iCs/>
          <w:sz w:val="20"/>
          <w:szCs w:val="20"/>
        </w:rPr>
        <w:t>122</w:t>
      </w:r>
      <w:r w:rsidRPr="00C317F1">
        <w:rPr>
          <w:rFonts w:ascii="Arial" w:hAnsi="Arial" w:cs="Arial"/>
          <w:sz w:val="20"/>
          <w:szCs w:val="20"/>
        </w:rPr>
        <w:t>, 502-517.</w:t>
      </w:r>
    </w:p>
    <w:p w14:paraId="7FD6070F"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Wang, G., Gunasekaran, A., Ngai, E. W., &amp; Papadopoulos, T. (2016). Big data analytics in logistics and supply chain management: Certain investigations for research and applications. </w:t>
      </w:r>
      <w:r w:rsidRPr="00C317F1">
        <w:rPr>
          <w:rFonts w:ascii="Arial" w:hAnsi="Arial" w:cs="Arial"/>
          <w:i/>
          <w:iCs/>
          <w:sz w:val="20"/>
          <w:szCs w:val="20"/>
        </w:rPr>
        <w:t>International journal of production economics</w:t>
      </w:r>
      <w:r w:rsidRPr="00C317F1">
        <w:rPr>
          <w:rFonts w:ascii="Arial" w:hAnsi="Arial" w:cs="Arial"/>
          <w:sz w:val="20"/>
          <w:szCs w:val="20"/>
        </w:rPr>
        <w:t>, </w:t>
      </w:r>
      <w:r w:rsidRPr="00C317F1">
        <w:rPr>
          <w:rFonts w:ascii="Arial" w:hAnsi="Arial" w:cs="Arial"/>
          <w:i/>
          <w:iCs/>
          <w:sz w:val="20"/>
          <w:szCs w:val="20"/>
        </w:rPr>
        <w:t>176</w:t>
      </w:r>
      <w:r w:rsidRPr="00C317F1">
        <w:rPr>
          <w:rFonts w:ascii="Arial" w:hAnsi="Arial" w:cs="Arial"/>
          <w:sz w:val="20"/>
          <w:szCs w:val="20"/>
        </w:rPr>
        <w:t>, 98-110.</w:t>
      </w:r>
    </w:p>
    <w:p w14:paraId="50D9D2AB" w14:textId="77777777" w:rsidR="00852E0C"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Wilhelm, M. M., Blome, C., Bhakoo, V., &amp; Paulraj, A. (2016). Sustainability in multi-tier supply chains: Understanding the double agency role of the first-tier supplier. </w:t>
      </w:r>
      <w:r w:rsidRPr="00C317F1">
        <w:rPr>
          <w:rFonts w:ascii="Arial" w:hAnsi="Arial" w:cs="Arial"/>
          <w:i/>
          <w:iCs/>
          <w:sz w:val="20"/>
          <w:szCs w:val="20"/>
        </w:rPr>
        <w:t>Journal of operations management</w:t>
      </w:r>
      <w:r w:rsidRPr="00C317F1">
        <w:rPr>
          <w:rFonts w:ascii="Arial" w:hAnsi="Arial" w:cs="Arial"/>
          <w:sz w:val="20"/>
          <w:szCs w:val="20"/>
        </w:rPr>
        <w:t>, </w:t>
      </w:r>
      <w:r w:rsidRPr="00C317F1">
        <w:rPr>
          <w:rFonts w:ascii="Arial" w:hAnsi="Arial" w:cs="Arial"/>
          <w:i/>
          <w:iCs/>
          <w:sz w:val="20"/>
          <w:szCs w:val="20"/>
        </w:rPr>
        <w:t>41</w:t>
      </w:r>
      <w:r w:rsidRPr="00C317F1">
        <w:rPr>
          <w:rFonts w:ascii="Arial" w:hAnsi="Arial" w:cs="Arial"/>
          <w:sz w:val="20"/>
          <w:szCs w:val="20"/>
        </w:rPr>
        <w:t>, 42-60.</w:t>
      </w:r>
    </w:p>
    <w:p w14:paraId="4F73CCA7" w14:textId="77777777" w:rsidR="00852E0C" w:rsidRPr="00C317F1" w:rsidRDefault="00852E0C" w:rsidP="00015FAE">
      <w:pPr>
        <w:spacing w:line="276" w:lineRule="auto"/>
        <w:jc w:val="both"/>
        <w:rPr>
          <w:rFonts w:ascii="Arial" w:hAnsi="Arial" w:cs="Arial"/>
          <w:sz w:val="20"/>
          <w:szCs w:val="20"/>
        </w:rPr>
      </w:pPr>
      <w:proofErr w:type="spellStart"/>
      <w:r w:rsidRPr="00C317F1">
        <w:rPr>
          <w:rFonts w:ascii="Arial" w:hAnsi="Arial" w:cs="Arial"/>
          <w:sz w:val="20"/>
          <w:szCs w:val="20"/>
        </w:rPr>
        <w:t>Wowak</w:t>
      </w:r>
      <w:proofErr w:type="spellEnd"/>
      <w:r w:rsidRPr="00C317F1">
        <w:rPr>
          <w:rFonts w:ascii="Arial" w:hAnsi="Arial" w:cs="Arial"/>
          <w:sz w:val="20"/>
          <w:szCs w:val="20"/>
        </w:rPr>
        <w:t>, K. D., Craighead, C. W., &amp; Ketchen Jr, D. J. (2016). Tracing bad products in supply chains: The roles of temporality, supply chain permeation, and product information ambiguity. </w:t>
      </w:r>
      <w:r w:rsidRPr="00C317F1">
        <w:rPr>
          <w:rFonts w:ascii="Arial" w:hAnsi="Arial" w:cs="Arial"/>
          <w:i/>
          <w:iCs/>
          <w:sz w:val="20"/>
          <w:szCs w:val="20"/>
        </w:rPr>
        <w:t>Journal of Business Logistics</w:t>
      </w:r>
      <w:r w:rsidRPr="00C317F1">
        <w:rPr>
          <w:rFonts w:ascii="Arial" w:hAnsi="Arial" w:cs="Arial"/>
          <w:sz w:val="20"/>
          <w:szCs w:val="20"/>
        </w:rPr>
        <w:t>, </w:t>
      </w:r>
      <w:r w:rsidRPr="00C317F1">
        <w:rPr>
          <w:rFonts w:ascii="Arial" w:hAnsi="Arial" w:cs="Arial"/>
          <w:i/>
          <w:iCs/>
          <w:sz w:val="20"/>
          <w:szCs w:val="20"/>
        </w:rPr>
        <w:t>37</w:t>
      </w:r>
      <w:r w:rsidRPr="00C317F1">
        <w:rPr>
          <w:rFonts w:ascii="Arial" w:hAnsi="Arial" w:cs="Arial"/>
          <w:sz w:val="20"/>
          <w:szCs w:val="20"/>
        </w:rPr>
        <w:t>(2), 132-151.</w:t>
      </w:r>
    </w:p>
    <w:p w14:paraId="4746C250" w14:textId="1DECFF6D" w:rsidR="005A3B5F" w:rsidRPr="00C317F1" w:rsidRDefault="00852E0C" w:rsidP="00015FAE">
      <w:pPr>
        <w:spacing w:line="276" w:lineRule="auto"/>
        <w:jc w:val="both"/>
        <w:rPr>
          <w:rFonts w:ascii="Arial" w:hAnsi="Arial" w:cs="Arial"/>
          <w:sz w:val="20"/>
          <w:szCs w:val="20"/>
        </w:rPr>
      </w:pPr>
      <w:r w:rsidRPr="00C317F1">
        <w:rPr>
          <w:rFonts w:ascii="Arial" w:hAnsi="Arial" w:cs="Arial"/>
          <w:sz w:val="20"/>
          <w:szCs w:val="20"/>
        </w:rPr>
        <w:t xml:space="preserve">Yeo, W. J., Van Der Heever, W., Mao, R., Cambria, E., Satapathy, R., &amp; Mengaldo, G. (2025). A comprehensive review </w:t>
      </w:r>
      <w:r w:rsidR="00C52F8F" w:rsidRPr="00C317F1">
        <w:rPr>
          <w:rFonts w:ascii="Arial" w:hAnsi="Arial" w:cs="Arial"/>
          <w:sz w:val="20"/>
          <w:szCs w:val="20"/>
        </w:rPr>
        <w:t>of</w:t>
      </w:r>
      <w:r w:rsidRPr="00C317F1">
        <w:rPr>
          <w:rFonts w:ascii="Arial" w:hAnsi="Arial" w:cs="Arial"/>
          <w:sz w:val="20"/>
          <w:szCs w:val="20"/>
        </w:rPr>
        <w:t xml:space="preserve"> financial explainable AI. </w:t>
      </w:r>
      <w:r w:rsidRPr="00C317F1">
        <w:rPr>
          <w:rFonts w:ascii="Arial" w:hAnsi="Arial" w:cs="Arial"/>
          <w:i/>
          <w:iCs/>
          <w:sz w:val="20"/>
          <w:szCs w:val="20"/>
        </w:rPr>
        <w:t>Artificial Intelligence Review</w:t>
      </w:r>
      <w:r w:rsidRPr="00C317F1">
        <w:rPr>
          <w:rFonts w:ascii="Arial" w:hAnsi="Arial" w:cs="Arial"/>
          <w:sz w:val="20"/>
          <w:szCs w:val="20"/>
        </w:rPr>
        <w:t>, </w:t>
      </w:r>
      <w:r w:rsidRPr="00C317F1">
        <w:rPr>
          <w:rFonts w:ascii="Arial" w:hAnsi="Arial" w:cs="Arial"/>
          <w:i/>
          <w:iCs/>
          <w:sz w:val="20"/>
          <w:szCs w:val="20"/>
        </w:rPr>
        <w:t>58</w:t>
      </w:r>
      <w:r w:rsidRPr="00C317F1">
        <w:rPr>
          <w:rFonts w:ascii="Arial" w:hAnsi="Arial" w:cs="Arial"/>
          <w:sz w:val="20"/>
          <w:szCs w:val="20"/>
        </w:rPr>
        <w:t>(6), 1-49.</w:t>
      </w:r>
    </w:p>
    <w:sectPr w:rsidR="005A3B5F" w:rsidRPr="00C317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BA453" w14:textId="77777777" w:rsidR="00182D38" w:rsidRDefault="00182D38" w:rsidP="00900262">
      <w:pPr>
        <w:spacing w:after="0" w:line="240" w:lineRule="auto"/>
      </w:pPr>
      <w:r>
        <w:separator/>
      </w:r>
    </w:p>
  </w:endnote>
  <w:endnote w:type="continuationSeparator" w:id="0">
    <w:p w14:paraId="79410EE5" w14:textId="77777777" w:rsidR="00182D38" w:rsidRDefault="00182D38" w:rsidP="0090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869C" w14:textId="77777777" w:rsidR="00900262" w:rsidRDefault="00900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8999" w14:textId="77777777" w:rsidR="00900262" w:rsidRDefault="00900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C65A" w14:textId="77777777" w:rsidR="00900262" w:rsidRDefault="00900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6B9D" w14:textId="77777777" w:rsidR="00182D38" w:rsidRDefault="00182D38" w:rsidP="00900262">
      <w:pPr>
        <w:spacing w:after="0" w:line="240" w:lineRule="auto"/>
      </w:pPr>
      <w:r>
        <w:separator/>
      </w:r>
    </w:p>
  </w:footnote>
  <w:footnote w:type="continuationSeparator" w:id="0">
    <w:p w14:paraId="00F195E3" w14:textId="77777777" w:rsidR="00182D38" w:rsidRDefault="00182D38" w:rsidP="00900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9C54" w14:textId="3809E369" w:rsidR="00900262" w:rsidRDefault="00000000">
    <w:pPr>
      <w:pStyle w:val="Header"/>
    </w:pPr>
    <w:r>
      <w:rPr>
        <w:noProof/>
      </w:rPr>
      <w:pict w14:anchorId="02A2B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3842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31CD" w14:textId="6C866BF2" w:rsidR="00900262" w:rsidRDefault="00000000">
    <w:pPr>
      <w:pStyle w:val="Header"/>
    </w:pPr>
    <w:r>
      <w:rPr>
        <w:noProof/>
      </w:rPr>
      <w:pict w14:anchorId="1C2C5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3842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6C05" w14:textId="384BF4F7" w:rsidR="00900262" w:rsidRDefault="00000000">
    <w:pPr>
      <w:pStyle w:val="Header"/>
    </w:pPr>
    <w:r>
      <w:rPr>
        <w:noProof/>
      </w:rPr>
      <w:pict w14:anchorId="1CDBD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3842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31C00"/>
    <w:multiLevelType w:val="hybridMultilevel"/>
    <w:tmpl w:val="6B4CD03C"/>
    <w:lvl w:ilvl="0" w:tplc="41026B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0593F"/>
    <w:multiLevelType w:val="hybridMultilevel"/>
    <w:tmpl w:val="B2C6C5C8"/>
    <w:lvl w:ilvl="0" w:tplc="EF067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B0637"/>
    <w:multiLevelType w:val="multilevel"/>
    <w:tmpl w:val="69A2E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E103414"/>
    <w:multiLevelType w:val="hybridMultilevel"/>
    <w:tmpl w:val="33CC7D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BD41DE"/>
    <w:multiLevelType w:val="hybridMultilevel"/>
    <w:tmpl w:val="2F427C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6829060">
    <w:abstractNumId w:val="2"/>
  </w:num>
  <w:num w:numId="2" w16cid:durableId="1639652692">
    <w:abstractNumId w:val="4"/>
  </w:num>
  <w:num w:numId="3" w16cid:durableId="2049142939">
    <w:abstractNumId w:val="3"/>
  </w:num>
  <w:num w:numId="4" w16cid:durableId="1719475521">
    <w:abstractNumId w:val="1"/>
  </w:num>
  <w:num w:numId="5" w16cid:durableId="186155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A5E"/>
    <w:rsid w:val="0000561E"/>
    <w:rsid w:val="00015FAE"/>
    <w:rsid w:val="00024CE9"/>
    <w:rsid w:val="00025B7D"/>
    <w:rsid w:val="000865AB"/>
    <w:rsid w:val="000C6EE6"/>
    <w:rsid w:val="00117077"/>
    <w:rsid w:val="001532D7"/>
    <w:rsid w:val="001742E4"/>
    <w:rsid w:val="00182D38"/>
    <w:rsid w:val="001B1430"/>
    <w:rsid w:val="00217F5E"/>
    <w:rsid w:val="00220DE4"/>
    <w:rsid w:val="00271C11"/>
    <w:rsid w:val="002B528C"/>
    <w:rsid w:val="002C1216"/>
    <w:rsid w:val="002D39D8"/>
    <w:rsid w:val="00304DD2"/>
    <w:rsid w:val="003360FE"/>
    <w:rsid w:val="003E6F59"/>
    <w:rsid w:val="00413719"/>
    <w:rsid w:val="00435351"/>
    <w:rsid w:val="00463530"/>
    <w:rsid w:val="004A3F18"/>
    <w:rsid w:val="004C1E46"/>
    <w:rsid w:val="004E5B7A"/>
    <w:rsid w:val="004F7253"/>
    <w:rsid w:val="005425B7"/>
    <w:rsid w:val="005A3B5F"/>
    <w:rsid w:val="005C4136"/>
    <w:rsid w:val="005E5103"/>
    <w:rsid w:val="00610816"/>
    <w:rsid w:val="0062749F"/>
    <w:rsid w:val="00636CA7"/>
    <w:rsid w:val="0064084E"/>
    <w:rsid w:val="00652119"/>
    <w:rsid w:val="00676C47"/>
    <w:rsid w:val="00680444"/>
    <w:rsid w:val="00706633"/>
    <w:rsid w:val="0073483C"/>
    <w:rsid w:val="007D6A04"/>
    <w:rsid w:val="00831B5E"/>
    <w:rsid w:val="00846A5E"/>
    <w:rsid w:val="00852E0C"/>
    <w:rsid w:val="00874BAE"/>
    <w:rsid w:val="00896BD3"/>
    <w:rsid w:val="008C32EA"/>
    <w:rsid w:val="008D1759"/>
    <w:rsid w:val="00900262"/>
    <w:rsid w:val="0091085D"/>
    <w:rsid w:val="0091780B"/>
    <w:rsid w:val="00922571"/>
    <w:rsid w:val="00925996"/>
    <w:rsid w:val="00955CD2"/>
    <w:rsid w:val="00987B5D"/>
    <w:rsid w:val="009C3C26"/>
    <w:rsid w:val="009E70D3"/>
    <w:rsid w:val="009E7875"/>
    <w:rsid w:val="00A34A4E"/>
    <w:rsid w:val="00A550F6"/>
    <w:rsid w:val="00AB439A"/>
    <w:rsid w:val="00AC47BF"/>
    <w:rsid w:val="00B53FF5"/>
    <w:rsid w:val="00BB0A76"/>
    <w:rsid w:val="00BD4A5A"/>
    <w:rsid w:val="00C317F1"/>
    <w:rsid w:val="00C52F8F"/>
    <w:rsid w:val="00C85F77"/>
    <w:rsid w:val="00CB1F9E"/>
    <w:rsid w:val="00D24067"/>
    <w:rsid w:val="00D46C83"/>
    <w:rsid w:val="00D8303F"/>
    <w:rsid w:val="00DC2DDF"/>
    <w:rsid w:val="00E12DE9"/>
    <w:rsid w:val="00E75E83"/>
    <w:rsid w:val="00E94D3B"/>
    <w:rsid w:val="00EB51A5"/>
    <w:rsid w:val="00ED65D3"/>
    <w:rsid w:val="00EE3E3B"/>
    <w:rsid w:val="00F64DC1"/>
    <w:rsid w:val="00F671EB"/>
    <w:rsid w:val="00F95C08"/>
    <w:rsid w:val="00FC5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F009D"/>
  <w15:chartTrackingRefBased/>
  <w15:docId w15:val="{A40164A0-5B0F-4A58-8ADE-1F728118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A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46A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46A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46A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6A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6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A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46A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46A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46A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6A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6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A5E"/>
    <w:rPr>
      <w:rFonts w:eastAsiaTheme="majorEastAsia" w:cstheme="majorBidi"/>
      <w:color w:val="272727" w:themeColor="text1" w:themeTint="D8"/>
    </w:rPr>
  </w:style>
  <w:style w:type="paragraph" w:styleId="Title">
    <w:name w:val="Title"/>
    <w:basedOn w:val="Normal"/>
    <w:next w:val="Normal"/>
    <w:link w:val="TitleChar"/>
    <w:uiPriority w:val="10"/>
    <w:qFormat/>
    <w:rsid w:val="00846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A5E"/>
    <w:pPr>
      <w:spacing w:before="160"/>
      <w:jc w:val="center"/>
    </w:pPr>
    <w:rPr>
      <w:i/>
      <w:iCs/>
      <w:color w:val="404040" w:themeColor="text1" w:themeTint="BF"/>
    </w:rPr>
  </w:style>
  <w:style w:type="character" w:customStyle="1" w:styleId="QuoteChar">
    <w:name w:val="Quote Char"/>
    <w:basedOn w:val="DefaultParagraphFont"/>
    <w:link w:val="Quote"/>
    <w:uiPriority w:val="29"/>
    <w:rsid w:val="00846A5E"/>
    <w:rPr>
      <w:i/>
      <w:iCs/>
      <w:color w:val="404040" w:themeColor="text1" w:themeTint="BF"/>
    </w:rPr>
  </w:style>
  <w:style w:type="paragraph" w:styleId="ListParagraph">
    <w:name w:val="List Paragraph"/>
    <w:basedOn w:val="Normal"/>
    <w:uiPriority w:val="34"/>
    <w:qFormat/>
    <w:rsid w:val="00846A5E"/>
    <w:pPr>
      <w:ind w:left="720"/>
      <w:contextualSpacing/>
    </w:pPr>
  </w:style>
  <w:style w:type="character" w:styleId="IntenseEmphasis">
    <w:name w:val="Intense Emphasis"/>
    <w:basedOn w:val="DefaultParagraphFont"/>
    <w:uiPriority w:val="21"/>
    <w:qFormat/>
    <w:rsid w:val="00846A5E"/>
    <w:rPr>
      <w:i/>
      <w:iCs/>
      <w:color w:val="2F5496" w:themeColor="accent1" w:themeShade="BF"/>
    </w:rPr>
  </w:style>
  <w:style w:type="paragraph" w:styleId="IntenseQuote">
    <w:name w:val="Intense Quote"/>
    <w:basedOn w:val="Normal"/>
    <w:next w:val="Normal"/>
    <w:link w:val="IntenseQuoteChar"/>
    <w:uiPriority w:val="30"/>
    <w:qFormat/>
    <w:rsid w:val="00846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6A5E"/>
    <w:rPr>
      <w:i/>
      <w:iCs/>
      <w:color w:val="2F5496" w:themeColor="accent1" w:themeShade="BF"/>
    </w:rPr>
  </w:style>
  <w:style w:type="character" w:styleId="IntenseReference">
    <w:name w:val="Intense Reference"/>
    <w:basedOn w:val="DefaultParagraphFont"/>
    <w:uiPriority w:val="32"/>
    <w:qFormat/>
    <w:rsid w:val="00846A5E"/>
    <w:rPr>
      <w:b/>
      <w:bCs/>
      <w:smallCaps/>
      <w:color w:val="2F5496" w:themeColor="accent1" w:themeShade="BF"/>
      <w:spacing w:val="5"/>
    </w:rPr>
  </w:style>
  <w:style w:type="character" w:styleId="Hyperlink">
    <w:name w:val="Hyperlink"/>
    <w:basedOn w:val="DefaultParagraphFont"/>
    <w:uiPriority w:val="99"/>
    <w:unhideWhenUsed/>
    <w:rsid w:val="00846A5E"/>
    <w:rPr>
      <w:color w:val="0563C1" w:themeColor="hyperlink"/>
      <w:u w:val="single"/>
    </w:rPr>
  </w:style>
  <w:style w:type="character" w:customStyle="1" w:styleId="UnresolvedMention1">
    <w:name w:val="Unresolved Mention1"/>
    <w:basedOn w:val="DefaultParagraphFont"/>
    <w:uiPriority w:val="99"/>
    <w:semiHidden/>
    <w:unhideWhenUsed/>
    <w:rsid w:val="00846A5E"/>
    <w:rPr>
      <w:color w:val="605E5C"/>
      <w:shd w:val="clear" w:color="auto" w:fill="E1DFDD"/>
    </w:rPr>
  </w:style>
  <w:style w:type="paragraph" w:styleId="NormalWeb">
    <w:name w:val="Normal (Web)"/>
    <w:basedOn w:val="Normal"/>
    <w:uiPriority w:val="99"/>
    <w:semiHidden/>
    <w:unhideWhenUsed/>
    <w:rsid w:val="00E94D3B"/>
    <w:rPr>
      <w:rFonts w:ascii="Times New Roman" w:hAnsi="Times New Roman" w:cs="Times New Roman"/>
    </w:rPr>
  </w:style>
  <w:style w:type="table" w:styleId="TableGrid">
    <w:name w:val="Table Grid"/>
    <w:basedOn w:val="TableNormal"/>
    <w:uiPriority w:val="59"/>
    <w:rsid w:val="00BD4A5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1F9E"/>
    <w:rPr>
      <w:color w:val="954F72" w:themeColor="followedHyperlink"/>
      <w:u w:val="single"/>
    </w:rPr>
  </w:style>
  <w:style w:type="paragraph" w:styleId="Header">
    <w:name w:val="header"/>
    <w:basedOn w:val="Normal"/>
    <w:link w:val="HeaderChar"/>
    <w:uiPriority w:val="99"/>
    <w:unhideWhenUsed/>
    <w:rsid w:val="00900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262"/>
  </w:style>
  <w:style w:type="paragraph" w:styleId="Footer">
    <w:name w:val="footer"/>
    <w:basedOn w:val="Normal"/>
    <w:link w:val="FooterChar"/>
    <w:uiPriority w:val="99"/>
    <w:unhideWhenUsed/>
    <w:rsid w:val="00900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145/36168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842</TotalTime>
  <Pages>19</Pages>
  <Words>6822</Words>
  <Characters>44344</Characters>
  <Application>Microsoft Office Word</Application>
  <DocSecurity>0</DocSecurity>
  <Lines>1304</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kelechi Eze</dc:creator>
  <cp:keywords/>
  <dc:description/>
  <cp:lastModifiedBy>kelechi Eze</cp:lastModifiedBy>
  <cp:revision>35</cp:revision>
  <dcterms:created xsi:type="dcterms:W3CDTF">2025-10-07T10:38:00Z</dcterms:created>
  <dcterms:modified xsi:type="dcterms:W3CDTF">2025-10-19T20:46:00Z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0fa5ada0-ee40-4499-8e95-ec18b074d6f0</vt:lpwstr>
  </property>
</Properties>
</file>