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93ED" w14:textId="44927C2E" w:rsidR="00684746" w:rsidRPr="00684746" w:rsidRDefault="00684746" w:rsidP="00684746">
      <w:pPr>
        <w:pStyle w:val="Author"/>
        <w:spacing w:line="240" w:lineRule="auto"/>
        <w:jc w:val="left"/>
        <w:rPr>
          <w:rFonts w:ascii="Arial" w:hAnsi="Arial" w:cs="Arial"/>
          <w:bCs/>
          <w:iCs/>
          <w:kern w:val="28"/>
          <w:sz w:val="28"/>
          <w:szCs w:val="16"/>
          <w:u w:val="single"/>
        </w:rPr>
      </w:pPr>
      <w:r w:rsidRPr="00684746">
        <w:rPr>
          <w:rFonts w:ascii="Arial" w:hAnsi="Arial" w:cs="Arial"/>
          <w:bCs/>
          <w:iCs/>
          <w:kern w:val="28"/>
          <w:sz w:val="28"/>
          <w:szCs w:val="16"/>
          <w:u w:val="single"/>
        </w:rPr>
        <w:t>Original Research Article</w:t>
      </w:r>
    </w:p>
    <w:p w14:paraId="2BF24C1F" w14:textId="77777777" w:rsidR="00684746" w:rsidRDefault="00684746" w:rsidP="00441B6F">
      <w:pPr>
        <w:pStyle w:val="Author"/>
        <w:spacing w:line="240" w:lineRule="auto"/>
        <w:rPr>
          <w:rFonts w:ascii="Arial" w:hAnsi="Arial" w:cs="Arial"/>
          <w:bCs/>
          <w:iCs/>
          <w:kern w:val="28"/>
          <w:sz w:val="36"/>
        </w:rPr>
      </w:pPr>
    </w:p>
    <w:p w14:paraId="7C739AAD" w14:textId="4C672225" w:rsidR="00163BC4" w:rsidRPr="00163BC4" w:rsidRDefault="006D7EC8" w:rsidP="00441B6F">
      <w:pPr>
        <w:pStyle w:val="Author"/>
        <w:spacing w:line="240" w:lineRule="auto"/>
        <w:rPr>
          <w:rFonts w:ascii="Arial" w:hAnsi="Arial" w:cs="Arial"/>
          <w:bCs/>
          <w:iCs/>
          <w:kern w:val="28"/>
          <w:sz w:val="36"/>
        </w:rPr>
      </w:pPr>
      <w:r>
        <w:rPr>
          <w:rFonts w:ascii="Arial" w:hAnsi="Arial" w:cs="Arial"/>
          <w:bCs/>
          <w:iCs/>
          <w:kern w:val="28"/>
          <w:sz w:val="36"/>
        </w:rPr>
        <w:t xml:space="preserve">Enhancing Soil Stability: Evaluating the Effectiveness of </w:t>
      </w:r>
      <w:proofErr w:type="spellStart"/>
      <w:r>
        <w:rPr>
          <w:rFonts w:ascii="Arial" w:hAnsi="Arial" w:cs="Arial"/>
          <w:bCs/>
          <w:iCs/>
          <w:kern w:val="28"/>
          <w:sz w:val="36"/>
        </w:rPr>
        <w:t>Terrasil</w:t>
      </w:r>
      <w:proofErr w:type="spellEnd"/>
      <w:r>
        <w:rPr>
          <w:rFonts w:ascii="Arial" w:hAnsi="Arial" w:cs="Arial"/>
          <w:bCs/>
          <w:iCs/>
          <w:kern w:val="28"/>
          <w:sz w:val="36"/>
        </w:rPr>
        <w:t xml:space="preserve"> Nanotechnology in Soil Stabilization</w:t>
      </w:r>
    </w:p>
    <w:p w14:paraId="3612156C" w14:textId="77777777" w:rsidR="00684746" w:rsidRPr="008D60BF" w:rsidRDefault="00684746" w:rsidP="00965827">
      <w:pPr>
        <w:pStyle w:val="Institution"/>
        <w:spacing w:after="0"/>
        <w:rPr>
          <w:rFonts w:ascii="Times New Roman" w:hAnsi="Times New Roman" w:cs="Times New Roman"/>
          <w:sz w:val="22"/>
          <w:szCs w:val="22"/>
        </w:rPr>
      </w:pPr>
    </w:p>
    <w:p w14:paraId="2B7D3D46" w14:textId="741A3E69" w:rsidR="00790ADA" w:rsidRDefault="00790ADA" w:rsidP="00965827">
      <w:pPr>
        <w:pStyle w:val="Affiliation"/>
        <w:spacing w:after="0" w:line="240" w:lineRule="auto"/>
        <w:rPr>
          <w:rFonts w:ascii="Arial" w:hAnsi="Arial" w:cs="Arial"/>
        </w:rPr>
      </w:pPr>
    </w:p>
    <w:p w14:paraId="7EA4789F" w14:textId="77777777" w:rsidR="002C57D2" w:rsidRPr="00FB3A86" w:rsidRDefault="002C57D2" w:rsidP="00441B6F">
      <w:pPr>
        <w:pStyle w:val="Affiliation"/>
        <w:spacing w:after="0" w:line="240" w:lineRule="auto"/>
        <w:jc w:val="both"/>
        <w:rPr>
          <w:rFonts w:ascii="Arial" w:hAnsi="Arial" w:cs="Arial"/>
        </w:rPr>
      </w:pPr>
    </w:p>
    <w:p w14:paraId="06B475EF" w14:textId="485320BB" w:rsidR="00B01FCD" w:rsidRPr="00FB3A86" w:rsidRDefault="00691004" w:rsidP="00441B6F">
      <w:pPr>
        <w:pStyle w:val="Copyright"/>
        <w:spacing w:after="0" w:line="240" w:lineRule="auto"/>
        <w:jc w:val="both"/>
        <w:rPr>
          <w:rFonts w:ascii="Arial" w:hAnsi="Arial" w:cs="Arial"/>
        </w:rPr>
        <w:sectPr w:rsidR="00B01FCD" w:rsidRPr="00FB3A86" w:rsidSect="00CF025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0DB9B41" wp14:editId="3598F747">
                <wp:extent cx="5303520" cy="635"/>
                <wp:effectExtent l="13335" t="17145" r="17145" b="11430"/>
                <wp:docPr id="2698926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45A29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41D0333" w14:textId="0BF39273" w:rsidR="00B01FCD" w:rsidRDefault="00B01FCD" w:rsidP="00441B6F">
      <w:pPr>
        <w:pStyle w:val="AbstHead"/>
        <w:spacing w:after="0"/>
        <w:jc w:val="both"/>
        <w:rPr>
          <w:rFonts w:ascii="Arial" w:hAnsi="Arial" w:cs="Arial"/>
        </w:rPr>
      </w:pPr>
      <w:r w:rsidRPr="00FB3A86">
        <w:rPr>
          <w:rFonts w:ascii="Arial" w:hAnsi="Arial" w:cs="Arial"/>
        </w:rPr>
        <w:t>ABSTRACT</w:t>
      </w:r>
    </w:p>
    <w:p w14:paraId="7810B04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6EA5CC5" w14:textId="77777777" w:rsidTr="001E44FE">
        <w:tc>
          <w:tcPr>
            <w:tcW w:w="9576" w:type="dxa"/>
            <w:shd w:val="clear" w:color="auto" w:fill="F2F2F2"/>
          </w:tcPr>
          <w:p w14:paraId="32AB88A7" w14:textId="420D74FE" w:rsidR="00965827" w:rsidRPr="00965827" w:rsidRDefault="00965827" w:rsidP="00441B6F">
            <w:pPr>
              <w:pStyle w:val="Body"/>
              <w:spacing w:after="0"/>
              <w:rPr>
                <w:rFonts w:ascii="Arial" w:eastAsia="Calibri" w:hAnsi="Arial" w:cs="Arial"/>
                <w:bCs/>
                <w:szCs w:val="22"/>
              </w:rPr>
            </w:pPr>
            <w:r>
              <w:rPr>
                <w:rFonts w:ascii="Arial" w:eastAsia="Calibri" w:hAnsi="Arial" w:cs="Arial"/>
                <w:b/>
                <w:szCs w:val="22"/>
              </w:rPr>
              <w:t xml:space="preserve">Background: </w:t>
            </w:r>
            <w:r w:rsidR="00165F6F" w:rsidRPr="002957F2">
              <w:t>Conventional techniques for stabilizing soil frequently use expensive and occasionally hazardous materials like cement and artificial polymers. Thus, stabilization of soils with chemical additives has drawn up a lot of interest from construction sector, because it can improve the engineering qualities of problematic soils. Nanomaterials have the potential to improve soil qualities without the disadvantages of conventional additives because of their special qualities and high surface area to volume ratio.  </w:t>
            </w:r>
            <w:proofErr w:type="spellStart"/>
            <w:r w:rsidR="006D7EC8">
              <w:t>Terrasil</w:t>
            </w:r>
            <w:proofErr w:type="spellEnd"/>
            <w:r w:rsidR="00165F6F" w:rsidRPr="002957F2">
              <w:t xml:space="preserve"> is a water-soluble </w:t>
            </w:r>
            <w:proofErr w:type="spellStart"/>
            <w:r w:rsidR="00165F6F" w:rsidRPr="002957F2">
              <w:t>nanochemical</w:t>
            </w:r>
            <w:proofErr w:type="spellEnd"/>
            <w:r w:rsidR="00165F6F" w:rsidRPr="002957F2">
              <w:t xml:space="preserve"> that has demonstrated promise in improving soil qualities by decreasing permeability and boosting strength, thus making it an appealing choice for soil </w:t>
            </w:r>
            <w:r w:rsidR="00165F6F">
              <w:t>stabilization.</w:t>
            </w:r>
          </w:p>
          <w:p w14:paraId="029E785D" w14:textId="61526DC9" w:rsidR="00965827" w:rsidRDefault="00BA1B01" w:rsidP="00441B6F">
            <w:pPr>
              <w:pStyle w:val="Body"/>
              <w:spacing w:after="0"/>
              <w:rPr>
                <w:rFonts w:ascii="Arial" w:eastAsia="Calibri" w:hAnsi="Arial" w:cs="Arial"/>
                <w:b/>
                <w:szCs w:val="22"/>
              </w:rPr>
            </w:pPr>
            <w:r w:rsidRPr="00BA1B01">
              <w:rPr>
                <w:rFonts w:ascii="Arial" w:eastAsia="Calibri" w:hAnsi="Arial" w:cs="Arial"/>
                <w:b/>
                <w:szCs w:val="22"/>
              </w:rPr>
              <w:t xml:space="preserve">Aims: </w:t>
            </w:r>
            <w:r w:rsidR="00965827">
              <w:t xml:space="preserve">In this study, the performance and resilience of soils stabilized with </w:t>
            </w:r>
            <w:proofErr w:type="spellStart"/>
            <w:r w:rsidR="006D7EC8">
              <w:t>Terrasil</w:t>
            </w:r>
            <w:proofErr w:type="spellEnd"/>
            <w:r w:rsidR="00965827">
              <w:t xml:space="preserve"> based on nanotechnology was investigated</w:t>
            </w:r>
            <w:r w:rsidR="00965827" w:rsidRPr="00BA1B01">
              <w:rPr>
                <w:rFonts w:ascii="Arial" w:eastAsia="Calibri" w:hAnsi="Arial" w:cs="Arial"/>
                <w:b/>
                <w:szCs w:val="22"/>
              </w:rPr>
              <w:t xml:space="preserve"> </w:t>
            </w:r>
          </w:p>
          <w:p w14:paraId="1ABC8AAC" w14:textId="55353BF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65827">
              <w:t xml:space="preserve">Two soil samples, Sample A (cohesive) and Sample B (non-cohesive) were treated with </w:t>
            </w:r>
            <w:proofErr w:type="spellStart"/>
            <w:r w:rsidR="006D7EC8">
              <w:t>Terrasil</w:t>
            </w:r>
            <w:proofErr w:type="spellEnd"/>
            <w:r w:rsidR="00965827">
              <w:t xml:space="preserve"> Nano chemical, at dosages of 0%, 3%, 6%, and 9%. </w:t>
            </w:r>
            <w:r w:rsidR="006D7EC8" w:rsidRPr="006D7EC8">
              <w:rPr>
                <w:highlight w:val="yellow"/>
              </w:rPr>
              <w:t>T</w:t>
            </w:r>
            <w:r w:rsidR="006D7EC8" w:rsidRPr="006D7EC8">
              <w:rPr>
                <w:highlight w:val="yellow"/>
              </w:rPr>
              <w:t xml:space="preserve">he additive, predetermined dosages of </w:t>
            </w:r>
            <w:proofErr w:type="spellStart"/>
            <w:r w:rsidR="006D7EC8" w:rsidRPr="006D7EC8">
              <w:rPr>
                <w:highlight w:val="yellow"/>
              </w:rPr>
              <w:t>Terrasil</w:t>
            </w:r>
            <w:proofErr w:type="spellEnd"/>
            <w:r w:rsidR="006D7EC8" w:rsidRPr="006D7EC8">
              <w:rPr>
                <w:highlight w:val="yellow"/>
              </w:rPr>
              <w:t xml:space="preserve">, </w:t>
            </w:r>
            <w:r w:rsidR="006D7EC8" w:rsidRPr="006D7EC8">
              <w:rPr>
                <w:highlight w:val="yellow"/>
              </w:rPr>
              <w:t>were first diluted in water and then thoroughly mixed with the soil samples to ensure uniform distribution</w:t>
            </w:r>
            <w:r w:rsidR="006D7EC8" w:rsidRPr="006D7EC8">
              <w:rPr>
                <w:highlight w:val="yellow"/>
              </w:rPr>
              <w:t>.</w:t>
            </w:r>
            <w:r w:rsidR="006D7EC8">
              <w:t xml:space="preserve"> </w:t>
            </w:r>
            <w:r w:rsidR="00965827">
              <w:t>Geotechnical properties of soil such as CBR, shear strength and consolidation were investigated.</w:t>
            </w:r>
            <w:r w:rsidR="00273A90">
              <w:t xml:space="preserve"> </w:t>
            </w:r>
            <w:r w:rsidR="00273A90" w:rsidRPr="00273A90">
              <w:rPr>
                <w:highlight w:val="yellow"/>
              </w:rPr>
              <w:t xml:space="preserve">The effectiveness of </w:t>
            </w:r>
            <w:proofErr w:type="spellStart"/>
            <w:r w:rsidR="00273A90" w:rsidRPr="00273A90">
              <w:rPr>
                <w:highlight w:val="yellow"/>
              </w:rPr>
              <w:t>Terrasil</w:t>
            </w:r>
            <w:proofErr w:type="spellEnd"/>
            <w:r w:rsidR="00273A90" w:rsidRPr="00273A90">
              <w:rPr>
                <w:highlight w:val="yellow"/>
              </w:rPr>
              <w:t xml:space="preserve"> stabilization was then evaluated through </w:t>
            </w:r>
            <w:r w:rsidR="00273A90">
              <w:rPr>
                <w:highlight w:val="yellow"/>
              </w:rPr>
              <w:t xml:space="preserve">these </w:t>
            </w:r>
            <w:r w:rsidR="00273A90" w:rsidRPr="00273A90">
              <w:rPr>
                <w:highlight w:val="yellow"/>
              </w:rPr>
              <w:t>geotechnical tests</w:t>
            </w:r>
            <w:r w:rsidR="00273A90">
              <w:rPr>
                <w:highlight w:val="yellow"/>
              </w:rPr>
              <w:t xml:space="preserve">, </w:t>
            </w:r>
            <w:r w:rsidR="00273A90" w:rsidRPr="00273A90">
              <w:rPr>
                <w:highlight w:val="yellow"/>
              </w:rPr>
              <w:t>and the results were compared with untreated soils (0%) and benchmarked against typical performance ranges reported for traditional stabilizers such as lime and cement.</w:t>
            </w:r>
          </w:p>
          <w:p w14:paraId="67C4C23B" w14:textId="5FC0E0D3" w:rsidR="00965827" w:rsidRDefault="00BA1B01" w:rsidP="00441B6F">
            <w:pPr>
              <w:pStyle w:val="Body"/>
              <w:spacing w:after="0"/>
            </w:pPr>
            <w:r w:rsidRPr="00BA1B01">
              <w:rPr>
                <w:rFonts w:ascii="Arial" w:eastAsia="Calibri" w:hAnsi="Arial" w:cs="Arial"/>
                <w:b/>
                <w:bCs/>
                <w:szCs w:val="22"/>
              </w:rPr>
              <w:t>Results:</w:t>
            </w:r>
            <w:r w:rsidRPr="00BA1B01">
              <w:rPr>
                <w:rFonts w:ascii="Arial" w:eastAsia="Calibri" w:hAnsi="Arial" w:cs="Arial"/>
                <w:szCs w:val="22"/>
              </w:rPr>
              <w:t xml:space="preserve"> </w:t>
            </w:r>
            <w:r w:rsidR="00965827">
              <w:t xml:space="preserve">The results shows that there is significant improvement in </w:t>
            </w:r>
            <w:r w:rsidR="00965827" w:rsidRPr="002957F2">
              <w:t xml:space="preserve">both CBR and shear strength with increasing </w:t>
            </w:r>
            <w:proofErr w:type="spellStart"/>
            <w:r w:rsidR="006D7EC8">
              <w:t>Terrasil</w:t>
            </w:r>
            <w:proofErr w:type="spellEnd"/>
            <w:r w:rsidR="00965827" w:rsidRPr="002957F2">
              <w:t xml:space="preserve"> dosage, particularly for Sample A, where cohesion increased markedly from 23 </w:t>
            </w:r>
            <w:proofErr w:type="spellStart"/>
            <w:r w:rsidR="00965827" w:rsidRPr="002957F2">
              <w:t>kN</w:t>
            </w:r>
            <w:proofErr w:type="spellEnd"/>
            <w:r w:rsidR="00965827" w:rsidRPr="002957F2">
              <w:t>/m² at 0% to 75 </w:t>
            </w:r>
            <w:proofErr w:type="spellStart"/>
            <w:r w:rsidR="00965827" w:rsidRPr="002957F2">
              <w:t>kN</w:t>
            </w:r>
            <w:proofErr w:type="spellEnd"/>
            <w:r w:rsidR="00965827" w:rsidRPr="002957F2">
              <w:t>/m² at 9% dosage.</w:t>
            </w:r>
            <w:r w:rsidR="00965827">
              <w:t xml:space="preserve"> </w:t>
            </w:r>
            <w:r w:rsidR="00965827" w:rsidRPr="002957F2">
              <w:t>Total settlement decreased significantly with increasing dosage, according to settlement analysis, falling from 0.0369 mm to 0.02405 mm for Sample A and from 0.03117 mm to 0.02428 mm for Sample B.</w:t>
            </w:r>
            <w:r w:rsidR="00965827">
              <w:t xml:space="preserve"> </w:t>
            </w:r>
            <w:r w:rsidR="00965827" w:rsidRPr="002957F2">
              <w:t>The coefficient of consolidation also demonstrated a downward trend, indicating improved soil stability and reduced compressibility.</w:t>
            </w:r>
          </w:p>
          <w:p w14:paraId="44E9C2FE" w14:textId="4A5146A5"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65827" w:rsidRPr="002957F2">
              <w:t>This confirms that </w:t>
            </w:r>
            <w:proofErr w:type="spellStart"/>
            <w:r w:rsidR="006D7EC8">
              <w:t>Terrasil</w:t>
            </w:r>
            <w:proofErr w:type="spellEnd"/>
            <w:r w:rsidR="00965827" w:rsidRPr="002957F2">
              <w:t xml:space="preserve"> is a dependable additive improving </w:t>
            </w:r>
            <w:proofErr w:type="gramStart"/>
            <w:r w:rsidR="00965827" w:rsidRPr="002957F2">
              <w:t>the  resilience</w:t>
            </w:r>
            <w:proofErr w:type="gramEnd"/>
            <w:r w:rsidR="00965827" w:rsidRPr="002957F2">
              <w:t xml:space="preserve"> of soils for performance applications related to highway construction and civil engineering.</w:t>
            </w:r>
          </w:p>
        </w:tc>
      </w:tr>
    </w:tbl>
    <w:p w14:paraId="77F5CAE1" w14:textId="77777777" w:rsidR="00636EB2" w:rsidRDefault="00636EB2" w:rsidP="00441B6F">
      <w:pPr>
        <w:pStyle w:val="Body"/>
        <w:spacing w:after="0"/>
        <w:rPr>
          <w:rFonts w:ascii="Arial" w:hAnsi="Arial" w:cs="Arial"/>
          <w:i/>
        </w:rPr>
      </w:pPr>
    </w:p>
    <w:p w14:paraId="2B75075C" w14:textId="1E273E18" w:rsidR="00A24E7E" w:rsidRDefault="00A24E7E" w:rsidP="00441B6F">
      <w:pPr>
        <w:pStyle w:val="Body"/>
        <w:spacing w:after="0"/>
        <w:rPr>
          <w:rFonts w:ascii="Arial" w:hAnsi="Arial" w:cs="Arial"/>
          <w:i/>
        </w:rPr>
      </w:pPr>
      <w:r>
        <w:rPr>
          <w:rFonts w:ascii="Arial" w:hAnsi="Arial" w:cs="Arial"/>
          <w:i/>
        </w:rPr>
        <w:t xml:space="preserve">Keywords: </w:t>
      </w:r>
      <w:proofErr w:type="spellStart"/>
      <w:r w:rsidR="006D7EC8">
        <w:rPr>
          <w:rFonts w:ascii="Arial" w:hAnsi="Arial" w:cs="Arial"/>
          <w:i/>
        </w:rPr>
        <w:t>Terrasil</w:t>
      </w:r>
      <w:proofErr w:type="spellEnd"/>
      <w:r w:rsidR="00165F6F">
        <w:rPr>
          <w:rFonts w:ascii="Arial" w:hAnsi="Arial" w:cs="Arial"/>
          <w:i/>
        </w:rPr>
        <w:t xml:space="preserve"> Nano Chemical, Stabilization, Soil, CBR, Shear Strength, Consolidation</w:t>
      </w:r>
    </w:p>
    <w:p w14:paraId="43A8245F" w14:textId="77777777" w:rsidR="00790ADA" w:rsidRDefault="00790ADA" w:rsidP="00441B6F">
      <w:pPr>
        <w:pStyle w:val="Body"/>
        <w:spacing w:after="0"/>
        <w:rPr>
          <w:rFonts w:ascii="Arial" w:hAnsi="Arial" w:cs="Arial"/>
          <w:i/>
        </w:rPr>
      </w:pPr>
    </w:p>
    <w:p w14:paraId="62F1E866" w14:textId="6306B1E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56D7C0D" w14:textId="77777777" w:rsidR="00790ADA" w:rsidRPr="00FB3A86" w:rsidRDefault="00790ADA" w:rsidP="00441B6F">
      <w:pPr>
        <w:pStyle w:val="AbstHead"/>
        <w:spacing w:after="0"/>
        <w:jc w:val="both"/>
        <w:rPr>
          <w:rFonts w:ascii="Arial" w:hAnsi="Arial" w:cs="Arial"/>
        </w:rPr>
      </w:pPr>
    </w:p>
    <w:p w14:paraId="77312929" w14:textId="0FF6CE6C" w:rsidR="00165F6F" w:rsidRPr="00165F6F" w:rsidRDefault="00165F6F" w:rsidP="00165F6F">
      <w:pPr>
        <w:pStyle w:val="Body"/>
        <w:rPr>
          <w:rFonts w:ascii="Arial" w:hAnsi="Arial" w:cs="Arial"/>
          <w:b/>
        </w:rPr>
      </w:pPr>
      <w:r w:rsidRPr="00165F6F">
        <w:rPr>
          <w:rFonts w:ascii="Arial" w:hAnsi="Arial" w:cs="Arial"/>
        </w:rPr>
        <w:t xml:space="preserve">Cohesive and non-cohesive soils present distinct challenges in civil engineering due to their varying engineering properties, including differences in shear strength, compressibility, and susceptibility to environmental factors such as erosion and settlement (Zabielska-Adamska </w:t>
      </w:r>
      <w:r w:rsidR="00452E0E" w:rsidRPr="00452E0E">
        <w:rPr>
          <w:rFonts w:ascii="Arial" w:hAnsi="Arial" w:cs="Arial"/>
          <w:i/>
          <w:iCs/>
        </w:rPr>
        <w:t>et al.,</w:t>
      </w:r>
      <w:r w:rsidRPr="00165F6F">
        <w:rPr>
          <w:rFonts w:ascii="Arial" w:hAnsi="Arial" w:cs="Arial"/>
        </w:rPr>
        <w:t xml:space="preserve"> 2023; Di Nardi </w:t>
      </w:r>
      <w:r w:rsidR="00452E0E" w:rsidRPr="00452E0E">
        <w:rPr>
          <w:rFonts w:ascii="Arial" w:hAnsi="Arial" w:cs="Arial"/>
          <w:i/>
          <w:iCs/>
        </w:rPr>
        <w:t>et al.,</w:t>
      </w:r>
      <w:r w:rsidRPr="00165F6F">
        <w:rPr>
          <w:rFonts w:ascii="Arial" w:hAnsi="Arial" w:cs="Arial"/>
        </w:rPr>
        <w:t xml:space="preserve"> 2022). Non-cohesive soils, such as sands and gravels, are typically characterized by low cohesion and high permeability, making them prone to erosion, instability </w:t>
      </w:r>
      <w:r w:rsidRPr="00165F6F">
        <w:rPr>
          <w:rFonts w:ascii="Arial" w:hAnsi="Arial" w:cs="Arial"/>
        </w:rPr>
        <w:lastRenderedPageBreak/>
        <w:t xml:space="preserve">under load, and rapid changes in volume with moisture variations (Pandey and Kumari, 2024; </w:t>
      </w:r>
      <w:proofErr w:type="spellStart"/>
      <w:r w:rsidRPr="00165F6F">
        <w:rPr>
          <w:rFonts w:ascii="Arial" w:hAnsi="Arial" w:cs="Arial"/>
        </w:rPr>
        <w:t>Nzereogu</w:t>
      </w:r>
      <w:proofErr w:type="spellEnd"/>
      <w:r w:rsidRPr="00165F6F">
        <w:rPr>
          <w:rFonts w:ascii="Arial" w:hAnsi="Arial" w:cs="Arial"/>
        </w:rPr>
        <w:t xml:space="preserve"> </w:t>
      </w:r>
      <w:r w:rsidRPr="00165F6F">
        <w:rPr>
          <w:rFonts w:ascii="Arial" w:hAnsi="Arial" w:cs="Arial"/>
          <w:i/>
          <w:iCs/>
        </w:rPr>
        <w:t>et. al.,</w:t>
      </w:r>
      <w:r w:rsidRPr="00165F6F">
        <w:rPr>
          <w:rFonts w:ascii="Arial" w:hAnsi="Arial" w:cs="Arial"/>
        </w:rPr>
        <w:t xml:space="preserve"> 2023). Cohesive soils, on the other hand, such as clays and silts, exhibit greater internal bonding but may suffer from problems like high plasticity, poor drainage, and excessive swelling or shrinkage under changing moisture conditions (Utkarsh and Jain, 2024).</w:t>
      </w:r>
      <w:r w:rsidRPr="00165F6F">
        <w:rPr>
          <w:rFonts w:ascii="Arial" w:hAnsi="Arial" w:cs="Arial"/>
          <w:b/>
        </w:rPr>
        <w:t xml:space="preserve"> </w:t>
      </w:r>
      <w:r w:rsidRPr="00165F6F">
        <w:rPr>
          <w:rFonts w:ascii="Arial" w:hAnsi="Arial" w:cs="Arial"/>
        </w:rPr>
        <w:t xml:space="preserve">Both types of soils can compromise the stability of foundations, pavements, and other civil engineering structures due to their inherent weaknesses. Non-cohesive soils, for example, lack internal bonding forces and can fail under cyclic or dynamic loads, as demonstrated in studies where gravelly sand experienced shear failure after repeated loading (Zabielska-Adamska </w:t>
      </w:r>
      <w:r w:rsidR="00452E0E" w:rsidRPr="00452E0E">
        <w:rPr>
          <w:rFonts w:ascii="Arial" w:hAnsi="Arial" w:cs="Arial"/>
          <w:i/>
          <w:iCs/>
        </w:rPr>
        <w:t>et al.,</w:t>
      </w:r>
      <w:r w:rsidRPr="00165F6F">
        <w:rPr>
          <w:rFonts w:ascii="Arial" w:hAnsi="Arial" w:cs="Arial"/>
        </w:rPr>
        <w:t xml:space="preserve"> 2023). Similarly, cohesive soils can exhibit excessive settlement or reduced strength when subjected to long-term loading, particularly in saturated conditions (Al-</w:t>
      </w:r>
      <w:proofErr w:type="spellStart"/>
      <w:r w:rsidRPr="00165F6F">
        <w:rPr>
          <w:rFonts w:ascii="Arial" w:hAnsi="Arial" w:cs="Arial"/>
        </w:rPr>
        <w:t>Wakel</w:t>
      </w:r>
      <w:proofErr w:type="spellEnd"/>
      <w:r w:rsidRPr="00165F6F">
        <w:rPr>
          <w:rFonts w:ascii="Arial" w:hAnsi="Arial" w:cs="Arial"/>
        </w:rPr>
        <w:t xml:space="preserve"> </w:t>
      </w:r>
      <w:r w:rsidRPr="00165F6F">
        <w:rPr>
          <w:rFonts w:ascii="Arial" w:hAnsi="Arial" w:cs="Arial"/>
          <w:i/>
          <w:iCs/>
        </w:rPr>
        <w:t>et. al.,</w:t>
      </w:r>
      <w:r w:rsidRPr="00165F6F">
        <w:rPr>
          <w:rFonts w:ascii="Arial" w:hAnsi="Arial" w:cs="Arial"/>
        </w:rPr>
        <w:t xml:space="preserve"> 2022). Furthermore, the vulnerability of both soil types to environmental factors such as rainfall, erosion, and seismic activity adds to the complexity of ensuring long-term performance.</w:t>
      </w:r>
      <w:r w:rsidRPr="00165F6F">
        <w:rPr>
          <w:rFonts w:ascii="Arial" w:hAnsi="Arial" w:cs="Arial"/>
          <w:b/>
        </w:rPr>
        <w:t xml:space="preserve"> </w:t>
      </w:r>
      <w:r w:rsidRPr="00165F6F">
        <w:rPr>
          <w:rFonts w:ascii="Arial" w:hAnsi="Arial" w:cs="Arial"/>
        </w:rPr>
        <w:t>Soil stabilization has therefore become an essential strategy to improve the mechanical properties and resilience of both cohesive and non-cohesive soils. Traditional methods such as the use of cement, lime, or fly ash have been employed to reduce permeability, increase strength, and mitigate settlement. Traditional methods include the addition of cement, lime, or fly ash to enhance soil stability and reduce permeability. However, these methods often have limitations such as increased cost, environmental concerns, and potential long-term performance issues.</w:t>
      </w:r>
    </w:p>
    <w:p w14:paraId="3405006F" w14:textId="3DCCBD9B" w:rsidR="00165F6F" w:rsidRPr="00165F6F" w:rsidRDefault="00165F6F" w:rsidP="00165F6F">
      <w:pPr>
        <w:pStyle w:val="Body"/>
        <w:rPr>
          <w:rFonts w:ascii="Arial" w:hAnsi="Arial" w:cs="Arial"/>
        </w:rPr>
      </w:pPr>
      <w:r w:rsidRPr="00165F6F">
        <w:rPr>
          <w:rFonts w:ascii="Arial" w:hAnsi="Arial" w:cs="Arial"/>
        </w:rPr>
        <w:t xml:space="preserve">Traditional methods of soil stabilization often rely on costly and sometimes environmentally harmful materials such as cement and synthetic polymers (Archibong, et. al., 2020). These materials are commonly used because they tend to enhance the engineering properties of subgrade soils, such as strength, stiffness, and drainage. However, their use can have significant environmental and economic impacts (Amakye, et. al., 2021; Verma, et. al., 2021). Traditional stabilization techniques often involve the use of lime, cement, or chemicals which improve soil properties by enhancing strength, reducing compressibility, and minimizing volume changes (Barman, and Dash, 2022; </w:t>
      </w:r>
      <w:proofErr w:type="spellStart"/>
      <w:r w:rsidRPr="00165F6F">
        <w:rPr>
          <w:rFonts w:ascii="Arial" w:hAnsi="Arial" w:cs="Arial"/>
        </w:rPr>
        <w:t>Archibong¸</w:t>
      </w:r>
      <w:r w:rsidRPr="00165F6F">
        <w:rPr>
          <w:rFonts w:ascii="Arial" w:hAnsi="Arial" w:cs="Arial"/>
          <w:i/>
          <w:iCs/>
        </w:rPr>
        <w:t>et</w:t>
      </w:r>
      <w:proofErr w:type="spellEnd"/>
      <w:r w:rsidRPr="00165F6F">
        <w:rPr>
          <w:rFonts w:ascii="Arial" w:hAnsi="Arial" w:cs="Arial"/>
          <w:i/>
          <w:iCs/>
        </w:rPr>
        <w:t>. al.,</w:t>
      </w:r>
      <w:r w:rsidRPr="00165F6F">
        <w:rPr>
          <w:rFonts w:ascii="Arial" w:hAnsi="Arial" w:cs="Arial"/>
        </w:rPr>
        <w:t xml:space="preserve"> 2020; Gunarathne, </w:t>
      </w:r>
      <w:r w:rsidRPr="00165F6F">
        <w:rPr>
          <w:rFonts w:ascii="Arial" w:hAnsi="Arial" w:cs="Arial"/>
          <w:i/>
          <w:iCs/>
        </w:rPr>
        <w:t>et, al</w:t>
      </w:r>
      <w:r w:rsidRPr="00165F6F">
        <w:rPr>
          <w:rFonts w:ascii="Arial" w:hAnsi="Arial" w:cs="Arial"/>
        </w:rPr>
        <w:t xml:space="preserve">., 2020; Sánchez-Garrido, </w:t>
      </w:r>
      <w:r w:rsidRPr="00165F6F">
        <w:rPr>
          <w:rFonts w:ascii="Arial" w:hAnsi="Arial" w:cs="Arial"/>
          <w:i/>
          <w:iCs/>
        </w:rPr>
        <w:t>et. al.,</w:t>
      </w:r>
      <w:r w:rsidRPr="00165F6F">
        <w:rPr>
          <w:rFonts w:ascii="Arial" w:hAnsi="Arial" w:cs="Arial"/>
        </w:rPr>
        <w:t xml:space="preserve"> 2022; Verma, </w:t>
      </w:r>
      <w:r w:rsidRPr="00165F6F">
        <w:rPr>
          <w:rFonts w:ascii="Arial" w:hAnsi="Arial" w:cs="Arial"/>
          <w:i/>
          <w:iCs/>
        </w:rPr>
        <w:t>et. al.,</w:t>
      </w:r>
      <w:r w:rsidRPr="00165F6F">
        <w:rPr>
          <w:rFonts w:ascii="Arial" w:hAnsi="Arial" w:cs="Arial"/>
        </w:rPr>
        <w:t xml:space="preserve"> 2021; Huang, </w:t>
      </w:r>
      <w:r w:rsidRPr="00165F6F">
        <w:rPr>
          <w:rFonts w:ascii="Arial" w:hAnsi="Arial" w:cs="Arial"/>
          <w:i/>
          <w:iCs/>
        </w:rPr>
        <w:t>et. al.,</w:t>
      </w:r>
      <w:r w:rsidRPr="00165F6F">
        <w:rPr>
          <w:rFonts w:ascii="Arial" w:hAnsi="Arial" w:cs="Arial"/>
        </w:rPr>
        <w:t xml:space="preserve"> 2021). However, these methods can be costly and environmentally taxing, especially in regions where these materials are not readily available. These materials are often costly, contribute to carbon emissions, and rely on non-renewable resources, prompting the need for more sustainable alternatives (Tracy and Novak, 2023; Belaïd, 2022; Mohamad, </w:t>
      </w:r>
      <w:r w:rsidRPr="00165F6F">
        <w:rPr>
          <w:rFonts w:ascii="Arial" w:hAnsi="Arial" w:cs="Arial"/>
          <w:i/>
          <w:iCs/>
        </w:rPr>
        <w:t>et. al.,</w:t>
      </w:r>
      <w:r w:rsidRPr="00165F6F">
        <w:rPr>
          <w:rFonts w:ascii="Arial" w:hAnsi="Arial" w:cs="Arial"/>
        </w:rPr>
        <w:t xml:space="preserve"> 2022; </w:t>
      </w:r>
      <w:proofErr w:type="spellStart"/>
      <w:r w:rsidRPr="00165F6F">
        <w:rPr>
          <w:rFonts w:ascii="Arial" w:hAnsi="Arial" w:cs="Arial"/>
        </w:rPr>
        <w:t>Khaiyum</w:t>
      </w:r>
      <w:proofErr w:type="spellEnd"/>
      <w:r w:rsidRPr="00165F6F">
        <w:rPr>
          <w:rFonts w:ascii="Arial" w:hAnsi="Arial" w:cs="Arial"/>
        </w:rPr>
        <w:t xml:space="preserve">, </w:t>
      </w:r>
      <w:r w:rsidRPr="00165F6F">
        <w:rPr>
          <w:rFonts w:ascii="Arial" w:hAnsi="Arial" w:cs="Arial"/>
          <w:i/>
          <w:iCs/>
        </w:rPr>
        <w:t>et. al.,</w:t>
      </w:r>
      <w:r w:rsidRPr="00165F6F">
        <w:rPr>
          <w:rFonts w:ascii="Arial" w:hAnsi="Arial" w:cs="Arial"/>
        </w:rPr>
        <w:t xml:space="preserve"> 2023; Bodor, </w:t>
      </w:r>
      <w:r w:rsidRPr="00165F6F">
        <w:rPr>
          <w:rFonts w:ascii="Arial" w:hAnsi="Arial" w:cs="Arial"/>
          <w:i/>
          <w:iCs/>
        </w:rPr>
        <w:t>et. al.,</w:t>
      </w:r>
      <w:r w:rsidRPr="00165F6F">
        <w:rPr>
          <w:rFonts w:ascii="Arial" w:hAnsi="Arial" w:cs="Arial"/>
        </w:rPr>
        <w:t xml:space="preserve"> 2024; </w:t>
      </w:r>
      <w:proofErr w:type="spellStart"/>
      <w:r w:rsidRPr="00165F6F">
        <w:rPr>
          <w:rFonts w:ascii="Arial" w:hAnsi="Arial" w:cs="Arial"/>
        </w:rPr>
        <w:t>Wanner</w:t>
      </w:r>
      <w:proofErr w:type="spellEnd"/>
      <w:r w:rsidRPr="00165F6F">
        <w:rPr>
          <w:rFonts w:ascii="Arial" w:hAnsi="Arial" w:cs="Arial"/>
        </w:rPr>
        <w:t xml:space="preserve">, 2021). One of the most pressing issues associated with conventional soil stabilizers is their environmental impact (Gunarathne, </w:t>
      </w:r>
      <w:r w:rsidRPr="00165F6F">
        <w:rPr>
          <w:rFonts w:ascii="Arial" w:hAnsi="Arial" w:cs="Arial"/>
          <w:i/>
          <w:iCs/>
        </w:rPr>
        <w:t>et, al</w:t>
      </w:r>
      <w:r w:rsidRPr="00165F6F">
        <w:rPr>
          <w:rFonts w:ascii="Arial" w:hAnsi="Arial" w:cs="Arial"/>
        </w:rPr>
        <w:t xml:space="preserve">., 2020; Sánchez-Garrido, </w:t>
      </w:r>
      <w:r w:rsidRPr="00165F6F">
        <w:rPr>
          <w:rFonts w:ascii="Arial" w:hAnsi="Arial" w:cs="Arial"/>
          <w:i/>
          <w:iCs/>
        </w:rPr>
        <w:t>et. al.,</w:t>
      </w:r>
      <w:r w:rsidRPr="00165F6F">
        <w:rPr>
          <w:rFonts w:ascii="Arial" w:hAnsi="Arial" w:cs="Arial"/>
        </w:rPr>
        <w:t xml:space="preserve"> 2022). The production of cement alone is responsible for approximately 8% of global carbon dioxide emissions (Tracy and Novak, 2023; </w:t>
      </w:r>
      <w:proofErr w:type="spellStart"/>
      <w:r w:rsidRPr="00165F6F">
        <w:rPr>
          <w:rFonts w:ascii="Arial" w:hAnsi="Arial" w:cs="Arial"/>
        </w:rPr>
        <w:t>Khaiyum</w:t>
      </w:r>
      <w:proofErr w:type="spellEnd"/>
      <w:r w:rsidRPr="00165F6F">
        <w:rPr>
          <w:rFonts w:ascii="Arial" w:hAnsi="Arial" w:cs="Arial"/>
        </w:rPr>
        <w:t xml:space="preserve">, </w:t>
      </w:r>
      <w:r w:rsidRPr="00165F6F">
        <w:rPr>
          <w:rFonts w:ascii="Arial" w:hAnsi="Arial" w:cs="Arial"/>
          <w:i/>
          <w:iCs/>
        </w:rPr>
        <w:t>et. al.,</w:t>
      </w:r>
      <w:r w:rsidRPr="00165F6F">
        <w:rPr>
          <w:rFonts w:ascii="Arial" w:hAnsi="Arial" w:cs="Arial"/>
        </w:rPr>
        <w:t xml:space="preserve"> 2023). Additionally, the use of synthetic polymers can lead to soil and water pollution due to their non-biodegradable nature (Bodor, </w:t>
      </w:r>
      <w:r w:rsidRPr="00165F6F">
        <w:rPr>
          <w:rFonts w:ascii="Arial" w:hAnsi="Arial" w:cs="Arial"/>
          <w:i/>
          <w:iCs/>
        </w:rPr>
        <w:t>et. al.,</w:t>
      </w:r>
      <w:r w:rsidRPr="00165F6F">
        <w:rPr>
          <w:rFonts w:ascii="Arial" w:hAnsi="Arial" w:cs="Arial"/>
        </w:rPr>
        <w:t xml:space="preserve"> 2024; </w:t>
      </w:r>
      <w:proofErr w:type="spellStart"/>
      <w:r w:rsidRPr="00165F6F">
        <w:rPr>
          <w:rFonts w:ascii="Arial" w:hAnsi="Arial" w:cs="Arial"/>
        </w:rPr>
        <w:t>Wanner</w:t>
      </w:r>
      <w:proofErr w:type="spellEnd"/>
      <w:r w:rsidRPr="00165F6F">
        <w:rPr>
          <w:rFonts w:ascii="Arial" w:hAnsi="Arial" w:cs="Arial"/>
        </w:rPr>
        <w:t xml:space="preserve">, 2021). Lime stabilization, although less carbon-intensive, can alter the pH of the soil, potentially leading to negative ecological impacts, including disruption of local flora and fauna. Moreover, the use of synthetic polymers, which are non-biodegradable, raises concerns about long-term soil and groundwater contamination (Bodor, </w:t>
      </w:r>
      <w:r w:rsidRPr="00165F6F">
        <w:rPr>
          <w:rFonts w:ascii="Arial" w:hAnsi="Arial" w:cs="Arial"/>
          <w:i/>
          <w:iCs/>
        </w:rPr>
        <w:t>et. al.,</w:t>
      </w:r>
      <w:r w:rsidRPr="00165F6F">
        <w:rPr>
          <w:rFonts w:ascii="Arial" w:hAnsi="Arial" w:cs="Arial"/>
        </w:rPr>
        <w:t xml:space="preserve"> 2024; </w:t>
      </w:r>
      <w:proofErr w:type="spellStart"/>
      <w:r w:rsidRPr="00165F6F">
        <w:rPr>
          <w:rFonts w:ascii="Arial" w:hAnsi="Arial" w:cs="Arial"/>
        </w:rPr>
        <w:t>Wanner</w:t>
      </w:r>
      <w:proofErr w:type="spellEnd"/>
      <w:r w:rsidRPr="00165F6F">
        <w:rPr>
          <w:rFonts w:ascii="Arial" w:hAnsi="Arial" w:cs="Arial"/>
        </w:rPr>
        <w:t xml:space="preserve">, 2021). These polymers can persist in the environment for extended periods, leading to microplastic pollution and potential harm to ecosystems (Ali, </w:t>
      </w:r>
      <w:r w:rsidRPr="00165F6F">
        <w:rPr>
          <w:rFonts w:ascii="Arial" w:hAnsi="Arial" w:cs="Arial"/>
          <w:i/>
          <w:iCs/>
        </w:rPr>
        <w:t>et. al.,</w:t>
      </w:r>
      <w:r w:rsidRPr="00165F6F">
        <w:rPr>
          <w:rFonts w:ascii="Arial" w:hAnsi="Arial" w:cs="Arial"/>
        </w:rPr>
        <w:t xml:space="preserve"> 2024; Ziani, </w:t>
      </w:r>
      <w:r w:rsidRPr="00165F6F">
        <w:rPr>
          <w:rFonts w:ascii="Arial" w:hAnsi="Arial" w:cs="Arial"/>
          <w:i/>
          <w:iCs/>
        </w:rPr>
        <w:t>et. al.,</w:t>
      </w:r>
      <w:r w:rsidRPr="00165F6F">
        <w:rPr>
          <w:rFonts w:ascii="Arial" w:hAnsi="Arial" w:cs="Arial"/>
        </w:rPr>
        <w:t xml:space="preserve"> 2023</w:t>
      </w:r>
      <w:r w:rsidR="006D7EC8">
        <w:rPr>
          <w:rFonts w:ascii="Arial" w:hAnsi="Arial" w:cs="Arial"/>
        </w:rPr>
        <w:t>; Alaka and Osman, 2023</w:t>
      </w:r>
      <w:r w:rsidRPr="00165F6F">
        <w:rPr>
          <w:rFonts w:ascii="Arial" w:hAnsi="Arial" w:cs="Arial"/>
        </w:rPr>
        <w:t>).</w:t>
      </w:r>
      <w:r w:rsidR="006D7EC8">
        <w:rPr>
          <w:rFonts w:ascii="Arial" w:hAnsi="Arial" w:cs="Arial"/>
        </w:rPr>
        <w:t xml:space="preserve"> </w:t>
      </w:r>
      <w:r w:rsidRPr="00165F6F">
        <w:rPr>
          <w:rFonts w:ascii="Arial" w:hAnsi="Arial" w:cs="Arial"/>
        </w:rPr>
        <w:t xml:space="preserve">The increasing costs and environmental concerns associated with conventional subgrade stabilization methods necessitate the exploration of alternative materials that are both effective and sustainable. Traditional stabilizers such as cement, lime, and synthetic polymers, while effective, contribute to high construction costs and significant environmental impacts due to their production processes and long-term degradation (Jaffar, et. al., 2022). Thus, it becomes necessary to research into other stabilization techniques that causes less environmental degradation. One promising approach to address these challenges is the use of nanotechnology-based additives. In recent </w:t>
      </w:r>
      <w:r w:rsidRPr="00165F6F">
        <w:rPr>
          <w:rFonts w:ascii="Arial" w:hAnsi="Arial" w:cs="Arial"/>
        </w:rPr>
        <w:lastRenderedPageBreak/>
        <w:t xml:space="preserve">years, nanotechnology has emerged as a promising alternative for soil stabilization (Kumar and Devi, 2023). </w:t>
      </w:r>
    </w:p>
    <w:p w14:paraId="3EEE6396" w14:textId="36625E1B" w:rsidR="00165F6F" w:rsidRPr="00165F6F" w:rsidRDefault="00165F6F" w:rsidP="00165F6F">
      <w:pPr>
        <w:pStyle w:val="Body"/>
        <w:rPr>
          <w:rFonts w:ascii="Arial" w:hAnsi="Arial" w:cs="Arial"/>
        </w:rPr>
      </w:pPr>
      <w:r w:rsidRPr="00165F6F">
        <w:rPr>
          <w:rFonts w:ascii="Arial" w:hAnsi="Arial" w:cs="Arial"/>
        </w:rPr>
        <w:t xml:space="preserve">The stabilization of soils using chemical additives has gained significant attention in the construction industry due to its potential to enhance the engineering properties of problematic soils (Barman and Dash, 2022; Taskin </w:t>
      </w:r>
      <w:r w:rsidRPr="00165F6F">
        <w:rPr>
          <w:rFonts w:ascii="Arial" w:hAnsi="Arial" w:cs="Arial"/>
          <w:i/>
          <w:iCs/>
        </w:rPr>
        <w:t>et. al.,</w:t>
      </w:r>
      <w:r w:rsidRPr="00165F6F">
        <w:rPr>
          <w:rFonts w:ascii="Arial" w:hAnsi="Arial" w:cs="Arial"/>
        </w:rPr>
        <w:t xml:space="preserve"> 2023</w:t>
      </w:r>
      <w:r w:rsidR="006F2403">
        <w:rPr>
          <w:rFonts w:ascii="Arial" w:hAnsi="Arial" w:cs="Arial"/>
        </w:rPr>
        <w:t xml:space="preserve">; </w:t>
      </w:r>
      <w:r w:rsidR="006F2403" w:rsidRPr="004948B4">
        <w:rPr>
          <w:rFonts w:ascii="Arial" w:hAnsi="Arial" w:cs="Arial"/>
          <w:highlight w:val="yellow"/>
        </w:rPr>
        <w:t xml:space="preserve">Nguyen </w:t>
      </w:r>
      <w:r w:rsidR="006F2403" w:rsidRPr="004948B4">
        <w:rPr>
          <w:rFonts w:ascii="Arial" w:hAnsi="Arial" w:cs="Arial"/>
          <w:i/>
          <w:iCs/>
          <w:highlight w:val="yellow"/>
        </w:rPr>
        <w:t>et al.,</w:t>
      </w:r>
      <w:r w:rsidR="006F2403" w:rsidRPr="004948B4">
        <w:rPr>
          <w:rFonts w:ascii="Arial" w:hAnsi="Arial" w:cs="Arial"/>
          <w:highlight w:val="yellow"/>
        </w:rPr>
        <w:t xml:space="preserve"> 2023</w:t>
      </w:r>
      <w:r w:rsidR="004948B4">
        <w:rPr>
          <w:rFonts w:ascii="Arial" w:hAnsi="Arial" w:cs="Arial"/>
        </w:rPr>
        <w:t xml:space="preserve">; </w:t>
      </w:r>
      <w:r w:rsidR="004948B4" w:rsidRPr="004948B4">
        <w:rPr>
          <w:rFonts w:ascii="Arial" w:hAnsi="Arial" w:cs="Arial"/>
          <w:highlight w:val="yellow"/>
        </w:rPr>
        <w:t xml:space="preserve">Owino </w:t>
      </w:r>
      <w:r w:rsidR="004948B4" w:rsidRPr="004948B4">
        <w:rPr>
          <w:rFonts w:ascii="Arial" w:hAnsi="Arial" w:cs="Arial"/>
          <w:i/>
          <w:iCs/>
          <w:highlight w:val="yellow"/>
        </w:rPr>
        <w:t>et al.,</w:t>
      </w:r>
      <w:r w:rsidR="004948B4" w:rsidRPr="004948B4">
        <w:rPr>
          <w:rFonts w:ascii="Arial" w:hAnsi="Arial" w:cs="Arial"/>
          <w:highlight w:val="yellow"/>
        </w:rPr>
        <w:t xml:space="preserve"> 2022</w:t>
      </w:r>
      <w:r w:rsidRPr="00165F6F">
        <w:rPr>
          <w:rFonts w:ascii="Arial" w:hAnsi="Arial" w:cs="Arial"/>
        </w:rPr>
        <w:t xml:space="preserve">). Among various stabilizing agents, nano-based chemicals are emerging as innovative solutions for improving soil strength, durability, and resistance to environmental stresses (Yadav </w:t>
      </w:r>
      <w:r w:rsidRPr="00165F6F">
        <w:rPr>
          <w:rFonts w:ascii="Arial" w:hAnsi="Arial" w:cs="Arial"/>
          <w:i/>
          <w:iCs/>
        </w:rPr>
        <w:t>et. al.,</w:t>
      </w:r>
      <w:r w:rsidRPr="00165F6F">
        <w:rPr>
          <w:rFonts w:ascii="Arial" w:hAnsi="Arial" w:cs="Arial"/>
        </w:rPr>
        <w:t xml:space="preserve"> 2023; </w:t>
      </w:r>
      <w:bookmarkStart w:id="0" w:name="_Hlk180419615"/>
      <w:r w:rsidRPr="00165F6F">
        <w:rPr>
          <w:rFonts w:ascii="Arial" w:hAnsi="Arial" w:cs="Arial"/>
        </w:rPr>
        <w:t>Kumar</w:t>
      </w:r>
      <w:bookmarkEnd w:id="0"/>
      <w:r w:rsidRPr="00165F6F">
        <w:rPr>
          <w:rFonts w:ascii="Arial" w:hAnsi="Arial" w:cs="Arial"/>
        </w:rPr>
        <w:t xml:space="preserve"> and Devi, 2023). Nanomaterials, due to their unique properties and high surface area to volume ratio, offer potential advantages in enhancing soil properties without the drawbacks associated with traditional additives (Sharma and Kumar, 2024). </w:t>
      </w:r>
      <w:proofErr w:type="spellStart"/>
      <w:r w:rsidR="006D7EC8">
        <w:rPr>
          <w:rFonts w:ascii="Arial" w:hAnsi="Arial" w:cs="Arial"/>
        </w:rPr>
        <w:t>Terrasil</w:t>
      </w:r>
      <w:proofErr w:type="spellEnd"/>
      <w:r w:rsidRPr="00165F6F">
        <w:rPr>
          <w:rFonts w:ascii="Arial" w:hAnsi="Arial" w:cs="Arial"/>
        </w:rPr>
        <w:t xml:space="preserve">, a water-soluble nano chemical, has shown promise in enhancing soil properties by reducing permeability and increasing strength, making it an attractive option for soil stabilization in diverse applications. </w:t>
      </w:r>
      <w:proofErr w:type="spellStart"/>
      <w:r w:rsidR="006D7EC8">
        <w:rPr>
          <w:rFonts w:ascii="Arial" w:hAnsi="Arial" w:cs="Arial"/>
        </w:rPr>
        <w:t>Terrasil</w:t>
      </w:r>
      <w:proofErr w:type="spellEnd"/>
      <w:r w:rsidRPr="00165F6F">
        <w:rPr>
          <w:rFonts w:ascii="Arial" w:hAnsi="Arial" w:cs="Arial"/>
        </w:rPr>
        <w:t xml:space="preserve"> nano chemical, a nanotechnology-based additive, is designed to interact at the molecular level with soil particles, potentially improving cohesion, shear strength, and overall stability (</w:t>
      </w:r>
      <w:proofErr w:type="spellStart"/>
      <w:r w:rsidRPr="00165F6F">
        <w:rPr>
          <w:rFonts w:ascii="Arial" w:hAnsi="Arial" w:cs="Arial"/>
        </w:rPr>
        <w:t>Karumanchi</w:t>
      </w:r>
      <w:proofErr w:type="spellEnd"/>
      <w:r w:rsidRPr="00165F6F">
        <w:rPr>
          <w:rFonts w:ascii="Arial" w:hAnsi="Arial" w:cs="Arial"/>
        </w:rPr>
        <w:t xml:space="preserve"> </w:t>
      </w:r>
      <w:r w:rsidRPr="00165F6F">
        <w:rPr>
          <w:rFonts w:ascii="Arial" w:hAnsi="Arial" w:cs="Arial"/>
          <w:i/>
          <w:iCs/>
        </w:rPr>
        <w:t>et. al.,</w:t>
      </w:r>
      <w:r w:rsidRPr="00165F6F">
        <w:rPr>
          <w:rFonts w:ascii="Arial" w:hAnsi="Arial" w:cs="Arial"/>
        </w:rPr>
        <w:t xml:space="preserve"> 2020). </w:t>
      </w:r>
      <w:proofErr w:type="spellStart"/>
      <w:r w:rsidR="006D7EC8">
        <w:rPr>
          <w:rFonts w:ascii="Arial" w:hAnsi="Arial" w:cs="Arial"/>
        </w:rPr>
        <w:t>Terrasil</w:t>
      </w:r>
      <w:proofErr w:type="spellEnd"/>
      <w:r w:rsidRPr="00165F6F">
        <w:rPr>
          <w:rFonts w:ascii="Arial" w:hAnsi="Arial" w:cs="Arial"/>
        </w:rPr>
        <w:t xml:space="preserve"> nano chemical, offers the potential to improve soil stabilization and mitigate associated engineering problems.</w:t>
      </w:r>
    </w:p>
    <w:p w14:paraId="699C9A8F" w14:textId="7D8C856A" w:rsidR="00165F6F" w:rsidRDefault="00165F6F" w:rsidP="00165F6F">
      <w:pPr>
        <w:pStyle w:val="Body"/>
        <w:spacing w:after="0"/>
        <w:rPr>
          <w:rFonts w:ascii="Arial" w:hAnsi="Arial" w:cs="Arial"/>
        </w:rPr>
      </w:pPr>
      <w:r w:rsidRPr="00165F6F">
        <w:rPr>
          <w:rFonts w:ascii="Arial" w:hAnsi="Arial" w:cs="Arial"/>
        </w:rPr>
        <w:t xml:space="preserve">This study focuses on evaluating the effectiveness of </w:t>
      </w:r>
      <w:proofErr w:type="spellStart"/>
      <w:r w:rsidR="006D7EC8">
        <w:rPr>
          <w:rFonts w:ascii="Arial" w:hAnsi="Arial" w:cs="Arial"/>
        </w:rPr>
        <w:t>Terrasil</w:t>
      </w:r>
      <w:proofErr w:type="spellEnd"/>
      <w:r w:rsidRPr="00165F6F">
        <w:rPr>
          <w:rFonts w:ascii="Arial" w:hAnsi="Arial" w:cs="Arial"/>
        </w:rPr>
        <w:t xml:space="preserve"> nano chemical in stabilizing non-cohesive soils. </w:t>
      </w:r>
      <w:r w:rsidR="006D7EC8" w:rsidRPr="006D7EC8">
        <w:rPr>
          <w:rFonts w:ascii="Arial" w:hAnsi="Arial" w:cs="Arial"/>
          <w:highlight w:val="yellow"/>
        </w:rPr>
        <w:t xml:space="preserve">As infrastructure projects increasingly demand sustainable and durable soil stabilization solutions, particularly in regions with problematic soils, this study provides evidence-based data on the effectiveness of </w:t>
      </w:r>
      <w:proofErr w:type="spellStart"/>
      <w:r w:rsidR="006D7EC8">
        <w:rPr>
          <w:rFonts w:ascii="Arial" w:hAnsi="Arial" w:cs="Arial"/>
          <w:highlight w:val="yellow"/>
        </w:rPr>
        <w:t>Terrasil</w:t>
      </w:r>
      <w:proofErr w:type="spellEnd"/>
      <w:r w:rsidR="006D7EC8" w:rsidRPr="006D7EC8">
        <w:rPr>
          <w:rFonts w:ascii="Arial" w:hAnsi="Arial" w:cs="Arial"/>
          <w:highlight w:val="yellow"/>
        </w:rPr>
        <w:t xml:space="preserve"> in improving shear strength, settlement, and consolidation behavior. The findings extend current knowledge on chemical stabilization by demonstrating the advantages of </w:t>
      </w:r>
      <w:proofErr w:type="spellStart"/>
      <w:r w:rsidR="006D7EC8" w:rsidRPr="006D7EC8">
        <w:rPr>
          <w:rFonts w:ascii="Arial" w:hAnsi="Arial" w:cs="Arial"/>
          <w:highlight w:val="yellow"/>
        </w:rPr>
        <w:t>nanochemical</w:t>
      </w:r>
      <w:proofErr w:type="spellEnd"/>
      <w:r w:rsidR="006D7EC8" w:rsidRPr="006D7EC8">
        <w:rPr>
          <w:rFonts w:ascii="Arial" w:hAnsi="Arial" w:cs="Arial"/>
          <w:highlight w:val="yellow"/>
        </w:rPr>
        <w:t xml:space="preserve"> treatment over traditional binders.</w:t>
      </w:r>
      <w:r w:rsidR="006D7EC8">
        <w:rPr>
          <w:rFonts w:ascii="Arial" w:hAnsi="Arial" w:cs="Arial"/>
        </w:rPr>
        <w:t xml:space="preserve"> </w:t>
      </w:r>
      <w:r w:rsidRPr="00165F6F">
        <w:rPr>
          <w:rFonts w:ascii="Arial" w:hAnsi="Arial" w:cs="Arial"/>
        </w:rPr>
        <w:t xml:space="preserve">The research aims to assess how the application of </w:t>
      </w:r>
      <w:proofErr w:type="spellStart"/>
      <w:r w:rsidR="006D7EC8">
        <w:rPr>
          <w:rFonts w:ascii="Arial" w:hAnsi="Arial" w:cs="Arial"/>
        </w:rPr>
        <w:t>Terrasil</w:t>
      </w:r>
      <w:proofErr w:type="spellEnd"/>
      <w:r w:rsidRPr="00165F6F">
        <w:rPr>
          <w:rFonts w:ascii="Arial" w:hAnsi="Arial" w:cs="Arial"/>
        </w:rPr>
        <w:t xml:space="preserve"> nano chemical influences critical engineering parameters, including California Bearing Ratio (CBR), shear strength, and consolidation characteristics. These parameters are crucial indicators of soil stability, load-bearing capacity, and settlement behavior, which are essential for determining the suitability of soils in construction projects. By investigating the performance and resilience of non-cohesive soils treated with </w:t>
      </w:r>
      <w:proofErr w:type="spellStart"/>
      <w:r w:rsidR="006D7EC8">
        <w:rPr>
          <w:rFonts w:ascii="Arial" w:hAnsi="Arial" w:cs="Arial"/>
        </w:rPr>
        <w:t>Terrasil</w:t>
      </w:r>
      <w:proofErr w:type="spellEnd"/>
      <w:r w:rsidRPr="00165F6F">
        <w:rPr>
          <w:rFonts w:ascii="Arial" w:hAnsi="Arial" w:cs="Arial"/>
        </w:rPr>
        <w:t xml:space="preserve"> nano chemical, this study seeks to contribute valuable insights into the feasibility and effectiveness of nanotechnology-based solutions in soil stabilization practices. </w:t>
      </w:r>
    </w:p>
    <w:p w14:paraId="27F1C80C" w14:textId="77777777" w:rsidR="00790ADA" w:rsidRPr="00FB3A86" w:rsidRDefault="00790ADA" w:rsidP="00441B6F">
      <w:pPr>
        <w:pStyle w:val="Body"/>
        <w:spacing w:after="0"/>
        <w:rPr>
          <w:rFonts w:ascii="Arial" w:hAnsi="Arial" w:cs="Arial"/>
        </w:rPr>
      </w:pPr>
    </w:p>
    <w:p w14:paraId="019440CA" w14:textId="47C48BA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2F86435A" w14:textId="77777777" w:rsidR="00790ADA" w:rsidRPr="00FB3A86" w:rsidRDefault="00790ADA" w:rsidP="00441B6F">
      <w:pPr>
        <w:pStyle w:val="AbstHead"/>
        <w:spacing w:after="0"/>
        <w:jc w:val="both"/>
        <w:rPr>
          <w:rFonts w:ascii="Arial" w:hAnsi="Arial" w:cs="Arial"/>
        </w:rPr>
      </w:pPr>
    </w:p>
    <w:p w14:paraId="77DF3C98" w14:textId="41B782F3" w:rsidR="00402250" w:rsidRPr="00402250" w:rsidRDefault="00402250" w:rsidP="00402250">
      <w:pPr>
        <w:pStyle w:val="Body"/>
        <w:rPr>
          <w:rFonts w:ascii="Arial" w:hAnsi="Arial" w:cs="Arial"/>
        </w:rPr>
      </w:pPr>
      <w:r w:rsidRPr="00402250">
        <w:rPr>
          <w:rFonts w:ascii="Arial" w:hAnsi="Arial" w:cs="Arial"/>
        </w:rPr>
        <w:t xml:space="preserve">Soil samples were obtained and classified to assess and deduce soil type (particle size analysis and </w:t>
      </w:r>
      <w:r w:rsidR="006D7EC8" w:rsidRPr="00402250">
        <w:rPr>
          <w:rFonts w:ascii="Arial" w:hAnsi="Arial" w:cs="Arial"/>
        </w:rPr>
        <w:t>Atterberg</w:t>
      </w:r>
      <w:r w:rsidRPr="00402250">
        <w:rPr>
          <w:rFonts w:ascii="Arial" w:hAnsi="Arial" w:cs="Arial"/>
        </w:rPr>
        <w:t xml:space="preserve"> limit test). Natural moisture content of the soil was determined and compaction test was carried out in order to determine the optimum moisture content and maximum dry density of the soil. Finally, shear strength, CBR and Consolidation tests were carried out, in order to determine the effects of varying percentages of </w:t>
      </w:r>
      <w:proofErr w:type="spellStart"/>
      <w:r w:rsidR="006D7EC8">
        <w:rPr>
          <w:rFonts w:ascii="Arial" w:hAnsi="Arial" w:cs="Arial"/>
        </w:rPr>
        <w:t>Terrasil</w:t>
      </w:r>
      <w:proofErr w:type="spellEnd"/>
      <w:r w:rsidRPr="00402250">
        <w:rPr>
          <w:rFonts w:ascii="Arial" w:hAnsi="Arial" w:cs="Arial"/>
        </w:rPr>
        <w:t xml:space="preserve"> on the soil samples.</w:t>
      </w:r>
      <w:r w:rsidR="00273A90">
        <w:rPr>
          <w:rFonts w:ascii="Arial" w:hAnsi="Arial" w:cs="Arial"/>
        </w:rPr>
        <w:t xml:space="preserve"> </w:t>
      </w:r>
      <w:r w:rsidR="00273A90" w:rsidRPr="00273A90">
        <w:rPr>
          <w:rFonts w:ascii="Arial" w:hAnsi="Arial" w:cs="Arial"/>
        </w:rPr>
        <w:t xml:space="preserve">All tests were carried out in triplicates to ensure reproducibility, and the results presented represent average values. </w:t>
      </w:r>
      <w:r w:rsidR="00273A90" w:rsidRPr="00CA33CF">
        <w:rPr>
          <w:rFonts w:ascii="Arial" w:hAnsi="Arial" w:cs="Arial"/>
          <w:highlight w:val="yellow"/>
        </w:rPr>
        <w:t xml:space="preserve">The effectiveness of </w:t>
      </w:r>
      <w:proofErr w:type="spellStart"/>
      <w:r w:rsidR="00273A90" w:rsidRPr="00CA33CF">
        <w:rPr>
          <w:rFonts w:ascii="Arial" w:hAnsi="Arial" w:cs="Arial"/>
          <w:highlight w:val="yellow"/>
        </w:rPr>
        <w:t>Terrasil</w:t>
      </w:r>
      <w:proofErr w:type="spellEnd"/>
      <w:r w:rsidR="00273A90" w:rsidRPr="00CA33CF">
        <w:rPr>
          <w:rFonts w:ascii="Arial" w:hAnsi="Arial" w:cs="Arial"/>
          <w:highlight w:val="yellow"/>
        </w:rPr>
        <w:t xml:space="preserve"> treatment was evaluated by comparing the performance of stabilized samples with untreated soils in similar conditions.</w:t>
      </w:r>
    </w:p>
    <w:p w14:paraId="70120566" w14:textId="11D603E0" w:rsidR="00402250" w:rsidRPr="00402250" w:rsidRDefault="00940B10" w:rsidP="00402250">
      <w:pPr>
        <w:pStyle w:val="Body"/>
        <w:rPr>
          <w:rFonts w:ascii="Arial" w:hAnsi="Arial" w:cs="Arial"/>
        </w:rPr>
      </w:pPr>
      <w:r>
        <w:rPr>
          <w:rFonts w:ascii="Arial" w:hAnsi="Arial" w:cs="Arial"/>
          <w:b/>
        </w:rPr>
        <w:t xml:space="preserve">2.1 </w:t>
      </w:r>
      <w:r w:rsidR="00402250" w:rsidRPr="00402250">
        <w:rPr>
          <w:rFonts w:ascii="Arial" w:hAnsi="Arial" w:cs="Arial"/>
          <w:b/>
        </w:rPr>
        <w:t>Materials Collection</w:t>
      </w:r>
    </w:p>
    <w:p w14:paraId="7E6606C6" w14:textId="77777777" w:rsidR="00402250" w:rsidRPr="00402250" w:rsidRDefault="00402250" w:rsidP="00402250">
      <w:pPr>
        <w:pStyle w:val="Body"/>
        <w:rPr>
          <w:rFonts w:ascii="Arial" w:hAnsi="Arial" w:cs="Arial"/>
        </w:rPr>
      </w:pPr>
      <w:r w:rsidRPr="00402250">
        <w:rPr>
          <w:rFonts w:ascii="Arial" w:hAnsi="Arial" w:cs="Arial"/>
        </w:rPr>
        <w:t xml:space="preserve">The soil utilized in the study were obtained as a disturbed sample from a borrow pit in </w:t>
      </w:r>
      <w:proofErr w:type="spellStart"/>
      <w:r w:rsidRPr="00402250">
        <w:rPr>
          <w:rFonts w:ascii="Arial" w:hAnsi="Arial" w:cs="Arial"/>
        </w:rPr>
        <w:t>Mojuade</w:t>
      </w:r>
      <w:proofErr w:type="spellEnd"/>
      <w:r w:rsidRPr="00402250">
        <w:rPr>
          <w:rFonts w:ascii="Arial" w:hAnsi="Arial" w:cs="Arial"/>
        </w:rPr>
        <w:t xml:space="preserve"> Area Ibadan, Oyo state. The soil samples were carefully packaged (as shown in Fig. 1 and Fig. 2), air-dried, and transported to the laboratory.</w:t>
      </w:r>
    </w:p>
    <w:p w14:paraId="2B1EC95A" w14:textId="68D5FD09" w:rsidR="00402250" w:rsidRPr="00402250" w:rsidRDefault="006D7EC8" w:rsidP="00402250">
      <w:pPr>
        <w:pStyle w:val="Body"/>
        <w:rPr>
          <w:rFonts w:ascii="Arial" w:hAnsi="Arial" w:cs="Arial"/>
        </w:rPr>
      </w:pPr>
      <w:proofErr w:type="spellStart"/>
      <w:r>
        <w:rPr>
          <w:rFonts w:ascii="Arial" w:hAnsi="Arial" w:cs="Arial"/>
        </w:rPr>
        <w:t>Terrasil</w:t>
      </w:r>
      <w:proofErr w:type="spellEnd"/>
      <w:r w:rsidR="00402250" w:rsidRPr="00402250">
        <w:rPr>
          <w:rFonts w:ascii="Arial" w:hAnsi="Arial" w:cs="Arial"/>
        </w:rPr>
        <w:t xml:space="preserve"> Nano chemical is an </w:t>
      </w:r>
      <w:proofErr w:type="spellStart"/>
      <w:r w:rsidR="00402250" w:rsidRPr="00402250">
        <w:rPr>
          <w:rFonts w:ascii="Arial" w:hAnsi="Arial" w:cs="Arial"/>
        </w:rPr>
        <w:t>organosilane</w:t>
      </w:r>
      <w:proofErr w:type="spellEnd"/>
      <w:r w:rsidR="00402250" w:rsidRPr="00402250">
        <w:rPr>
          <w:rFonts w:ascii="Arial" w:hAnsi="Arial" w:cs="Arial"/>
        </w:rPr>
        <w:t xml:space="preserve"> compound that was acquired from a chemical trader in Ibadan. It reacts with soil particles, forming hydrophobic layers on the soil surface. </w:t>
      </w:r>
      <w:proofErr w:type="spellStart"/>
      <w:r>
        <w:rPr>
          <w:rFonts w:ascii="Arial" w:hAnsi="Arial" w:cs="Arial"/>
        </w:rPr>
        <w:t>Terrasil</w:t>
      </w:r>
      <w:proofErr w:type="spellEnd"/>
      <w:r w:rsidR="00402250" w:rsidRPr="00402250">
        <w:rPr>
          <w:rFonts w:ascii="Arial" w:hAnsi="Arial" w:cs="Arial"/>
        </w:rPr>
        <w:t xml:space="preserve"> </w:t>
      </w:r>
      <w:r w:rsidR="00402250" w:rsidRPr="00402250">
        <w:rPr>
          <w:rFonts w:ascii="Arial" w:hAnsi="Arial" w:cs="Arial"/>
        </w:rPr>
        <w:lastRenderedPageBreak/>
        <w:t>a water-soluble compound, creates a permanent water-repellent Nano layer on various soil types by converting silanol groups into water-repellent siloxane bonds.</w:t>
      </w:r>
    </w:p>
    <w:p w14:paraId="571F3911" w14:textId="5E58E9AC" w:rsidR="00402250" w:rsidRPr="00402250" w:rsidRDefault="00402250" w:rsidP="00402250">
      <w:pPr>
        <w:pStyle w:val="Body"/>
        <w:rPr>
          <w:rFonts w:ascii="Arial" w:hAnsi="Arial" w:cs="Arial"/>
        </w:rPr>
      </w:pPr>
      <w:r w:rsidRPr="00402250">
        <w:rPr>
          <w:rFonts w:ascii="Arial" w:hAnsi="Arial" w:cs="Arial"/>
        </w:rPr>
        <w:t>The water to be used in testing and mixing procedures was sourced from the Geotechnical Laboratory of the Civil Engineering Department in Lead city university, Ibadan, Oyo State. This ensured clean, impurity-free water suitable for testing, meeting potable standards.</w:t>
      </w:r>
      <w:r w:rsidR="00CA33CF">
        <w:rPr>
          <w:rFonts w:ascii="Arial" w:hAnsi="Arial" w:cs="Arial"/>
        </w:rPr>
        <w:t xml:space="preserve"> </w:t>
      </w:r>
      <w:r w:rsidR="00CA33CF" w:rsidRPr="00CA33CF">
        <w:rPr>
          <w:rFonts w:ascii="Arial" w:hAnsi="Arial" w:cs="Arial"/>
          <w:highlight w:val="yellow"/>
        </w:rPr>
        <w:t xml:space="preserve">To apply the additive, predetermined dosages of </w:t>
      </w:r>
      <w:proofErr w:type="spellStart"/>
      <w:r w:rsidR="00CA33CF" w:rsidRPr="00CA33CF">
        <w:rPr>
          <w:rFonts w:ascii="Arial" w:hAnsi="Arial" w:cs="Arial"/>
          <w:highlight w:val="yellow"/>
        </w:rPr>
        <w:t>Terrasil</w:t>
      </w:r>
      <w:proofErr w:type="spellEnd"/>
      <w:r w:rsidR="00CA33CF" w:rsidRPr="00CA33CF">
        <w:rPr>
          <w:rFonts w:ascii="Arial" w:hAnsi="Arial" w:cs="Arial"/>
          <w:highlight w:val="yellow"/>
        </w:rPr>
        <w:t xml:space="preserve"> (0%, 3%, 6%, and 9% by dry weight of soil) were first diluted in water and then thoroughly mixed with the soil samples to ensure uniform distribution.</w:t>
      </w:r>
    </w:p>
    <w:p w14:paraId="63DD23EE" w14:textId="77777777" w:rsidR="00402250" w:rsidRPr="00402250" w:rsidRDefault="00402250" w:rsidP="00402250">
      <w:pPr>
        <w:pStyle w:val="Body"/>
        <w:rPr>
          <w:rFonts w:ascii="Arial" w:hAnsi="Arial" w:cs="Arial"/>
        </w:rPr>
      </w:pPr>
    </w:p>
    <w:p w14:paraId="35B84ABC" w14:textId="77777777" w:rsidR="00402250" w:rsidRPr="00402250" w:rsidRDefault="00402250" w:rsidP="00402250">
      <w:pPr>
        <w:pStyle w:val="Body"/>
        <w:rPr>
          <w:rFonts w:ascii="Arial" w:hAnsi="Arial" w:cs="Arial"/>
          <w:b/>
        </w:rPr>
      </w:pPr>
      <w:r w:rsidRPr="00402250">
        <w:rPr>
          <w:rFonts w:ascii="Arial" w:hAnsi="Arial" w:cs="Arial"/>
          <w:b/>
          <w:noProof/>
        </w:rPr>
        <w:drawing>
          <wp:inline distT="0" distB="0" distL="0" distR="0" wp14:anchorId="7856C2BB" wp14:editId="1B01E4BE">
            <wp:extent cx="1908810" cy="1547446"/>
            <wp:effectExtent l="0" t="0" r="0" b="0"/>
            <wp:docPr id="8" name="Picture 7" descr="IMG_20240212_130649_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0212_130649_683.jpg"/>
                    <pic:cNvPicPr/>
                  </pic:nvPicPr>
                  <pic:blipFill>
                    <a:blip r:embed="rId14" cstate="print"/>
                    <a:stretch>
                      <a:fillRect/>
                    </a:stretch>
                  </pic:blipFill>
                  <pic:spPr>
                    <a:xfrm>
                      <a:off x="0" y="0"/>
                      <a:ext cx="1950671" cy="1581382"/>
                    </a:xfrm>
                    <a:prstGeom prst="rect">
                      <a:avLst/>
                    </a:prstGeom>
                  </pic:spPr>
                </pic:pic>
              </a:graphicData>
            </a:graphic>
          </wp:inline>
        </w:drawing>
      </w:r>
      <w:r w:rsidRPr="00402250">
        <w:rPr>
          <w:rFonts w:ascii="Arial" w:hAnsi="Arial" w:cs="Arial"/>
          <w:b/>
        </w:rPr>
        <w:tab/>
      </w:r>
      <w:r w:rsidRPr="00402250">
        <w:rPr>
          <w:rFonts w:ascii="Arial" w:hAnsi="Arial" w:cs="Arial"/>
          <w:b/>
          <w:noProof/>
        </w:rPr>
        <w:drawing>
          <wp:inline distT="0" distB="0" distL="0" distR="0" wp14:anchorId="589160BD" wp14:editId="6FDDB1AD">
            <wp:extent cx="2038985" cy="1484142"/>
            <wp:effectExtent l="0" t="0" r="0" b="1905"/>
            <wp:docPr id="11" name="Picture 8" descr="IMG_20240212_130655_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0212_130655_954.jpg"/>
                    <pic:cNvPicPr/>
                  </pic:nvPicPr>
                  <pic:blipFill>
                    <a:blip r:embed="rId15" cstate="print"/>
                    <a:stretch>
                      <a:fillRect/>
                    </a:stretch>
                  </pic:blipFill>
                  <pic:spPr>
                    <a:xfrm>
                      <a:off x="0" y="0"/>
                      <a:ext cx="2076651" cy="1511559"/>
                    </a:xfrm>
                    <a:prstGeom prst="rect">
                      <a:avLst/>
                    </a:prstGeom>
                  </pic:spPr>
                </pic:pic>
              </a:graphicData>
            </a:graphic>
          </wp:inline>
        </w:drawing>
      </w:r>
    </w:p>
    <w:p w14:paraId="7A17F000" w14:textId="40866FCA" w:rsidR="00402250" w:rsidRPr="00402250" w:rsidRDefault="00402250" w:rsidP="00402250">
      <w:pPr>
        <w:pStyle w:val="Body"/>
        <w:rPr>
          <w:rFonts w:ascii="Arial" w:hAnsi="Arial" w:cs="Arial"/>
        </w:rPr>
      </w:pPr>
      <w:r w:rsidRPr="00402250">
        <w:rPr>
          <w:rFonts w:ascii="Arial" w:hAnsi="Arial" w:cs="Arial"/>
          <w:b/>
        </w:rPr>
        <w:t xml:space="preserve">Fig. 1: </w:t>
      </w:r>
      <w:r w:rsidRPr="00402250">
        <w:rPr>
          <w:rFonts w:ascii="Arial" w:hAnsi="Arial" w:cs="Arial"/>
        </w:rPr>
        <w:t>Soil Sample A</w:t>
      </w:r>
      <w:r w:rsidRPr="00402250">
        <w:rPr>
          <w:rFonts w:ascii="Arial" w:hAnsi="Arial" w:cs="Arial"/>
        </w:rPr>
        <w:tab/>
      </w:r>
      <w:r w:rsidRPr="00402250">
        <w:rPr>
          <w:rFonts w:ascii="Arial" w:hAnsi="Arial" w:cs="Arial"/>
        </w:rPr>
        <w:tab/>
      </w:r>
      <w:r w:rsidRPr="00402250">
        <w:rPr>
          <w:rFonts w:ascii="Arial" w:hAnsi="Arial" w:cs="Arial"/>
        </w:rPr>
        <w:tab/>
      </w:r>
      <w:r w:rsidRPr="00402250">
        <w:rPr>
          <w:rFonts w:ascii="Arial" w:hAnsi="Arial" w:cs="Arial"/>
          <w:b/>
        </w:rPr>
        <w:t xml:space="preserve">Fig. 2: </w:t>
      </w:r>
      <w:r w:rsidRPr="00402250">
        <w:rPr>
          <w:rFonts w:ascii="Arial" w:hAnsi="Arial" w:cs="Arial"/>
        </w:rPr>
        <w:t>Soil Sample A</w:t>
      </w:r>
    </w:p>
    <w:p w14:paraId="74FA15F2" w14:textId="5B943946" w:rsidR="00402250" w:rsidRPr="00402250" w:rsidRDefault="00940B10" w:rsidP="00402250">
      <w:pPr>
        <w:pStyle w:val="Body"/>
        <w:rPr>
          <w:rFonts w:ascii="Arial" w:hAnsi="Arial" w:cs="Arial"/>
          <w:b/>
        </w:rPr>
      </w:pPr>
      <w:r>
        <w:rPr>
          <w:rFonts w:ascii="Arial" w:hAnsi="Arial" w:cs="Arial"/>
          <w:b/>
        </w:rPr>
        <w:t xml:space="preserve">2.2 </w:t>
      </w:r>
      <w:r w:rsidR="00402250" w:rsidRPr="00402250">
        <w:rPr>
          <w:rFonts w:ascii="Arial" w:hAnsi="Arial" w:cs="Arial"/>
          <w:b/>
        </w:rPr>
        <w:t>Determination of Moisture Content of the Soil Samples</w:t>
      </w:r>
    </w:p>
    <w:p w14:paraId="3928E172" w14:textId="77777777" w:rsidR="00402250" w:rsidRPr="00402250" w:rsidRDefault="00402250" w:rsidP="00402250">
      <w:pPr>
        <w:pStyle w:val="Body"/>
        <w:rPr>
          <w:rFonts w:ascii="Arial" w:hAnsi="Arial" w:cs="Arial"/>
          <w:b/>
        </w:rPr>
      </w:pPr>
      <w:r w:rsidRPr="00402250">
        <w:rPr>
          <w:rFonts w:ascii="Arial" w:hAnsi="Arial" w:cs="Arial"/>
        </w:rPr>
        <w:t>Using the pycnometer method, the pycnometer was washed, cleaned, and dried. The pycnometer along with its brass cap and washer, was weighed to an accuracy of 1g and recorded as (W</w:t>
      </w:r>
      <w:r w:rsidRPr="00402250">
        <w:rPr>
          <w:rFonts w:ascii="Arial" w:hAnsi="Arial" w:cs="Arial"/>
          <w:vertAlign w:val="subscript"/>
        </w:rPr>
        <w:t>1</w:t>
      </w:r>
      <w:r w:rsidRPr="00402250">
        <w:rPr>
          <w:rFonts w:ascii="Arial" w:hAnsi="Arial" w:cs="Arial"/>
        </w:rPr>
        <w:t>). A wet soil specimen weighing between 200g to 400g was then placed into the pycnometer and weighed with its cap and washer (M2). Water was filled into the pycnometer containing the wet soil specimen to approximately half its height. The mixture was thoroughly stirred using a glass rod, and additional water was added and stirred until the pycnometer was filled with water, flushing through the hole in the conical cap. Subsequently, the pycnometer was dried externally and weighed (M3). Afterwards, the pycnometer was emptied, meticulously cleaned, filled with water, and weighed again after flushing through the hole in the conical cap (M4). The moisture content was calculated using Equation 3.1.</w:t>
      </w:r>
    </w:p>
    <w:p w14:paraId="54051287" w14:textId="2C939A57" w:rsidR="00402250" w:rsidRPr="00402250" w:rsidRDefault="00402250" w:rsidP="00940B10">
      <w:pPr>
        <w:pStyle w:val="Body"/>
        <w:ind w:firstLine="720"/>
        <w:rPr>
          <w:rFonts w:ascii="Arial" w:hAnsi="Arial" w:cs="Arial"/>
        </w:rPr>
      </w:pPr>
      <w:r w:rsidRPr="00402250">
        <w:rPr>
          <w:rFonts w:ascii="Arial" w:hAnsi="Arial" w:cs="Arial"/>
        </w:rPr>
        <w:t xml:space="preserve">w = </w:t>
      </w:r>
      <m:oMath>
        <m:f>
          <m:fPr>
            <m:ctrlPr>
              <w:rPr>
                <w:rFonts w:ascii="Cambria Math" w:hAnsi="Cambria Math" w:cs="Arial"/>
                <w:i/>
              </w:rPr>
            </m:ctrlPr>
          </m:fPr>
          <m:num>
            <m:r>
              <w:rPr>
                <w:rFonts w:ascii="Cambria Math" w:hAnsi="Cambria Math" w:cs="Arial"/>
              </w:rPr>
              <m:t>M2-M1</m:t>
            </m:r>
          </m:num>
          <m:den>
            <m:r>
              <w:rPr>
                <w:rFonts w:ascii="Cambria Math" w:hAnsi="Cambria Math" w:cs="Arial"/>
              </w:rPr>
              <m:t>M3-M4</m:t>
            </m:r>
          </m:den>
        </m:f>
      </m:oMath>
      <w:r w:rsidRPr="00402250">
        <w:rPr>
          <w:rFonts w:ascii="Arial" w:hAnsi="Arial" w:cs="Arial"/>
        </w:rPr>
        <w:t xml:space="preserve"> x [</w:t>
      </w:r>
      <m:oMath>
        <m:f>
          <m:fPr>
            <m:ctrlPr>
              <w:rPr>
                <w:rFonts w:ascii="Cambria Math" w:hAnsi="Cambria Math" w:cs="Arial"/>
                <w:i/>
              </w:rPr>
            </m:ctrlPr>
          </m:fPr>
          <m:num>
            <m:r>
              <w:rPr>
                <w:rFonts w:ascii="Cambria Math" w:hAnsi="Cambria Math" w:cs="Arial"/>
              </w:rPr>
              <m:t>G-1</m:t>
            </m:r>
          </m:num>
          <m:den>
            <m:r>
              <w:rPr>
                <w:rFonts w:ascii="Cambria Math" w:hAnsi="Cambria Math" w:cs="Arial"/>
              </w:rPr>
              <m:t>G</m:t>
            </m:r>
          </m:den>
        </m:f>
      </m:oMath>
      <w:r w:rsidRPr="00402250">
        <w:rPr>
          <w:rFonts w:ascii="Arial" w:hAnsi="Arial" w:cs="Arial"/>
        </w:rPr>
        <w:t xml:space="preserve"> -1] x 100</w:t>
      </w:r>
      <w:r w:rsidRPr="00402250">
        <w:rPr>
          <w:rFonts w:ascii="Arial" w:hAnsi="Arial" w:cs="Arial"/>
        </w:rPr>
        <w:tab/>
      </w:r>
      <w:r w:rsidRPr="00402250">
        <w:rPr>
          <w:rFonts w:ascii="Arial" w:hAnsi="Arial" w:cs="Arial"/>
        </w:rPr>
        <w:tab/>
      </w:r>
      <w:r w:rsidRPr="00402250">
        <w:rPr>
          <w:rFonts w:ascii="Arial" w:hAnsi="Arial" w:cs="Arial"/>
        </w:rPr>
        <w:tab/>
      </w:r>
      <w:r w:rsidRPr="00402250">
        <w:rPr>
          <w:rFonts w:ascii="Arial" w:hAnsi="Arial" w:cs="Arial"/>
        </w:rPr>
        <w:tab/>
      </w:r>
      <w:r w:rsidRPr="00402250">
        <w:rPr>
          <w:rFonts w:ascii="Arial" w:hAnsi="Arial" w:cs="Arial"/>
        </w:rPr>
        <w:tab/>
        <w:t>Equation 1</w:t>
      </w:r>
    </w:p>
    <w:p w14:paraId="61A49F2E" w14:textId="77777777" w:rsidR="00402250" w:rsidRPr="00402250" w:rsidRDefault="00402250" w:rsidP="00402250">
      <w:pPr>
        <w:pStyle w:val="Body"/>
        <w:rPr>
          <w:rFonts w:ascii="Arial" w:hAnsi="Arial" w:cs="Arial"/>
        </w:rPr>
      </w:pPr>
      <w:r w:rsidRPr="00402250">
        <w:rPr>
          <w:rFonts w:ascii="Arial" w:hAnsi="Arial" w:cs="Arial"/>
        </w:rPr>
        <w:t>where M1, M2, M3, and M4 represent the respective masses as described in the procedure for determining moisture content using the pycnometer, and G denotes the specific gravity of the soil solid.</w:t>
      </w:r>
    </w:p>
    <w:p w14:paraId="3719CDE2" w14:textId="6C88E04C" w:rsidR="00402250" w:rsidRPr="00402250" w:rsidRDefault="00940B10" w:rsidP="00402250">
      <w:pPr>
        <w:pStyle w:val="Body"/>
        <w:rPr>
          <w:rFonts w:ascii="Arial" w:hAnsi="Arial" w:cs="Arial"/>
          <w:b/>
        </w:rPr>
      </w:pPr>
      <w:r>
        <w:rPr>
          <w:rFonts w:ascii="Arial" w:hAnsi="Arial" w:cs="Arial"/>
          <w:b/>
        </w:rPr>
        <w:t xml:space="preserve">2.3 </w:t>
      </w:r>
      <w:r w:rsidR="00402250" w:rsidRPr="00402250">
        <w:rPr>
          <w:rFonts w:ascii="Arial" w:hAnsi="Arial" w:cs="Arial"/>
          <w:b/>
        </w:rPr>
        <w:t>Particle Size Analysis of the Soil Samples</w:t>
      </w:r>
    </w:p>
    <w:p w14:paraId="73FC26D3" w14:textId="3F4CCC7A" w:rsidR="00402250" w:rsidRPr="00402250" w:rsidRDefault="00402250" w:rsidP="00402250">
      <w:pPr>
        <w:pStyle w:val="Body"/>
        <w:rPr>
          <w:rFonts w:ascii="Arial" w:hAnsi="Arial" w:cs="Arial"/>
        </w:rPr>
      </w:pPr>
      <w:r w:rsidRPr="00402250">
        <w:rPr>
          <w:rFonts w:ascii="Arial" w:hAnsi="Arial" w:cs="Arial"/>
        </w:rPr>
        <w:t xml:space="preserve">The soil sample gotten was taken to the Geotechnical laboratory of Civil Engineering Department, Lead city university where particle size analysis was carried starting from washing away of the silt and clay present in the soil sample gotten then oven dried for 12hrs and then cooled in the desiccator  before been sieved using an electric sieve shaker comprising sieves with 6.0 mm, 5.6 mm, 2.8 mm, 1.0 mm, 500µm, 335µm, 125µm aperture a base receiver was used for retaining soil that passed through the sieve and they were arranged </w:t>
      </w:r>
      <w:r w:rsidRPr="00402250">
        <w:rPr>
          <w:rFonts w:ascii="Arial" w:hAnsi="Arial" w:cs="Arial"/>
        </w:rPr>
        <w:lastRenderedPageBreak/>
        <w:t>from the top to the base in this order. The retained sample on each sieve was then observed, weighed and recorded after proper shaking was done. The particle size distribution was obtained and the particle size distribution curve was plotted</w:t>
      </w:r>
    </w:p>
    <w:p w14:paraId="28A60FEF" w14:textId="5BAFBAA4" w:rsidR="00402250" w:rsidRPr="00402250" w:rsidRDefault="00940B10" w:rsidP="00402250">
      <w:pPr>
        <w:pStyle w:val="Body"/>
        <w:rPr>
          <w:rFonts w:ascii="Arial" w:hAnsi="Arial" w:cs="Arial"/>
          <w:b/>
        </w:rPr>
      </w:pPr>
      <w:r>
        <w:rPr>
          <w:rFonts w:ascii="Arial" w:hAnsi="Arial" w:cs="Arial"/>
          <w:b/>
        </w:rPr>
        <w:t xml:space="preserve">2.4 </w:t>
      </w:r>
      <w:r w:rsidR="00402250" w:rsidRPr="00402250">
        <w:rPr>
          <w:rFonts w:ascii="Arial" w:hAnsi="Arial" w:cs="Arial"/>
          <w:b/>
        </w:rPr>
        <w:t>Compaction Test</w:t>
      </w:r>
    </w:p>
    <w:p w14:paraId="05BE0CCF" w14:textId="1C3E9153" w:rsidR="00402250" w:rsidRPr="00402250" w:rsidRDefault="00402250" w:rsidP="00402250">
      <w:pPr>
        <w:pStyle w:val="Body"/>
        <w:rPr>
          <w:rFonts w:ascii="Arial" w:hAnsi="Arial" w:cs="Arial"/>
        </w:rPr>
      </w:pPr>
      <w:r w:rsidRPr="00402250">
        <w:rPr>
          <w:rFonts w:ascii="Arial" w:hAnsi="Arial" w:cs="Arial"/>
        </w:rPr>
        <w:t xml:space="preserve">The maximum dry density (MDD) and optimum moisture content (OMC) of the soil were determined using the Standard Proctor Compaction test. Initially, the soil sample was thoroughly mixed with </w:t>
      </w:r>
      <w:proofErr w:type="spellStart"/>
      <w:r w:rsidR="006D7EC8">
        <w:rPr>
          <w:rFonts w:ascii="Arial" w:hAnsi="Arial" w:cs="Arial"/>
        </w:rPr>
        <w:t>Terrasil</w:t>
      </w:r>
      <w:proofErr w:type="spellEnd"/>
      <w:r w:rsidRPr="00402250">
        <w:rPr>
          <w:rFonts w:ascii="Arial" w:hAnsi="Arial" w:cs="Arial"/>
        </w:rPr>
        <w:t xml:space="preserve"> nano chemical at a concentration of 3%. The mixed sample was then compacted in a 4-inch Proctor mold using a mechanical rammer.</w:t>
      </w:r>
    </w:p>
    <w:p w14:paraId="094F8B01" w14:textId="77777777" w:rsidR="00940B10" w:rsidRDefault="00402250" w:rsidP="00402250">
      <w:pPr>
        <w:pStyle w:val="Body"/>
        <w:rPr>
          <w:rFonts w:ascii="Arial" w:hAnsi="Arial" w:cs="Arial"/>
        </w:rPr>
      </w:pPr>
      <w:r w:rsidRPr="00402250">
        <w:rPr>
          <w:rFonts w:ascii="Arial" w:hAnsi="Arial" w:cs="Arial"/>
        </w:rPr>
        <w:t>Compaction tests were conducted by varying the moisture content of subsequent samples to determine the moisture content at which the soil achieved its maximum dry density. The compaction process involved compacting the soil at different moisture contents and measuring the dry density achieved after each compaction effort. The moisture content corresponding to the highest dry density attained was recorded as the optimum moisture content (OMC), while the corresponding dry density was recorded as the maximum dry density (MDD).</w:t>
      </w:r>
    </w:p>
    <w:p w14:paraId="7F1C224B" w14:textId="20C1F682" w:rsidR="00402250" w:rsidRPr="00402250" w:rsidRDefault="00940B10" w:rsidP="00402250">
      <w:pPr>
        <w:pStyle w:val="Body"/>
        <w:rPr>
          <w:rFonts w:ascii="Arial" w:hAnsi="Arial" w:cs="Arial"/>
        </w:rPr>
      </w:pPr>
      <w:r w:rsidRPr="00940B10">
        <w:rPr>
          <w:rFonts w:ascii="Arial" w:hAnsi="Arial" w:cs="Arial"/>
          <w:b/>
          <w:bCs/>
        </w:rPr>
        <w:t xml:space="preserve">2.5 </w:t>
      </w:r>
      <w:r w:rsidR="00402250" w:rsidRPr="00402250">
        <w:rPr>
          <w:rFonts w:ascii="Arial" w:hAnsi="Arial" w:cs="Arial"/>
          <w:b/>
          <w:bCs/>
        </w:rPr>
        <w:t>Determination of Specific Gravity</w:t>
      </w:r>
    </w:p>
    <w:p w14:paraId="755CA276" w14:textId="77777777" w:rsidR="00402250" w:rsidRPr="00402250" w:rsidRDefault="00402250" w:rsidP="00402250">
      <w:pPr>
        <w:pStyle w:val="Body"/>
        <w:rPr>
          <w:rFonts w:ascii="Arial" w:hAnsi="Arial" w:cs="Arial"/>
        </w:rPr>
      </w:pPr>
      <w:r w:rsidRPr="00402250">
        <w:rPr>
          <w:rFonts w:ascii="Arial" w:hAnsi="Arial" w:cs="Arial"/>
        </w:rPr>
        <w:t>The specific gravity of the soil samples was determined using a density bottle method. Initially, a clean, dry density bottle with its stopper was weighed and recorded as W1W1W1. The bottle was then filled halfway with the soil sample and reweighed as W2W2W2. Water was added to the bottle and thoroughly mixed with the soil sample, and the bottle was then allowed to settle for an hour. The weight of the bottle and contents after settling was recorded as W3W3W3.</w:t>
      </w:r>
    </w:p>
    <w:p w14:paraId="7DD17596" w14:textId="77777777" w:rsidR="00402250" w:rsidRPr="00402250" w:rsidRDefault="00402250" w:rsidP="00402250">
      <w:pPr>
        <w:pStyle w:val="Body"/>
        <w:rPr>
          <w:rFonts w:ascii="Arial" w:hAnsi="Arial" w:cs="Arial"/>
        </w:rPr>
      </w:pPr>
      <w:r w:rsidRPr="00402250">
        <w:rPr>
          <w:rFonts w:ascii="Arial" w:hAnsi="Arial" w:cs="Arial"/>
        </w:rPr>
        <w:t>Subsequently, the contents were disposed of, and the bottle was refilled with water and weighed again as W4W4W4. The specific gravity of the soil sample was calculated using Equation 2.</w:t>
      </w:r>
    </w:p>
    <w:p w14:paraId="6798EAE9" w14:textId="556050AD" w:rsidR="00402250" w:rsidRPr="00402250" w:rsidRDefault="00402250" w:rsidP="00940B10">
      <w:pPr>
        <w:pStyle w:val="Body"/>
        <w:spacing w:after="40"/>
        <w:rPr>
          <w:rFonts w:ascii="Arial" w:hAnsi="Arial" w:cs="Arial"/>
          <w:iCs/>
        </w:rPr>
      </w:pPr>
      <w:r w:rsidRPr="00402250">
        <w:rPr>
          <w:rFonts w:ascii="Arial" w:hAnsi="Arial" w:cs="Arial"/>
        </w:rPr>
        <w:t xml:space="preserve">       </w:t>
      </w:r>
      <w:r w:rsidRPr="00402250">
        <w:rPr>
          <w:rFonts w:ascii="Arial" w:hAnsi="Arial" w:cs="Arial"/>
          <w:i/>
        </w:rPr>
        <w:t>Specific gravity</w:t>
      </w:r>
      <m:oMath>
        <m:r>
          <w:rPr>
            <w:rFonts w:ascii="Cambria Math" w:hAnsi="Cambria Math" w:cs="Arial"/>
          </w:rPr>
          <m:t>=</m:t>
        </m:r>
        <m:f>
          <m:fPr>
            <m:ctrlPr>
              <w:rPr>
                <w:rFonts w:ascii="Cambria Math" w:hAnsi="Cambria Math" w:cs="Arial"/>
                <w:i/>
              </w:rPr>
            </m:ctrlPr>
          </m:fPr>
          <m:num>
            <m:r>
              <w:rPr>
                <w:rFonts w:ascii="Cambria Math" w:hAnsi="Cambria Math" w:cs="Arial"/>
              </w:rPr>
              <m:t>(W2-w1)</m:t>
            </m:r>
          </m:num>
          <m:den>
            <m:d>
              <m:dPr>
                <m:ctrlPr>
                  <w:rPr>
                    <w:rFonts w:ascii="Cambria Math" w:hAnsi="Cambria Math" w:cs="Arial"/>
                    <w:i/>
                  </w:rPr>
                </m:ctrlPr>
              </m:dPr>
              <m:e>
                <m:r>
                  <w:rPr>
                    <w:rFonts w:ascii="Cambria Math" w:hAnsi="Cambria Math" w:cs="Arial"/>
                  </w:rPr>
                  <m:t>W2-w1</m:t>
                </m:r>
              </m:e>
            </m:d>
            <m:r>
              <w:rPr>
                <w:rFonts w:ascii="Cambria Math" w:hAnsi="Cambria Math" w:cs="Arial"/>
              </w:rPr>
              <m:t>-(W3-W4)</m:t>
            </m:r>
          </m:den>
        </m:f>
      </m:oMath>
      <w:r w:rsidRPr="00402250">
        <w:rPr>
          <w:rFonts w:ascii="Arial" w:hAnsi="Arial" w:cs="Arial"/>
          <w:i/>
        </w:rPr>
        <w:t xml:space="preserve">                                           </w:t>
      </w:r>
      <w:r w:rsidRPr="00402250">
        <w:rPr>
          <w:rFonts w:ascii="Arial" w:hAnsi="Arial" w:cs="Arial"/>
          <w:i/>
        </w:rPr>
        <w:tab/>
      </w:r>
      <w:r w:rsidRPr="00402250">
        <w:rPr>
          <w:rFonts w:ascii="Arial" w:hAnsi="Arial" w:cs="Arial"/>
          <w:i/>
        </w:rPr>
        <w:tab/>
        <w:t xml:space="preserve"> </w:t>
      </w:r>
      <w:r w:rsidRPr="00402250">
        <w:rPr>
          <w:rFonts w:ascii="Arial" w:hAnsi="Arial" w:cs="Arial"/>
        </w:rPr>
        <w:t>Equation: 2</w:t>
      </w:r>
    </w:p>
    <w:p w14:paraId="7078CA61" w14:textId="77777777" w:rsidR="00402250" w:rsidRPr="00402250" w:rsidRDefault="00402250" w:rsidP="00940B10">
      <w:pPr>
        <w:pStyle w:val="Body"/>
        <w:spacing w:after="40"/>
        <w:rPr>
          <w:rFonts w:ascii="Arial" w:hAnsi="Arial" w:cs="Arial"/>
        </w:rPr>
      </w:pPr>
      <w:r w:rsidRPr="00402250">
        <w:rPr>
          <w:rFonts w:ascii="Arial" w:hAnsi="Arial" w:cs="Arial"/>
        </w:rPr>
        <w:t>W1 = Weight of empty density bottle with stopper (g)</w:t>
      </w:r>
    </w:p>
    <w:p w14:paraId="64F8CDFE" w14:textId="77777777" w:rsidR="00402250" w:rsidRPr="00402250" w:rsidRDefault="00402250" w:rsidP="00940B10">
      <w:pPr>
        <w:pStyle w:val="Body"/>
        <w:spacing w:after="40"/>
        <w:rPr>
          <w:rFonts w:ascii="Arial" w:hAnsi="Arial" w:cs="Arial"/>
        </w:rPr>
      </w:pPr>
      <w:r w:rsidRPr="00402250">
        <w:rPr>
          <w:rFonts w:ascii="Arial" w:hAnsi="Arial" w:cs="Arial"/>
        </w:rPr>
        <w:t>W2 = Weight of empty density bottle with stopper + dry sample (g)</w:t>
      </w:r>
    </w:p>
    <w:p w14:paraId="380372B3" w14:textId="77777777" w:rsidR="00402250" w:rsidRPr="00402250" w:rsidRDefault="00402250" w:rsidP="00940B10">
      <w:pPr>
        <w:pStyle w:val="Body"/>
        <w:spacing w:after="40"/>
        <w:rPr>
          <w:rFonts w:ascii="Arial" w:hAnsi="Arial" w:cs="Arial"/>
        </w:rPr>
      </w:pPr>
      <w:r w:rsidRPr="00402250">
        <w:rPr>
          <w:rFonts w:ascii="Arial" w:hAnsi="Arial" w:cs="Arial"/>
        </w:rPr>
        <w:t>W3 = Weight of empty density bottle with stopper + dry sample + water (g)</w:t>
      </w:r>
    </w:p>
    <w:p w14:paraId="7754064E" w14:textId="77777777" w:rsidR="00402250" w:rsidRPr="00402250" w:rsidRDefault="00402250" w:rsidP="00940B10">
      <w:pPr>
        <w:pStyle w:val="Body"/>
        <w:spacing w:after="40"/>
        <w:rPr>
          <w:rFonts w:ascii="Arial" w:hAnsi="Arial" w:cs="Arial"/>
        </w:rPr>
      </w:pPr>
      <w:r w:rsidRPr="00402250">
        <w:rPr>
          <w:rFonts w:ascii="Arial" w:hAnsi="Arial" w:cs="Arial"/>
        </w:rPr>
        <w:t>W4 = Weight of empty density bottle with stopper + water (g)</w:t>
      </w:r>
    </w:p>
    <w:p w14:paraId="6D82D0E6" w14:textId="77777777" w:rsidR="00402250" w:rsidRPr="00402250" w:rsidRDefault="00402250" w:rsidP="00940B10">
      <w:pPr>
        <w:pStyle w:val="Body"/>
        <w:spacing w:after="40"/>
        <w:rPr>
          <w:rFonts w:ascii="Arial" w:hAnsi="Arial" w:cs="Arial"/>
        </w:rPr>
      </w:pPr>
    </w:p>
    <w:p w14:paraId="4E94FD6B" w14:textId="705FC4F8" w:rsidR="00402250" w:rsidRPr="00402250" w:rsidRDefault="00940B10" w:rsidP="00940B10">
      <w:pPr>
        <w:pStyle w:val="Body"/>
        <w:spacing w:after="40"/>
        <w:rPr>
          <w:rFonts w:ascii="Arial" w:hAnsi="Arial" w:cs="Arial"/>
          <w:b/>
          <w:bCs/>
        </w:rPr>
      </w:pPr>
      <w:r>
        <w:rPr>
          <w:rFonts w:ascii="Arial" w:hAnsi="Arial" w:cs="Arial"/>
          <w:b/>
          <w:bCs/>
        </w:rPr>
        <w:t xml:space="preserve">2.6 </w:t>
      </w:r>
      <w:r w:rsidR="00402250" w:rsidRPr="00402250">
        <w:rPr>
          <w:rFonts w:ascii="Arial" w:hAnsi="Arial" w:cs="Arial"/>
          <w:b/>
          <w:bCs/>
        </w:rPr>
        <w:t>CBR Test</w:t>
      </w:r>
    </w:p>
    <w:p w14:paraId="44CAC112" w14:textId="77777777" w:rsidR="00402250" w:rsidRPr="00402250" w:rsidRDefault="00402250" w:rsidP="00402250">
      <w:pPr>
        <w:pStyle w:val="Body"/>
        <w:rPr>
          <w:rFonts w:ascii="Arial" w:hAnsi="Arial" w:cs="Arial"/>
        </w:rPr>
      </w:pPr>
      <w:r w:rsidRPr="00402250">
        <w:rPr>
          <w:rFonts w:ascii="Arial" w:hAnsi="Arial" w:cs="Arial"/>
        </w:rPr>
        <w:t xml:space="preserve">CBR tests were conducted to assess the soil's strength. The soil samples were compacted in five layers with 27 blows at each layer compacted using a 4.5 kg rammer. The specimen for the various </w:t>
      </w:r>
      <w:r w:rsidRPr="00402250">
        <w:rPr>
          <w:rFonts w:ascii="Arial" w:hAnsi="Arial" w:cs="Arial"/>
          <w:bCs/>
        </w:rPr>
        <w:t>p</w:t>
      </w:r>
      <w:r w:rsidRPr="00402250">
        <w:rPr>
          <w:rFonts w:ascii="Arial" w:hAnsi="Arial" w:cs="Arial"/>
        </w:rPr>
        <w:t>ercentages (3%, 6%, 9%) were cured and sealed in polythene bags for 3 days. Then tested using the CBR test machine. Readings were taken for top and bottom at penetrations of 2.5 and 5.0 mm.</w:t>
      </w:r>
    </w:p>
    <w:p w14:paraId="712F204C" w14:textId="24F77371" w:rsidR="00402250" w:rsidRPr="00402250" w:rsidRDefault="00940B10" w:rsidP="00402250">
      <w:pPr>
        <w:pStyle w:val="Body"/>
        <w:rPr>
          <w:rFonts w:ascii="Arial" w:hAnsi="Arial" w:cs="Arial"/>
          <w:b/>
        </w:rPr>
      </w:pPr>
      <w:r>
        <w:rPr>
          <w:rFonts w:ascii="Arial" w:hAnsi="Arial" w:cs="Arial"/>
          <w:b/>
        </w:rPr>
        <w:t xml:space="preserve">2.7 </w:t>
      </w:r>
      <w:r w:rsidR="00402250" w:rsidRPr="00402250">
        <w:rPr>
          <w:rFonts w:ascii="Arial" w:hAnsi="Arial" w:cs="Arial"/>
          <w:b/>
        </w:rPr>
        <w:t>Tri-Axial Tests</w:t>
      </w:r>
    </w:p>
    <w:p w14:paraId="37F6E95D" w14:textId="13644C86" w:rsidR="00402250" w:rsidRPr="00402250" w:rsidRDefault="00402250" w:rsidP="00402250">
      <w:pPr>
        <w:pStyle w:val="Body"/>
        <w:rPr>
          <w:rFonts w:ascii="Arial" w:hAnsi="Arial" w:cs="Arial"/>
        </w:rPr>
      </w:pPr>
      <w:r w:rsidRPr="00402250">
        <w:rPr>
          <w:rFonts w:ascii="Arial" w:hAnsi="Arial" w:cs="Arial"/>
        </w:rPr>
        <w:t xml:space="preserve">This test </w:t>
      </w:r>
      <w:r w:rsidR="00940B10">
        <w:rPr>
          <w:rFonts w:ascii="Arial" w:hAnsi="Arial" w:cs="Arial"/>
        </w:rPr>
        <w:t>was</w:t>
      </w:r>
      <w:r w:rsidRPr="00402250">
        <w:rPr>
          <w:rFonts w:ascii="Arial" w:hAnsi="Arial" w:cs="Arial"/>
        </w:rPr>
        <w:t xml:space="preserve"> carried out to determine the mechanical properties of soils, including their shear strength and stress strain. The procedure involves subjecting a cylindrical soil sample to three different stress condition which are axial stress (vertical), radial stress (horizontal) and confining stress (applied uniformly around the sample) using tri-axial test machine.</w:t>
      </w:r>
    </w:p>
    <w:p w14:paraId="7DB4D785" w14:textId="11223F1B" w:rsidR="00402250" w:rsidRPr="00402250" w:rsidRDefault="00940B10" w:rsidP="00402250">
      <w:pPr>
        <w:pStyle w:val="Body"/>
        <w:rPr>
          <w:rFonts w:ascii="Arial" w:hAnsi="Arial" w:cs="Arial"/>
          <w:b/>
        </w:rPr>
      </w:pPr>
      <w:r>
        <w:rPr>
          <w:rFonts w:ascii="Arial" w:hAnsi="Arial" w:cs="Arial"/>
          <w:b/>
        </w:rPr>
        <w:t xml:space="preserve">2.8 </w:t>
      </w:r>
      <w:r w:rsidR="00402250" w:rsidRPr="00402250">
        <w:rPr>
          <w:rFonts w:ascii="Arial" w:hAnsi="Arial" w:cs="Arial"/>
          <w:b/>
        </w:rPr>
        <w:t>Consolidation Test.</w:t>
      </w:r>
    </w:p>
    <w:p w14:paraId="463EB59C" w14:textId="23B44E3B" w:rsidR="00790ADA" w:rsidRPr="00FB3A86" w:rsidRDefault="00402250" w:rsidP="00940B10">
      <w:pPr>
        <w:pStyle w:val="Body"/>
        <w:rPr>
          <w:rFonts w:ascii="Arial" w:hAnsi="Arial" w:cs="Arial"/>
        </w:rPr>
      </w:pPr>
      <w:r w:rsidRPr="00402250">
        <w:rPr>
          <w:rFonts w:ascii="Arial" w:hAnsi="Arial" w:cs="Arial"/>
        </w:rPr>
        <w:lastRenderedPageBreak/>
        <w:t>The consolidation test</w:t>
      </w:r>
      <w:r w:rsidR="00940B10">
        <w:rPr>
          <w:rFonts w:ascii="Arial" w:hAnsi="Arial" w:cs="Arial"/>
        </w:rPr>
        <w:t xml:space="preserve"> wa</w:t>
      </w:r>
      <w:r w:rsidRPr="00402250">
        <w:rPr>
          <w:rFonts w:ascii="Arial" w:hAnsi="Arial" w:cs="Arial"/>
        </w:rPr>
        <w:t>s used to determine he compressibility and settlement of the soil using the odometer as the procedure involves soil been subjected to load vertically for 3 days and 7 days respectively for sample at different percentages.</w:t>
      </w:r>
    </w:p>
    <w:p w14:paraId="6ECA06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147136A" w14:textId="77777777" w:rsidR="00A82112" w:rsidRPr="005D3641" w:rsidRDefault="00A82112" w:rsidP="00A82112">
      <w:pPr>
        <w:jc w:val="both"/>
        <w:rPr>
          <w:rFonts w:ascii="Arial" w:hAnsi="Arial" w:cs="Arial"/>
          <w:b/>
          <w:bCs/>
        </w:rPr>
      </w:pPr>
      <w:r w:rsidRPr="005D3641">
        <w:rPr>
          <w:rFonts w:ascii="Arial" w:hAnsi="Arial" w:cs="Arial"/>
          <w:b/>
          <w:bCs/>
        </w:rPr>
        <w:t>Preliminary Tests</w:t>
      </w:r>
    </w:p>
    <w:p w14:paraId="5EC0A4FE" w14:textId="77777777" w:rsidR="00A82112" w:rsidRPr="005D3641" w:rsidRDefault="00A82112" w:rsidP="00A82112">
      <w:pPr>
        <w:ind w:firstLine="720"/>
        <w:jc w:val="both"/>
        <w:rPr>
          <w:rFonts w:ascii="Arial" w:hAnsi="Arial" w:cs="Arial"/>
        </w:rPr>
      </w:pPr>
      <w:r w:rsidRPr="005D3641">
        <w:rPr>
          <w:rFonts w:ascii="Arial" w:hAnsi="Arial" w:cs="Arial"/>
        </w:rPr>
        <w:t>The particle size distribution and classification results (Table 1) highlight the distinct differences between Samples A (Fig. 3) and B (Fig. 4). Sample A, with its higher fines content, requires stabilization to reduce plasticity and improve compaction. Sample B, with its higher sand content, benefits from enhanced cohesion and reduced permeability.</w:t>
      </w:r>
    </w:p>
    <w:p w14:paraId="1F869C29" w14:textId="77777777" w:rsidR="00A82112" w:rsidRPr="005D3641" w:rsidRDefault="00A82112" w:rsidP="00A82112">
      <w:pPr>
        <w:jc w:val="both"/>
        <w:rPr>
          <w:rFonts w:ascii="Arial" w:hAnsi="Arial" w:cs="Arial"/>
          <w:b/>
          <w:bCs/>
        </w:rPr>
      </w:pPr>
    </w:p>
    <w:p w14:paraId="0A219C5A" w14:textId="77777777" w:rsidR="00A82112" w:rsidRPr="005D3641" w:rsidRDefault="00A82112" w:rsidP="00A82112">
      <w:pPr>
        <w:jc w:val="both"/>
        <w:rPr>
          <w:rFonts w:ascii="Arial" w:hAnsi="Arial" w:cs="Arial"/>
        </w:rPr>
      </w:pPr>
      <w:r w:rsidRPr="005D3641">
        <w:rPr>
          <w:rFonts w:ascii="Arial" w:hAnsi="Arial" w:cs="Arial"/>
          <w:b/>
          <w:bCs/>
        </w:rPr>
        <w:t xml:space="preserve">Table 1: </w:t>
      </w:r>
      <w:r w:rsidRPr="005D3641">
        <w:rPr>
          <w:rFonts w:ascii="Arial" w:hAnsi="Arial" w:cs="Arial"/>
        </w:rPr>
        <w:t>Preliminary Tests</w:t>
      </w:r>
    </w:p>
    <w:tbl>
      <w:tblPr>
        <w:tblStyle w:val="PlainTable2"/>
        <w:tblW w:w="0" w:type="auto"/>
        <w:tblLook w:val="0620" w:firstRow="1" w:lastRow="0" w:firstColumn="0" w:lastColumn="0" w:noHBand="1" w:noVBand="1"/>
      </w:tblPr>
      <w:tblGrid>
        <w:gridCol w:w="4357"/>
        <w:gridCol w:w="2465"/>
        <w:gridCol w:w="1386"/>
      </w:tblGrid>
      <w:tr w:rsidR="00A82112" w:rsidRPr="005D3641" w14:paraId="4E60CF56" w14:textId="77777777" w:rsidTr="003C4C86">
        <w:trPr>
          <w:cnfStyle w:val="100000000000" w:firstRow="1" w:lastRow="0" w:firstColumn="0" w:lastColumn="0" w:oddVBand="0" w:evenVBand="0" w:oddHBand="0" w:evenHBand="0" w:firstRowFirstColumn="0" w:firstRowLastColumn="0" w:lastRowFirstColumn="0" w:lastRowLastColumn="0"/>
          <w:trHeight w:val="237"/>
        </w:trPr>
        <w:tc>
          <w:tcPr>
            <w:tcW w:w="5575" w:type="dxa"/>
          </w:tcPr>
          <w:p w14:paraId="4677D8CD" w14:textId="77777777" w:rsidR="00A82112" w:rsidRPr="005D3641" w:rsidRDefault="00A82112" w:rsidP="003C4C86">
            <w:pPr>
              <w:jc w:val="both"/>
              <w:rPr>
                <w:rFonts w:ascii="Arial" w:hAnsi="Arial" w:cs="Arial"/>
                <w:b w:val="0"/>
                <w:sz w:val="20"/>
                <w:szCs w:val="20"/>
              </w:rPr>
            </w:pPr>
            <w:r w:rsidRPr="005D3641">
              <w:rPr>
                <w:rFonts w:ascii="Arial" w:hAnsi="Arial" w:cs="Arial"/>
                <w:sz w:val="20"/>
                <w:szCs w:val="20"/>
              </w:rPr>
              <w:t>Tests</w:t>
            </w:r>
          </w:p>
        </w:tc>
        <w:tc>
          <w:tcPr>
            <w:tcW w:w="3060" w:type="dxa"/>
          </w:tcPr>
          <w:p w14:paraId="7EC4FB79" w14:textId="77777777" w:rsidR="00A82112" w:rsidRPr="005D3641" w:rsidRDefault="00A82112" w:rsidP="003C4C86">
            <w:pPr>
              <w:jc w:val="center"/>
              <w:rPr>
                <w:rFonts w:ascii="Arial" w:hAnsi="Arial" w:cs="Arial"/>
                <w:b w:val="0"/>
                <w:sz w:val="20"/>
                <w:szCs w:val="20"/>
              </w:rPr>
            </w:pPr>
            <w:r w:rsidRPr="005D3641">
              <w:rPr>
                <w:rFonts w:ascii="Arial" w:hAnsi="Arial" w:cs="Arial"/>
                <w:sz w:val="20"/>
                <w:szCs w:val="20"/>
              </w:rPr>
              <w:t>Soil Sample A</w:t>
            </w:r>
          </w:p>
        </w:tc>
        <w:tc>
          <w:tcPr>
            <w:tcW w:w="1574" w:type="dxa"/>
          </w:tcPr>
          <w:p w14:paraId="65F04A57" w14:textId="77777777" w:rsidR="00A82112" w:rsidRPr="005D3641" w:rsidRDefault="00A82112" w:rsidP="003C4C86">
            <w:pPr>
              <w:jc w:val="center"/>
              <w:rPr>
                <w:rFonts w:ascii="Arial" w:hAnsi="Arial" w:cs="Arial"/>
                <w:b w:val="0"/>
                <w:sz w:val="20"/>
                <w:szCs w:val="20"/>
              </w:rPr>
            </w:pPr>
            <w:r w:rsidRPr="005D3641">
              <w:rPr>
                <w:rFonts w:ascii="Arial" w:hAnsi="Arial" w:cs="Arial"/>
                <w:sz w:val="20"/>
                <w:szCs w:val="20"/>
              </w:rPr>
              <w:t>Soil Sample B</w:t>
            </w:r>
          </w:p>
        </w:tc>
      </w:tr>
      <w:tr w:rsidR="00A82112" w:rsidRPr="005D3641" w14:paraId="0EF84B59" w14:textId="77777777" w:rsidTr="003C4C86">
        <w:trPr>
          <w:trHeight w:val="224"/>
        </w:trPr>
        <w:tc>
          <w:tcPr>
            <w:tcW w:w="5575" w:type="dxa"/>
          </w:tcPr>
          <w:p w14:paraId="72FEE703"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Specific Gravity</w:t>
            </w:r>
          </w:p>
        </w:tc>
        <w:tc>
          <w:tcPr>
            <w:tcW w:w="3060" w:type="dxa"/>
          </w:tcPr>
          <w:p w14:paraId="37F156F3"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2.04</w:t>
            </w:r>
          </w:p>
        </w:tc>
        <w:tc>
          <w:tcPr>
            <w:tcW w:w="1574" w:type="dxa"/>
          </w:tcPr>
          <w:p w14:paraId="40A181AB"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2.4</w:t>
            </w:r>
          </w:p>
        </w:tc>
      </w:tr>
      <w:tr w:rsidR="00A82112" w:rsidRPr="005D3641" w14:paraId="2A6DE157" w14:textId="77777777" w:rsidTr="003C4C86">
        <w:trPr>
          <w:trHeight w:val="237"/>
        </w:trPr>
        <w:tc>
          <w:tcPr>
            <w:tcW w:w="5575" w:type="dxa"/>
          </w:tcPr>
          <w:p w14:paraId="666F6115"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Moisture Content</w:t>
            </w:r>
          </w:p>
        </w:tc>
        <w:tc>
          <w:tcPr>
            <w:tcW w:w="3060" w:type="dxa"/>
          </w:tcPr>
          <w:p w14:paraId="59EC54F8"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9.64%</w:t>
            </w:r>
          </w:p>
        </w:tc>
        <w:tc>
          <w:tcPr>
            <w:tcW w:w="1574" w:type="dxa"/>
          </w:tcPr>
          <w:p w14:paraId="5A848EFA"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0.84%</w:t>
            </w:r>
          </w:p>
        </w:tc>
      </w:tr>
      <w:tr w:rsidR="00A82112" w:rsidRPr="005D3641" w14:paraId="26DFE279" w14:textId="77777777" w:rsidTr="003C4C86">
        <w:trPr>
          <w:trHeight w:val="224"/>
        </w:trPr>
        <w:tc>
          <w:tcPr>
            <w:tcW w:w="5575" w:type="dxa"/>
            <w:tcBorders>
              <w:bottom w:val="single" w:sz="4" w:space="0" w:color="auto"/>
            </w:tcBorders>
          </w:tcPr>
          <w:p w14:paraId="546A9C3F" w14:textId="77777777" w:rsidR="00A82112" w:rsidRPr="005D3641" w:rsidRDefault="00A82112" w:rsidP="003C4C86">
            <w:pPr>
              <w:jc w:val="both"/>
              <w:rPr>
                <w:rFonts w:ascii="Arial" w:hAnsi="Arial" w:cs="Arial"/>
                <w:sz w:val="20"/>
                <w:szCs w:val="20"/>
              </w:rPr>
            </w:pPr>
          </w:p>
        </w:tc>
        <w:tc>
          <w:tcPr>
            <w:tcW w:w="3060" w:type="dxa"/>
            <w:tcBorders>
              <w:bottom w:val="single" w:sz="4" w:space="0" w:color="auto"/>
            </w:tcBorders>
          </w:tcPr>
          <w:p w14:paraId="18F90E55" w14:textId="77777777" w:rsidR="00A82112" w:rsidRPr="005D3641" w:rsidRDefault="00A82112" w:rsidP="003C4C86">
            <w:pPr>
              <w:jc w:val="center"/>
              <w:rPr>
                <w:rFonts w:ascii="Arial" w:hAnsi="Arial" w:cs="Arial"/>
                <w:sz w:val="20"/>
                <w:szCs w:val="20"/>
              </w:rPr>
            </w:pPr>
          </w:p>
        </w:tc>
        <w:tc>
          <w:tcPr>
            <w:tcW w:w="1574" w:type="dxa"/>
            <w:tcBorders>
              <w:bottom w:val="single" w:sz="4" w:space="0" w:color="auto"/>
            </w:tcBorders>
          </w:tcPr>
          <w:p w14:paraId="25A78682" w14:textId="77777777" w:rsidR="00A82112" w:rsidRPr="005D3641" w:rsidRDefault="00A82112" w:rsidP="003C4C86">
            <w:pPr>
              <w:jc w:val="center"/>
              <w:rPr>
                <w:rFonts w:ascii="Arial" w:hAnsi="Arial" w:cs="Arial"/>
                <w:sz w:val="20"/>
                <w:szCs w:val="20"/>
              </w:rPr>
            </w:pPr>
          </w:p>
        </w:tc>
      </w:tr>
      <w:tr w:rsidR="00A82112" w:rsidRPr="005D3641" w14:paraId="7B0393C8" w14:textId="77777777" w:rsidTr="003C4C86">
        <w:trPr>
          <w:trHeight w:val="237"/>
        </w:trPr>
        <w:tc>
          <w:tcPr>
            <w:tcW w:w="10209" w:type="dxa"/>
            <w:gridSpan w:val="3"/>
            <w:tcBorders>
              <w:top w:val="single" w:sz="4" w:space="0" w:color="auto"/>
              <w:bottom w:val="single" w:sz="4" w:space="0" w:color="auto"/>
            </w:tcBorders>
          </w:tcPr>
          <w:p w14:paraId="76000D1A" w14:textId="77777777" w:rsidR="00A82112" w:rsidRPr="005D3641" w:rsidRDefault="00A82112" w:rsidP="003C4C86">
            <w:pPr>
              <w:jc w:val="center"/>
              <w:rPr>
                <w:rFonts w:ascii="Arial" w:hAnsi="Arial" w:cs="Arial"/>
                <w:b/>
                <w:sz w:val="20"/>
                <w:szCs w:val="20"/>
              </w:rPr>
            </w:pPr>
            <w:r w:rsidRPr="005D3641">
              <w:rPr>
                <w:rFonts w:ascii="Arial" w:hAnsi="Arial" w:cs="Arial"/>
                <w:b/>
                <w:sz w:val="20"/>
                <w:szCs w:val="20"/>
              </w:rPr>
              <w:t>Particle Size Analysis</w:t>
            </w:r>
          </w:p>
        </w:tc>
      </w:tr>
      <w:tr w:rsidR="00A82112" w:rsidRPr="005D3641" w14:paraId="6EA2AC03" w14:textId="77777777" w:rsidTr="003C4C86">
        <w:trPr>
          <w:trHeight w:val="215"/>
        </w:trPr>
        <w:tc>
          <w:tcPr>
            <w:tcW w:w="5575" w:type="dxa"/>
            <w:tcBorders>
              <w:top w:val="single" w:sz="4" w:space="0" w:color="auto"/>
            </w:tcBorders>
          </w:tcPr>
          <w:p w14:paraId="53494AE1" w14:textId="77777777" w:rsidR="00A82112" w:rsidRPr="005D3641" w:rsidRDefault="00A82112" w:rsidP="003C4C86">
            <w:pPr>
              <w:jc w:val="both"/>
              <w:rPr>
                <w:rFonts w:ascii="Arial" w:hAnsi="Arial" w:cs="Arial"/>
                <w:b/>
                <w:bCs/>
                <w:sz w:val="20"/>
                <w:szCs w:val="20"/>
              </w:rPr>
            </w:pPr>
            <w:r w:rsidRPr="005D3641">
              <w:rPr>
                <w:rFonts w:ascii="Arial" w:hAnsi="Arial" w:cs="Arial"/>
                <w:b/>
                <w:bCs/>
                <w:sz w:val="20"/>
                <w:szCs w:val="20"/>
              </w:rPr>
              <w:t>Item</w:t>
            </w:r>
          </w:p>
        </w:tc>
        <w:tc>
          <w:tcPr>
            <w:tcW w:w="3060" w:type="dxa"/>
            <w:tcBorders>
              <w:top w:val="single" w:sz="4" w:space="0" w:color="auto"/>
            </w:tcBorders>
          </w:tcPr>
          <w:p w14:paraId="3DCA70E1" w14:textId="77777777" w:rsidR="00A82112" w:rsidRPr="005D3641" w:rsidRDefault="00A82112" w:rsidP="003C4C86">
            <w:pPr>
              <w:jc w:val="center"/>
              <w:rPr>
                <w:rFonts w:ascii="Arial" w:hAnsi="Arial" w:cs="Arial"/>
                <w:b/>
                <w:bCs/>
                <w:sz w:val="20"/>
                <w:szCs w:val="20"/>
              </w:rPr>
            </w:pPr>
            <w:r w:rsidRPr="005D3641">
              <w:rPr>
                <w:rFonts w:ascii="Arial" w:hAnsi="Arial" w:cs="Arial"/>
                <w:b/>
                <w:bCs/>
                <w:sz w:val="20"/>
                <w:szCs w:val="20"/>
              </w:rPr>
              <w:t>Data A</w:t>
            </w:r>
          </w:p>
        </w:tc>
        <w:tc>
          <w:tcPr>
            <w:tcW w:w="1574" w:type="dxa"/>
            <w:tcBorders>
              <w:top w:val="single" w:sz="4" w:space="0" w:color="auto"/>
            </w:tcBorders>
          </w:tcPr>
          <w:p w14:paraId="1A594B19" w14:textId="77777777" w:rsidR="00A82112" w:rsidRPr="005D3641" w:rsidRDefault="00A82112" w:rsidP="003C4C86">
            <w:pPr>
              <w:jc w:val="center"/>
              <w:rPr>
                <w:rFonts w:ascii="Arial" w:hAnsi="Arial" w:cs="Arial"/>
                <w:b/>
                <w:bCs/>
                <w:sz w:val="20"/>
                <w:szCs w:val="20"/>
              </w:rPr>
            </w:pPr>
            <w:r w:rsidRPr="005D3641">
              <w:rPr>
                <w:rFonts w:ascii="Arial" w:hAnsi="Arial" w:cs="Arial"/>
                <w:b/>
                <w:bCs/>
                <w:sz w:val="20"/>
                <w:szCs w:val="20"/>
              </w:rPr>
              <w:t>Data B</w:t>
            </w:r>
          </w:p>
        </w:tc>
      </w:tr>
      <w:tr w:rsidR="00A82112" w:rsidRPr="005D3641" w14:paraId="5F7C6C02" w14:textId="77777777" w:rsidTr="003C4C86">
        <w:trPr>
          <w:trHeight w:val="224"/>
        </w:trPr>
        <w:tc>
          <w:tcPr>
            <w:tcW w:w="5575" w:type="dxa"/>
          </w:tcPr>
          <w:p w14:paraId="71ADD630"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 xml:space="preserve">Percent gravel </w:t>
            </w:r>
          </w:p>
        </w:tc>
        <w:tc>
          <w:tcPr>
            <w:tcW w:w="3060" w:type="dxa"/>
          </w:tcPr>
          <w:p w14:paraId="34FEED3E"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12</w:t>
            </w:r>
          </w:p>
        </w:tc>
        <w:tc>
          <w:tcPr>
            <w:tcW w:w="1574" w:type="dxa"/>
          </w:tcPr>
          <w:p w14:paraId="32E03C77"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w:t>
            </w:r>
          </w:p>
        </w:tc>
      </w:tr>
      <w:tr w:rsidR="00A82112" w:rsidRPr="005D3641" w14:paraId="116FED3A" w14:textId="77777777" w:rsidTr="003C4C86">
        <w:trPr>
          <w:trHeight w:val="233"/>
        </w:trPr>
        <w:tc>
          <w:tcPr>
            <w:tcW w:w="5575" w:type="dxa"/>
          </w:tcPr>
          <w:p w14:paraId="43486D35"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 xml:space="preserve">Percent sand </w:t>
            </w:r>
          </w:p>
        </w:tc>
        <w:tc>
          <w:tcPr>
            <w:tcW w:w="3060" w:type="dxa"/>
          </w:tcPr>
          <w:p w14:paraId="4C9253FC"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33</w:t>
            </w:r>
          </w:p>
        </w:tc>
        <w:tc>
          <w:tcPr>
            <w:tcW w:w="1574" w:type="dxa"/>
          </w:tcPr>
          <w:p w14:paraId="24ACBA33"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62</w:t>
            </w:r>
          </w:p>
        </w:tc>
      </w:tr>
      <w:tr w:rsidR="00A82112" w:rsidRPr="005D3641" w14:paraId="597CED61" w14:textId="77777777" w:rsidTr="003C4C86">
        <w:trPr>
          <w:trHeight w:val="242"/>
        </w:trPr>
        <w:tc>
          <w:tcPr>
            <w:tcW w:w="5575" w:type="dxa"/>
          </w:tcPr>
          <w:p w14:paraId="0DEC947A"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 xml:space="preserve">Percent fines </w:t>
            </w:r>
          </w:p>
        </w:tc>
        <w:tc>
          <w:tcPr>
            <w:tcW w:w="3060" w:type="dxa"/>
          </w:tcPr>
          <w:p w14:paraId="4808CDF5"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55</w:t>
            </w:r>
          </w:p>
        </w:tc>
        <w:tc>
          <w:tcPr>
            <w:tcW w:w="1574" w:type="dxa"/>
          </w:tcPr>
          <w:p w14:paraId="14D20E57"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38</w:t>
            </w:r>
          </w:p>
        </w:tc>
      </w:tr>
      <w:tr w:rsidR="00A82112" w:rsidRPr="005D3641" w14:paraId="63D1605C" w14:textId="77777777" w:rsidTr="003C4C86">
        <w:trPr>
          <w:trHeight w:val="251"/>
        </w:trPr>
        <w:tc>
          <w:tcPr>
            <w:tcW w:w="5575" w:type="dxa"/>
          </w:tcPr>
          <w:p w14:paraId="28AB90E9"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 xml:space="preserve">D10 = Size of grains that accounts for 10% of the total (mm) </w:t>
            </w:r>
          </w:p>
        </w:tc>
        <w:tc>
          <w:tcPr>
            <w:tcW w:w="3060" w:type="dxa"/>
          </w:tcPr>
          <w:p w14:paraId="58E2F8FC"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w:t>
            </w:r>
          </w:p>
        </w:tc>
        <w:tc>
          <w:tcPr>
            <w:tcW w:w="1574" w:type="dxa"/>
          </w:tcPr>
          <w:p w14:paraId="1676BA2F"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w:t>
            </w:r>
          </w:p>
        </w:tc>
      </w:tr>
      <w:tr w:rsidR="00A82112" w:rsidRPr="005D3641" w14:paraId="5C514FBE" w14:textId="77777777" w:rsidTr="003C4C86">
        <w:trPr>
          <w:trHeight w:val="260"/>
        </w:trPr>
        <w:tc>
          <w:tcPr>
            <w:tcW w:w="5575" w:type="dxa"/>
          </w:tcPr>
          <w:p w14:paraId="726A879B"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 xml:space="preserve">D30 = Size of grains that accounts for 30% of the total (mm) </w:t>
            </w:r>
          </w:p>
        </w:tc>
        <w:tc>
          <w:tcPr>
            <w:tcW w:w="3060" w:type="dxa"/>
          </w:tcPr>
          <w:p w14:paraId="7BE12B82"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w:t>
            </w:r>
          </w:p>
        </w:tc>
        <w:tc>
          <w:tcPr>
            <w:tcW w:w="1574" w:type="dxa"/>
          </w:tcPr>
          <w:p w14:paraId="084F1124"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w:t>
            </w:r>
          </w:p>
        </w:tc>
      </w:tr>
      <w:tr w:rsidR="00A82112" w:rsidRPr="005D3641" w14:paraId="7FDCA3CF" w14:textId="77777777" w:rsidTr="003C4C86">
        <w:trPr>
          <w:trHeight w:val="260"/>
        </w:trPr>
        <w:tc>
          <w:tcPr>
            <w:tcW w:w="5575" w:type="dxa"/>
          </w:tcPr>
          <w:p w14:paraId="366D18AC"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 xml:space="preserve">D60 = Size of grains that accounts for 60% of the total (mm) </w:t>
            </w:r>
          </w:p>
        </w:tc>
        <w:tc>
          <w:tcPr>
            <w:tcW w:w="3060" w:type="dxa"/>
          </w:tcPr>
          <w:p w14:paraId="12584080"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0.2</w:t>
            </w:r>
          </w:p>
        </w:tc>
        <w:tc>
          <w:tcPr>
            <w:tcW w:w="1574" w:type="dxa"/>
          </w:tcPr>
          <w:p w14:paraId="5EAF22F3"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0.2</w:t>
            </w:r>
          </w:p>
        </w:tc>
      </w:tr>
      <w:tr w:rsidR="00A82112" w:rsidRPr="005D3641" w14:paraId="3E1C3B04" w14:textId="77777777" w:rsidTr="003C4C86">
        <w:trPr>
          <w:trHeight w:val="260"/>
        </w:trPr>
        <w:tc>
          <w:tcPr>
            <w:tcW w:w="5575" w:type="dxa"/>
          </w:tcPr>
          <w:p w14:paraId="4E852CBE"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 xml:space="preserve">Cu = Coefficient of Uniformity  </w:t>
            </w:r>
          </w:p>
        </w:tc>
        <w:tc>
          <w:tcPr>
            <w:tcW w:w="3060" w:type="dxa"/>
          </w:tcPr>
          <w:p w14:paraId="66124844"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w:t>
            </w:r>
          </w:p>
        </w:tc>
        <w:tc>
          <w:tcPr>
            <w:tcW w:w="1574" w:type="dxa"/>
          </w:tcPr>
          <w:p w14:paraId="666B5156"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w:t>
            </w:r>
          </w:p>
        </w:tc>
      </w:tr>
      <w:tr w:rsidR="00A82112" w:rsidRPr="005D3641" w14:paraId="495F3E3C" w14:textId="77777777" w:rsidTr="003C4C86">
        <w:trPr>
          <w:trHeight w:val="260"/>
        </w:trPr>
        <w:tc>
          <w:tcPr>
            <w:tcW w:w="5575" w:type="dxa"/>
          </w:tcPr>
          <w:p w14:paraId="5C10DC12"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 xml:space="preserve">Cc = Coefficient of gradation </w:t>
            </w:r>
          </w:p>
        </w:tc>
        <w:tc>
          <w:tcPr>
            <w:tcW w:w="3060" w:type="dxa"/>
          </w:tcPr>
          <w:p w14:paraId="0DD793A8"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w:t>
            </w:r>
          </w:p>
        </w:tc>
        <w:tc>
          <w:tcPr>
            <w:tcW w:w="1574" w:type="dxa"/>
          </w:tcPr>
          <w:p w14:paraId="224843D6"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w:t>
            </w:r>
          </w:p>
        </w:tc>
      </w:tr>
      <w:tr w:rsidR="00A82112" w:rsidRPr="005D3641" w14:paraId="6F92D1F0" w14:textId="77777777" w:rsidTr="003C4C86">
        <w:trPr>
          <w:trHeight w:val="161"/>
        </w:trPr>
        <w:tc>
          <w:tcPr>
            <w:tcW w:w="5575" w:type="dxa"/>
          </w:tcPr>
          <w:p w14:paraId="65E3674D" w14:textId="77777777" w:rsidR="00A82112" w:rsidRPr="005D3641" w:rsidRDefault="00A82112" w:rsidP="003C4C86">
            <w:pPr>
              <w:jc w:val="both"/>
              <w:rPr>
                <w:rFonts w:ascii="Arial" w:hAnsi="Arial" w:cs="Arial"/>
                <w:sz w:val="20"/>
                <w:szCs w:val="20"/>
              </w:rPr>
            </w:pPr>
          </w:p>
        </w:tc>
        <w:tc>
          <w:tcPr>
            <w:tcW w:w="3060" w:type="dxa"/>
          </w:tcPr>
          <w:p w14:paraId="5FFED734" w14:textId="77777777" w:rsidR="00A82112" w:rsidRPr="005D3641" w:rsidRDefault="00A82112" w:rsidP="003C4C86">
            <w:pPr>
              <w:jc w:val="center"/>
              <w:rPr>
                <w:rFonts w:ascii="Arial" w:hAnsi="Arial" w:cs="Arial"/>
                <w:sz w:val="20"/>
                <w:szCs w:val="20"/>
              </w:rPr>
            </w:pPr>
          </w:p>
        </w:tc>
        <w:tc>
          <w:tcPr>
            <w:tcW w:w="1574" w:type="dxa"/>
          </w:tcPr>
          <w:p w14:paraId="4E92C4C0" w14:textId="77777777" w:rsidR="00A82112" w:rsidRPr="005D3641" w:rsidRDefault="00A82112" w:rsidP="003C4C86">
            <w:pPr>
              <w:jc w:val="center"/>
              <w:rPr>
                <w:rFonts w:ascii="Arial" w:hAnsi="Arial" w:cs="Arial"/>
                <w:sz w:val="20"/>
                <w:szCs w:val="20"/>
              </w:rPr>
            </w:pPr>
          </w:p>
        </w:tc>
      </w:tr>
      <w:tr w:rsidR="00A82112" w:rsidRPr="005D3641" w14:paraId="1EE52BBB" w14:textId="77777777" w:rsidTr="003C4C86">
        <w:trPr>
          <w:trHeight w:val="411"/>
        </w:trPr>
        <w:tc>
          <w:tcPr>
            <w:tcW w:w="5575" w:type="dxa"/>
          </w:tcPr>
          <w:p w14:paraId="6E8CDC5F"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Classification according to USCS</w:t>
            </w:r>
          </w:p>
        </w:tc>
        <w:tc>
          <w:tcPr>
            <w:tcW w:w="3060" w:type="dxa"/>
          </w:tcPr>
          <w:p w14:paraId="2CEF0FD7"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GC or SC (Gravelly clayey soil or Sandy Clayey Soil)</w:t>
            </w:r>
          </w:p>
        </w:tc>
        <w:tc>
          <w:tcPr>
            <w:tcW w:w="1574" w:type="dxa"/>
          </w:tcPr>
          <w:p w14:paraId="6A3F7129"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Sand with silt</w:t>
            </w:r>
          </w:p>
        </w:tc>
      </w:tr>
      <w:tr w:rsidR="00A82112" w:rsidRPr="005D3641" w14:paraId="04D2C1BF" w14:textId="77777777" w:rsidTr="003C4C86">
        <w:trPr>
          <w:trHeight w:val="287"/>
        </w:trPr>
        <w:tc>
          <w:tcPr>
            <w:tcW w:w="5575" w:type="dxa"/>
          </w:tcPr>
          <w:p w14:paraId="58CB65BF" w14:textId="77777777" w:rsidR="00A82112" w:rsidRPr="005D3641" w:rsidRDefault="00A82112" w:rsidP="003C4C86">
            <w:pPr>
              <w:jc w:val="both"/>
              <w:rPr>
                <w:rFonts w:ascii="Arial" w:hAnsi="Arial" w:cs="Arial"/>
                <w:sz w:val="20"/>
                <w:szCs w:val="20"/>
              </w:rPr>
            </w:pPr>
            <w:r w:rsidRPr="005D3641">
              <w:rPr>
                <w:rFonts w:ascii="Arial" w:hAnsi="Arial" w:cs="Arial"/>
                <w:bCs/>
                <w:sz w:val="20"/>
                <w:szCs w:val="20"/>
              </w:rPr>
              <w:t>Classification of the soil according to AASHTO</w:t>
            </w:r>
          </w:p>
        </w:tc>
        <w:tc>
          <w:tcPr>
            <w:tcW w:w="3060" w:type="dxa"/>
          </w:tcPr>
          <w:p w14:paraId="0E0B2ECD"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A – 7 (Clayey soil) Fair to Poor</w:t>
            </w:r>
          </w:p>
        </w:tc>
        <w:tc>
          <w:tcPr>
            <w:tcW w:w="1574" w:type="dxa"/>
          </w:tcPr>
          <w:p w14:paraId="5E0F1CDA" w14:textId="77777777" w:rsidR="00A82112" w:rsidRPr="005D3641" w:rsidRDefault="00A82112" w:rsidP="003C4C86">
            <w:pPr>
              <w:jc w:val="center"/>
              <w:rPr>
                <w:rFonts w:ascii="Arial" w:hAnsi="Arial" w:cs="Arial"/>
                <w:sz w:val="20"/>
                <w:szCs w:val="20"/>
              </w:rPr>
            </w:pPr>
          </w:p>
        </w:tc>
      </w:tr>
      <w:tr w:rsidR="00A82112" w:rsidRPr="005D3641" w14:paraId="194D1169" w14:textId="77777777" w:rsidTr="003C4C86">
        <w:trPr>
          <w:trHeight w:val="269"/>
        </w:trPr>
        <w:tc>
          <w:tcPr>
            <w:tcW w:w="5575" w:type="dxa"/>
          </w:tcPr>
          <w:p w14:paraId="245F7B1B" w14:textId="77777777" w:rsidR="00A82112" w:rsidRPr="005D3641" w:rsidRDefault="00A82112" w:rsidP="003C4C86">
            <w:pPr>
              <w:jc w:val="both"/>
              <w:rPr>
                <w:rFonts w:ascii="Arial" w:hAnsi="Arial" w:cs="Arial"/>
                <w:bCs/>
                <w:sz w:val="20"/>
                <w:szCs w:val="20"/>
              </w:rPr>
            </w:pPr>
            <w:r w:rsidRPr="005D3641">
              <w:rPr>
                <w:rFonts w:ascii="Arial" w:hAnsi="Arial" w:cs="Arial"/>
                <w:bCs/>
                <w:sz w:val="20"/>
                <w:szCs w:val="20"/>
              </w:rPr>
              <w:t>Grade of Soil Sample</w:t>
            </w:r>
          </w:p>
        </w:tc>
        <w:tc>
          <w:tcPr>
            <w:tcW w:w="3060" w:type="dxa"/>
          </w:tcPr>
          <w:p w14:paraId="7E026F8E"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Poorly Graded</w:t>
            </w:r>
          </w:p>
        </w:tc>
        <w:tc>
          <w:tcPr>
            <w:tcW w:w="1574" w:type="dxa"/>
          </w:tcPr>
          <w:p w14:paraId="3E7E95FE"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Poorly Graded</w:t>
            </w:r>
          </w:p>
        </w:tc>
      </w:tr>
      <w:tr w:rsidR="00A82112" w:rsidRPr="005D3641" w14:paraId="1E99B75F" w14:textId="77777777" w:rsidTr="003C4C86">
        <w:trPr>
          <w:trHeight w:val="161"/>
        </w:trPr>
        <w:tc>
          <w:tcPr>
            <w:tcW w:w="5575" w:type="dxa"/>
          </w:tcPr>
          <w:p w14:paraId="3CA19E58" w14:textId="77777777" w:rsidR="00A82112" w:rsidRPr="005D3641" w:rsidRDefault="00A82112" w:rsidP="003C4C86">
            <w:pPr>
              <w:jc w:val="both"/>
              <w:rPr>
                <w:rFonts w:ascii="Arial" w:hAnsi="Arial" w:cs="Arial"/>
                <w:bCs/>
                <w:sz w:val="20"/>
                <w:szCs w:val="20"/>
              </w:rPr>
            </w:pPr>
            <w:r w:rsidRPr="005D3641">
              <w:rPr>
                <w:rFonts w:ascii="Arial" w:hAnsi="Arial" w:cs="Arial"/>
                <w:bCs/>
                <w:sz w:val="20"/>
                <w:szCs w:val="20"/>
              </w:rPr>
              <w:t>Group Index</w:t>
            </w:r>
          </w:p>
        </w:tc>
        <w:tc>
          <w:tcPr>
            <w:tcW w:w="3060" w:type="dxa"/>
          </w:tcPr>
          <w:p w14:paraId="1F446E76"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5.0</w:t>
            </w:r>
          </w:p>
        </w:tc>
        <w:tc>
          <w:tcPr>
            <w:tcW w:w="1574" w:type="dxa"/>
          </w:tcPr>
          <w:p w14:paraId="1F4E6C34" w14:textId="77777777" w:rsidR="00A82112" w:rsidRPr="005D3641" w:rsidRDefault="00A82112" w:rsidP="003C4C86">
            <w:pPr>
              <w:jc w:val="center"/>
              <w:rPr>
                <w:rFonts w:ascii="Arial" w:hAnsi="Arial" w:cs="Arial"/>
                <w:sz w:val="20"/>
                <w:szCs w:val="20"/>
              </w:rPr>
            </w:pPr>
          </w:p>
        </w:tc>
      </w:tr>
    </w:tbl>
    <w:p w14:paraId="0A1C7EFF" w14:textId="77777777" w:rsidR="00A82112" w:rsidRPr="005D3641" w:rsidRDefault="00A82112" w:rsidP="00A82112">
      <w:pPr>
        <w:jc w:val="both"/>
        <w:rPr>
          <w:rFonts w:ascii="Arial" w:hAnsi="Arial" w:cs="Arial"/>
        </w:rPr>
      </w:pPr>
    </w:p>
    <w:p w14:paraId="0240BB0E" w14:textId="77777777" w:rsidR="00A82112" w:rsidRPr="005D3641" w:rsidRDefault="00A82112" w:rsidP="00A82112">
      <w:pPr>
        <w:rPr>
          <w:rFonts w:ascii="Arial" w:hAnsi="Arial" w:cs="Arial"/>
        </w:rPr>
      </w:pPr>
      <w:r w:rsidRPr="005D3641">
        <w:rPr>
          <w:rFonts w:ascii="Arial" w:hAnsi="Arial" w:cs="Arial"/>
          <w:noProof/>
          <w14:ligatures w14:val="standardContextual"/>
        </w:rPr>
        <w:lastRenderedPageBreak/>
        <w:drawing>
          <wp:inline distT="0" distB="0" distL="0" distR="0" wp14:anchorId="71A15812" wp14:editId="6285730B">
            <wp:extent cx="2409914" cy="1866265"/>
            <wp:effectExtent l="0" t="0" r="9525" b="635"/>
            <wp:docPr id="1" name="Chart 1">
              <a:extLst xmlns:a="http://schemas.openxmlformats.org/drawingml/2006/main">
                <a:ext uri="{FF2B5EF4-FFF2-40B4-BE49-F238E27FC236}">
                  <a16:creationId xmlns:a16="http://schemas.microsoft.com/office/drawing/2014/main" id="{B27E5DF7-1445-63D9-61C8-2B40DD9CEF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5D3641">
        <w:rPr>
          <w:rFonts w:ascii="Arial" w:hAnsi="Arial" w:cs="Arial"/>
        </w:rPr>
        <w:tab/>
      </w:r>
      <w:r w:rsidRPr="005D3641">
        <w:rPr>
          <w:rFonts w:ascii="Arial" w:hAnsi="Arial" w:cs="Arial"/>
          <w:noProof/>
          <w14:ligatures w14:val="standardContextual"/>
        </w:rPr>
        <w:drawing>
          <wp:inline distT="0" distB="0" distL="0" distR="0" wp14:anchorId="3DBEDD16" wp14:editId="21828467">
            <wp:extent cx="2247544" cy="1932305"/>
            <wp:effectExtent l="0" t="0" r="635" b="10795"/>
            <wp:docPr id="7" name="Chart 7">
              <a:extLst xmlns:a="http://schemas.openxmlformats.org/drawingml/2006/main">
                <a:ext uri="{FF2B5EF4-FFF2-40B4-BE49-F238E27FC236}">
                  <a16:creationId xmlns:a16="http://schemas.microsoft.com/office/drawing/2014/main" id="{396AE933-5066-0FAC-24E1-F4352C2C0D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854C754" w14:textId="77777777" w:rsidR="00A82112" w:rsidRPr="005D3641" w:rsidRDefault="00A82112" w:rsidP="00A82112">
      <w:pPr>
        <w:rPr>
          <w:rFonts w:ascii="Arial" w:hAnsi="Arial" w:cs="Arial"/>
        </w:rPr>
      </w:pPr>
    </w:p>
    <w:p w14:paraId="376FA0AF" w14:textId="03246747" w:rsidR="00A82112" w:rsidRPr="005D3641" w:rsidRDefault="00A82112" w:rsidP="005D3641">
      <w:pPr>
        <w:rPr>
          <w:rFonts w:ascii="Arial" w:hAnsi="Arial" w:cs="Arial"/>
        </w:rPr>
      </w:pPr>
      <w:r w:rsidRPr="005D3641">
        <w:rPr>
          <w:rFonts w:ascii="Arial" w:hAnsi="Arial" w:cs="Arial"/>
          <w:b/>
          <w:bCs/>
        </w:rPr>
        <w:t xml:space="preserve">Fig. 3: </w:t>
      </w:r>
      <w:r w:rsidRPr="005D3641">
        <w:rPr>
          <w:rFonts w:ascii="Arial" w:hAnsi="Arial" w:cs="Arial"/>
        </w:rPr>
        <w:t>Particle Size Distribution for</w:t>
      </w:r>
      <w:r w:rsidRPr="005D3641">
        <w:rPr>
          <w:rFonts w:ascii="Arial" w:hAnsi="Arial" w:cs="Arial"/>
        </w:rPr>
        <w:tab/>
      </w:r>
      <w:r w:rsidR="005D3641">
        <w:rPr>
          <w:rFonts w:ascii="Arial" w:hAnsi="Arial" w:cs="Arial"/>
        </w:rPr>
        <w:tab/>
      </w:r>
      <w:r w:rsidRPr="005D3641">
        <w:rPr>
          <w:rFonts w:ascii="Arial" w:hAnsi="Arial" w:cs="Arial"/>
          <w:b/>
          <w:bCs/>
        </w:rPr>
        <w:t xml:space="preserve">Fig. 4: </w:t>
      </w:r>
      <w:r w:rsidRPr="005D3641">
        <w:rPr>
          <w:rFonts w:ascii="Arial" w:hAnsi="Arial" w:cs="Arial"/>
        </w:rPr>
        <w:t xml:space="preserve">Particle Size Distribution for Soil </w:t>
      </w:r>
    </w:p>
    <w:p w14:paraId="507428C3" w14:textId="144CAA64" w:rsidR="00A82112" w:rsidRPr="005D3641" w:rsidRDefault="00A82112" w:rsidP="005D3641">
      <w:pPr>
        <w:rPr>
          <w:rFonts w:ascii="Arial" w:hAnsi="Arial" w:cs="Arial"/>
        </w:rPr>
      </w:pPr>
      <w:r w:rsidRPr="005D3641">
        <w:rPr>
          <w:rFonts w:ascii="Arial" w:hAnsi="Arial" w:cs="Arial"/>
        </w:rPr>
        <w:tab/>
        <w:t>Soil Sample A</w:t>
      </w:r>
      <w:r w:rsidRPr="005D3641">
        <w:rPr>
          <w:rFonts w:ascii="Arial" w:hAnsi="Arial" w:cs="Arial"/>
        </w:rPr>
        <w:tab/>
      </w:r>
      <w:r w:rsidRPr="005D3641">
        <w:rPr>
          <w:rFonts w:ascii="Arial" w:hAnsi="Arial" w:cs="Arial"/>
        </w:rPr>
        <w:tab/>
      </w:r>
      <w:r w:rsidRPr="005D3641">
        <w:rPr>
          <w:rFonts w:ascii="Arial" w:hAnsi="Arial" w:cs="Arial"/>
        </w:rPr>
        <w:tab/>
      </w:r>
      <w:r w:rsidRPr="005D3641">
        <w:rPr>
          <w:rFonts w:ascii="Arial" w:hAnsi="Arial" w:cs="Arial"/>
        </w:rPr>
        <w:tab/>
      </w:r>
      <w:r w:rsidRPr="005D3641">
        <w:rPr>
          <w:rFonts w:ascii="Arial" w:hAnsi="Arial" w:cs="Arial"/>
        </w:rPr>
        <w:tab/>
      </w:r>
      <w:r w:rsidRPr="005D3641">
        <w:rPr>
          <w:rFonts w:ascii="Arial" w:hAnsi="Arial" w:cs="Arial"/>
        </w:rPr>
        <w:tab/>
        <w:t xml:space="preserve">Sample </w:t>
      </w:r>
      <w:r w:rsidR="005D3641">
        <w:rPr>
          <w:rFonts w:ascii="Arial" w:hAnsi="Arial" w:cs="Arial"/>
        </w:rPr>
        <w:t>B</w:t>
      </w:r>
    </w:p>
    <w:p w14:paraId="134CB189" w14:textId="3F5457BE" w:rsidR="00A82112" w:rsidRPr="005D3641" w:rsidRDefault="00A82112" w:rsidP="00A82112">
      <w:pPr>
        <w:ind w:firstLine="720"/>
        <w:jc w:val="both"/>
        <w:rPr>
          <w:rFonts w:ascii="Arial" w:hAnsi="Arial" w:cs="Arial"/>
        </w:rPr>
      </w:pPr>
      <w:r w:rsidRPr="005D3641">
        <w:rPr>
          <w:rFonts w:ascii="Arial" w:hAnsi="Arial" w:cs="Arial"/>
        </w:rPr>
        <w:t xml:space="preserve">Sample A consists of 12% gravel, 33% sand, and 55% fines. The high fines content indicates a significant presence of silt and clay particles. This composition suggests that Sample A is likely to have lower permeability, higher plasticity, and greater cohesiveness compared to a soil with a higher sand content. The significant fines content (55%) combined with the presence of gravel and sand indicates that the soil has a considerable amount of clayey material. Sample A is classified as either GC (Gravelly Clayey Soil) or SC (Sandy Clayey Soil) according to the Unified Soil Classification System (USCS). The classification is based on the percentage of gravel (12%), sand (33%), and fines (55%). According to the American Association of State Highway and Transportation Officials (AASHTO) classification system, Sample A falls under the A-7 category, which is designated for clayey soils. The specific designation of A-7 indicates that the soil has poor performance qualities for highway subgrades, with fair to poor drainage and strength characteristics. Sample A has a group index of 5.0, which further quantifies the soil's performance as a subgrade material. A higher group index indicates poorer performance. With a group index of 5.0, Sample A is considered to have fair to poor suitability for use in road construction. The soil is graded as poorly graded, meaning that it lacks a well-distributed range of particle sizes. Poorly graded soils have a narrow range of particle sizes, leading to less dense packing and higher void ratios, which can reduce strength and stability. The presence of 12% gravel can provide some structural stability, but the predominant fines can lead to potential issues such as shrink-swell behavior and poor drainage. The high fines content in Sample A means that it can benefit significantly from stabilization using </w:t>
      </w:r>
      <w:proofErr w:type="spellStart"/>
      <w:r w:rsidR="006D7EC8">
        <w:rPr>
          <w:rFonts w:ascii="Arial" w:hAnsi="Arial" w:cs="Arial"/>
        </w:rPr>
        <w:t>Terrasil</w:t>
      </w:r>
      <w:proofErr w:type="spellEnd"/>
      <w:r w:rsidRPr="005D3641">
        <w:rPr>
          <w:rFonts w:ascii="Arial" w:hAnsi="Arial" w:cs="Arial"/>
        </w:rPr>
        <w:t xml:space="preserve"> nano chemical.</w:t>
      </w:r>
    </w:p>
    <w:p w14:paraId="00438F71" w14:textId="0065D942" w:rsidR="00A82112" w:rsidRPr="005D3641" w:rsidRDefault="00A82112" w:rsidP="00A82112">
      <w:pPr>
        <w:ind w:firstLine="720"/>
        <w:jc w:val="both"/>
        <w:rPr>
          <w:rFonts w:ascii="Arial" w:hAnsi="Arial" w:cs="Arial"/>
        </w:rPr>
      </w:pPr>
      <w:r w:rsidRPr="005D3641">
        <w:rPr>
          <w:rFonts w:ascii="Arial" w:hAnsi="Arial" w:cs="Arial"/>
        </w:rPr>
        <w:t xml:space="preserve">Sample B comprises 0% gravel, 62% sand, and 38% fines. The high sand content indicates that Sample B has good drainage properties and low plasticity. The 38% fines content, while significant, is lower than that of Sample A, suggesting better overall stability and less shrink-swell potential. The high sand content (62%) and the presence of fines (38%) indicate that the soil is predominantly sandy with a notable silt fraction. The sandy nature of the soil implies good drainage and relatively low plasticity compared to clayey soils. Sample B is also graded as poorly graded, indicating a limited range of particle sizes. Poorly graded sands can have a higher void ratio and may be less stable under load compared to well-graded soils. The composition of Sample B, with its higher sand content, suggests it is inherently more stable than Sample A. However, it still has the tendency to benefit from </w:t>
      </w:r>
      <w:proofErr w:type="spellStart"/>
      <w:r w:rsidR="006D7EC8">
        <w:rPr>
          <w:rFonts w:ascii="Arial" w:hAnsi="Arial" w:cs="Arial"/>
        </w:rPr>
        <w:t>Terrasil</w:t>
      </w:r>
      <w:proofErr w:type="spellEnd"/>
      <w:r w:rsidRPr="005D3641">
        <w:rPr>
          <w:rFonts w:ascii="Arial" w:hAnsi="Arial" w:cs="Arial"/>
        </w:rPr>
        <w:t xml:space="preserve"> nano chemical treatment, such that the cohesion between sand particles can be improved, and permeability can be reduced, making it less susceptible to water infiltration.</w:t>
      </w:r>
    </w:p>
    <w:p w14:paraId="3AE29E25" w14:textId="77777777" w:rsidR="00A82112" w:rsidRPr="005D3641" w:rsidRDefault="00A82112" w:rsidP="00A82112">
      <w:pPr>
        <w:jc w:val="both"/>
        <w:rPr>
          <w:rFonts w:ascii="Arial" w:hAnsi="Arial" w:cs="Arial"/>
          <w:b/>
        </w:rPr>
      </w:pPr>
    </w:p>
    <w:p w14:paraId="22D9BED9" w14:textId="77777777" w:rsidR="00A82112" w:rsidRPr="005D3641" w:rsidRDefault="00A82112" w:rsidP="00A82112">
      <w:pPr>
        <w:jc w:val="both"/>
        <w:rPr>
          <w:rFonts w:ascii="Arial" w:hAnsi="Arial" w:cs="Arial"/>
          <w:b/>
        </w:rPr>
      </w:pPr>
      <w:r w:rsidRPr="005D3641">
        <w:rPr>
          <w:rFonts w:ascii="Arial" w:hAnsi="Arial" w:cs="Arial"/>
          <w:b/>
        </w:rPr>
        <w:t xml:space="preserve"> Compaction Test</w:t>
      </w:r>
    </w:p>
    <w:p w14:paraId="167B3EAF" w14:textId="7EF2FC23" w:rsidR="00A82112" w:rsidRPr="005D3641" w:rsidRDefault="00A82112" w:rsidP="00A82112">
      <w:pPr>
        <w:jc w:val="both"/>
        <w:rPr>
          <w:rFonts w:ascii="Arial" w:hAnsi="Arial" w:cs="Arial"/>
          <w:bCs/>
        </w:rPr>
      </w:pPr>
      <w:r w:rsidRPr="005D3641">
        <w:rPr>
          <w:rFonts w:ascii="Arial" w:hAnsi="Arial" w:cs="Arial"/>
          <w:bCs/>
        </w:rPr>
        <w:lastRenderedPageBreak/>
        <w:t>The compaction data of the soil samples is give</w:t>
      </w:r>
      <w:r w:rsidR="006D7EC8">
        <w:rPr>
          <w:rFonts w:ascii="Arial" w:hAnsi="Arial" w:cs="Arial"/>
          <w:bCs/>
        </w:rPr>
        <w:t>n</w:t>
      </w:r>
      <w:r w:rsidRPr="005D3641">
        <w:rPr>
          <w:rFonts w:ascii="Arial" w:hAnsi="Arial" w:cs="Arial"/>
          <w:bCs/>
        </w:rPr>
        <w:t xml:space="preserve"> on Table 2, and the optimum moisture content (OMC) and maximum dry density (MDD) for sample A and B is show in Fig. 5 and Fig. 6 respectively.  </w:t>
      </w:r>
    </w:p>
    <w:p w14:paraId="11208DBA" w14:textId="77777777" w:rsidR="00A82112" w:rsidRPr="005D3641" w:rsidRDefault="00A82112" w:rsidP="00A82112">
      <w:pPr>
        <w:jc w:val="both"/>
        <w:rPr>
          <w:rFonts w:ascii="Arial" w:hAnsi="Arial" w:cs="Arial"/>
          <w:bCs/>
        </w:rPr>
      </w:pPr>
      <w:r w:rsidRPr="005D3641">
        <w:rPr>
          <w:rFonts w:ascii="Arial" w:hAnsi="Arial" w:cs="Arial"/>
          <w:b/>
        </w:rPr>
        <w:t xml:space="preserve">Table 2: </w:t>
      </w:r>
      <w:r w:rsidRPr="005D3641">
        <w:rPr>
          <w:rFonts w:ascii="Arial" w:hAnsi="Arial" w:cs="Arial"/>
          <w:bCs/>
        </w:rPr>
        <w:t xml:space="preserve"> Table of OMC and MDD for Soil Samples</w:t>
      </w:r>
    </w:p>
    <w:tbl>
      <w:tblPr>
        <w:tblStyle w:val="PlainTable2"/>
        <w:tblW w:w="0" w:type="auto"/>
        <w:tblLook w:val="0620" w:firstRow="1" w:lastRow="0" w:firstColumn="0" w:lastColumn="0" w:noHBand="1" w:noVBand="1"/>
      </w:tblPr>
      <w:tblGrid>
        <w:gridCol w:w="2766"/>
        <w:gridCol w:w="2721"/>
        <w:gridCol w:w="2721"/>
      </w:tblGrid>
      <w:tr w:rsidR="00A82112" w:rsidRPr="005D3641" w14:paraId="01E7F6AD" w14:textId="77777777" w:rsidTr="003C4C86">
        <w:trPr>
          <w:cnfStyle w:val="100000000000" w:firstRow="1" w:lastRow="0" w:firstColumn="0" w:lastColumn="0" w:oddVBand="0" w:evenVBand="0" w:oddHBand="0" w:evenHBand="0" w:firstRowFirstColumn="0" w:firstRowLastColumn="0" w:lastRowFirstColumn="0" w:lastRowLastColumn="0"/>
        </w:trPr>
        <w:tc>
          <w:tcPr>
            <w:tcW w:w="3485" w:type="dxa"/>
          </w:tcPr>
          <w:p w14:paraId="28E9DD5B" w14:textId="77777777" w:rsidR="00A82112" w:rsidRPr="005D3641" w:rsidRDefault="00A82112" w:rsidP="003C4C86">
            <w:pPr>
              <w:jc w:val="both"/>
              <w:rPr>
                <w:rFonts w:ascii="Arial" w:eastAsia="Times New Roman" w:hAnsi="Arial" w:cs="Arial"/>
                <w:b w:val="0"/>
                <w:sz w:val="20"/>
                <w:szCs w:val="20"/>
              </w:rPr>
            </w:pPr>
            <w:r w:rsidRPr="005D3641">
              <w:rPr>
                <w:rFonts w:ascii="Arial" w:eastAsia="Times New Roman" w:hAnsi="Arial" w:cs="Arial"/>
                <w:sz w:val="20"/>
                <w:szCs w:val="20"/>
              </w:rPr>
              <w:t>Item</w:t>
            </w:r>
          </w:p>
        </w:tc>
        <w:tc>
          <w:tcPr>
            <w:tcW w:w="3486" w:type="dxa"/>
          </w:tcPr>
          <w:p w14:paraId="2EDDBC29" w14:textId="77777777" w:rsidR="00A82112" w:rsidRPr="005D3641" w:rsidRDefault="00A82112" w:rsidP="003C4C86">
            <w:pPr>
              <w:jc w:val="both"/>
              <w:rPr>
                <w:rFonts w:ascii="Arial" w:eastAsia="Times New Roman" w:hAnsi="Arial" w:cs="Arial"/>
                <w:b w:val="0"/>
                <w:sz w:val="20"/>
                <w:szCs w:val="20"/>
              </w:rPr>
            </w:pPr>
            <w:r w:rsidRPr="005D3641">
              <w:rPr>
                <w:rFonts w:ascii="Arial" w:eastAsia="Times New Roman" w:hAnsi="Arial" w:cs="Arial"/>
                <w:sz w:val="20"/>
                <w:szCs w:val="20"/>
              </w:rPr>
              <w:t>Soil Sample A</w:t>
            </w:r>
          </w:p>
        </w:tc>
        <w:tc>
          <w:tcPr>
            <w:tcW w:w="3486" w:type="dxa"/>
          </w:tcPr>
          <w:p w14:paraId="0B882B0B" w14:textId="77777777" w:rsidR="00A82112" w:rsidRPr="005D3641" w:rsidRDefault="00A82112" w:rsidP="003C4C86">
            <w:pPr>
              <w:jc w:val="both"/>
              <w:rPr>
                <w:rFonts w:ascii="Arial" w:eastAsia="Times New Roman" w:hAnsi="Arial" w:cs="Arial"/>
                <w:b w:val="0"/>
                <w:sz w:val="20"/>
                <w:szCs w:val="20"/>
              </w:rPr>
            </w:pPr>
            <w:r w:rsidRPr="005D3641">
              <w:rPr>
                <w:rFonts w:ascii="Arial" w:eastAsia="Times New Roman" w:hAnsi="Arial" w:cs="Arial"/>
                <w:sz w:val="20"/>
                <w:szCs w:val="20"/>
              </w:rPr>
              <w:t>Soil Sample B</w:t>
            </w:r>
          </w:p>
        </w:tc>
      </w:tr>
      <w:tr w:rsidR="00A82112" w:rsidRPr="005D3641" w14:paraId="0BAD1FEE" w14:textId="77777777" w:rsidTr="003C4C86">
        <w:tc>
          <w:tcPr>
            <w:tcW w:w="3485" w:type="dxa"/>
          </w:tcPr>
          <w:p w14:paraId="3AEF0EBC" w14:textId="77777777" w:rsidR="00A82112" w:rsidRPr="005D3641" w:rsidRDefault="00A82112" w:rsidP="003C4C86">
            <w:pPr>
              <w:jc w:val="both"/>
              <w:rPr>
                <w:rFonts w:ascii="Arial" w:eastAsia="Times New Roman" w:hAnsi="Arial" w:cs="Arial"/>
                <w:sz w:val="20"/>
                <w:szCs w:val="20"/>
              </w:rPr>
            </w:pPr>
            <w:r w:rsidRPr="005D3641">
              <w:rPr>
                <w:rFonts w:ascii="Arial" w:eastAsia="Times New Roman" w:hAnsi="Arial" w:cs="Arial"/>
                <w:sz w:val="20"/>
                <w:szCs w:val="20"/>
              </w:rPr>
              <w:t>Optimum Moisture Content (%)</w:t>
            </w:r>
          </w:p>
        </w:tc>
        <w:tc>
          <w:tcPr>
            <w:tcW w:w="3486" w:type="dxa"/>
          </w:tcPr>
          <w:p w14:paraId="00150B82" w14:textId="77777777" w:rsidR="00A82112" w:rsidRPr="005D3641" w:rsidRDefault="00A82112" w:rsidP="003C4C86">
            <w:pPr>
              <w:jc w:val="both"/>
              <w:rPr>
                <w:rFonts w:ascii="Arial" w:eastAsia="Times New Roman" w:hAnsi="Arial" w:cs="Arial"/>
                <w:sz w:val="20"/>
                <w:szCs w:val="20"/>
              </w:rPr>
            </w:pPr>
            <w:r w:rsidRPr="005D3641">
              <w:rPr>
                <w:rFonts w:ascii="Arial" w:eastAsia="Times New Roman" w:hAnsi="Arial" w:cs="Arial"/>
                <w:sz w:val="20"/>
                <w:szCs w:val="20"/>
              </w:rPr>
              <w:t>9.3%</w:t>
            </w:r>
          </w:p>
        </w:tc>
        <w:tc>
          <w:tcPr>
            <w:tcW w:w="3486" w:type="dxa"/>
          </w:tcPr>
          <w:p w14:paraId="4267301A" w14:textId="77777777" w:rsidR="00A82112" w:rsidRPr="005D3641" w:rsidRDefault="00A82112" w:rsidP="003C4C86">
            <w:pPr>
              <w:jc w:val="both"/>
              <w:rPr>
                <w:rFonts w:ascii="Arial" w:eastAsia="Times New Roman" w:hAnsi="Arial" w:cs="Arial"/>
                <w:b/>
                <w:sz w:val="20"/>
                <w:szCs w:val="20"/>
              </w:rPr>
            </w:pPr>
            <w:r w:rsidRPr="005D3641">
              <w:rPr>
                <w:rFonts w:ascii="Arial" w:hAnsi="Arial" w:cs="Arial"/>
                <w:sz w:val="20"/>
                <w:szCs w:val="20"/>
              </w:rPr>
              <w:t>13.2%</w:t>
            </w:r>
          </w:p>
        </w:tc>
      </w:tr>
      <w:tr w:rsidR="00A82112" w:rsidRPr="005D3641" w14:paraId="45D2D68E" w14:textId="77777777" w:rsidTr="003C4C86">
        <w:tc>
          <w:tcPr>
            <w:tcW w:w="3485" w:type="dxa"/>
          </w:tcPr>
          <w:p w14:paraId="0BAE9D58" w14:textId="77777777" w:rsidR="00A82112" w:rsidRPr="005D3641" w:rsidRDefault="00A82112" w:rsidP="003C4C86">
            <w:pPr>
              <w:jc w:val="both"/>
              <w:rPr>
                <w:rFonts w:ascii="Arial" w:eastAsia="Times New Roman" w:hAnsi="Arial" w:cs="Arial"/>
                <w:sz w:val="20"/>
                <w:szCs w:val="20"/>
              </w:rPr>
            </w:pPr>
            <w:r w:rsidRPr="005D3641">
              <w:rPr>
                <w:rFonts w:ascii="Arial" w:eastAsia="Times New Roman" w:hAnsi="Arial" w:cs="Arial"/>
                <w:sz w:val="20"/>
                <w:szCs w:val="20"/>
              </w:rPr>
              <w:t>Maximum Dry Density (kg/m</w:t>
            </w:r>
            <w:r w:rsidRPr="005D3641">
              <w:rPr>
                <w:rFonts w:ascii="Arial" w:eastAsia="Times New Roman" w:hAnsi="Arial" w:cs="Arial"/>
                <w:sz w:val="20"/>
                <w:szCs w:val="20"/>
                <w:vertAlign w:val="superscript"/>
              </w:rPr>
              <w:t>3</w:t>
            </w:r>
            <w:r w:rsidRPr="005D3641">
              <w:rPr>
                <w:rFonts w:ascii="Arial" w:eastAsia="Times New Roman" w:hAnsi="Arial" w:cs="Arial"/>
                <w:sz w:val="20"/>
                <w:szCs w:val="20"/>
              </w:rPr>
              <w:t>)</w:t>
            </w:r>
          </w:p>
        </w:tc>
        <w:tc>
          <w:tcPr>
            <w:tcW w:w="3486" w:type="dxa"/>
          </w:tcPr>
          <w:p w14:paraId="44D6EF11" w14:textId="77777777" w:rsidR="00A82112" w:rsidRPr="005D3641" w:rsidRDefault="00A82112" w:rsidP="003C4C86">
            <w:pPr>
              <w:jc w:val="both"/>
              <w:rPr>
                <w:rFonts w:ascii="Arial" w:eastAsia="Times New Roman" w:hAnsi="Arial" w:cs="Arial"/>
                <w:sz w:val="20"/>
                <w:szCs w:val="20"/>
              </w:rPr>
            </w:pPr>
            <w:r w:rsidRPr="005D3641">
              <w:rPr>
                <w:rFonts w:ascii="Arial" w:eastAsia="Times New Roman" w:hAnsi="Arial" w:cs="Arial"/>
                <w:sz w:val="20"/>
                <w:szCs w:val="20"/>
              </w:rPr>
              <w:t>1976.2 kg/m</w:t>
            </w:r>
            <w:r w:rsidRPr="005D3641">
              <w:rPr>
                <w:rFonts w:ascii="Arial" w:eastAsia="Times New Roman" w:hAnsi="Arial" w:cs="Arial"/>
                <w:sz w:val="20"/>
                <w:szCs w:val="20"/>
                <w:vertAlign w:val="superscript"/>
              </w:rPr>
              <w:t>3</w:t>
            </w:r>
          </w:p>
        </w:tc>
        <w:tc>
          <w:tcPr>
            <w:tcW w:w="3486" w:type="dxa"/>
          </w:tcPr>
          <w:p w14:paraId="049E3E90" w14:textId="77777777" w:rsidR="00A82112" w:rsidRPr="005D3641" w:rsidRDefault="00A82112" w:rsidP="003C4C86">
            <w:pPr>
              <w:jc w:val="both"/>
              <w:rPr>
                <w:rFonts w:ascii="Arial" w:eastAsia="Times New Roman" w:hAnsi="Arial" w:cs="Arial"/>
                <w:b/>
                <w:sz w:val="20"/>
                <w:szCs w:val="20"/>
              </w:rPr>
            </w:pPr>
            <w:r w:rsidRPr="005D3641">
              <w:rPr>
                <w:rFonts w:ascii="Arial" w:hAnsi="Arial" w:cs="Arial"/>
                <w:sz w:val="20"/>
                <w:szCs w:val="20"/>
              </w:rPr>
              <w:t>1918 kg/m³</w:t>
            </w:r>
          </w:p>
        </w:tc>
      </w:tr>
    </w:tbl>
    <w:p w14:paraId="447DE0EC" w14:textId="77777777" w:rsidR="00A82112" w:rsidRPr="005D3641" w:rsidRDefault="00A82112" w:rsidP="00A82112">
      <w:pPr>
        <w:jc w:val="both"/>
        <w:rPr>
          <w:rFonts w:ascii="Arial" w:hAnsi="Arial" w:cs="Arial"/>
        </w:rPr>
      </w:pPr>
      <w:r w:rsidRPr="005D3641">
        <w:rPr>
          <w:rFonts w:ascii="Arial" w:hAnsi="Arial" w:cs="Arial"/>
        </w:rPr>
        <w:t xml:space="preserve">The dry densities of the soil samples were plotted against the moisture content to determine the Optimum Moisture Content (OMC), and Maximum Dry Density (MDD). </w:t>
      </w:r>
    </w:p>
    <w:p w14:paraId="2C2AA7AF" w14:textId="132A99EE" w:rsidR="00A82112" w:rsidRPr="005D3641" w:rsidRDefault="00A82112" w:rsidP="005D3641">
      <w:pPr>
        <w:rPr>
          <w:rFonts w:ascii="Arial" w:hAnsi="Arial" w:cs="Arial"/>
        </w:rPr>
      </w:pPr>
      <w:r w:rsidRPr="005D3641">
        <w:rPr>
          <w:rFonts w:ascii="Arial" w:hAnsi="Arial" w:cs="Arial"/>
          <w:noProof/>
        </w:rPr>
        <w:drawing>
          <wp:inline distT="0" distB="0" distL="0" distR="0" wp14:anchorId="1936F977" wp14:editId="57A8C263">
            <wp:extent cx="2102266" cy="2185608"/>
            <wp:effectExtent l="0" t="0" r="0" b="5715"/>
            <wp:docPr id="107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1"/>
                    <pic:cNvPicPr/>
                  </pic:nvPicPr>
                  <pic:blipFill>
                    <a:blip r:embed="rId18" cstate="print">
                      <a:extLst>
                        <a:ext uri="{28A0092B-C50C-407E-A947-70E740481C1C}">
                          <a14:useLocalDpi xmlns:a14="http://schemas.microsoft.com/office/drawing/2010/main" val="0"/>
                        </a:ext>
                      </a:extLst>
                    </a:blip>
                    <a:srcRect l="30067" t="22471" r="31173" b="8042"/>
                    <a:stretch/>
                  </pic:blipFill>
                  <pic:spPr>
                    <a:xfrm>
                      <a:off x="0" y="0"/>
                      <a:ext cx="2107870" cy="2191435"/>
                    </a:xfrm>
                    <a:prstGeom prst="rect">
                      <a:avLst/>
                    </a:prstGeom>
                    <a:ln>
                      <a:noFill/>
                    </a:ln>
                  </pic:spPr>
                </pic:pic>
              </a:graphicData>
            </a:graphic>
          </wp:inline>
        </w:drawing>
      </w:r>
      <w:r w:rsidR="005D3641">
        <w:rPr>
          <w:rFonts w:ascii="Arial" w:hAnsi="Arial" w:cs="Arial"/>
        </w:rPr>
        <w:tab/>
      </w:r>
      <w:r w:rsidRPr="005D3641">
        <w:rPr>
          <w:rFonts w:ascii="Arial" w:hAnsi="Arial" w:cs="Arial"/>
        </w:rPr>
        <w:tab/>
      </w:r>
      <w:r w:rsidRPr="005D3641">
        <w:rPr>
          <w:rFonts w:ascii="Arial" w:hAnsi="Arial" w:cs="Arial"/>
          <w:noProof/>
          <w14:ligatures w14:val="standardContextual"/>
        </w:rPr>
        <w:drawing>
          <wp:inline distT="0" distB="0" distL="0" distR="0" wp14:anchorId="25CFC18A" wp14:editId="5179F99D">
            <wp:extent cx="2324456" cy="2205355"/>
            <wp:effectExtent l="0" t="0" r="0" b="44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5D3641">
        <w:rPr>
          <w:rFonts w:ascii="Arial" w:hAnsi="Arial" w:cs="Arial"/>
        </w:rPr>
        <w:tab/>
      </w:r>
      <w:r w:rsidRPr="005D3641">
        <w:rPr>
          <w:rFonts w:ascii="Arial" w:hAnsi="Arial" w:cs="Arial"/>
        </w:rPr>
        <w:tab/>
      </w:r>
    </w:p>
    <w:p w14:paraId="7B6FB844" w14:textId="231AC001" w:rsidR="00A82112" w:rsidRPr="005D3641" w:rsidRDefault="00A82112" w:rsidP="00A82112">
      <w:pPr>
        <w:rPr>
          <w:rFonts w:ascii="Arial" w:hAnsi="Arial" w:cs="Arial"/>
        </w:rPr>
      </w:pPr>
      <w:r w:rsidRPr="005D3641">
        <w:rPr>
          <w:rFonts w:ascii="Arial" w:hAnsi="Arial" w:cs="Arial"/>
          <w:b/>
          <w:bCs/>
        </w:rPr>
        <w:t xml:space="preserve">Fig. 5: </w:t>
      </w:r>
      <w:r w:rsidRPr="005D3641">
        <w:rPr>
          <w:rFonts w:ascii="Arial" w:hAnsi="Arial" w:cs="Arial"/>
        </w:rPr>
        <w:t>OMC and MDD of Soil Sample A</w:t>
      </w:r>
      <w:r w:rsidR="005D3641">
        <w:rPr>
          <w:rFonts w:ascii="Arial" w:hAnsi="Arial" w:cs="Arial"/>
        </w:rPr>
        <w:tab/>
      </w:r>
      <w:r w:rsidRPr="005D3641">
        <w:rPr>
          <w:rFonts w:ascii="Arial" w:hAnsi="Arial" w:cs="Arial"/>
        </w:rPr>
        <w:tab/>
      </w:r>
      <w:r w:rsidRPr="005D3641">
        <w:rPr>
          <w:rFonts w:ascii="Arial" w:hAnsi="Arial" w:cs="Arial"/>
          <w:b/>
          <w:bCs/>
        </w:rPr>
        <w:t xml:space="preserve">Fig. 6: </w:t>
      </w:r>
      <w:r w:rsidRPr="005D3641">
        <w:rPr>
          <w:rFonts w:ascii="Arial" w:hAnsi="Arial" w:cs="Arial"/>
        </w:rPr>
        <w:t>OMC and MDD of Soil Sample B</w:t>
      </w:r>
    </w:p>
    <w:p w14:paraId="07FD04CA" w14:textId="77777777" w:rsidR="00A82112" w:rsidRPr="005D3641" w:rsidRDefault="00A82112" w:rsidP="00A82112">
      <w:pPr>
        <w:jc w:val="both"/>
        <w:rPr>
          <w:rFonts w:ascii="Arial" w:hAnsi="Arial" w:cs="Arial"/>
        </w:rPr>
      </w:pPr>
    </w:p>
    <w:p w14:paraId="10AD6512" w14:textId="77777777" w:rsidR="00A82112" w:rsidRPr="005D3641" w:rsidRDefault="00A82112" w:rsidP="00A82112">
      <w:pPr>
        <w:ind w:firstLine="720"/>
        <w:jc w:val="both"/>
        <w:rPr>
          <w:rFonts w:ascii="Arial" w:hAnsi="Arial" w:cs="Arial"/>
        </w:rPr>
      </w:pPr>
      <w:r w:rsidRPr="005D3641">
        <w:rPr>
          <w:rFonts w:ascii="Arial" w:hAnsi="Arial" w:cs="Arial"/>
        </w:rPr>
        <w:t xml:space="preserve">The MDD of 1976.2 kg/m³ of soil sample A, indicates the highest density that the soil can achieve under standard compaction efforts. A higher MDD generally signifies better soil compaction and greater load-bearing capacity, which is essential for construction applications (Dhir </w:t>
      </w:r>
      <w:r w:rsidRPr="005D3641">
        <w:rPr>
          <w:rFonts w:ascii="Arial" w:hAnsi="Arial" w:cs="Arial"/>
          <w:i/>
          <w:iCs/>
        </w:rPr>
        <w:t>et. al.,</w:t>
      </w:r>
      <w:r w:rsidRPr="005D3641">
        <w:rPr>
          <w:rFonts w:ascii="Arial" w:hAnsi="Arial" w:cs="Arial"/>
        </w:rPr>
        <w:t xml:space="preserve"> 2017). This value is particularly important for ensuring the soil's stability and strength when used as a subgrade material or in embankments (Salahudeen </w:t>
      </w:r>
      <w:r w:rsidRPr="005D3641">
        <w:rPr>
          <w:rFonts w:ascii="Arial" w:hAnsi="Arial" w:cs="Arial"/>
          <w:i/>
          <w:iCs/>
        </w:rPr>
        <w:t>et. al.,</w:t>
      </w:r>
      <w:r w:rsidRPr="005D3641">
        <w:rPr>
          <w:rFonts w:ascii="Arial" w:hAnsi="Arial" w:cs="Arial"/>
        </w:rPr>
        <w:t xml:space="preserve"> 2019). The OMC of 9.3% represents the moisture content at which the soil achieves its maximum density. This value is critical for construction practices as it indicates the ideal moisture level needed during compaction to achieve the best results. If the soil is too dry, it won't compact well, leading to a lower density and weaker structure. Conversely, if it's too wet, the soil can become too soft and also fail to compact properly. Given the high fines content and clayey nature of Soil Sample A, achieving optimal compaction is vital for enhancing its performance. </w:t>
      </w:r>
    </w:p>
    <w:p w14:paraId="670B130B" w14:textId="77777777" w:rsidR="00A82112" w:rsidRPr="005D3641" w:rsidRDefault="00A82112" w:rsidP="00A82112">
      <w:pPr>
        <w:tabs>
          <w:tab w:val="left" w:pos="975"/>
        </w:tabs>
        <w:contextualSpacing/>
        <w:jc w:val="both"/>
        <w:rPr>
          <w:rFonts w:ascii="Arial" w:hAnsi="Arial" w:cs="Arial"/>
        </w:rPr>
      </w:pPr>
      <w:r w:rsidRPr="005D3641">
        <w:rPr>
          <w:rFonts w:ascii="Arial" w:hAnsi="Arial" w:cs="Arial"/>
          <w:b/>
        </w:rPr>
        <w:tab/>
      </w:r>
      <w:r w:rsidRPr="005D3641">
        <w:rPr>
          <w:rFonts w:ascii="Arial" w:hAnsi="Arial" w:cs="Arial"/>
        </w:rPr>
        <w:t xml:space="preserve">In soil sample B. the MDD of 1918 kg/m³ indicates the highest density that the soil can achieve under standard compaction efforts. A higher MDD typically signifies better soil compaction and greater load-bearing capacity, which is crucial for construction applications. This value is particularly important for ensuring the soil's stability and strength when used as a subgrade material or in embankments (Salahudeen </w:t>
      </w:r>
      <w:r w:rsidRPr="005D3641">
        <w:rPr>
          <w:rFonts w:ascii="Arial" w:hAnsi="Arial" w:cs="Arial"/>
          <w:i/>
          <w:iCs/>
        </w:rPr>
        <w:t>et. al.,</w:t>
      </w:r>
      <w:r w:rsidRPr="005D3641">
        <w:rPr>
          <w:rFonts w:ascii="Arial" w:hAnsi="Arial" w:cs="Arial"/>
        </w:rPr>
        <w:t xml:space="preserve"> 2019). The OMC of 13.2% represents the moisture content at which the soil achieves its maximum density. </w:t>
      </w:r>
    </w:p>
    <w:p w14:paraId="2EE66CFB" w14:textId="77777777" w:rsidR="00A82112" w:rsidRPr="005D3641" w:rsidRDefault="00A82112" w:rsidP="00A82112">
      <w:pPr>
        <w:tabs>
          <w:tab w:val="left" w:pos="975"/>
        </w:tabs>
        <w:contextualSpacing/>
        <w:jc w:val="both"/>
        <w:rPr>
          <w:rFonts w:ascii="Arial" w:hAnsi="Arial" w:cs="Arial"/>
        </w:rPr>
      </w:pPr>
    </w:p>
    <w:p w14:paraId="58EFA6CF" w14:textId="77777777" w:rsidR="00A82112" w:rsidRPr="005D3641" w:rsidRDefault="00A82112" w:rsidP="00A82112">
      <w:pPr>
        <w:tabs>
          <w:tab w:val="left" w:pos="975"/>
        </w:tabs>
        <w:contextualSpacing/>
        <w:jc w:val="both"/>
        <w:rPr>
          <w:rFonts w:ascii="Arial" w:hAnsi="Arial" w:cs="Arial"/>
          <w:b/>
          <w:bCs/>
        </w:rPr>
      </w:pPr>
      <w:r w:rsidRPr="005D3641">
        <w:rPr>
          <w:rFonts w:ascii="Arial" w:hAnsi="Arial" w:cs="Arial"/>
          <w:b/>
          <w:bCs/>
        </w:rPr>
        <w:t>CBR Analysis</w:t>
      </w:r>
    </w:p>
    <w:p w14:paraId="7CDF33EE" w14:textId="6B50D530" w:rsidR="00A82112" w:rsidRPr="005D3641" w:rsidRDefault="00A82112" w:rsidP="00A82112">
      <w:pPr>
        <w:jc w:val="both"/>
        <w:rPr>
          <w:rFonts w:ascii="Arial" w:hAnsi="Arial" w:cs="Arial"/>
        </w:rPr>
      </w:pPr>
      <w:r w:rsidRPr="005D3641">
        <w:rPr>
          <w:rFonts w:ascii="Arial" w:hAnsi="Arial" w:cs="Arial"/>
        </w:rPr>
        <w:t xml:space="preserve">The California Bearing Ratio (CBR) test results as shown in Table 3 indicates a substantial improvement in soil strength with the addition of </w:t>
      </w:r>
      <w:proofErr w:type="spellStart"/>
      <w:r w:rsidR="006D7EC8">
        <w:rPr>
          <w:rFonts w:ascii="Arial" w:hAnsi="Arial" w:cs="Arial"/>
        </w:rPr>
        <w:t>Terrasil</w:t>
      </w:r>
      <w:proofErr w:type="spellEnd"/>
      <w:r w:rsidRPr="005D3641">
        <w:rPr>
          <w:rFonts w:ascii="Arial" w:hAnsi="Arial" w:cs="Arial"/>
        </w:rPr>
        <w:t xml:space="preserve"> for both Sample A and Sample B. For Sample A, the untreated soil exhibited a CBR value of 7%, which is indicative of its low bearing capacity. Upon adding 3% </w:t>
      </w:r>
      <w:proofErr w:type="spellStart"/>
      <w:r w:rsidR="006D7EC8">
        <w:rPr>
          <w:rFonts w:ascii="Arial" w:hAnsi="Arial" w:cs="Arial"/>
        </w:rPr>
        <w:t>Terrasil</w:t>
      </w:r>
      <w:proofErr w:type="spellEnd"/>
      <w:r w:rsidRPr="005D3641">
        <w:rPr>
          <w:rFonts w:ascii="Arial" w:hAnsi="Arial" w:cs="Arial"/>
        </w:rPr>
        <w:t xml:space="preserve">, the CBR value slightly increased to 7.5%. This modest improvement suggests that the lower dosage may not provide significant stabilization effects. </w:t>
      </w:r>
      <w:r w:rsidRPr="005D3641">
        <w:rPr>
          <w:rFonts w:ascii="Arial" w:hAnsi="Arial" w:cs="Arial"/>
        </w:rPr>
        <w:lastRenderedPageBreak/>
        <w:t xml:space="preserve">However, at 6% </w:t>
      </w:r>
      <w:proofErr w:type="spellStart"/>
      <w:r w:rsidR="006D7EC8">
        <w:rPr>
          <w:rFonts w:ascii="Arial" w:hAnsi="Arial" w:cs="Arial"/>
        </w:rPr>
        <w:t>Terrasil</w:t>
      </w:r>
      <w:proofErr w:type="spellEnd"/>
      <w:r w:rsidRPr="005D3641">
        <w:rPr>
          <w:rFonts w:ascii="Arial" w:hAnsi="Arial" w:cs="Arial"/>
        </w:rPr>
        <w:t xml:space="preserve">, the CBR jumped to 20.3%, demonstrating that a more effective stabilization occurs at this percentage. The addition of 9% </w:t>
      </w:r>
      <w:proofErr w:type="spellStart"/>
      <w:r w:rsidR="006D7EC8">
        <w:rPr>
          <w:rFonts w:ascii="Arial" w:hAnsi="Arial" w:cs="Arial"/>
        </w:rPr>
        <w:t>Terrasil</w:t>
      </w:r>
      <w:proofErr w:type="spellEnd"/>
      <w:r w:rsidRPr="005D3641">
        <w:rPr>
          <w:rFonts w:ascii="Arial" w:hAnsi="Arial" w:cs="Arial"/>
        </w:rPr>
        <w:t xml:space="preserve"> further increased the CBR to 23.5%, indicating that while there is still improvement, the enhancements are becoming marginal as the dosage approaches higher levels.</w:t>
      </w:r>
    </w:p>
    <w:p w14:paraId="19D81E69" w14:textId="77777777" w:rsidR="00A82112" w:rsidRPr="005D3641" w:rsidRDefault="00A82112" w:rsidP="00A82112">
      <w:pPr>
        <w:jc w:val="both"/>
        <w:rPr>
          <w:rFonts w:ascii="Arial" w:hAnsi="Arial" w:cs="Arial"/>
          <w:color w:val="1F1F1F"/>
        </w:rPr>
      </w:pPr>
      <w:r w:rsidRPr="005D3641">
        <w:rPr>
          <w:rFonts w:ascii="Arial" w:hAnsi="Arial" w:cs="Arial"/>
          <w:b/>
          <w:bCs/>
          <w:color w:val="1F1F1F"/>
        </w:rPr>
        <w:t>Table 3:</w:t>
      </w:r>
      <w:r w:rsidRPr="005D3641">
        <w:rPr>
          <w:rFonts w:ascii="Arial" w:hAnsi="Arial" w:cs="Arial"/>
          <w:color w:val="1F1F1F"/>
        </w:rPr>
        <w:t xml:space="preserve"> CBR of Soil Samples at different Treatment Dosage</w:t>
      </w:r>
    </w:p>
    <w:tbl>
      <w:tblPr>
        <w:tblStyle w:val="PlainTable2"/>
        <w:tblW w:w="7954" w:type="dxa"/>
        <w:jc w:val="center"/>
        <w:tblLook w:val="0620" w:firstRow="1" w:lastRow="0" w:firstColumn="0" w:lastColumn="0" w:noHBand="1" w:noVBand="1"/>
      </w:tblPr>
      <w:tblGrid>
        <w:gridCol w:w="2555"/>
        <w:gridCol w:w="397"/>
        <w:gridCol w:w="397"/>
        <w:gridCol w:w="4605"/>
      </w:tblGrid>
      <w:tr w:rsidR="00A82112" w:rsidRPr="005D3641" w14:paraId="591F4B2B" w14:textId="77777777" w:rsidTr="003C4C86">
        <w:trPr>
          <w:cnfStyle w:val="100000000000" w:firstRow="1" w:lastRow="0" w:firstColumn="0" w:lastColumn="0" w:oddVBand="0" w:evenVBand="0" w:oddHBand="0" w:evenHBand="0" w:firstRowFirstColumn="0" w:firstRowLastColumn="0" w:lastRowFirstColumn="0" w:lastRowLastColumn="0"/>
          <w:trHeight w:val="265"/>
          <w:jc w:val="center"/>
        </w:trPr>
        <w:tc>
          <w:tcPr>
            <w:tcW w:w="0" w:type="auto"/>
            <w:hideMark/>
          </w:tcPr>
          <w:p w14:paraId="131359D2" w14:textId="77777777" w:rsidR="00A82112" w:rsidRPr="005D3641" w:rsidRDefault="00A82112" w:rsidP="003C4C86">
            <w:pPr>
              <w:rPr>
                <w:rFonts w:ascii="Arial" w:eastAsia="Times New Roman" w:hAnsi="Arial" w:cs="Arial"/>
                <w:color w:val="1F1F1F"/>
                <w:sz w:val="20"/>
                <w:szCs w:val="20"/>
              </w:rPr>
            </w:pPr>
            <w:r w:rsidRPr="005D3641">
              <w:rPr>
                <w:rFonts w:ascii="Arial" w:eastAsia="Times New Roman" w:hAnsi="Arial" w:cs="Arial"/>
                <w:b w:val="0"/>
                <w:bCs w:val="0"/>
                <w:color w:val="1F1F1F"/>
                <w:sz w:val="20"/>
                <w:szCs w:val="20"/>
              </w:rPr>
              <w:t>Sam</w:t>
            </w:r>
            <w:r w:rsidRPr="005D3641">
              <w:rPr>
                <w:rFonts w:ascii="Arial" w:eastAsia="Times New Roman" w:hAnsi="Arial" w:cs="Arial"/>
                <w:color w:val="1F1F1F"/>
                <w:sz w:val="20"/>
                <w:szCs w:val="20"/>
              </w:rPr>
              <w:t>ple</w:t>
            </w:r>
          </w:p>
        </w:tc>
        <w:tc>
          <w:tcPr>
            <w:tcW w:w="0" w:type="auto"/>
          </w:tcPr>
          <w:p w14:paraId="68697F30"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tcPr>
          <w:p w14:paraId="32415398"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hideMark/>
          </w:tcPr>
          <w:p w14:paraId="0F30AB10" w14:textId="77777777" w:rsidR="00A82112" w:rsidRPr="005D3641" w:rsidRDefault="00A82112" w:rsidP="003C4C86">
            <w:pPr>
              <w:ind w:firstLine="720"/>
              <w:jc w:val="center"/>
              <w:rPr>
                <w:rFonts w:ascii="Arial" w:eastAsia="Times New Roman" w:hAnsi="Arial" w:cs="Arial"/>
                <w:color w:val="1F1F1F"/>
                <w:sz w:val="20"/>
                <w:szCs w:val="20"/>
              </w:rPr>
            </w:pPr>
            <w:r w:rsidRPr="005D3641">
              <w:rPr>
                <w:rFonts w:ascii="Arial" w:eastAsia="Times New Roman" w:hAnsi="Arial" w:cs="Arial"/>
                <w:color w:val="1F1F1F"/>
                <w:sz w:val="20"/>
                <w:szCs w:val="20"/>
              </w:rPr>
              <w:t>Average CBR (%)</w:t>
            </w:r>
          </w:p>
        </w:tc>
      </w:tr>
      <w:tr w:rsidR="00A82112" w:rsidRPr="005D3641" w14:paraId="1D8F45F0" w14:textId="77777777" w:rsidTr="003C4C86">
        <w:trPr>
          <w:trHeight w:val="285"/>
          <w:jc w:val="center"/>
        </w:trPr>
        <w:tc>
          <w:tcPr>
            <w:tcW w:w="0" w:type="auto"/>
            <w:hideMark/>
          </w:tcPr>
          <w:p w14:paraId="20939FF7" w14:textId="77777777" w:rsidR="00A82112" w:rsidRPr="005D3641" w:rsidRDefault="00A82112" w:rsidP="003C4C86">
            <w:pPr>
              <w:rPr>
                <w:rFonts w:ascii="Arial" w:eastAsia="Times New Roman" w:hAnsi="Arial" w:cs="Arial"/>
                <w:color w:val="1F1F1F"/>
                <w:sz w:val="20"/>
                <w:szCs w:val="20"/>
              </w:rPr>
            </w:pPr>
            <w:r w:rsidRPr="005D3641">
              <w:rPr>
                <w:rFonts w:ascii="Arial" w:eastAsia="Times New Roman" w:hAnsi="Arial" w:cs="Arial"/>
                <w:color w:val="1F1F1F"/>
                <w:sz w:val="20"/>
                <w:szCs w:val="20"/>
              </w:rPr>
              <w:t>Sample A 0%</w:t>
            </w:r>
          </w:p>
        </w:tc>
        <w:tc>
          <w:tcPr>
            <w:tcW w:w="0" w:type="auto"/>
          </w:tcPr>
          <w:p w14:paraId="5A6C9D6C"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tcPr>
          <w:p w14:paraId="13E01825"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hideMark/>
          </w:tcPr>
          <w:p w14:paraId="170B0A1A" w14:textId="77777777" w:rsidR="00A82112" w:rsidRPr="005D3641" w:rsidRDefault="00A82112" w:rsidP="003C4C86">
            <w:pPr>
              <w:ind w:firstLine="720"/>
              <w:jc w:val="center"/>
              <w:rPr>
                <w:rFonts w:ascii="Arial" w:eastAsia="Times New Roman" w:hAnsi="Arial" w:cs="Arial"/>
                <w:color w:val="1F1F1F"/>
                <w:sz w:val="20"/>
                <w:szCs w:val="20"/>
              </w:rPr>
            </w:pPr>
            <w:r w:rsidRPr="005D3641">
              <w:rPr>
                <w:rFonts w:ascii="Arial" w:eastAsia="Times New Roman" w:hAnsi="Arial" w:cs="Arial"/>
                <w:color w:val="1F1F1F"/>
                <w:sz w:val="20"/>
                <w:szCs w:val="20"/>
              </w:rPr>
              <w:t>7</w:t>
            </w:r>
          </w:p>
        </w:tc>
      </w:tr>
      <w:tr w:rsidR="00A82112" w:rsidRPr="005D3641" w14:paraId="755B3CBC" w14:textId="77777777" w:rsidTr="003C4C86">
        <w:trPr>
          <w:trHeight w:val="265"/>
          <w:jc w:val="center"/>
        </w:trPr>
        <w:tc>
          <w:tcPr>
            <w:tcW w:w="0" w:type="auto"/>
            <w:hideMark/>
          </w:tcPr>
          <w:p w14:paraId="1C7ACE66" w14:textId="77777777" w:rsidR="00A82112" w:rsidRPr="005D3641" w:rsidRDefault="00A82112" w:rsidP="003C4C86">
            <w:pPr>
              <w:rPr>
                <w:rFonts w:ascii="Arial" w:eastAsia="Times New Roman" w:hAnsi="Arial" w:cs="Arial"/>
                <w:color w:val="1F1F1F"/>
                <w:sz w:val="20"/>
                <w:szCs w:val="20"/>
              </w:rPr>
            </w:pPr>
            <w:r w:rsidRPr="005D3641">
              <w:rPr>
                <w:rFonts w:ascii="Arial" w:eastAsia="Times New Roman" w:hAnsi="Arial" w:cs="Arial"/>
                <w:color w:val="1F1F1F"/>
                <w:sz w:val="20"/>
                <w:szCs w:val="20"/>
              </w:rPr>
              <w:t>Sample B 0%</w:t>
            </w:r>
          </w:p>
        </w:tc>
        <w:tc>
          <w:tcPr>
            <w:tcW w:w="0" w:type="auto"/>
          </w:tcPr>
          <w:p w14:paraId="2E4CDA19"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tcPr>
          <w:p w14:paraId="5557D004"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hideMark/>
          </w:tcPr>
          <w:p w14:paraId="24D4089D" w14:textId="77777777" w:rsidR="00A82112" w:rsidRPr="005D3641" w:rsidRDefault="00A82112" w:rsidP="003C4C86">
            <w:pPr>
              <w:ind w:firstLine="720"/>
              <w:jc w:val="center"/>
              <w:rPr>
                <w:rFonts w:ascii="Arial" w:eastAsia="Times New Roman" w:hAnsi="Arial" w:cs="Arial"/>
                <w:color w:val="1F1F1F"/>
                <w:sz w:val="20"/>
                <w:szCs w:val="20"/>
              </w:rPr>
            </w:pPr>
            <w:r w:rsidRPr="005D3641">
              <w:rPr>
                <w:rFonts w:ascii="Arial" w:eastAsia="Times New Roman" w:hAnsi="Arial" w:cs="Arial"/>
                <w:color w:val="1F1F1F"/>
                <w:sz w:val="20"/>
                <w:szCs w:val="20"/>
              </w:rPr>
              <w:t>23.5</w:t>
            </w:r>
          </w:p>
        </w:tc>
      </w:tr>
      <w:tr w:rsidR="00A82112" w:rsidRPr="005D3641" w14:paraId="23EC959D" w14:textId="77777777" w:rsidTr="003C4C86">
        <w:trPr>
          <w:trHeight w:val="285"/>
          <w:jc w:val="center"/>
        </w:trPr>
        <w:tc>
          <w:tcPr>
            <w:tcW w:w="0" w:type="auto"/>
            <w:hideMark/>
          </w:tcPr>
          <w:p w14:paraId="4835DFFF" w14:textId="77777777" w:rsidR="00A82112" w:rsidRPr="005D3641" w:rsidRDefault="00A82112" w:rsidP="003C4C86">
            <w:pPr>
              <w:rPr>
                <w:rFonts w:ascii="Arial" w:eastAsia="Times New Roman" w:hAnsi="Arial" w:cs="Arial"/>
                <w:color w:val="1F1F1F"/>
                <w:sz w:val="20"/>
                <w:szCs w:val="20"/>
              </w:rPr>
            </w:pPr>
            <w:r w:rsidRPr="005D3641">
              <w:rPr>
                <w:rFonts w:ascii="Arial" w:eastAsia="Times New Roman" w:hAnsi="Arial" w:cs="Arial"/>
                <w:color w:val="1F1F1F"/>
                <w:sz w:val="20"/>
                <w:szCs w:val="20"/>
              </w:rPr>
              <w:t>Sample A 3%</w:t>
            </w:r>
          </w:p>
        </w:tc>
        <w:tc>
          <w:tcPr>
            <w:tcW w:w="0" w:type="auto"/>
          </w:tcPr>
          <w:p w14:paraId="55DF2276"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tcPr>
          <w:p w14:paraId="6C39E720"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hideMark/>
          </w:tcPr>
          <w:p w14:paraId="0464A3CD" w14:textId="77777777" w:rsidR="00A82112" w:rsidRPr="005D3641" w:rsidRDefault="00A82112" w:rsidP="003C4C86">
            <w:pPr>
              <w:ind w:firstLine="720"/>
              <w:jc w:val="center"/>
              <w:rPr>
                <w:rFonts w:ascii="Arial" w:eastAsia="Times New Roman" w:hAnsi="Arial" w:cs="Arial"/>
                <w:color w:val="1F1F1F"/>
                <w:sz w:val="20"/>
                <w:szCs w:val="20"/>
              </w:rPr>
            </w:pPr>
            <w:r w:rsidRPr="005D3641">
              <w:rPr>
                <w:rFonts w:ascii="Arial" w:eastAsia="Times New Roman" w:hAnsi="Arial" w:cs="Arial"/>
                <w:color w:val="1F1F1F"/>
                <w:sz w:val="20"/>
                <w:szCs w:val="20"/>
              </w:rPr>
              <w:t>7.5</w:t>
            </w:r>
          </w:p>
        </w:tc>
      </w:tr>
      <w:tr w:rsidR="00A82112" w:rsidRPr="005D3641" w14:paraId="0428BEA1" w14:textId="77777777" w:rsidTr="003C4C86">
        <w:trPr>
          <w:trHeight w:val="285"/>
          <w:jc w:val="center"/>
        </w:trPr>
        <w:tc>
          <w:tcPr>
            <w:tcW w:w="0" w:type="auto"/>
            <w:hideMark/>
          </w:tcPr>
          <w:p w14:paraId="46346CF8" w14:textId="77777777" w:rsidR="00A82112" w:rsidRPr="005D3641" w:rsidRDefault="00A82112" w:rsidP="003C4C86">
            <w:pPr>
              <w:rPr>
                <w:rFonts w:ascii="Arial" w:eastAsia="Times New Roman" w:hAnsi="Arial" w:cs="Arial"/>
                <w:color w:val="1F1F1F"/>
                <w:sz w:val="20"/>
                <w:szCs w:val="20"/>
              </w:rPr>
            </w:pPr>
            <w:r w:rsidRPr="005D3641">
              <w:rPr>
                <w:rFonts w:ascii="Arial" w:eastAsia="Times New Roman" w:hAnsi="Arial" w:cs="Arial"/>
                <w:color w:val="1F1F1F"/>
                <w:sz w:val="20"/>
                <w:szCs w:val="20"/>
              </w:rPr>
              <w:t>Sample B 3%</w:t>
            </w:r>
          </w:p>
        </w:tc>
        <w:tc>
          <w:tcPr>
            <w:tcW w:w="0" w:type="auto"/>
          </w:tcPr>
          <w:p w14:paraId="64454420"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tcPr>
          <w:p w14:paraId="50537E41"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hideMark/>
          </w:tcPr>
          <w:p w14:paraId="2E1F5C68" w14:textId="77777777" w:rsidR="00A82112" w:rsidRPr="005D3641" w:rsidRDefault="00A82112" w:rsidP="003C4C86">
            <w:pPr>
              <w:ind w:firstLine="720"/>
              <w:jc w:val="center"/>
              <w:rPr>
                <w:rFonts w:ascii="Arial" w:eastAsia="Times New Roman" w:hAnsi="Arial" w:cs="Arial"/>
                <w:color w:val="1F1F1F"/>
                <w:sz w:val="20"/>
                <w:szCs w:val="20"/>
              </w:rPr>
            </w:pPr>
            <w:r w:rsidRPr="005D3641">
              <w:rPr>
                <w:rFonts w:ascii="Arial" w:eastAsia="Times New Roman" w:hAnsi="Arial" w:cs="Arial"/>
                <w:color w:val="1F1F1F"/>
                <w:sz w:val="20"/>
                <w:szCs w:val="20"/>
              </w:rPr>
              <w:t>28.25</w:t>
            </w:r>
          </w:p>
        </w:tc>
      </w:tr>
      <w:tr w:rsidR="00A82112" w:rsidRPr="005D3641" w14:paraId="6AF2E669" w14:textId="77777777" w:rsidTr="003C4C86">
        <w:trPr>
          <w:trHeight w:val="285"/>
          <w:jc w:val="center"/>
        </w:trPr>
        <w:tc>
          <w:tcPr>
            <w:tcW w:w="0" w:type="auto"/>
            <w:hideMark/>
          </w:tcPr>
          <w:p w14:paraId="2A25C67C" w14:textId="77777777" w:rsidR="00A82112" w:rsidRPr="005D3641" w:rsidRDefault="00A82112" w:rsidP="003C4C86">
            <w:pPr>
              <w:rPr>
                <w:rFonts w:ascii="Arial" w:eastAsia="Times New Roman" w:hAnsi="Arial" w:cs="Arial"/>
                <w:color w:val="1F1F1F"/>
                <w:sz w:val="20"/>
                <w:szCs w:val="20"/>
              </w:rPr>
            </w:pPr>
            <w:r w:rsidRPr="005D3641">
              <w:rPr>
                <w:rFonts w:ascii="Arial" w:eastAsia="Times New Roman" w:hAnsi="Arial" w:cs="Arial"/>
                <w:color w:val="1F1F1F"/>
                <w:sz w:val="20"/>
                <w:szCs w:val="20"/>
              </w:rPr>
              <w:t>Sample A 6%</w:t>
            </w:r>
          </w:p>
        </w:tc>
        <w:tc>
          <w:tcPr>
            <w:tcW w:w="0" w:type="auto"/>
          </w:tcPr>
          <w:p w14:paraId="063C4C08"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tcPr>
          <w:p w14:paraId="523D7F3C"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hideMark/>
          </w:tcPr>
          <w:p w14:paraId="1C4700B5" w14:textId="77777777" w:rsidR="00A82112" w:rsidRPr="005D3641" w:rsidRDefault="00A82112" w:rsidP="003C4C86">
            <w:pPr>
              <w:ind w:firstLine="720"/>
              <w:jc w:val="center"/>
              <w:rPr>
                <w:rFonts w:ascii="Arial" w:eastAsia="Times New Roman" w:hAnsi="Arial" w:cs="Arial"/>
                <w:color w:val="1F1F1F"/>
                <w:sz w:val="20"/>
                <w:szCs w:val="20"/>
              </w:rPr>
            </w:pPr>
            <w:r w:rsidRPr="005D3641">
              <w:rPr>
                <w:rFonts w:ascii="Arial" w:eastAsia="Times New Roman" w:hAnsi="Arial" w:cs="Arial"/>
                <w:color w:val="1F1F1F"/>
                <w:sz w:val="20"/>
                <w:szCs w:val="20"/>
              </w:rPr>
              <w:t>10.5</w:t>
            </w:r>
          </w:p>
        </w:tc>
      </w:tr>
      <w:tr w:rsidR="00A82112" w:rsidRPr="005D3641" w14:paraId="2D3E5F15" w14:textId="77777777" w:rsidTr="003C4C86">
        <w:trPr>
          <w:trHeight w:val="285"/>
          <w:jc w:val="center"/>
        </w:trPr>
        <w:tc>
          <w:tcPr>
            <w:tcW w:w="0" w:type="auto"/>
            <w:hideMark/>
          </w:tcPr>
          <w:p w14:paraId="037E2F01" w14:textId="77777777" w:rsidR="00A82112" w:rsidRPr="005D3641" w:rsidRDefault="00A82112" w:rsidP="003C4C86">
            <w:pPr>
              <w:rPr>
                <w:rFonts w:ascii="Arial" w:eastAsia="Times New Roman" w:hAnsi="Arial" w:cs="Arial"/>
                <w:color w:val="1F1F1F"/>
                <w:sz w:val="20"/>
                <w:szCs w:val="20"/>
              </w:rPr>
            </w:pPr>
            <w:r w:rsidRPr="005D3641">
              <w:rPr>
                <w:rFonts w:ascii="Arial" w:eastAsia="Times New Roman" w:hAnsi="Arial" w:cs="Arial"/>
                <w:color w:val="1F1F1F"/>
                <w:sz w:val="20"/>
                <w:szCs w:val="20"/>
              </w:rPr>
              <w:t>Sample B 6%</w:t>
            </w:r>
          </w:p>
        </w:tc>
        <w:tc>
          <w:tcPr>
            <w:tcW w:w="0" w:type="auto"/>
          </w:tcPr>
          <w:p w14:paraId="1ADDD95C"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tcPr>
          <w:p w14:paraId="4BE86767"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hideMark/>
          </w:tcPr>
          <w:p w14:paraId="2DD3B11D" w14:textId="77777777" w:rsidR="00A82112" w:rsidRPr="005D3641" w:rsidRDefault="00A82112" w:rsidP="003C4C86">
            <w:pPr>
              <w:ind w:firstLine="720"/>
              <w:jc w:val="center"/>
              <w:rPr>
                <w:rFonts w:ascii="Arial" w:eastAsia="Times New Roman" w:hAnsi="Arial" w:cs="Arial"/>
                <w:color w:val="1F1F1F"/>
                <w:sz w:val="20"/>
                <w:szCs w:val="20"/>
              </w:rPr>
            </w:pPr>
            <w:r w:rsidRPr="005D3641">
              <w:rPr>
                <w:rFonts w:ascii="Arial" w:eastAsia="Times New Roman" w:hAnsi="Arial" w:cs="Arial"/>
                <w:color w:val="1F1F1F"/>
                <w:sz w:val="20"/>
                <w:szCs w:val="20"/>
              </w:rPr>
              <w:t>52.5</w:t>
            </w:r>
          </w:p>
        </w:tc>
      </w:tr>
      <w:tr w:rsidR="00A82112" w:rsidRPr="005D3641" w14:paraId="34D7BC34" w14:textId="77777777" w:rsidTr="003C4C86">
        <w:trPr>
          <w:trHeight w:val="265"/>
          <w:jc w:val="center"/>
        </w:trPr>
        <w:tc>
          <w:tcPr>
            <w:tcW w:w="0" w:type="auto"/>
            <w:hideMark/>
          </w:tcPr>
          <w:p w14:paraId="4CD26F49" w14:textId="77777777" w:rsidR="00A82112" w:rsidRPr="005D3641" w:rsidRDefault="00A82112" w:rsidP="003C4C86">
            <w:pPr>
              <w:rPr>
                <w:rFonts w:ascii="Arial" w:eastAsia="Times New Roman" w:hAnsi="Arial" w:cs="Arial"/>
                <w:color w:val="1F1F1F"/>
                <w:sz w:val="20"/>
                <w:szCs w:val="20"/>
              </w:rPr>
            </w:pPr>
            <w:r w:rsidRPr="005D3641">
              <w:rPr>
                <w:rFonts w:ascii="Arial" w:eastAsia="Times New Roman" w:hAnsi="Arial" w:cs="Arial"/>
                <w:color w:val="1F1F1F"/>
                <w:sz w:val="20"/>
                <w:szCs w:val="20"/>
              </w:rPr>
              <w:t>Sample A 9%</w:t>
            </w:r>
          </w:p>
        </w:tc>
        <w:tc>
          <w:tcPr>
            <w:tcW w:w="0" w:type="auto"/>
          </w:tcPr>
          <w:p w14:paraId="40042860"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tcPr>
          <w:p w14:paraId="7A8DB114"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hideMark/>
          </w:tcPr>
          <w:p w14:paraId="28CF540A" w14:textId="77777777" w:rsidR="00A82112" w:rsidRPr="005D3641" w:rsidRDefault="00A82112" w:rsidP="003C4C86">
            <w:pPr>
              <w:ind w:firstLine="720"/>
              <w:jc w:val="center"/>
              <w:rPr>
                <w:rFonts w:ascii="Arial" w:eastAsia="Times New Roman" w:hAnsi="Arial" w:cs="Arial"/>
                <w:color w:val="1F1F1F"/>
                <w:sz w:val="20"/>
                <w:szCs w:val="20"/>
              </w:rPr>
            </w:pPr>
            <w:r w:rsidRPr="005D3641">
              <w:rPr>
                <w:rFonts w:ascii="Arial" w:eastAsia="Times New Roman" w:hAnsi="Arial" w:cs="Arial"/>
                <w:color w:val="1F1F1F"/>
                <w:sz w:val="20"/>
                <w:szCs w:val="20"/>
              </w:rPr>
              <w:t>20.25</w:t>
            </w:r>
          </w:p>
        </w:tc>
      </w:tr>
      <w:tr w:rsidR="00A82112" w:rsidRPr="005D3641" w14:paraId="7FBACF90" w14:textId="77777777" w:rsidTr="003C4C86">
        <w:trPr>
          <w:trHeight w:val="285"/>
          <w:jc w:val="center"/>
        </w:trPr>
        <w:tc>
          <w:tcPr>
            <w:tcW w:w="0" w:type="auto"/>
            <w:hideMark/>
          </w:tcPr>
          <w:p w14:paraId="535BF60C" w14:textId="77777777" w:rsidR="00A82112" w:rsidRPr="005D3641" w:rsidRDefault="00A82112" w:rsidP="003C4C86">
            <w:pPr>
              <w:rPr>
                <w:rFonts w:ascii="Arial" w:eastAsia="Times New Roman" w:hAnsi="Arial" w:cs="Arial"/>
                <w:color w:val="1F1F1F"/>
                <w:sz w:val="20"/>
                <w:szCs w:val="20"/>
              </w:rPr>
            </w:pPr>
            <w:r w:rsidRPr="005D3641">
              <w:rPr>
                <w:rFonts w:ascii="Arial" w:eastAsia="Times New Roman" w:hAnsi="Arial" w:cs="Arial"/>
                <w:color w:val="1F1F1F"/>
                <w:sz w:val="20"/>
                <w:szCs w:val="20"/>
              </w:rPr>
              <w:t>Sample B 9%</w:t>
            </w:r>
          </w:p>
        </w:tc>
        <w:tc>
          <w:tcPr>
            <w:tcW w:w="0" w:type="auto"/>
          </w:tcPr>
          <w:p w14:paraId="09FB1E6D"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tcPr>
          <w:p w14:paraId="01CAFCF0"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hideMark/>
          </w:tcPr>
          <w:p w14:paraId="635645A6" w14:textId="77777777" w:rsidR="00A82112" w:rsidRPr="005D3641" w:rsidRDefault="00A82112" w:rsidP="003C4C86">
            <w:pPr>
              <w:ind w:firstLine="720"/>
              <w:jc w:val="center"/>
              <w:rPr>
                <w:rFonts w:ascii="Arial" w:eastAsia="Times New Roman" w:hAnsi="Arial" w:cs="Arial"/>
                <w:color w:val="1F1F1F"/>
                <w:sz w:val="20"/>
                <w:szCs w:val="20"/>
              </w:rPr>
            </w:pPr>
            <w:r w:rsidRPr="005D3641">
              <w:rPr>
                <w:rFonts w:ascii="Arial" w:eastAsia="Times New Roman" w:hAnsi="Arial" w:cs="Arial"/>
                <w:color w:val="1F1F1F"/>
                <w:sz w:val="20"/>
                <w:szCs w:val="20"/>
              </w:rPr>
              <w:t>75</w:t>
            </w:r>
          </w:p>
        </w:tc>
      </w:tr>
    </w:tbl>
    <w:p w14:paraId="3CB9CB7D" w14:textId="77777777" w:rsidR="00A82112" w:rsidRPr="005D3641" w:rsidRDefault="00A82112" w:rsidP="00A82112">
      <w:pPr>
        <w:ind w:firstLine="720"/>
        <w:jc w:val="both"/>
        <w:rPr>
          <w:rFonts w:ascii="Arial" w:hAnsi="Arial" w:cs="Arial"/>
          <w:color w:val="1F1F1F"/>
        </w:rPr>
      </w:pPr>
    </w:p>
    <w:p w14:paraId="3EC03DC5" w14:textId="77777777" w:rsidR="00A82112" w:rsidRPr="005D3641" w:rsidRDefault="00A82112" w:rsidP="00A82112">
      <w:pPr>
        <w:jc w:val="center"/>
        <w:rPr>
          <w:rFonts w:ascii="Arial" w:hAnsi="Arial" w:cs="Arial"/>
          <w:b/>
          <w:color w:val="1F1F1F"/>
        </w:rPr>
      </w:pPr>
      <w:r w:rsidRPr="005D3641">
        <w:rPr>
          <w:rFonts w:ascii="Arial" w:hAnsi="Arial" w:cs="Arial"/>
          <w:b/>
          <w:noProof/>
          <w:color w:val="1F1F1F"/>
          <w14:ligatures w14:val="standardContextual"/>
        </w:rPr>
        <w:drawing>
          <wp:inline distT="0" distB="0" distL="0" distR="0" wp14:anchorId="00703CDC" wp14:editId="6CDB6710">
            <wp:extent cx="4810898" cy="2430162"/>
            <wp:effectExtent l="0" t="0" r="8890" b="8255"/>
            <wp:docPr id="76792258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00E93B8" w14:textId="77777777" w:rsidR="00A82112" w:rsidRPr="005D3641" w:rsidRDefault="00A82112" w:rsidP="00A82112">
      <w:pPr>
        <w:tabs>
          <w:tab w:val="left" w:pos="975"/>
        </w:tabs>
        <w:contextualSpacing/>
        <w:jc w:val="center"/>
        <w:rPr>
          <w:rFonts w:ascii="Arial" w:hAnsi="Arial" w:cs="Arial"/>
        </w:rPr>
      </w:pPr>
      <w:r w:rsidRPr="005D3641">
        <w:rPr>
          <w:rFonts w:ascii="Arial" w:hAnsi="Arial" w:cs="Arial"/>
          <w:b/>
          <w:bCs/>
        </w:rPr>
        <w:t xml:space="preserve">Fig. 7: </w:t>
      </w:r>
      <w:r w:rsidRPr="005D3641">
        <w:rPr>
          <w:rFonts w:ascii="Arial" w:hAnsi="Arial" w:cs="Arial"/>
        </w:rPr>
        <w:t>CBR of Soil Samples at Different Treatment Dosage</w:t>
      </w:r>
    </w:p>
    <w:p w14:paraId="7A45DBEC" w14:textId="77777777" w:rsidR="00A82112" w:rsidRPr="005D3641" w:rsidRDefault="00A82112" w:rsidP="00A82112">
      <w:pPr>
        <w:tabs>
          <w:tab w:val="left" w:pos="975"/>
        </w:tabs>
        <w:contextualSpacing/>
        <w:jc w:val="both"/>
        <w:rPr>
          <w:rFonts w:ascii="Arial" w:hAnsi="Arial" w:cs="Arial"/>
        </w:rPr>
      </w:pPr>
    </w:p>
    <w:p w14:paraId="6512E418" w14:textId="42A696D3" w:rsidR="00A82112" w:rsidRPr="005D3641" w:rsidRDefault="00A82112" w:rsidP="00A82112">
      <w:pPr>
        <w:jc w:val="both"/>
        <w:rPr>
          <w:rFonts w:ascii="Arial" w:hAnsi="Arial" w:cs="Arial"/>
        </w:rPr>
      </w:pPr>
      <w:r w:rsidRPr="005D3641">
        <w:rPr>
          <w:rFonts w:ascii="Arial" w:hAnsi="Arial" w:cs="Arial"/>
        </w:rPr>
        <w:t xml:space="preserve">In contrast, Sample B displayed a more pronounced response to </w:t>
      </w:r>
      <w:proofErr w:type="spellStart"/>
      <w:r w:rsidR="006D7EC8">
        <w:rPr>
          <w:rFonts w:ascii="Arial" w:hAnsi="Arial" w:cs="Arial"/>
        </w:rPr>
        <w:t>Terrasil</w:t>
      </w:r>
      <w:proofErr w:type="spellEnd"/>
      <w:r w:rsidRPr="005D3641">
        <w:rPr>
          <w:rFonts w:ascii="Arial" w:hAnsi="Arial" w:cs="Arial"/>
        </w:rPr>
        <w:t xml:space="preserve"> treatment. The initial CBR value of 28.3% for the untreated soil already indicates a better bearing capacity than Sample A. When 3% </w:t>
      </w:r>
      <w:proofErr w:type="spellStart"/>
      <w:r w:rsidR="006D7EC8">
        <w:rPr>
          <w:rFonts w:ascii="Arial" w:hAnsi="Arial" w:cs="Arial"/>
        </w:rPr>
        <w:t>Terrasil</w:t>
      </w:r>
      <w:proofErr w:type="spellEnd"/>
      <w:r w:rsidRPr="005D3641">
        <w:rPr>
          <w:rFonts w:ascii="Arial" w:hAnsi="Arial" w:cs="Arial"/>
        </w:rPr>
        <w:t xml:space="preserve"> was introduced, the CBR surged to 52.5%, suggesting that even a small amount of </w:t>
      </w:r>
      <w:proofErr w:type="spellStart"/>
      <w:r w:rsidR="006D7EC8">
        <w:rPr>
          <w:rFonts w:ascii="Arial" w:hAnsi="Arial" w:cs="Arial"/>
        </w:rPr>
        <w:t>Terrasil</w:t>
      </w:r>
      <w:proofErr w:type="spellEnd"/>
      <w:r w:rsidRPr="005D3641">
        <w:rPr>
          <w:rFonts w:ascii="Arial" w:hAnsi="Arial" w:cs="Arial"/>
        </w:rPr>
        <w:t xml:space="preserve"> can lead to significant improvements in soil strength. At 6% </w:t>
      </w:r>
      <w:proofErr w:type="spellStart"/>
      <w:r w:rsidR="006D7EC8">
        <w:rPr>
          <w:rFonts w:ascii="Arial" w:hAnsi="Arial" w:cs="Arial"/>
        </w:rPr>
        <w:t>Terrasil</w:t>
      </w:r>
      <w:proofErr w:type="spellEnd"/>
      <w:r w:rsidRPr="005D3641">
        <w:rPr>
          <w:rFonts w:ascii="Arial" w:hAnsi="Arial" w:cs="Arial"/>
        </w:rPr>
        <w:t>, the CBR reached an impressive 75%, marking a substantial enhancement in load-bearing capacity. Interestingly, the CBR value remained at 75% at the 9% dosage, indicating that this might be the optimum dosage for Sample B, as further increases did not yield additional benefits.</w:t>
      </w:r>
      <w:r w:rsidR="00CA33CF">
        <w:rPr>
          <w:rFonts w:ascii="Arial" w:hAnsi="Arial" w:cs="Arial"/>
        </w:rPr>
        <w:t xml:space="preserve"> </w:t>
      </w:r>
    </w:p>
    <w:p w14:paraId="20C55432" w14:textId="77777777" w:rsidR="00A82112" w:rsidRPr="005D3641" w:rsidRDefault="00A82112" w:rsidP="00A82112">
      <w:pPr>
        <w:tabs>
          <w:tab w:val="left" w:pos="975"/>
        </w:tabs>
        <w:contextualSpacing/>
        <w:jc w:val="both"/>
        <w:rPr>
          <w:rFonts w:ascii="Arial" w:hAnsi="Arial" w:cs="Arial"/>
          <w:b/>
        </w:rPr>
      </w:pPr>
    </w:p>
    <w:p w14:paraId="4D3BD615" w14:textId="77777777" w:rsidR="00A82112" w:rsidRPr="005D3641" w:rsidRDefault="00A82112" w:rsidP="00A82112">
      <w:pPr>
        <w:tabs>
          <w:tab w:val="left" w:pos="975"/>
        </w:tabs>
        <w:contextualSpacing/>
        <w:jc w:val="both"/>
        <w:rPr>
          <w:rFonts w:ascii="Arial" w:hAnsi="Arial" w:cs="Arial"/>
          <w:b/>
        </w:rPr>
      </w:pPr>
      <w:r w:rsidRPr="005D3641">
        <w:rPr>
          <w:rFonts w:ascii="Arial" w:hAnsi="Arial" w:cs="Arial"/>
          <w:b/>
        </w:rPr>
        <w:t>Shear Strength Analysis</w:t>
      </w:r>
    </w:p>
    <w:p w14:paraId="0B90CE41" w14:textId="20987917" w:rsidR="00A82112" w:rsidRPr="005D3641" w:rsidRDefault="00A82112" w:rsidP="00A82112">
      <w:pPr>
        <w:tabs>
          <w:tab w:val="left" w:pos="975"/>
        </w:tabs>
        <w:contextualSpacing/>
        <w:jc w:val="both"/>
        <w:rPr>
          <w:rFonts w:ascii="Arial" w:hAnsi="Arial" w:cs="Arial"/>
          <w:bCs/>
        </w:rPr>
      </w:pPr>
      <w:r w:rsidRPr="005D3641">
        <w:rPr>
          <w:rFonts w:ascii="Arial" w:hAnsi="Arial" w:cs="Arial"/>
          <w:bCs/>
        </w:rPr>
        <w:t xml:space="preserve">The shear strength of the treated soil samples </w:t>
      </w:r>
      <w:proofErr w:type="gramStart"/>
      <w:r w:rsidRPr="005D3641">
        <w:rPr>
          <w:rFonts w:ascii="Arial" w:hAnsi="Arial" w:cs="Arial"/>
          <w:bCs/>
        </w:rPr>
        <w:t>are</w:t>
      </w:r>
      <w:proofErr w:type="gramEnd"/>
      <w:r w:rsidRPr="005D3641">
        <w:rPr>
          <w:rFonts w:ascii="Arial" w:hAnsi="Arial" w:cs="Arial"/>
          <w:bCs/>
        </w:rPr>
        <w:t xml:space="preserve"> shown on Table 4, and Fig. 8. In soil sample A, it is observed that is the dosage increased from 0% to 9%, there is a notable increase in cohesiveness of the soil. Likewise, an increase is observed in the shear strength of the soil, with a minor plateau between 3% and 6% and a notable increase at 9%, showing that the shear strength increased with dosage. For soil sample 2, Cohesion stays at 0 throughout Sample B, indicating that the increase in friction angle is the only factor contributing to the improvement in shear strength. As angle of internal friction increases, the shear strength steadily rises, demonstrating how </w:t>
      </w:r>
      <w:proofErr w:type="spellStart"/>
      <w:r w:rsidR="006D7EC8">
        <w:rPr>
          <w:rFonts w:ascii="Arial" w:hAnsi="Arial" w:cs="Arial"/>
          <w:bCs/>
        </w:rPr>
        <w:t>Terrasil</w:t>
      </w:r>
      <w:proofErr w:type="spellEnd"/>
      <w:r w:rsidRPr="005D3641">
        <w:rPr>
          <w:rFonts w:ascii="Arial" w:hAnsi="Arial" w:cs="Arial"/>
          <w:bCs/>
        </w:rPr>
        <w:t xml:space="preserve"> improves frictional resistance or particle interlock. </w:t>
      </w:r>
      <w:r w:rsidRPr="005D3641">
        <w:rPr>
          <w:rFonts w:ascii="Arial" w:hAnsi="Arial" w:cs="Arial"/>
          <w:bCs/>
        </w:rPr>
        <w:lastRenderedPageBreak/>
        <w:t xml:space="preserve">Although the mechanisms are different, </w:t>
      </w:r>
      <w:proofErr w:type="spellStart"/>
      <w:r w:rsidR="006D7EC8">
        <w:rPr>
          <w:rFonts w:ascii="Arial" w:hAnsi="Arial" w:cs="Arial"/>
          <w:bCs/>
        </w:rPr>
        <w:t>Terrasil</w:t>
      </w:r>
      <w:proofErr w:type="spellEnd"/>
      <w:r w:rsidRPr="005D3641">
        <w:rPr>
          <w:rFonts w:ascii="Arial" w:hAnsi="Arial" w:cs="Arial"/>
          <w:bCs/>
        </w:rPr>
        <w:t xml:space="preserve"> increases shear strength in cohesive and cohesionless soils. In sample A, both cohesion and angle of internal friction are enhanced, however, in sample B, only the angle of internal friction increases. It can also be noted that both samples reached their maximum shear strength at 9% </w:t>
      </w:r>
      <w:proofErr w:type="spellStart"/>
      <w:r w:rsidR="006D7EC8">
        <w:rPr>
          <w:rFonts w:ascii="Arial" w:hAnsi="Arial" w:cs="Arial"/>
          <w:bCs/>
        </w:rPr>
        <w:t>Terrasil</w:t>
      </w:r>
      <w:proofErr w:type="spellEnd"/>
      <w:r w:rsidRPr="005D3641">
        <w:rPr>
          <w:rFonts w:ascii="Arial" w:hAnsi="Arial" w:cs="Arial"/>
          <w:bCs/>
        </w:rPr>
        <w:t xml:space="preserve"> dosage with sample A having a shear strength of 220.3085 N/m</w:t>
      </w:r>
      <w:r w:rsidRPr="005D3641">
        <w:rPr>
          <w:rFonts w:ascii="Arial" w:hAnsi="Arial" w:cs="Arial"/>
          <w:bCs/>
          <w:vertAlign w:val="superscript"/>
        </w:rPr>
        <w:t>2</w:t>
      </w:r>
      <w:r w:rsidRPr="005D3641">
        <w:rPr>
          <w:rFonts w:ascii="Arial" w:hAnsi="Arial" w:cs="Arial"/>
          <w:bCs/>
        </w:rPr>
        <w:t xml:space="preserve"> (30.89% increase) and sample B having a shear strength of 193.1378 N/m</w:t>
      </w:r>
      <w:r w:rsidRPr="005D3641">
        <w:rPr>
          <w:rFonts w:ascii="Arial" w:hAnsi="Arial" w:cs="Arial"/>
          <w:bCs/>
          <w:vertAlign w:val="superscript"/>
        </w:rPr>
        <w:t>2</w:t>
      </w:r>
      <w:r w:rsidRPr="005D3641">
        <w:rPr>
          <w:rFonts w:ascii="Arial" w:hAnsi="Arial" w:cs="Arial"/>
          <w:bCs/>
        </w:rPr>
        <w:t xml:space="preserve"> (67.2% increase).</w:t>
      </w:r>
    </w:p>
    <w:p w14:paraId="4D45594C" w14:textId="77777777" w:rsidR="00A82112" w:rsidRPr="005D3641" w:rsidRDefault="00A82112" w:rsidP="00A82112">
      <w:pPr>
        <w:tabs>
          <w:tab w:val="left" w:pos="975"/>
        </w:tabs>
        <w:contextualSpacing/>
        <w:jc w:val="both"/>
        <w:rPr>
          <w:rFonts w:ascii="Arial" w:hAnsi="Arial" w:cs="Arial"/>
          <w:bCs/>
        </w:rPr>
      </w:pPr>
    </w:p>
    <w:p w14:paraId="787F8F99" w14:textId="495723BA" w:rsidR="00A82112" w:rsidRPr="005D3641" w:rsidRDefault="00A82112" w:rsidP="00A82112">
      <w:pPr>
        <w:tabs>
          <w:tab w:val="left" w:pos="975"/>
        </w:tabs>
        <w:contextualSpacing/>
        <w:jc w:val="both"/>
        <w:rPr>
          <w:rFonts w:ascii="Arial" w:hAnsi="Arial" w:cs="Arial"/>
        </w:rPr>
      </w:pPr>
      <w:r w:rsidRPr="005D3641">
        <w:rPr>
          <w:rFonts w:ascii="Arial" w:hAnsi="Arial" w:cs="Arial"/>
          <w:b/>
          <w:bCs/>
        </w:rPr>
        <w:t>Table 4:</w:t>
      </w:r>
      <w:r w:rsidRPr="005D3641">
        <w:rPr>
          <w:rFonts w:ascii="Arial" w:hAnsi="Arial" w:cs="Arial"/>
        </w:rPr>
        <w:t xml:space="preserve"> Shear Strength of Soil Samples Treated with </w:t>
      </w:r>
      <w:proofErr w:type="spellStart"/>
      <w:r w:rsidR="006D7EC8">
        <w:rPr>
          <w:rFonts w:ascii="Arial" w:hAnsi="Arial" w:cs="Arial"/>
        </w:rPr>
        <w:t>Terrasil</w:t>
      </w:r>
      <w:proofErr w:type="spellEnd"/>
      <w:r w:rsidRPr="005D3641">
        <w:rPr>
          <w:rFonts w:ascii="Arial" w:hAnsi="Arial" w:cs="Arial"/>
        </w:rPr>
        <w:t xml:space="preserve"> at Varying Dosages </w:t>
      </w:r>
    </w:p>
    <w:tbl>
      <w:tblPr>
        <w:tblStyle w:val="PlainTable21"/>
        <w:tblW w:w="0" w:type="auto"/>
        <w:tblInd w:w="-90" w:type="dxa"/>
        <w:tblLayout w:type="fixed"/>
        <w:tblLook w:val="0620" w:firstRow="1" w:lastRow="0" w:firstColumn="0" w:lastColumn="0" w:noHBand="1" w:noVBand="1"/>
      </w:tblPr>
      <w:tblGrid>
        <w:gridCol w:w="1260"/>
        <w:gridCol w:w="696"/>
        <w:gridCol w:w="906"/>
        <w:gridCol w:w="906"/>
        <w:gridCol w:w="1002"/>
        <w:gridCol w:w="900"/>
        <w:gridCol w:w="900"/>
        <w:gridCol w:w="822"/>
        <w:gridCol w:w="906"/>
      </w:tblGrid>
      <w:tr w:rsidR="00A82112" w:rsidRPr="005D3641" w14:paraId="28672B91" w14:textId="77777777" w:rsidTr="005D3641">
        <w:trPr>
          <w:cnfStyle w:val="100000000000" w:firstRow="1" w:lastRow="0" w:firstColumn="0" w:lastColumn="0" w:oddVBand="0" w:evenVBand="0" w:oddHBand="0" w:evenHBand="0" w:firstRowFirstColumn="0" w:firstRowLastColumn="0" w:lastRowFirstColumn="0" w:lastRowLastColumn="0"/>
          <w:trHeight w:val="438"/>
        </w:trPr>
        <w:tc>
          <w:tcPr>
            <w:tcW w:w="1260" w:type="dxa"/>
          </w:tcPr>
          <w:p w14:paraId="50B4DC5D" w14:textId="0BA21DB1" w:rsidR="00A82112" w:rsidRPr="005D3641" w:rsidRDefault="00A82112" w:rsidP="003C4C86">
            <w:pPr>
              <w:pStyle w:val="NoSpacing"/>
              <w:jc w:val="both"/>
              <w:rPr>
                <w:rFonts w:ascii="Arial" w:hAnsi="Arial" w:cs="Arial"/>
                <w:b w:val="0"/>
                <w:sz w:val="20"/>
                <w:szCs w:val="20"/>
              </w:rPr>
            </w:pPr>
            <w:r w:rsidRPr="005D3641">
              <w:rPr>
                <w:rFonts w:ascii="Arial" w:hAnsi="Arial" w:cs="Arial"/>
                <w:sz w:val="20"/>
                <w:szCs w:val="20"/>
              </w:rPr>
              <w:t xml:space="preserve">% of </w:t>
            </w:r>
            <w:proofErr w:type="spellStart"/>
            <w:r w:rsidR="006D7EC8">
              <w:rPr>
                <w:rFonts w:ascii="Arial" w:hAnsi="Arial" w:cs="Arial"/>
                <w:sz w:val="20"/>
                <w:szCs w:val="20"/>
              </w:rPr>
              <w:t>Terrasil</w:t>
            </w:r>
            <w:proofErr w:type="spellEnd"/>
          </w:p>
        </w:tc>
        <w:tc>
          <w:tcPr>
            <w:tcW w:w="3510" w:type="dxa"/>
            <w:gridSpan w:val="4"/>
          </w:tcPr>
          <w:p w14:paraId="4576B852" w14:textId="77777777" w:rsidR="00A82112" w:rsidRPr="005D3641" w:rsidRDefault="00A82112" w:rsidP="003C4C86">
            <w:pPr>
              <w:pStyle w:val="NoSpacing"/>
              <w:jc w:val="center"/>
              <w:rPr>
                <w:rFonts w:ascii="Arial" w:hAnsi="Arial" w:cs="Arial"/>
                <w:b w:val="0"/>
                <w:sz w:val="20"/>
                <w:szCs w:val="20"/>
              </w:rPr>
            </w:pPr>
            <w:r w:rsidRPr="005D3641">
              <w:rPr>
                <w:rFonts w:ascii="Arial" w:hAnsi="Arial" w:cs="Arial"/>
                <w:sz w:val="20"/>
                <w:szCs w:val="20"/>
              </w:rPr>
              <w:t>Sample A</w:t>
            </w:r>
          </w:p>
        </w:tc>
        <w:tc>
          <w:tcPr>
            <w:tcW w:w="3528" w:type="dxa"/>
            <w:gridSpan w:val="4"/>
          </w:tcPr>
          <w:p w14:paraId="768A0823" w14:textId="77777777" w:rsidR="00A82112" w:rsidRPr="005D3641" w:rsidRDefault="00A82112" w:rsidP="003C4C86">
            <w:pPr>
              <w:pStyle w:val="NoSpacing"/>
              <w:jc w:val="center"/>
              <w:rPr>
                <w:rFonts w:ascii="Arial" w:hAnsi="Arial" w:cs="Arial"/>
                <w:b w:val="0"/>
                <w:bCs w:val="0"/>
                <w:sz w:val="20"/>
                <w:szCs w:val="20"/>
              </w:rPr>
            </w:pPr>
            <w:r w:rsidRPr="005D3641">
              <w:rPr>
                <w:rFonts w:ascii="Arial" w:hAnsi="Arial" w:cs="Arial"/>
                <w:sz w:val="20"/>
                <w:szCs w:val="20"/>
              </w:rPr>
              <w:t>Sample B</w:t>
            </w:r>
          </w:p>
        </w:tc>
      </w:tr>
      <w:tr w:rsidR="005D3641" w:rsidRPr="005D3641" w14:paraId="156E794C" w14:textId="77777777" w:rsidTr="005D3641">
        <w:trPr>
          <w:trHeight w:val="314"/>
        </w:trPr>
        <w:tc>
          <w:tcPr>
            <w:tcW w:w="1260" w:type="dxa"/>
          </w:tcPr>
          <w:p w14:paraId="18FF0F1A" w14:textId="77777777" w:rsidR="00A82112" w:rsidRPr="005D3641" w:rsidRDefault="00A82112" w:rsidP="003C4C86">
            <w:pPr>
              <w:pStyle w:val="NoSpacing"/>
              <w:jc w:val="both"/>
              <w:rPr>
                <w:rFonts w:ascii="Arial" w:hAnsi="Arial" w:cs="Arial"/>
                <w:sz w:val="20"/>
                <w:szCs w:val="20"/>
              </w:rPr>
            </w:pPr>
            <w:r w:rsidRPr="005D3641">
              <w:rPr>
                <w:rFonts w:ascii="Arial" w:hAnsi="Arial" w:cs="Arial"/>
                <w:sz w:val="20"/>
                <w:szCs w:val="20"/>
              </w:rPr>
              <w:t>Dosage</w:t>
            </w:r>
          </w:p>
        </w:tc>
        <w:tc>
          <w:tcPr>
            <w:tcW w:w="696" w:type="dxa"/>
          </w:tcPr>
          <w:p w14:paraId="0BF31F7B" w14:textId="77777777" w:rsidR="00A82112" w:rsidRPr="005D3641" w:rsidRDefault="00A82112" w:rsidP="003C4C86">
            <w:pPr>
              <w:pStyle w:val="NoSpacing"/>
              <w:jc w:val="center"/>
              <w:rPr>
                <w:rFonts w:ascii="Arial" w:hAnsi="Arial" w:cs="Arial"/>
                <w:sz w:val="20"/>
                <w:szCs w:val="20"/>
              </w:rPr>
            </w:pPr>
            <w:r w:rsidRPr="005D3641">
              <w:rPr>
                <w:rFonts w:ascii="Arial" w:hAnsi="Arial" w:cs="Arial"/>
                <w:sz w:val="20"/>
                <w:szCs w:val="20"/>
              </w:rPr>
              <w:t>0%</w:t>
            </w:r>
          </w:p>
        </w:tc>
        <w:tc>
          <w:tcPr>
            <w:tcW w:w="906" w:type="dxa"/>
          </w:tcPr>
          <w:p w14:paraId="090B6CA8" w14:textId="77777777" w:rsidR="00A82112" w:rsidRPr="005D3641" w:rsidRDefault="00A82112" w:rsidP="003C4C86">
            <w:pPr>
              <w:pStyle w:val="NoSpacing"/>
              <w:jc w:val="center"/>
              <w:rPr>
                <w:rFonts w:ascii="Arial" w:hAnsi="Arial" w:cs="Arial"/>
                <w:sz w:val="20"/>
                <w:szCs w:val="20"/>
              </w:rPr>
            </w:pPr>
            <w:r w:rsidRPr="005D3641">
              <w:rPr>
                <w:rFonts w:ascii="Arial" w:hAnsi="Arial" w:cs="Arial"/>
                <w:sz w:val="20"/>
                <w:szCs w:val="20"/>
              </w:rPr>
              <w:t>3%</w:t>
            </w:r>
          </w:p>
        </w:tc>
        <w:tc>
          <w:tcPr>
            <w:tcW w:w="906" w:type="dxa"/>
          </w:tcPr>
          <w:p w14:paraId="16541AA3" w14:textId="77777777" w:rsidR="00A82112" w:rsidRPr="005D3641" w:rsidRDefault="00A82112" w:rsidP="003C4C86">
            <w:pPr>
              <w:pStyle w:val="NoSpacing"/>
              <w:jc w:val="center"/>
              <w:rPr>
                <w:rFonts w:ascii="Arial" w:hAnsi="Arial" w:cs="Arial"/>
                <w:sz w:val="20"/>
                <w:szCs w:val="20"/>
              </w:rPr>
            </w:pPr>
            <w:r w:rsidRPr="005D3641">
              <w:rPr>
                <w:rFonts w:ascii="Arial" w:hAnsi="Arial" w:cs="Arial"/>
                <w:sz w:val="20"/>
                <w:szCs w:val="20"/>
              </w:rPr>
              <w:t>6%</w:t>
            </w:r>
          </w:p>
        </w:tc>
        <w:tc>
          <w:tcPr>
            <w:tcW w:w="1002" w:type="dxa"/>
          </w:tcPr>
          <w:p w14:paraId="338E9C22" w14:textId="77777777" w:rsidR="00A82112" w:rsidRPr="005D3641" w:rsidRDefault="00A82112" w:rsidP="003C4C86">
            <w:pPr>
              <w:pStyle w:val="NoSpacing"/>
              <w:jc w:val="center"/>
              <w:rPr>
                <w:rFonts w:ascii="Arial" w:hAnsi="Arial" w:cs="Arial"/>
                <w:sz w:val="20"/>
                <w:szCs w:val="20"/>
              </w:rPr>
            </w:pPr>
            <w:r w:rsidRPr="005D3641">
              <w:rPr>
                <w:rFonts w:ascii="Arial" w:hAnsi="Arial" w:cs="Arial"/>
                <w:sz w:val="20"/>
                <w:szCs w:val="20"/>
              </w:rPr>
              <w:t>9%</w:t>
            </w:r>
          </w:p>
        </w:tc>
        <w:tc>
          <w:tcPr>
            <w:tcW w:w="900" w:type="dxa"/>
          </w:tcPr>
          <w:p w14:paraId="010891AF" w14:textId="77777777" w:rsidR="00A82112" w:rsidRPr="005D3641" w:rsidRDefault="00A82112" w:rsidP="003C4C86">
            <w:pPr>
              <w:pStyle w:val="NoSpacing"/>
              <w:jc w:val="center"/>
              <w:rPr>
                <w:rFonts w:ascii="Arial" w:hAnsi="Arial" w:cs="Arial"/>
                <w:sz w:val="20"/>
                <w:szCs w:val="20"/>
              </w:rPr>
            </w:pPr>
            <w:r w:rsidRPr="005D3641">
              <w:rPr>
                <w:rFonts w:ascii="Arial" w:hAnsi="Arial" w:cs="Arial"/>
                <w:sz w:val="20"/>
                <w:szCs w:val="20"/>
              </w:rPr>
              <w:t>0%</w:t>
            </w:r>
          </w:p>
        </w:tc>
        <w:tc>
          <w:tcPr>
            <w:tcW w:w="900" w:type="dxa"/>
          </w:tcPr>
          <w:p w14:paraId="40C98512" w14:textId="77777777" w:rsidR="00A82112" w:rsidRPr="005D3641" w:rsidRDefault="00A82112" w:rsidP="003C4C86">
            <w:pPr>
              <w:pStyle w:val="NoSpacing"/>
              <w:jc w:val="center"/>
              <w:rPr>
                <w:rFonts w:ascii="Arial" w:hAnsi="Arial" w:cs="Arial"/>
                <w:sz w:val="20"/>
                <w:szCs w:val="20"/>
              </w:rPr>
            </w:pPr>
            <w:r w:rsidRPr="005D3641">
              <w:rPr>
                <w:rFonts w:ascii="Arial" w:hAnsi="Arial" w:cs="Arial"/>
                <w:sz w:val="20"/>
                <w:szCs w:val="20"/>
              </w:rPr>
              <w:t>3%</w:t>
            </w:r>
          </w:p>
        </w:tc>
        <w:tc>
          <w:tcPr>
            <w:tcW w:w="822" w:type="dxa"/>
          </w:tcPr>
          <w:p w14:paraId="0E02DA9C" w14:textId="77777777" w:rsidR="00A82112" w:rsidRPr="005D3641" w:rsidRDefault="00A82112" w:rsidP="003C4C86">
            <w:pPr>
              <w:pStyle w:val="NoSpacing"/>
              <w:jc w:val="center"/>
              <w:rPr>
                <w:rFonts w:ascii="Arial" w:hAnsi="Arial" w:cs="Arial"/>
                <w:sz w:val="20"/>
                <w:szCs w:val="20"/>
              </w:rPr>
            </w:pPr>
            <w:r w:rsidRPr="005D3641">
              <w:rPr>
                <w:rFonts w:ascii="Arial" w:hAnsi="Arial" w:cs="Arial"/>
                <w:sz w:val="20"/>
                <w:szCs w:val="20"/>
              </w:rPr>
              <w:t>6%</w:t>
            </w:r>
          </w:p>
        </w:tc>
        <w:tc>
          <w:tcPr>
            <w:tcW w:w="906" w:type="dxa"/>
          </w:tcPr>
          <w:p w14:paraId="1E895429" w14:textId="77777777" w:rsidR="00A82112" w:rsidRPr="005D3641" w:rsidRDefault="00A82112" w:rsidP="003C4C86">
            <w:pPr>
              <w:pStyle w:val="NoSpacing"/>
              <w:jc w:val="center"/>
              <w:rPr>
                <w:rFonts w:ascii="Arial" w:hAnsi="Arial" w:cs="Arial"/>
                <w:sz w:val="20"/>
                <w:szCs w:val="20"/>
              </w:rPr>
            </w:pPr>
            <w:r w:rsidRPr="005D3641">
              <w:rPr>
                <w:rFonts w:ascii="Arial" w:hAnsi="Arial" w:cs="Arial"/>
                <w:sz w:val="20"/>
                <w:szCs w:val="20"/>
              </w:rPr>
              <w:t>9%</w:t>
            </w:r>
          </w:p>
        </w:tc>
      </w:tr>
      <w:tr w:rsidR="005D3641" w:rsidRPr="005D3641" w14:paraId="45698F2C" w14:textId="77777777" w:rsidTr="005D3641">
        <w:trPr>
          <w:trHeight w:val="180"/>
        </w:trPr>
        <w:tc>
          <w:tcPr>
            <w:tcW w:w="1260" w:type="dxa"/>
          </w:tcPr>
          <w:p w14:paraId="4A300843" w14:textId="77777777" w:rsidR="00A82112" w:rsidRPr="005D3641" w:rsidRDefault="00A82112" w:rsidP="003C4C86">
            <w:pPr>
              <w:pStyle w:val="NoSpacing"/>
              <w:jc w:val="both"/>
              <w:rPr>
                <w:rFonts w:ascii="Arial" w:hAnsi="Arial" w:cs="Arial"/>
                <w:bCs/>
                <w:sz w:val="20"/>
                <w:szCs w:val="20"/>
              </w:rPr>
            </w:pPr>
            <w:r w:rsidRPr="005D3641">
              <w:rPr>
                <w:rFonts w:ascii="Arial" w:hAnsi="Arial" w:cs="Arial"/>
                <w:bCs/>
                <w:sz w:val="20"/>
                <w:szCs w:val="20"/>
              </w:rPr>
              <w:t>Cohesion, C</w:t>
            </w:r>
          </w:p>
        </w:tc>
        <w:tc>
          <w:tcPr>
            <w:tcW w:w="696" w:type="dxa"/>
          </w:tcPr>
          <w:p w14:paraId="2FB9E043"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23</w:t>
            </w:r>
          </w:p>
        </w:tc>
        <w:tc>
          <w:tcPr>
            <w:tcW w:w="906" w:type="dxa"/>
          </w:tcPr>
          <w:p w14:paraId="08DD2FBA"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50</w:t>
            </w:r>
          </w:p>
        </w:tc>
        <w:tc>
          <w:tcPr>
            <w:tcW w:w="906" w:type="dxa"/>
          </w:tcPr>
          <w:p w14:paraId="287CADB1"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70</w:t>
            </w:r>
          </w:p>
        </w:tc>
        <w:tc>
          <w:tcPr>
            <w:tcW w:w="1002" w:type="dxa"/>
          </w:tcPr>
          <w:p w14:paraId="52201ED7"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75</w:t>
            </w:r>
          </w:p>
        </w:tc>
        <w:tc>
          <w:tcPr>
            <w:tcW w:w="900" w:type="dxa"/>
          </w:tcPr>
          <w:p w14:paraId="354BF925"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0</w:t>
            </w:r>
          </w:p>
        </w:tc>
        <w:tc>
          <w:tcPr>
            <w:tcW w:w="900" w:type="dxa"/>
          </w:tcPr>
          <w:p w14:paraId="3EA1CE84"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0</w:t>
            </w:r>
          </w:p>
        </w:tc>
        <w:tc>
          <w:tcPr>
            <w:tcW w:w="822" w:type="dxa"/>
          </w:tcPr>
          <w:p w14:paraId="607C8221"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0</w:t>
            </w:r>
          </w:p>
        </w:tc>
        <w:tc>
          <w:tcPr>
            <w:tcW w:w="906" w:type="dxa"/>
          </w:tcPr>
          <w:p w14:paraId="23992693"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0</w:t>
            </w:r>
          </w:p>
        </w:tc>
      </w:tr>
      <w:tr w:rsidR="005D3641" w:rsidRPr="005D3641" w14:paraId="33025DCF" w14:textId="77777777" w:rsidTr="005D3641">
        <w:trPr>
          <w:trHeight w:val="438"/>
        </w:trPr>
        <w:tc>
          <w:tcPr>
            <w:tcW w:w="1260" w:type="dxa"/>
          </w:tcPr>
          <w:p w14:paraId="7DA6668B" w14:textId="77777777" w:rsidR="00A82112" w:rsidRPr="005D3641" w:rsidRDefault="00A82112" w:rsidP="003C4C86">
            <w:pPr>
              <w:pStyle w:val="NoSpacing"/>
              <w:rPr>
                <w:rFonts w:ascii="Arial" w:hAnsi="Arial" w:cs="Arial"/>
                <w:bCs/>
                <w:sz w:val="20"/>
                <w:szCs w:val="20"/>
              </w:rPr>
            </w:pPr>
            <w:r w:rsidRPr="005D3641">
              <w:rPr>
                <w:rFonts w:ascii="Arial" w:hAnsi="Arial" w:cs="Arial"/>
                <w:bCs/>
                <w:sz w:val="20"/>
                <w:szCs w:val="20"/>
              </w:rPr>
              <w:t xml:space="preserve">Angle of internal friction, </w:t>
            </w:r>
            <w:r w:rsidRPr="005D3641">
              <w:rPr>
                <w:rFonts w:ascii="Arial" w:hAnsi="Arial" w:cs="Arial"/>
                <w:b/>
                <w:sz w:val="20"/>
                <w:szCs w:val="20"/>
              </w:rPr>
              <w:t>Ø</w:t>
            </w:r>
          </w:p>
        </w:tc>
        <w:tc>
          <w:tcPr>
            <w:tcW w:w="696" w:type="dxa"/>
          </w:tcPr>
          <w:p w14:paraId="73B8E159"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36</w:t>
            </w:r>
            <w:r w:rsidRPr="005D3641">
              <w:rPr>
                <w:rFonts w:ascii="Arial" w:hAnsi="Arial" w:cs="Arial"/>
                <w:b/>
                <w:sz w:val="20"/>
                <w:szCs w:val="20"/>
              </w:rPr>
              <w:t>°</w:t>
            </w:r>
          </w:p>
        </w:tc>
        <w:tc>
          <w:tcPr>
            <w:tcW w:w="906" w:type="dxa"/>
          </w:tcPr>
          <w:p w14:paraId="16AA011B"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35</w:t>
            </w:r>
            <w:r w:rsidRPr="005D3641">
              <w:rPr>
                <w:rFonts w:ascii="Arial" w:hAnsi="Arial" w:cs="Arial"/>
                <w:b/>
                <w:sz w:val="20"/>
                <w:szCs w:val="20"/>
              </w:rPr>
              <w:t>°</w:t>
            </w:r>
          </w:p>
        </w:tc>
        <w:tc>
          <w:tcPr>
            <w:tcW w:w="906" w:type="dxa"/>
          </w:tcPr>
          <w:p w14:paraId="12F92055"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32</w:t>
            </w:r>
            <w:r w:rsidRPr="005D3641">
              <w:rPr>
                <w:rFonts w:ascii="Arial" w:hAnsi="Arial" w:cs="Arial"/>
                <w:b/>
                <w:sz w:val="20"/>
                <w:szCs w:val="20"/>
              </w:rPr>
              <w:t>°</w:t>
            </w:r>
          </w:p>
        </w:tc>
        <w:tc>
          <w:tcPr>
            <w:tcW w:w="1002" w:type="dxa"/>
          </w:tcPr>
          <w:p w14:paraId="7A5A2734"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36</w:t>
            </w:r>
            <w:r w:rsidRPr="005D3641">
              <w:rPr>
                <w:rFonts w:ascii="Arial" w:hAnsi="Arial" w:cs="Arial"/>
                <w:b/>
                <w:sz w:val="20"/>
                <w:szCs w:val="20"/>
              </w:rPr>
              <w:t>°</w:t>
            </w:r>
          </w:p>
        </w:tc>
        <w:tc>
          <w:tcPr>
            <w:tcW w:w="900" w:type="dxa"/>
          </w:tcPr>
          <w:p w14:paraId="6F9EFD49"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30</w:t>
            </w:r>
            <w:r w:rsidRPr="005D3641">
              <w:rPr>
                <w:rFonts w:ascii="Arial" w:hAnsi="Arial" w:cs="Arial"/>
                <w:b/>
                <w:sz w:val="20"/>
                <w:szCs w:val="20"/>
              </w:rPr>
              <w:t>°</w:t>
            </w:r>
          </w:p>
        </w:tc>
        <w:tc>
          <w:tcPr>
            <w:tcW w:w="900" w:type="dxa"/>
          </w:tcPr>
          <w:p w14:paraId="4167BC0D"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39</w:t>
            </w:r>
            <w:r w:rsidRPr="005D3641">
              <w:rPr>
                <w:rFonts w:ascii="Arial" w:hAnsi="Arial" w:cs="Arial"/>
                <w:b/>
                <w:sz w:val="20"/>
                <w:szCs w:val="20"/>
              </w:rPr>
              <w:t>°</w:t>
            </w:r>
          </w:p>
        </w:tc>
        <w:tc>
          <w:tcPr>
            <w:tcW w:w="822" w:type="dxa"/>
          </w:tcPr>
          <w:p w14:paraId="43A6132B"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41</w:t>
            </w:r>
            <w:r w:rsidRPr="005D3641">
              <w:rPr>
                <w:rFonts w:ascii="Arial" w:hAnsi="Arial" w:cs="Arial"/>
                <w:b/>
                <w:sz w:val="20"/>
                <w:szCs w:val="20"/>
              </w:rPr>
              <w:t>°</w:t>
            </w:r>
          </w:p>
        </w:tc>
        <w:tc>
          <w:tcPr>
            <w:tcW w:w="906" w:type="dxa"/>
          </w:tcPr>
          <w:p w14:paraId="553A274B"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44</w:t>
            </w:r>
            <w:r w:rsidRPr="005D3641">
              <w:rPr>
                <w:rFonts w:ascii="Arial" w:hAnsi="Arial" w:cs="Arial"/>
                <w:b/>
                <w:sz w:val="20"/>
                <w:szCs w:val="20"/>
              </w:rPr>
              <w:t>°</w:t>
            </w:r>
          </w:p>
        </w:tc>
      </w:tr>
      <w:tr w:rsidR="005D3641" w:rsidRPr="005D3641" w14:paraId="57A1990E" w14:textId="77777777" w:rsidTr="005D3641">
        <w:trPr>
          <w:trHeight w:val="438"/>
        </w:trPr>
        <w:tc>
          <w:tcPr>
            <w:tcW w:w="1260" w:type="dxa"/>
          </w:tcPr>
          <w:p w14:paraId="7CD5A7CF" w14:textId="77777777" w:rsidR="00A82112" w:rsidRPr="005D3641" w:rsidRDefault="00A82112" w:rsidP="003C4C86">
            <w:pPr>
              <w:pStyle w:val="NoSpacing"/>
              <w:jc w:val="both"/>
              <w:rPr>
                <w:rFonts w:ascii="Arial" w:hAnsi="Arial" w:cs="Arial"/>
                <w:bCs/>
                <w:sz w:val="20"/>
                <w:szCs w:val="20"/>
              </w:rPr>
            </w:pPr>
            <w:r w:rsidRPr="005D3641">
              <w:rPr>
                <w:rFonts w:ascii="Arial" w:hAnsi="Arial" w:cs="Arial"/>
                <w:bCs/>
                <w:sz w:val="20"/>
                <w:szCs w:val="20"/>
              </w:rPr>
              <w:t>Shear strength (N/m</w:t>
            </w:r>
            <w:r w:rsidRPr="005D3641">
              <w:rPr>
                <w:rFonts w:ascii="Arial" w:hAnsi="Arial" w:cs="Arial"/>
                <w:bCs/>
                <w:sz w:val="20"/>
                <w:szCs w:val="20"/>
                <w:vertAlign w:val="superscript"/>
              </w:rPr>
              <w:t>2</w:t>
            </w:r>
            <w:r w:rsidRPr="005D3641">
              <w:rPr>
                <w:rFonts w:ascii="Arial" w:hAnsi="Arial" w:cs="Arial"/>
                <w:bCs/>
                <w:sz w:val="20"/>
                <w:szCs w:val="20"/>
              </w:rPr>
              <w:t>)</w:t>
            </w:r>
          </w:p>
        </w:tc>
        <w:tc>
          <w:tcPr>
            <w:tcW w:w="696" w:type="dxa"/>
          </w:tcPr>
          <w:p w14:paraId="2B93B9B2" w14:textId="488A94A4" w:rsidR="00A82112" w:rsidRPr="005D3641" w:rsidRDefault="00A82112" w:rsidP="003C4C86">
            <w:pPr>
              <w:pStyle w:val="NoSpacing"/>
              <w:jc w:val="center"/>
              <w:rPr>
                <w:rFonts w:ascii="Arial" w:hAnsi="Arial" w:cs="Arial"/>
                <w:bCs/>
                <w:sz w:val="20"/>
                <w:szCs w:val="20"/>
              </w:rPr>
            </w:pPr>
            <w:r w:rsidRPr="005D3641">
              <w:rPr>
                <w:rFonts w:ascii="Arial" w:hAnsi="Arial" w:cs="Arial"/>
                <w:color w:val="000000"/>
                <w:sz w:val="20"/>
                <w:szCs w:val="20"/>
              </w:rPr>
              <w:t>168.3</w:t>
            </w:r>
            <w:r w:rsidR="005D3641" w:rsidRPr="005D3641">
              <w:rPr>
                <w:rFonts w:ascii="Arial" w:hAnsi="Arial" w:cs="Arial"/>
                <w:color w:val="000000"/>
                <w:sz w:val="20"/>
                <w:szCs w:val="20"/>
              </w:rPr>
              <w:t>1</w:t>
            </w:r>
          </w:p>
        </w:tc>
        <w:tc>
          <w:tcPr>
            <w:tcW w:w="906" w:type="dxa"/>
          </w:tcPr>
          <w:p w14:paraId="5D47A120" w14:textId="37D2D213" w:rsidR="00A82112" w:rsidRPr="005D3641" w:rsidRDefault="00A82112" w:rsidP="003C4C86">
            <w:pPr>
              <w:pStyle w:val="NoSpacing"/>
              <w:jc w:val="center"/>
              <w:rPr>
                <w:rFonts w:ascii="Arial" w:hAnsi="Arial" w:cs="Arial"/>
                <w:bCs/>
                <w:sz w:val="20"/>
                <w:szCs w:val="20"/>
              </w:rPr>
            </w:pPr>
            <w:r w:rsidRPr="005D3641">
              <w:rPr>
                <w:rFonts w:ascii="Arial" w:hAnsi="Arial" w:cs="Arial"/>
                <w:color w:val="000000"/>
                <w:sz w:val="20"/>
                <w:szCs w:val="20"/>
              </w:rPr>
              <w:t>190.04</w:t>
            </w:r>
          </w:p>
        </w:tc>
        <w:tc>
          <w:tcPr>
            <w:tcW w:w="906" w:type="dxa"/>
          </w:tcPr>
          <w:p w14:paraId="1FFD430F" w14:textId="092EAB9C" w:rsidR="00A82112" w:rsidRPr="005D3641" w:rsidRDefault="00A82112" w:rsidP="003C4C86">
            <w:pPr>
              <w:pStyle w:val="NoSpacing"/>
              <w:jc w:val="center"/>
              <w:rPr>
                <w:rFonts w:ascii="Arial" w:hAnsi="Arial" w:cs="Arial"/>
                <w:bCs/>
                <w:sz w:val="20"/>
                <w:szCs w:val="20"/>
              </w:rPr>
            </w:pPr>
            <w:r w:rsidRPr="005D3641">
              <w:rPr>
                <w:rFonts w:ascii="Arial" w:hAnsi="Arial" w:cs="Arial"/>
                <w:color w:val="000000"/>
                <w:sz w:val="20"/>
                <w:szCs w:val="20"/>
              </w:rPr>
              <w:t>194.97</w:t>
            </w:r>
          </w:p>
        </w:tc>
        <w:tc>
          <w:tcPr>
            <w:tcW w:w="1002" w:type="dxa"/>
          </w:tcPr>
          <w:p w14:paraId="520268A5" w14:textId="24291382" w:rsidR="00A82112" w:rsidRPr="005D3641" w:rsidRDefault="00A82112" w:rsidP="003C4C86">
            <w:pPr>
              <w:pStyle w:val="NoSpacing"/>
              <w:jc w:val="center"/>
              <w:rPr>
                <w:rFonts w:ascii="Arial" w:hAnsi="Arial" w:cs="Arial"/>
                <w:bCs/>
                <w:sz w:val="20"/>
                <w:szCs w:val="20"/>
              </w:rPr>
            </w:pPr>
            <w:r w:rsidRPr="005D3641">
              <w:rPr>
                <w:rFonts w:ascii="Arial" w:hAnsi="Arial" w:cs="Arial"/>
                <w:color w:val="000000"/>
                <w:sz w:val="20"/>
                <w:szCs w:val="20"/>
              </w:rPr>
              <w:t>220.3</w:t>
            </w:r>
            <w:r w:rsidR="005D3641" w:rsidRPr="005D3641">
              <w:rPr>
                <w:rFonts w:ascii="Arial" w:hAnsi="Arial" w:cs="Arial"/>
                <w:color w:val="000000"/>
                <w:sz w:val="20"/>
                <w:szCs w:val="20"/>
              </w:rPr>
              <w:t>1</w:t>
            </w:r>
          </w:p>
        </w:tc>
        <w:tc>
          <w:tcPr>
            <w:tcW w:w="900" w:type="dxa"/>
          </w:tcPr>
          <w:p w14:paraId="417565BF" w14:textId="25CD3432" w:rsidR="00A82112" w:rsidRPr="005D3641" w:rsidRDefault="00A82112" w:rsidP="003C4C86">
            <w:pPr>
              <w:pStyle w:val="NoSpacing"/>
              <w:jc w:val="center"/>
              <w:rPr>
                <w:rFonts w:ascii="Arial" w:hAnsi="Arial" w:cs="Arial"/>
                <w:bCs/>
                <w:sz w:val="20"/>
                <w:szCs w:val="20"/>
              </w:rPr>
            </w:pPr>
            <w:r w:rsidRPr="005D3641">
              <w:rPr>
                <w:rFonts w:ascii="Arial" w:hAnsi="Arial" w:cs="Arial"/>
                <w:color w:val="000000"/>
                <w:sz w:val="20"/>
                <w:szCs w:val="20"/>
              </w:rPr>
              <w:t>115.47</w:t>
            </w:r>
          </w:p>
        </w:tc>
        <w:tc>
          <w:tcPr>
            <w:tcW w:w="900" w:type="dxa"/>
          </w:tcPr>
          <w:p w14:paraId="4FCD2821" w14:textId="4994B9D8" w:rsidR="00A82112" w:rsidRPr="005D3641" w:rsidRDefault="00A82112" w:rsidP="003C4C86">
            <w:pPr>
              <w:pStyle w:val="NoSpacing"/>
              <w:jc w:val="center"/>
              <w:rPr>
                <w:rFonts w:ascii="Arial" w:hAnsi="Arial" w:cs="Arial"/>
                <w:bCs/>
                <w:sz w:val="20"/>
                <w:szCs w:val="20"/>
              </w:rPr>
            </w:pPr>
            <w:r w:rsidRPr="005D3641">
              <w:rPr>
                <w:rFonts w:ascii="Arial" w:hAnsi="Arial" w:cs="Arial"/>
                <w:color w:val="000000"/>
                <w:sz w:val="20"/>
                <w:szCs w:val="20"/>
              </w:rPr>
              <w:t>161.9</w:t>
            </w:r>
            <w:r w:rsidR="005D3641" w:rsidRPr="005D3641">
              <w:rPr>
                <w:rFonts w:ascii="Arial" w:hAnsi="Arial" w:cs="Arial"/>
                <w:color w:val="000000"/>
                <w:sz w:val="20"/>
                <w:szCs w:val="20"/>
              </w:rPr>
              <w:t>6</w:t>
            </w:r>
          </w:p>
        </w:tc>
        <w:tc>
          <w:tcPr>
            <w:tcW w:w="822" w:type="dxa"/>
          </w:tcPr>
          <w:p w14:paraId="0C89485E" w14:textId="6CB496FD" w:rsidR="00A82112" w:rsidRPr="005D3641" w:rsidRDefault="00A82112" w:rsidP="003C4C86">
            <w:pPr>
              <w:pStyle w:val="NoSpacing"/>
              <w:jc w:val="center"/>
              <w:rPr>
                <w:rFonts w:ascii="Arial" w:hAnsi="Arial" w:cs="Arial"/>
                <w:bCs/>
                <w:sz w:val="20"/>
                <w:szCs w:val="20"/>
              </w:rPr>
            </w:pPr>
            <w:r w:rsidRPr="005D3641">
              <w:rPr>
                <w:rFonts w:ascii="Arial" w:hAnsi="Arial" w:cs="Arial"/>
                <w:color w:val="000000"/>
                <w:sz w:val="20"/>
                <w:szCs w:val="20"/>
              </w:rPr>
              <w:t>173.8</w:t>
            </w:r>
            <w:r w:rsidR="005D3641" w:rsidRPr="005D3641">
              <w:rPr>
                <w:rFonts w:ascii="Arial" w:hAnsi="Arial" w:cs="Arial"/>
                <w:color w:val="000000"/>
                <w:sz w:val="20"/>
                <w:szCs w:val="20"/>
              </w:rPr>
              <w:t>6</w:t>
            </w:r>
          </w:p>
        </w:tc>
        <w:tc>
          <w:tcPr>
            <w:tcW w:w="906" w:type="dxa"/>
          </w:tcPr>
          <w:p w14:paraId="09A9F17A" w14:textId="7F030D8A" w:rsidR="00A82112" w:rsidRPr="005D3641" w:rsidRDefault="00A82112" w:rsidP="003C4C86">
            <w:pPr>
              <w:pStyle w:val="NoSpacing"/>
              <w:jc w:val="center"/>
              <w:rPr>
                <w:rFonts w:ascii="Arial" w:hAnsi="Arial" w:cs="Arial"/>
                <w:bCs/>
                <w:sz w:val="20"/>
                <w:szCs w:val="20"/>
              </w:rPr>
            </w:pPr>
            <w:r w:rsidRPr="005D3641">
              <w:rPr>
                <w:rFonts w:ascii="Arial" w:hAnsi="Arial" w:cs="Arial"/>
                <w:color w:val="000000"/>
                <w:sz w:val="20"/>
                <w:szCs w:val="20"/>
              </w:rPr>
              <w:t>193.1</w:t>
            </w:r>
            <w:r w:rsidR="005D3641" w:rsidRPr="005D3641">
              <w:rPr>
                <w:rFonts w:ascii="Arial" w:hAnsi="Arial" w:cs="Arial"/>
                <w:color w:val="000000"/>
                <w:sz w:val="20"/>
                <w:szCs w:val="20"/>
              </w:rPr>
              <w:t>2</w:t>
            </w:r>
          </w:p>
        </w:tc>
      </w:tr>
    </w:tbl>
    <w:p w14:paraId="6D798FB7" w14:textId="77777777" w:rsidR="00A82112" w:rsidRPr="005D3641" w:rsidRDefault="00A82112" w:rsidP="00A82112">
      <w:pPr>
        <w:tabs>
          <w:tab w:val="left" w:pos="975"/>
        </w:tabs>
        <w:contextualSpacing/>
        <w:jc w:val="both"/>
        <w:rPr>
          <w:rFonts w:ascii="Arial" w:hAnsi="Arial" w:cs="Arial"/>
          <w:b/>
        </w:rPr>
      </w:pPr>
    </w:p>
    <w:p w14:paraId="6B8B5351" w14:textId="77777777" w:rsidR="00A82112" w:rsidRPr="005D3641" w:rsidRDefault="00A82112" w:rsidP="00A82112">
      <w:pPr>
        <w:tabs>
          <w:tab w:val="left" w:pos="975"/>
        </w:tabs>
        <w:contextualSpacing/>
        <w:jc w:val="center"/>
        <w:rPr>
          <w:rFonts w:ascii="Arial" w:hAnsi="Arial" w:cs="Arial"/>
          <w:b/>
        </w:rPr>
      </w:pPr>
      <w:r w:rsidRPr="005D3641">
        <w:rPr>
          <w:rFonts w:ascii="Arial" w:hAnsi="Arial" w:cs="Arial"/>
          <w:b/>
          <w:noProof/>
          <w14:ligatures w14:val="standardContextual"/>
        </w:rPr>
        <w:drawing>
          <wp:inline distT="0" distB="0" distL="0" distR="0" wp14:anchorId="380DB1EC" wp14:editId="006F7957">
            <wp:extent cx="4923693" cy="2090057"/>
            <wp:effectExtent l="0" t="0" r="10795" b="5715"/>
            <wp:docPr id="154612224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0843BC" w14:textId="77777777" w:rsidR="00A82112" w:rsidRPr="005D3641" w:rsidRDefault="00A82112" w:rsidP="00A82112">
      <w:pPr>
        <w:tabs>
          <w:tab w:val="left" w:pos="975"/>
        </w:tabs>
        <w:contextualSpacing/>
        <w:jc w:val="center"/>
        <w:rPr>
          <w:rFonts w:ascii="Arial" w:hAnsi="Arial" w:cs="Arial"/>
          <w:bCs/>
        </w:rPr>
      </w:pPr>
      <w:r w:rsidRPr="005D3641">
        <w:rPr>
          <w:rFonts w:ascii="Arial" w:hAnsi="Arial" w:cs="Arial"/>
          <w:b/>
        </w:rPr>
        <w:t xml:space="preserve">Fig. 8: </w:t>
      </w:r>
      <w:r w:rsidRPr="005D3641">
        <w:rPr>
          <w:rFonts w:ascii="Arial" w:hAnsi="Arial" w:cs="Arial"/>
          <w:bCs/>
        </w:rPr>
        <w:t xml:space="preserve">Shear Strength of </w:t>
      </w:r>
      <w:r w:rsidRPr="005D3641">
        <w:rPr>
          <w:rFonts w:ascii="Arial" w:hAnsi="Arial" w:cs="Arial"/>
        </w:rPr>
        <w:t>Soil Samples at Different Treatment Dosage</w:t>
      </w:r>
    </w:p>
    <w:p w14:paraId="671B6022" w14:textId="77777777" w:rsidR="00A82112" w:rsidRPr="005D3641" w:rsidRDefault="00A82112" w:rsidP="00A82112">
      <w:pPr>
        <w:tabs>
          <w:tab w:val="left" w:pos="975"/>
        </w:tabs>
        <w:contextualSpacing/>
        <w:jc w:val="both"/>
        <w:rPr>
          <w:rFonts w:ascii="Arial" w:hAnsi="Arial" w:cs="Arial"/>
          <w:bCs/>
        </w:rPr>
      </w:pPr>
    </w:p>
    <w:p w14:paraId="2043D437" w14:textId="77777777" w:rsidR="00A82112" w:rsidRPr="005D3641" w:rsidRDefault="00A82112" w:rsidP="00A82112">
      <w:pPr>
        <w:tabs>
          <w:tab w:val="left" w:pos="975"/>
        </w:tabs>
        <w:contextualSpacing/>
        <w:jc w:val="both"/>
        <w:rPr>
          <w:rFonts w:ascii="Arial" w:hAnsi="Arial" w:cs="Arial"/>
          <w:b/>
        </w:rPr>
      </w:pPr>
      <w:r w:rsidRPr="005D3641">
        <w:rPr>
          <w:rFonts w:ascii="Arial" w:hAnsi="Arial" w:cs="Arial"/>
          <w:b/>
        </w:rPr>
        <w:t>Consolidation of Soils</w:t>
      </w:r>
    </w:p>
    <w:p w14:paraId="65310FFB" w14:textId="466379F1" w:rsidR="00A82112" w:rsidRPr="005D3641" w:rsidRDefault="00A82112" w:rsidP="00A82112">
      <w:pPr>
        <w:tabs>
          <w:tab w:val="left" w:pos="975"/>
        </w:tabs>
        <w:contextualSpacing/>
        <w:jc w:val="both"/>
        <w:rPr>
          <w:rFonts w:ascii="Arial" w:hAnsi="Arial" w:cs="Arial"/>
          <w:bCs/>
        </w:rPr>
      </w:pPr>
      <w:r w:rsidRPr="005D3641">
        <w:rPr>
          <w:rFonts w:ascii="Arial" w:hAnsi="Arial" w:cs="Arial"/>
          <w:bCs/>
        </w:rPr>
        <w:t xml:space="preserve">The total settlement as well as consolidation rate of the soil samples are depicted on Table 5 and Fig. 9. From the figure, it is seen that with increasing </w:t>
      </w:r>
      <w:proofErr w:type="spellStart"/>
      <w:r w:rsidR="006D7EC8">
        <w:rPr>
          <w:rFonts w:ascii="Arial" w:hAnsi="Arial" w:cs="Arial"/>
          <w:bCs/>
        </w:rPr>
        <w:t>Terrasil</w:t>
      </w:r>
      <w:proofErr w:type="spellEnd"/>
      <w:r w:rsidRPr="005D3641">
        <w:rPr>
          <w:rFonts w:ascii="Arial" w:hAnsi="Arial" w:cs="Arial"/>
          <w:bCs/>
        </w:rPr>
        <w:t xml:space="preserve"> dosage, the average rate of consolidation in sample A decreases dramatically, going from 0.0369 mm at 0% to 0.02405 mm at 9%. Likewise in sample B, the settlement decreases from 0.03117 mm at 0% to 0.02428 mm at 9%, showing a similar pattern. The very loose or compressible soil was indicated by the initially high minimum settlement at 0% (0.7047 mm), which was significantly improved with treatment. This pattern, indicates better soil stiffness and load bearing capacity of the soil. Additionally, the coefficient of consolidation gradually declines, suggesting slower consolidation, which is frequently associated with increased soil stability and decreased compressibility. The soils exhibit the lowest settlement values at 9% dosage, indicating the greatest improvement in their structural performance. As a result, </w:t>
      </w:r>
      <w:proofErr w:type="spellStart"/>
      <w:r w:rsidR="006D7EC8">
        <w:rPr>
          <w:rFonts w:ascii="Arial" w:hAnsi="Arial" w:cs="Arial"/>
          <w:bCs/>
        </w:rPr>
        <w:t>Terrasil</w:t>
      </w:r>
      <w:proofErr w:type="spellEnd"/>
      <w:r w:rsidRPr="005D3641">
        <w:rPr>
          <w:rFonts w:ascii="Arial" w:hAnsi="Arial" w:cs="Arial"/>
          <w:bCs/>
        </w:rPr>
        <w:t xml:space="preserve"> works well to improve problematic soils' compressibility and consolidation properties. Overall, the findings of this study shows that </w:t>
      </w:r>
      <w:proofErr w:type="spellStart"/>
      <w:r w:rsidR="006D7EC8">
        <w:rPr>
          <w:rFonts w:ascii="Arial" w:hAnsi="Arial" w:cs="Arial"/>
          <w:bCs/>
        </w:rPr>
        <w:t>Terrasil</w:t>
      </w:r>
      <w:proofErr w:type="spellEnd"/>
      <w:r w:rsidRPr="005D3641">
        <w:rPr>
          <w:rFonts w:ascii="Arial" w:hAnsi="Arial" w:cs="Arial"/>
          <w:bCs/>
        </w:rPr>
        <w:t xml:space="preserve"> greatly lowers overall settlement and improves consolidation </w:t>
      </w:r>
      <w:proofErr w:type="spellStart"/>
      <w:r w:rsidRPr="005D3641">
        <w:rPr>
          <w:rFonts w:ascii="Arial" w:hAnsi="Arial" w:cs="Arial"/>
          <w:bCs/>
        </w:rPr>
        <w:t>behaviour</w:t>
      </w:r>
      <w:proofErr w:type="spellEnd"/>
      <w:r w:rsidRPr="005D3641">
        <w:rPr>
          <w:rFonts w:ascii="Arial" w:hAnsi="Arial" w:cs="Arial"/>
          <w:bCs/>
        </w:rPr>
        <w:t xml:space="preserve"> for both soil types</w:t>
      </w:r>
    </w:p>
    <w:p w14:paraId="263EED65" w14:textId="3D2C5C6C" w:rsidR="00A82112" w:rsidRPr="005D3641" w:rsidRDefault="00A82112" w:rsidP="00A82112">
      <w:pPr>
        <w:tabs>
          <w:tab w:val="left" w:pos="975"/>
        </w:tabs>
        <w:contextualSpacing/>
        <w:jc w:val="both"/>
        <w:rPr>
          <w:rFonts w:ascii="Arial" w:hAnsi="Arial" w:cs="Arial"/>
          <w:bCs/>
        </w:rPr>
      </w:pPr>
      <w:r w:rsidRPr="005D3641">
        <w:rPr>
          <w:rFonts w:ascii="Arial" w:hAnsi="Arial" w:cs="Arial"/>
          <w:b/>
        </w:rPr>
        <w:t xml:space="preserve">Table 5: </w:t>
      </w:r>
      <w:r w:rsidRPr="005D3641">
        <w:rPr>
          <w:rFonts w:ascii="Arial" w:hAnsi="Arial" w:cs="Arial"/>
          <w:bCs/>
        </w:rPr>
        <w:t xml:space="preserve">Total Settlement and Co-efficient of Consolidation for Soil Samples </w:t>
      </w:r>
      <w:r w:rsidRPr="005D3641">
        <w:rPr>
          <w:rFonts w:ascii="Arial" w:hAnsi="Arial" w:cs="Arial"/>
        </w:rPr>
        <w:t xml:space="preserve">Treated with </w:t>
      </w:r>
      <w:proofErr w:type="spellStart"/>
      <w:r w:rsidR="006D7EC8">
        <w:rPr>
          <w:rFonts w:ascii="Arial" w:hAnsi="Arial" w:cs="Arial"/>
        </w:rPr>
        <w:t>Terrasil</w:t>
      </w:r>
      <w:proofErr w:type="spellEnd"/>
      <w:r w:rsidRPr="005D3641">
        <w:rPr>
          <w:rFonts w:ascii="Arial" w:hAnsi="Arial" w:cs="Arial"/>
        </w:rPr>
        <w:t xml:space="preserve"> </w:t>
      </w:r>
      <w:r w:rsidRPr="005D3641">
        <w:rPr>
          <w:rFonts w:ascii="Arial" w:hAnsi="Arial" w:cs="Arial"/>
          <w:bCs/>
        </w:rPr>
        <w:t>at Varying Dosages)</w:t>
      </w:r>
    </w:p>
    <w:tbl>
      <w:tblPr>
        <w:tblStyle w:val="PlainTable21"/>
        <w:tblW w:w="7667" w:type="dxa"/>
        <w:jc w:val="center"/>
        <w:tblLook w:val="0620" w:firstRow="1" w:lastRow="0" w:firstColumn="0" w:lastColumn="0" w:noHBand="1" w:noVBand="1"/>
      </w:tblPr>
      <w:tblGrid>
        <w:gridCol w:w="1369"/>
        <w:gridCol w:w="1929"/>
        <w:gridCol w:w="1264"/>
        <w:gridCol w:w="1551"/>
        <w:gridCol w:w="1554"/>
      </w:tblGrid>
      <w:tr w:rsidR="00A82112" w:rsidRPr="005D3641" w14:paraId="27DFA347" w14:textId="77777777" w:rsidTr="005D3641">
        <w:trPr>
          <w:cnfStyle w:val="100000000000" w:firstRow="1" w:lastRow="0" w:firstColumn="0" w:lastColumn="0" w:oddVBand="0" w:evenVBand="0" w:oddHBand="0" w:evenHBand="0" w:firstRowFirstColumn="0" w:firstRowLastColumn="0" w:lastRowFirstColumn="0" w:lastRowLastColumn="0"/>
          <w:trHeight w:val="539"/>
          <w:jc w:val="center"/>
        </w:trPr>
        <w:tc>
          <w:tcPr>
            <w:tcW w:w="1369" w:type="dxa"/>
            <w:vMerge w:val="restart"/>
          </w:tcPr>
          <w:p w14:paraId="57261408" w14:textId="77777777" w:rsidR="00A82112" w:rsidRPr="005D3641" w:rsidRDefault="00A82112" w:rsidP="003C4C86">
            <w:pPr>
              <w:rPr>
                <w:rFonts w:ascii="Arial" w:hAnsi="Arial" w:cs="Arial"/>
                <w:sz w:val="20"/>
                <w:szCs w:val="20"/>
              </w:rPr>
            </w:pPr>
            <w:r w:rsidRPr="005D3641">
              <w:rPr>
                <w:rFonts w:ascii="Arial" w:hAnsi="Arial" w:cs="Arial"/>
                <w:sz w:val="20"/>
                <w:szCs w:val="20"/>
              </w:rPr>
              <w:lastRenderedPageBreak/>
              <w:t>Treatment Dosage</w:t>
            </w:r>
          </w:p>
        </w:tc>
        <w:tc>
          <w:tcPr>
            <w:tcW w:w="1929" w:type="dxa"/>
            <w:vMerge w:val="restart"/>
          </w:tcPr>
          <w:p w14:paraId="6ADB56AA" w14:textId="77777777" w:rsidR="00A82112" w:rsidRPr="005D3641" w:rsidRDefault="00A82112" w:rsidP="003C4C86">
            <w:pPr>
              <w:rPr>
                <w:rFonts w:ascii="Arial" w:hAnsi="Arial" w:cs="Arial"/>
                <w:sz w:val="20"/>
                <w:szCs w:val="20"/>
              </w:rPr>
            </w:pPr>
            <w:r w:rsidRPr="005D3641">
              <w:rPr>
                <w:rFonts w:ascii="Arial" w:hAnsi="Arial" w:cs="Arial"/>
                <w:sz w:val="20"/>
                <w:szCs w:val="20"/>
              </w:rPr>
              <w:t>Total Settlement (mm)</w:t>
            </w:r>
          </w:p>
        </w:tc>
        <w:tc>
          <w:tcPr>
            <w:tcW w:w="4368" w:type="dxa"/>
            <w:gridSpan w:val="3"/>
          </w:tcPr>
          <w:p w14:paraId="7B9896D7" w14:textId="77777777" w:rsidR="00A82112" w:rsidRPr="005D3641" w:rsidRDefault="00A82112" w:rsidP="003C4C86">
            <w:pPr>
              <w:rPr>
                <w:rFonts w:ascii="Arial" w:hAnsi="Arial" w:cs="Arial"/>
                <w:sz w:val="20"/>
                <w:szCs w:val="20"/>
              </w:rPr>
            </w:pPr>
            <w:r w:rsidRPr="005D3641">
              <w:rPr>
                <w:rFonts w:ascii="Arial" w:hAnsi="Arial" w:cs="Arial"/>
                <w:sz w:val="20"/>
                <w:szCs w:val="20"/>
              </w:rPr>
              <w:t>Coefficient of Consolidation (m</w:t>
            </w:r>
            <w:r w:rsidRPr="005D3641">
              <w:rPr>
                <w:rFonts w:ascii="Arial" w:hAnsi="Arial" w:cs="Arial"/>
                <w:sz w:val="20"/>
                <w:szCs w:val="20"/>
                <w:vertAlign w:val="superscript"/>
              </w:rPr>
              <w:t>2</w:t>
            </w:r>
            <w:r w:rsidRPr="005D3641">
              <w:rPr>
                <w:rFonts w:ascii="Arial" w:hAnsi="Arial" w:cs="Arial"/>
                <w:sz w:val="20"/>
                <w:szCs w:val="20"/>
              </w:rPr>
              <w:t>/yr)</w:t>
            </w:r>
          </w:p>
        </w:tc>
      </w:tr>
      <w:tr w:rsidR="005D3641" w:rsidRPr="005D3641" w14:paraId="17ED0BAE" w14:textId="77777777" w:rsidTr="005D3641">
        <w:trPr>
          <w:trHeight w:val="251"/>
          <w:jc w:val="center"/>
        </w:trPr>
        <w:tc>
          <w:tcPr>
            <w:tcW w:w="1369" w:type="dxa"/>
            <w:vMerge/>
          </w:tcPr>
          <w:p w14:paraId="4987A74B" w14:textId="77777777" w:rsidR="00A82112" w:rsidRPr="005D3641" w:rsidRDefault="00A82112" w:rsidP="003C4C86">
            <w:pPr>
              <w:rPr>
                <w:rFonts w:ascii="Arial" w:hAnsi="Arial" w:cs="Arial"/>
                <w:sz w:val="20"/>
                <w:szCs w:val="20"/>
              </w:rPr>
            </w:pPr>
          </w:p>
        </w:tc>
        <w:tc>
          <w:tcPr>
            <w:tcW w:w="1929" w:type="dxa"/>
            <w:vMerge/>
          </w:tcPr>
          <w:p w14:paraId="7429D38A" w14:textId="77777777" w:rsidR="00A82112" w:rsidRPr="005D3641" w:rsidRDefault="00A82112" w:rsidP="003C4C86">
            <w:pPr>
              <w:rPr>
                <w:rFonts w:ascii="Arial" w:hAnsi="Arial" w:cs="Arial"/>
                <w:sz w:val="20"/>
                <w:szCs w:val="20"/>
              </w:rPr>
            </w:pPr>
          </w:p>
        </w:tc>
        <w:tc>
          <w:tcPr>
            <w:tcW w:w="1264" w:type="dxa"/>
          </w:tcPr>
          <w:p w14:paraId="03A55989" w14:textId="77777777" w:rsidR="00A82112" w:rsidRPr="005D3641" w:rsidRDefault="00A82112" w:rsidP="003C4C86">
            <w:pPr>
              <w:rPr>
                <w:rFonts w:ascii="Arial" w:hAnsi="Arial" w:cs="Arial"/>
                <w:sz w:val="20"/>
                <w:szCs w:val="20"/>
              </w:rPr>
            </w:pPr>
            <w:r w:rsidRPr="005D3641">
              <w:rPr>
                <w:rFonts w:ascii="Arial" w:hAnsi="Arial" w:cs="Arial"/>
                <w:sz w:val="20"/>
                <w:szCs w:val="20"/>
              </w:rPr>
              <w:t>Minimum</w:t>
            </w:r>
          </w:p>
        </w:tc>
        <w:tc>
          <w:tcPr>
            <w:tcW w:w="1551" w:type="dxa"/>
          </w:tcPr>
          <w:p w14:paraId="79688EBE" w14:textId="77777777" w:rsidR="00A82112" w:rsidRPr="005D3641" w:rsidRDefault="00A82112" w:rsidP="003C4C86">
            <w:pPr>
              <w:rPr>
                <w:rFonts w:ascii="Arial" w:hAnsi="Arial" w:cs="Arial"/>
                <w:sz w:val="20"/>
                <w:szCs w:val="20"/>
              </w:rPr>
            </w:pPr>
            <w:r w:rsidRPr="005D3641">
              <w:rPr>
                <w:rFonts w:ascii="Arial" w:hAnsi="Arial" w:cs="Arial"/>
                <w:sz w:val="20"/>
                <w:szCs w:val="20"/>
              </w:rPr>
              <w:t>Maximum</w:t>
            </w:r>
          </w:p>
        </w:tc>
        <w:tc>
          <w:tcPr>
            <w:tcW w:w="1551" w:type="dxa"/>
          </w:tcPr>
          <w:p w14:paraId="3B391525" w14:textId="77777777" w:rsidR="00A82112" w:rsidRPr="005D3641" w:rsidRDefault="00A82112" w:rsidP="003C4C86">
            <w:pPr>
              <w:rPr>
                <w:rFonts w:ascii="Arial" w:hAnsi="Arial" w:cs="Arial"/>
                <w:sz w:val="20"/>
                <w:szCs w:val="20"/>
              </w:rPr>
            </w:pPr>
            <w:r w:rsidRPr="005D3641">
              <w:rPr>
                <w:rFonts w:ascii="Arial" w:hAnsi="Arial" w:cs="Arial"/>
                <w:sz w:val="20"/>
                <w:szCs w:val="20"/>
              </w:rPr>
              <w:t>Average</w:t>
            </w:r>
          </w:p>
        </w:tc>
      </w:tr>
      <w:tr w:rsidR="00A82112" w:rsidRPr="005D3641" w14:paraId="38176B89" w14:textId="77777777" w:rsidTr="005D3641">
        <w:trPr>
          <w:trHeight w:val="163"/>
          <w:jc w:val="center"/>
        </w:trPr>
        <w:tc>
          <w:tcPr>
            <w:tcW w:w="7667" w:type="dxa"/>
            <w:gridSpan w:val="5"/>
          </w:tcPr>
          <w:p w14:paraId="7BE5C083" w14:textId="77777777" w:rsidR="00A82112" w:rsidRPr="005D3641" w:rsidRDefault="00A82112" w:rsidP="003C4C86">
            <w:pPr>
              <w:jc w:val="center"/>
              <w:rPr>
                <w:rFonts w:ascii="Arial" w:hAnsi="Arial" w:cs="Arial"/>
                <w:b/>
                <w:bCs/>
                <w:sz w:val="20"/>
                <w:szCs w:val="20"/>
              </w:rPr>
            </w:pPr>
            <w:r w:rsidRPr="005D3641">
              <w:rPr>
                <w:rFonts w:ascii="Arial" w:hAnsi="Arial" w:cs="Arial"/>
                <w:b/>
                <w:bCs/>
                <w:sz w:val="20"/>
                <w:szCs w:val="20"/>
              </w:rPr>
              <w:t>Sample A</w:t>
            </w:r>
          </w:p>
        </w:tc>
      </w:tr>
      <w:tr w:rsidR="005D3641" w:rsidRPr="005D3641" w14:paraId="00FD1BCD" w14:textId="77777777" w:rsidTr="005D3641">
        <w:trPr>
          <w:trHeight w:val="163"/>
          <w:jc w:val="center"/>
        </w:trPr>
        <w:tc>
          <w:tcPr>
            <w:tcW w:w="1369" w:type="dxa"/>
          </w:tcPr>
          <w:p w14:paraId="758529AD" w14:textId="77777777" w:rsidR="00A82112" w:rsidRPr="005D3641" w:rsidRDefault="00A82112" w:rsidP="003C4C86">
            <w:pPr>
              <w:rPr>
                <w:rFonts w:ascii="Arial" w:hAnsi="Arial" w:cs="Arial"/>
                <w:sz w:val="20"/>
                <w:szCs w:val="20"/>
              </w:rPr>
            </w:pPr>
            <w:r w:rsidRPr="005D3641">
              <w:rPr>
                <w:rFonts w:ascii="Arial" w:hAnsi="Arial" w:cs="Arial"/>
                <w:sz w:val="20"/>
                <w:szCs w:val="20"/>
              </w:rPr>
              <w:t>0 %</w:t>
            </w:r>
          </w:p>
        </w:tc>
        <w:tc>
          <w:tcPr>
            <w:tcW w:w="1929" w:type="dxa"/>
          </w:tcPr>
          <w:p w14:paraId="109CD9EC" w14:textId="77777777" w:rsidR="00A82112" w:rsidRPr="005D3641" w:rsidRDefault="00A82112" w:rsidP="003C4C86">
            <w:pPr>
              <w:rPr>
                <w:rFonts w:ascii="Arial" w:hAnsi="Arial" w:cs="Arial"/>
                <w:sz w:val="20"/>
                <w:szCs w:val="20"/>
              </w:rPr>
            </w:pPr>
            <w:r w:rsidRPr="005D3641">
              <w:rPr>
                <w:rFonts w:ascii="Arial" w:hAnsi="Arial" w:cs="Arial"/>
                <w:sz w:val="20"/>
                <w:szCs w:val="20"/>
              </w:rPr>
              <w:t>0.0775</w:t>
            </w:r>
          </w:p>
        </w:tc>
        <w:tc>
          <w:tcPr>
            <w:tcW w:w="1264" w:type="dxa"/>
          </w:tcPr>
          <w:p w14:paraId="6C60E0D0" w14:textId="77777777" w:rsidR="00A82112" w:rsidRPr="005D3641" w:rsidRDefault="00A82112" w:rsidP="003C4C86">
            <w:pPr>
              <w:rPr>
                <w:rFonts w:ascii="Arial" w:hAnsi="Arial" w:cs="Arial"/>
                <w:sz w:val="20"/>
                <w:szCs w:val="20"/>
              </w:rPr>
            </w:pPr>
            <w:r w:rsidRPr="005D3641">
              <w:rPr>
                <w:rFonts w:ascii="Arial" w:hAnsi="Arial" w:cs="Arial"/>
                <w:sz w:val="20"/>
                <w:szCs w:val="20"/>
              </w:rPr>
              <w:t>0.000781</w:t>
            </w:r>
          </w:p>
        </w:tc>
        <w:tc>
          <w:tcPr>
            <w:tcW w:w="1551" w:type="dxa"/>
          </w:tcPr>
          <w:p w14:paraId="5B9D8099" w14:textId="77777777" w:rsidR="00A82112" w:rsidRPr="005D3641" w:rsidRDefault="00A82112" w:rsidP="003C4C86">
            <w:pPr>
              <w:rPr>
                <w:rFonts w:ascii="Arial" w:hAnsi="Arial" w:cs="Arial"/>
                <w:sz w:val="20"/>
                <w:szCs w:val="20"/>
              </w:rPr>
            </w:pPr>
            <w:r w:rsidRPr="005D3641">
              <w:rPr>
                <w:rFonts w:ascii="Arial" w:hAnsi="Arial" w:cs="Arial"/>
                <w:sz w:val="20"/>
                <w:szCs w:val="20"/>
              </w:rPr>
              <w:t>0.116927</w:t>
            </w:r>
          </w:p>
        </w:tc>
        <w:tc>
          <w:tcPr>
            <w:tcW w:w="1551" w:type="dxa"/>
          </w:tcPr>
          <w:p w14:paraId="445B634B" w14:textId="77777777" w:rsidR="00A82112" w:rsidRPr="005D3641" w:rsidRDefault="00A82112" w:rsidP="003C4C86">
            <w:pPr>
              <w:rPr>
                <w:rFonts w:ascii="Arial" w:hAnsi="Arial" w:cs="Arial"/>
                <w:sz w:val="20"/>
                <w:szCs w:val="20"/>
              </w:rPr>
            </w:pPr>
            <w:r w:rsidRPr="005D3641">
              <w:rPr>
                <w:rFonts w:ascii="Arial" w:hAnsi="Arial" w:cs="Arial"/>
                <w:sz w:val="20"/>
                <w:szCs w:val="20"/>
              </w:rPr>
              <w:t>0.03691</w:t>
            </w:r>
          </w:p>
        </w:tc>
      </w:tr>
      <w:tr w:rsidR="005D3641" w:rsidRPr="005D3641" w14:paraId="6F80BBD2" w14:textId="77777777" w:rsidTr="005D3641">
        <w:trPr>
          <w:trHeight w:val="163"/>
          <w:jc w:val="center"/>
        </w:trPr>
        <w:tc>
          <w:tcPr>
            <w:tcW w:w="1369" w:type="dxa"/>
          </w:tcPr>
          <w:p w14:paraId="09203C00" w14:textId="77777777" w:rsidR="00A82112" w:rsidRPr="005D3641" w:rsidRDefault="00A82112" w:rsidP="003C4C86">
            <w:pPr>
              <w:rPr>
                <w:rFonts w:ascii="Arial" w:hAnsi="Arial" w:cs="Arial"/>
                <w:sz w:val="20"/>
                <w:szCs w:val="20"/>
              </w:rPr>
            </w:pPr>
            <w:r w:rsidRPr="005D3641">
              <w:rPr>
                <w:rFonts w:ascii="Arial" w:hAnsi="Arial" w:cs="Arial"/>
                <w:sz w:val="20"/>
                <w:szCs w:val="20"/>
              </w:rPr>
              <w:t>3 %</w:t>
            </w:r>
          </w:p>
        </w:tc>
        <w:tc>
          <w:tcPr>
            <w:tcW w:w="1929" w:type="dxa"/>
          </w:tcPr>
          <w:p w14:paraId="34AA8C24" w14:textId="77777777" w:rsidR="00A82112" w:rsidRPr="005D3641" w:rsidRDefault="00A82112" w:rsidP="003C4C86">
            <w:pPr>
              <w:rPr>
                <w:rFonts w:ascii="Arial" w:hAnsi="Arial" w:cs="Arial"/>
                <w:sz w:val="20"/>
                <w:szCs w:val="20"/>
              </w:rPr>
            </w:pPr>
            <w:r w:rsidRPr="005D3641">
              <w:rPr>
                <w:rFonts w:ascii="Arial" w:hAnsi="Arial" w:cs="Arial"/>
                <w:sz w:val="20"/>
                <w:szCs w:val="20"/>
              </w:rPr>
              <w:t>0.0264</w:t>
            </w:r>
          </w:p>
        </w:tc>
        <w:tc>
          <w:tcPr>
            <w:tcW w:w="1264" w:type="dxa"/>
          </w:tcPr>
          <w:p w14:paraId="0DCF12A4" w14:textId="77777777" w:rsidR="00A82112" w:rsidRPr="005D3641" w:rsidRDefault="00A82112" w:rsidP="003C4C86">
            <w:pPr>
              <w:rPr>
                <w:rFonts w:ascii="Arial" w:hAnsi="Arial" w:cs="Arial"/>
                <w:sz w:val="20"/>
                <w:szCs w:val="20"/>
              </w:rPr>
            </w:pPr>
            <w:r w:rsidRPr="005D3641">
              <w:rPr>
                <w:rFonts w:ascii="Arial" w:hAnsi="Arial" w:cs="Arial"/>
                <w:sz w:val="20"/>
                <w:szCs w:val="20"/>
              </w:rPr>
              <w:t>0.000731</w:t>
            </w:r>
          </w:p>
        </w:tc>
        <w:tc>
          <w:tcPr>
            <w:tcW w:w="1551" w:type="dxa"/>
          </w:tcPr>
          <w:p w14:paraId="5C0AD955" w14:textId="77777777" w:rsidR="00A82112" w:rsidRPr="005D3641" w:rsidRDefault="00A82112" w:rsidP="003C4C86">
            <w:pPr>
              <w:rPr>
                <w:rFonts w:ascii="Arial" w:hAnsi="Arial" w:cs="Arial"/>
                <w:sz w:val="20"/>
                <w:szCs w:val="20"/>
              </w:rPr>
            </w:pPr>
            <w:r w:rsidRPr="005D3641">
              <w:rPr>
                <w:rFonts w:ascii="Arial" w:hAnsi="Arial" w:cs="Arial"/>
                <w:sz w:val="20"/>
                <w:szCs w:val="20"/>
              </w:rPr>
              <w:t>0.078895</w:t>
            </w:r>
          </w:p>
        </w:tc>
        <w:tc>
          <w:tcPr>
            <w:tcW w:w="1551" w:type="dxa"/>
          </w:tcPr>
          <w:p w14:paraId="27407978" w14:textId="77777777" w:rsidR="00A82112" w:rsidRPr="005D3641" w:rsidRDefault="00A82112" w:rsidP="003C4C86">
            <w:pPr>
              <w:rPr>
                <w:rFonts w:ascii="Arial" w:hAnsi="Arial" w:cs="Arial"/>
                <w:sz w:val="20"/>
                <w:szCs w:val="20"/>
              </w:rPr>
            </w:pPr>
            <w:r w:rsidRPr="005D3641">
              <w:rPr>
                <w:rFonts w:ascii="Arial" w:hAnsi="Arial" w:cs="Arial"/>
                <w:sz w:val="20"/>
                <w:szCs w:val="20"/>
              </w:rPr>
              <w:t>0.02696</w:t>
            </w:r>
          </w:p>
        </w:tc>
      </w:tr>
      <w:tr w:rsidR="005D3641" w:rsidRPr="005D3641" w14:paraId="195E7657" w14:textId="77777777" w:rsidTr="005D3641">
        <w:trPr>
          <w:trHeight w:val="289"/>
          <w:jc w:val="center"/>
        </w:trPr>
        <w:tc>
          <w:tcPr>
            <w:tcW w:w="1369" w:type="dxa"/>
          </w:tcPr>
          <w:p w14:paraId="38B24F37" w14:textId="77777777" w:rsidR="00A82112" w:rsidRPr="005D3641" w:rsidRDefault="00A82112" w:rsidP="003C4C86">
            <w:pPr>
              <w:rPr>
                <w:rFonts w:ascii="Arial" w:hAnsi="Arial" w:cs="Arial"/>
                <w:sz w:val="20"/>
                <w:szCs w:val="20"/>
              </w:rPr>
            </w:pPr>
            <w:r w:rsidRPr="005D3641">
              <w:rPr>
                <w:rFonts w:ascii="Arial" w:hAnsi="Arial" w:cs="Arial"/>
                <w:sz w:val="20"/>
                <w:szCs w:val="20"/>
              </w:rPr>
              <w:t>6 %</w:t>
            </w:r>
          </w:p>
        </w:tc>
        <w:tc>
          <w:tcPr>
            <w:tcW w:w="1929" w:type="dxa"/>
          </w:tcPr>
          <w:p w14:paraId="2B95C86C" w14:textId="77777777" w:rsidR="00A82112" w:rsidRPr="005D3641" w:rsidRDefault="00A82112" w:rsidP="003C4C86">
            <w:pPr>
              <w:rPr>
                <w:rFonts w:ascii="Arial" w:hAnsi="Arial" w:cs="Arial"/>
                <w:sz w:val="20"/>
                <w:szCs w:val="20"/>
              </w:rPr>
            </w:pPr>
            <w:r w:rsidRPr="005D3641">
              <w:rPr>
                <w:rFonts w:ascii="Arial" w:hAnsi="Arial" w:cs="Arial"/>
                <w:sz w:val="20"/>
                <w:szCs w:val="20"/>
              </w:rPr>
              <w:t>0.0264</w:t>
            </w:r>
          </w:p>
        </w:tc>
        <w:tc>
          <w:tcPr>
            <w:tcW w:w="1264" w:type="dxa"/>
          </w:tcPr>
          <w:p w14:paraId="2C36B01A" w14:textId="77777777" w:rsidR="00A82112" w:rsidRPr="005D3641" w:rsidRDefault="00A82112" w:rsidP="003C4C86">
            <w:pPr>
              <w:rPr>
                <w:rFonts w:ascii="Arial" w:hAnsi="Arial" w:cs="Arial"/>
                <w:sz w:val="20"/>
                <w:szCs w:val="20"/>
              </w:rPr>
            </w:pPr>
            <w:r w:rsidRPr="005D3641">
              <w:rPr>
                <w:rFonts w:ascii="Arial" w:hAnsi="Arial" w:cs="Arial"/>
                <w:sz w:val="20"/>
                <w:szCs w:val="20"/>
              </w:rPr>
              <w:t>0.000722</w:t>
            </w:r>
          </w:p>
        </w:tc>
        <w:tc>
          <w:tcPr>
            <w:tcW w:w="1551" w:type="dxa"/>
          </w:tcPr>
          <w:p w14:paraId="490E9941" w14:textId="77777777" w:rsidR="00A82112" w:rsidRPr="005D3641" w:rsidRDefault="00A82112" w:rsidP="003C4C86">
            <w:pPr>
              <w:rPr>
                <w:rFonts w:ascii="Arial" w:hAnsi="Arial" w:cs="Arial"/>
                <w:sz w:val="20"/>
                <w:szCs w:val="20"/>
              </w:rPr>
            </w:pPr>
            <w:r w:rsidRPr="005D3641">
              <w:rPr>
                <w:rFonts w:ascii="Arial" w:hAnsi="Arial" w:cs="Arial"/>
                <w:sz w:val="20"/>
                <w:szCs w:val="20"/>
              </w:rPr>
              <w:t>0.080272</w:t>
            </w:r>
          </w:p>
        </w:tc>
        <w:tc>
          <w:tcPr>
            <w:tcW w:w="1551" w:type="dxa"/>
          </w:tcPr>
          <w:p w14:paraId="501A3B36" w14:textId="77777777" w:rsidR="00A82112" w:rsidRPr="005D3641" w:rsidRDefault="00A82112" w:rsidP="003C4C86">
            <w:pPr>
              <w:rPr>
                <w:rFonts w:ascii="Arial" w:hAnsi="Arial" w:cs="Arial"/>
                <w:sz w:val="20"/>
                <w:szCs w:val="20"/>
              </w:rPr>
            </w:pPr>
            <w:r w:rsidRPr="005D3641">
              <w:rPr>
                <w:rFonts w:ascii="Arial" w:hAnsi="Arial" w:cs="Arial"/>
                <w:sz w:val="20"/>
                <w:szCs w:val="20"/>
              </w:rPr>
              <w:t>0.02935</w:t>
            </w:r>
          </w:p>
        </w:tc>
      </w:tr>
      <w:tr w:rsidR="005D3641" w:rsidRPr="005D3641" w14:paraId="10DDB0C7" w14:textId="77777777" w:rsidTr="005D3641">
        <w:trPr>
          <w:trHeight w:val="163"/>
          <w:jc w:val="center"/>
        </w:trPr>
        <w:tc>
          <w:tcPr>
            <w:tcW w:w="1369" w:type="dxa"/>
          </w:tcPr>
          <w:p w14:paraId="57EE9469" w14:textId="77777777" w:rsidR="00A82112" w:rsidRPr="005D3641" w:rsidRDefault="00A82112" w:rsidP="003C4C86">
            <w:pPr>
              <w:rPr>
                <w:rFonts w:ascii="Arial" w:hAnsi="Arial" w:cs="Arial"/>
                <w:sz w:val="20"/>
                <w:szCs w:val="20"/>
              </w:rPr>
            </w:pPr>
            <w:r w:rsidRPr="005D3641">
              <w:rPr>
                <w:rFonts w:ascii="Arial" w:hAnsi="Arial" w:cs="Arial"/>
                <w:sz w:val="20"/>
                <w:szCs w:val="20"/>
              </w:rPr>
              <w:t>9 %</w:t>
            </w:r>
          </w:p>
        </w:tc>
        <w:tc>
          <w:tcPr>
            <w:tcW w:w="1929" w:type="dxa"/>
          </w:tcPr>
          <w:p w14:paraId="76C071CF" w14:textId="77777777" w:rsidR="00A82112" w:rsidRPr="005D3641" w:rsidRDefault="00A82112" w:rsidP="003C4C86">
            <w:pPr>
              <w:rPr>
                <w:rFonts w:ascii="Arial" w:hAnsi="Arial" w:cs="Arial"/>
                <w:sz w:val="20"/>
                <w:szCs w:val="20"/>
              </w:rPr>
            </w:pPr>
            <w:r w:rsidRPr="005D3641">
              <w:rPr>
                <w:rFonts w:ascii="Arial" w:hAnsi="Arial" w:cs="Arial"/>
                <w:sz w:val="20"/>
                <w:szCs w:val="20"/>
              </w:rPr>
              <w:t>0.0120</w:t>
            </w:r>
          </w:p>
        </w:tc>
        <w:tc>
          <w:tcPr>
            <w:tcW w:w="1264" w:type="dxa"/>
          </w:tcPr>
          <w:p w14:paraId="4FDB0118" w14:textId="77777777" w:rsidR="00A82112" w:rsidRPr="005D3641" w:rsidRDefault="00A82112" w:rsidP="003C4C86">
            <w:pPr>
              <w:rPr>
                <w:rFonts w:ascii="Arial" w:hAnsi="Arial" w:cs="Arial"/>
                <w:sz w:val="20"/>
                <w:szCs w:val="20"/>
              </w:rPr>
            </w:pPr>
            <w:r w:rsidRPr="005D3641">
              <w:rPr>
                <w:rFonts w:ascii="Arial" w:hAnsi="Arial" w:cs="Arial"/>
                <w:sz w:val="20"/>
                <w:szCs w:val="20"/>
              </w:rPr>
              <w:t>0.000684</w:t>
            </w:r>
          </w:p>
        </w:tc>
        <w:tc>
          <w:tcPr>
            <w:tcW w:w="1551" w:type="dxa"/>
          </w:tcPr>
          <w:p w14:paraId="1FC5C8F7" w14:textId="77777777" w:rsidR="00A82112" w:rsidRPr="005D3641" w:rsidRDefault="00A82112" w:rsidP="003C4C86">
            <w:pPr>
              <w:rPr>
                <w:rFonts w:ascii="Arial" w:hAnsi="Arial" w:cs="Arial"/>
                <w:sz w:val="20"/>
                <w:szCs w:val="20"/>
              </w:rPr>
            </w:pPr>
            <w:r w:rsidRPr="005D3641">
              <w:rPr>
                <w:rFonts w:ascii="Arial" w:hAnsi="Arial" w:cs="Arial"/>
                <w:sz w:val="20"/>
                <w:szCs w:val="20"/>
              </w:rPr>
              <w:t>0.079463</w:t>
            </w:r>
          </w:p>
        </w:tc>
        <w:tc>
          <w:tcPr>
            <w:tcW w:w="1551" w:type="dxa"/>
          </w:tcPr>
          <w:p w14:paraId="01BB7E02" w14:textId="77777777" w:rsidR="00A82112" w:rsidRPr="005D3641" w:rsidRDefault="00A82112" w:rsidP="003C4C86">
            <w:pPr>
              <w:rPr>
                <w:rFonts w:ascii="Arial" w:hAnsi="Arial" w:cs="Arial"/>
                <w:sz w:val="20"/>
                <w:szCs w:val="20"/>
              </w:rPr>
            </w:pPr>
            <w:r w:rsidRPr="005D3641">
              <w:rPr>
                <w:rFonts w:ascii="Arial" w:hAnsi="Arial" w:cs="Arial"/>
                <w:sz w:val="20"/>
                <w:szCs w:val="20"/>
              </w:rPr>
              <w:t>0.02405</w:t>
            </w:r>
          </w:p>
        </w:tc>
      </w:tr>
      <w:tr w:rsidR="00A82112" w:rsidRPr="005D3641" w14:paraId="016B59FB" w14:textId="77777777" w:rsidTr="005D3641">
        <w:trPr>
          <w:trHeight w:val="163"/>
          <w:jc w:val="center"/>
        </w:trPr>
        <w:tc>
          <w:tcPr>
            <w:tcW w:w="7667" w:type="dxa"/>
            <w:gridSpan w:val="5"/>
          </w:tcPr>
          <w:p w14:paraId="23D36F8E" w14:textId="77777777" w:rsidR="00A82112" w:rsidRPr="005D3641" w:rsidRDefault="00A82112" w:rsidP="003C4C86">
            <w:pPr>
              <w:jc w:val="center"/>
              <w:rPr>
                <w:rFonts w:ascii="Arial" w:hAnsi="Arial" w:cs="Arial"/>
                <w:b/>
                <w:bCs/>
                <w:sz w:val="20"/>
                <w:szCs w:val="20"/>
              </w:rPr>
            </w:pPr>
            <w:r w:rsidRPr="005D3641">
              <w:rPr>
                <w:rFonts w:ascii="Arial" w:hAnsi="Arial" w:cs="Arial"/>
                <w:b/>
                <w:bCs/>
                <w:sz w:val="20"/>
                <w:szCs w:val="20"/>
              </w:rPr>
              <w:t>Sample B</w:t>
            </w:r>
          </w:p>
        </w:tc>
      </w:tr>
      <w:tr w:rsidR="005D3641" w:rsidRPr="005D3641" w14:paraId="30534C70" w14:textId="77777777" w:rsidTr="005D3641">
        <w:trPr>
          <w:trHeight w:val="163"/>
          <w:jc w:val="center"/>
        </w:trPr>
        <w:tc>
          <w:tcPr>
            <w:tcW w:w="1369" w:type="dxa"/>
          </w:tcPr>
          <w:p w14:paraId="0E6798ED" w14:textId="77777777" w:rsidR="00A82112" w:rsidRPr="005D3641" w:rsidRDefault="00A82112" w:rsidP="003C4C86">
            <w:pPr>
              <w:rPr>
                <w:rFonts w:ascii="Arial" w:hAnsi="Arial" w:cs="Arial"/>
                <w:sz w:val="20"/>
                <w:szCs w:val="20"/>
              </w:rPr>
            </w:pPr>
            <w:r w:rsidRPr="005D3641">
              <w:rPr>
                <w:rFonts w:ascii="Arial" w:hAnsi="Arial" w:cs="Arial"/>
                <w:sz w:val="20"/>
                <w:szCs w:val="20"/>
              </w:rPr>
              <w:t>0 %</w:t>
            </w:r>
          </w:p>
        </w:tc>
        <w:tc>
          <w:tcPr>
            <w:tcW w:w="1929" w:type="dxa"/>
          </w:tcPr>
          <w:p w14:paraId="37626C0E" w14:textId="77777777" w:rsidR="00A82112" w:rsidRPr="005D3641" w:rsidRDefault="00A82112" w:rsidP="003C4C86">
            <w:pPr>
              <w:rPr>
                <w:rFonts w:ascii="Arial" w:hAnsi="Arial" w:cs="Arial"/>
                <w:sz w:val="20"/>
                <w:szCs w:val="20"/>
              </w:rPr>
            </w:pPr>
            <w:r w:rsidRPr="005D3641">
              <w:rPr>
                <w:rFonts w:ascii="Arial" w:hAnsi="Arial" w:cs="Arial"/>
                <w:sz w:val="20"/>
                <w:szCs w:val="20"/>
              </w:rPr>
              <w:t>0.7047</w:t>
            </w:r>
          </w:p>
        </w:tc>
        <w:tc>
          <w:tcPr>
            <w:tcW w:w="1264" w:type="dxa"/>
          </w:tcPr>
          <w:p w14:paraId="55D81DA7" w14:textId="77777777" w:rsidR="00A82112" w:rsidRPr="005D3641" w:rsidRDefault="00A82112" w:rsidP="003C4C86">
            <w:pPr>
              <w:rPr>
                <w:rFonts w:ascii="Arial" w:hAnsi="Arial" w:cs="Arial"/>
                <w:sz w:val="20"/>
                <w:szCs w:val="20"/>
              </w:rPr>
            </w:pPr>
            <w:r w:rsidRPr="005D3641">
              <w:rPr>
                <w:rFonts w:ascii="Arial" w:hAnsi="Arial" w:cs="Arial"/>
                <w:sz w:val="20"/>
                <w:szCs w:val="20"/>
              </w:rPr>
              <w:t>0.000719</w:t>
            </w:r>
          </w:p>
        </w:tc>
        <w:tc>
          <w:tcPr>
            <w:tcW w:w="1551" w:type="dxa"/>
          </w:tcPr>
          <w:p w14:paraId="5EF6799D" w14:textId="77777777" w:rsidR="00A82112" w:rsidRPr="005D3641" w:rsidRDefault="00A82112" w:rsidP="003C4C86">
            <w:pPr>
              <w:rPr>
                <w:rFonts w:ascii="Arial" w:hAnsi="Arial" w:cs="Arial"/>
                <w:sz w:val="20"/>
                <w:szCs w:val="20"/>
              </w:rPr>
            </w:pPr>
            <w:r w:rsidRPr="005D3641">
              <w:rPr>
                <w:rFonts w:ascii="Arial" w:hAnsi="Arial" w:cs="Arial"/>
                <w:sz w:val="20"/>
                <w:szCs w:val="20"/>
              </w:rPr>
              <w:t>0.088761</w:t>
            </w:r>
          </w:p>
        </w:tc>
        <w:tc>
          <w:tcPr>
            <w:tcW w:w="1551" w:type="dxa"/>
          </w:tcPr>
          <w:p w14:paraId="30A47618" w14:textId="77777777" w:rsidR="00A82112" w:rsidRPr="005D3641" w:rsidRDefault="00A82112" w:rsidP="003C4C86">
            <w:pPr>
              <w:rPr>
                <w:rFonts w:ascii="Arial" w:hAnsi="Arial" w:cs="Arial"/>
                <w:sz w:val="20"/>
                <w:szCs w:val="20"/>
              </w:rPr>
            </w:pPr>
            <w:r w:rsidRPr="005D3641">
              <w:rPr>
                <w:rFonts w:ascii="Arial" w:hAnsi="Arial" w:cs="Arial"/>
                <w:sz w:val="20"/>
                <w:szCs w:val="20"/>
              </w:rPr>
              <w:t>0.03117</w:t>
            </w:r>
          </w:p>
        </w:tc>
      </w:tr>
      <w:tr w:rsidR="005D3641" w:rsidRPr="005D3641" w14:paraId="6086379B" w14:textId="77777777" w:rsidTr="005D3641">
        <w:trPr>
          <w:trHeight w:val="237"/>
          <w:jc w:val="center"/>
        </w:trPr>
        <w:tc>
          <w:tcPr>
            <w:tcW w:w="1369" w:type="dxa"/>
          </w:tcPr>
          <w:p w14:paraId="06A836BD" w14:textId="77777777" w:rsidR="00A82112" w:rsidRPr="005D3641" w:rsidRDefault="00A82112" w:rsidP="003C4C86">
            <w:pPr>
              <w:rPr>
                <w:rFonts w:ascii="Arial" w:hAnsi="Arial" w:cs="Arial"/>
                <w:sz w:val="20"/>
                <w:szCs w:val="20"/>
              </w:rPr>
            </w:pPr>
            <w:r w:rsidRPr="005D3641">
              <w:rPr>
                <w:rFonts w:ascii="Arial" w:hAnsi="Arial" w:cs="Arial"/>
                <w:sz w:val="20"/>
                <w:szCs w:val="20"/>
              </w:rPr>
              <w:t>3 %</w:t>
            </w:r>
          </w:p>
        </w:tc>
        <w:tc>
          <w:tcPr>
            <w:tcW w:w="1929" w:type="dxa"/>
          </w:tcPr>
          <w:p w14:paraId="7E48A029" w14:textId="77777777" w:rsidR="00A82112" w:rsidRPr="005D3641" w:rsidRDefault="00A82112" w:rsidP="003C4C86">
            <w:pPr>
              <w:rPr>
                <w:rFonts w:ascii="Arial" w:hAnsi="Arial" w:cs="Arial"/>
                <w:sz w:val="20"/>
                <w:szCs w:val="20"/>
              </w:rPr>
            </w:pPr>
            <w:r w:rsidRPr="005D3641">
              <w:rPr>
                <w:rFonts w:ascii="Arial" w:hAnsi="Arial" w:cs="Arial"/>
                <w:sz w:val="20"/>
                <w:szCs w:val="20"/>
              </w:rPr>
              <w:t>0.0630</w:t>
            </w:r>
          </w:p>
        </w:tc>
        <w:tc>
          <w:tcPr>
            <w:tcW w:w="1264" w:type="dxa"/>
          </w:tcPr>
          <w:p w14:paraId="43354B3E" w14:textId="77777777" w:rsidR="00A82112" w:rsidRPr="005D3641" w:rsidRDefault="00A82112" w:rsidP="003C4C86">
            <w:pPr>
              <w:rPr>
                <w:rFonts w:ascii="Arial" w:hAnsi="Arial" w:cs="Arial"/>
                <w:sz w:val="20"/>
                <w:szCs w:val="20"/>
              </w:rPr>
            </w:pPr>
            <w:r w:rsidRPr="005D3641">
              <w:rPr>
                <w:rFonts w:ascii="Arial" w:hAnsi="Arial" w:cs="Arial"/>
                <w:sz w:val="20"/>
                <w:szCs w:val="20"/>
              </w:rPr>
              <w:t>0.000663</w:t>
            </w:r>
          </w:p>
        </w:tc>
        <w:tc>
          <w:tcPr>
            <w:tcW w:w="1551" w:type="dxa"/>
          </w:tcPr>
          <w:p w14:paraId="6E945739" w14:textId="77777777" w:rsidR="00A82112" w:rsidRPr="005D3641" w:rsidRDefault="00A82112" w:rsidP="003C4C86">
            <w:pPr>
              <w:rPr>
                <w:rFonts w:ascii="Arial" w:hAnsi="Arial" w:cs="Arial"/>
                <w:sz w:val="20"/>
                <w:szCs w:val="20"/>
              </w:rPr>
            </w:pPr>
            <w:r w:rsidRPr="005D3641">
              <w:rPr>
                <w:rFonts w:ascii="Arial" w:hAnsi="Arial" w:cs="Arial"/>
                <w:sz w:val="20"/>
                <w:szCs w:val="20"/>
              </w:rPr>
              <w:t>0.077458</w:t>
            </w:r>
          </w:p>
        </w:tc>
        <w:tc>
          <w:tcPr>
            <w:tcW w:w="1551" w:type="dxa"/>
          </w:tcPr>
          <w:p w14:paraId="4BE30D68" w14:textId="77777777" w:rsidR="00A82112" w:rsidRPr="005D3641" w:rsidRDefault="00A82112" w:rsidP="003C4C86">
            <w:pPr>
              <w:rPr>
                <w:rFonts w:ascii="Arial" w:hAnsi="Arial" w:cs="Arial"/>
                <w:sz w:val="20"/>
                <w:szCs w:val="20"/>
              </w:rPr>
            </w:pPr>
            <w:r w:rsidRPr="005D3641">
              <w:rPr>
                <w:rFonts w:ascii="Arial" w:hAnsi="Arial" w:cs="Arial"/>
                <w:sz w:val="20"/>
                <w:szCs w:val="20"/>
              </w:rPr>
              <w:t>0.02753</w:t>
            </w:r>
          </w:p>
        </w:tc>
      </w:tr>
      <w:tr w:rsidR="005D3641" w:rsidRPr="005D3641" w14:paraId="10BF4EAB" w14:textId="77777777" w:rsidTr="005D3641">
        <w:trPr>
          <w:trHeight w:val="163"/>
          <w:jc w:val="center"/>
        </w:trPr>
        <w:tc>
          <w:tcPr>
            <w:tcW w:w="1369" w:type="dxa"/>
          </w:tcPr>
          <w:p w14:paraId="18101392" w14:textId="77777777" w:rsidR="00A82112" w:rsidRPr="005D3641" w:rsidRDefault="00A82112" w:rsidP="003C4C86">
            <w:pPr>
              <w:rPr>
                <w:rFonts w:ascii="Arial" w:hAnsi="Arial" w:cs="Arial"/>
                <w:sz w:val="20"/>
                <w:szCs w:val="20"/>
              </w:rPr>
            </w:pPr>
            <w:r w:rsidRPr="005D3641">
              <w:rPr>
                <w:rFonts w:ascii="Arial" w:hAnsi="Arial" w:cs="Arial"/>
                <w:sz w:val="20"/>
                <w:szCs w:val="20"/>
              </w:rPr>
              <w:t>6 %</w:t>
            </w:r>
          </w:p>
        </w:tc>
        <w:tc>
          <w:tcPr>
            <w:tcW w:w="1929" w:type="dxa"/>
          </w:tcPr>
          <w:p w14:paraId="3BCB8ED9" w14:textId="77777777" w:rsidR="00A82112" w:rsidRPr="005D3641" w:rsidRDefault="00A82112" w:rsidP="003C4C86">
            <w:pPr>
              <w:rPr>
                <w:rFonts w:ascii="Arial" w:hAnsi="Arial" w:cs="Arial"/>
                <w:sz w:val="20"/>
                <w:szCs w:val="20"/>
              </w:rPr>
            </w:pPr>
            <w:r w:rsidRPr="005D3641">
              <w:rPr>
                <w:rFonts w:ascii="Arial" w:hAnsi="Arial" w:cs="Arial"/>
                <w:sz w:val="20"/>
                <w:szCs w:val="20"/>
              </w:rPr>
              <w:t>0.0280</w:t>
            </w:r>
          </w:p>
        </w:tc>
        <w:tc>
          <w:tcPr>
            <w:tcW w:w="1264" w:type="dxa"/>
          </w:tcPr>
          <w:p w14:paraId="0B33E743" w14:textId="77777777" w:rsidR="00A82112" w:rsidRPr="005D3641" w:rsidRDefault="00A82112" w:rsidP="003C4C86">
            <w:pPr>
              <w:rPr>
                <w:rFonts w:ascii="Arial" w:hAnsi="Arial" w:cs="Arial"/>
                <w:sz w:val="20"/>
                <w:szCs w:val="20"/>
              </w:rPr>
            </w:pPr>
            <w:r w:rsidRPr="005D3641">
              <w:rPr>
                <w:rFonts w:ascii="Arial" w:hAnsi="Arial" w:cs="Arial"/>
                <w:sz w:val="20"/>
                <w:szCs w:val="20"/>
              </w:rPr>
              <w:t>0.000519</w:t>
            </w:r>
          </w:p>
        </w:tc>
        <w:tc>
          <w:tcPr>
            <w:tcW w:w="1551" w:type="dxa"/>
          </w:tcPr>
          <w:p w14:paraId="613BB34E" w14:textId="77777777" w:rsidR="00A82112" w:rsidRPr="005D3641" w:rsidRDefault="00A82112" w:rsidP="003C4C86">
            <w:pPr>
              <w:rPr>
                <w:rFonts w:ascii="Arial" w:hAnsi="Arial" w:cs="Arial"/>
                <w:sz w:val="20"/>
                <w:szCs w:val="20"/>
              </w:rPr>
            </w:pPr>
            <w:r w:rsidRPr="005D3641">
              <w:rPr>
                <w:rFonts w:ascii="Arial" w:hAnsi="Arial" w:cs="Arial"/>
                <w:sz w:val="20"/>
                <w:szCs w:val="20"/>
              </w:rPr>
              <w:t>0.079035</w:t>
            </w:r>
          </w:p>
        </w:tc>
        <w:tc>
          <w:tcPr>
            <w:tcW w:w="1551" w:type="dxa"/>
          </w:tcPr>
          <w:p w14:paraId="4A5A997E" w14:textId="77777777" w:rsidR="00A82112" w:rsidRPr="005D3641" w:rsidRDefault="00A82112" w:rsidP="003C4C86">
            <w:pPr>
              <w:rPr>
                <w:rFonts w:ascii="Arial" w:hAnsi="Arial" w:cs="Arial"/>
                <w:sz w:val="20"/>
                <w:szCs w:val="20"/>
              </w:rPr>
            </w:pPr>
            <w:r w:rsidRPr="005D3641">
              <w:rPr>
                <w:rFonts w:ascii="Arial" w:hAnsi="Arial" w:cs="Arial"/>
                <w:sz w:val="20"/>
                <w:szCs w:val="20"/>
              </w:rPr>
              <w:t>0.02790</w:t>
            </w:r>
          </w:p>
        </w:tc>
      </w:tr>
      <w:tr w:rsidR="005D3641" w:rsidRPr="005D3641" w14:paraId="3D76F390" w14:textId="77777777" w:rsidTr="005D3641">
        <w:trPr>
          <w:trHeight w:val="163"/>
          <w:jc w:val="center"/>
        </w:trPr>
        <w:tc>
          <w:tcPr>
            <w:tcW w:w="1369" w:type="dxa"/>
          </w:tcPr>
          <w:p w14:paraId="1639AC13" w14:textId="77777777" w:rsidR="00A82112" w:rsidRPr="005D3641" w:rsidRDefault="00A82112" w:rsidP="003C4C86">
            <w:pPr>
              <w:rPr>
                <w:rFonts w:ascii="Arial" w:hAnsi="Arial" w:cs="Arial"/>
                <w:sz w:val="20"/>
                <w:szCs w:val="20"/>
              </w:rPr>
            </w:pPr>
            <w:r w:rsidRPr="005D3641">
              <w:rPr>
                <w:rFonts w:ascii="Arial" w:hAnsi="Arial" w:cs="Arial"/>
                <w:sz w:val="20"/>
                <w:szCs w:val="20"/>
              </w:rPr>
              <w:t>9 %</w:t>
            </w:r>
          </w:p>
        </w:tc>
        <w:tc>
          <w:tcPr>
            <w:tcW w:w="1929" w:type="dxa"/>
          </w:tcPr>
          <w:p w14:paraId="3D8AFFFD" w14:textId="77777777" w:rsidR="00A82112" w:rsidRPr="005D3641" w:rsidRDefault="00A82112" w:rsidP="003C4C86">
            <w:pPr>
              <w:rPr>
                <w:rFonts w:ascii="Arial" w:hAnsi="Arial" w:cs="Arial"/>
                <w:sz w:val="20"/>
                <w:szCs w:val="20"/>
              </w:rPr>
            </w:pPr>
            <w:r w:rsidRPr="005D3641">
              <w:rPr>
                <w:rFonts w:ascii="Arial" w:hAnsi="Arial" w:cs="Arial"/>
                <w:sz w:val="20"/>
                <w:szCs w:val="20"/>
              </w:rPr>
              <w:t>0.0260</w:t>
            </w:r>
          </w:p>
        </w:tc>
        <w:tc>
          <w:tcPr>
            <w:tcW w:w="1264" w:type="dxa"/>
          </w:tcPr>
          <w:p w14:paraId="188B5166" w14:textId="77777777" w:rsidR="00A82112" w:rsidRPr="005D3641" w:rsidRDefault="00A82112" w:rsidP="003C4C86">
            <w:pPr>
              <w:rPr>
                <w:rFonts w:ascii="Arial" w:hAnsi="Arial" w:cs="Arial"/>
                <w:sz w:val="20"/>
                <w:szCs w:val="20"/>
              </w:rPr>
            </w:pPr>
            <w:r w:rsidRPr="005D3641">
              <w:rPr>
                <w:rFonts w:ascii="Arial" w:hAnsi="Arial" w:cs="Arial"/>
                <w:sz w:val="20"/>
                <w:szCs w:val="20"/>
              </w:rPr>
              <w:t>0.000656</w:t>
            </w:r>
          </w:p>
        </w:tc>
        <w:tc>
          <w:tcPr>
            <w:tcW w:w="1551" w:type="dxa"/>
          </w:tcPr>
          <w:p w14:paraId="33BE6A48" w14:textId="77777777" w:rsidR="00A82112" w:rsidRPr="005D3641" w:rsidRDefault="00A82112" w:rsidP="003C4C86">
            <w:pPr>
              <w:rPr>
                <w:rFonts w:ascii="Arial" w:hAnsi="Arial" w:cs="Arial"/>
                <w:sz w:val="20"/>
                <w:szCs w:val="20"/>
              </w:rPr>
            </w:pPr>
            <w:r w:rsidRPr="005D3641">
              <w:rPr>
                <w:rFonts w:ascii="Arial" w:hAnsi="Arial" w:cs="Arial"/>
                <w:sz w:val="20"/>
                <w:szCs w:val="20"/>
              </w:rPr>
              <w:t>0.078910</w:t>
            </w:r>
          </w:p>
        </w:tc>
        <w:tc>
          <w:tcPr>
            <w:tcW w:w="1551" w:type="dxa"/>
          </w:tcPr>
          <w:p w14:paraId="2B0016C9" w14:textId="77777777" w:rsidR="00A82112" w:rsidRPr="005D3641" w:rsidRDefault="00A82112" w:rsidP="003C4C86">
            <w:pPr>
              <w:rPr>
                <w:rFonts w:ascii="Arial" w:hAnsi="Arial" w:cs="Arial"/>
                <w:sz w:val="20"/>
                <w:szCs w:val="20"/>
              </w:rPr>
            </w:pPr>
            <w:r w:rsidRPr="005D3641">
              <w:rPr>
                <w:rFonts w:ascii="Arial" w:hAnsi="Arial" w:cs="Arial"/>
                <w:sz w:val="20"/>
                <w:szCs w:val="20"/>
              </w:rPr>
              <w:t>0.02428</w:t>
            </w:r>
          </w:p>
        </w:tc>
      </w:tr>
    </w:tbl>
    <w:p w14:paraId="176AAD49" w14:textId="77777777" w:rsidR="00A82112" w:rsidRPr="005D3641" w:rsidRDefault="00A82112" w:rsidP="00A82112">
      <w:pPr>
        <w:tabs>
          <w:tab w:val="left" w:pos="975"/>
        </w:tabs>
        <w:contextualSpacing/>
        <w:jc w:val="both"/>
        <w:rPr>
          <w:rFonts w:ascii="Arial" w:hAnsi="Arial" w:cs="Arial"/>
          <w:b/>
        </w:rPr>
      </w:pPr>
    </w:p>
    <w:p w14:paraId="7286986B" w14:textId="77777777" w:rsidR="00A82112" w:rsidRPr="005D3641" w:rsidRDefault="00A82112" w:rsidP="00A82112">
      <w:pPr>
        <w:tabs>
          <w:tab w:val="left" w:pos="975"/>
        </w:tabs>
        <w:contextualSpacing/>
        <w:jc w:val="center"/>
        <w:rPr>
          <w:rFonts w:ascii="Arial" w:hAnsi="Arial" w:cs="Arial"/>
          <w:bCs/>
        </w:rPr>
      </w:pPr>
      <w:r w:rsidRPr="005D3641">
        <w:rPr>
          <w:rFonts w:ascii="Arial" w:hAnsi="Arial" w:cs="Arial"/>
          <w:bCs/>
          <w:noProof/>
          <w14:ligatures w14:val="standardContextual"/>
        </w:rPr>
        <w:drawing>
          <wp:inline distT="0" distB="0" distL="0" distR="0" wp14:anchorId="4F8EA079" wp14:editId="28E2318F">
            <wp:extent cx="5235191" cy="2542233"/>
            <wp:effectExtent l="0" t="0" r="3810" b="10795"/>
            <wp:docPr id="176022028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09224FA" w14:textId="77777777" w:rsidR="00A82112" w:rsidRPr="008D60BF" w:rsidRDefault="00A82112" w:rsidP="00A82112">
      <w:pPr>
        <w:contextualSpacing/>
        <w:jc w:val="both"/>
        <w:rPr>
          <w:rFonts w:ascii="Times New Roman" w:hAnsi="Times New Roman"/>
          <w:b/>
          <w:sz w:val="24"/>
          <w:szCs w:val="24"/>
        </w:rPr>
      </w:pPr>
    </w:p>
    <w:p w14:paraId="5696EF8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76ED4AB" w14:textId="77777777" w:rsidR="00790ADA" w:rsidRPr="00FB3A86" w:rsidRDefault="00790ADA" w:rsidP="00441B6F">
      <w:pPr>
        <w:pStyle w:val="ConcHead"/>
        <w:spacing w:after="0"/>
        <w:jc w:val="both"/>
        <w:rPr>
          <w:rFonts w:ascii="Arial" w:hAnsi="Arial" w:cs="Arial"/>
        </w:rPr>
      </w:pPr>
    </w:p>
    <w:p w14:paraId="727E609A" w14:textId="68F9C7BD" w:rsidR="00A82112" w:rsidRPr="00A82112" w:rsidRDefault="006D7EC8" w:rsidP="00A82112">
      <w:pPr>
        <w:pStyle w:val="Body"/>
        <w:rPr>
          <w:rFonts w:ascii="Arial" w:hAnsi="Arial" w:cs="Arial"/>
        </w:rPr>
      </w:pPr>
      <w:proofErr w:type="spellStart"/>
      <w:r>
        <w:rPr>
          <w:rFonts w:ascii="Arial" w:hAnsi="Arial" w:cs="Arial"/>
        </w:rPr>
        <w:t>Terrasil</w:t>
      </w:r>
      <w:proofErr w:type="spellEnd"/>
      <w:r w:rsidR="00A82112" w:rsidRPr="00A82112">
        <w:rPr>
          <w:rFonts w:ascii="Arial" w:hAnsi="Arial" w:cs="Arial"/>
        </w:rPr>
        <w:t xml:space="preserve"> improves the strength and stability of the soil, making it more appropriate for foundation applications, as confirmed by the rise in CBR values for the treated samples. When compared to the untreated soil, the CBR values exhibit significant improvements at higher </w:t>
      </w:r>
      <w:proofErr w:type="spellStart"/>
      <w:r>
        <w:rPr>
          <w:rFonts w:ascii="Arial" w:hAnsi="Arial" w:cs="Arial"/>
        </w:rPr>
        <w:t>Terrasil</w:t>
      </w:r>
      <w:proofErr w:type="spellEnd"/>
      <w:r w:rsidR="00A82112" w:rsidRPr="00A82112">
        <w:rPr>
          <w:rFonts w:ascii="Arial" w:hAnsi="Arial" w:cs="Arial"/>
        </w:rPr>
        <w:t xml:space="preserve"> concentrations. Likewise, the addition of </w:t>
      </w:r>
      <w:proofErr w:type="spellStart"/>
      <w:r>
        <w:rPr>
          <w:rFonts w:ascii="Arial" w:hAnsi="Arial" w:cs="Arial"/>
        </w:rPr>
        <w:t>Terrasil</w:t>
      </w:r>
      <w:proofErr w:type="spellEnd"/>
      <w:r w:rsidR="00A82112" w:rsidRPr="00A82112">
        <w:rPr>
          <w:rFonts w:ascii="Arial" w:hAnsi="Arial" w:cs="Arial"/>
        </w:rPr>
        <w:t xml:space="preserve"> consistently raises the soil's shear parameters, according to the shear strength tests. The soil's overall stability and resistance to shear stresses are improved by the improvement in both cohesion and the angle of internal friction. The most notable increases in shear strength were observed at higher concentrations of </w:t>
      </w:r>
      <w:proofErr w:type="spellStart"/>
      <w:r>
        <w:rPr>
          <w:rFonts w:ascii="Arial" w:hAnsi="Arial" w:cs="Arial"/>
        </w:rPr>
        <w:t>Terrasil</w:t>
      </w:r>
      <w:proofErr w:type="spellEnd"/>
      <w:r w:rsidR="00A82112" w:rsidRPr="00A82112">
        <w:rPr>
          <w:rFonts w:ascii="Arial" w:hAnsi="Arial" w:cs="Arial"/>
        </w:rPr>
        <w:t xml:space="preserve">, suggesting that the </w:t>
      </w:r>
      <w:proofErr w:type="spellStart"/>
      <w:r w:rsidR="00A82112" w:rsidRPr="00A82112">
        <w:rPr>
          <w:rFonts w:ascii="Arial" w:hAnsi="Arial" w:cs="Arial"/>
        </w:rPr>
        <w:t>stabilising</w:t>
      </w:r>
      <w:proofErr w:type="spellEnd"/>
      <w:r w:rsidR="00A82112" w:rsidRPr="00A82112">
        <w:rPr>
          <w:rFonts w:ascii="Arial" w:hAnsi="Arial" w:cs="Arial"/>
        </w:rPr>
        <w:t xml:space="preserve"> effect of </w:t>
      </w:r>
      <w:proofErr w:type="spellStart"/>
      <w:r>
        <w:rPr>
          <w:rFonts w:ascii="Arial" w:hAnsi="Arial" w:cs="Arial"/>
        </w:rPr>
        <w:t>Terrasil</w:t>
      </w:r>
      <w:proofErr w:type="spellEnd"/>
      <w:r w:rsidR="00A82112" w:rsidRPr="00A82112">
        <w:rPr>
          <w:rFonts w:ascii="Arial" w:hAnsi="Arial" w:cs="Arial"/>
        </w:rPr>
        <w:t xml:space="preserve"> is proportional to its soil concentration. The consolidation test results demonstrate a marked improvement in the soil’s consolidation properties with the addition of </w:t>
      </w:r>
      <w:proofErr w:type="spellStart"/>
      <w:r>
        <w:rPr>
          <w:rFonts w:ascii="Arial" w:hAnsi="Arial" w:cs="Arial"/>
        </w:rPr>
        <w:t>Terrasil</w:t>
      </w:r>
      <w:proofErr w:type="spellEnd"/>
      <w:r w:rsidR="00A82112" w:rsidRPr="00A82112">
        <w:rPr>
          <w:rFonts w:ascii="Arial" w:hAnsi="Arial" w:cs="Arial"/>
        </w:rPr>
        <w:t xml:space="preserve">. As the percentage of </w:t>
      </w:r>
      <w:proofErr w:type="spellStart"/>
      <w:r>
        <w:rPr>
          <w:rFonts w:ascii="Arial" w:hAnsi="Arial" w:cs="Arial"/>
        </w:rPr>
        <w:t>Terrasil</w:t>
      </w:r>
      <w:proofErr w:type="spellEnd"/>
      <w:r w:rsidR="00A82112" w:rsidRPr="00A82112">
        <w:rPr>
          <w:rFonts w:ascii="Arial" w:hAnsi="Arial" w:cs="Arial"/>
        </w:rPr>
        <w:t xml:space="preserve"> increased, the soil's compressibility decreased, leading to reduced settlement under applied loads. The coefficient of consolidation (</w:t>
      </w:r>
      <w:proofErr w:type="spellStart"/>
      <w:r w:rsidR="00A82112" w:rsidRPr="00A82112">
        <w:rPr>
          <w:rFonts w:ascii="Arial" w:hAnsi="Arial" w:cs="Arial"/>
        </w:rPr>
        <w:t>Cv</w:t>
      </w:r>
      <w:proofErr w:type="spellEnd"/>
      <w:r w:rsidR="00A82112" w:rsidRPr="00A82112">
        <w:rPr>
          <w:rFonts w:ascii="Arial" w:hAnsi="Arial" w:cs="Arial"/>
        </w:rPr>
        <w:t xml:space="preserve">) decreased with higher </w:t>
      </w:r>
      <w:proofErr w:type="spellStart"/>
      <w:r>
        <w:rPr>
          <w:rFonts w:ascii="Arial" w:hAnsi="Arial" w:cs="Arial"/>
        </w:rPr>
        <w:t>Terrasil</w:t>
      </w:r>
      <w:proofErr w:type="spellEnd"/>
      <w:r w:rsidR="00A82112" w:rsidRPr="00A82112">
        <w:rPr>
          <w:rFonts w:ascii="Arial" w:hAnsi="Arial" w:cs="Arial"/>
        </w:rPr>
        <w:t xml:space="preserve"> content, indicating that while the rate of consolidation slowed, the overall consolidation characteristics improved. The </w:t>
      </w:r>
      <w:proofErr w:type="spellStart"/>
      <w:r w:rsidR="00A82112" w:rsidRPr="00A82112">
        <w:rPr>
          <w:rFonts w:ascii="Arial" w:hAnsi="Arial" w:cs="Arial"/>
        </w:rPr>
        <w:t>preconsolidation</w:t>
      </w:r>
      <w:proofErr w:type="spellEnd"/>
      <w:r w:rsidR="00A82112" w:rsidRPr="00A82112">
        <w:rPr>
          <w:rFonts w:ascii="Arial" w:hAnsi="Arial" w:cs="Arial"/>
        </w:rPr>
        <w:t xml:space="preserve"> pressure also increased with higher </w:t>
      </w:r>
      <w:proofErr w:type="spellStart"/>
      <w:r>
        <w:rPr>
          <w:rFonts w:ascii="Arial" w:hAnsi="Arial" w:cs="Arial"/>
        </w:rPr>
        <w:t>Terrasil</w:t>
      </w:r>
      <w:proofErr w:type="spellEnd"/>
      <w:r w:rsidR="00A82112" w:rsidRPr="00A82112">
        <w:rPr>
          <w:rFonts w:ascii="Arial" w:hAnsi="Arial" w:cs="Arial"/>
        </w:rPr>
        <w:t xml:space="preserve"> concentrations, reflecting enhanced soil resistance to consolidation.</w:t>
      </w:r>
    </w:p>
    <w:p w14:paraId="754CE0BD" w14:textId="725989ED" w:rsidR="00A82112" w:rsidRDefault="00A82112" w:rsidP="00A82112">
      <w:pPr>
        <w:pStyle w:val="Body"/>
        <w:rPr>
          <w:rFonts w:ascii="Arial" w:hAnsi="Arial" w:cs="Arial"/>
        </w:rPr>
      </w:pPr>
      <w:r w:rsidRPr="00A82112">
        <w:rPr>
          <w:rFonts w:ascii="Arial" w:hAnsi="Arial" w:cs="Arial"/>
        </w:rPr>
        <w:t xml:space="preserve">Based on the results, for the best soil property improvement, a </w:t>
      </w:r>
      <w:proofErr w:type="spellStart"/>
      <w:r w:rsidR="006D7EC8">
        <w:rPr>
          <w:rFonts w:ascii="Arial" w:hAnsi="Arial" w:cs="Arial"/>
        </w:rPr>
        <w:t>Terrasil</w:t>
      </w:r>
      <w:proofErr w:type="spellEnd"/>
      <w:r w:rsidRPr="00A82112">
        <w:rPr>
          <w:rFonts w:ascii="Arial" w:hAnsi="Arial" w:cs="Arial"/>
        </w:rPr>
        <w:t xml:space="preserve"> concentration of 9% is recommended. This dosage provides the best balance between enhanced strength, reduced </w:t>
      </w:r>
      <w:r w:rsidRPr="00A82112">
        <w:rPr>
          <w:rFonts w:ascii="Arial" w:hAnsi="Arial" w:cs="Arial"/>
        </w:rPr>
        <w:lastRenderedPageBreak/>
        <w:t xml:space="preserve">compressibility, and improved consolidation characteristics. Higher concentrations of </w:t>
      </w:r>
      <w:proofErr w:type="spellStart"/>
      <w:r w:rsidR="006D7EC8">
        <w:rPr>
          <w:rFonts w:ascii="Arial" w:hAnsi="Arial" w:cs="Arial"/>
        </w:rPr>
        <w:t>Terrasil</w:t>
      </w:r>
      <w:proofErr w:type="spellEnd"/>
      <w:r w:rsidRPr="00A82112">
        <w:rPr>
          <w:rFonts w:ascii="Arial" w:hAnsi="Arial" w:cs="Arial"/>
        </w:rPr>
        <w:t xml:space="preserve"> lead to better performance, but the marginal gains in consolidation rate may not justify excessively high additions.</w:t>
      </w:r>
    </w:p>
    <w:p w14:paraId="5E8B51A8" w14:textId="44E0F12E" w:rsidR="00CA33CF" w:rsidRPr="00A82112" w:rsidRDefault="00CA33CF" w:rsidP="00A82112">
      <w:pPr>
        <w:pStyle w:val="Body"/>
        <w:rPr>
          <w:rFonts w:ascii="Arial" w:hAnsi="Arial" w:cs="Arial"/>
        </w:rPr>
      </w:pPr>
      <w:r w:rsidRPr="00CA33CF">
        <w:rPr>
          <w:rFonts w:ascii="Arial" w:hAnsi="Arial" w:cs="Arial"/>
          <w:highlight w:val="yellow"/>
        </w:rPr>
        <w:t xml:space="preserve">While the study demonstrates that </w:t>
      </w:r>
      <w:proofErr w:type="spellStart"/>
      <w:r w:rsidRPr="00CA33CF">
        <w:rPr>
          <w:rFonts w:ascii="Arial" w:hAnsi="Arial" w:cs="Arial"/>
          <w:highlight w:val="yellow"/>
        </w:rPr>
        <w:t>Terrasil</w:t>
      </w:r>
      <w:proofErr w:type="spellEnd"/>
      <w:r w:rsidRPr="00CA33CF">
        <w:rPr>
          <w:rFonts w:ascii="Arial" w:hAnsi="Arial" w:cs="Arial"/>
          <w:highlight w:val="yellow"/>
        </w:rPr>
        <w:t xml:space="preserve"> </w:t>
      </w:r>
      <w:proofErr w:type="spellStart"/>
      <w:r w:rsidRPr="00CA33CF">
        <w:rPr>
          <w:rFonts w:ascii="Arial" w:hAnsi="Arial" w:cs="Arial"/>
          <w:highlight w:val="yellow"/>
        </w:rPr>
        <w:t>nanochemical</w:t>
      </w:r>
      <w:proofErr w:type="spellEnd"/>
      <w:r w:rsidRPr="00CA33CF">
        <w:rPr>
          <w:rFonts w:ascii="Arial" w:hAnsi="Arial" w:cs="Arial"/>
          <w:highlight w:val="yellow"/>
        </w:rPr>
        <w:t xml:space="preserve"> significantly enhances soil strength, durability, and consolidation characteristics, it is limited to the soil types investigated. Further research is recommended to validate performance across a broader range of soil conditions and in direct long-term field comparisons with conventional stabilizers. Nonetheless, this work represents one of the first systematic evaluations of </w:t>
      </w:r>
      <w:proofErr w:type="spellStart"/>
      <w:r w:rsidRPr="00CA33CF">
        <w:rPr>
          <w:rFonts w:ascii="Arial" w:hAnsi="Arial" w:cs="Arial"/>
          <w:highlight w:val="yellow"/>
        </w:rPr>
        <w:t>Terrasil</w:t>
      </w:r>
      <w:proofErr w:type="spellEnd"/>
      <w:r w:rsidRPr="00CA33CF">
        <w:rPr>
          <w:rFonts w:ascii="Arial" w:hAnsi="Arial" w:cs="Arial"/>
          <w:highlight w:val="yellow"/>
        </w:rPr>
        <w:t xml:space="preserve"> in local soils and contributes to the growing body of knowledge on sustainable nanotechnology applications in geotechnical engineering.</w:t>
      </w:r>
    </w:p>
    <w:p w14:paraId="149D2B1B" w14:textId="5CE11B25" w:rsidR="00A82112" w:rsidRPr="00A82112" w:rsidRDefault="00A82112" w:rsidP="00A82112">
      <w:pPr>
        <w:pStyle w:val="Body"/>
        <w:rPr>
          <w:rFonts w:ascii="Arial" w:hAnsi="Arial" w:cs="Arial"/>
          <w:b/>
        </w:rPr>
      </w:pPr>
      <w:r>
        <w:rPr>
          <w:rFonts w:ascii="Arial" w:hAnsi="Arial" w:cs="Arial"/>
          <w:b/>
        </w:rPr>
        <w:t xml:space="preserve">4.1 </w:t>
      </w:r>
      <w:r w:rsidRPr="00A82112">
        <w:rPr>
          <w:rFonts w:ascii="Arial" w:hAnsi="Arial" w:cs="Arial"/>
          <w:b/>
        </w:rPr>
        <w:t>AREAS OF FURTHER RESEARCH</w:t>
      </w:r>
    </w:p>
    <w:p w14:paraId="6C8B6BB2" w14:textId="77777777" w:rsidR="00A82112" w:rsidRPr="00A82112" w:rsidRDefault="00A82112" w:rsidP="00A82112">
      <w:pPr>
        <w:pStyle w:val="Body"/>
        <w:rPr>
          <w:rFonts w:ascii="Arial" w:hAnsi="Arial" w:cs="Arial"/>
          <w:bCs/>
        </w:rPr>
      </w:pPr>
      <w:r w:rsidRPr="00A82112">
        <w:rPr>
          <w:rFonts w:ascii="Arial" w:hAnsi="Arial" w:cs="Arial"/>
        </w:rPr>
        <w:t>The following recommendations are given in light of the research's findings.</w:t>
      </w:r>
    </w:p>
    <w:p w14:paraId="3BAF710B" w14:textId="13B59406" w:rsidR="00A82112" w:rsidRPr="00A82112" w:rsidRDefault="00A82112" w:rsidP="00327B66">
      <w:pPr>
        <w:pStyle w:val="Body"/>
        <w:ind w:left="720" w:hanging="720"/>
        <w:rPr>
          <w:rFonts w:ascii="Arial" w:hAnsi="Arial" w:cs="Arial"/>
          <w:b/>
        </w:rPr>
      </w:pPr>
      <w:proofErr w:type="spellStart"/>
      <w:r w:rsidRPr="00A82112">
        <w:rPr>
          <w:rFonts w:ascii="Arial" w:hAnsi="Arial" w:cs="Arial"/>
        </w:rPr>
        <w:t>i</w:t>
      </w:r>
      <w:proofErr w:type="spellEnd"/>
      <w:r w:rsidRPr="00A82112">
        <w:rPr>
          <w:rFonts w:ascii="Arial" w:hAnsi="Arial" w:cs="Arial"/>
        </w:rPr>
        <w:t>.</w:t>
      </w:r>
      <w:r w:rsidRPr="00A82112">
        <w:rPr>
          <w:rFonts w:ascii="Arial" w:hAnsi="Arial" w:cs="Arial"/>
        </w:rPr>
        <w:tab/>
        <w:t xml:space="preserve">Conduct long-term field studies to evaluate the durability and performance of </w:t>
      </w:r>
      <w:proofErr w:type="spellStart"/>
      <w:r w:rsidR="006D7EC8">
        <w:rPr>
          <w:rFonts w:ascii="Arial" w:hAnsi="Arial" w:cs="Arial"/>
        </w:rPr>
        <w:t>Terrasil</w:t>
      </w:r>
      <w:proofErr w:type="spellEnd"/>
      <w:r w:rsidRPr="00A82112">
        <w:rPr>
          <w:rFonts w:ascii="Arial" w:hAnsi="Arial" w:cs="Arial"/>
        </w:rPr>
        <w:t xml:space="preserve">-treated soils over extended periods. Assess how factors such as weathering, moisture changes, and traffic loads impact the soil's stability and the effectiveness of </w:t>
      </w:r>
      <w:proofErr w:type="spellStart"/>
      <w:r w:rsidR="006D7EC8">
        <w:rPr>
          <w:rFonts w:ascii="Arial" w:hAnsi="Arial" w:cs="Arial"/>
        </w:rPr>
        <w:t>Terrasil</w:t>
      </w:r>
      <w:proofErr w:type="spellEnd"/>
      <w:r w:rsidRPr="00A82112">
        <w:rPr>
          <w:rFonts w:ascii="Arial" w:hAnsi="Arial" w:cs="Arial"/>
        </w:rPr>
        <w:t xml:space="preserve"> treatment over time.</w:t>
      </w:r>
    </w:p>
    <w:p w14:paraId="549083B1" w14:textId="00FF54CA" w:rsidR="00A82112" w:rsidRPr="00A82112" w:rsidRDefault="00A82112" w:rsidP="00327B66">
      <w:pPr>
        <w:pStyle w:val="Body"/>
        <w:ind w:left="720" w:hanging="720"/>
        <w:rPr>
          <w:rFonts w:ascii="Arial" w:hAnsi="Arial" w:cs="Arial"/>
        </w:rPr>
      </w:pPr>
      <w:r w:rsidRPr="00A82112">
        <w:rPr>
          <w:rFonts w:ascii="Arial" w:hAnsi="Arial" w:cs="Arial"/>
        </w:rPr>
        <w:t>ii.</w:t>
      </w:r>
      <w:r w:rsidRPr="00A82112">
        <w:rPr>
          <w:rFonts w:ascii="Arial" w:hAnsi="Arial" w:cs="Arial"/>
        </w:rPr>
        <w:tab/>
        <w:t xml:space="preserve">Investigate the effects of </w:t>
      </w:r>
      <w:proofErr w:type="spellStart"/>
      <w:r w:rsidR="006D7EC8">
        <w:rPr>
          <w:rFonts w:ascii="Arial" w:hAnsi="Arial" w:cs="Arial"/>
        </w:rPr>
        <w:t>Terrasil</w:t>
      </w:r>
      <w:proofErr w:type="spellEnd"/>
      <w:r w:rsidRPr="00A82112">
        <w:rPr>
          <w:rFonts w:ascii="Arial" w:hAnsi="Arial" w:cs="Arial"/>
        </w:rPr>
        <w:t xml:space="preserve"> on various soil types, including silts, clays, and sands, to determine if the observed improvements are consistent across different soil conditions. This will help in understanding the broader applicability of </w:t>
      </w:r>
      <w:proofErr w:type="spellStart"/>
      <w:r w:rsidR="006D7EC8">
        <w:rPr>
          <w:rFonts w:ascii="Arial" w:hAnsi="Arial" w:cs="Arial"/>
        </w:rPr>
        <w:t>Terrasil</w:t>
      </w:r>
      <w:proofErr w:type="spellEnd"/>
      <w:r w:rsidRPr="00A82112">
        <w:rPr>
          <w:rFonts w:ascii="Arial" w:hAnsi="Arial" w:cs="Arial"/>
        </w:rPr>
        <w:t xml:space="preserve"> and its limitations.</w:t>
      </w:r>
    </w:p>
    <w:p w14:paraId="47190F31" w14:textId="4FA99A82" w:rsidR="00A82112" w:rsidRPr="00A82112" w:rsidRDefault="00A82112" w:rsidP="00327B66">
      <w:pPr>
        <w:pStyle w:val="Body"/>
        <w:ind w:left="720" w:hanging="720"/>
        <w:rPr>
          <w:rFonts w:ascii="Arial" w:hAnsi="Arial" w:cs="Arial"/>
        </w:rPr>
      </w:pPr>
      <w:r w:rsidRPr="00A82112">
        <w:rPr>
          <w:rFonts w:ascii="Arial" w:hAnsi="Arial" w:cs="Arial"/>
        </w:rPr>
        <w:t>iii.</w:t>
      </w:r>
      <w:r w:rsidRPr="00A82112">
        <w:rPr>
          <w:rFonts w:ascii="Arial" w:hAnsi="Arial" w:cs="Arial"/>
        </w:rPr>
        <w:tab/>
        <w:t xml:space="preserve">Study the environmental impact of using </w:t>
      </w:r>
      <w:proofErr w:type="spellStart"/>
      <w:r w:rsidR="006D7EC8">
        <w:rPr>
          <w:rFonts w:ascii="Arial" w:hAnsi="Arial" w:cs="Arial"/>
        </w:rPr>
        <w:t>Terrasil</w:t>
      </w:r>
      <w:proofErr w:type="spellEnd"/>
      <w:r w:rsidRPr="00A82112">
        <w:rPr>
          <w:rFonts w:ascii="Arial" w:hAnsi="Arial" w:cs="Arial"/>
        </w:rPr>
        <w:t>, including any potential leaching effects or interactions with groundwater.</w:t>
      </w:r>
    </w:p>
    <w:p w14:paraId="19B927DB" w14:textId="77777777" w:rsidR="00D23CF9" w:rsidRDefault="00D23CF9" w:rsidP="00441B6F">
      <w:pPr>
        <w:pStyle w:val="ReferHead"/>
        <w:spacing w:after="0"/>
        <w:jc w:val="both"/>
        <w:rPr>
          <w:rFonts w:ascii="Arial" w:hAnsi="Arial" w:cs="Arial"/>
          <w:b w:val="0"/>
          <w:caps w:val="0"/>
          <w:sz w:val="20"/>
          <w:u w:val="single"/>
        </w:rPr>
      </w:pPr>
    </w:p>
    <w:p w14:paraId="222D2C9E" w14:textId="77777777" w:rsidR="00D23CF9" w:rsidRDefault="00D23CF9" w:rsidP="00441B6F">
      <w:pPr>
        <w:pStyle w:val="ReferHead"/>
        <w:spacing w:after="0"/>
        <w:jc w:val="both"/>
        <w:rPr>
          <w:rFonts w:ascii="Arial" w:hAnsi="Arial" w:cs="Arial"/>
          <w:b w:val="0"/>
          <w:caps w:val="0"/>
          <w:sz w:val="20"/>
          <w:u w:val="single"/>
        </w:rPr>
      </w:pPr>
    </w:p>
    <w:p w14:paraId="4775597A" w14:textId="77777777" w:rsidR="00D23CF9" w:rsidRDefault="00D23CF9" w:rsidP="00441B6F">
      <w:pPr>
        <w:pStyle w:val="ReferHead"/>
        <w:spacing w:after="0"/>
        <w:jc w:val="both"/>
        <w:rPr>
          <w:rFonts w:ascii="Arial" w:hAnsi="Arial" w:cs="Arial"/>
          <w:b w:val="0"/>
          <w:caps w:val="0"/>
          <w:sz w:val="20"/>
          <w:u w:val="single"/>
        </w:rPr>
      </w:pPr>
    </w:p>
    <w:p w14:paraId="5751B30C" w14:textId="77777777" w:rsidR="00D23CF9" w:rsidRPr="00D23CF9" w:rsidRDefault="00D23CF9" w:rsidP="00D23CF9">
      <w:pPr>
        <w:spacing w:after="200" w:line="276" w:lineRule="auto"/>
        <w:jc w:val="both"/>
        <w:outlineLvl w:val="0"/>
        <w:rPr>
          <w:rFonts w:ascii="Arial" w:eastAsiaTheme="minorEastAsia" w:hAnsi="Arial" w:cs="Arial"/>
          <w:sz w:val="22"/>
          <w:szCs w:val="22"/>
          <w:lang w:val="en-GB" w:eastAsia="en-GB"/>
        </w:rPr>
      </w:pPr>
      <w:r w:rsidRPr="00D23CF9">
        <w:rPr>
          <w:rFonts w:ascii="Arial" w:eastAsiaTheme="minorEastAsia" w:hAnsi="Arial" w:cs="Arial"/>
          <w:b/>
          <w:bCs/>
          <w:sz w:val="22"/>
          <w:szCs w:val="22"/>
          <w:lang w:val="en-GB" w:eastAsia="en-GB"/>
        </w:rPr>
        <w:t>COMPETING INTERESTS DISCLAIMER:</w:t>
      </w:r>
    </w:p>
    <w:p w14:paraId="744EBF41" w14:textId="77777777" w:rsidR="00D23CF9" w:rsidRPr="00D23CF9" w:rsidRDefault="00D23CF9" w:rsidP="00D23CF9">
      <w:pPr>
        <w:spacing w:after="200" w:line="276" w:lineRule="auto"/>
        <w:rPr>
          <w:rFonts w:asciiTheme="minorHAnsi" w:eastAsiaTheme="minorEastAsia" w:hAnsiTheme="minorHAnsi" w:cstheme="minorBidi"/>
          <w:sz w:val="22"/>
          <w:szCs w:val="22"/>
          <w:lang w:val="en-GB" w:eastAsia="en-GB"/>
        </w:rPr>
      </w:pPr>
      <w:r w:rsidRPr="00D23CF9">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46BBC23" w14:textId="77777777" w:rsidR="0000663B" w:rsidRDefault="0000663B" w:rsidP="0000663B">
      <w:pPr>
        <w:rPr>
          <w:rFonts w:ascii="Calibri" w:eastAsia="Calibri" w:hAnsi="Calibri"/>
          <w:kern w:val="2"/>
        </w:rPr>
      </w:pPr>
      <w:bookmarkStart w:id="1" w:name="_Hlk192511329"/>
      <w:bookmarkStart w:id="2" w:name="_Hlk187485061"/>
      <w:bookmarkStart w:id="3" w:name="_Hlk194655630"/>
      <w:bookmarkStart w:id="4" w:name="_Hlk209008097"/>
    </w:p>
    <w:p w14:paraId="741D5A96" w14:textId="77777777" w:rsidR="0000663B" w:rsidRDefault="0000663B" w:rsidP="0000663B">
      <w:pPr>
        <w:rPr>
          <w:rFonts w:ascii="Calibri" w:eastAsia="Calibri" w:hAnsi="Calibri"/>
          <w:kern w:val="2"/>
          <w:highlight w:val="yellow"/>
        </w:rPr>
      </w:pPr>
      <w:bookmarkStart w:id="5" w:name="_Hlk204003461"/>
      <w:bookmarkStart w:id="6" w:name="_Hlk209007716"/>
      <w:bookmarkEnd w:id="1"/>
      <w:bookmarkEnd w:id="2"/>
      <w:bookmarkEnd w:id="3"/>
      <w:r>
        <w:rPr>
          <w:rFonts w:ascii="Calibri" w:eastAsia="Calibri" w:hAnsi="Calibri"/>
          <w:kern w:val="2"/>
          <w:highlight w:val="yellow"/>
        </w:rPr>
        <w:t>Disclaimer (Artificial intelligence)</w:t>
      </w:r>
    </w:p>
    <w:p w14:paraId="25291E76" w14:textId="77777777" w:rsidR="0000663B" w:rsidRDefault="0000663B" w:rsidP="0000663B">
      <w:pPr>
        <w:rPr>
          <w:rFonts w:ascii="Calibri" w:eastAsia="Calibri" w:hAnsi="Calibri"/>
          <w:kern w:val="2"/>
          <w:highlight w:val="yellow"/>
        </w:rPr>
      </w:pPr>
      <w:r>
        <w:rPr>
          <w:rFonts w:ascii="Calibri" w:eastAsia="Calibri" w:hAnsi="Calibri"/>
          <w:kern w:val="2"/>
          <w:highlight w:val="yellow"/>
        </w:rPr>
        <w:t xml:space="preserve">Option 1: </w:t>
      </w:r>
    </w:p>
    <w:p w14:paraId="358252FC" w14:textId="77777777" w:rsidR="0000663B" w:rsidRDefault="0000663B" w:rsidP="0000663B">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3B65746" w14:textId="77777777" w:rsidR="0000663B" w:rsidRDefault="0000663B" w:rsidP="0000663B">
      <w:pPr>
        <w:rPr>
          <w:rFonts w:ascii="Calibri" w:eastAsia="Calibri" w:hAnsi="Calibri"/>
          <w:kern w:val="2"/>
          <w:highlight w:val="yellow"/>
        </w:rPr>
      </w:pPr>
      <w:r>
        <w:rPr>
          <w:rFonts w:ascii="Calibri" w:eastAsia="Calibri" w:hAnsi="Calibri"/>
          <w:kern w:val="2"/>
          <w:highlight w:val="yellow"/>
        </w:rPr>
        <w:t xml:space="preserve">Option 2: </w:t>
      </w:r>
    </w:p>
    <w:p w14:paraId="653F0E71" w14:textId="77777777" w:rsidR="0000663B" w:rsidRDefault="0000663B" w:rsidP="0000663B">
      <w:pPr>
        <w:rPr>
          <w:rFonts w:ascii="Calibri" w:eastAsia="Calibri" w:hAnsi="Calibri"/>
          <w:kern w:val="2"/>
          <w:highlight w:val="yellow"/>
        </w:rPr>
      </w:pPr>
      <w:r>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F19E21D" w14:textId="77777777" w:rsidR="0000663B" w:rsidRDefault="0000663B" w:rsidP="0000663B">
      <w:pPr>
        <w:rPr>
          <w:rFonts w:ascii="Calibri" w:eastAsia="Calibri" w:hAnsi="Calibri"/>
          <w:kern w:val="2"/>
          <w:highlight w:val="yellow"/>
        </w:rPr>
      </w:pPr>
      <w:r>
        <w:rPr>
          <w:rFonts w:ascii="Calibri" w:eastAsia="Calibri" w:hAnsi="Calibri"/>
          <w:kern w:val="2"/>
          <w:highlight w:val="yellow"/>
        </w:rPr>
        <w:t>Details of the AI usage are given below:</w:t>
      </w:r>
    </w:p>
    <w:p w14:paraId="5F043CF0" w14:textId="77777777" w:rsidR="0000663B" w:rsidRDefault="0000663B" w:rsidP="0000663B">
      <w:pPr>
        <w:rPr>
          <w:rFonts w:ascii="Calibri" w:eastAsia="Calibri" w:hAnsi="Calibri"/>
          <w:kern w:val="2"/>
          <w:highlight w:val="yellow"/>
        </w:rPr>
      </w:pPr>
      <w:r>
        <w:rPr>
          <w:rFonts w:ascii="Calibri" w:eastAsia="Calibri" w:hAnsi="Calibri"/>
          <w:kern w:val="2"/>
          <w:highlight w:val="yellow"/>
        </w:rPr>
        <w:t>1.</w:t>
      </w:r>
    </w:p>
    <w:p w14:paraId="40A2AB30" w14:textId="77777777" w:rsidR="0000663B" w:rsidRDefault="0000663B" w:rsidP="0000663B">
      <w:pPr>
        <w:rPr>
          <w:rFonts w:ascii="Calibri" w:eastAsia="Calibri" w:hAnsi="Calibri"/>
          <w:kern w:val="2"/>
          <w:highlight w:val="yellow"/>
        </w:rPr>
      </w:pPr>
      <w:r>
        <w:rPr>
          <w:rFonts w:ascii="Calibri" w:eastAsia="Calibri" w:hAnsi="Calibri"/>
          <w:kern w:val="2"/>
          <w:highlight w:val="yellow"/>
        </w:rPr>
        <w:lastRenderedPageBreak/>
        <w:t>2.</w:t>
      </w:r>
    </w:p>
    <w:p w14:paraId="3B8E2EC6" w14:textId="77777777" w:rsidR="0000663B" w:rsidRDefault="0000663B" w:rsidP="0000663B">
      <w:pPr>
        <w:rPr>
          <w:rFonts w:ascii="Calibri" w:eastAsia="Calibri" w:hAnsi="Calibri"/>
          <w:kern w:val="2"/>
          <w:highlight w:val="yellow"/>
        </w:rPr>
      </w:pPr>
      <w:r>
        <w:rPr>
          <w:rFonts w:ascii="Calibri" w:eastAsia="Calibri" w:hAnsi="Calibri"/>
          <w:kern w:val="2"/>
          <w:highlight w:val="yellow"/>
        </w:rPr>
        <w:t>3.</w:t>
      </w:r>
      <w:bookmarkEnd w:id="5"/>
    </w:p>
    <w:bookmarkEnd w:id="4"/>
    <w:bookmarkEnd w:id="6"/>
    <w:p w14:paraId="1D04E3AA" w14:textId="77777777" w:rsidR="00D23CF9" w:rsidRPr="00F469F0" w:rsidRDefault="00D23CF9" w:rsidP="00441B6F">
      <w:pPr>
        <w:pStyle w:val="ReferHead"/>
        <w:spacing w:after="0"/>
        <w:jc w:val="both"/>
        <w:rPr>
          <w:rFonts w:ascii="Arial" w:hAnsi="Arial" w:cs="Arial"/>
          <w:b w:val="0"/>
          <w:caps w:val="0"/>
          <w:sz w:val="20"/>
          <w:u w:val="single"/>
        </w:rPr>
      </w:pPr>
    </w:p>
    <w:p w14:paraId="5C074AB8" w14:textId="77777777" w:rsidR="002B685A" w:rsidRDefault="002B685A" w:rsidP="00441B6F">
      <w:pPr>
        <w:pStyle w:val="ReferHead"/>
        <w:spacing w:after="0"/>
        <w:jc w:val="both"/>
        <w:rPr>
          <w:rFonts w:ascii="Arial" w:hAnsi="Arial" w:cs="Arial"/>
          <w:b w:val="0"/>
          <w:caps w:val="0"/>
          <w:sz w:val="20"/>
        </w:rPr>
      </w:pPr>
    </w:p>
    <w:p w14:paraId="5E510B11" w14:textId="77777777" w:rsidR="00860000" w:rsidRDefault="00860000" w:rsidP="00441B6F">
      <w:pPr>
        <w:pStyle w:val="ReferHead"/>
        <w:spacing w:after="0"/>
        <w:jc w:val="both"/>
        <w:rPr>
          <w:rFonts w:ascii="Arial" w:hAnsi="Arial" w:cs="Arial"/>
        </w:rPr>
      </w:pPr>
    </w:p>
    <w:p w14:paraId="6622692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C7A0D67" w14:textId="086BC688" w:rsidR="0001517E" w:rsidRPr="0001517E" w:rsidRDefault="0001517E" w:rsidP="0001517E">
      <w:pPr>
        <w:pStyle w:val="Body"/>
        <w:rPr>
          <w:rFonts w:ascii="Arial" w:hAnsi="Arial" w:cs="Arial"/>
        </w:rPr>
      </w:pPr>
      <w:r w:rsidRPr="0001517E">
        <w:rPr>
          <w:rFonts w:ascii="Arial" w:hAnsi="Arial" w:cs="Arial"/>
        </w:rPr>
        <w:t>Al-</w:t>
      </w:r>
      <w:proofErr w:type="spellStart"/>
      <w:r w:rsidRPr="0001517E">
        <w:rPr>
          <w:rFonts w:ascii="Arial" w:hAnsi="Arial" w:cs="Arial"/>
        </w:rPr>
        <w:t>Wakel</w:t>
      </w:r>
      <w:proofErr w:type="spellEnd"/>
      <w:r w:rsidRPr="0001517E">
        <w:rPr>
          <w:rFonts w:ascii="Arial" w:hAnsi="Arial" w:cs="Arial"/>
        </w:rPr>
        <w:t xml:space="preserve">, D., Rahil, F., &amp; </w:t>
      </w:r>
      <w:proofErr w:type="spellStart"/>
      <w:r w:rsidRPr="0001517E">
        <w:rPr>
          <w:rFonts w:ascii="Arial" w:hAnsi="Arial" w:cs="Arial"/>
        </w:rPr>
        <w:t>Abdulrasool</w:t>
      </w:r>
      <w:proofErr w:type="spellEnd"/>
      <w:r w:rsidRPr="0001517E">
        <w:rPr>
          <w:rFonts w:ascii="Arial" w:hAnsi="Arial" w:cs="Arial"/>
        </w:rPr>
        <w:t xml:space="preserve">, A. (2022). Behavior of Circular Footings on Cohesive Soils Confined </w:t>
      </w:r>
      <w:proofErr w:type="gramStart"/>
      <w:r w:rsidRPr="0001517E">
        <w:rPr>
          <w:rFonts w:ascii="Arial" w:hAnsi="Arial" w:cs="Arial"/>
        </w:rPr>
        <w:t>With</w:t>
      </w:r>
      <w:proofErr w:type="gramEnd"/>
      <w:r w:rsidRPr="0001517E">
        <w:rPr>
          <w:rFonts w:ascii="Arial" w:hAnsi="Arial" w:cs="Arial"/>
        </w:rPr>
        <w:t xml:space="preserve"> </w:t>
      </w:r>
      <w:proofErr w:type="gramStart"/>
      <w:r w:rsidRPr="0001517E">
        <w:rPr>
          <w:rFonts w:ascii="Arial" w:hAnsi="Arial" w:cs="Arial"/>
        </w:rPr>
        <w:t>A</w:t>
      </w:r>
      <w:proofErr w:type="gramEnd"/>
      <w:r w:rsidRPr="0001517E">
        <w:rPr>
          <w:rFonts w:ascii="Arial" w:hAnsi="Arial" w:cs="Arial"/>
        </w:rPr>
        <w:t xml:space="preserve"> Shear Resistance Wall. International Journal of GEOMATE. 23. 90-99. 10.21660/2022.99.3642. </w:t>
      </w:r>
    </w:p>
    <w:p w14:paraId="712B3C76" w14:textId="77777777" w:rsidR="006D7EC8" w:rsidRPr="006D7EC8" w:rsidRDefault="006D7EC8" w:rsidP="006D7EC8">
      <w:pPr>
        <w:pStyle w:val="Body"/>
        <w:rPr>
          <w:rFonts w:ascii="Arial" w:hAnsi="Arial" w:cs="Arial"/>
          <w:bCs/>
          <w:lang w:val="en-GB"/>
        </w:rPr>
      </w:pPr>
      <w:r w:rsidRPr="006D7EC8">
        <w:rPr>
          <w:rFonts w:ascii="Arial" w:hAnsi="Arial" w:cs="Arial"/>
          <w:bCs/>
          <w:highlight w:val="yellow"/>
          <w:lang w:val="en-GB"/>
        </w:rPr>
        <w:t>Alaka, S. A., &amp; Osman, Y. (2023). Assessment of Municipal Solid Waste Management in Oyo State, Nigeria: Challenges and Solutions. IIARD International Journal of Geography and Environmental Management (IJGEM), 9(6), 78–90. https://doi.org/10.56201/ijgem.v9.no6.2023.pg78.90</w:t>
      </w:r>
    </w:p>
    <w:p w14:paraId="71612865" w14:textId="3CED68AD" w:rsidR="0001517E" w:rsidRPr="0001517E" w:rsidRDefault="0001517E" w:rsidP="0001517E">
      <w:pPr>
        <w:pStyle w:val="Body"/>
        <w:rPr>
          <w:rFonts w:ascii="Arial" w:hAnsi="Arial" w:cs="Arial"/>
        </w:rPr>
      </w:pPr>
      <w:r w:rsidRPr="0001517E">
        <w:rPr>
          <w:rFonts w:ascii="Arial" w:hAnsi="Arial" w:cs="Arial"/>
        </w:rPr>
        <w:t xml:space="preserve">Ali, N., Khan, M. H., Ali, M., Ahmad, S., Khan, A., Nabi, G., Ali, F., </w:t>
      </w:r>
      <w:proofErr w:type="spellStart"/>
      <w:r w:rsidRPr="0001517E">
        <w:rPr>
          <w:rFonts w:ascii="Arial" w:hAnsi="Arial" w:cs="Arial"/>
        </w:rPr>
        <w:t>Bououdina</w:t>
      </w:r>
      <w:proofErr w:type="spellEnd"/>
      <w:r w:rsidRPr="0001517E">
        <w:rPr>
          <w:rFonts w:ascii="Arial" w:hAnsi="Arial" w:cs="Arial"/>
        </w:rPr>
        <w:t xml:space="preserve">, M., &amp; </w:t>
      </w:r>
      <w:proofErr w:type="spellStart"/>
      <w:r w:rsidRPr="0001517E">
        <w:rPr>
          <w:rFonts w:ascii="Arial" w:hAnsi="Arial" w:cs="Arial"/>
        </w:rPr>
        <w:t>Kyzas</w:t>
      </w:r>
      <w:proofErr w:type="spellEnd"/>
      <w:r w:rsidRPr="0001517E">
        <w:rPr>
          <w:rFonts w:ascii="Arial" w:hAnsi="Arial" w:cs="Arial"/>
        </w:rPr>
        <w:t xml:space="preserve">, G. Z. (2024). Insight into microplastics in the aquatic ecosystem: Properties, sources, threats and mitigation strategies. </w:t>
      </w:r>
      <w:r w:rsidRPr="0001517E">
        <w:rPr>
          <w:rFonts w:ascii="Arial" w:hAnsi="Arial" w:cs="Arial"/>
          <w:i/>
          <w:iCs/>
        </w:rPr>
        <w:t>Science of The Total Environment</w:t>
      </w:r>
      <w:r w:rsidRPr="0001517E">
        <w:rPr>
          <w:rFonts w:ascii="Arial" w:hAnsi="Arial" w:cs="Arial"/>
        </w:rPr>
        <w:t xml:space="preserve">, </w:t>
      </w:r>
      <w:r w:rsidRPr="0001517E">
        <w:rPr>
          <w:rFonts w:ascii="Arial" w:hAnsi="Arial" w:cs="Arial"/>
          <w:i/>
          <w:iCs/>
        </w:rPr>
        <w:t>913</w:t>
      </w:r>
      <w:r w:rsidRPr="0001517E">
        <w:rPr>
          <w:rFonts w:ascii="Arial" w:hAnsi="Arial" w:cs="Arial"/>
        </w:rPr>
        <w:t xml:space="preserve">, 169489. </w:t>
      </w:r>
      <w:hyperlink r:id="rId23" w:history="1">
        <w:r w:rsidRPr="0001517E">
          <w:rPr>
            <w:rStyle w:val="Hyperlink"/>
            <w:rFonts w:ascii="Arial" w:hAnsi="Arial" w:cs="Arial"/>
          </w:rPr>
          <w:t>https://doi.org/10.1016/j.scitotenv.2023.169489</w:t>
        </w:r>
      </w:hyperlink>
    </w:p>
    <w:p w14:paraId="37578DD3" w14:textId="77777777" w:rsidR="0001517E" w:rsidRPr="0001517E" w:rsidRDefault="0001517E" w:rsidP="0001517E">
      <w:pPr>
        <w:pStyle w:val="Body"/>
        <w:rPr>
          <w:rFonts w:ascii="Arial" w:hAnsi="Arial" w:cs="Arial"/>
        </w:rPr>
      </w:pPr>
      <w:r w:rsidRPr="0001517E">
        <w:rPr>
          <w:rFonts w:ascii="Arial" w:hAnsi="Arial" w:cs="Arial"/>
        </w:rPr>
        <w:t xml:space="preserve">Amakye, S., Abbey, S., Booth, C., </w:t>
      </w:r>
      <w:proofErr w:type="spellStart"/>
      <w:r w:rsidRPr="0001517E">
        <w:rPr>
          <w:rFonts w:ascii="Arial" w:hAnsi="Arial" w:cs="Arial"/>
        </w:rPr>
        <w:t>Mahamadu</w:t>
      </w:r>
      <w:proofErr w:type="spellEnd"/>
      <w:r w:rsidRPr="0001517E">
        <w:rPr>
          <w:rFonts w:ascii="Arial" w:hAnsi="Arial" w:cs="Arial"/>
        </w:rPr>
        <w:t xml:space="preserve">, A. (2021). Enhancing the Engineering Properties of Subgrade Materials Using Processed Waste: A Review. Geotechnics. 1. 10.3390/geotechnics1020015. </w:t>
      </w:r>
    </w:p>
    <w:p w14:paraId="34E8971E" w14:textId="77777777" w:rsidR="0001517E" w:rsidRPr="0001517E" w:rsidRDefault="0001517E" w:rsidP="0001517E">
      <w:pPr>
        <w:pStyle w:val="Body"/>
        <w:rPr>
          <w:rFonts w:ascii="Arial" w:hAnsi="Arial" w:cs="Arial"/>
        </w:rPr>
      </w:pPr>
      <w:r w:rsidRPr="0001517E">
        <w:rPr>
          <w:rFonts w:ascii="Arial" w:hAnsi="Arial" w:cs="Arial"/>
        </w:rPr>
        <w:t xml:space="preserve">Archibong, G., Sunday, E., </w:t>
      </w:r>
      <w:proofErr w:type="spellStart"/>
      <w:r w:rsidRPr="0001517E">
        <w:rPr>
          <w:rFonts w:ascii="Arial" w:hAnsi="Arial" w:cs="Arial"/>
        </w:rPr>
        <w:t>Akudike</w:t>
      </w:r>
      <w:proofErr w:type="spellEnd"/>
      <w:r w:rsidRPr="0001517E">
        <w:rPr>
          <w:rFonts w:ascii="Arial" w:hAnsi="Arial" w:cs="Arial"/>
        </w:rPr>
        <w:t xml:space="preserve">, J., Okeke, O., &amp; Amadi, C. (2020). A Review of the Principles and Methods of Soil Stabilization. 2488-9849. </w:t>
      </w:r>
    </w:p>
    <w:p w14:paraId="59FA2DF7" w14:textId="77777777" w:rsidR="0001517E" w:rsidRPr="0001517E" w:rsidRDefault="0001517E" w:rsidP="0001517E">
      <w:pPr>
        <w:pStyle w:val="Body"/>
        <w:rPr>
          <w:rFonts w:ascii="Arial" w:hAnsi="Arial" w:cs="Arial"/>
        </w:rPr>
      </w:pPr>
      <w:r w:rsidRPr="0001517E">
        <w:rPr>
          <w:rFonts w:ascii="Arial" w:hAnsi="Arial" w:cs="Arial"/>
        </w:rPr>
        <w:t xml:space="preserve">Barman, D., &amp; Dash, S. K. (2022). Stabilization of expansive soils using chemical additives: A review. </w:t>
      </w:r>
      <w:r w:rsidRPr="0001517E">
        <w:rPr>
          <w:rFonts w:ascii="Arial" w:hAnsi="Arial" w:cs="Arial"/>
          <w:i/>
          <w:iCs/>
        </w:rPr>
        <w:t>Journal of Rock Mechanics and Geotechnical Engineering</w:t>
      </w:r>
      <w:r w:rsidRPr="0001517E">
        <w:rPr>
          <w:rFonts w:ascii="Arial" w:hAnsi="Arial" w:cs="Arial"/>
        </w:rPr>
        <w:t xml:space="preserve">, </w:t>
      </w:r>
      <w:r w:rsidRPr="0001517E">
        <w:rPr>
          <w:rFonts w:ascii="Arial" w:hAnsi="Arial" w:cs="Arial"/>
          <w:i/>
          <w:iCs/>
        </w:rPr>
        <w:t>14</w:t>
      </w:r>
      <w:r w:rsidRPr="0001517E">
        <w:rPr>
          <w:rFonts w:ascii="Arial" w:hAnsi="Arial" w:cs="Arial"/>
        </w:rPr>
        <w:t>(4), 1319-1342. https://doi.org/10.1016/j.jrmge.2022.02.011</w:t>
      </w:r>
    </w:p>
    <w:p w14:paraId="6DC2554A" w14:textId="77777777" w:rsidR="0001517E" w:rsidRPr="0001517E" w:rsidRDefault="0001517E" w:rsidP="0001517E">
      <w:pPr>
        <w:pStyle w:val="Body"/>
        <w:rPr>
          <w:rFonts w:ascii="Arial" w:hAnsi="Arial" w:cs="Arial"/>
        </w:rPr>
      </w:pPr>
      <w:r w:rsidRPr="0001517E">
        <w:rPr>
          <w:rFonts w:ascii="Arial" w:hAnsi="Arial" w:cs="Arial"/>
        </w:rPr>
        <w:t xml:space="preserve">Belaïd, F. (2022). How does concrete and cement industry transformation contribute to mitigating climate change challenges? </w:t>
      </w:r>
      <w:r w:rsidRPr="0001517E">
        <w:rPr>
          <w:rFonts w:ascii="Arial" w:hAnsi="Arial" w:cs="Arial"/>
          <w:i/>
          <w:iCs/>
        </w:rPr>
        <w:t>Resources, Conservation &amp; Recycling Advances</w:t>
      </w:r>
      <w:r w:rsidRPr="0001517E">
        <w:rPr>
          <w:rFonts w:ascii="Arial" w:hAnsi="Arial" w:cs="Arial"/>
        </w:rPr>
        <w:t xml:space="preserve">, </w:t>
      </w:r>
      <w:r w:rsidRPr="0001517E">
        <w:rPr>
          <w:rFonts w:ascii="Arial" w:hAnsi="Arial" w:cs="Arial"/>
          <w:i/>
          <w:iCs/>
        </w:rPr>
        <w:t>15</w:t>
      </w:r>
      <w:r w:rsidRPr="0001517E">
        <w:rPr>
          <w:rFonts w:ascii="Arial" w:hAnsi="Arial" w:cs="Arial"/>
        </w:rPr>
        <w:t>, 200084. https://doi.org/10.1016/j.rcradv.2022.200084</w:t>
      </w:r>
    </w:p>
    <w:p w14:paraId="534EDBB0" w14:textId="77777777" w:rsidR="0001517E" w:rsidRPr="0001517E" w:rsidRDefault="0001517E" w:rsidP="0001517E">
      <w:pPr>
        <w:pStyle w:val="Body"/>
        <w:rPr>
          <w:rFonts w:ascii="Arial" w:hAnsi="Arial" w:cs="Arial"/>
        </w:rPr>
      </w:pPr>
      <w:r w:rsidRPr="0001517E">
        <w:rPr>
          <w:rFonts w:ascii="Arial" w:hAnsi="Arial" w:cs="Arial"/>
        </w:rPr>
        <w:t xml:space="preserve">Bodor, A., Feigl, G., </w:t>
      </w:r>
      <w:proofErr w:type="spellStart"/>
      <w:r w:rsidRPr="0001517E">
        <w:rPr>
          <w:rFonts w:ascii="Arial" w:hAnsi="Arial" w:cs="Arial"/>
        </w:rPr>
        <w:t>Kolossa</w:t>
      </w:r>
      <w:proofErr w:type="spellEnd"/>
      <w:r w:rsidRPr="0001517E">
        <w:rPr>
          <w:rFonts w:ascii="Arial" w:hAnsi="Arial" w:cs="Arial"/>
        </w:rPr>
        <w:t xml:space="preserve">, B., Mészáros, E., Laczi, K., Kovács, E., Perei, K., &amp; </w:t>
      </w:r>
      <w:proofErr w:type="spellStart"/>
      <w:r w:rsidRPr="0001517E">
        <w:rPr>
          <w:rFonts w:ascii="Arial" w:hAnsi="Arial" w:cs="Arial"/>
        </w:rPr>
        <w:t>Rákhely</w:t>
      </w:r>
      <w:proofErr w:type="spellEnd"/>
      <w:r w:rsidRPr="0001517E">
        <w:rPr>
          <w:rFonts w:ascii="Arial" w:hAnsi="Arial" w:cs="Arial"/>
        </w:rPr>
        <w:t xml:space="preserve">, G. (2024). Soils in distress: The impacts and ecological risks of (micro)plastic pollution in the terrestrial environment. </w:t>
      </w:r>
      <w:r w:rsidRPr="0001517E">
        <w:rPr>
          <w:rFonts w:ascii="Arial" w:hAnsi="Arial" w:cs="Arial"/>
          <w:i/>
          <w:iCs/>
        </w:rPr>
        <w:t>Ecotoxicology and Environmental Safety</w:t>
      </w:r>
      <w:r w:rsidRPr="0001517E">
        <w:rPr>
          <w:rFonts w:ascii="Arial" w:hAnsi="Arial" w:cs="Arial"/>
        </w:rPr>
        <w:t xml:space="preserve">, </w:t>
      </w:r>
      <w:r w:rsidRPr="0001517E">
        <w:rPr>
          <w:rFonts w:ascii="Arial" w:hAnsi="Arial" w:cs="Arial"/>
          <w:i/>
          <w:iCs/>
        </w:rPr>
        <w:t>269</w:t>
      </w:r>
      <w:r w:rsidRPr="0001517E">
        <w:rPr>
          <w:rFonts w:ascii="Arial" w:hAnsi="Arial" w:cs="Arial"/>
        </w:rPr>
        <w:t xml:space="preserve">, 115807. </w:t>
      </w:r>
      <w:hyperlink r:id="rId24" w:history="1">
        <w:r w:rsidRPr="0001517E">
          <w:rPr>
            <w:rStyle w:val="Hyperlink"/>
            <w:rFonts w:ascii="Arial" w:hAnsi="Arial" w:cs="Arial"/>
          </w:rPr>
          <w:t>https://doi.org/10.1016/j.ecoenv.2023.115807</w:t>
        </w:r>
      </w:hyperlink>
      <w:bookmarkStart w:id="7" w:name="_Hlk179542174"/>
    </w:p>
    <w:p w14:paraId="134EC6AE" w14:textId="77777777" w:rsidR="0001517E" w:rsidRPr="0001517E" w:rsidRDefault="0001517E" w:rsidP="0001517E">
      <w:pPr>
        <w:pStyle w:val="Body"/>
        <w:rPr>
          <w:rFonts w:ascii="Arial" w:hAnsi="Arial" w:cs="Arial"/>
        </w:rPr>
      </w:pPr>
      <w:r w:rsidRPr="0001517E">
        <w:rPr>
          <w:rFonts w:ascii="Arial" w:hAnsi="Arial" w:cs="Arial"/>
        </w:rPr>
        <w:t>Dhir</w:t>
      </w:r>
      <w:bookmarkEnd w:id="7"/>
      <w:r w:rsidRPr="0001517E">
        <w:rPr>
          <w:rFonts w:ascii="Arial" w:hAnsi="Arial" w:cs="Arial"/>
        </w:rPr>
        <w:t xml:space="preserve">, R. K., Brito, J. D., </w:t>
      </w:r>
      <w:proofErr w:type="spellStart"/>
      <w:r w:rsidRPr="0001517E">
        <w:rPr>
          <w:rFonts w:ascii="Arial" w:hAnsi="Arial" w:cs="Arial"/>
        </w:rPr>
        <w:t>Mangabhai</w:t>
      </w:r>
      <w:proofErr w:type="spellEnd"/>
      <w:r w:rsidRPr="0001517E">
        <w:rPr>
          <w:rFonts w:ascii="Arial" w:hAnsi="Arial" w:cs="Arial"/>
        </w:rPr>
        <w:t xml:space="preserve">, R., &amp; Lye, C. Q. (2017). Use of Copper Slag in Geotechnical Applications. </w:t>
      </w:r>
      <w:r w:rsidRPr="0001517E">
        <w:rPr>
          <w:rFonts w:ascii="Arial" w:hAnsi="Arial" w:cs="Arial"/>
          <w:i/>
          <w:iCs/>
        </w:rPr>
        <w:t>Sustainable Construction Materials: Copper Slag</w:t>
      </w:r>
      <w:r w:rsidRPr="0001517E">
        <w:rPr>
          <w:rFonts w:ascii="Arial" w:hAnsi="Arial" w:cs="Arial"/>
        </w:rPr>
        <w:t>, 211-245. https://doi.org/10.1016/B978-0-08-100986-4.00006-7</w:t>
      </w:r>
    </w:p>
    <w:p w14:paraId="5028CF96" w14:textId="77777777" w:rsidR="0001517E" w:rsidRPr="0001517E" w:rsidRDefault="0001517E" w:rsidP="0001517E">
      <w:pPr>
        <w:pStyle w:val="Body"/>
        <w:rPr>
          <w:rFonts w:ascii="Arial" w:hAnsi="Arial" w:cs="Arial"/>
        </w:rPr>
      </w:pPr>
      <w:r w:rsidRPr="0001517E">
        <w:rPr>
          <w:rFonts w:ascii="Arial" w:hAnsi="Arial" w:cs="Arial"/>
        </w:rPr>
        <w:t xml:space="preserve">Di Nardi J., Palermo, M., Pagliara, S., and </w:t>
      </w:r>
      <w:proofErr w:type="spellStart"/>
      <w:r w:rsidRPr="0001517E">
        <w:rPr>
          <w:rFonts w:ascii="Arial" w:hAnsi="Arial" w:cs="Arial"/>
        </w:rPr>
        <w:t>Bombardelli</w:t>
      </w:r>
      <w:proofErr w:type="spellEnd"/>
      <w:r w:rsidRPr="0001517E">
        <w:rPr>
          <w:rFonts w:ascii="Arial" w:hAnsi="Arial" w:cs="Arial"/>
        </w:rPr>
        <w:t xml:space="preserve">, F.A. (2022). "Jet Scour in Cohesive and </w:t>
      </w:r>
      <w:proofErr w:type="spellStart"/>
      <w:r w:rsidRPr="0001517E">
        <w:rPr>
          <w:rFonts w:ascii="Arial" w:hAnsi="Arial" w:cs="Arial"/>
        </w:rPr>
        <w:t>NonCohesive</w:t>
      </w:r>
      <w:proofErr w:type="spellEnd"/>
      <w:r w:rsidRPr="0001517E">
        <w:rPr>
          <w:rFonts w:ascii="Arial" w:hAnsi="Arial" w:cs="Arial"/>
        </w:rPr>
        <w:t xml:space="preserve"> Soil" in "9th IAHR International Symposium on Hydraulic Structures (9th ISHS)". Proceedings of the 9th IAHR International Symposium on Hydraulic Structures – 9th ISHS, 24-27 October 2022, IIT Roorkee, Roorkee, India. Palermo, Ahmad, Crookston, and </w:t>
      </w:r>
      <w:proofErr w:type="spellStart"/>
      <w:r w:rsidRPr="0001517E">
        <w:rPr>
          <w:rFonts w:ascii="Arial" w:hAnsi="Arial" w:cs="Arial"/>
        </w:rPr>
        <w:t>Erpicum</w:t>
      </w:r>
      <w:proofErr w:type="spellEnd"/>
      <w:r w:rsidRPr="0001517E">
        <w:rPr>
          <w:rFonts w:ascii="Arial" w:hAnsi="Arial" w:cs="Arial"/>
        </w:rPr>
        <w:t xml:space="preserve"> Editors. Utah State University, Logan, Utah, USA, 10 pages (DOI: 10.26077/e166-a040) (ISBN 978-1-958416-07-5). </w:t>
      </w:r>
    </w:p>
    <w:p w14:paraId="48B0872E" w14:textId="1AF97DE3" w:rsidR="0001517E" w:rsidRPr="0001517E" w:rsidRDefault="0001517E" w:rsidP="0001517E">
      <w:pPr>
        <w:pStyle w:val="Body"/>
        <w:rPr>
          <w:rFonts w:ascii="Arial" w:hAnsi="Arial" w:cs="Arial"/>
        </w:rPr>
      </w:pPr>
      <w:r w:rsidRPr="0001517E">
        <w:rPr>
          <w:rFonts w:ascii="Arial" w:hAnsi="Arial" w:cs="Arial"/>
        </w:rPr>
        <w:t xml:space="preserve">Gunarathne, V., Gunatilake, S. R., </w:t>
      </w:r>
      <w:proofErr w:type="spellStart"/>
      <w:r w:rsidRPr="0001517E">
        <w:rPr>
          <w:rFonts w:ascii="Arial" w:hAnsi="Arial" w:cs="Arial"/>
        </w:rPr>
        <w:t>Wanasinghe</w:t>
      </w:r>
      <w:proofErr w:type="spellEnd"/>
      <w:r w:rsidRPr="0001517E">
        <w:rPr>
          <w:rFonts w:ascii="Arial" w:hAnsi="Arial" w:cs="Arial"/>
        </w:rPr>
        <w:t xml:space="preserve">, S. T., </w:t>
      </w:r>
      <w:proofErr w:type="spellStart"/>
      <w:r w:rsidRPr="0001517E">
        <w:rPr>
          <w:rFonts w:ascii="Arial" w:hAnsi="Arial" w:cs="Arial"/>
        </w:rPr>
        <w:t>Atugoda</w:t>
      </w:r>
      <w:proofErr w:type="spellEnd"/>
      <w:r w:rsidRPr="0001517E">
        <w:rPr>
          <w:rFonts w:ascii="Arial" w:hAnsi="Arial" w:cs="Arial"/>
        </w:rPr>
        <w:t>, T., Wijekoon, P., Biswas, J. K., &amp; Vithanage, M. (202</w:t>
      </w:r>
      <w:r w:rsidR="006D7EC8">
        <w:rPr>
          <w:rFonts w:ascii="Arial" w:hAnsi="Arial" w:cs="Arial"/>
        </w:rPr>
        <w:t>0</w:t>
      </w:r>
      <w:r w:rsidRPr="0001517E">
        <w:rPr>
          <w:rFonts w:ascii="Arial" w:hAnsi="Arial" w:cs="Arial"/>
        </w:rPr>
        <w:t xml:space="preserve">). Phytoremediation for E-waste contaminated sites. </w:t>
      </w:r>
      <w:r w:rsidRPr="0001517E">
        <w:rPr>
          <w:rFonts w:ascii="Arial" w:hAnsi="Arial" w:cs="Arial"/>
          <w:i/>
          <w:iCs/>
        </w:rPr>
        <w:t xml:space="preserve">Handbook of </w:t>
      </w:r>
      <w:r w:rsidRPr="0001517E">
        <w:rPr>
          <w:rFonts w:ascii="Arial" w:hAnsi="Arial" w:cs="Arial"/>
          <w:i/>
          <w:iCs/>
        </w:rPr>
        <w:lastRenderedPageBreak/>
        <w:t>Electronic Waste Management</w:t>
      </w:r>
      <w:r w:rsidRPr="0001517E">
        <w:rPr>
          <w:rFonts w:ascii="Arial" w:hAnsi="Arial" w:cs="Arial"/>
        </w:rPr>
        <w:t xml:space="preserve">, 141-170. </w:t>
      </w:r>
      <w:hyperlink r:id="rId25" w:history="1">
        <w:r w:rsidRPr="0001517E">
          <w:rPr>
            <w:rStyle w:val="Hyperlink"/>
            <w:rFonts w:ascii="Arial" w:hAnsi="Arial" w:cs="Arial"/>
          </w:rPr>
          <w:t>https://doi.org/10.1016/B978-0-12-817030-4.00005-X</w:t>
        </w:r>
      </w:hyperlink>
    </w:p>
    <w:p w14:paraId="373ED9CF" w14:textId="77777777" w:rsidR="0001517E" w:rsidRPr="0001517E" w:rsidRDefault="0001517E" w:rsidP="0001517E">
      <w:pPr>
        <w:pStyle w:val="Body"/>
        <w:rPr>
          <w:rFonts w:ascii="Arial" w:hAnsi="Arial" w:cs="Arial"/>
        </w:rPr>
      </w:pPr>
      <w:bookmarkStart w:id="8" w:name="_Hlk178758556"/>
      <w:r w:rsidRPr="0001517E">
        <w:rPr>
          <w:rFonts w:ascii="Arial" w:hAnsi="Arial" w:cs="Arial"/>
        </w:rPr>
        <w:t xml:space="preserve">Huang, J., </w:t>
      </w:r>
      <w:proofErr w:type="spellStart"/>
      <w:r w:rsidRPr="0001517E">
        <w:rPr>
          <w:rFonts w:ascii="Arial" w:hAnsi="Arial" w:cs="Arial"/>
        </w:rPr>
        <w:t>Kogbara</w:t>
      </w:r>
      <w:proofErr w:type="spellEnd"/>
      <w:r w:rsidRPr="0001517E">
        <w:rPr>
          <w:rFonts w:ascii="Arial" w:hAnsi="Arial" w:cs="Arial"/>
        </w:rPr>
        <w:t xml:space="preserve">, R. B., Hariharan, N., Masad, E. A., &amp; Little, D. N. (2021). A state-of-the-art review of polymers used in soil stabilization. </w:t>
      </w:r>
      <w:r w:rsidRPr="0001517E">
        <w:rPr>
          <w:rFonts w:ascii="Arial" w:hAnsi="Arial" w:cs="Arial"/>
          <w:i/>
          <w:iCs/>
        </w:rPr>
        <w:t>Construction and Building Materials</w:t>
      </w:r>
      <w:r w:rsidRPr="0001517E">
        <w:rPr>
          <w:rFonts w:ascii="Arial" w:hAnsi="Arial" w:cs="Arial"/>
        </w:rPr>
        <w:t xml:space="preserve">, </w:t>
      </w:r>
      <w:r w:rsidRPr="0001517E">
        <w:rPr>
          <w:rFonts w:ascii="Arial" w:hAnsi="Arial" w:cs="Arial"/>
          <w:i/>
          <w:iCs/>
        </w:rPr>
        <w:t>305</w:t>
      </w:r>
      <w:r w:rsidRPr="0001517E">
        <w:rPr>
          <w:rFonts w:ascii="Arial" w:hAnsi="Arial" w:cs="Arial"/>
        </w:rPr>
        <w:t>, 124685. https://doi.org/10.1016/j.conbuildmat.2021.124685</w:t>
      </w:r>
    </w:p>
    <w:p w14:paraId="0136BBD6" w14:textId="6D677067" w:rsidR="0001517E" w:rsidRPr="0001517E" w:rsidRDefault="0001517E" w:rsidP="0001517E">
      <w:pPr>
        <w:pStyle w:val="Body"/>
        <w:rPr>
          <w:rFonts w:ascii="Arial" w:hAnsi="Arial" w:cs="Arial"/>
        </w:rPr>
      </w:pPr>
      <w:bookmarkStart w:id="9" w:name="_Hlk180422226"/>
      <w:bookmarkEnd w:id="8"/>
      <w:proofErr w:type="spellStart"/>
      <w:r w:rsidRPr="0001517E">
        <w:rPr>
          <w:rFonts w:ascii="Arial" w:hAnsi="Arial" w:cs="Arial"/>
        </w:rPr>
        <w:t>Karumanchi</w:t>
      </w:r>
      <w:bookmarkEnd w:id="9"/>
      <w:proofErr w:type="spellEnd"/>
      <w:r w:rsidRPr="0001517E">
        <w:rPr>
          <w:rFonts w:ascii="Arial" w:hAnsi="Arial" w:cs="Arial"/>
        </w:rPr>
        <w:t xml:space="preserve">, </w:t>
      </w:r>
      <w:proofErr w:type="spellStart"/>
      <w:r w:rsidRPr="0001517E">
        <w:rPr>
          <w:rFonts w:ascii="Arial" w:hAnsi="Arial" w:cs="Arial"/>
        </w:rPr>
        <w:t>Meeravali</w:t>
      </w:r>
      <w:proofErr w:type="spellEnd"/>
      <w:r w:rsidRPr="0001517E">
        <w:rPr>
          <w:rFonts w:ascii="Arial" w:hAnsi="Arial" w:cs="Arial"/>
        </w:rPr>
        <w:t xml:space="preserve"> &amp; Ruben, Nerella &amp; Kodi, Rangaswamy. (2020). Stabilization of soft-clay using nanomaterial: </w:t>
      </w:r>
      <w:proofErr w:type="spellStart"/>
      <w:r w:rsidR="006D7EC8">
        <w:rPr>
          <w:rFonts w:ascii="Arial" w:hAnsi="Arial" w:cs="Arial"/>
        </w:rPr>
        <w:t>Terrasil</w:t>
      </w:r>
      <w:proofErr w:type="spellEnd"/>
      <w:r w:rsidRPr="0001517E">
        <w:rPr>
          <w:rFonts w:ascii="Arial" w:hAnsi="Arial" w:cs="Arial"/>
        </w:rPr>
        <w:t xml:space="preserve">. Materials Today: Proceedings. 27. 10.1016/j.matpr.2020.01.384. </w:t>
      </w:r>
    </w:p>
    <w:p w14:paraId="2BD0A7DB" w14:textId="77777777" w:rsidR="0001517E" w:rsidRPr="0001517E" w:rsidRDefault="0001517E" w:rsidP="0001517E">
      <w:pPr>
        <w:pStyle w:val="Body"/>
        <w:rPr>
          <w:rFonts w:ascii="Arial" w:hAnsi="Arial" w:cs="Arial"/>
        </w:rPr>
      </w:pPr>
      <w:proofErr w:type="spellStart"/>
      <w:r w:rsidRPr="0001517E">
        <w:rPr>
          <w:rFonts w:ascii="Arial" w:hAnsi="Arial" w:cs="Arial"/>
        </w:rPr>
        <w:t>Khaiyum</w:t>
      </w:r>
      <w:proofErr w:type="spellEnd"/>
      <w:r w:rsidRPr="0001517E">
        <w:rPr>
          <w:rFonts w:ascii="Arial" w:hAnsi="Arial" w:cs="Arial"/>
        </w:rPr>
        <w:t xml:space="preserve">, M. Z., Sarker, S., &amp; Kabir, G. (2023). Evaluation of Carbon Emission Factors in the Cement Industry: An Emerging Economy Context. </w:t>
      </w:r>
      <w:r w:rsidRPr="0001517E">
        <w:rPr>
          <w:rFonts w:ascii="Arial" w:hAnsi="Arial" w:cs="Arial"/>
          <w:i/>
          <w:iCs/>
        </w:rPr>
        <w:t>Sustainability</w:t>
      </w:r>
      <w:r w:rsidRPr="0001517E">
        <w:rPr>
          <w:rFonts w:ascii="Arial" w:hAnsi="Arial" w:cs="Arial"/>
        </w:rPr>
        <w:t xml:space="preserve">, </w:t>
      </w:r>
      <w:r w:rsidRPr="0001517E">
        <w:rPr>
          <w:rFonts w:ascii="Arial" w:hAnsi="Arial" w:cs="Arial"/>
          <w:i/>
          <w:iCs/>
        </w:rPr>
        <w:t>15</w:t>
      </w:r>
      <w:r w:rsidRPr="0001517E">
        <w:rPr>
          <w:rFonts w:ascii="Arial" w:hAnsi="Arial" w:cs="Arial"/>
        </w:rPr>
        <w:t>(21), 15407. https://doi.org/10.3390/su152115407</w:t>
      </w:r>
    </w:p>
    <w:p w14:paraId="7EC44F5A" w14:textId="77777777" w:rsidR="0001517E" w:rsidRPr="0001517E" w:rsidRDefault="0001517E" w:rsidP="0001517E">
      <w:pPr>
        <w:pStyle w:val="Body"/>
        <w:rPr>
          <w:rFonts w:ascii="Arial" w:hAnsi="Arial" w:cs="Arial"/>
        </w:rPr>
      </w:pPr>
      <w:r w:rsidRPr="0001517E">
        <w:rPr>
          <w:rFonts w:ascii="Arial" w:hAnsi="Arial" w:cs="Arial"/>
        </w:rPr>
        <w:t>Kumar, Amit &amp; devi, Kiran. (2023). Application of Nanotechnology in Soil Stabilization. Journal of Building Material Science. 5. 25-36. 10.30564/</w:t>
      </w:r>
      <w:proofErr w:type="gramStart"/>
      <w:r w:rsidRPr="0001517E">
        <w:rPr>
          <w:rFonts w:ascii="Arial" w:hAnsi="Arial" w:cs="Arial"/>
        </w:rPr>
        <w:t>jbms.v</w:t>
      </w:r>
      <w:proofErr w:type="gramEnd"/>
      <w:r w:rsidRPr="0001517E">
        <w:rPr>
          <w:rFonts w:ascii="Arial" w:hAnsi="Arial" w:cs="Arial"/>
        </w:rPr>
        <w:t xml:space="preserve">5i2.5913. </w:t>
      </w:r>
    </w:p>
    <w:p w14:paraId="4C253062" w14:textId="77777777" w:rsidR="0001517E" w:rsidRPr="0001517E" w:rsidRDefault="0001517E" w:rsidP="0001517E">
      <w:pPr>
        <w:pStyle w:val="Body"/>
        <w:rPr>
          <w:rFonts w:ascii="Arial" w:hAnsi="Arial" w:cs="Arial"/>
        </w:rPr>
      </w:pPr>
      <w:r w:rsidRPr="0001517E">
        <w:rPr>
          <w:rFonts w:ascii="Arial" w:hAnsi="Arial" w:cs="Arial"/>
        </w:rPr>
        <w:t xml:space="preserve">Mohamad, N., Muthusamy, K., Embong, R., </w:t>
      </w:r>
      <w:proofErr w:type="spellStart"/>
      <w:r w:rsidRPr="0001517E">
        <w:rPr>
          <w:rFonts w:ascii="Arial" w:hAnsi="Arial" w:cs="Arial"/>
        </w:rPr>
        <w:t>Kusbiantoro</w:t>
      </w:r>
      <w:proofErr w:type="spellEnd"/>
      <w:r w:rsidRPr="0001517E">
        <w:rPr>
          <w:rFonts w:ascii="Arial" w:hAnsi="Arial" w:cs="Arial"/>
        </w:rPr>
        <w:t xml:space="preserve">, A., &amp; Hashim, M. H. (2022). Environmental impact of cement production and Solutions: A review. </w:t>
      </w:r>
      <w:r w:rsidRPr="0001517E">
        <w:rPr>
          <w:rFonts w:ascii="Arial" w:hAnsi="Arial" w:cs="Arial"/>
          <w:i/>
          <w:iCs/>
        </w:rPr>
        <w:t>Materials Today: Proceedings</w:t>
      </w:r>
      <w:r w:rsidRPr="0001517E">
        <w:rPr>
          <w:rFonts w:ascii="Arial" w:hAnsi="Arial" w:cs="Arial"/>
        </w:rPr>
        <w:t xml:space="preserve">, </w:t>
      </w:r>
      <w:r w:rsidRPr="0001517E">
        <w:rPr>
          <w:rFonts w:ascii="Arial" w:hAnsi="Arial" w:cs="Arial"/>
          <w:i/>
          <w:iCs/>
        </w:rPr>
        <w:t>48</w:t>
      </w:r>
      <w:r w:rsidRPr="0001517E">
        <w:rPr>
          <w:rFonts w:ascii="Arial" w:hAnsi="Arial" w:cs="Arial"/>
        </w:rPr>
        <w:t xml:space="preserve">, 741-746. </w:t>
      </w:r>
      <w:hyperlink r:id="rId26" w:history="1">
        <w:r w:rsidRPr="0001517E">
          <w:rPr>
            <w:rStyle w:val="Hyperlink"/>
            <w:rFonts w:ascii="Arial" w:hAnsi="Arial" w:cs="Arial"/>
          </w:rPr>
          <w:t>https://doi.org/10.1016/j.matpr.2021.02.212</w:t>
        </w:r>
      </w:hyperlink>
      <w:bookmarkStart w:id="10" w:name="_Hlk180419292"/>
      <w:bookmarkStart w:id="11" w:name="_Hlk180418868"/>
      <w:bookmarkStart w:id="12" w:name="_Hlk179542789"/>
    </w:p>
    <w:p w14:paraId="48CEA46D" w14:textId="77777777" w:rsidR="006F2403" w:rsidRPr="006F2403" w:rsidRDefault="006F2403" w:rsidP="006F2403">
      <w:pPr>
        <w:pStyle w:val="Body"/>
        <w:rPr>
          <w:rFonts w:ascii="Arial" w:hAnsi="Arial" w:cs="Arial"/>
          <w:lang w:val="en-GB"/>
        </w:rPr>
      </w:pPr>
      <w:r w:rsidRPr="006F2403">
        <w:rPr>
          <w:rFonts w:ascii="Arial" w:hAnsi="Arial" w:cs="Arial"/>
          <w:highlight w:val="yellow"/>
          <w:lang w:val="en-GB"/>
        </w:rPr>
        <w:t>Nguyen, B. P., Nguyen, T. T., Nguyen, T., &amp; Guo, W. (2023). Analytical model for consolidation and bearing capacity of soft soil stabilized by combined PVD-deep cement mixing columns. Bulletin of Engineering Geology and the Environment, 82(7), 286</w:t>
      </w:r>
      <w:r w:rsidRPr="006F2403">
        <w:rPr>
          <w:rFonts w:ascii="Arial" w:hAnsi="Arial" w:cs="Arial"/>
          <w:lang w:val="en-GB"/>
        </w:rPr>
        <w:t>.</w:t>
      </w:r>
    </w:p>
    <w:p w14:paraId="49BE0B6C" w14:textId="77777777" w:rsidR="0001517E" w:rsidRPr="0001517E" w:rsidRDefault="0001517E" w:rsidP="0001517E">
      <w:pPr>
        <w:pStyle w:val="Body"/>
        <w:rPr>
          <w:rFonts w:ascii="Arial" w:hAnsi="Arial" w:cs="Arial"/>
        </w:rPr>
      </w:pPr>
      <w:proofErr w:type="spellStart"/>
      <w:r w:rsidRPr="0001517E">
        <w:rPr>
          <w:rFonts w:ascii="Arial" w:hAnsi="Arial" w:cs="Arial"/>
        </w:rPr>
        <w:t>Nzereogu</w:t>
      </w:r>
      <w:bookmarkEnd w:id="10"/>
      <w:proofErr w:type="spellEnd"/>
      <w:r w:rsidRPr="0001517E">
        <w:rPr>
          <w:rFonts w:ascii="Arial" w:hAnsi="Arial" w:cs="Arial"/>
        </w:rPr>
        <w:t xml:space="preserve">, S. K., Igwe, O., Emeh, C. O., </w:t>
      </w:r>
      <w:proofErr w:type="spellStart"/>
      <w:r w:rsidRPr="0001517E">
        <w:rPr>
          <w:rFonts w:ascii="Arial" w:hAnsi="Arial" w:cs="Arial"/>
        </w:rPr>
        <w:t>Ukor</w:t>
      </w:r>
      <w:proofErr w:type="spellEnd"/>
      <w:r w:rsidRPr="0001517E">
        <w:rPr>
          <w:rFonts w:ascii="Arial" w:hAnsi="Arial" w:cs="Arial"/>
        </w:rPr>
        <w:t xml:space="preserve">, K. P., &amp; </w:t>
      </w:r>
      <w:proofErr w:type="spellStart"/>
      <w:r w:rsidRPr="0001517E">
        <w:rPr>
          <w:rFonts w:ascii="Arial" w:hAnsi="Arial" w:cs="Arial"/>
        </w:rPr>
        <w:t>Echezona</w:t>
      </w:r>
      <w:proofErr w:type="spellEnd"/>
      <w:r w:rsidRPr="0001517E">
        <w:rPr>
          <w:rFonts w:ascii="Arial" w:hAnsi="Arial" w:cs="Arial"/>
        </w:rPr>
        <w:t xml:space="preserve">, P. E. (2023). Comparative analysis of the expansion rate and soil erodibility factor of some gullies in Nnewi and </w:t>
      </w:r>
      <w:proofErr w:type="spellStart"/>
      <w:r w:rsidRPr="0001517E">
        <w:rPr>
          <w:rFonts w:ascii="Arial" w:hAnsi="Arial" w:cs="Arial"/>
        </w:rPr>
        <w:t>Nnobi</w:t>
      </w:r>
      <w:proofErr w:type="spellEnd"/>
      <w:r w:rsidRPr="0001517E">
        <w:rPr>
          <w:rFonts w:ascii="Arial" w:hAnsi="Arial" w:cs="Arial"/>
        </w:rPr>
        <w:t xml:space="preserve">, Southeastern Nigeria. </w:t>
      </w:r>
      <w:r w:rsidRPr="0001517E">
        <w:rPr>
          <w:rFonts w:ascii="Arial" w:hAnsi="Arial" w:cs="Arial"/>
          <w:i/>
          <w:iCs/>
        </w:rPr>
        <w:t>Scientific Reports</w:t>
      </w:r>
      <w:r w:rsidRPr="0001517E">
        <w:rPr>
          <w:rFonts w:ascii="Arial" w:hAnsi="Arial" w:cs="Arial"/>
        </w:rPr>
        <w:t xml:space="preserve">, </w:t>
      </w:r>
      <w:r w:rsidRPr="0001517E">
        <w:rPr>
          <w:rFonts w:ascii="Arial" w:hAnsi="Arial" w:cs="Arial"/>
          <w:i/>
          <w:iCs/>
        </w:rPr>
        <w:t>13</w:t>
      </w:r>
      <w:r w:rsidRPr="0001517E">
        <w:rPr>
          <w:rFonts w:ascii="Arial" w:hAnsi="Arial" w:cs="Arial"/>
        </w:rPr>
        <w:t xml:space="preserve">(1), 1-20. </w:t>
      </w:r>
      <w:hyperlink r:id="rId27" w:history="1">
        <w:r w:rsidRPr="0001517E">
          <w:rPr>
            <w:rStyle w:val="Hyperlink"/>
            <w:rFonts w:ascii="Arial" w:hAnsi="Arial" w:cs="Arial"/>
          </w:rPr>
          <w:t>https://doi.org/10.1038/s41598-023-42320-w</w:t>
        </w:r>
      </w:hyperlink>
    </w:p>
    <w:p w14:paraId="08F0EE5C" w14:textId="77777777" w:rsidR="004948B4" w:rsidRDefault="004948B4" w:rsidP="0001517E">
      <w:pPr>
        <w:pStyle w:val="Body"/>
        <w:rPr>
          <w:rFonts w:ascii="Arial" w:hAnsi="Arial" w:cs="Arial"/>
          <w:lang w:val="en-GB"/>
        </w:rPr>
      </w:pPr>
      <w:r w:rsidRPr="004948B4">
        <w:rPr>
          <w:rFonts w:ascii="Arial" w:hAnsi="Arial" w:cs="Arial"/>
          <w:highlight w:val="yellow"/>
          <w:lang w:val="en-GB"/>
        </w:rPr>
        <w:t xml:space="preserve">Owino, A. O., Nahar, N., Hossain, Z., &amp; Tamaki, N. (2022). Dimensional influence of basalt </w:t>
      </w:r>
      <w:proofErr w:type="spellStart"/>
      <w:r w:rsidRPr="004948B4">
        <w:rPr>
          <w:rFonts w:ascii="Arial" w:hAnsi="Arial" w:cs="Arial"/>
          <w:highlight w:val="yellow"/>
          <w:lang w:val="en-GB"/>
        </w:rPr>
        <w:t>fiber</w:t>
      </w:r>
      <w:proofErr w:type="spellEnd"/>
      <w:r w:rsidRPr="004948B4">
        <w:rPr>
          <w:rFonts w:ascii="Arial" w:hAnsi="Arial" w:cs="Arial"/>
          <w:highlight w:val="yellow"/>
          <w:lang w:val="en-GB"/>
        </w:rPr>
        <w:t xml:space="preserve"> reinforcements on the consolidation behaviour of rice husk ash stabilized soils. Construction and Building Materials, 339, 127686.</w:t>
      </w:r>
    </w:p>
    <w:p w14:paraId="1AC916B0" w14:textId="64EA3B47" w:rsidR="0001517E" w:rsidRPr="0001517E" w:rsidRDefault="0001517E" w:rsidP="0001517E">
      <w:pPr>
        <w:pStyle w:val="Body"/>
        <w:rPr>
          <w:rFonts w:ascii="Arial" w:hAnsi="Arial" w:cs="Arial"/>
        </w:rPr>
      </w:pPr>
      <w:r w:rsidRPr="0001517E">
        <w:rPr>
          <w:rFonts w:ascii="Arial" w:hAnsi="Arial" w:cs="Arial"/>
        </w:rPr>
        <w:t>Pandey</w:t>
      </w:r>
      <w:bookmarkEnd w:id="11"/>
      <w:r w:rsidRPr="0001517E">
        <w:rPr>
          <w:rFonts w:ascii="Arial" w:hAnsi="Arial" w:cs="Arial"/>
        </w:rPr>
        <w:t xml:space="preserve">, S., &amp; Kumari, N. (2024). </w:t>
      </w:r>
      <w:proofErr w:type="spellStart"/>
      <w:r w:rsidRPr="0001517E">
        <w:rPr>
          <w:rFonts w:ascii="Arial" w:hAnsi="Arial" w:cs="Arial"/>
        </w:rPr>
        <w:t>Utilisation</w:t>
      </w:r>
      <w:proofErr w:type="spellEnd"/>
      <w:r w:rsidRPr="0001517E">
        <w:rPr>
          <w:rFonts w:ascii="Arial" w:hAnsi="Arial" w:cs="Arial"/>
        </w:rPr>
        <w:t xml:space="preserve"> of agricultural waste biopolymer for soil erosion management. </w:t>
      </w:r>
      <w:r w:rsidRPr="0001517E">
        <w:rPr>
          <w:rFonts w:ascii="Arial" w:hAnsi="Arial" w:cs="Arial"/>
          <w:i/>
          <w:iCs/>
        </w:rPr>
        <w:t>Role of Green Chemistry in Ecosystem Restoration to Achieve Environmental Sustainability</w:t>
      </w:r>
      <w:r w:rsidRPr="0001517E">
        <w:rPr>
          <w:rFonts w:ascii="Arial" w:hAnsi="Arial" w:cs="Arial"/>
        </w:rPr>
        <w:t>, 249-260. https://doi.org/10.1016/B978-0-443-15291-7.00019-5</w:t>
      </w:r>
    </w:p>
    <w:p w14:paraId="2F78195B" w14:textId="77777777" w:rsidR="0001517E" w:rsidRPr="0001517E" w:rsidRDefault="0001517E" w:rsidP="0001517E">
      <w:pPr>
        <w:pStyle w:val="Body"/>
        <w:rPr>
          <w:rFonts w:ascii="Arial" w:hAnsi="Arial" w:cs="Arial"/>
        </w:rPr>
      </w:pPr>
      <w:r w:rsidRPr="0001517E">
        <w:rPr>
          <w:rFonts w:ascii="Arial" w:hAnsi="Arial" w:cs="Arial"/>
        </w:rPr>
        <w:t>Salahudeen</w:t>
      </w:r>
      <w:bookmarkEnd w:id="12"/>
      <w:r w:rsidRPr="0001517E">
        <w:rPr>
          <w:rFonts w:ascii="Arial" w:hAnsi="Arial" w:cs="Arial"/>
        </w:rPr>
        <w:t>, A. B. &amp; Sadeeq, J. (2019). Strength Improvement of Weak Subgrade Soil Using Cement and Lime. FUOYE Journal of Engineering and Technology. 4. 34 - 39. 10.46792/</w:t>
      </w:r>
      <w:proofErr w:type="gramStart"/>
      <w:r w:rsidRPr="0001517E">
        <w:rPr>
          <w:rFonts w:ascii="Arial" w:hAnsi="Arial" w:cs="Arial"/>
        </w:rPr>
        <w:t>fuoyejet.v</w:t>
      </w:r>
      <w:proofErr w:type="gramEnd"/>
      <w:r w:rsidRPr="0001517E">
        <w:rPr>
          <w:rFonts w:ascii="Arial" w:hAnsi="Arial" w:cs="Arial"/>
        </w:rPr>
        <w:t xml:space="preserve">4i1.249. </w:t>
      </w:r>
    </w:p>
    <w:p w14:paraId="2D719379" w14:textId="77777777" w:rsidR="0001517E" w:rsidRPr="0001517E" w:rsidRDefault="0001517E" w:rsidP="0001517E">
      <w:pPr>
        <w:pStyle w:val="Body"/>
        <w:rPr>
          <w:rFonts w:ascii="Arial" w:hAnsi="Arial" w:cs="Arial"/>
        </w:rPr>
      </w:pPr>
      <w:r w:rsidRPr="0001517E">
        <w:rPr>
          <w:rFonts w:ascii="Arial" w:hAnsi="Arial" w:cs="Arial"/>
        </w:rPr>
        <w:t xml:space="preserve">Sánchez-Garrido, A. J., Navarro, I. J., &amp; Yepes, V. (2022). Evaluating the sustainability of soil improvement techniques in foundation substructures. </w:t>
      </w:r>
      <w:r w:rsidRPr="0001517E">
        <w:rPr>
          <w:rFonts w:ascii="Arial" w:hAnsi="Arial" w:cs="Arial"/>
          <w:i/>
          <w:iCs/>
        </w:rPr>
        <w:t>Journal of Cleaner Production</w:t>
      </w:r>
      <w:r w:rsidRPr="0001517E">
        <w:rPr>
          <w:rFonts w:ascii="Arial" w:hAnsi="Arial" w:cs="Arial"/>
        </w:rPr>
        <w:t xml:space="preserve">, </w:t>
      </w:r>
      <w:r w:rsidRPr="0001517E">
        <w:rPr>
          <w:rFonts w:ascii="Arial" w:hAnsi="Arial" w:cs="Arial"/>
          <w:i/>
          <w:iCs/>
        </w:rPr>
        <w:t>351</w:t>
      </w:r>
      <w:r w:rsidRPr="0001517E">
        <w:rPr>
          <w:rFonts w:ascii="Arial" w:hAnsi="Arial" w:cs="Arial"/>
        </w:rPr>
        <w:t xml:space="preserve">, 131463. </w:t>
      </w:r>
      <w:hyperlink r:id="rId28" w:history="1">
        <w:r w:rsidRPr="0001517E">
          <w:rPr>
            <w:rStyle w:val="Hyperlink"/>
            <w:rFonts w:ascii="Arial" w:hAnsi="Arial" w:cs="Arial"/>
          </w:rPr>
          <w:t>https://doi.org/10.1016/j.jclepro.2022.131463</w:t>
        </w:r>
      </w:hyperlink>
      <w:bookmarkStart w:id="13" w:name="_Hlk180421852"/>
    </w:p>
    <w:p w14:paraId="79335382" w14:textId="77777777" w:rsidR="0001517E" w:rsidRPr="0001517E" w:rsidRDefault="0001517E" w:rsidP="0001517E">
      <w:pPr>
        <w:pStyle w:val="Body"/>
        <w:rPr>
          <w:rFonts w:ascii="Arial" w:hAnsi="Arial" w:cs="Arial"/>
        </w:rPr>
      </w:pPr>
      <w:bookmarkStart w:id="14" w:name="_Hlk180422006"/>
      <w:r w:rsidRPr="0001517E">
        <w:rPr>
          <w:rFonts w:ascii="Arial" w:hAnsi="Arial" w:cs="Arial"/>
        </w:rPr>
        <w:t>Sharma</w:t>
      </w:r>
      <w:bookmarkEnd w:id="14"/>
      <w:r w:rsidRPr="0001517E">
        <w:rPr>
          <w:rFonts w:ascii="Arial" w:hAnsi="Arial" w:cs="Arial"/>
        </w:rPr>
        <w:t xml:space="preserve">, R., &amp; Kumar, V. (2024). Nano enabled agriculture for sustainable soil. </w:t>
      </w:r>
      <w:r w:rsidRPr="0001517E">
        <w:rPr>
          <w:rFonts w:ascii="Arial" w:hAnsi="Arial" w:cs="Arial"/>
          <w:i/>
          <w:iCs/>
        </w:rPr>
        <w:t>Waste Management Bulletin</w:t>
      </w:r>
      <w:r w:rsidRPr="0001517E">
        <w:rPr>
          <w:rFonts w:ascii="Arial" w:hAnsi="Arial" w:cs="Arial"/>
        </w:rPr>
        <w:t xml:space="preserve">, </w:t>
      </w:r>
      <w:r w:rsidRPr="0001517E">
        <w:rPr>
          <w:rFonts w:ascii="Arial" w:hAnsi="Arial" w:cs="Arial"/>
          <w:i/>
          <w:iCs/>
        </w:rPr>
        <w:t>2</w:t>
      </w:r>
      <w:r w:rsidRPr="0001517E">
        <w:rPr>
          <w:rFonts w:ascii="Arial" w:hAnsi="Arial" w:cs="Arial"/>
        </w:rPr>
        <w:t>(1), 152-161. https://doi.org/10.1016/j.wmb.2024.01.002</w:t>
      </w:r>
    </w:p>
    <w:p w14:paraId="4117982A" w14:textId="77777777" w:rsidR="0001517E" w:rsidRPr="0001517E" w:rsidRDefault="0001517E" w:rsidP="0001517E">
      <w:pPr>
        <w:pStyle w:val="Body"/>
        <w:rPr>
          <w:rFonts w:ascii="Arial" w:hAnsi="Arial" w:cs="Arial"/>
        </w:rPr>
      </w:pPr>
      <w:r w:rsidRPr="0001517E">
        <w:rPr>
          <w:rFonts w:ascii="Arial" w:hAnsi="Arial" w:cs="Arial"/>
        </w:rPr>
        <w:t>Taskin</w:t>
      </w:r>
      <w:bookmarkEnd w:id="13"/>
      <w:r w:rsidRPr="0001517E">
        <w:rPr>
          <w:rFonts w:ascii="Arial" w:hAnsi="Arial" w:cs="Arial"/>
        </w:rPr>
        <w:t xml:space="preserve">, R., Das, N., Neog, M., Konwar, M., &amp; Laskar, A. (2023). Soil </w:t>
      </w:r>
      <w:proofErr w:type="spellStart"/>
      <w:r w:rsidRPr="0001517E">
        <w:rPr>
          <w:rFonts w:ascii="Arial" w:hAnsi="Arial" w:cs="Arial"/>
        </w:rPr>
        <w:t>Stabilisation</w:t>
      </w:r>
      <w:proofErr w:type="spellEnd"/>
      <w:r w:rsidRPr="0001517E">
        <w:rPr>
          <w:rFonts w:ascii="Arial" w:hAnsi="Arial" w:cs="Arial"/>
        </w:rPr>
        <w:t xml:space="preserve"> Using Chemical Additives in Connection with Road Construction. </w:t>
      </w:r>
    </w:p>
    <w:p w14:paraId="41355980" w14:textId="77777777" w:rsidR="0001517E" w:rsidRPr="0001517E" w:rsidRDefault="0001517E" w:rsidP="0001517E">
      <w:pPr>
        <w:pStyle w:val="Body"/>
        <w:rPr>
          <w:rFonts w:ascii="Arial" w:hAnsi="Arial" w:cs="Arial"/>
        </w:rPr>
      </w:pPr>
      <w:r w:rsidRPr="0001517E">
        <w:rPr>
          <w:rFonts w:ascii="Arial" w:hAnsi="Arial" w:cs="Arial"/>
        </w:rPr>
        <w:lastRenderedPageBreak/>
        <w:t xml:space="preserve">Tracy, B. and Novak, A. (2023). (Internet Source): Cement industry accounts for about 8% of CO2 emissions. One startup seeks to change that || Available online: </w:t>
      </w:r>
      <w:hyperlink r:id="rId29" w:history="1">
        <w:r w:rsidRPr="0001517E">
          <w:rPr>
            <w:rStyle w:val="Hyperlink"/>
            <w:rFonts w:ascii="Arial" w:hAnsi="Arial" w:cs="Arial"/>
          </w:rPr>
          <w:t>https://www.cbsnews.com/news/cement-industry-co2-emissions-climate-change-brimstone/</w:t>
        </w:r>
      </w:hyperlink>
      <w:r w:rsidRPr="0001517E">
        <w:rPr>
          <w:rFonts w:ascii="Arial" w:hAnsi="Arial" w:cs="Arial"/>
        </w:rPr>
        <w:t xml:space="preserve"> [Assessed September 14</w:t>
      </w:r>
      <w:r w:rsidRPr="0001517E">
        <w:rPr>
          <w:rFonts w:ascii="Arial" w:hAnsi="Arial" w:cs="Arial"/>
          <w:vertAlign w:val="superscript"/>
        </w:rPr>
        <w:t>th</w:t>
      </w:r>
      <w:r w:rsidRPr="0001517E">
        <w:rPr>
          <w:rFonts w:ascii="Arial" w:hAnsi="Arial" w:cs="Arial"/>
        </w:rPr>
        <w:t>, 2024]</w:t>
      </w:r>
    </w:p>
    <w:p w14:paraId="36B75FF6" w14:textId="77777777" w:rsidR="0001517E" w:rsidRPr="0001517E" w:rsidRDefault="0001517E" w:rsidP="0001517E">
      <w:pPr>
        <w:pStyle w:val="Body"/>
        <w:rPr>
          <w:rFonts w:ascii="Arial" w:hAnsi="Arial" w:cs="Arial"/>
        </w:rPr>
      </w:pPr>
      <w:bookmarkStart w:id="15" w:name="_Hlk180419375"/>
      <w:r w:rsidRPr="0001517E">
        <w:rPr>
          <w:rFonts w:ascii="Arial" w:hAnsi="Arial" w:cs="Arial"/>
        </w:rPr>
        <w:t>Utkarsh</w:t>
      </w:r>
      <w:bookmarkEnd w:id="15"/>
      <w:r w:rsidRPr="0001517E">
        <w:rPr>
          <w:rFonts w:ascii="Arial" w:hAnsi="Arial" w:cs="Arial"/>
        </w:rPr>
        <w:t xml:space="preserve">, &amp; Jain P. K. (2024) Enhancing the properties of swelling soils with lime, fly ash, and expanded polystyrene -A review. </w:t>
      </w:r>
      <w:proofErr w:type="spellStart"/>
      <w:r w:rsidRPr="0001517E">
        <w:rPr>
          <w:rFonts w:ascii="Arial" w:hAnsi="Arial" w:cs="Arial"/>
        </w:rPr>
        <w:t>Heliyon</w:t>
      </w:r>
      <w:proofErr w:type="spellEnd"/>
      <w:r w:rsidRPr="0001517E">
        <w:rPr>
          <w:rFonts w:ascii="Arial" w:hAnsi="Arial" w:cs="Arial"/>
        </w:rPr>
        <w:t>. 10(12</w:t>
      </w:r>
      <w:proofErr w:type="gramStart"/>
      <w:r w:rsidRPr="0001517E">
        <w:rPr>
          <w:rFonts w:ascii="Arial" w:hAnsi="Arial" w:cs="Arial"/>
        </w:rPr>
        <w:t>):e</w:t>
      </w:r>
      <w:proofErr w:type="gramEnd"/>
      <w:r w:rsidRPr="0001517E">
        <w:rPr>
          <w:rFonts w:ascii="Arial" w:hAnsi="Arial" w:cs="Arial"/>
        </w:rPr>
        <w:t xml:space="preserve">32908. </w:t>
      </w:r>
      <w:proofErr w:type="spellStart"/>
      <w:r w:rsidRPr="0001517E">
        <w:rPr>
          <w:rFonts w:ascii="Arial" w:hAnsi="Arial" w:cs="Arial"/>
        </w:rPr>
        <w:t>doi</w:t>
      </w:r>
      <w:proofErr w:type="spellEnd"/>
      <w:r w:rsidRPr="0001517E">
        <w:rPr>
          <w:rFonts w:ascii="Arial" w:hAnsi="Arial" w:cs="Arial"/>
        </w:rPr>
        <w:t xml:space="preserve">: </w:t>
      </w:r>
      <w:proofErr w:type="gramStart"/>
      <w:r w:rsidRPr="0001517E">
        <w:rPr>
          <w:rFonts w:ascii="Arial" w:hAnsi="Arial" w:cs="Arial"/>
        </w:rPr>
        <w:t>10.1016/j.heliyon.2024.e</w:t>
      </w:r>
      <w:proofErr w:type="gramEnd"/>
      <w:r w:rsidRPr="0001517E">
        <w:rPr>
          <w:rFonts w:ascii="Arial" w:hAnsi="Arial" w:cs="Arial"/>
        </w:rPr>
        <w:t>32908. PMID: 38975161; PMCID: PMC11226918.</w:t>
      </w:r>
    </w:p>
    <w:p w14:paraId="33E93FC1" w14:textId="77777777" w:rsidR="0001517E" w:rsidRPr="0001517E" w:rsidRDefault="0001517E" w:rsidP="0001517E">
      <w:pPr>
        <w:pStyle w:val="Body"/>
        <w:rPr>
          <w:rFonts w:ascii="Arial" w:hAnsi="Arial" w:cs="Arial"/>
        </w:rPr>
      </w:pPr>
      <w:r w:rsidRPr="0001517E">
        <w:rPr>
          <w:rFonts w:ascii="Arial" w:hAnsi="Arial" w:cs="Arial"/>
        </w:rPr>
        <w:t xml:space="preserve">Verma, H., Ray, A., Rai, R., Gupta, T., &amp; Mehta, N. (2021). Ground improvement using chemical methods: A review. </w:t>
      </w:r>
      <w:proofErr w:type="spellStart"/>
      <w:r w:rsidRPr="0001517E">
        <w:rPr>
          <w:rFonts w:ascii="Arial" w:hAnsi="Arial" w:cs="Arial"/>
          <w:i/>
          <w:iCs/>
        </w:rPr>
        <w:t>Heliyon</w:t>
      </w:r>
      <w:proofErr w:type="spellEnd"/>
      <w:r w:rsidRPr="0001517E">
        <w:rPr>
          <w:rFonts w:ascii="Arial" w:hAnsi="Arial" w:cs="Arial"/>
        </w:rPr>
        <w:t xml:space="preserve">, </w:t>
      </w:r>
      <w:r w:rsidRPr="0001517E">
        <w:rPr>
          <w:rFonts w:ascii="Arial" w:hAnsi="Arial" w:cs="Arial"/>
          <w:i/>
          <w:iCs/>
        </w:rPr>
        <w:t>7</w:t>
      </w:r>
      <w:r w:rsidRPr="0001517E">
        <w:rPr>
          <w:rFonts w:ascii="Arial" w:hAnsi="Arial" w:cs="Arial"/>
        </w:rPr>
        <w:t>(7), e07678. https://doi.org/10.1016/j.heliyon.2021.e07678</w:t>
      </w:r>
    </w:p>
    <w:p w14:paraId="163F8B5C" w14:textId="77777777" w:rsidR="0001517E" w:rsidRPr="0001517E" w:rsidRDefault="0001517E" w:rsidP="0001517E">
      <w:pPr>
        <w:pStyle w:val="Body"/>
        <w:rPr>
          <w:rFonts w:ascii="Arial" w:hAnsi="Arial" w:cs="Arial"/>
        </w:rPr>
      </w:pPr>
      <w:proofErr w:type="spellStart"/>
      <w:r w:rsidRPr="0001517E">
        <w:rPr>
          <w:rFonts w:ascii="Arial" w:hAnsi="Arial" w:cs="Arial"/>
        </w:rPr>
        <w:t>Wanner</w:t>
      </w:r>
      <w:proofErr w:type="spellEnd"/>
      <w:r w:rsidRPr="0001517E">
        <w:rPr>
          <w:rFonts w:ascii="Arial" w:hAnsi="Arial" w:cs="Arial"/>
        </w:rPr>
        <w:t xml:space="preserve">, P. (2021). Plastic in agricultural soils – A global risk for groundwater systems and drinking water supplies? – A review. </w:t>
      </w:r>
      <w:r w:rsidRPr="0001517E">
        <w:rPr>
          <w:rFonts w:ascii="Arial" w:hAnsi="Arial" w:cs="Arial"/>
          <w:i/>
          <w:iCs/>
        </w:rPr>
        <w:t>Chemosphere</w:t>
      </w:r>
      <w:r w:rsidRPr="0001517E">
        <w:rPr>
          <w:rFonts w:ascii="Arial" w:hAnsi="Arial" w:cs="Arial"/>
        </w:rPr>
        <w:t xml:space="preserve">, </w:t>
      </w:r>
      <w:r w:rsidRPr="0001517E">
        <w:rPr>
          <w:rFonts w:ascii="Arial" w:hAnsi="Arial" w:cs="Arial"/>
          <w:i/>
          <w:iCs/>
        </w:rPr>
        <w:t>264</w:t>
      </w:r>
      <w:r w:rsidRPr="0001517E">
        <w:rPr>
          <w:rFonts w:ascii="Arial" w:hAnsi="Arial" w:cs="Arial"/>
        </w:rPr>
        <w:t xml:space="preserve">, 128453. </w:t>
      </w:r>
      <w:hyperlink r:id="rId30" w:history="1">
        <w:r w:rsidRPr="0001517E">
          <w:rPr>
            <w:rStyle w:val="Hyperlink"/>
            <w:rFonts w:ascii="Arial" w:hAnsi="Arial" w:cs="Arial"/>
          </w:rPr>
          <w:t>https://doi.org/10.1016/j.chemosphere.2020.128453</w:t>
        </w:r>
      </w:hyperlink>
    </w:p>
    <w:p w14:paraId="1ED1FD66" w14:textId="77777777" w:rsidR="0001517E" w:rsidRPr="0001517E" w:rsidRDefault="0001517E" w:rsidP="0001517E">
      <w:pPr>
        <w:pStyle w:val="Body"/>
        <w:rPr>
          <w:rFonts w:ascii="Arial" w:hAnsi="Arial" w:cs="Arial"/>
        </w:rPr>
      </w:pPr>
      <w:bookmarkStart w:id="16" w:name="_Hlk180421907"/>
      <w:r w:rsidRPr="0001517E">
        <w:rPr>
          <w:rFonts w:ascii="Arial" w:hAnsi="Arial" w:cs="Arial"/>
        </w:rPr>
        <w:t>Yadav</w:t>
      </w:r>
      <w:bookmarkEnd w:id="16"/>
      <w:r w:rsidRPr="0001517E">
        <w:rPr>
          <w:rFonts w:ascii="Arial" w:hAnsi="Arial" w:cs="Arial"/>
        </w:rPr>
        <w:t xml:space="preserve">, N., Garg, V. K., </w:t>
      </w:r>
      <w:proofErr w:type="spellStart"/>
      <w:r w:rsidRPr="0001517E">
        <w:rPr>
          <w:rFonts w:ascii="Arial" w:hAnsi="Arial" w:cs="Arial"/>
        </w:rPr>
        <w:t>Chhillar</w:t>
      </w:r>
      <w:proofErr w:type="spellEnd"/>
      <w:r w:rsidRPr="0001517E">
        <w:rPr>
          <w:rFonts w:ascii="Arial" w:hAnsi="Arial" w:cs="Arial"/>
        </w:rPr>
        <w:t xml:space="preserve">, A. K., &amp; Rana, J. S. (2023). Recent advances in nanotechnology for the improvement of conventional agricultural systems: A review. </w:t>
      </w:r>
      <w:r w:rsidRPr="0001517E">
        <w:rPr>
          <w:rFonts w:ascii="Arial" w:hAnsi="Arial" w:cs="Arial"/>
          <w:i/>
          <w:iCs/>
        </w:rPr>
        <w:t>Plant Nano Biology</w:t>
      </w:r>
      <w:r w:rsidRPr="0001517E">
        <w:rPr>
          <w:rFonts w:ascii="Arial" w:hAnsi="Arial" w:cs="Arial"/>
        </w:rPr>
        <w:t xml:space="preserve">, </w:t>
      </w:r>
      <w:r w:rsidRPr="0001517E">
        <w:rPr>
          <w:rFonts w:ascii="Arial" w:hAnsi="Arial" w:cs="Arial"/>
          <w:i/>
          <w:iCs/>
        </w:rPr>
        <w:t>4</w:t>
      </w:r>
      <w:r w:rsidRPr="0001517E">
        <w:rPr>
          <w:rFonts w:ascii="Arial" w:hAnsi="Arial" w:cs="Arial"/>
        </w:rPr>
        <w:t>, 100032. https://doi.org/10.1016/j.plana.2023.100032</w:t>
      </w:r>
    </w:p>
    <w:p w14:paraId="78F2F5A3" w14:textId="77777777" w:rsidR="0001517E" w:rsidRPr="0001517E" w:rsidRDefault="0001517E" w:rsidP="0001517E">
      <w:pPr>
        <w:pStyle w:val="Body"/>
        <w:rPr>
          <w:rFonts w:ascii="Arial" w:hAnsi="Arial" w:cs="Arial"/>
        </w:rPr>
      </w:pPr>
      <w:r w:rsidRPr="0001517E">
        <w:rPr>
          <w:rFonts w:ascii="Arial" w:hAnsi="Arial" w:cs="Arial"/>
        </w:rPr>
        <w:t xml:space="preserve">Zabielska-Adamska, K., Dobrzycki, P., &amp; Wasil, M. (2022). Estimation of Stiffness of Non-Cohesive Soil in Natural State and Improved by Fiber and/or Cement Addition under Different Load Conditions. </w:t>
      </w:r>
      <w:r w:rsidRPr="0001517E">
        <w:rPr>
          <w:rFonts w:ascii="Arial" w:hAnsi="Arial" w:cs="Arial"/>
          <w:i/>
          <w:iCs/>
        </w:rPr>
        <w:t>Materials</w:t>
      </w:r>
      <w:r w:rsidRPr="0001517E">
        <w:rPr>
          <w:rFonts w:ascii="Arial" w:hAnsi="Arial" w:cs="Arial"/>
        </w:rPr>
        <w:t xml:space="preserve">, </w:t>
      </w:r>
      <w:r w:rsidRPr="0001517E">
        <w:rPr>
          <w:rFonts w:ascii="Arial" w:hAnsi="Arial" w:cs="Arial"/>
          <w:i/>
          <w:iCs/>
        </w:rPr>
        <w:t>16</w:t>
      </w:r>
      <w:r w:rsidRPr="0001517E">
        <w:rPr>
          <w:rFonts w:ascii="Arial" w:hAnsi="Arial" w:cs="Arial"/>
        </w:rPr>
        <w:t>(1), 417. https://doi.org/10.3390/ma16010417</w:t>
      </w:r>
    </w:p>
    <w:p w14:paraId="630E77AE" w14:textId="3E089496" w:rsidR="004D4277" w:rsidRPr="0001517E" w:rsidRDefault="0001517E" w:rsidP="0001517E">
      <w:pPr>
        <w:pStyle w:val="Body"/>
        <w:spacing w:after="0"/>
        <w:rPr>
          <w:rFonts w:ascii="Arial" w:hAnsi="Arial" w:cs="Arial"/>
        </w:rPr>
        <w:sectPr w:rsidR="004D4277" w:rsidRPr="0001517E" w:rsidSect="00CF025E">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bookmarkStart w:id="17" w:name="_Hlk177173572"/>
      <w:r w:rsidRPr="0001517E">
        <w:rPr>
          <w:rFonts w:ascii="Arial" w:hAnsi="Arial" w:cs="Arial"/>
        </w:rPr>
        <w:t>Ziani</w:t>
      </w:r>
      <w:bookmarkEnd w:id="17"/>
      <w:r w:rsidRPr="0001517E">
        <w:rPr>
          <w:rFonts w:ascii="Arial" w:hAnsi="Arial" w:cs="Arial"/>
        </w:rPr>
        <w:t>, K., Ioniță-</w:t>
      </w:r>
      <w:proofErr w:type="spellStart"/>
      <w:r w:rsidRPr="0001517E">
        <w:rPr>
          <w:rFonts w:ascii="Arial" w:hAnsi="Arial" w:cs="Arial"/>
        </w:rPr>
        <w:t>Mîndrican</w:t>
      </w:r>
      <w:proofErr w:type="spellEnd"/>
      <w:r w:rsidRPr="0001517E">
        <w:rPr>
          <w:rFonts w:ascii="Arial" w:hAnsi="Arial" w:cs="Arial"/>
        </w:rPr>
        <w:t xml:space="preserve">, B., Mititelu, M., Neacșu, S. M., </w:t>
      </w:r>
      <w:proofErr w:type="spellStart"/>
      <w:r w:rsidRPr="0001517E">
        <w:rPr>
          <w:rFonts w:ascii="Arial" w:hAnsi="Arial" w:cs="Arial"/>
        </w:rPr>
        <w:t>Negrei</w:t>
      </w:r>
      <w:proofErr w:type="spellEnd"/>
      <w:r w:rsidRPr="0001517E">
        <w:rPr>
          <w:rFonts w:ascii="Arial" w:hAnsi="Arial" w:cs="Arial"/>
        </w:rPr>
        <w:t xml:space="preserve">, C., </w:t>
      </w:r>
      <w:proofErr w:type="spellStart"/>
      <w:r w:rsidRPr="0001517E">
        <w:rPr>
          <w:rFonts w:ascii="Arial" w:hAnsi="Arial" w:cs="Arial"/>
        </w:rPr>
        <w:t>Moroșan</w:t>
      </w:r>
      <w:proofErr w:type="spellEnd"/>
      <w:r w:rsidRPr="0001517E">
        <w:rPr>
          <w:rFonts w:ascii="Arial" w:hAnsi="Arial" w:cs="Arial"/>
        </w:rPr>
        <w:t xml:space="preserve">, E., </w:t>
      </w:r>
      <w:proofErr w:type="spellStart"/>
      <w:r w:rsidRPr="0001517E">
        <w:rPr>
          <w:rFonts w:ascii="Arial" w:hAnsi="Arial" w:cs="Arial"/>
        </w:rPr>
        <w:t>Drăgănescu</w:t>
      </w:r>
      <w:proofErr w:type="spellEnd"/>
      <w:r w:rsidRPr="0001517E">
        <w:rPr>
          <w:rFonts w:ascii="Arial" w:hAnsi="Arial" w:cs="Arial"/>
        </w:rPr>
        <w:t xml:space="preserve">, D., &amp; </w:t>
      </w:r>
      <w:proofErr w:type="spellStart"/>
      <w:r w:rsidRPr="0001517E">
        <w:rPr>
          <w:rFonts w:ascii="Arial" w:hAnsi="Arial" w:cs="Arial"/>
        </w:rPr>
        <w:t>Preda</w:t>
      </w:r>
      <w:proofErr w:type="spellEnd"/>
      <w:r w:rsidRPr="0001517E">
        <w:rPr>
          <w:rFonts w:ascii="Arial" w:hAnsi="Arial" w:cs="Arial"/>
        </w:rPr>
        <w:t xml:space="preserve">, T. (2023). Microplastics: A Real Global Threat for Environment and Food Safety: A </w:t>
      </w:r>
      <w:proofErr w:type="gramStart"/>
      <w:r w:rsidRPr="0001517E">
        <w:rPr>
          <w:rFonts w:ascii="Arial" w:hAnsi="Arial" w:cs="Arial"/>
        </w:rPr>
        <w:t>State of the Art</w:t>
      </w:r>
      <w:proofErr w:type="gramEnd"/>
      <w:r w:rsidRPr="0001517E">
        <w:rPr>
          <w:rFonts w:ascii="Arial" w:hAnsi="Arial" w:cs="Arial"/>
        </w:rPr>
        <w:t xml:space="preserve"> Review. </w:t>
      </w:r>
      <w:r w:rsidRPr="0001517E">
        <w:rPr>
          <w:rFonts w:ascii="Arial" w:hAnsi="Arial" w:cs="Arial"/>
          <w:i/>
          <w:iCs/>
        </w:rPr>
        <w:t>Nutrients</w:t>
      </w:r>
      <w:r w:rsidRPr="0001517E">
        <w:rPr>
          <w:rFonts w:ascii="Arial" w:hAnsi="Arial" w:cs="Arial"/>
        </w:rPr>
        <w:t xml:space="preserve">, </w:t>
      </w:r>
      <w:r w:rsidRPr="0001517E">
        <w:rPr>
          <w:rFonts w:ascii="Arial" w:hAnsi="Arial" w:cs="Arial"/>
          <w:i/>
          <w:iCs/>
        </w:rPr>
        <w:t>15</w:t>
      </w:r>
      <w:r w:rsidRPr="0001517E">
        <w:rPr>
          <w:rFonts w:ascii="Arial" w:hAnsi="Arial" w:cs="Arial"/>
        </w:rPr>
        <w:t>(3). https://doi.org/10.3390/nu150306</w:t>
      </w:r>
    </w:p>
    <w:p w14:paraId="3D124486" w14:textId="77777777" w:rsidR="00B01FCD" w:rsidRPr="00FB3A86" w:rsidRDefault="00B01FCD" w:rsidP="00441B6F">
      <w:pPr>
        <w:pStyle w:val="Appendix"/>
        <w:spacing w:after="0"/>
        <w:jc w:val="both"/>
        <w:rPr>
          <w:rFonts w:ascii="Arial" w:hAnsi="Arial" w:cs="Arial"/>
          <w:b w:val="0"/>
        </w:rPr>
      </w:pPr>
    </w:p>
    <w:sectPr w:rsidR="00B01FCD" w:rsidRPr="00FB3A86" w:rsidSect="00CF025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68C2" w14:textId="77777777" w:rsidR="00C46D53" w:rsidRDefault="00C46D53" w:rsidP="00C37E61">
      <w:r>
        <w:separator/>
      </w:r>
    </w:p>
  </w:endnote>
  <w:endnote w:type="continuationSeparator" w:id="0">
    <w:p w14:paraId="32D52948" w14:textId="77777777" w:rsidR="00C46D53" w:rsidRDefault="00C46D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dvTT50a2f13e.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6A78" w14:textId="77777777" w:rsidR="00CF025E" w:rsidRDefault="00CF0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BC1E" w14:textId="77777777" w:rsidR="00CF025E" w:rsidRDefault="00CF0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FD3E" w14:textId="69EE7CCB" w:rsidR="00754C9A" w:rsidRPr="00CF025E" w:rsidRDefault="00754C9A" w:rsidP="00CF02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426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6A64" w14:textId="77777777" w:rsidR="00C46D53" w:rsidRDefault="00C46D53" w:rsidP="00C37E61">
      <w:r>
        <w:separator/>
      </w:r>
    </w:p>
  </w:footnote>
  <w:footnote w:type="continuationSeparator" w:id="0">
    <w:p w14:paraId="5C05520E" w14:textId="77777777" w:rsidR="00C46D53" w:rsidRDefault="00C46D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4AB3" w14:textId="7B62E90A" w:rsidR="00CF025E" w:rsidRDefault="00000000">
    <w:pPr>
      <w:pStyle w:val="Header"/>
    </w:pPr>
    <w:r>
      <w:rPr>
        <w:noProof/>
      </w:rPr>
      <w:pict w14:anchorId="4872E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9169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30DC" w14:textId="754B2C57" w:rsidR="00CF025E" w:rsidRDefault="00000000">
    <w:pPr>
      <w:pStyle w:val="Header"/>
    </w:pPr>
    <w:r>
      <w:rPr>
        <w:noProof/>
      </w:rPr>
      <w:pict w14:anchorId="47933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9169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B09E" w14:textId="51AB1119" w:rsidR="00296529" w:rsidRPr="00296529" w:rsidRDefault="00000000" w:rsidP="00296529">
    <w:pPr>
      <w:ind w:left="2160"/>
      <w:jc w:val="center"/>
      <w:rPr>
        <w:rFonts w:ascii="Times New Roman" w:eastAsia="Calibri" w:hAnsi="Times New Roman"/>
        <w:i/>
        <w:sz w:val="18"/>
        <w:szCs w:val="22"/>
      </w:rPr>
    </w:pPr>
    <w:r>
      <w:rPr>
        <w:noProof/>
      </w:rPr>
      <w:pict w14:anchorId="509726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9169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2D4C7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DADAA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04053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48540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CBD2C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62E8E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090E" w14:textId="0F1A4B7B" w:rsidR="00CF025E" w:rsidRDefault="00000000">
    <w:pPr>
      <w:pStyle w:val="Header"/>
    </w:pPr>
    <w:r>
      <w:rPr>
        <w:noProof/>
      </w:rPr>
      <w:pict w14:anchorId="1E892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9169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72D9" w14:textId="0A5FDEE7" w:rsidR="00CF025E" w:rsidRDefault="00000000">
    <w:pPr>
      <w:pStyle w:val="Header"/>
    </w:pPr>
    <w:r>
      <w:rPr>
        <w:noProof/>
      </w:rPr>
      <w:pict w14:anchorId="1CF55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9169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15B6" w14:textId="34146FAA" w:rsidR="00CF025E" w:rsidRDefault="00000000">
    <w:pPr>
      <w:pStyle w:val="Header"/>
    </w:pPr>
    <w:r>
      <w:rPr>
        <w:noProof/>
      </w:rPr>
      <w:pict w14:anchorId="08AEC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9169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219481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37839848">
    <w:abstractNumId w:val="15"/>
  </w:num>
  <w:num w:numId="3" w16cid:durableId="1161966129">
    <w:abstractNumId w:val="23"/>
  </w:num>
  <w:num w:numId="4" w16cid:durableId="214303499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92354742">
    <w:abstractNumId w:val="7"/>
  </w:num>
  <w:num w:numId="6" w16cid:durableId="1601181128">
    <w:abstractNumId w:val="6"/>
  </w:num>
  <w:num w:numId="7" w16cid:durableId="819075808">
    <w:abstractNumId w:val="1"/>
  </w:num>
  <w:num w:numId="8" w16cid:durableId="616984817">
    <w:abstractNumId w:val="12"/>
  </w:num>
  <w:num w:numId="9" w16cid:durableId="1227302809">
    <w:abstractNumId w:val="25"/>
  </w:num>
  <w:num w:numId="10" w16cid:durableId="1471285777">
    <w:abstractNumId w:val="2"/>
  </w:num>
  <w:num w:numId="11" w16cid:durableId="74210459">
    <w:abstractNumId w:val="18"/>
  </w:num>
  <w:num w:numId="12" w16cid:durableId="369840259">
    <w:abstractNumId w:val="3"/>
  </w:num>
  <w:num w:numId="13" w16cid:durableId="1331328899">
    <w:abstractNumId w:val="17"/>
  </w:num>
  <w:num w:numId="14" w16cid:durableId="398484071">
    <w:abstractNumId w:val="8"/>
  </w:num>
  <w:num w:numId="15" w16cid:durableId="272908651">
    <w:abstractNumId w:val="21"/>
  </w:num>
  <w:num w:numId="16" w16cid:durableId="891237844">
    <w:abstractNumId w:val="5"/>
  </w:num>
  <w:num w:numId="17" w16cid:durableId="1394085673">
    <w:abstractNumId w:val="22"/>
  </w:num>
  <w:num w:numId="18" w16cid:durableId="697126350">
    <w:abstractNumId w:val="14"/>
  </w:num>
  <w:num w:numId="19" w16cid:durableId="185102639">
    <w:abstractNumId w:val="28"/>
  </w:num>
  <w:num w:numId="20" w16cid:durableId="1008337447">
    <w:abstractNumId w:val="11"/>
  </w:num>
  <w:num w:numId="21" w16cid:durableId="708333406">
    <w:abstractNumId w:val="9"/>
  </w:num>
  <w:num w:numId="22" w16cid:durableId="718745356">
    <w:abstractNumId w:val="13"/>
  </w:num>
  <w:num w:numId="23" w16cid:durableId="1624342391">
    <w:abstractNumId w:val="19"/>
  </w:num>
  <w:num w:numId="24" w16cid:durableId="630982750">
    <w:abstractNumId w:val="26"/>
  </w:num>
  <w:num w:numId="25" w16cid:durableId="47152859">
    <w:abstractNumId w:val="4"/>
  </w:num>
  <w:num w:numId="26" w16cid:durableId="503131358">
    <w:abstractNumId w:val="16"/>
  </w:num>
  <w:num w:numId="27" w16cid:durableId="1302491852">
    <w:abstractNumId w:val="20"/>
  </w:num>
  <w:num w:numId="28" w16cid:durableId="1701541976">
    <w:abstractNumId w:val="27"/>
  </w:num>
  <w:num w:numId="29" w16cid:durableId="1192451488">
    <w:abstractNumId w:val="24"/>
  </w:num>
  <w:num w:numId="30" w16cid:durableId="2703640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63B"/>
    <w:rsid w:val="0001517E"/>
    <w:rsid w:val="00030174"/>
    <w:rsid w:val="0004579C"/>
    <w:rsid w:val="000A47FA"/>
    <w:rsid w:val="000A65D3"/>
    <w:rsid w:val="000B1E33"/>
    <w:rsid w:val="000B6EE2"/>
    <w:rsid w:val="000D689F"/>
    <w:rsid w:val="000E7B7B"/>
    <w:rsid w:val="000E7D62"/>
    <w:rsid w:val="00103357"/>
    <w:rsid w:val="00107D06"/>
    <w:rsid w:val="00123C9F"/>
    <w:rsid w:val="00126190"/>
    <w:rsid w:val="00130F17"/>
    <w:rsid w:val="001320BF"/>
    <w:rsid w:val="0015196F"/>
    <w:rsid w:val="00163BC4"/>
    <w:rsid w:val="00165F6F"/>
    <w:rsid w:val="00191062"/>
    <w:rsid w:val="00192B72"/>
    <w:rsid w:val="00195CDE"/>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40D7"/>
    <w:rsid w:val="00267064"/>
    <w:rsid w:val="00273A90"/>
    <w:rsid w:val="00283105"/>
    <w:rsid w:val="00284C4C"/>
    <w:rsid w:val="00287E68"/>
    <w:rsid w:val="00296529"/>
    <w:rsid w:val="002B27FB"/>
    <w:rsid w:val="002B685A"/>
    <w:rsid w:val="002C57D2"/>
    <w:rsid w:val="002D6B07"/>
    <w:rsid w:val="002E0D56"/>
    <w:rsid w:val="00315186"/>
    <w:rsid w:val="00327B66"/>
    <w:rsid w:val="0033343E"/>
    <w:rsid w:val="003512C2"/>
    <w:rsid w:val="00357966"/>
    <w:rsid w:val="00371FB6"/>
    <w:rsid w:val="003763C1"/>
    <w:rsid w:val="00376BBE"/>
    <w:rsid w:val="0039224F"/>
    <w:rsid w:val="003A43A4"/>
    <w:rsid w:val="003A7E18"/>
    <w:rsid w:val="003C4C86"/>
    <w:rsid w:val="003C6258"/>
    <w:rsid w:val="003E2904"/>
    <w:rsid w:val="003E62CE"/>
    <w:rsid w:val="00401927"/>
    <w:rsid w:val="00402247"/>
    <w:rsid w:val="00402250"/>
    <w:rsid w:val="0041027F"/>
    <w:rsid w:val="00412475"/>
    <w:rsid w:val="00423789"/>
    <w:rsid w:val="00440F43"/>
    <w:rsid w:val="00441B6F"/>
    <w:rsid w:val="00446221"/>
    <w:rsid w:val="00450E62"/>
    <w:rsid w:val="00452E0E"/>
    <w:rsid w:val="004539DB"/>
    <w:rsid w:val="00471A80"/>
    <w:rsid w:val="004948B4"/>
    <w:rsid w:val="004D305E"/>
    <w:rsid w:val="004D4277"/>
    <w:rsid w:val="00502516"/>
    <w:rsid w:val="00505F06"/>
    <w:rsid w:val="00506828"/>
    <w:rsid w:val="005138D9"/>
    <w:rsid w:val="0053056E"/>
    <w:rsid w:val="00532950"/>
    <w:rsid w:val="00545F1F"/>
    <w:rsid w:val="00554FDA"/>
    <w:rsid w:val="005B2974"/>
    <w:rsid w:val="005C784C"/>
    <w:rsid w:val="005D17F6"/>
    <w:rsid w:val="005D3641"/>
    <w:rsid w:val="005E5539"/>
    <w:rsid w:val="00602BF5"/>
    <w:rsid w:val="00617FDD"/>
    <w:rsid w:val="00633614"/>
    <w:rsid w:val="00633F68"/>
    <w:rsid w:val="00636EB2"/>
    <w:rsid w:val="006375B8"/>
    <w:rsid w:val="0066510A"/>
    <w:rsid w:val="00673F9F"/>
    <w:rsid w:val="00684746"/>
    <w:rsid w:val="00686953"/>
    <w:rsid w:val="00687DEA"/>
    <w:rsid w:val="00687E67"/>
    <w:rsid w:val="00691004"/>
    <w:rsid w:val="006967F7"/>
    <w:rsid w:val="006A250C"/>
    <w:rsid w:val="006B21D3"/>
    <w:rsid w:val="006B57D0"/>
    <w:rsid w:val="006C685F"/>
    <w:rsid w:val="006D30FF"/>
    <w:rsid w:val="006D6940"/>
    <w:rsid w:val="006D7EC8"/>
    <w:rsid w:val="006F11EC"/>
    <w:rsid w:val="006F2403"/>
    <w:rsid w:val="0070082C"/>
    <w:rsid w:val="007369E6"/>
    <w:rsid w:val="00746E59"/>
    <w:rsid w:val="00754C9A"/>
    <w:rsid w:val="0075599A"/>
    <w:rsid w:val="00761D52"/>
    <w:rsid w:val="0077749E"/>
    <w:rsid w:val="00790ADA"/>
    <w:rsid w:val="0079195D"/>
    <w:rsid w:val="007D2288"/>
    <w:rsid w:val="007E088F"/>
    <w:rsid w:val="007F7B32"/>
    <w:rsid w:val="00804BC2"/>
    <w:rsid w:val="0081431A"/>
    <w:rsid w:val="0083216F"/>
    <w:rsid w:val="00860000"/>
    <w:rsid w:val="00863BD3"/>
    <w:rsid w:val="008641ED"/>
    <w:rsid w:val="008659B9"/>
    <w:rsid w:val="00866D66"/>
    <w:rsid w:val="008671C6"/>
    <w:rsid w:val="00871BE4"/>
    <w:rsid w:val="00875803"/>
    <w:rsid w:val="008801E0"/>
    <w:rsid w:val="008B459E"/>
    <w:rsid w:val="008E13AE"/>
    <w:rsid w:val="008E1506"/>
    <w:rsid w:val="008E710C"/>
    <w:rsid w:val="008F69D6"/>
    <w:rsid w:val="00902823"/>
    <w:rsid w:val="00915CA6"/>
    <w:rsid w:val="00927834"/>
    <w:rsid w:val="00940B10"/>
    <w:rsid w:val="009500A6"/>
    <w:rsid w:val="00957C18"/>
    <w:rsid w:val="00965827"/>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2112"/>
    <w:rsid w:val="00A94063"/>
    <w:rsid w:val="00AA6219"/>
    <w:rsid w:val="00AA74E0"/>
    <w:rsid w:val="00AB703F"/>
    <w:rsid w:val="00AC6BB8"/>
    <w:rsid w:val="00AE008F"/>
    <w:rsid w:val="00AF1604"/>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D53"/>
    <w:rsid w:val="00C70F1B"/>
    <w:rsid w:val="00C71A47"/>
    <w:rsid w:val="00C7464C"/>
    <w:rsid w:val="00C85588"/>
    <w:rsid w:val="00CA33CF"/>
    <w:rsid w:val="00CD6755"/>
    <w:rsid w:val="00CD6856"/>
    <w:rsid w:val="00CE0089"/>
    <w:rsid w:val="00CE793C"/>
    <w:rsid w:val="00CF025E"/>
    <w:rsid w:val="00CF193C"/>
    <w:rsid w:val="00D173F1"/>
    <w:rsid w:val="00D23CF9"/>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6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FF5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Institution">
    <w:name w:val="Institution"/>
    <w:basedOn w:val="Normal"/>
    <w:rsid w:val="00965827"/>
    <w:pPr>
      <w:autoSpaceDE w:val="0"/>
      <w:autoSpaceDN w:val="0"/>
      <w:adjustRightInd w:val="0"/>
      <w:spacing w:after="48"/>
      <w:ind w:firstLine="284"/>
      <w:jc w:val="center"/>
    </w:pPr>
    <w:rPr>
      <w:rFonts w:ascii="Verdana" w:hAnsi="Verdana" w:cs="AdvTT50a2f13e.I"/>
      <w:i/>
      <w:sz w:val="16"/>
      <w:szCs w:val="16"/>
    </w:rPr>
  </w:style>
  <w:style w:type="paragraph" w:styleId="NoSpacing">
    <w:name w:val="No Spacing"/>
    <w:uiPriority w:val="1"/>
    <w:qFormat/>
    <w:rsid w:val="00A82112"/>
    <w:rPr>
      <w:rFonts w:ascii="Calibri" w:eastAsia="Calibri" w:hAnsi="Calibri" w:cs="SimSun"/>
      <w:sz w:val="22"/>
      <w:szCs w:val="22"/>
    </w:rPr>
  </w:style>
  <w:style w:type="table" w:styleId="PlainTable2">
    <w:name w:val="Plain Table 2"/>
    <w:basedOn w:val="TableNormal"/>
    <w:uiPriority w:val="42"/>
    <w:rsid w:val="00A82112"/>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A8211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semiHidden/>
    <w:unhideWhenUsed/>
    <w:rsid w:val="00CA33C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yperlink" Target="https://doi.org/10.1016/j.matpr.2021.02.212" TargetMode="Externa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016/B978-0-12-817030-4.00005-X"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4.xml"/><Relationship Id="rId29" Type="http://schemas.openxmlformats.org/officeDocument/2006/relationships/hyperlink" Target="https://www.cbsnews.com/news/cement-industry-co2-emissions-climate-change-brimsto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ecoenv.2023.115807"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16/j.scitotenv.2023.169489" TargetMode="External"/><Relationship Id="rId28" Type="http://schemas.openxmlformats.org/officeDocument/2006/relationships/hyperlink" Target="https://doi.org/10.1016/j.jclepro.2022.131463"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chart" Target="charts/chart6.xml"/><Relationship Id="rId27" Type="http://schemas.openxmlformats.org/officeDocument/2006/relationships/hyperlink" Target="https://doi.org/10.1038/s41598-023-42320-w" TargetMode="External"/><Relationship Id="rId30" Type="http://schemas.openxmlformats.org/officeDocument/2006/relationships/hyperlink" Target="https://doi.org/10.1016/j.chemosphere.2020.128453"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ITUNU\OneDrive\Desktop\LEADCITY%20LAB%20RESULT\lautech%20Sieve.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SAMPLE A</a:t>
            </a:r>
          </a:p>
        </c:rich>
      </c:tx>
      <c:overlay val="0"/>
    </c:title>
    <c:autoTitleDeleted val="0"/>
    <c:plotArea>
      <c:layout/>
      <c:scatterChart>
        <c:scatterStyle val="smoothMarker"/>
        <c:varyColors val="0"/>
        <c:ser>
          <c:idx val="4"/>
          <c:order val="0"/>
          <c:marker>
            <c:symbol val="none"/>
          </c:marker>
          <c:xVal>
            <c:numRef>
              <c:f>Sheet1!$B$4:$B$13</c:f>
              <c:numCache>
                <c:formatCode>General</c:formatCode>
                <c:ptCount val="10"/>
                <c:pt idx="0">
                  <c:v>9.5</c:v>
                </c:pt>
                <c:pt idx="1">
                  <c:v>4.75</c:v>
                </c:pt>
                <c:pt idx="2">
                  <c:v>2.36</c:v>
                </c:pt>
                <c:pt idx="3">
                  <c:v>1.18</c:v>
                </c:pt>
                <c:pt idx="4">
                  <c:v>0.85</c:v>
                </c:pt>
                <c:pt idx="5">
                  <c:v>0.6</c:v>
                </c:pt>
                <c:pt idx="6">
                  <c:v>0.42499999999999999</c:v>
                </c:pt>
                <c:pt idx="7">
                  <c:v>0.3</c:v>
                </c:pt>
                <c:pt idx="8">
                  <c:v>0.15</c:v>
                </c:pt>
                <c:pt idx="9">
                  <c:v>7.4999999999999997E-2</c:v>
                </c:pt>
              </c:numCache>
            </c:numRef>
          </c:xVal>
          <c:yVal>
            <c:numRef>
              <c:f>Sheet1!$C$4:$C$13</c:f>
              <c:numCache>
                <c:formatCode>General</c:formatCode>
                <c:ptCount val="10"/>
                <c:pt idx="0">
                  <c:v>90.31</c:v>
                </c:pt>
                <c:pt idx="1">
                  <c:v>86.39</c:v>
                </c:pt>
                <c:pt idx="2">
                  <c:v>80.09</c:v>
                </c:pt>
                <c:pt idx="3">
                  <c:v>70.290000000000006</c:v>
                </c:pt>
                <c:pt idx="4">
                  <c:v>65.25</c:v>
                </c:pt>
                <c:pt idx="5">
                  <c:v>59.75</c:v>
                </c:pt>
                <c:pt idx="6">
                  <c:v>54.71</c:v>
                </c:pt>
                <c:pt idx="7">
                  <c:v>50.29</c:v>
                </c:pt>
                <c:pt idx="8">
                  <c:v>44.63</c:v>
                </c:pt>
                <c:pt idx="9">
                  <c:v>41.25</c:v>
                </c:pt>
              </c:numCache>
            </c:numRef>
          </c:yVal>
          <c:smooth val="1"/>
          <c:extLst>
            <c:ext xmlns:c16="http://schemas.microsoft.com/office/drawing/2014/chart" uri="{C3380CC4-5D6E-409C-BE32-E72D297353CC}">
              <c16:uniqueId val="{00000000-FD01-4874-A620-D83C1B67EC49}"/>
            </c:ext>
          </c:extLst>
        </c:ser>
        <c:dLbls>
          <c:showLegendKey val="0"/>
          <c:showVal val="0"/>
          <c:showCatName val="0"/>
          <c:showSerName val="0"/>
          <c:showPercent val="0"/>
          <c:showBubbleSize val="0"/>
        </c:dLbls>
        <c:axId val="359289112"/>
        <c:axId val="359285584"/>
      </c:scatterChart>
      <c:valAx>
        <c:axId val="359289112"/>
        <c:scaling>
          <c:logBase val="10"/>
          <c:orientation val="minMax"/>
          <c:max val="100"/>
        </c:scaling>
        <c:delete val="0"/>
        <c:axPos val="b"/>
        <c:majorGridlines/>
        <c:minorGridlines/>
        <c:title>
          <c:tx>
            <c:rich>
              <a:bodyPr/>
              <a:lstStyle/>
              <a:p>
                <a:pPr>
                  <a:defRPr/>
                </a:pPr>
                <a:r>
                  <a:rPr lang="en-US"/>
                  <a:t>No of Sieve</a:t>
                </a:r>
              </a:p>
            </c:rich>
          </c:tx>
          <c:overlay val="0"/>
        </c:title>
        <c:numFmt formatCode="General" sourceLinked="1"/>
        <c:majorTickMark val="out"/>
        <c:minorTickMark val="none"/>
        <c:tickLblPos val="nextTo"/>
        <c:crossAx val="359285584"/>
        <c:crosses val="autoZero"/>
        <c:crossBetween val="midCat"/>
      </c:valAx>
      <c:valAx>
        <c:axId val="359285584"/>
        <c:scaling>
          <c:orientation val="minMax"/>
        </c:scaling>
        <c:delete val="0"/>
        <c:axPos val="l"/>
        <c:majorGridlines/>
        <c:minorGridlines/>
        <c:title>
          <c:tx>
            <c:rich>
              <a:bodyPr/>
              <a:lstStyle/>
              <a:p>
                <a:pPr>
                  <a:defRPr/>
                </a:pPr>
                <a:r>
                  <a:rPr lang="en-US"/>
                  <a:t>Percentage Passing</a:t>
                </a:r>
              </a:p>
            </c:rich>
          </c:tx>
          <c:overlay val="0"/>
        </c:title>
        <c:numFmt formatCode="General" sourceLinked="1"/>
        <c:majorTickMark val="out"/>
        <c:minorTickMark val="none"/>
        <c:tickLblPos val="nextTo"/>
        <c:crossAx val="359289112"/>
        <c:crossesAt val="1.0000000000000002E-2"/>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SAMPLE B</a:t>
            </a:r>
          </a:p>
        </c:rich>
      </c:tx>
      <c:overlay val="0"/>
    </c:title>
    <c:autoTitleDeleted val="0"/>
    <c:plotArea>
      <c:layout/>
      <c:scatterChart>
        <c:scatterStyle val="smoothMarker"/>
        <c:varyColors val="0"/>
        <c:ser>
          <c:idx val="0"/>
          <c:order val="0"/>
          <c:marker>
            <c:symbol val="none"/>
          </c:marker>
          <c:xVal>
            <c:numRef>
              <c:f>Sheet1!$K$7:$K$15</c:f>
              <c:numCache>
                <c:formatCode>General</c:formatCode>
                <c:ptCount val="9"/>
                <c:pt idx="0">
                  <c:v>9.5</c:v>
                </c:pt>
                <c:pt idx="1">
                  <c:v>2.36</c:v>
                </c:pt>
                <c:pt idx="2">
                  <c:v>1.18</c:v>
                </c:pt>
                <c:pt idx="3">
                  <c:v>0.85</c:v>
                </c:pt>
                <c:pt idx="4">
                  <c:v>0.6</c:v>
                </c:pt>
                <c:pt idx="5">
                  <c:v>0.42499999999999999</c:v>
                </c:pt>
                <c:pt idx="6">
                  <c:v>0.3</c:v>
                </c:pt>
                <c:pt idx="7">
                  <c:v>0.15</c:v>
                </c:pt>
                <c:pt idx="8">
                  <c:v>7.4999999999999997E-2</c:v>
                </c:pt>
              </c:numCache>
            </c:numRef>
          </c:xVal>
          <c:yVal>
            <c:numRef>
              <c:f>Sheet1!$L$7:$L$15</c:f>
              <c:numCache>
                <c:formatCode>General</c:formatCode>
                <c:ptCount val="9"/>
                <c:pt idx="0">
                  <c:v>99.83</c:v>
                </c:pt>
                <c:pt idx="1">
                  <c:v>98.4</c:v>
                </c:pt>
                <c:pt idx="2">
                  <c:v>91.8</c:v>
                </c:pt>
                <c:pt idx="3">
                  <c:v>86.8</c:v>
                </c:pt>
                <c:pt idx="4">
                  <c:v>80.86</c:v>
                </c:pt>
                <c:pt idx="5">
                  <c:v>74.48</c:v>
                </c:pt>
                <c:pt idx="6">
                  <c:v>66.180000000000007</c:v>
                </c:pt>
                <c:pt idx="7">
                  <c:v>47.8</c:v>
                </c:pt>
                <c:pt idx="8">
                  <c:v>34.11</c:v>
                </c:pt>
              </c:numCache>
            </c:numRef>
          </c:yVal>
          <c:smooth val="1"/>
          <c:extLst>
            <c:ext xmlns:c16="http://schemas.microsoft.com/office/drawing/2014/chart" uri="{C3380CC4-5D6E-409C-BE32-E72D297353CC}">
              <c16:uniqueId val="{00000000-3363-48DA-BDC7-50B555BC1737}"/>
            </c:ext>
          </c:extLst>
        </c:ser>
        <c:dLbls>
          <c:showLegendKey val="0"/>
          <c:showVal val="0"/>
          <c:showCatName val="0"/>
          <c:showSerName val="0"/>
          <c:showPercent val="0"/>
          <c:showBubbleSize val="0"/>
        </c:dLbls>
        <c:axId val="473981208"/>
        <c:axId val="473980816"/>
      </c:scatterChart>
      <c:valAx>
        <c:axId val="473981208"/>
        <c:scaling>
          <c:logBase val="10"/>
          <c:orientation val="minMax"/>
          <c:max val="100"/>
        </c:scaling>
        <c:delete val="0"/>
        <c:axPos val="b"/>
        <c:majorGridlines/>
        <c:minorGridlines/>
        <c:title>
          <c:tx>
            <c:rich>
              <a:bodyPr/>
              <a:lstStyle/>
              <a:p>
                <a:pPr>
                  <a:defRPr/>
                </a:pPr>
                <a:r>
                  <a:rPr lang="en-US"/>
                  <a:t>No of Sieve</a:t>
                </a:r>
              </a:p>
            </c:rich>
          </c:tx>
          <c:overlay val="0"/>
        </c:title>
        <c:numFmt formatCode="General" sourceLinked="1"/>
        <c:majorTickMark val="out"/>
        <c:minorTickMark val="none"/>
        <c:tickLblPos val="nextTo"/>
        <c:crossAx val="473980816"/>
        <c:crosses val="autoZero"/>
        <c:crossBetween val="midCat"/>
      </c:valAx>
      <c:valAx>
        <c:axId val="473980816"/>
        <c:scaling>
          <c:orientation val="minMax"/>
        </c:scaling>
        <c:delete val="0"/>
        <c:axPos val="l"/>
        <c:majorGridlines/>
        <c:minorGridlines/>
        <c:title>
          <c:tx>
            <c:rich>
              <a:bodyPr/>
              <a:lstStyle/>
              <a:p>
                <a:pPr>
                  <a:defRPr/>
                </a:pPr>
                <a:r>
                  <a:rPr lang="en-US"/>
                  <a:t>Percentage Passing</a:t>
                </a:r>
              </a:p>
            </c:rich>
          </c:tx>
          <c:overlay val="0"/>
        </c:title>
        <c:numFmt formatCode="General" sourceLinked="1"/>
        <c:majorTickMark val="out"/>
        <c:minorTickMark val="none"/>
        <c:tickLblPos val="nextTo"/>
        <c:crossAx val="473981208"/>
        <c:crossesAt val="1.0000000000000002E-2"/>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777430978158692"/>
          <c:y val="1.3496803530312483E-2"/>
          <c:w val="0.75527996122862551"/>
          <c:h val="0.86239782016348776"/>
        </c:manualLayout>
      </c:layout>
      <c:scatterChart>
        <c:scatterStyle val="lineMarker"/>
        <c:varyColors val="0"/>
        <c:ser>
          <c:idx val="0"/>
          <c:order val="0"/>
          <c:spPr>
            <a:ln w="28575">
              <a:noFill/>
            </a:ln>
          </c:spPr>
          <c:marker>
            <c:symbol val="x"/>
            <c:size val="7"/>
            <c:spPr>
              <a:noFill/>
              <a:ln>
                <a:solidFill>
                  <a:srgbClr val="000000"/>
                </a:solidFill>
                <a:prstDash val="solid"/>
              </a:ln>
            </c:spPr>
          </c:marker>
          <c:trendline>
            <c:spPr>
              <a:ln w="12700">
                <a:solidFill>
                  <a:srgbClr val="FF0000"/>
                </a:solidFill>
                <a:prstDash val="solid"/>
              </a:ln>
            </c:spPr>
            <c:trendlineType val="poly"/>
            <c:order val="3"/>
            <c:forward val="1.5"/>
            <c:backward val="1.5"/>
            <c:dispRSqr val="0"/>
            <c:dispEq val="0"/>
          </c:trendline>
          <c:xVal>
            <c:numRef>
              <c:f>'SAMPLE 2'!$I$23:$T$23</c:f>
              <c:numCache>
                <c:formatCode>General</c:formatCode>
                <c:ptCount val="12"/>
                <c:pt idx="0" formatCode="0.0;[Red]0.0">
                  <c:v>8.3892617449664435</c:v>
                </c:pt>
                <c:pt idx="2" formatCode="0.0;[Red]0.0">
                  <c:v>13.185755534167487</c:v>
                </c:pt>
                <c:pt idx="4" formatCode="0.0;[Red]0.0">
                  <c:v>17.169614984391245</c:v>
                </c:pt>
                <c:pt idx="6" formatCode="0.0;[Red]0.0">
                  <c:v>18.511796733212346</c:v>
                </c:pt>
                <c:pt idx="8" formatCode="0.0;[Red]0.0">
                  <c:v>25.707257072570712</c:v>
                </c:pt>
              </c:numCache>
            </c:numRef>
          </c:xVal>
          <c:yVal>
            <c:numRef>
              <c:f>'SAMPLE 2'!$I$24:$T$24</c:f>
              <c:numCache>
                <c:formatCode>General</c:formatCode>
                <c:ptCount val="12"/>
                <c:pt idx="0" formatCode="0.0;[Red]0.0">
                  <c:v>1540.7430340557275</c:v>
                </c:pt>
                <c:pt idx="2" formatCode="0.0;[Red]0.0">
                  <c:v>1908.367346938775</c:v>
                </c:pt>
                <c:pt idx="4" formatCode="0.0;[Red]0.0">
                  <c:v>1741.0657193605687</c:v>
                </c:pt>
                <c:pt idx="6" formatCode="0.0;[Red]0.0">
                  <c:v>1645.4058192955588</c:v>
                </c:pt>
                <c:pt idx="8" formatCode="0.0;[Red]0.0">
                  <c:v>1511.4481409001958</c:v>
                </c:pt>
              </c:numCache>
            </c:numRef>
          </c:yVal>
          <c:smooth val="0"/>
          <c:extLst>
            <c:ext xmlns:c16="http://schemas.microsoft.com/office/drawing/2014/chart" uri="{C3380CC4-5D6E-409C-BE32-E72D297353CC}">
              <c16:uniqueId val="{00000001-5D9B-497F-9FDD-BC402ABA97EF}"/>
            </c:ext>
          </c:extLst>
        </c:ser>
        <c:dLbls>
          <c:showLegendKey val="0"/>
          <c:showVal val="0"/>
          <c:showCatName val="0"/>
          <c:showSerName val="0"/>
          <c:showPercent val="0"/>
          <c:showBubbleSize val="0"/>
        </c:dLbls>
        <c:axId val="473985520"/>
        <c:axId val="473985128"/>
      </c:scatterChart>
      <c:valAx>
        <c:axId val="473985520"/>
        <c:scaling>
          <c:orientation val="minMax"/>
          <c:max val="24"/>
          <c:min val="0"/>
        </c:scaling>
        <c:delete val="0"/>
        <c:axPos val="b"/>
        <c:majorGridlines>
          <c:spPr>
            <a:ln w="12700">
              <a:solidFill>
                <a:srgbClr val="808080"/>
              </a:solidFill>
              <a:prstDash val="solid"/>
            </a:ln>
          </c:spPr>
        </c:majorGridlines>
        <c:minorGridlines>
          <c:spPr>
            <a:ln w="12700">
              <a:solidFill>
                <a:srgbClr val="808080"/>
              </a:solidFill>
              <a:prstDash val="solid"/>
            </a:ln>
          </c:spPr>
        </c:minorGridlines>
        <c:title>
          <c:tx>
            <c:rich>
              <a:bodyPr/>
              <a:lstStyle/>
              <a:p>
                <a:pPr>
                  <a:defRPr/>
                </a:pPr>
                <a:r>
                  <a:rPr lang="en-US"/>
                  <a:t>Moisture content, %</a:t>
                </a:r>
              </a:p>
            </c:rich>
          </c:tx>
          <c:layout>
            <c:manualLayout>
              <c:xMode val="edge"/>
              <c:yMode val="edge"/>
              <c:x val="0.43090406152061184"/>
              <c:y val="0.96363010503399815"/>
            </c:manualLayout>
          </c:layout>
          <c:overlay val="0"/>
          <c:spPr>
            <a:noFill/>
            <a:ln w="25400">
              <a:noFill/>
            </a:ln>
          </c:spPr>
        </c:title>
        <c:numFmt formatCode="0.0;[Red]0.0" sourceLinked="1"/>
        <c:majorTickMark val="out"/>
        <c:minorTickMark val="in"/>
        <c:tickLblPos val="nextTo"/>
        <c:spPr>
          <a:ln w="12700">
            <a:solidFill>
              <a:srgbClr val="000000">
                <a:alpha val="97000"/>
              </a:srgbClr>
            </a:solidFill>
            <a:prstDash val="solid"/>
          </a:ln>
        </c:spPr>
        <c:txPr>
          <a:bodyPr rot="0" vert="horz"/>
          <a:lstStyle/>
          <a:p>
            <a:pPr>
              <a:defRPr/>
            </a:pPr>
            <a:endParaRPr lang="en-US"/>
          </a:p>
        </c:txPr>
        <c:crossAx val="473985128"/>
        <c:crossesAt val="1000"/>
        <c:crossBetween val="midCat"/>
        <c:majorUnit val="5"/>
      </c:valAx>
      <c:valAx>
        <c:axId val="473985128"/>
        <c:scaling>
          <c:orientation val="minMax"/>
          <c:max val="2200"/>
          <c:min val="1600"/>
        </c:scaling>
        <c:delete val="0"/>
        <c:axPos val="l"/>
        <c:majorGridlines>
          <c:spPr>
            <a:ln w="12700">
              <a:solidFill>
                <a:srgbClr val="808080"/>
              </a:solidFill>
              <a:prstDash val="solid"/>
            </a:ln>
          </c:spPr>
        </c:majorGridlines>
        <c:minorGridlines>
          <c:spPr>
            <a:ln w="12700">
              <a:solidFill>
                <a:srgbClr val="808080"/>
              </a:solidFill>
              <a:prstDash val="solid"/>
            </a:ln>
          </c:spPr>
        </c:minorGridlines>
        <c:title>
          <c:tx>
            <c:rich>
              <a:bodyPr/>
              <a:lstStyle/>
              <a:p>
                <a:pPr>
                  <a:defRPr/>
                </a:pPr>
                <a:r>
                  <a:rPr lang="en-US"/>
                  <a:t>Dry density, kg/m3</a:t>
                </a:r>
              </a:p>
            </c:rich>
          </c:tx>
          <c:layout>
            <c:manualLayout>
              <c:xMode val="edge"/>
              <c:yMode val="edge"/>
              <c:x val="6.2112047314840362E-3"/>
              <c:y val="0.35149860755735873"/>
            </c:manualLayout>
          </c:layout>
          <c:overlay val="0"/>
          <c:spPr>
            <a:noFill/>
            <a:ln w="25400">
              <a:noFill/>
            </a:ln>
          </c:spPr>
        </c:title>
        <c:numFmt formatCode="0.0;[Red]0.0" sourceLinked="1"/>
        <c:majorTickMark val="out"/>
        <c:minorTickMark val="in"/>
        <c:tickLblPos val="nextTo"/>
        <c:spPr>
          <a:ln w="12700">
            <a:solidFill>
              <a:srgbClr val="000000"/>
            </a:solidFill>
            <a:prstDash val="solid"/>
          </a:ln>
        </c:spPr>
        <c:txPr>
          <a:bodyPr rot="0" vert="horz"/>
          <a:lstStyle/>
          <a:p>
            <a:pPr>
              <a:defRPr/>
            </a:pPr>
            <a:endParaRPr lang="en-US"/>
          </a:p>
        </c:txPr>
        <c:crossAx val="473985520"/>
        <c:crossesAt val="0"/>
        <c:crossBetween val="midCat"/>
        <c:majorUnit val="100"/>
      </c:valAx>
      <c:spPr>
        <a:noFill/>
        <a:ln w="12700">
          <a:solidFill>
            <a:srgbClr val="000000"/>
          </a:solidFill>
          <a:prstDash val="dashDot"/>
        </a:ln>
      </c:spPr>
    </c:plotArea>
    <c:plotVisOnly val="1"/>
    <c:dispBlanksAs val="gap"/>
    <c:showDLblsOverMax val="0"/>
  </c:chart>
  <c:spPr>
    <a:noFill/>
    <a:ln w="3175">
      <a:solidFill>
        <a:srgbClr val="000000"/>
      </a:solidFill>
      <a:prstDash val="solid"/>
    </a:ln>
  </c:spPr>
  <c:txPr>
    <a:bodyPr/>
    <a:lstStyle/>
    <a:p>
      <a:pPr>
        <a:defRPr sz="5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CBR vs Dosage Graph</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Sample 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Sheet1!$A$2:$A$5</c:f>
              <c:numCache>
                <c:formatCode>0%</c:formatCode>
                <c:ptCount val="4"/>
                <c:pt idx="0">
                  <c:v>0</c:v>
                </c:pt>
                <c:pt idx="1">
                  <c:v>0.03</c:v>
                </c:pt>
                <c:pt idx="2">
                  <c:v>0.06</c:v>
                </c:pt>
                <c:pt idx="3">
                  <c:v>0.09</c:v>
                </c:pt>
              </c:numCache>
            </c:numRef>
          </c:cat>
          <c:val>
            <c:numRef>
              <c:f>Sheet1!$B$2:$B$5</c:f>
              <c:numCache>
                <c:formatCode>General</c:formatCode>
                <c:ptCount val="4"/>
                <c:pt idx="0">
                  <c:v>7</c:v>
                </c:pt>
                <c:pt idx="1">
                  <c:v>7.5</c:v>
                </c:pt>
                <c:pt idx="2">
                  <c:v>10.5</c:v>
                </c:pt>
                <c:pt idx="3">
                  <c:v>20.25</c:v>
                </c:pt>
              </c:numCache>
            </c:numRef>
          </c:val>
          <c:smooth val="0"/>
          <c:extLst>
            <c:ext xmlns:c16="http://schemas.microsoft.com/office/drawing/2014/chart" uri="{C3380CC4-5D6E-409C-BE32-E72D297353CC}">
              <c16:uniqueId val="{00000000-6FDC-4559-B62D-349F93FB081D}"/>
            </c:ext>
          </c:extLst>
        </c:ser>
        <c:ser>
          <c:idx val="1"/>
          <c:order val="1"/>
          <c:tx>
            <c:strRef>
              <c:f>Sheet1!$C$1</c:f>
              <c:strCache>
                <c:ptCount val="1"/>
                <c:pt idx="0">
                  <c:v>Sample 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Sheet1!$A$2:$A$5</c:f>
              <c:numCache>
                <c:formatCode>0%</c:formatCode>
                <c:ptCount val="4"/>
                <c:pt idx="0">
                  <c:v>0</c:v>
                </c:pt>
                <c:pt idx="1">
                  <c:v>0.03</c:v>
                </c:pt>
                <c:pt idx="2">
                  <c:v>0.06</c:v>
                </c:pt>
                <c:pt idx="3">
                  <c:v>0.09</c:v>
                </c:pt>
              </c:numCache>
            </c:numRef>
          </c:cat>
          <c:val>
            <c:numRef>
              <c:f>Sheet1!$C$2:$C$5</c:f>
              <c:numCache>
                <c:formatCode>General</c:formatCode>
                <c:ptCount val="4"/>
                <c:pt idx="0">
                  <c:v>23.5</c:v>
                </c:pt>
                <c:pt idx="1">
                  <c:v>28.25</c:v>
                </c:pt>
                <c:pt idx="2">
                  <c:v>52.5</c:v>
                </c:pt>
                <c:pt idx="3">
                  <c:v>75</c:v>
                </c:pt>
              </c:numCache>
            </c:numRef>
          </c:val>
          <c:smooth val="0"/>
          <c:extLst>
            <c:ext xmlns:c16="http://schemas.microsoft.com/office/drawing/2014/chart" uri="{C3380CC4-5D6E-409C-BE32-E72D297353CC}">
              <c16:uniqueId val="{00000001-6FDC-4559-B62D-349F93FB081D}"/>
            </c:ext>
          </c:extLst>
        </c:ser>
        <c:dLbls>
          <c:showLegendKey val="0"/>
          <c:showVal val="0"/>
          <c:showCatName val="0"/>
          <c:showSerName val="0"/>
          <c:showPercent val="0"/>
          <c:showBubbleSize val="0"/>
        </c:dLbls>
        <c:marker val="1"/>
        <c:smooth val="0"/>
        <c:axId val="269342991"/>
        <c:axId val="269340111"/>
      </c:lineChart>
      <c:catAx>
        <c:axId val="26934299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Dosage (%)</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269340111"/>
        <c:crosses val="autoZero"/>
        <c:auto val="1"/>
        <c:lblAlgn val="ctr"/>
        <c:lblOffset val="100"/>
        <c:noMultiLvlLbl val="0"/>
      </c:catAx>
      <c:valAx>
        <c:axId val="2693401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Average CBR (%)</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269342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Shear Strength</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0%</c:v>
                </c:pt>
              </c:strCache>
            </c:strRef>
          </c:tx>
          <c:spPr>
            <a:solidFill>
              <a:schemeClr val="accent1"/>
            </a:solidFill>
            <a:ln>
              <a:noFill/>
            </a:ln>
            <a:effectLst/>
          </c:spPr>
          <c:invertIfNegative val="0"/>
          <c:cat>
            <c:strRef>
              <c:f>Sheet1!$A$2:$A$3</c:f>
              <c:strCache>
                <c:ptCount val="2"/>
                <c:pt idx="0">
                  <c:v>Soil Sample A</c:v>
                </c:pt>
                <c:pt idx="1">
                  <c:v>Soil Sample B</c:v>
                </c:pt>
              </c:strCache>
            </c:strRef>
          </c:cat>
          <c:val>
            <c:numRef>
              <c:f>Sheet1!$B$2:$B$3</c:f>
              <c:numCache>
                <c:formatCode>General</c:formatCode>
                <c:ptCount val="2"/>
                <c:pt idx="0">
                  <c:v>168.30850000000001</c:v>
                </c:pt>
                <c:pt idx="1">
                  <c:v>115.4701</c:v>
                </c:pt>
              </c:numCache>
            </c:numRef>
          </c:val>
          <c:extLst>
            <c:ext xmlns:c16="http://schemas.microsoft.com/office/drawing/2014/chart" uri="{C3380CC4-5D6E-409C-BE32-E72D297353CC}">
              <c16:uniqueId val="{00000000-4C49-49FD-97B3-658BB21BF7D1}"/>
            </c:ext>
          </c:extLst>
        </c:ser>
        <c:ser>
          <c:idx val="1"/>
          <c:order val="1"/>
          <c:tx>
            <c:strRef>
              <c:f>Sheet1!$C$1</c:f>
              <c:strCache>
                <c:ptCount val="1"/>
                <c:pt idx="0">
                  <c:v>3%</c:v>
                </c:pt>
              </c:strCache>
            </c:strRef>
          </c:tx>
          <c:spPr>
            <a:solidFill>
              <a:schemeClr val="accent2"/>
            </a:solidFill>
            <a:ln>
              <a:noFill/>
            </a:ln>
            <a:effectLst/>
          </c:spPr>
          <c:invertIfNegative val="0"/>
          <c:cat>
            <c:strRef>
              <c:f>Sheet1!$A$2:$A$3</c:f>
              <c:strCache>
                <c:ptCount val="2"/>
                <c:pt idx="0">
                  <c:v>Soil Sample A</c:v>
                </c:pt>
                <c:pt idx="1">
                  <c:v>Soil Sample B</c:v>
                </c:pt>
              </c:strCache>
            </c:strRef>
          </c:cat>
          <c:val>
            <c:numRef>
              <c:f>Sheet1!$C$2:$C$3</c:f>
              <c:numCache>
                <c:formatCode>General</c:formatCode>
                <c:ptCount val="2"/>
                <c:pt idx="0">
                  <c:v>190.04150000000001</c:v>
                </c:pt>
                <c:pt idx="1">
                  <c:v>161.95679999999999</c:v>
                </c:pt>
              </c:numCache>
            </c:numRef>
          </c:val>
          <c:extLst>
            <c:ext xmlns:c16="http://schemas.microsoft.com/office/drawing/2014/chart" uri="{C3380CC4-5D6E-409C-BE32-E72D297353CC}">
              <c16:uniqueId val="{00000001-4C49-49FD-97B3-658BB21BF7D1}"/>
            </c:ext>
          </c:extLst>
        </c:ser>
        <c:ser>
          <c:idx val="2"/>
          <c:order val="2"/>
          <c:tx>
            <c:strRef>
              <c:f>Sheet1!$D$1</c:f>
              <c:strCache>
                <c:ptCount val="1"/>
                <c:pt idx="0">
                  <c:v>6%</c:v>
                </c:pt>
              </c:strCache>
            </c:strRef>
          </c:tx>
          <c:spPr>
            <a:solidFill>
              <a:schemeClr val="accent3"/>
            </a:solidFill>
            <a:ln>
              <a:noFill/>
            </a:ln>
            <a:effectLst/>
          </c:spPr>
          <c:invertIfNegative val="0"/>
          <c:cat>
            <c:strRef>
              <c:f>Sheet1!$A$2:$A$3</c:f>
              <c:strCache>
                <c:ptCount val="2"/>
                <c:pt idx="0">
                  <c:v>Soil Sample A</c:v>
                </c:pt>
                <c:pt idx="1">
                  <c:v>Soil Sample B</c:v>
                </c:pt>
              </c:strCache>
            </c:strRef>
          </c:cat>
          <c:val>
            <c:numRef>
              <c:f>Sheet1!$D$2:$D$3</c:f>
              <c:numCache>
                <c:formatCode>General</c:formatCode>
                <c:ptCount val="2"/>
                <c:pt idx="0">
                  <c:v>194.97389999999999</c:v>
                </c:pt>
                <c:pt idx="1">
                  <c:v>173.85730000000001</c:v>
                </c:pt>
              </c:numCache>
            </c:numRef>
          </c:val>
          <c:extLst>
            <c:ext xmlns:c16="http://schemas.microsoft.com/office/drawing/2014/chart" uri="{C3380CC4-5D6E-409C-BE32-E72D297353CC}">
              <c16:uniqueId val="{00000002-4C49-49FD-97B3-658BB21BF7D1}"/>
            </c:ext>
          </c:extLst>
        </c:ser>
        <c:ser>
          <c:idx val="3"/>
          <c:order val="3"/>
          <c:tx>
            <c:strRef>
              <c:f>Sheet1!$E$1</c:f>
              <c:strCache>
                <c:ptCount val="1"/>
                <c:pt idx="0">
                  <c:v>9%</c:v>
                </c:pt>
              </c:strCache>
            </c:strRef>
          </c:tx>
          <c:spPr>
            <a:solidFill>
              <a:schemeClr val="accent4"/>
            </a:solidFill>
            <a:ln>
              <a:noFill/>
            </a:ln>
            <a:effectLst/>
          </c:spPr>
          <c:invertIfNegative val="0"/>
          <c:cat>
            <c:strRef>
              <c:f>Sheet1!$A$2:$A$3</c:f>
              <c:strCache>
                <c:ptCount val="2"/>
                <c:pt idx="0">
                  <c:v>Soil Sample A</c:v>
                </c:pt>
                <c:pt idx="1">
                  <c:v>Soil Sample B</c:v>
                </c:pt>
              </c:strCache>
            </c:strRef>
          </c:cat>
          <c:val>
            <c:numRef>
              <c:f>Sheet1!$E$2:$E$3</c:f>
              <c:numCache>
                <c:formatCode>General</c:formatCode>
                <c:ptCount val="2"/>
                <c:pt idx="0">
                  <c:v>220.30850000000001</c:v>
                </c:pt>
                <c:pt idx="1">
                  <c:v>193.1378</c:v>
                </c:pt>
              </c:numCache>
            </c:numRef>
          </c:val>
          <c:extLst>
            <c:ext xmlns:c16="http://schemas.microsoft.com/office/drawing/2014/chart" uri="{C3380CC4-5D6E-409C-BE32-E72D297353CC}">
              <c16:uniqueId val="{00000003-4C49-49FD-97B3-658BB21BF7D1}"/>
            </c:ext>
          </c:extLst>
        </c:ser>
        <c:dLbls>
          <c:showLegendKey val="0"/>
          <c:showVal val="0"/>
          <c:showCatName val="0"/>
          <c:showSerName val="0"/>
          <c:showPercent val="0"/>
          <c:showBubbleSize val="0"/>
        </c:dLbls>
        <c:gapWidth val="267"/>
        <c:overlap val="-43"/>
        <c:axId val="855642272"/>
        <c:axId val="945960880"/>
      </c:barChart>
      <c:catAx>
        <c:axId val="85564227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Soil Samples/Treatment Dosage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945960880"/>
        <c:crosses val="autoZero"/>
        <c:auto val="1"/>
        <c:lblAlgn val="ctr"/>
        <c:lblOffset val="100"/>
        <c:noMultiLvlLbl val="0"/>
      </c:catAx>
      <c:valAx>
        <c:axId val="94596088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Shear strength (N/m2)</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85564227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FIG 9. Rate of Consolidation of Soil Samples</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0%</c:v>
                </c:pt>
              </c:strCache>
            </c:strRef>
          </c:tx>
          <c:spPr>
            <a:solidFill>
              <a:schemeClr val="accent1"/>
            </a:solidFill>
            <a:ln>
              <a:noFill/>
            </a:ln>
            <a:effectLst/>
          </c:spPr>
          <c:invertIfNegative val="0"/>
          <c:cat>
            <c:strRef>
              <c:f>Sheet1!$A$2:$A$3</c:f>
              <c:strCache>
                <c:ptCount val="2"/>
                <c:pt idx="0">
                  <c:v>Sample </c:v>
                </c:pt>
                <c:pt idx="1">
                  <c:v>Sample B</c:v>
                </c:pt>
              </c:strCache>
            </c:strRef>
          </c:cat>
          <c:val>
            <c:numRef>
              <c:f>Sheet1!$B$2:$B$3</c:f>
              <c:numCache>
                <c:formatCode>General</c:formatCode>
                <c:ptCount val="2"/>
                <c:pt idx="0">
                  <c:v>3.6909999999999998E-2</c:v>
                </c:pt>
                <c:pt idx="1">
                  <c:v>3.117E-2</c:v>
                </c:pt>
              </c:numCache>
            </c:numRef>
          </c:val>
          <c:extLst>
            <c:ext xmlns:c16="http://schemas.microsoft.com/office/drawing/2014/chart" uri="{C3380CC4-5D6E-409C-BE32-E72D297353CC}">
              <c16:uniqueId val="{00000000-4BEB-42E7-978D-6791A1D36EA9}"/>
            </c:ext>
          </c:extLst>
        </c:ser>
        <c:ser>
          <c:idx val="1"/>
          <c:order val="1"/>
          <c:tx>
            <c:strRef>
              <c:f>Sheet1!$C$1</c:f>
              <c:strCache>
                <c:ptCount val="1"/>
                <c:pt idx="0">
                  <c:v>3%</c:v>
                </c:pt>
              </c:strCache>
            </c:strRef>
          </c:tx>
          <c:spPr>
            <a:solidFill>
              <a:schemeClr val="accent2"/>
            </a:solidFill>
            <a:ln>
              <a:noFill/>
            </a:ln>
            <a:effectLst/>
          </c:spPr>
          <c:invertIfNegative val="0"/>
          <c:cat>
            <c:strRef>
              <c:f>Sheet1!$A$2:$A$3</c:f>
              <c:strCache>
                <c:ptCount val="2"/>
                <c:pt idx="0">
                  <c:v>Sample </c:v>
                </c:pt>
                <c:pt idx="1">
                  <c:v>Sample B</c:v>
                </c:pt>
              </c:strCache>
            </c:strRef>
          </c:cat>
          <c:val>
            <c:numRef>
              <c:f>Sheet1!$C$2:$C$3</c:f>
              <c:numCache>
                <c:formatCode>General</c:formatCode>
                <c:ptCount val="2"/>
                <c:pt idx="0">
                  <c:v>2.6960000000000001E-2</c:v>
                </c:pt>
                <c:pt idx="1">
                  <c:v>2.7529999999999999E-2</c:v>
                </c:pt>
              </c:numCache>
            </c:numRef>
          </c:val>
          <c:extLst>
            <c:ext xmlns:c16="http://schemas.microsoft.com/office/drawing/2014/chart" uri="{C3380CC4-5D6E-409C-BE32-E72D297353CC}">
              <c16:uniqueId val="{00000001-4BEB-42E7-978D-6791A1D36EA9}"/>
            </c:ext>
          </c:extLst>
        </c:ser>
        <c:ser>
          <c:idx val="2"/>
          <c:order val="2"/>
          <c:tx>
            <c:strRef>
              <c:f>Sheet1!$D$1</c:f>
              <c:strCache>
                <c:ptCount val="1"/>
                <c:pt idx="0">
                  <c:v>6%</c:v>
                </c:pt>
              </c:strCache>
            </c:strRef>
          </c:tx>
          <c:spPr>
            <a:solidFill>
              <a:schemeClr val="accent3"/>
            </a:solidFill>
            <a:ln>
              <a:noFill/>
            </a:ln>
            <a:effectLst/>
          </c:spPr>
          <c:invertIfNegative val="0"/>
          <c:cat>
            <c:strRef>
              <c:f>Sheet1!$A$2:$A$3</c:f>
              <c:strCache>
                <c:ptCount val="2"/>
                <c:pt idx="0">
                  <c:v>Sample </c:v>
                </c:pt>
                <c:pt idx="1">
                  <c:v>Sample B</c:v>
                </c:pt>
              </c:strCache>
            </c:strRef>
          </c:cat>
          <c:val>
            <c:numRef>
              <c:f>Sheet1!$D$2:$D$3</c:f>
              <c:numCache>
                <c:formatCode>General</c:formatCode>
                <c:ptCount val="2"/>
                <c:pt idx="0">
                  <c:v>2.9350000000000001E-2</c:v>
                </c:pt>
                <c:pt idx="1">
                  <c:v>2.7900000000000001E-2</c:v>
                </c:pt>
              </c:numCache>
            </c:numRef>
          </c:val>
          <c:extLst>
            <c:ext xmlns:c16="http://schemas.microsoft.com/office/drawing/2014/chart" uri="{C3380CC4-5D6E-409C-BE32-E72D297353CC}">
              <c16:uniqueId val="{00000002-4BEB-42E7-978D-6791A1D36EA9}"/>
            </c:ext>
          </c:extLst>
        </c:ser>
        <c:ser>
          <c:idx val="3"/>
          <c:order val="3"/>
          <c:tx>
            <c:strRef>
              <c:f>Sheet1!$E$1</c:f>
              <c:strCache>
                <c:ptCount val="1"/>
                <c:pt idx="0">
                  <c:v>9%</c:v>
                </c:pt>
              </c:strCache>
            </c:strRef>
          </c:tx>
          <c:spPr>
            <a:solidFill>
              <a:schemeClr val="accent4"/>
            </a:solidFill>
            <a:ln>
              <a:noFill/>
            </a:ln>
            <a:effectLst/>
          </c:spPr>
          <c:invertIfNegative val="0"/>
          <c:cat>
            <c:strRef>
              <c:f>Sheet1!$A$2:$A$3</c:f>
              <c:strCache>
                <c:ptCount val="2"/>
                <c:pt idx="0">
                  <c:v>Sample </c:v>
                </c:pt>
                <c:pt idx="1">
                  <c:v>Sample B</c:v>
                </c:pt>
              </c:strCache>
            </c:strRef>
          </c:cat>
          <c:val>
            <c:numRef>
              <c:f>Sheet1!$E$2:$E$3</c:f>
              <c:numCache>
                <c:formatCode>General</c:formatCode>
                <c:ptCount val="2"/>
                <c:pt idx="0">
                  <c:v>2.4049999999999998E-2</c:v>
                </c:pt>
                <c:pt idx="1">
                  <c:v>2.4279999999999999E-2</c:v>
                </c:pt>
              </c:numCache>
            </c:numRef>
          </c:val>
          <c:extLst>
            <c:ext xmlns:c16="http://schemas.microsoft.com/office/drawing/2014/chart" uri="{C3380CC4-5D6E-409C-BE32-E72D297353CC}">
              <c16:uniqueId val="{00000003-4BEB-42E7-978D-6791A1D36EA9}"/>
            </c:ext>
          </c:extLst>
        </c:ser>
        <c:dLbls>
          <c:showLegendKey val="0"/>
          <c:showVal val="0"/>
          <c:showCatName val="0"/>
          <c:showSerName val="0"/>
          <c:showPercent val="0"/>
          <c:showBubbleSize val="0"/>
        </c:dLbls>
        <c:gapWidth val="267"/>
        <c:overlap val="-43"/>
        <c:axId val="967673856"/>
        <c:axId val="967675296"/>
      </c:barChart>
      <c:catAx>
        <c:axId val="967673856"/>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Soil Sample/ Treatment</a:t>
                </a:r>
                <a:r>
                  <a:rPr lang="en-US" baseline="0"/>
                  <a:t> Dosage</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967675296"/>
        <c:crosses val="autoZero"/>
        <c:auto val="1"/>
        <c:lblAlgn val="ctr"/>
        <c:lblOffset val="100"/>
        <c:noMultiLvlLbl val="0"/>
      </c:catAx>
      <c:valAx>
        <c:axId val="967675296"/>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Co-efficient</a:t>
                </a:r>
                <a:r>
                  <a:rPr lang="en-US" baseline="0"/>
                  <a:t> of Consolidation (m</a:t>
                </a:r>
                <a:r>
                  <a:rPr lang="en-US" baseline="30000"/>
                  <a:t>2</a:t>
                </a:r>
                <a:r>
                  <a:rPr lang="en-US" baseline="0"/>
                  <a:t>/yr)</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96767385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drawings/drawing1.xml><?xml version="1.0" encoding="utf-8"?>
<c:userShapes xmlns:c="http://schemas.openxmlformats.org/drawingml/2006/chart">
  <cdr:relSizeAnchor xmlns:cdr="http://schemas.openxmlformats.org/drawingml/2006/chartDrawing">
    <cdr:from>
      <cdr:x>0.1703</cdr:x>
      <cdr:y>0.42693</cdr:y>
    </cdr:from>
    <cdr:to>
      <cdr:x>0.96914</cdr:x>
      <cdr:y>0.42845</cdr:y>
    </cdr:to>
    <cdr:sp macro="" textlink="">
      <cdr:nvSpPr>
        <cdr:cNvPr id="4097" name="Line 1"/>
        <cdr:cNvSpPr>
          <a:spLocks xmlns:a="http://schemas.openxmlformats.org/drawingml/2006/main" noChangeShapeType="1"/>
        </cdr:cNvSpPr>
      </cdr:nvSpPr>
      <cdr:spPr bwMode="auto">
        <a:xfrm xmlns:a="http://schemas.openxmlformats.org/drawingml/2006/main">
          <a:off x="1186663" y="2929724"/>
          <a:ext cx="5566370" cy="10430"/>
        </a:xfrm>
        <a:prstGeom xmlns:a="http://schemas.openxmlformats.org/drawingml/2006/main" prst="line">
          <a:avLst/>
        </a:prstGeom>
        <a:noFill xmlns:a="http://schemas.openxmlformats.org/drawingml/2006/main"/>
        <a:ln xmlns:a="http://schemas.openxmlformats.org/drawingml/2006/main" w="12700">
          <a:solidFill>
            <a:srgbClr val="000000"/>
          </a:solidFill>
          <a:prstDash val="dash"/>
          <a:round/>
          <a:headEnd/>
          <a:tailEn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0.60842</cdr:x>
      <cdr:y>0.13382</cdr:y>
    </cdr:from>
    <cdr:to>
      <cdr:x>0.60843</cdr:x>
      <cdr:y>0.93722</cdr:y>
    </cdr:to>
    <cdr:sp macro="" textlink="">
      <cdr:nvSpPr>
        <cdr:cNvPr id="4098" name="Line 2"/>
        <cdr:cNvSpPr>
          <a:spLocks xmlns:a="http://schemas.openxmlformats.org/drawingml/2006/main" noChangeShapeType="1"/>
        </cdr:cNvSpPr>
      </cdr:nvSpPr>
      <cdr:spPr bwMode="auto">
        <a:xfrm xmlns:a="http://schemas.openxmlformats.org/drawingml/2006/main">
          <a:off x="4239533" y="918281"/>
          <a:ext cx="69" cy="5513119"/>
        </a:xfrm>
        <a:prstGeom xmlns:a="http://schemas.openxmlformats.org/drawingml/2006/main" prst="line">
          <a:avLst/>
        </a:prstGeom>
        <a:noFill xmlns:a="http://schemas.openxmlformats.org/drawingml/2006/main"/>
        <a:ln xmlns:a="http://schemas.openxmlformats.org/drawingml/2006/main" w="12700">
          <a:solidFill>
            <a:schemeClr val="tx1"/>
          </a:solidFill>
          <a:prstDash val="dash"/>
          <a:round/>
          <a:headEnd/>
          <a:tailEnd/>
        </a:ln>
      </cdr:spPr>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59E8C-E2BC-4E56-86B2-EA3C3188E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15</Pages>
  <Words>6070</Words>
  <Characters>34603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40592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Precious Olaomotito</cp:lastModifiedBy>
  <cp:revision>2</cp:revision>
  <cp:lastPrinted>1999-07-06T11:00:00Z</cp:lastPrinted>
  <dcterms:created xsi:type="dcterms:W3CDTF">2025-09-19T20:35:00Z</dcterms:created>
  <dcterms:modified xsi:type="dcterms:W3CDTF">2025-09-19T20:35:00Z</dcterms:modified>
</cp:coreProperties>
</file>