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5EEF" w14:textId="6EF01AA9" w:rsidR="00A861AE" w:rsidRDefault="00A861AE" w:rsidP="00441B6F">
      <w:pPr>
        <w:pStyle w:val="Author"/>
        <w:spacing w:line="240" w:lineRule="auto"/>
        <w:rPr>
          <w:rFonts w:ascii="Arial" w:hAnsi="Arial" w:cs="Arial"/>
          <w:bCs/>
          <w:i/>
          <w:iCs/>
          <w:kern w:val="28"/>
          <w:sz w:val="36"/>
          <w:u w:val="single"/>
        </w:rPr>
      </w:pPr>
      <w:r w:rsidRPr="00A861AE">
        <w:rPr>
          <w:rFonts w:ascii="Arial" w:hAnsi="Arial" w:cs="Arial"/>
          <w:bCs/>
          <w:i/>
          <w:iCs/>
          <w:kern w:val="28"/>
          <w:sz w:val="36"/>
          <w:u w:val="single"/>
        </w:rPr>
        <w:t xml:space="preserve">Original Research Article </w:t>
      </w:r>
    </w:p>
    <w:p w14:paraId="0C3BB4D1" w14:textId="77777777" w:rsidR="00A861AE" w:rsidRPr="00A861AE" w:rsidRDefault="00A861AE" w:rsidP="00441B6F">
      <w:pPr>
        <w:pStyle w:val="Author"/>
        <w:spacing w:line="240" w:lineRule="auto"/>
        <w:rPr>
          <w:rFonts w:ascii="Arial" w:hAnsi="Arial" w:cs="Arial"/>
          <w:bCs/>
          <w:i/>
          <w:iCs/>
          <w:kern w:val="28"/>
          <w:sz w:val="36"/>
          <w:u w:val="single"/>
        </w:rPr>
      </w:pPr>
    </w:p>
    <w:p w14:paraId="2DA67476" w14:textId="4008BD4F" w:rsidR="00163BC4" w:rsidRPr="00166DEB" w:rsidRDefault="00516475" w:rsidP="00441B6F">
      <w:pPr>
        <w:pStyle w:val="Author"/>
        <w:spacing w:line="240" w:lineRule="auto"/>
        <w:rPr>
          <w:rFonts w:ascii="Arial" w:hAnsi="Arial" w:cs="Arial"/>
          <w:bCs/>
          <w:iCs/>
          <w:kern w:val="28"/>
          <w:sz w:val="36"/>
        </w:rPr>
      </w:pPr>
      <w:r w:rsidRPr="00166DEB">
        <w:rPr>
          <w:rFonts w:ascii="Arial" w:hAnsi="Arial" w:cs="Arial"/>
          <w:bCs/>
          <w:iCs/>
          <w:kern w:val="28"/>
          <w:sz w:val="36"/>
        </w:rPr>
        <w:t>ANALYSING HOUSEHOLD ENERGY CONSUMPTION IN ABUJA MUNICIPAL: IMPLICATIONS FOR RENEWABLE ENERGY ADOPTION AND CLIMATE CHANGE POLICIES</w:t>
      </w:r>
      <w:r w:rsidR="00231920" w:rsidRPr="00166DEB">
        <w:rPr>
          <w:rFonts w:ascii="Arial" w:hAnsi="Arial" w:cs="Arial"/>
          <w:bCs/>
          <w:iCs/>
          <w:kern w:val="28"/>
          <w:sz w:val="36"/>
        </w:rPr>
        <w:t xml:space="preserve"> </w:t>
      </w:r>
    </w:p>
    <w:p w14:paraId="65CEAC8E" w14:textId="77777777" w:rsidR="00A258C3" w:rsidRPr="00166DEB" w:rsidRDefault="00A258C3" w:rsidP="00441B6F">
      <w:pPr>
        <w:pStyle w:val="Author"/>
        <w:spacing w:line="240" w:lineRule="auto"/>
        <w:jc w:val="both"/>
        <w:rPr>
          <w:rFonts w:ascii="Arial" w:hAnsi="Arial" w:cs="Arial"/>
          <w:sz w:val="36"/>
        </w:rPr>
      </w:pPr>
    </w:p>
    <w:p w14:paraId="5DE1C921" w14:textId="77777777" w:rsidR="002B4D1C" w:rsidRPr="00060C30" w:rsidRDefault="002B4D1C" w:rsidP="00441B6F">
      <w:pPr>
        <w:pStyle w:val="Affiliation"/>
        <w:spacing w:after="0" w:line="240" w:lineRule="auto"/>
        <w:rPr>
          <w:rFonts w:ascii="Arial" w:hAnsi="Arial" w:cs="Arial"/>
          <w:i/>
          <w:sz w:val="22"/>
          <w:szCs w:val="22"/>
        </w:rPr>
      </w:pPr>
    </w:p>
    <w:p w14:paraId="0934759E" w14:textId="77777777" w:rsidR="00790ADA" w:rsidRPr="00166DEB" w:rsidRDefault="00790ADA" w:rsidP="00441B6F">
      <w:pPr>
        <w:pStyle w:val="Affiliation"/>
        <w:spacing w:after="0" w:line="240" w:lineRule="auto"/>
        <w:jc w:val="both"/>
        <w:rPr>
          <w:rFonts w:ascii="Arial" w:hAnsi="Arial" w:cs="Arial"/>
        </w:rPr>
      </w:pPr>
    </w:p>
    <w:p w14:paraId="3C90D968" w14:textId="77777777" w:rsidR="002C57D2" w:rsidRPr="00166DEB" w:rsidRDefault="002C57D2" w:rsidP="00441B6F">
      <w:pPr>
        <w:pStyle w:val="Affiliation"/>
        <w:spacing w:after="0" w:line="240" w:lineRule="auto"/>
        <w:jc w:val="both"/>
        <w:rPr>
          <w:rFonts w:ascii="Arial" w:hAnsi="Arial" w:cs="Arial"/>
        </w:rPr>
      </w:pPr>
    </w:p>
    <w:p w14:paraId="1363881B" w14:textId="1045C0ED" w:rsidR="00B01FCD" w:rsidRPr="00060C30" w:rsidRDefault="00000000" w:rsidP="007C6DAA">
      <w:pPr>
        <w:pStyle w:val="Copyright"/>
        <w:spacing w:after="0" w:line="240" w:lineRule="auto"/>
        <w:jc w:val="both"/>
        <w:rPr>
          <w:rFonts w:ascii="Arial" w:hAnsi="Arial" w:cs="Arial"/>
          <w:sz w:val="24"/>
          <w:szCs w:val="24"/>
        </w:rPr>
      </w:pPr>
      <w:r>
        <w:rPr>
          <w:rFonts w:ascii="Arial" w:hAnsi="Arial" w:cs="Arial"/>
        </w:rPr>
      </w:r>
      <w:r>
        <w:rPr>
          <w:rFonts w:ascii="Arial" w:hAnsi="Arial" w:cs="Arial"/>
        </w:rPr>
        <w:pict w14:anchorId="18B3E67E">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B01FCD" w:rsidRPr="00060C30">
        <w:rPr>
          <w:rFonts w:ascii="Arial" w:hAnsi="Arial" w:cs="Arial"/>
          <w:b/>
          <w:bCs/>
          <w:sz w:val="24"/>
          <w:szCs w:val="24"/>
        </w:rPr>
        <w:t>ABSTRACT</w:t>
      </w:r>
    </w:p>
    <w:p w14:paraId="6C693E0F" w14:textId="77777777" w:rsidR="00790ADA" w:rsidRPr="00060C30" w:rsidRDefault="00790ADA" w:rsidP="00441B6F">
      <w:pPr>
        <w:pStyle w:val="AbstHead"/>
        <w:spacing w:after="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060C30" w14:paraId="5AF914AE" w14:textId="77777777" w:rsidTr="001E44FE">
        <w:tc>
          <w:tcPr>
            <w:tcW w:w="9576" w:type="dxa"/>
            <w:shd w:val="clear" w:color="auto" w:fill="F2F2F2"/>
          </w:tcPr>
          <w:p w14:paraId="7CD60C10" w14:textId="55803C34" w:rsidR="00BA1B01" w:rsidRPr="00060C30" w:rsidRDefault="00BA1B01" w:rsidP="00441B6F">
            <w:pPr>
              <w:pStyle w:val="Body"/>
              <w:spacing w:after="0"/>
              <w:rPr>
                <w:rFonts w:ascii="Arial" w:eastAsia="Calibri" w:hAnsi="Arial" w:cs="Arial"/>
                <w:sz w:val="24"/>
                <w:szCs w:val="24"/>
              </w:rPr>
            </w:pPr>
            <w:r w:rsidRPr="00060C30">
              <w:rPr>
                <w:rFonts w:ascii="Arial" w:eastAsia="Calibri" w:hAnsi="Arial" w:cs="Arial"/>
                <w:b/>
                <w:sz w:val="24"/>
                <w:szCs w:val="24"/>
              </w:rPr>
              <w:t xml:space="preserve">Aims: </w:t>
            </w:r>
            <w:r w:rsidR="00495030" w:rsidRPr="00060C30">
              <w:rPr>
                <w:rFonts w:ascii="Arial" w:eastAsia="Calibri" w:hAnsi="Arial" w:cs="Arial"/>
                <w:sz w:val="24"/>
                <w:szCs w:val="24"/>
              </w:rPr>
              <w:t>This study examined the determinants of household energy consumption in Abuja with a focus on the role of appliance ownership, behavioral practices, socio-demographic characteristics, and climate change awareness. The aim was to generate evidence that can inform policies on energy efficiency and sustainable energy transitions.</w:t>
            </w:r>
            <w:r w:rsidR="003F4515" w:rsidRPr="00060C30">
              <w:rPr>
                <w:rFonts w:ascii="Arial" w:eastAsia="Calibri" w:hAnsi="Arial" w:cs="Arial"/>
                <w:sz w:val="24"/>
                <w:szCs w:val="24"/>
              </w:rPr>
              <w:t>.</w:t>
            </w:r>
          </w:p>
          <w:p w14:paraId="3A99CBD5" w14:textId="73F6E9D4" w:rsidR="00BA1B01" w:rsidRPr="00060C30" w:rsidRDefault="00BA1B01" w:rsidP="00441B6F">
            <w:pPr>
              <w:pStyle w:val="Body"/>
              <w:spacing w:after="0"/>
              <w:rPr>
                <w:rFonts w:ascii="Arial" w:eastAsia="Calibri" w:hAnsi="Arial" w:cs="Arial"/>
                <w:sz w:val="24"/>
                <w:szCs w:val="24"/>
              </w:rPr>
            </w:pPr>
            <w:r w:rsidRPr="00060C30">
              <w:rPr>
                <w:rFonts w:ascii="Arial" w:eastAsia="Calibri" w:hAnsi="Arial" w:cs="Arial"/>
                <w:b/>
                <w:sz w:val="24"/>
                <w:szCs w:val="24"/>
              </w:rPr>
              <w:t>Study design:</w:t>
            </w:r>
            <w:r w:rsidRPr="00060C30">
              <w:rPr>
                <w:rFonts w:ascii="Arial" w:eastAsia="Calibri" w:hAnsi="Arial" w:cs="Arial"/>
                <w:sz w:val="24"/>
                <w:szCs w:val="24"/>
              </w:rPr>
              <w:t xml:space="preserve">  </w:t>
            </w:r>
            <w:r w:rsidR="003F4515" w:rsidRPr="00060C30">
              <w:rPr>
                <w:rFonts w:ascii="Arial" w:eastAsia="Calibri" w:hAnsi="Arial" w:cs="Arial"/>
                <w:sz w:val="24"/>
                <w:szCs w:val="24"/>
              </w:rPr>
              <w:t>A cross-sectional survey design using quantitative methods was applied</w:t>
            </w:r>
            <w:r w:rsidRPr="00060C30">
              <w:rPr>
                <w:rFonts w:ascii="Arial" w:eastAsia="Calibri" w:hAnsi="Arial" w:cs="Arial"/>
                <w:sz w:val="24"/>
                <w:szCs w:val="24"/>
              </w:rPr>
              <w:t>.</w:t>
            </w:r>
          </w:p>
          <w:p w14:paraId="392D7455" w14:textId="4AE6B993" w:rsidR="00BA1B01" w:rsidRPr="00060C30" w:rsidRDefault="00BA1B01" w:rsidP="00441B6F">
            <w:pPr>
              <w:pStyle w:val="Body"/>
              <w:spacing w:after="0"/>
              <w:rPr>
                <w:rFonts w:ascii="Arial" w:eastAsia="Calibri" w:hAnsi="Arial" w:cs="Arial"/>
                <w:sz w:val="24"/>
                <w:szCs w:val="24"/>
              </w:rPr>
            </w:pPr>
            <w:r w:rsidRPr="00060C30">
              <w:rPr>
                <w:rFonts w:ascii="Arial" w:eastAsia="Calibri" w:hAnsi="Arial" w:cs="Arial"/>
                <w:b/>
                <w:sz w:val="24"/>
                <w:szCs w:val="24"/>
              </w:rPr>
              <w:t>Place and Duration of Study:</w:t>
            </w:r>
            <w:r w:rsidRPr="00060C30">
              <w:rPr>
                <w:rFonts w:ascii="Arial" w:eastAsia="Calibri" w:hAnsi="Arial" w:cs="Arial"/>
                <w:sz w:val="24"/>
                <w:szCs w:val="24"/>
              </w:rPr>
              <w:t xml:space="preserve"> </w:t>
            </w:r>
            <w:r w:rsidR="003F4515" w:rsidRPr="00060C30">
              <w:rPr>
                <w:rFonts w:ascii="Arial" w:eastAsia="Calibri" w:hAnsi="Arial" w:cs="Arial"/>
                <w:sz w:val="24"/>
                <w:szCs w:val="24"/>
              </w:rPr>
              <w:t>The research was conducted in urban areas of Abuja, Nigeria, with data collection carried out in 2024</w:t>
            </w:r>
            <w:r w:rsidRPr="00060C30">
              <w:rPr>
                <w:rFonts w:ascii="Arial" w:eastAsia="Calibri" w:hAnsi="Arial" w:cs="Arial"/>
                <w:sz w:val="24"/>
                <w:szCs w:val="24"/>
              </w:rPr>
              <w:t>.</w:t>
            </w:r>
          </w:p>
          <w:p w14:paraId="1FD4C56F" w14:textId="7A5F4D7C" w:rsidR="00BA1B01" w:rsidRPr="00060C30" w:rsidRDefault="00BA1B01" w:rsidP="00441B6F">
            <w:pPr>
              <w:pStyle w:val="Body"/>
              <w:spacing w:after="0"/>
              <w:rPr>
                <w:rFonts w:ascii="Arial" w:eastAsia="Calibri" w:hAnsi="Arial" w:cs="Arial"/>
                <w:sz w:val="24"/>
                <w:szCs w:val="24"/>
              </w:rPr>
            </w:pPr>
            <w:r w:rsidRPr="00060C30">
              <w:rPr>
                <w:rFonts w:ascii="Arial" w:eastAsia="Calibri" w:hAnsi="Arial" w:cs="Arial"/>
                <w:b/>
                <w:bCs/>
                <w:sz w:val="24"/>
                <w:szCs w:val="24"/>
              </w:rPr>
              <w:t>Methodology:</w:t>
            </w:r>
            <w:r w:rsidRPr="00060C30">
              <w:rPr>
                <w:rFonts w:ascii="Arial" w:eastAsia="Calibri" w:hAnsi="Arial" w:cs="Arial"/>
                <w:sz w:val="24"/>
                <w:szCs w:val="24"/>
              </w:rPr>
              <w:t xml:space="preserve"> </w:t>
            </w:r>
            <w:r w:rsidR="00495030" w:rsidRPr="00060C30">
              <w:rPr>
                <w:rFonts w:ascii="Arial" w:eastAsia="Calibri" w:hAnsi="Arial" w:cs="Arial"/>
                <w:sz w:val="24"/>
                <w:szCs w:val="24"/>
              </w:rPr>
              <w:t>A structured cross-sectional household survey was conducted in Abuja, Nigeria, in 2024, yielding 445 valid responses. Quantitative data were analyzed using descriptive statistics and Multiple Linear Regression (MLR) in SPSS to evaluate the relationships between household characteristics and energy demand</w:t>
            </w:r>
            <w:r w:rsidRPr="00060C30">
              <w:rPr>
                <w:rFonts w:ascii="Arial" w:eastAsia="Calibri" w:hAnsi="Arial" w:cs="Arial"/>
                <w:sz w:val="24"/>
                <w:szCs w:val="24"/>
              </w:rPr>
              <w:t>.</w:t>
            </w:r>
          </w:p>
          <w:p w14:paraId="40A70406" w14:textId="12FD59D7" w:rsidR="00BA1B01" w:rsidRPr="00060C30" w:rsidRDefault="00BA1B01" w:rsidP="00441B6F">
            <w:pPr>
              <w:pStyle w:val="Body"/>
              <w:spacing w:after="0"/>
              <w:rPr>
                <w:rFonts w:ascii="Arial" w:eastAsia="Calibri" w:hAnsi="Arial" w:cs="Arial"/>
                <w:b/>
                <w:bCs/>
                <w:sz w:val="24"/>
                <w:szCs w:val="24"/>
              </w:rPr>
            </w:pPr>
            <w:r w:rsidRPr="00060C30">
              <w:rPr>
                <w:rFonts w:ascii="Arial" w:eastAsia="Calibri" w:hAnsi="Arial" w:cs="Arial"/>
                <w:b/>
                <w:bCs/>
                <w:sz w:val="24"/>
                <w:szCs w:val="24"/>
              </w:rPr>
              <w:t>Results:</w:t>
            </w:r>
            <w:r w:rsidRPr="00060C30">
              <w:rPr>
                <w:rFonts w:ascii="Arial" w:eastAsia="Calibri" w:hAnsi="Arial" w:cs="Arial"/>
                <w:sz w:val="24"/>
                <w:szCs w:val="24"/>
              </w:rPr>
              <w:t xml:space="preserve"> </w:t>
            </w:r>
            <w:r w:rsidR="005B79E7" w:rsidRPr="00060C30">
              <w:rPr>
                <w:rFonts w:ascii="Arial" w:eastAsia="Calibri" w:hAnsi="Arial" w:cs="Arial"/>
                <w:sz w:val="24"/>
                <w:szCs w:val="24"/>
              </w:rPr>
              <w:t xml:space="preserve">Appliance ownership significantly influenced household energy demand, </w:t>
            </w:r>
            <w:r w:rsidR="000F3C67" w:rsidRPr="000F3C67">
              <w:rPr>
                <w:rFonts w:ascii="Arial" w:eastAsia="Calibri" w:hAnsi="Arial" w:cs="Arial"/>
                <w:sz w:val="24"/>
                <w:szCs w:val="24"/>
              </w:rPr>
              <w:t>with high-consumption appliances, particularly air conditioners and refrigerators, being major contributors</w:t>
            </w:r>
            <w:r w:rsidR="005B79E7" w:rsidRPr="00060C30">
              <w:rPr>
                <w:rFonts w:ascii="Arial" w:eastAsia="Calibri" w:hAnsi="Arial" w:cs="Arial"/>
                <w:sz w:val="24"/>
                <w:szCs w:val="24"/>
              </w:rPr>
              <w:t>. Regression analysis showed a mitigating effect of efficient appliances (β = -0.138, p = 0.001). Behavioral factors unexpectedly increased consumption (β = 0.157, p = 0.001). Socio-demographic characteristics, including income, household size, and education, were significant predictors (β = 0.089, p = 0.033). Climate change awareness had a strong positive effect (β = 0.260, p &lt; 0.001), highlighting a knowledge-practice gap. The model explained 15.2% of the variation in household energy use (Adjusted R² = 0.152)</w:t>
            </w:r>
            <w:r w:rsidR="00D76C03">
              <w:rPr>
                <w:rFonts w:ascii="Arial" w:eastAsia="Calibri" w:hAnsi="Arial" w:cs="Arial"/>
                <w:sz w:val="24"/>
                <w:szCs w:val="24"/>
              </w:rPr>
              <w:t xml:space="preserve">, </w:t>
            </w:r>
            <w:r w:rsidR="00D76C03" w:rsidRPr="00D76C03">
              <w:rPr>
                <w:rFonts w:ascii="Arial" w:eastAsia="Calibri" w:hAnsi="Arial" w:cs="Arial"/>
                <w:sz w:val="24"/>
                <w:szCs w:val="24"/>
              </w:rPr>
              <w:t>indicating that while these factors are meaningful, the majority of variation is attributable to other unobserved influences on household energy behavior.</w:t>
            </w:r>
          </w:p>
          <w:p w14:paraId="047D6E32" w14:textId="5A12C308" w:rsidR="00505F06" w:rsidRPr="00060C30" w:rsidRDefault="00BA1B01" w:rsidP="00441B6F">
            <w:pPr>
              <w:pStyle w:val="Body"/>
              <w:spacing w:after="0"/>
              <w:rPr>
                <w:rFonts w:ascii="Arial" w:eastAsia="Calibri" w:hAnsi="Arial" w:cs="Arial"/>
                <w:sz w:val="24"/>
                <w:szCs w:val="24"/>
              </w:rPr>
            </w:pPr>
            <w:r w:rsidRPr="00060C30">
              <w:rPr>
                <w:rFonts w:ascii="Arial" w:eastAsia="Calibri" w:hAnsi="Arial" w:cs="Arial"/>
                <w:b/>
                <w:bCs/>
                <w:sz w:val="24"/>
                <w:szCs w:val="24"/>
              </w:rPr>
              <w:t>Conclusion:</w:t>
            </w:r>
            <w:r w:rsidRPr="00060C30">
              <w:rPr>
                <w:rFonts w:ascii="Arial" w:eastAsia="Calibri" w:hAnsi="Arial" w:cs="Arial"/>
                <w:sz w:val="24"/>
                <w:szCs w:val="24"/>
              </w:rPr>
              <w:t xml:space="preserve"> </w:t>
            </w:r>
            <w:r w:rsidR="00714E7D" w:rsidRPr="00714E7D">
              <w:rPr>
                <w:rFonts w:ascii="Arial" w:eastAsia="Calibri" w:hAnsi="Arial" w:cs="Arial"/>
                <w:sz w:val="24"/>
                <w:szCs w:val="24"/>
              </w:rPr>
              <w:t>These findings suggest the need for targeted policy interventions such as subsidies or incentives for efficient appliances, alongside stronger awareness-to-practice campaigns. Addressing this gap can improve household-level efficiency and support broader national energy sustainability goals</w:t>
            </w:r>
            <w:r w:rsidR="00495030" w:rsidRPr="00060C30">
              <w:rPr>
                <w:rFonts w:ascii="Arial" w:eastAsia="Calibri" w:hAnsi="Arial" w:cs="Arial"/>
                <w:sz w:val="24"/>
                <w:szCs w:val="24"/>
              </w:rPr>
              <w:t>.</w:t>
            </w:r>
            <w:r w:rsidR="00714E7D">
              <w:rPr>
                <w:rFonts w:ascii="Arial" w:eastAsia="Calibri" w:hAnsi="Arial" w:cs="Arial"/>
                <w:sz w:val="24"/>
                <w:szCs w:val="24"/>
              </w:rPr>
              <w:t xml:space="preserve"> </w:t>
            </w:r>
          </w:p>
        </w:tc>
      </w:tr>
    </w:tbl>
    <w:p w14:paraId="017E1A4E" w14:textId="6C616AD0" w:rsidR="00A24E7E" w:rsidRPr="00060C30" w:rsidRDefault="00A24E7E" w:rsidP="006D5E8C">
      <w:pPr>
        <w:pStyle w:val="Body"/>
        <w:rPr>
          <w:rFonts w:ascii="Arial" w:hAnsi="Arial" w:cs="Arial"/>
          <w:i/>
          <w:sz w:val="24"/>
          <w:szCs w:val="24"/>
        </w:rPr>
      </w:pPr>
      <w:r w:rsidRPr="00060C30">
        <w:rPr>
          <w:rFonts w:ascii="Arial" w:hAnsi="Arial" w:cs="Arial"/>
          <w:b/>
          <w:bCs/>
          <w:i/>
          <w:sz w:val="24"/>
          <w:szCs w:val="24"/>
        </w:rPr>
        <w:t>Keywords:</w:t>
      </w:r>
      <w:r w:rsidRPr="00060C30">
        <w:rPr>
          <w:rFonts w:ascii="Arial" w:hAnsi="Arial" w:cs="Arial"/>
          <w:i/>
          <w:sz w:val="24"/>
          <w:szCs w:val="24"/>
        </w:rPr>
        <w:t xml:space="preserve"> </w:t>
      </w:r>
      <w:r w:rsidR="00495030" w:rsidRPr="00060C30">
        <w:rPr>
          <w:rFonts w:ascii="Arial" w:hAnsi="Arial" w:cs="Arial"/>
          <w:i/>
          <w:sz w:val="24"/>
          <w:szCs w:val="24"/>
        </w:rPr>
        <w:t>Household energy consumption, Appliance ownership, Energy efficiency, Sustainable energy transition, Climate change awareness</w:t>
      </w:r>
    </w:p>
    <w:p w14:paraId="0243B2F0" w14:textId="74DF2CE9" w:rsidR="007F7B32" w:rsidRPr="00060C30" w:rsidRDefault="00902823" w:rsidP="006D5E8C">
      <w:pPr>
        <w:pStyle w:val="AbstHead"/>
        <w:jc w:val="both"/>
        <w:rPr>
          <w:rFonts w:ascii="Arial" w:hAnsi="Arial" w:cs="Arial"/>
          <w:sz w:val="24"/>
          <w:szCs w:val="22"/>
        </w:rPr>
      </w:pPr>
      <w:r w:rsidRPr="00060C30">
        <w:rPr>
          <w:rFonts w:ascii="Arial" w:hAnsi="Arial" w:cs="Arial"/>
          <w:sz w:val="24"/>
          <w:szCs w:val="22"/>
        </w:rPr>
        <w:lastRenderedPageBreak/>
        <w:t xml:space="preserve">1. </w:t>
      </w:r>
      <w:r w:rsidR="00B01FCD" w:rsidRPr="00060C30">
        <w:rPr>
          <w:rFonts w:ascii="Arial" w:hAnsi="Arial" w:cs="Arial"/>
          <w:sz w:val="24"/>
          <w:szCs w:val="22"/>
        </w:rPr>
        <w:t>INTRODUCTION</w:t>
      </w:r>
    </w:p>
    <w:p w14:paraId="25F6053F" w14:textId="3EAE107D" w:rsidR="00882BAF" w:rsidRPr="00060C30" w:rsidRDefault="0005226A" w:rsidP="00465A99">
      <w:pPr>
        <w:pStyle w:val="Body"/>
        <w:spacing w:after="200"/>
        <w:rPr>
          <w:rFonts w:ascii="Arial" w:hAnsi="Arial" w:cs="Arial"/>
          <w:sz w:val="24"/>
          <w:szCs w:val="24"/>
        </w:rPr>
      </w:pPr>
      <w:r w:rsidRPr="00060C30">
        <w:rPr>
          <w:rFonts w:ascii="Arial" w:hAnsi="Arial" w:cs="Arial"/>
          <w:sz w:val="24"/>
          <w:szCs w:val="24"/>
        </w:rPr>
        <w:t xml:space="preserve">In recent decades, the global focus on sustainable development has underscored the critical need to understand and manage energy consumption patterns, particularly in developing countries </w:t>
      </w:r>
      <w:r w:rsidR="00E654EE" w:rsidRPr="00060C30">
        <w:rPr>
          <w:rFonts w:ascii="Arial" w:hAnsi="Arial" w:cs="Arial"/>
          <w:sz w:val="24"/>
          <w:szCs w:val="24"/>
        </w:rPr>
        <w:t>(</w:t>
      </w:r>
      <w:r w:rsidR="005C305B">
        <w:rPr>
          <w:rFonts w:ascii="Arial" w:hAnsi="Arial" w:cs="Arial"/>
          <w:sz w:val="24"/>
          <w:szCs w:val="24"/>
        </w:rPr>
        <w:t xml:space="preserve">Li et al., 2015; </w:t>
      </w:r>
      <w:r w:rsidR="00E654EE" w:rsidRPr="00060C30">
        <w:rPr>
          <w:rFonts w:ascii="Arial" w:hAnsi="Arial" w:cs="Arial"/>
          <w:sz w:val="24"/>
          <w:szCs w:val="24"/>
        </w:rPr>
        <w:t>Falcone, 2023)</w:t>
      </w:r>
      <w:r w:rsidRPr="00060C30">
        <w:rPr>
          <w:rFonts w:ascii="Arial" w:hAnsi="Arial" w:cs="Arial"/>
          <w:sz w:val="24"/>
          <w:szCs w:val="24"/>
        </w:rPr>
        <w:t xml:space="preserve">. Nigeria, as one of the largest and most populous countries in Africa, faces significant challenges and opportunities in its energy sector. The rapid population growth, urbanization, and economic development have led to increasing energy demands, making it imperative to analyze household energy consumption comprehensively </w:t>
      </w:r>
      <w:bookmarkStart w:id="0" w:name="_Hlk209343883"/>
      <w:r w:rsidRPr="00060C30">
        <w:rPr>
          <w:rFonts w:ascii="Arial" w:hAnsi="Arial" w:cs="Arial"/>
          <w:sz w:val="24"/>
          <w:szCs w:val="24"/>
        </w:rPr>
        <w:t>(Adewuyi, 2020</w:t>
      </w:r>
      <w:bookmarkEnd w:id="0"/>
      <w:r w:rsidRPr="00060C30">
        <w:rPr>
          <w:rFonts w:ascii="Arial" w:hAnsi="Arial" w:cs="Arial"/>
          <w:sz w:val="24"/>
          <w:szCs w:val="24"/>
        </w:rPr>
        <w:t>).</w:t>
      </w:r>
    </w:p>
    <w:p w14:paraId="7238C867" w14:textId="6A1E42D0" w:rsidR="0005226A" w:rsidRPr="00060C30" w:rsidRDefault="0005226A" w:rsidP="00465A99">
      <w:pPr>
        <w:pStyle w:val="Body"/>
        <w:spacing w:after="200"/>
        <w:rPr>
          <w:rFonts w:ascii="Arial" w:hAnsi="Arial" w:cs="Arial"/>
          <w:sz w:val="24"/>
          <w:szCs w:val="24"/>
        </w:rPr>
      </w:pPr>
      <w:r w:rsidRPr="00060C30">
        <w:rPr>
          <w:rFonts w:ascii="Arial" w:hAnsi="Arial" w:cs="Arial"/>
          <w:sz w:val="24"/>
          <w:szCs w:val="24"/>
        </w:rPr>
        <w:t>Household energy consumption in developing countries like Nigeria is influenced by a myriad of factors, including appliance ownership, behavioral tendencies, and socio-demographic variables (</w:t>
      </w:r>
      <w:bookmarkStart w:id="1" w:name="_Hlk209343887"/>
      <w:r w:rsidRPr="00060C30">
        <w:rPr>
          <w:rFonts w:ascii="Arial" w:hAnsi="Arial" w:cs="Arial"/>
          <w:sz w:val="24"/>
          <w:szCs w:val="24"/>
        </w:rPr>
        <w:t>Bharadwaj et al., 2023</w:t>
      </w:r>
      <w:bookmarkEnd w:id="1"/>
      <w:r w:rsidRPr="00060C30">
        <w:rPr>
          <w:rFonts w:ascii="Arial" w:hAnsi="Arial" w:cs="Arial"/>
          <w:sz w:val="24"/>
          <w:szCs w:val="24"/>
        </w:rPr>
        <w:t>). Appliances such as refrigerators, air conditioners, and electric cookers consume substantial amounts of electricity, and their prevalence in households can significantly impact overall energy demand (</w:t>
      </w:r>
      <w:bookmarkStart w:id="2" w:name="_Hlk209343891"/>
      <w:r w:rsidRPr="00060C30">
        <w:rPr>
          <w:rFonts w:ascii="Arial" w:hAnsi="Arial" w:cs="Arial"/>
          <w:sz w:val="24"/>
          <w:szCs w:val="24"/>
        </w:rPr>
        <w:t xml:space="preserve">Le &amp; Pitts, 2019; </w:t>
      </w:r>
      <w:proofErr w:type="spellStart"/>
      <w:r w:rsidRPr="00060C30">
        <w:rPr>
          <w:rFonts w:ascii="Arial" w:hAnsi="Arial" w:cs="Arial"/>
          <w:sz w:val="24"/>
          <w:szCs w:val="24"/>
        </w:rPr>
        <w:t>Spunei</w:t>
      </w:r>
      <w:proofErr w:type="spellEnd"/>
      <w:r w:rsidRPr="00060C30">
        <w:rPr>
          <w:rFonts w:ascii="Arial" w:hAnsi="Arial" w:cs="Arial"/>
          <w:sz w:val="24"/>
          <w:szCs w:val="24"/>
        </w:rPr>
        <w:t xml:space="preserve"> et al., 2024</w:t>
      </w:r>
      <w:bookmarkEnd w:id="2"/>
      <w:r w:rsidRPr="00060C30">
        <w:rPr>
          <w:rFonts w:ascii="Arial" w:hAnsi="Arial" w:cs="Arial"/>
          <w:sz w:val="24"/>
          <w:szCs w:val="24"/>
        </w:rPr>
        <w:t>). Understanding the distribution and usage patterns of these appliances is essential for formulating effective energy policies and promoting sustainable energy use.</w:t>
      </w:r>
    </w:p>
    <w:p w14:paraId="17007AAC" w14:textId="7CEE102E" w:rsidR="00790ADA" w:rsidRPr="00060C30" w:rsidRDefault="0005226A" w:rsidP="00465A99">
      <w:pPr>
        <w:pStyle w:val="Body"/>
        <w:spacing w:after="200"/>
        <w:rPr>
          <w:rFonts w:ascii="Arial" w:hAnsi="Arial" w:cs="Arial"/>
          <w:sz w:val="24"/>
          <w:szCs w:val="24"/>
        </w:rPr>
      </w:pPr>
      <w:r w:rsidRPr="00060C30">
        <w:rPr>
          <w:rFonts w:ascii="Arial" w:hAnsi="Arial" w:cs="Arial"/>
          <w:sz w:val="24"/>
          <w:szCs w:val="24"/>
        </w:rPr>
        <w:t>Behavioral factors are critical determinants of household energy consumption, shaping how energy is used, conserved, or wasted in everyday activities. These factors include the awareness, attitudes, and habits of individuals within a household regarding energy use and efficiency (</w:t>
      </w:r>
      <w:bookmarkStart w:id="3" w:name="_Hlk209343896"/>
      <w:r w:rsidRPr="00060C30">
        <w:rPr>
          <w:rFonts w:ascii="Arial" w:hAnsi="Arial" w:cs="Arial"/>
          <w:sz w:val="24"/>
          <w:szCs w:val="24"/>
        </w:rPr>
        <w:t>Shahin et al., 2024</w:t>
      </w:r>
      <w:bookmarkEnd w:id="3"/>
      <w:r w:rsidRPr="00060C30">
        <w:rPr>
          <w:rFonts w:ascii="Arial" w:hAnsi="Arial" w:cs="Arial"/>
          <w:sz w:val="24"/>
          <w:szCs w:val="24"/>
        </w:rPr>
        <w:t>). Households that are conscious of energy-saving practices tend to consume less energy compared to those that are less aware. Behavioral interventions, such as public awareness campaigns and educational programs, have been recognized as effective strategies in encouraging more energy-efficient behaviors, with significant reductions in energy consumption observed through targeted interventions (</w:t>
      </w:r>
      <w:bookmarkStart w:id="4" w:name="_Hlk209343901"/>
      <w:r w:rsidRPr="00060C30">
        <w:rPr>
          <w:rFonts w:ascii="Arial" w:hAnsi="Arial" w:cs="Arial"/>
          <w:sz w:val="24"/>
          <w:szCs w:val="24"/>
        </w:rPr>
        <w:t xml:space="preserve">Ornaghi et al., 2018; </w:t>
      </w:r>
      <w:proofErr w:type="spellStart"/>
      <w:r w:rsidRPr="00060C30">
        <w:rPr>
          <w:rFonts w:ascii="Arial" w:hAnsi="Arial" w:cs="Arial"/>
          <w:sz w:val="24"/>
          <w:szCs w:val="24"/>
        </w:rPr>
        <w:t>Jareemit</w:t>
      </w:r>
      <w:proofErr w:type="spellEnd"/>
      <w:r w:rsidRPr="00060C30">
        <w:rPr>
          <w:rFonts w:ascii="Arial" w:hAnsi="Arial" w:cs="Arial"/>
          <w:sz w:val="24"/>
          <w:szCs w:val="24"/>
        </w:rPr>
        <w:t xml:space="preserve"> &amp; </w:t>
      </w:r>
      <w:proofErr w:type="spellStart"/>
      <w:r w:rsidRPr="00060C30">
        <w:rPr>
          <w:rFonts w:ascii="Arial" w:hAnsi="Arial" w:cs="Arial"/>
          <w:sz w:val="24"/>
          <w:szCs w:val="24"/>
        </w:rPr>
        <w:t>Limmeechokchai</w:t>
      </w:r>
      <w:proofErr w:type="spellEnd"/>
      <w:r w:rsidRPr="00060C30">
        <w:rPr>
          <w:rFonts w:ascii="Arial" w:hAnsi="Arial" w:cs="Arial"/>
          <w:sz w:val="24"/>
          <w:szCs w:val="24"/>
        </w:rPr>
        <w:t>, 2019; McAndrew et al., 2021</w:t>
      </w:r>
      <w:bookmarkEnd w:id="4"/>
      <w:r w:rsidRPr="00060C30">
        <w:rPr>
          <w:rFonts w:ascii="Arial" w:hAnsi="Arial" w:cs="Arial"/>
          <w:sz w:val="24"/>
          <w:szCs w:val="24"/>
        </w:rPr>
        <w:t>). Understanding and influencing household behavior remains essential for achieving long-term reductions in energy consumption and promoting sustainable energy use at the household level</w:t>
      </w:r>
      <w:r w:rsidR="00882BAF" w:rsidRPr="00060C30">
        <w:rPr>
          <w:rFonts w:ascii="Arial" w:hAnsi="Arial" w:cs="Arial"/>
          <w:sz w:val="24"/>
          <w:szCs w:val="24"/>
        </w:rPr>
        <w:t>.</w:t>
      </w:r>
    </w:p>
    <w:p w14:paraId="4AC96D86" w14:textId="47CDB74C" w:rsidR="00882BAF" w:rsidRDefault="006D5E8C" w:rsidP="00465A99">
      <w:pPr>
        <w:pStyle w:val="Body"/>
        <w:rPr>
          <w:rFonts w:ascii="Arial" w:hAnsi="Arial" w:cs="Arial"/>
        </w:rPr>
      </w:pPr>
      <w:r w:rsidRPr="00060C30">
        <w:rPr>
          <w:rFonts w:ascii="Arial" w:hAnsi="Arial" w:cs="Arial"/>
          <w:sz w:val="24"/>
          <w:szCs w:val="24"/>
        </w:rPr>
        <w:t>Against this backdrop, it becomes essential to deepen the understanding of the factors that drive household energy use in Nigeria. While prior studies have highlighted the role of technology, economic conditions, and individual behavior, there remains a gap in exploring how these variables interact within the Nigerian context to shape overall consumption patterns. Addressing this gap will not only provide insights into household-level demand dynamics but also offer practical guidance for designing targeted interventions that align with the country’s sustainable energy goals. The main objective of this study is to investigate the determinants of household energy consumption in Nigeria, with particular emphasis on the role of appliance ownership, behavioral practices, socio-demographic characteristics, and climate change awareness. Specifically, the study seeks to analyze how these factors jointly influence household energy demand and to provide empirical evidence that can inform policies promoting energy efficiency and sustainability</w:t>
      </w:r>
      <w:r w:rsidRPr="00486DCD">
        <w:rPr>
          <w:rFonts w:ascii="Arial" w:hAnsi="Arial" w:cs="Arial"/>
        </w:rPr>
        <w:t>.</w:t>
      </w:r>
    </w:p>
    <w:p w14:paraId="5AB8AAAF" w14:textId="77777777" w:rsidR="00AF45D1" w:rsidRDefault="00AF45D1" w:rsidP="00465A99">
      <w:pPr>
        <w:pStyle w:val="Body"/>
        <w:rPr>
          <w:rFonts w:ascii="Arial" w:hAnsi="Arial" w:cs="Arial"/>
        </w:rPr>
      </w:pPr>
    </w:p>
    <w:p w14:paraId="2F09EDDE" w14:textId="77777777" w:rsidR="00AF45D1" w:rsidRPr="00486DCD" w:rsidRDefault="00AF45D1" w:rsidP="00465A99">
      <w:pPr>
        <w:pStyle w:val="Body"/>
        <w:rPr>
          <w:rFonts w:ascii="Arial" w:hAnsi="Arial" w:cs="Arial"/>
        </w:rPr>
      </w:pPr>
    </w:p>
    <w:p w14:paraId="1FA17660" w14:textId="5ED3539B" w:rsidR="00790ADA" w:rsidRPr="00060C30" w:rsidRDefault="00902823" w:rsidP="00F00C14">
      <w:pPr>
        <w:pStyle w:val="AbstHead"/>
        <w:spacing w:after="200"/>
        <w:jc w:val="both"/>
        <w:rPr>
          <w:rFonts w:ascii="Arial" w:hAnsi="Arial" w:cs="Arial"/>
          <w:sz w:val="24"/>
          <w:szCs w:val="24"/>
        </w:rPr>
      </w:pPr>
      <w:r w:rsidRPr="00060C30">
        <w:rPr>
          <w:rFonts w:ascii="Arial" w:hAnsi="Arial" w:cs="Arial"/>
          <w:sz w:val="24"/>
          <w:szCs w:val="24"/>
        </w:rPr>
        <w:lastRenderedPageBreak/>
        <w:t xml:space="preserve">2. </w:t>
      </w:r>
      <w:r w:rsidR="006B57D0" w:rsidRPr="00060C30">
        <w:rPr>
          <w:rFonts w:ascii="Arial" w:hAnsi="Arial" w:cs="Arial"/>
          <w:sz w:val="24"/>
          <w:szCs w:val="24"/>
        </w:rPr>
        <w:t>methodology</w:t>
      </w:r>
    </w:p>
    <w:p w14:paraId="3D164154" w14:textId="43A02688" w:rsidR="00AA74E0" w:rsidRPr="00060C30" w:rsidRDefault="00AA74E0" w:rsidP="00F00C14">
      <w:pPr>
        <w:pStyle w:val="Body"/>
        <w:spacing w:after="200"/>
        <w:rPr>
          <w:rFonts w:ascii="Arial" w:hAnsi="Arial" w:cs="Arial"/>
          <w:sz w:val="24"/>
          <w:szCs w:val="24"/>
        </w:rPr>
      </w:pPr>
      <w:r w:rsidRPr="00060C30">
        <w:rPr>
          <w:rFonts w:ascii="Arial" w:hAnsi="Arial" w:cs="Arial"/>
          <w:b/>
          <w:caps/>
          <w:sz w:val="24"/>
          <w:szCs w:val="24"/>
        </w:rPr>
        <w:t xml:space="preserve">2.1 </w:t>
      </w:r>
      <w:r w:rsidR="00F00C14" w:rsidRPr="00060C30">
        <w:rPr>
          <w:rFonts w:ascii="Arial" w:hAnsi="Arial" w:cs="Arial"/>
          <w:b/>
          <w:sz w:val="24"/>
          <w:szCs w:val="24"/>
        </w:rPr>
        <w:t>Research Design and Study Area</w:t>
      </w:r>
      <w:r w:rsidRPr="00060C30">
        <w:rPr>
          <w:rFonts w:ascii="Arial" w:hAnsi="Arial" w:cs="Arial"/>
          <w:sz w:val="24"/>
          <w:szCs w:val="24"/>
        </w:rPr>
        <w:t xml:space="preserve">  </w:t>
      </w:r>
    </w:p>
    <w:p w14:paraId="07679616" w14:textId="0AC30AAB" w:rsidR="00060C30" w:rsidRDefault="00F00C14" w:rsidP="00F00C14">
      <w:pPr>
        <w:pStyle w:val="Body"/>
        <w:rPr>
          <w:rFonts w:ascii="Arial" w:hAnsi="Arial" w:cs="Arial"/>
          <w:sz w:val="24"/>
          <w:szCs w:val="24"/>
        </w:rPr>
      </w:pPr>
      <w:r w:rsidRPr="00060C30">
        <w:rPr>
          <w:rFonts w:ascii="Arial" w:hAnsi="Arial" w:cs="Arial"/>
          <w:sz w:val="24"/>
          <w:szCs w:val="24"/>
        </w:rPr>
        <w:t>This study employed a quantitative cross-sectional survey design, conducted in Abuja, Nigeria, in 2024. Abuja was selected due to its rapid urbanization, diverse population, and increasing energy demand, making it a suitable case for household energy consumption analysis.</w:t>
      </w:r>
    </w:p>
    <w:p w14:paraId="005F2C8B" w14:textId="39D9D3B2" w:rsidR="00F00C14" w:rsidRPr="00060C30" w:rsidRDefault="00F00C14" w:rsidP="00F00C14">
      <w:pPr>
        <w:pStyle w:val="Body"/>
        <w:spacing w:after="200"/>
        <w:rPr>
          <w:rFonts w:ascii="Arial" w:hAnsi="Arial" w:cs="Arial"/>
          <w:sz w:val="24"/>
          <w:szCs w:val="24"/>
        </w:rPr>
      </w:pPr>
      <w:r w:rsidRPr="00060C30">
        <w:rPr>
          <w:rFonts w:ascii="Arial" w:hAnsi="Arial" w:cs="Arial"/>
          <w:b/>
          <w:caps/>
          <w:sz w:val="24"/>
          <w:szCs w:val="24"/>
        </w:rPr>
        <w:t xml:space="preserve">2.2 </w:t>
      </w:r>
      <w:r w:rsidR="00AD2F6B" w:rsidRPr="00060C30">
        <w:rPr>
          <w:rFonts w:ascii="Arial" w:hAnsi="Arial" w:cs="Arial"/>
          <w:b/>
          <w:sz w:val="24"/>
          <w:szCs w:val="24"/>
        </w:rPr>
        <w:t>Sample and Sampling Procedure</w:t>
      </w:r>
      <w:r w:rsidRPr="00060C30">
        <w:rPr>
          <w:rFonts w:ascii="Arial" w:hAnsi="Arial" w:cs="Arial"/>
          <w:sz w:val="24"/>
          <w:szCs w:val="24"/>
        </w:rPr>
        <w:t xml:space="preserve"> </w:t>
      </w:r>
    </w:p>
    <w:p w14:paraId="5E3C9115" w14:textId="7CD2467F" w:rsidR="00F00C14" w:rsidRPr="00060C30" w:rsidRDefault="00820531" w:rsidP="00AD2F6B">
      <w:pPr>
        <w:pStyle w:val="Body"/>
        <w:rPr>
          <w:rFonts w:ascii="Arial" w:hAnsi="Arial" w:cs="Arial"/>
          <w:sz w:val="24"/>
          <w:szCs w:val="24"/>
        </w:rPr>
      </w:pPr>
      <w:r w:rsidRPr="00820531">
        <w:rPr>
          <w:rFonts w:ascii="Arial" w:hAnsi="Arial" w:cs="Arial"/>
          <w:sz w:val="24"/>
          <w:szCs w:val="24"/>
        </w:rPr>
        <w:t>A total of 445 valid household responses were obtained through a multistage sampling approach</w:t>
      </w:r>
      <w:r w:rsidR="00AD2F6B" w:rsidRPr="00060C30">
        <w:rPr>
          <w:rFonts w:ascii="Arial" w:hAnsi="Arial" w:cs="Arial"/>
          <w:sz w:val="24"/>
          <w:szCs w:val="24"/>
        </w:rPr>
        <w:t>. Districts were first selected, followed by systematic random sampling of households within each district, ensuring socio-economic diversity</w:t>
      </w:r>
      <w:r w:rsidR="00F00C14" w:rsidRPr="00060C30">
        <w:rPr>
          <w:rFonts w:ascii="Arial" w:hAnsi="Arial" w:cs="Arial"/>
          <w:sz w:val="24"/>
          <w:szCs w:val="24"/>
        </w:rPr>
        <w:t>.</w:t>
      </w:r>
    </w:p>
    <w:p w14:paraId="18C502BC" w14:textId="12CDCD4A" w:rsidR="00AD2F6B" w:rsidRPr="00060C30" w:rsidRDefault="00AD2F6B" w:rsidP="00AD2F6B">
      <w:pPr>
        <w:pStyle w:val="Body"/>
        <w:spacing w:after="200"/>
        <w:rPr>
          <w:rFonts w:ascii="Arial" w:hAnsi="Arial" w:cs="Arial"/>
          <w:sz w:val="24"/>
          <w:szCs w:val="24"/>
        </w:rPr>
      </w:pPr>
      <w:r w:rsidRPr="00060C30">
        <w:rPr>
          <w:rFonts w:ascii="Arial" w:hAnsi="Arial" w:cs="Arial"/>
          <w:b/>
          <w:caps/>
          <w:sz w:val="24"/>
          <w:szCs w:val="24"/>
        </w:rPr>
        <w:t xml:space="preserve">2.3 </w:t>
      </w:r>
      <w:r w:rsidRPr="00060C30">
        <w:rPr>
          <w:rFonts w:ascii="Arial" w:hAnsi="Arial" w:cs="Arial"/>
          <w:b/>
          <w:sz w:val="24"/>
          <w:szCs w:val="24"/>
        </w:rPr>
        <w:t>Data Collection Instrument</w:t>
      </w:r>
      <w:r w:rsidRPr="00060C30">
        <w:rPr>
          <w:rFonts w:ascii="Arial" w:hAnsi="Arial" w:cs="Arial"/>
          <w:sz w:val="24"/>
          <w:szCs w:val="24"/>
        </w:rPr>
        <w:t xml:space="preserve"> </w:t>
      </w:r>
    </w:p>
    <w:p w14:paraId="6E009B22" w14:textId="5A203292" w:rsidR="00F00C14" w:rsidRPr="00060C30" w:rsidRDefault="00AD2F6B" w:rsidP="00AD2F6B">
      <w:pPr>
        <w:pStyle w:val="Body"/>
        <w:rPr>
          <w:rFonts w:ascii="Arial" w:hAnsi="Arial" w:cs="Arial"/>
          <w:sz w:val="24"/>
          <w:szCs w:val="24"/>
        </w:rPr>
      </w:pPr>
      <w:r w:rsidRPr="00060C30">
        <w:rPr>
          <w:rFonts w:ascii="Arial" w:hAnsi="Arial" w:cs="Arial"/>
          <w:sz w:val="24"/>
          <w:szCs w:val="24"/>
        </w:rPr>
        <w:t>A structured questionnaire was administered, covering four areas: (1) household socio-demographics, (2) appliance ownership and usage, (3) behavioral practices related to energy use, and (4) climate change awareness. Responses were collected using categorical and Likert-scale items.</w:t>
      </w:r>
    </w:p>
    <w:p w14:paraId="574834DA" w14:textId="33EC42A6" w:rsidR="0036373C" w:rsidRPr="00060C30" w:rsidRDefault="0036373C" w:rsidP="0036373C">
      <w:pPr>
        <w:pStyle w:val="Body"/>
        <w:spacing w:after="200"/>
        <w:rPr>
          <w:rFonts w:ascii="Arial" w:hAnsi="Arial" w:cs="Arial"/>
          <w:sz w:val="24"/>
          <w:szCs w:val="24"/>
        </w:rPr>
      </w:pPr>
      <w:r w:rsidRPr="00060C30">
        <w:rPr>
          <w:rFonts w:ascii="Arial" w:hAnsi="Arial" w:cs="Arial"/>
          <w:b/>
          <w:caps/>
          <w:sz w:val="24"/>
          <w:szCs w:val="24"/>
        </w:rPr>
        <w:t xml:space="preserve">2.4 </w:t>
      </w:r>
      <w:r w:rsidRPr="00060C30">
        <w:rPr>
          <w:rFonts w:ascii="Arial" w:hAnsi="Arial" w:cs="Arial"/>
          <w:b/>
          <w:sz w:val="24"/>
          <w:szCs w:val="24"/>
        </w:rPr>
        <w:t>Data Analysis</w:t>
      </w:r>
    </w:p>
    <w:p w14:paraId="08206F08" w14:textId="79D72D2B" w:rsidR="0036373C" w:rsidRPr="00060C30" w:rsidRDefault="0036373C" w:rsidP="0036373C">
      <w:pPr>
        <w:pStyle w:val="Body"/>
        <w:rPr>
          <w:rFonts w:ascii="Arial" w:hAnsi="Arial" w:cs="Arial"/>
          <w:sz w:val="24"/>
          <w:szCs w:val="24"/>
        </w:rPr>
      </w:pPr>
      <w:r w:rsidRPr="00060C30">
        <w:rPr>
          <w:rFonts w:ascii="Arial" w:hAnsi="Arial" w:cs="Arial"/>
          <w:sz w:val="24"/>
          <w:szCs w:val="24"/>
        </w:rPr>
        <w:t>Data were analyzed using SPSS, with descriptive statistics and Multiple Linear Regression (MLR) applied to assess the effects of appliance ownership, behavioral practices, socio-demographic variables, and climate change awareness on household energy consumption.</w:t>
      </w:r>
    </w:p>
    <w:p w14:paraId="4FDAD0CF" w14:textId="6D091106" w:rsidR="0036373C" w:rsidRPr="00060C30" w:rsidRDefault="0036373C" w:rsidP="0036373C">
      <w:pPr>
        <w:pStyle w:val="Body"/>
        <w:spacing w:after="200"/>
        <w:rPr>
          <w:rFonts w:ascii="Arial" w:hAnsi="Arial" w:cs="Arial"/>
          <w:sz w:val="24"/>
          <w:szCs w:val="24"/>
        </w:rPr>
      </w:pPr>
      <w:r w:rsidRPr="00060C30">
        <w:rPr>
          <w:rFonts w:ascii="Arial" w:hAnsi="Arial" w:cs="Arial"/>
          <w:b/>
          <w:caps/>
          <w:sz w:val="24"/>
          <w:szCs w:val="24"/>
        </w:rPr>
        <w:t xml:space="preserve">2.5 </w:t>
      </w:r>
      <w:r w:rsidRPr="00060C30">
        <w:rPr>
          <w:rFonts w:ascii="Arial" w:hAnsi="Arial" w:cs="Arial"/>
          <w:b/>
          <w:sz w:val="24"/>
          <w:szCs w:val="24"/>
        </w:rPr>
        <w:t>Ethical Considerations</w:t>
      </w:r>
    </w:p>
    <w:p w14:paraId="66078182" w14:textId="18637A0A" w:rsidR="00AD2F6B" w:rsidRPr="00060C30" w:rsidRDefault="0036373C" w:rsidP="0036373C">
      <w:pPr>
        <w:pStyle w:val="Body"/>
        <w:rPr>
          <w:rFonts w:ascii="Arial" w:hAnsi="Arial" w:cs="Arial"/>
          <w:sz w:val="24"/>
          <w:szCs w:val="24"/>
        </w:rPr>
      </w:pPr>
      <w:r w:rsidRPr="00060C30">
        <w:rPr>
          <w:rFonts w:ascii="Arial" w:hAnsi="Arial" w:cs="Arial"/>
          <w:sz w:val="24"/>
          <w:szCs w:val="24"/>
        </w:rPr>
        <w:t>Informed consent was secured from all participants. Confidentiality and anonymity were guaranteed.</w:t>
      </w:r>
    </w:p>
    <w:p w14:paraId="6DC820DA" w14:textId="5B7C7F75" w:rsidR="00790ADA" w:rsidRPr="00060C30" w:rsidRDefault="00000F8F" w:rsidP="00060C30">
      <w:pPr>
        <w:pStyle w:val="Head1"/>
        <w:spacing w:after="200"/>
        <w:jc w:val="both"/>
        <w:rPr>
          <w:rFonts w:ascii="Arial" w:hAnsi="Arial" w:cs="Arial"/>
          <w:sz w:val="24"/>
          <w:szCs w:val="24"/>
        </w:rPr>
      </w:pPr>
      <w:r w:rsidRPr="00060C30">
        <w:rPr>
          <w:rFonts w:ascii="Arial" w:hAnsi="Arial" w:cs="Arial"/>
          <w:sz w:val="24"/>
          <w:szCs w:val="24"/>
        </w:rPr>
        <w:t>3</w:t>
      </w:r>
      <w:r w:rsidR="00902823" w:rsidRPr="00060C30">
        <w:rPr>
          <w:rFonts w:ascii="Arial" w:hAnsi="Arial" w:cs="Arial"/>
          <w:sz w:val="24"/>
          <w:szCs w:val="24"/>
        </w:rPr>
        <w:t xml:space="preserve">. </w:t>
      </w:r>
      <w:r w:rsidRPr="00060C30">
        <w:rPr>
          <w:rFonts w:ascii="Arial" w:hAnsi="Arial" w:cs="Arial"/>
          <w:sz w:val="24"/>
          <w:szCs w:val="24"/>
        </w:rPr>
        <w:t>results and discussion</w:t>
      </w:r>
    </w:p>
    <w:p w14:paraId="3FC0F988" w14:textId="77777777" w:rsidR="0091151A" w:rsidRPr="00060C30" w:rsidRDefault="0091151A" w:rsidP="00060C30">
      <w:pPr>
        <w:spacing w:after="200"/>
        <w:outlineLvl w:val="0"/>
        <w:rPr>
          <w:rFonts w:ascii="Arial" w:eastAsia="Aptos" w:hAnsi="Arial" w:cs="Arial"/>
          <w:b/>
          <w:bCs/>
          <w:sz w:val="24"/>
          <w:szCs w:val="24"/>
        </w:rPr>
      </w:pPr>
      <w:r w:rsidRPr="00060C30">
        <w:rPr>
          <w:rFonts w:ascii="Arial" w:eastAsia="Aptos" w:hAnsi="Arial" w:cs="Arial"/>
          <w:b/>
          <w:bCs/>
          <w:sz w:val="24"/>
          <w:szCs w:val="24"/>
        </w:rPr>
        <w:t>3.1</w:t>
      </w:r>
      <w:r w:rsidRPr="00060C30">
        <w:rPr>
          <w:rFonts w:ascii="Arial" w:eastAsia="Aptos" w:hAnsi="Arial" w:cs="Arial"/>
          <w:b/>
          <w:bCs/>
          <w:sz w:val="24"/>
          <w:szCs w:val="24"/>
        </w:rPr>
        <w:tab/>
        <w:t>Socio-Demographic Factors and Household Energy Consumption</w:t>
      </w:r>
    </w:p>
    <w:p w14:paraId="70313B44" w14:textId="35E86843" w:rsidR="00A76EB7" w:rsidRPr="00060C30" w:rsidRDefault="0091151A" w:rsidP="00A76EB7">
      <w:pPr>
        <w:spacing w:after="200"/>
        <w:jc w:val="both"/>
        <w:rPr>
          <w:rFonts w:ascii="Arial" w:eastAsia="Aptos" w:hAnsi="Arial" w:cs="Arial"/>
          <w:b/>
          <w:bCs/>
          <w:sz w:val="24"/>
          <w:szCs w:val="24"/>
          <w:u w:val="single"/>
        </w:rPr>
      </w:pPr>
      <w:r w:rsidRPr="00060C30">
        <w:rPr>
          <w:rFonts w:ascii="Arial" w:eastAsia="Aptos" w:hAnsi="Arial" w:cs="Arial"/>
          <w:sz w:val="24"/>
          <w:szCs w:val="24"/>
        </w:rPr>
        <w:t xml:space="preserve">The regression analysis indicates that socio-demographic variables account for 17.9% of the variation in household energy consumption (R² = .179, Adjusted R² = .166). </w:t>
      </w:r>
      <w:r w:rsidR="005101B6">
        <w:rPr>
          <w:rFonts w:ascii="Arial" w:eastAsia="Aptos" w:hAnsi="Arial" w:cs="Arial"/>
          <w:sz w:val="24"/>
          <w:szCs w:val="24"/>
        </w:rPr>
        <w:t>T</w:t>
      </w:r>
      <w:r w:rsidRPr="00060C30">
        <w:rPr>
          <w:rFonts w:ascii="Arial" w:eastAsia="Aptos" w:hAnsi="Arial" w:cs="Arial"/>
          <w:sz w:val="24"/>
          <w:szCs w:val="24"/>
        </w:rPr>
        <w:t xml:space="preserve">his highlights the importance of social and economic attributes in shaping household energy demand. The model was statistically significant (F = 13.786, </w:t>
      </w:r>
      <w:r w:rsidRPr="00060C30">
        <w:rPr>
          <w:rFonts w:ascii="Arial" w:eastAsia="Aptos" w:hAnsi="Arial" w:cs="Arial"/>
          <w:i/>
          <w:iCs/>
          <w:sz w:val="24"/>
          <w:szCs w:val="24"/>
        </w:rPr>
        <w:t>P</w:t>
      </w:r>
      <w:r w:rsidRPr="00060C30">
        <w:rPr>
          <w:rFonts w:ascii="Arial" w:eastAsia="Aptos" w:hAnsi="Arial" w:cs="Arial"/>
          <w:sz w:val="24"/>
          <w:szCs w:val="24"/>
        </w:rPr>
        <w:t xml:space="preserve"> = .000).</w:t>
      </w:r>
    </w:p>
    <w:p w14:paraId="31FB55CB" w14:textId="1D58BC01" w:rsidR="0091151A" w:rsidRPr="00060C30" w:rsidRDefault="0091151A" w:rsidP="00A76EB7">
      <w:pPr>
        <w:spacing w:after="200"/>
        <w:jc w:val="both"/>
        <w:rPr>
          <w:rFonts w:ascii="Arial" w:eastAsia="Aptos" w:hAnsi="Arial" w:cs="Arial"/>
          <w:b/>
          <w:bCs/>
          <w:sz w:val="24"/>
          <w:szCs w:val="24"/>
          <w:u w:val="single"/>
        </w:rPr>
      </w:pPr>
      <w:r w:rsidRPr="00060C30">
        <w:rPr>
          <w:rFonts w:ascii="Arial" w:eastAsia="Aptos" w:hAnsi="Arial" w:cs="Arial"/>
          <w:sz w:val="24"/>
          <w:szCs w:val="24"/>
        </w:rPr>
        <w:t xml:space="preserve">Among individual predictors (Table 1), household size (B = 1.344, </w:t>
      </w:r>
      <w:r w:rsidRPr="00060C30">
        <w:rPr>
          <w:rFonts w:ascii="Arial" w:eastAsia="Aptos" w:hAnsi="Arial" w:cs="Arial"/>
          <w:i/>
          <w:iCs/>
          <w:sz w:val="24"/>
          <w:szCs w:val="24"/>
        </w:rPr>
        <w:t>P</w:t>
      </w:r>
      <w:r w:rsidRPr="00060C30">
        <w:rPr>
          <w:rFonts w:ascii="Arial" w:eastAsia="Aptos" w:hAnsi="Arial" w:cs="Arial"/>
          <w:sz w:val="24"/>
          <w:szCs w:val="24"/>
        </w:rPr>
        <w:t xml:space="preserve"> = .000) and education of the household head (B = 1.253, </w:t>
      </w:r>
      <w:r w:rsidRPr="00060C30">
        <w:rPr>
          <w:rFonts w:ascii="Arial" w:eastAsia="Aptos" w:hAnsi="Arial" w:cs="Arial"/>
          <w:i/>
          <w:iCs/>
          <w:sz w:val="24"/>
          <w:szCs w:val="24"/>
        </w:rPr>
        <w:t>P</w:t>
      </w:r>
      <w:r w:rsidRPr="00060C30">
        <w:rPr>
          <w:rFonts w:ascii="Arial" w:eastAsia="Aptos" w:hAnsi="Arial" w:cs="Arial"/>
          <w:sz w:val="24"/>
          <w:szCs w:val="24"/>
        </w:rPr>
        <w:t xml:space="preserve"> = .000) significantly increased energy use, consistent with the expectation that larger and more educated households adopt more appliances and energy-intensive practices. Income showed no significant effect (</w:t>
      </w:r>
      <w:r w:rsidRPr="00060C30">
        <w:rPr>
          <w:rFonts w:ascii="Arial" w:eastAsia="Aptos" w:hAnsi="Arial" w:cs="Arial"/>
          <w:i/>
          <w:iCs/>
          <w:sz w:val="24"/>
          <w:szCs w:val="24"/>
        </w:rPr>
        <w:t>P</w:t>
      </w:r>
      <w:r w:rsidRPr="00060C30">
        <w:rPr>
          <w:rFonts w:ascii="Arial" w:eastAsia="Aptos" w:hAnsi="Arial" w:cs="Arial"/>
          <w:sz w:val="24"/>
          <w:szCs w:val="24"/>
        </w:rPr>
        <w:t xml:space="preserve"> = .741), while primary income source (B = 0.531, </w:t>
      </w:r>
      <w:r w:rsidRPr="00060C30">
        <w:rPr>
          <w:rFonts w:ascii="Arial" w:eastAsia="Aptos" w:hAnsi="Arial" w:cs="Arial"/>
          <w:i/>
          <w:iCs/>
          <w:sz w:val="24"/>
          <w:szCs w:val="24"/>
        </w:rPr>
        <w:t>P</w:t>
      </w:r>
      <w:r w:rsidRPr="00060C30">
        <w:rPr>
          <w:rFonts w:ascii="Arial" w:eastAsia="Aptos" w:hAnsi="Arial" w:cs="Arial"/>
          <w:sz w:val="24"/>
          <w:szCs w:val="24"/>
        </w:rPr>
        <w:t xml:space="preserve"> = .000) and transportation mode (B = 0.959, </w:t>
      </w:r>
      <w:r w:rsidRPr="00060C30">
        <w:rPr>
          <w:rFonts w:ascii="Arial" w:eastAsia="Aptos" w:hAnsi="Arial" w:cs="Arial"/>
          <w:i/>
          <w:iCs/>
          <w:sz w:val="24"/>
          <w:szCs w:val="24"/>
        </w:rPr>
        <w:t>P</w:t>
      </w:r>
      <w:r w:rsidRPr="00060C30">
        <w:rPr>
          <w:rFonts w:ascii="Arial" w:eastAsia="Aptos" w:hAnsi="Arial" w:cs="Arial"/>
          <w:sz w:val="24"/>
          <w:szCs w:val="24"/>
        </w:rPr>
        <w:t xml:space="preserve"> = .000) had positive impacts, suggesting that economic stability and mobility patterns shape demand. Dwelling type was negatively significant (B = -0.260, </w:t>
      </w:r>
      <w:r w:rsidRPr="00060C30">
        <w:rPr>
          <w:rFonts w:ascii="Arial" w:eastAsia="Aptos" w:hAnsi="Arial" w:cs="Arial"/>
          <w:i/>
          <w:iCs/>
          <w:sz w:val="24"/>
          <w:szCs w:val="24"/>
        </w:rPr>
        <w:t>P</w:t>
      </w:r>
      <w:r w:rsidRPr="00060C30">
        <w:rPr>
          <w:rFonts w:ascii="Arial" w:eastAsia="Aptos" w:hAnsi="Arial" w:cs="Arial"/>
          <w:sz w:val="24"/>
          <w:szCs w:val="24"/>
        </w:rPr>
        <w:t xml:space="preserve"> = .003), </w:t>
      </w:r>
      <w:r w:rsidRPr="00060C30">
        <w:rPr>
          <w:rFonts w:ascii="Arial" w:eastAsia="Aptos" w:hAnsi="Arial" w:cs="Arial"/>
          <w:sz w:val="24"/>
          <w:szCs w:val="24"/>
        </w:rPr>
        <w:lastRenderedPageBreak/>
        <w:t>reflecting efficiency differences between housing categories. Location and cooking energy source were not significant.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8"/>
        <w:gridCol w:w="3188"/>
        <w:gridCol w:w="1095"/>
        <w:gridCol w:w="1254"/>
        <w:gridCol w:w="1565"/>
        <w:gridCol w:w="938"/>
        <w:gridCol w:w="592"/>
      </w:tblGrid>
      <w:tr w:rsidR="0091151A" w:rsidRPr="005109A7" w14:paraId="697982E8" w14:textId="77777777" w:rsidTr="00F53BF2">
        <w:trPr>
          <w:cantSplit/>
        </w:trPr>
        <w:tc>
          <w:tcPr>
            <w:tcW w:w="5000" w:type="pct"/>
            <w:gridSpan w:val="7"/>
            <w:tcBorders>
              <w:top w:val="nil"/>
              <w:left w:val="nil"/>
              <w:bottom w:val="single" w:sz="4" w:space="0" w:color="auto"/>
              <w:right w:val="nil"/>
            </w:tcBorders>
            <w:vAlign w:val="center"/>
            <w:hideMark/>
          </w:tcPr>
          <w:p w14:paraId="12171A13" w14:textId="77777777" w:rsidR="0091151A" w:rsidRPr="005109A7" w:rsidRDefault="0091151A" w:rsidP="002B4D1C">
            <w:pPr>
              <w:rPr>
                <w:rFonts w:ascii="Arial" w:eastAsia="Aptos" w:hAnsi="Arial" w:cs="Arial"/>
                <w:b/>
                <w:bCs/>
                <w:vertAlign w:val="superscript"/>
              </w:rPr>
            </w:pPr>
            <w:r w:rsidRPr="005109A7">
              <w:rPr>
                <w:rFonts w:ascii="Arial" w:eastAsia="Aptos" w:hAnsi="Arial" w:cs="Arial"/>
                <w:b/>
                <w:bCs/>
              </w:rPr>
              <w:t xml:space="preserve">Table </w:t>
            </w:r>
            <w:r w:rsidRPr="00486DCD">
              <w:rPr>
                <w:rFonts w:ascii="Arial" w:eastAsia="Aptos" w:hAnsi="Arial" w:cs="Arial"/>
                <w:b/>
                <w:bCs/>
              </w:rPr>
              <w:t>1</w:t>
            </w:r>
            <w:r w:rsidRPr="005109A7">
              <w:rPr>
                <w:rFonts w:ascii="Arial" w:eastAsia="Aptos" w:hAnsi="Arial" w:cs="Arial"/>
                <w:b/>
                <w:bCs/>
              </w:rPr>
              <w:t xml:space="preserve"> </w:t>
            </w:r>
            <w:r w:rsidRPr="00486DCD">
              <w:rPr>
                <w:rFonts w:ascii="Arial" w:eastAsia="Aptos" w:hAnsi="Arial" w:cs="Arial"/>
                <w:b/>
                <w:bCs/>
              </w:rPr>
              <w:t>–</w:t>
            </w:r>
            <w:r w:rsidRPr="005109A7">
              <w:rPr>
                <w:rFonts w:ascii="Arial" w:eastAsia="Aptos" w:hAnsi="Arial" w:cs="Arial"/>
                <w:b/>
                <w:bCs/>
              </w:rPr>
              <w:t xml:space="preserve"> Coefficients</w:t>
            </w:r>
            <w:r w:rsidRPr="00486DCD">
              <w:rPr>
                <w:rFonts w:ascii="Arial" w:eastAsia="Aptos" w:hAnsi="Arial" w:cs="Arial"/>
                <w:b/>
                <w:bCs/>
              </w:rPr>
              <w:t xml:space="preserve"> of Regression for Socio-Demographic Factors</w:t>
            </w:r>
          </w:p>
          <w:p w14:paraId="1B500FC4" w14:textId="77777777" w:rsidR="0091151A" w:rsidRPr="005109A7" w:rsidRDefault="0091151A" w:rsidP="002B4D1C">
            <w:pPr>
              <w:rPr>
                <w:rFonts w:ascii="Arial" w:eastAsia="Aptos" w:hAnsi="Arial" w:cs="Arial"/>
                <w:b/>
                <w:bCs/>
              </w:rPr>
            </w:pPr>
          </w:p>
        </w:tc>
      </w:tr>
      <w:tr w:rsidR="0091151A" w:rsidRPr="005109A7" w14:paraId="06B4B087" w14:textId="77777777" w:rsidTr="00AF45D1">
        <w:trPr>
          <w:cantSplit/>
        </w:trPr>
        <w:tc>
          <w:tcPr>
            <w:tcW w:w="2092" w:type="pct"/>
            <w:gridSpan w:val="2"/>
            <w:vMerge w:val="restart"/>
            <w:tcBorders>
              <w:top w:val="single" w:sz="4" w:space="0" w:color="auto"/>
              <w:left w:val="nil"/>
              <w:bottom w:val="nil"/>
              <w:right w:val="nil"/>
            </w:tcBorders>
            <w:vAlign w:val="bottom"/>
            <w:hideMark/>
          </w:tcPr>
          <w:p w14:paraId="759FDAAA" w14:textId="77777777" w:rsidR="0091151A" w:rsidRPr="005109A7" w:rsidRDefault="0091151A" w:rsidP="002B4D1C">
            <w:pPr>
              <w:rPr>
                <w:rFonts w:ascii="Arial" w:eastAsia="Aptos" w:hAnsi="Arial" w:cs="Arial"/>
                <w:b/>
                <w:bCs/>
              </w:rPr>
            </w:pPr>
            <w:r w:rsidRPr="005109A7">
              <w:rPr>
                <w:rFonts w:ascii="Arial" w:eastAsia="Aptos" w:hAnsi="Arial" w:cs="Arial"/>
                <w:b/>
                <w:bCs/>
              </w:rPr>
              <w:t>Model</w:t>
            </w:r>
          </w:p>
        </w:tc>
        <w:tc>
          <w:tcPr>
            <w:tcW w:w="1255" w:type="pct"/>
            <w:gridSpan w:val="2"/>
            <w:tcBorders>
              <w:top w:val="single" w:sz="4" w:space="0" w:color="auto"/>
              <w:left w:val="nil"/>
              <w:bottom w:val="single" w:sz="4" w:space="0" w:color="auto"/>
              <w:right w:val="nil"/>
            </w:tcBorders>
            <w:vAlign w:val="bottom"/>
            <w:hideMark/>
          </w:tcPr>
          <w:p w14:paraId="1094AA8A"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Unstandardized Coefficients</w:t>
            </w:r>
          </w:p>
        </w:tc>
        <w:tc>
          <w:tcPr>
            <w:tcW w:w="836" w:type="pct"/>
            <w:tcBorders>
              <w:top w:val="single" w:sz="4" w:space="0" w:color="auto"/>
              <w:left w:val="nil"/>
              <w:bottom w:val="single" w:sz="4" w:space="0" w:color="auto"/>
              <w:right w:val="nil"/>
            </w:tcBorders>
            <w:vAlign w:val="bottom"/>
            <w:hideMark/>
          </w:tcPr>
          <w:p w14:paraId="325F307F"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Standardized Coefficients</w:t>
            </w:r>
          </w:p>
        </w:tc>
        <w:tc>
          <w:tcPr>
            <w:tcW w:w="501" w:type="pct"/>
            <w:vMerge w:val="restart"/>
            <w:tcBorders>
              <w:top w:val="single" w:sz="4" w:space="0" w:color="auto"/>
              <w:left w:val="nil"/>
              <w:bottom w:val="nil"/>
              <w:right w:val="nil"/>
            </w:tcBorders>
            <w:vAlign w:val="bottom"/>
            <w:hideMark/>
          </w:tcPr>
          <w:p w14:paraId="08D4531A"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t</w:t>
            </w:r>
          </w:p>
        </w:tc>
        <w:tc>
          <w:tcPr>
            <w:tcW w:w="316" w:type="pct"/>
            <w:vMerge w:val="restart"/>
            <w:tcBorders>
              <w:top w:val="single" w:sz="4" w:space="0" w:color="auto"/>
              <w:left w:val="nil"/>
              <w:bottom w:val="nil"/>
              <w:right w:val="nil"/>
            </w:tcBorders>
            <w:vAlign w:val="bottom"/>
            <w:hideMark/>
          </w:tcPr>
          <w:p w14:paraId="5484D38D"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Sig.</w:t>
            </w:r>
          </w:p>
        </w:tc>
      </w:tr>
      <w:tr w:rsidR="0091151A" w:rsidRPr="005109A7" w14:paraId="5395C6E0" w14:textId="77777777" w:rsidTr="00AF45D1">
        <w:trPr>
          <w:cantSplit/>
        </w:trPr>
        <w:tc>
          <w:tcPr>
            <w:tcW w:w="2092" w:type="pct"/>
            <w:gridSpan w:val="2"/>
            <w:vMerge/>
            <w:tcBorders>
              <w:top w:val="nil"/>
              <w:left w:val="nil"/>
              <w:bottom w:val="nil"/>
              <w:right w:val="nil"/>
            </w:tcBorders>
            <w:vAlign w:val="center"/>
            <w:hideMark/>
          </w:tcPr>
          <w:p w14:paraId="5CE4D886" w14:textId="77777777" w:rsidR="0091151A" w:rsidRPr="005109A7" w:rsidRDefault="0091151A" w:rsidP="002B4D1C">
            <w:pPr>
              <w:rPr>
                <w:rFonts w:ascii="Arial" w:eastAsia="Aptos" w:hAnsi="Arial" w:cs="Arial"/>
                <w:b/>
                <w:bCs/>
              </w:rPr>
            </w:pPr>
          </w:p>
        </w:tc>
        <w:tc>
          <w:tcPr>
            <w:tcW w:w="585" w:type="pct"/>
            <w:tcBorders>
              <w:top w:val="single" w:sz="4" w:space="0" w:color="auto"/>
              <w:left w:val="nil"/>
              <w:bottom w:val="single" w:sz="8" w:space="0" w:color="152935"/>
              <w:right w:val="single" w:sz="8" w:space="0" w:color="E0E0E0"/>
            </w:tcBorders>
            <w:vAlign w:val="bottom"/>
            <w:hideMark/>
          </w:tcPr>
          <w:p w14:paraId="52537055"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B</w:t>
            </w:r>
          </w:p>
        </w:tc>
        <w:tc>
          <w:tcPr>
            <w:tcW w:w="670" w:type="pct"/>
            <w:tcBorders>
              <w:top w:val="single" w:sz="4" w:space="0" w:color="auto"/>
              <w:left w:val="single" w:sz="8" w:space="0" w:color="E0E0E0"/>
              <w:bottom w:val="single" w:sz="8" w:space="0" w:color="152935"/>
              <w:right w:val="single" w:sz="8" w:space="0" w:color="E0E0E0"/>
            </w:tcBorders>
            <w:vAlign w:val="bottom"/>
            <w:hideMark/>
          </w:tcPr>
          <w:p w14:paraId="66095D0B"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Std. Error</w:t>
            </w:r>
          </w:p>
        </w:tc>
        <w:tc>
          <w:tcPr>
            <w:tcW w:w="836" w:type="pct"/>
            <w:tcBorders>
              <w:top w:val="single" w:sz="4" w:space="0" w:color="auto"/>
              <w:left w:val="single" w:sz="8" w:space="0" w:color="E0E0E0"/>
              <w:bottom w:val="single" w:sz="8" w:space="0" w:color="152935"/>
              <w:right w:val="single" w:sz="8" w:space="0" w:color="E0E0E0"/>
            </w:tcBorders>
            <w:vAlign w:val="bottom"/>
            <w:hideMark/>
          </w:tcPr>
          <w:p w14:paraId="10436BFB"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Beta</w:t>
            </w:r>
          </w:p>
        </w:tc>
        <w:tc>
          <w:tcPr>
            <w:tcW w:w="501" w:type="pct"/>
            <w:vMerge/>
            <w:tcBorders>
              <w:top w:val="nil"/>
              <w:left w:val="single" w:sz="8" w:space="0" w:color="E0E0E0"/>
              <w:bottom w:val="nil"/>
              <w:right w:val="single" w:sz="8" w:space="0" w:color="E0E0E0"/>
            </w:tcBorders>
            <w:vAlign w:val="center"/>
            <w:hideMark/>
          </w:tcPr>
          <w:p w14:paraId="05922EC4" w14:textId="77777777" w:rsidR="0091151A" w:rsidRPr="005109A7" w:rsidRDefault="0091151A" w:rsidP="002B4D1C">
            <w:pPr>
              <w:jc w:val="center"/>
              <w:rPr>
                <w:rFonts w:ascii="Arial" w:eastAsia="Aptos" w:hAnsi="Arial" w:cs="Arial"/>
              </w:rPr>
            </w:pPr>
          </w:p>
        </w:tc>
        <w:tc>
          <w:tcPr>
            <w:tcW w:w="316" w:type="pct"/>
            <w:vMerge/>
            <w:tcBorders>
              <w:top w:val="nil"/>
              <w:left w:val="single" w:sz="8" w:space="0" w:color="E0E0E0"/>
              <w:bottom w:val="nil"/>
              <w:right w:val="nil"/>
            </w:tcBorders>
            <w:vAlign w:val="center"/>
            <w:hideMark/>
          </w:tcPr>
          <w:p w14:paraId="5418B99E" w14:textId="77777777" w:rsidR="0091151A" w:rsidRPr="005109A7" w:rsidRDefault="0091151A" w:rsidP="002B4D1C">
            <w:pPr>
              <w:jc w:val="center"/>
              <w:rPr>
                <w:rFonts w:ascii="Arial" w:eastAsia="Aptos" w:hAnsi="Arial" w:cs="Arial"/>
              </w:rPr>
            </w:pPr>
          </w:p>
        </w:tc>
      </w:tr>
      <w:tr w:rsidR="00F53BF2" w:rsidRPr="00486DCD" w14:paraId="2DC61615" w14:textId="77777777" w:rsidTr="00AF45D1">
        <w:trPr>
          <w:cantSplit/>
        </w:trPr>
        <w:tc>
          <w:tcPr>
            <w:tcW w:w="389" w:type="pct"/>
            <w:vMerge w:val="restart"/>
            <w:tcBorders>
              <w:top w:val="single" w:sz="8" w:space="0" w:color="152935"/>
              <w:left w:val="nil"/>
              <w:bottom w:val="single" w:sz="8" w:space="0" w:color="152935"/>
              <w:right w:val="nil"/>
            </w:tcBorders>
            <w:hideMark/>
          </w:tcPr>
          <w:p w14:paraId="33FB6F78" w14:textId="77777777" w:rsidR="0091151A" w:rsidRPr="005109A7" w:rsidRDefault="0091151A" w:rsidP="002B4D1C">
            <w:pPr>
              <w:rPr>
                <w:rFonts w:ascii="Arial" w:eastAsia="Aptos" w:hAnsi="Arial" w:cs="Arial"/>
              </w:rPr>
            </w:pPr>
            <w:r w:rsidRPr="005109A7">
              <w:rPr>
                <w:rFonts w:ascii="Arial" w:eastAsia="Aptos" w:hAnsi="Arial" w:cs="Arial"/>
              </w:rPr>
              <w:t>1</w:t>
            </w:r>
          </w:p>
        </w:tc>
        <w:tc>
          <w:tcPr>
            <w:tcW w:w="1703" w:type="pct"/>
            <w:tcBorders>
              <w:top w:val="single" w:sz="8" w:space="0" w:color="152935"/>
              <w:left w:val="nil"/>
              <w:bottom w:val="single" w:sz="8" w:space="0" w:color="AEAEAE"/>
              <w:right w:val="nil"/>
            </w:tcBorders>
            <w:hideMark/>
          </w:tcPr>
          <w:p w14:paraId="4FF01E3E" w14:textId="77777777" w:rsidR="0091151A" w:rsidRPr="005109A7" w:rsidRDefault="0091151A" w:rsidP="002B4D1C">
            <w:pPr>
              <w:rPr>
                <w:rFonts w:ascii="Arial" w:eastAsia="Aptos" w:hAnsi="Arial" w:cs="Arial"/>
              </w:rPr>
            </w:pPr>
            <w:r w:rsidRPr="005109A7">
              <w:rPr>
                <w:rFonts w:ascii="Arial" w:eastAsia="Aptos" w:hAnsi="Arial" w:cs="Arial"/>
              </w:rPr>
              <w:t>(Constant)</w:t>
            </w:r>
          </w:p>
        </w:tc>
        <w:tc>
          <w:tcPr>
            <w:tcW w:w="585" w:type="pct"/>
            <w:tcBorders>
              <w:top w:val="single" w:sz="8" w:space="0" w:color="152935"/>
              <w:left w:val="nil"/>
              <w:bottom w:val="single" w:sz="8" w:space="0" w:color="AEAEAE"/>
              <w:right w:val="single" w:sz="8" w:space="0" w:color="E0E0E0"/>
            </w:tcBorders>
            <w:hideMark/>
          </w:tcPr>
          <w:p w14:paraId="49C50D96" w14:textId="77777777" w:rsidR="0091151A" w:rsidRPr="005109A7" w:rsidRDefault="0091151A" w:rsidP="00714E7D">
            <w:pPr>
              <w:jc w:val="right"/>
              <w:rPr>
                <w:rFonts w:ascii="Arial" w:eastAsia="Aptos" w:hAnsi="Arial" w:cs="Arial"/>
              </w:rPr>
            </w:pPr>
            <w:r w:rsidRPr="005109A7">
              <w:rPr>
                <w:rFonts w:ascii="Arial" w:eastAsia="Aptos" w:hAnsi="Arial" w:cs="Arial"/>
              </w:rPr>
              <w:t>2.184</w:t>
            </w:r>
          </w:p>
        </w:tc>
        <w:tc>
          <w:tcPr>
            <w:tcW w:w="670" w:type="pct"/>
            <w:tcBorders>
              <w:top w:val="single" w:sz="8" w:space="0" w:color="152935"/>
              <w:left w:val="single" w:sz="8" w:space="0" w:color="E0E0E0"/>
              <w:bottom w:val="single" w:sz="8" w:space="0" w:color="AEAEAE"/>
              <w:right w:val="single" w:sz="8" w:space="0" w:color="E0E0E0"/>
            </w:tcBorders>
            <w:hideMark/>
          </w:tcPr>
          <w:p w14:paraId="27A6FDE6" w14:textId="77777777" w:rsidR="0091151A" w:rsidRPr="005109A7" w:rsidRDefault="0091151A" w:rsidP="00714E7D">
            <w:pPr>
              <w:jc w:val="right"/>
              <w:rPr>
                <w:rFonts w:ascii="Arial" w:eastAsia="Aptos" w:hAnsi="Arial" w:cs="Arial"/>
              </w:rPr>
            </w:pPr>
            <w:r w:rsidRPr="005109A7">
              <w:rPr>
                <w:rFonts w:ascii="Arial" w:eastAsia="Aptos" w:hAnsi="Arial" w:cs="Arial"/>
              </w:rPr>
              <w:t>1.424</w:t>
            </w:r>
          </w:p>
        </w:tc>
        <w:tc>
          <w:tcPr>
            <w:tcW w:w="836" w:type="pct"/>
            <w:tcBorders>
              <w:top w:val="single" w:sz="8" w:space="0" w:color="152935"/>
              <w:left w:val="single" w:sz="8" w:space="0" w:color="E0E0E0"/>
              <w:bottom w:val="single" w:sz="8" w:space="0" w:color="AEAEAE"/>
              <w:right w:val="single" w:sz="8" w:space="0" w:color="E0E0E0"/>
            </w:tcBorders>
            <w:vAlign w:val="center"/>
          </w:tcPr>
          <w:p w14:paraId="4C672231" w14:textId="77777777" w:rsidR="0091151A" w:rsidRPr="005109A7" w:rsidRDefault="0091151A" w:rsidP="00714E7D">
            <w:pPr>
              <w:jc w:val="right"/>
              <w:rPr>
                <w:rFonts w:ascii="Arial" w:eastAsia="Aptos" w:hAnsi="Arial" w:cs="Arial"/>
              </w:rPr>
            </w:pPr>
          </w:p>
        </w:tc>
        <w:tc>
          <w:tcPr>
            <w:tcW w:w="501" w:type="pct"/>
            <w:tcBorders>
              <w:top w:val="single" w:sz="8" w:space="0" w:color="152935"/>
              <w:left w:val="single" w:sz="8" w:space="0" w:color="E0E0E0"/>
              <w:bottom w:val="single" w:sz="8" w:space="0" w:color="AEAEAE"/>
              <w:right w:val="single" w:sz="8" w:space="0" w:color="E0E0E0"/>
            </w:tcBorders>
            <w:hideMark/>
          </w:tcPr>
          <w:p w14:paraId="2B979023" w14:textId="77777777" w:rsidR="0091151A" w:rsidRPr="005109A7" w:rsidRDefault="0091151A" w:rsidP="00714E7D">
            <w:pPr>
              <w:jc w:val="right"/>
              <w:rPr>
                <w:rFonts w:ascii="Arial" w:eastAsia="Aptos" w:hAnsi="Arial" w:cs="Arial"/>
              </w:rPr>
            </w:pPr>
            <w:r w:rsidRPr="005109A7">
              <w:rPr>
                <w:rFonts w:ascii="Arial" w:eastAsia="Aptos" w:hAnsi="Arial" w:cs="Arial"/>
              </w:rPr>
              <w:t>1.533</w:t>
            </w:r>
          </w:p>
        </w:tc>
        <w:tc>
          <w:tcPr>
            <w:tcW w:w="316" w:type="pct"/>
            <w:tcBorders>
              <w:top w:val="single" w:sz="8" w:space="0" w:color="152935"/>
              <w:left w:val="single" w:sz="8" w:space="0" w:color="E0E0E0"/>
              <w:bottom w:val="single" w:sz="8" w:space="0" w:color="AEAEAE"/>
              <w:right w:val="nil"/>
            </w:tcBorders>
            <w:hideMark/>
          </w:tcPr>
          <w:p w14:paraId="70815C7D" w14:textId="5EFD5A65"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.126</w:t>
            </w:r>
          </w:p>
        </w:tc>
      </w:tr>
      <w:tr w:rsidR="00F53BF2" w:rsidRPr="00486DCD" w14:paraId="3E6966CD" w14:textId="77777777" w:rsidTr="00AF45D1">
        <w:trPr>
          <w:cantSplit/>
          <w:trHeight w:val="256"/>
        </w:trPr>
        <w:tc>
          <w:tcPr>
            <w:tcW w:w="389" w:type="pct"/>
            <w:vMerge/>
            <w:tcBorders>
              <w:top w:val="single" w:sz="8" w:space="0" w:color="152935"/>
              <w:left w:val="nil"/>
              <w:bottom w:val="single" w:sz="8" w:space="0" w:color="152935"/>
              <w:right w:val="nil"/>
            </w:tcBorders>
            <w:vAlign w:val="center"/>
            <w:hideMark/>
          </w:tcPr>
          <w:p w14:paraId="2349E20C" w14:textId="77777777" w:rsidR="0091151A" w:rsidRPr="005109A7" w:rsidRDefault="0091151A" w:rsidP="002B4D1C">
            <w:pPr>
              <w:rPr>
                <w:rFonts w:ascii="Arial" w:eastAsia="Aptos" w:hAnsi="Arial" w:cs="Arial"/>
              </w:rPr>
            </w:pPr>
          </w:p>
        </w:tc>
        <w:tc>
          <w:tcPr>
            <w:tcW w:w="1703" w:type="pct"/>
            <w:tcBorders>
              <w:top w:val="single" w:sz="8" w:space="0" w:color="AEAEAE"/>
              <w:left w:val="nil"/>
              <w:bottom w:val="single" w:sz="8" w:space="0" w:color="AEAEAE"/>
              <w:right w:val="nil"/>
            </w:tcBorders>
            <w:hideMark/>
          </w:tcPr>
          <w:p w14:paraId="6471A599" w14:textId="77777777" w:rsidR="0091151A" w:rsidRPr="005109A7" w:rsidRDefault="0091151A" w:rsidP="002B4D1C">
            <w:pPr>
              <w:rPr>
                <w:rFonts w:ascii="Arial" w:eastAsia="Aptos" w:hAnsi="Arial" w:cs="Arial"/>
              </w:rPr>
            </w:pPr>
            <w:r w:rsidRPr="00486DCD">
              <w:rPr>
                <w:rFonts w:ascii="Arial" w:eastAsia="Aptos" w:hAnsi="Arial" w:cs="Arial"/>
              </w:rPr>
              <w:t>Location</w:t>
            </w:r>
          </w:p>
        </w:tc>
        <w:tc>
          <w:tcPr>
            <w:tcW w:w="585" w:type="pct"/>
            <w:tcBorders>
              <w:top w:val="single" w:sz="8" w:space="0" w:color="AEAEAE"/>
              <w:left w:val="nil"/>
              <w:bottom w:val="single" w:sz="8" w:space="0" w:color="AEAEAE"/>
              <w:right w:val="single" w:sz="8" w:space="0" w:color="E0E0E0"/>
            </w:tcBorders>
            <w:hideMark/>
          </w:tcPr>
          <w:p w14:paraId="76EAC41B" w14:textId="38B005E6" w:rsidR="0091151A" w:rsidRPr="005109A7" w:rsidRDefault="0091151A" w:rsidP="00714E7D">
            <w:pPr>
              <w:jc w:val="right"/>
              <w:rPr>
                <w:rFonts w:ascii="Arial" w:eastAsia="Aptos" w:hAnsi="Arial" w:cs="Arial"/>
              </w:rPr>
            </w:pPr>
            <w:r w:rsidRPr="005109A7">
              <w:rPr>
                <w:rFonts w:ascii="Arial" w:eastAsia="Aptos" w:hAnsi="Arial" w:cs="Arial"/>
              </w:rPr>
              <w:t>-</w:t>
            </w:r>
            <w:r w:rsidR="00A76EB7" w:rsidRPr="00486DCD">
              <w:rPr>
                <w:rFonts w:ascii="Arial" w:eastAsia="Aptos" w:hAnsi="Arial" w:cs="Arial"/>
              </w:rPr>
              <w:t>0</w:t>
            </w:r>
            <w:r w:rsidRPr="005109A7">
              <w:rPr>
                <w:rFonts w:ascii="Arial" w:eastAsia="Aptos" w:hAnsi="Arial" w:cs="Arial"/>
              </w:rPr>
              <w:t>.161</w:t>
            </w:r>
          </w:p>
        </w:tc>
        <w:tc>
          <w:tcPr>
            <w:tcW w:w="670" w:type="pct"/>
            <w:tcBorders>
              <w:top w:val="single" w:sz="8" w:space="0" w:color="AEAEAE"/>
              <w:left w:val="single" w:sz="8" w:space="0" w:color="E0E0E0"/>
              <w:bottom w:val="single" w:sz="8" w:space="0" w:color="AEAEAE"/>
              <w:right w:val="single" w:sz="8" w:space="0" w:color="E0E0E0"/>
            </w:tcBorders>
            <w:hideMark/>
          </w:tcPr>
          <w:p w14:paraId="277244BC" w14:textId="53DF19B3"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.135</w:t>
            </w:r>
          </w:p>
        </w:tc>
        <w:tc>
          <w:tcPr>
            <w:tcW w:w="836" w:type="pct"/>
            <w:tcBorders>
              <w:top w:val="single" w:sz="8" w:space="0" w:color="AEAEAE"/>
              <w:left w:val="single" w:sz="8" w:space="0" w:color="E0E0E0"/>
              <w:bottom w:val="single" w:sz="8" w:space="0" w:color="AEAEAE"/>
              <w:right w:val="single" w:sz="8" w:space="0" w:color="E0E0E0"/>
            </w:tcBorders>
            <w:hideMark/>
          </w:tcPr>
          <w:p w14:paraId="65C39CC3" w14:textId="73D58D79" w:rsidR="0091151A" w:rsidRPr="005109A7" w:rsidRDefault="0091151A" w:rsidP="00714E7D">
            <w:pPr>
              <w:jc w:val="right"/>
              <w:rPr>
                <w:rFonts w:ascii="Arial" w:eastAsia="Aptos" w:hAnsi="Arial" w:cs="Arial"/>
              </w:rPr>
            </w:pPr>
            <w:r w:rsidRPr="005109A7">
              <w:rPr>
                <w:rFonts w:ascii="Arial" w:eastAsia="Aptos" w:hAnsi="Arial" w:cs="Arial"/>
              </w:rPr>
              <w:t>-</w:t>
            </w:r>
            <w:r w:rsidR="00A76EB7" w:rsidRPr="00486DCD">
              <w:rPr>
                <w:rFonts w:ascii="Arial" w:eastAsia="Aptos" w:hAnsi="Arial" w:cs="Arial"/>
              </w:rPr>
              <w:t>0</w:t>
            </w:r>
            <w:r w:rsidRPr="005109A7">
              <w:rPr>
                <w:rFonts w:ascii="Arial" w:eastAsia="Aptos" w:hAnsi="Arial" w:cs="Arial"/>
              </w:rPr>
              <w:t>.054</w:t>
            </w:r>
          </w:p>
        </w:tc>
        <w:tc>
          <w:tcPr>
            <w:tcW w:w="501" w:type="pct"/>
            <w:tcBorders>
              <w:top w:val="single" w:sz="8" w:space="0" w:color="AEAEAE"/>
              <w:left w:val="single" w:sz="8" w:space="0" w:color="E0E0E0"/>
              <w:bottom w:val="single" w:sz="8" w:space="0" w:color="AEAEAE"/>
              <w:right w:val="single" w:sz="8" w:space="0" w:color="E0E0E0"/>
            </w:tcBorders>
            <w:hideMark/>
          </w:tcPr>
          <w:p w14:paraId="1C61D516" w14:textId="77777777" w:rsidR="0091151A" w:rsidRPr="005109A7" w:rsidRDefault="0091151A" w:rsidP="00714E7D">
            <w:pPr>
              <w:jc w:val="right"/>
              <w:rPr>
                <w:rFonts w:ascii="Arial" w:eastAsia="Aptos" w:hAnsi="Arial" w:cs="Arial"/>
              </w:rPr>
            </w:pPr>
            <w:r w:rsidRPr="005109A7">
              <w:rPr>
                <w:rFonts w:ascii="Arial" w:eastAsia="Aptos" w:hAnsi="Arial" w:cs="Arial"/>
              </w:rPr>
              <w:t>-1.196</w:t>
            </w:r>
          </w:p>
        </w:tc>
        <w:tc>
          <w:tcPr>
            <w:tcW w:w="316" w:type="pct"/>
            <w:tcBorders>
              <w:top w:val="single" w:sz="8" w:space="0" w:color="AEAEAE"/>
              <w:left w:val="single" w:sz="8" w:space="0" w:color="E0E0E0"/>
              <w:bottom w:val="single" w:sz="8" w:space="0" w:color="AEAEAE"/>
              <w:right w:val="nil"/>
            </w:tcBorders>
            <w:hideMark/>
          </w:tcPr>
          <w:p w14:paraId="70386436" w14:textId="27C8D76E"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.232</w:t>
            </w:r>
          </w:p>
        </w:tc>
      </w:tr>
      <w:tr w:rsidR="00F53BF2" w:rsidRPr="00486DCD" w14:paraId="3BCF24DB" w14:textId="77777777" w:rsidTr="00AF45D1">
        <w:trPr>
          <w:cantSplit/>
        </w:trPr>
        <w:tc>
          <w:tcPr>
            <w:tcW w:w="389" w:type="pct"/>
            <w:vMerge/>
            <w:tcBorders>
              <w:top w:val="single" w:sz="8" w:space="0" w:color="152935"/>
              <w:left w:val="nil"/>
              <w:bottom w:val="single" w:sz="8" w:space="0" w:color="152935"/>
              <w:right w:val="nil"/>
            </w:tcBorders>
            <w:vAlign w:val="center"/>
            <w:hideMark/>
          </w:tcPr>
          <w:p w14:paraId="6C9991A0" w14:textId="77777777" w:rsidR="0091151A" w:rsidRPr="005109A7" w:rsidRDefault="0091151A" w:rsidP="002B4D1C">
            <w:pPr>
              <w:rPr>
                <w:rFonts w:ascii="Arial" w:eastAsia="Aptos" w:hAnsi="Arial" w:cs="Arial"/>
              </w:rPr>
            </w:pPr>
          </w:p>
        </w:tc>
        <w:tc>
          <w:tcPr>
            <w:tcW w:w="1703" w:type="pct"/>
            <w:tcBorders>
              <w:top w:val="single" w:sz="8" w:space="0" w:color="AEAEAE"/>
              <w:left w:val="nil"/>
              <w:bottom w:val="single" w:sz="8" w:space="0" w:color="AEAEAE"/>
              <w:right w:val="nil"/>
            </w:tcBorders>
            <w:hideMark/>
          </w:tcPr>
          <w:p w14:paraId="5A748815" w14:textId="77777777" w:rsidR="0091151A" w:rsidRPr="005109A7" w:rsidRDefault="0091151A" w:rsidP="002B4D1C">
            <w:pPr>
              <w:rPr>
                <w:rFonts w:ascii="Arial" w:eastAsia="Aptos" w:hAnsi="Arial" w:cs="Arial"/>
              </w:rPr>
            </w:pPr>
            <w:r w:rsidRPr="00486DCD">
              <w:rPr>
                <w:rFonts w:ascii="Arial" w:eastAsia="Aptos" w:hAnsi="Arial" w:cs="Arial"/>
              </w:rPr>
              <w:t>H</w:t>
            </w:r>
            <w:r w:rsidRPr="005109A7">
              <w:rPr>
                <w:rFonts w:ascii="Arial" w:eastAsia="Aptos" w:hAnsi="Arial" w:cs="Arial"/>
              </w:rPr>
              <w:t>ousehold size</w:t>
            </w:r>
          </w:p>
        </w:tc>
        <w:tc>
          <w:tcPr>
            <w:tcW w:w="585" w:type="pct"/>
            <w:tcBorders>
              <w:top w:val="single" w:sz="8" w:space="0" w:color="AEAEAE"/>
              <w:left w:val="nil"/>
              <w:bottom w:val="single" w:sz="8" w:space="0" w:color="AEAEAE"/>
              <w:right w:val="single" w:sz="8" w:space="0" w:color="E0E0E0"/>
            </w:tcBorders>
            <w:hideMark/>
          </w:tcPr>
          <w:p w14:paraId="43956944" w14:textId="77777777" w:rsidR="0091151A" w:rsidRPr="005109A7" w:rsidRDefault="0091151A" w:rsidP="00714E7D">
            <w:pPr>
              <w:jc w:val="right"/>
              <w:rPr>
                <w:rFonts w:ascii="Arial" w:eastAsia="Aptos" w:hAnsi="Arial" w:cs="Arial"/>
              </w:rPr>
            </w:pPr>
            <w:r w:rsidRPr="005109A7">
              <w:rPr>
                <w:rFonts w:ascii="Arial" w:eastAsia="Aptos" w:hAnsi="Arial" w:cs="Arial"/>
              </w:rPr>
              <w:t>1.344</w:t>
            </w:r>
          </w:p>
        </w:tc>
        <w:tc>
          <w:tcPr>
            <w:tcW w:w="670" w:type="pct"/>
            <w:tcBorders>
              <w:top w:val="single" w:sz="8" w:space="0" w:color="AEAEAE"/>
              <w:left w:val="single" w:sz="8" w:space="0" w:color="E0E0E0"/>
              <w:bottom w:val="single" w:sz="8" w:space="0" w:color="AEAEAE"/>
              <w:right w:val="single" w:sz="8" w:space="0" w:color="E0E0E0"/>
            </w:tcBorders>
            <w:hideMark/>
          </w:tcPr>
          <w:p w14:paraId="55F43529" w14:textId="30E9DD5E"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.169</w:t>
            </w:r>
          </w:p>
        </w:tc>
        <w:tc>
          <w:tcPr>
            <w:tcW w:w="836" w:type="pct"/>
            <w:tcBorders>
              <w:top w:val="single" w:sz="8" w:space="0" w:color="AEAEAE"/>
              <w:left w:val="single" w:sz="8" w:space="0" w:color="E0E0E0"/>
              <w:bottom w:val="single" w:sz="8" w:space="0" w:color="AEAEAE"/>
              <w:right w:val="single" w:sz="8" w:space="0" w:color="E0E0E0"/>
            </w:tcBorders>
            <w:hideMark/>
          </w:tcPr>
          <w:p w14:paraId="14A84F79" w14:textId="3312D080"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.381</w:t>
            </w:r>
          </w:p>
        </w:tc>
        <w:tc>
          <w:tcPr>
            <w:tcW w:w="501" w:type="pct"/>
            <w:tcBorders>
              <w:top w:val="single" w:sz="8" w:space="0" w:color="AEAEAE"/>
              <w:left w:val="single" w:sz="8" w:space="0" w:color="E0E0E0"/>
              <w:bottom w:val="single" w:sz="8" w:space="0" w:color="AEAEAE"/>
              <w:right w:val="single" w:sz="8" w:space="0" w:color="E0E0E0"/>
            </w:tcBorders>
            <w:hideMark/>
          </w:tcPr>
          <w:p w14:paraId="17FD85D0" w14:textId="77777777" w:rsidR="0091151A" w:rsidRPr="005109A7" w:rsidRDefault="0091151A" w:rsidP="00714E7D">
            <w:pPr>
              <w:jc w:val="right"/>
              <w:rPr>
                <w:rFonts w:ascii="Arial" w:eastAsia="Aptos" w:hAnsi="Arial" w:cs="Arial"/>
              </w:rPr>
            </w:pPr>
            <w:r w:rsidRPr="005109A7">
              <w:rPr>
                <w:rFonts w:ascii="Arial" w:eastAsia="Aptos" w:hAnsi="Arial" w:cs="Arial"/>
              </w:rPr>
              <w:t>7.972</w:t>
            </w:r>
          </w:p>
        </w:tc>
        <w:tc>
          <w:tcPr>
            <w:tcW w:w="316" w:type="pct"/>
            <w:tcBorders>
              <w:top w:val="single" w:sz="8" w:space="0" w:color="AEAEAE"/>
              <w:left w:val="single" w:sz="8" w:space="0" w:color="E0E0E0"/>
              <w:bottom w:val="single" w:sz="8" w:space="0" w:color="AEAEAE"/>
              <w:right w:val="nil"/>
            </w:tcBorders>
            <w:hideMark/>
          </w:tcPr>
          <w:p w14:paraId="74034085" w14:textId="376B3B25"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.000</w:t>
            </w:r>
          </w:p>
        </w:tc>
      </w:tr>
      <w:tr w:rsidR="00F53BF2" w:rsidRPr="00486DCD" w14:paraId="77C4A383" w14:textId="77777777" w:rsidTr="00AF45D1">
        <w:trPr>
          <w:cantSplit/>
        </w:trPr>
        <w:tc>
          <w:tcPr>
            <w:tcW w:w="389" w:type="pct"/>
            <w:vMerge/>
            <w:tcBorders>
              <w:top w:val="single" w:sz="8" w:space="0" w:color="152935"/>
              <w:left w:val="nil"/>
              <w:bottom w:val="single" w:sz="8" w:space="0" w:color="152935"/>
              <w:right w:val="nil"/>
            </w:tcBorders>
            <w:vAlign w:val="center"/>
            <w:hideMark/>
          </w:tcPr>
          <w:p w14:paraId="14C5A6D3" w14:textId="77777777" w:rsidR="0091151A" w:rsidRPr="005109A7" w:rsidRDefault="0091151A" w:rsidP="002B4D1C">
            <w:pPr>
              <w:rPr>
                <w:rFonts w:ascii="Arial" w:eastAsia="Aptos" w:hAnsi="Arial" w:cs="Arial"/>
              </w:rPr>
            </w:pPr>
          </w:p>
        </w:tc>
        <w:tc>
          <w:tcPr>
            <w:tcW w:w="1703" w:type="pct"/>
            <w:tcBorders>
              <w:top w:val="single" w:sz="8" w:space="0" w:color="AEAEAE"/>
              <w:left w:val="nil"/>
              <w:bottom w:val="single" w:sz="8" w:space="0" w:color="AEAEAE"/>
              <w:right w:val="nil"/>
            </w:tcBorders>
            <w:hideMark/>
          </w:tcPr>
          <w:p w14:paraId="7D9DA824" w14:textId="77777777" w:rsidR="0091151A" w:rsidRPr="005109A7" w:rsidRDefault="0091151A" w:rsidP="002B4D1C">
            <w:pPr>
              <w:rPr>
                <w:rFonts w:ascii="Arial" w:eastAsia="Aptos" w:hAnsi="Arial" w:cs="Arial"/>
              </w:rPr>
            </w:pPr>
            <w:r w:rsidRPr="00486DCD">
              <w:rPr>
                <w:rFonts w:ascii="Arial" w:eastAsia="Aptos" w:hAnsi="Arial" w:cs="Arial"/>
              </w:rPr>
              <w:t>Education</w:t>
            </w:r>
          </w:p>
        </w:tc>
        <w:tc>
          <w:tcPr>
            <w:tcW w:w="585" w:type="pct"/>
            <w:tcBorders>
              <w:top w:val="single" w:sz="8" w:space="0" w:color="AEAEAE"/>
              <w:left w:val="nil"/>
              <w:bottom w:val="single" w:sz="8" w:space="0" w:color="AEAEAE"/>
              <w:right w:val="single" w:sz="8" w:space="0" w:color="E0E0E0"/>
            </w:tcBorders>
            <w:hideMark/>
          </w:tcPr>
          <w:p w14:paraId="244875D3" w14:textId="77777777" w:rsidR="0091151A" w:rsidRPr="005109A7" w:rsidRDefault="0091151A" w:rsidP="00714E7D">
            <w:pPr>
              <w:jc w:val="right"/>
              <w:rPr>
                <w:rFonts w:ascii="Arial" w:eastAsia="Aptos" w:hAnsi="Arial" w:cs="Arial"/>
              </w:rPr>
            </w:pPr>
            <w:r w:rsidRPr="005109A7">
              <w:rPr>
                <w:rFonts w:ascii="Arial" w:eastAsia="Aptos" w:hAnsi="Arial" w:cs="Arial"/>
              </w:rPr>
              <w:t>1.253</w:t>
            </w:r>
          </w:p>
        </w:tc>
        <w:tc>
          <w:tcPr>
            <w:tcW w:w="670" w:type="pct"/>
            <w:tcBorders>
              <w:top w:val="single" w:sz="8" w:space="0" w:color="AEAEAE"/>
              <w:left w:val="single" w:sz="8" w:space="0" w:color="E0E0E0"/>
              <w:bottom w:val="single" w:sz="8" w:space="0" w:color="AEAEAE"/>
              <w:right w:val="single" w:sz="8" w:space="0" w:color="E0E0E0"/>
            </w:tcBorders>
            <w:hideMark/>
          </w:tcPr>
          <w:p w14:paraId="0ADCE62A" w14:textId="56946F5A"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.265</w:t>
            </w:r>
          </w:p>
        </w:tc>
        <w:tc>
          <w:tcPr>
            <w:tcW w:w="836" w:type="pct"/>
            <w:tcBorders>
              <w:top w:val="single" w:sz="8" w:space="0" w:color="AEAEAE"/>
              <w:left w:val="single" w:sz="8" w:space="0" w:color="E0E0E0"/>
              <w:bottom w:val="single" w:sz="8" w:space="0" w:color="AEAEAE"/>
              <w:right w:val="single" w:sz="8" w:space="0" w:color="E0E0E0"/>
            </w:tcBorders>
            <w:hideMark/>
          </w:tcPr>
          <w:p w14:paraId="577689CF" w14:textId="47481322"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.259</w:t>
            </w:r>
          </w:p>
        </w:tc>
        <w:tc>
          <w:tcPr>
            <w:tcW w:w="501" w:type="pct"/>
            <w:tcBorders>
              <w:top w:val="single" w:sz="8" w:space="0" w:color="AEAEAE"/>
              <w:left w:val="single" w:sz="8" w:space="0" w:color="E0E0E0"/>
              <w:bottom w:val="single" w:sz="8" w:space="0" w:color="AEAEAE"/>
              <w:right w:val="single" w:sz="8" w:space="0" w:color="E0E0E0"/>
            </w:tcBorders>
            <w:hideMark/>
          </w:tcPr>
          <w:p w14:paraId="7991BF02" w14:textId="77777777" w:rsidR="0091151A" w:rsidRPr="005109A7" w:rsidRDefault="0091151A" w:rsidP="00714E7D">
            <w:pPr>
              <w:jc w:val="right"/>
              <w:rPr>
                <w:rFonts w:ascii="Arial" w:eastAsia="Aptos" w:hAnsi="Arial" w:cs="Arial"/>
              </w:rPr>
            </w:pPr>
            <w:r w:rsidRPr="005109A7">
              <w:rPr>
                <w:rFonts w:ascii="Arial" w:eastAsia="Aptos" w:hAnsi="Arial" w:cs="Arial"/>
              </w:rPr>
              <w:t>4.727</w:t>
            </w:r>
          </w:p>
        </w:tc>
        <w:tc>
          <w:tcPr>
            <w:tcW w:w="316" w:type="pct"/>
            <w:tcBorders>
              <w:top w:val="single" w:sz="8" w:space="0" w:color="AEAEAE"/>
              <w:left w:val="single" w:sz="8" w:space="0" w:color="E0E0E0"/>
              <w:bottom w:val="single" w:sz="8" w:space="0" w:color="AEAEAE"/>
              <w:right w:val="nil"/>
            </w:tcBorders>
            <w:hideMark/>
          </w:tcPr>
          <w:p w14:paraId="6759B6BF" w14:textId="2D9E929C"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.000</w:t>
            </w:r>
          </w:p>
        </w:tc>
      </w:tr>
      <w:tr w:rsidR="00F53BF2" w:rsidRPr="00486DCD" w14:paraId="4B1D870E" w14:textId="77777777" w:rsidTr="00AF45D1">
        <w:trPr>
          <w:cantSplit/>
        </w:trPr>
        <w:tc>
          <w:tcPr>
            <w:tcW w:w="389" w:type="pct"/>
            <w:vMerge/>
            <w:tcBorders>
              <w:top w:val="single" w:sz="8" w:space="0" w:color="152935"/>
              <w:left w:val="nil"/>
              <w:bottom w:val="single" w:sz="8" w:space="0" w:color="152935"/>
              <w:right w:val="nil"/>
            </w:tcBorders>
            <w:vAlign w:val="center"/>
            <w:hideMark/>
          </w:tcPr>
          <w:p w14:paraId="4DC1C888" w14:textId="77777777" w:rsidR="0091151A" w:rsidRPr="005109A7" w:rsidRDefault="0091151A" w:rsidP="002B4D1C">
            <w:pPr>
              <w:rPr>
                <w:rFonts w:ascii="Arial" w:eastAsia="Aptos" w:hAnsi="Arial" w:cs="Arial"/>
              </w:rPr>
            </w:pPr>
          </w:p>
        </w:tc>
        <w:tc>
          <w:tcPr>
            <w:tcW w:w="1703" w:type="pct"/>
            <w:tcBorders>
              <w:top w:val="single" w:sz="8" w:space="0" w:color="AEAEAE"/>
              <w:left w:val="nil"/>
              <w:bottom w:val="single" w:sz="8" w:space="0" w:color="AEAEAE"/>
              <w:right w:val="nil"/>
            </w:tcBorders>
            <w:hideMark/>
          </w:tcPr>
          <w:p w14:paraId="1E36F1A2" w14:textId="77777777" w:rsidR="0091151A" w:rsidRPr="005109A7" w:rsidRDefault="0091151A" w:rsidP="002B4D1C">
            <w:pPr>
              <w:rPr>
                <w:rFonts w:ascii="Arial" w:eastAsia="Aptos" w:hAnsi="Arial" w:cs="Arial"/>
              </w:rPr>
            </w:pPr>
            <w:r w:rsidRPr="00486DCD">
              <w:rPr>
                <w:rFonts w:ascii="Arial" w:eastAsia="Aptos" w:hAnsi="Arial" w:cs="Arial"/>
              </w:rPr>
              <w:t>Income</w:t>
            </w:r>
          </w:p>
        </w:tc>
        <w:tc>
          <w:tcPr>
            <w:tcW w:w="585" w:type="pct"/>
            <w:tcBorders>
              <w:top w:val="single" w:sz="8" w:space="0" w:color="AEAEAE"/>
              <w:left w:val="nil"/>
              <w:bottom w:val="single" w:sz="8" w:space="0" w:color="AEAEAE"/>
              <w:right w:val="single" w:sz="8" w:space="0" w:color="E0E0E0"/>
            </w:tcBorders>
            <w:hideMark/>
          </w:tcPr>
          <w:p w14:paraId="3CE0A0BA" w14:textId="6DBB4E8B"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.031</w:t>
            </w:r>
          </w:p>
        </w:tc>
        <w:tc>
          <w:tcPr>
            <w:tcW w:w="670" w:type="pct"/>
            <w:tcBorders>
              <w:top w:val="single" w:sz="8" w:space="0" w:color="AEAEAE"/>
              <w:left w:val="single" w:sz="8" w:space="0" w:color="E0E0E0"/>
              <w:bottom w:val="single" w:sz="8" w:space="0" w:color="AEAEAE"/>
              <w:right w:val="single" w:sz="8" w:space="0" w:color="E0E0E0"/>
            </w:tcBorders>
            <w:hideMark/>
          </w:tcPr>
          <w:p w14:paraId="1082E759" w14:textId="1780A75D"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.094</w:t>
            </w:r>
          </w:p>
        </w:tc>
        <w:tc>
          <w:tcPr>
            <w:tcW w:w="836" w:type="pct"/>
            <w:tcBorders>
              <w:top w:val="single" w:sz="8" w:space="0" w:color="AEAEAE"/>
              <w:left w:val="single" w:sz="8" w:space="0" w:color="E0E0E0"/>
              <w:bottom w:val="single" w:sz="8" w:space="0" w:color="AEAEAE"/>
              <w:right w:val="single" w:sz="8" w:space="0" w:color="E0E0E0"/>
            </w:tcBorders>
            <w:hideMark/>
          </w:tcPr>
          <w:p w14:paraId="08F20AC4" w14:textId="2AE8FD3F"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.015</w:t>
            </w:r>
          </w:p>
        </w:tc>
        <w:tc>
          <w:tcPr>
            <w:tcW w:w="501" w:type="pct"/>
            <w:tcBorders>
              <w:top w:val="single" w:sz="8" w:space="0" w:color="AEAEAE"/>
              <w:left w:val="single" w:sz="8" w:space="0" w:color="E0E0E0"/>
              <w:bottom w:val="single" w:sz="8" w:space="0" w:color="AEAEAE"/>
              <w:right w:val="single" w:sz="8" w:space="0" w:color="E0E0E0"/>
            </w:tcBorders>
            <w:hideMark/>
          </w:tcPr>
          <w:p w14:paraId="4893B4FA" w14:textId="62A14607"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.331</w:t>
            </w:r>
          </w:p>
        </w:tc>
        <w:tc>
          <w:tcPr>
            <w:tcW w:w="316" w:type="pct"/>
            <w:tcBorders>
              <w:top w:val="single" w:sz="8" w:space="0" w:color="AEAEAE"/>
              <w:left w:val="single" w:sz="8" w:space="0" w:color="E0E0E0"/>
              <w:bottom w:val="single" w:sz="8" w:space="0" w:color="AEAEAE"/>
              <w:right w:val="nil"/>
            </w:tcBorders>
            <w:hideMark/>
          </w:tcPr>
          <w:p w14:paraId="6592C85D" w14:textId="237DD69A"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.741</w:t>
            </w:r>
          </w:p>
        </w:tc>
      </w:tr>
      <w:tr w:rsidR="00F53BF2" w:rsidRPr="00486DCD" w14:paraId="1BD6F461" w14:textId="77777777" w:rsidTr="00AF45D1">
        <w:trPr>
          <w:cantSplit/>
        </w:trPr>
        <w:tc>
          <w:tcPr>
            <w:tcW w:w="389" w:type="pct"/>
            <w:vMerge/>
            <w:tcBorders>
              <w:top w:val="single" w:sz="8" w:space="0" w:color="152935"/>
              <w:left w:val="nil"/>
              <w:bottom w:val="single" w:sz="8" w:space="0" w:color="152935"/>
              <w:right w:val="nil"/>
            </w:tcBorders>
            <w:vAlign w:val="center"/>
            <w:hideMark/>
          </w:tcPr>
          <w:p w14:paraId="46D2F3CF" w14:textId="77777777" w:rsidR="0091151A" w:rsidRPr="005109A7" w:rsidRDefault="0091151A" w:rsidP="002B4D1C">
            <w:pPr>
              <w:rPr>
                <w:rFonts w:ascii="Arial" w:eastAsia="Aptos" w:hAnsi="Arial" w:cs="Arial"/>
              </w:rPr>
            </w:pPr>
          </w:p>
        </w:tc>
        <w:tc>
          <w:tcPr>
            <w:tcW w:w="1703" w:type="pct"/>
            <w:tcBorders>
              <w:top w:val="single" w:sz="8" w:space="0" w:color="AEAEAE"/>
              <w:left w:val="nil"/>
              <w:bottom w:val="single" w:sz="8" w:space="0" w:color="AEAEAE"/>
              <w:right w:val="nil"/>
            </w:tcBorders>
            <w:hideMark/>
          </w:tcPr>
          <w:p w14:paraId="25E0303B" w14:textId="77777777" w:rsidR="0091151A" w:rsidRPr="005109A7" w:rsidRDefault="0091151A" w:rsidP="002B4D1C">
            <w:pPr>
              <w:rPr>
                <w:rFonts w:ascii="Arial" w:eastAsia="Aptos" w:hAnsi="Arial" w:cs="Arial"/>
              </w:rPr>
            </w:pPr>
            <w:r w:rsidRPr="00486DCD">
              <w:rPr>
                <w:rFonts w:ascii="Arial" w:eastAsia="Aptos" w:hAnsi="Arial" w:cs="Arial"/>
              </w:rPr>
              <w:t>Primary</w:t>
            </w:r>
            <w:r w:rsidRPr="005109A7">
              <w:rPr>
                <w:rFonts w:ascii="Arial" w:eastAsia="Aptos" w:hAnsi="Arial" w:cs="Arial"/>
              </w:rPr>
              <w:t xml:space="preserve"> source of income</w:t>
            </w:r>
          </w:p>
        </w:tc>
        <w:tc>
          <w:tcPr>
            <w:tcW w:w="585" w:type="pct"/>
            <w:tcBorders>
              <w:top w:val="single" w:sz="8" w:space="0" w:color="AEAEAE"/>
              <w:left w:val="nil"/>
              <w:bottom w:val="single" w:sz="8" w:space="0" w:color="AEAEAE"/>
              <w:right w:val="single" w:sz="8" w:space="0" w:color="E0E0E0"/>
            </w:tcBorders>
            <w:hideMark/>
          </w:tcPr>
          <w:p w14:paraId="24A70DB8" w14:textId="45C12634"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.531</w:t>
            </w:r>
          </w:p>
        </w:tc>
        <w:tc>
          <w:tcPr>
            <w:tcW w:w="670" w:type="pct"/>
            <w:tcBorders>
              <w:top w:val="single" w:sz="8" w:space="0" w:color="AEAEAE"/>
              <w:left w:val="single" w:sz="8" w:space="0" w:color="E0E0E0"/>
              <w:bottom w:val="single" w:sz="8" w:space="0" w:color="AEAEAE"/>
              <w:right w:val="single" w:sz="8" w:space="0" w:color="E0E0E0"/>
            </w:tcBorders>
            <w:hideMark/>
          </w:tcPr>
          <w:p w14:paraId="37C60DDB" w14:textId="18697D66"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.129</w:t>
            </w:r>
          </w:p>
        </w:tc>
        <w:tc>
          <w:tcPr>
            <w:tcW w:w="836" w:type="pct"/>
            <w:tcBorders>
              <w:top w:val="single" w:sz="8" w:space="0" w:color="AEAEAE"/>
              <w:left w:val="single" w:sz="8" w:space="0" w:color="E0E0E0"/>
              <w:bottom w:val="single" w:sz="8" w:space="0" w:color="AEAEAE"/>
              <w:right w:val="single" w:sz="8" w:space="0" w:color="E0E0E0"/>
            </w:tcBorders>
            <w:hideMark/>
          </w:tcPr>
          <w:p w14:paraId="440E655F" w14:textId="473DDA35"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.232</w:t>
            </w:r>
          </w:p>
        </w:tc>
        <w:tc>
          <w:tcPr>
            <w:tcW w:w="501" w:type="pct"/>
            <w:tcBorders>
              <w:top w:val="single" w:sz="8" w:space="0" w:color="AEAEAE"/>
              <w:left w:val="single" w:sz="8" w:space="0" w:color="E0E0E0"/>
              <w:bottom w:val="single" w:sz="8" w:space="0" w:color="AEAEAE"/>
              <w:right w:val="single" w:sz="8" w:space="0" w:color="E0E0E0"/>
            </w:tcBorders>
            <w:hideMark/>
          </w:tcPr>
          <w:p w14:paraId="7753CD0B" w14:textId="77777777" w:rsidR="0091151A" w:rsidRPr="005109A7" w:rsidRDefault="0091151A" w:rsidP="00714E7D">
            <w:pPr>
              <w:jc w:val="right"/>
              <w:rPr>
                <w:rFonts w:ascii="Arial" w:eastAsia="Aptos" w:hAnsi="Arial" w:cs="Arial"/>
              </w:rPr>
            </w:pPr>
            <w:r w:rsidRPr="005109A7">
              <w:rPr>
                <w:rFonts w:ascii="Arial" w:eastAsia="Aptos" w:hAnsi="Arial" w:cs="Arial"/>
              </w:rPr>
              <w:t>4.125</w:t>
            </w:r>
          </w:p>
        </w:tc>
        <w:tc>
          <w:tcPr>
            <w:tcW w:w="316" w:type="pct"/>
            <w:tcBorders>
              <w:top w:val="single" w:sz="8" w:space="0" w:color="AEAEAE"/>
              <w:left w:val="single" w:sz="8" w:space="0" w:color="E0E0E0"/>
              <w:bottom w:val="single" w:sz="8" w:space="0" w:color="AEAEAE"/>
              <w:right w:val="nil"/>
            </w:tcBorders>
            <w:hideMark/>
          </w:tcPr>
          <w:p w14:paraId="64EE0F89" w14:textId="508899B7"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.000</w:t>
            </w:r>
          </w:p>
        </w:tc>
      </w:tr>
      <w:tr w:rsidR="00F53BF2" w:rsidRPr="00486DCD" w14:paraId="5BA594AF" w14:textId="77777777" w:rsidTr="00AF45D1">
        <w:trPr>
          <w:cantSplit/>
        </w:trPr>
        <w:tc>
          <w:tcPr>
            <w:tcW w:w="389" w:type="pct"/>
            <w:vMerge/>
            <w:tcBorders>
              <w:top w:val="single" w:sz="8" w:space="0" w:color="152935"/>
              <w:left w:val="nil"/>
              <w:bottom w:val="single" w:sz="8" w:space="0" w:color="152935"/>
              <w:right w:val="nil"/>
            </w:tcBorders>
            <w:vAlign w:val="center"/>
            <w:hideMark/>
          </w:tcPr>
          <w:p w14:paraId="2069FF83" w14:textId="77777777" w:rsidR="0091151A" w:rsidRPr="005109A7" w:rsidRDefault="0091151A" w:rsidP="002B4D1C">
            <w:pPr>
              <w:rPr>
                <w:rFonts w:ascii="Arial" w:eastAsia="Aptos" w:hAnsi="Arial" w:cs="Arial"/>
              </w:rPr>
            </w:pPr>
          </w:p>
        </w:tc>
        <w:tc>
          <w:tcPr>
            <w:tcW w:w="1703" w:type="pct"/>
            <w:tcBorders>
              <w:top w:val="single" w:sz="8" w:space="0" w:color="AEAEAE"/>
              <w:left w:val="nil"/>
              <w:bottom w:val="single" w:sz="8" w:space="0" w:color="AEAEAE"/>
              <w:right w:val="nil"/>
            </w:tcBorders>
            <w:hideMark/>
          </w:tcPr>
          <w:p w14:paraId="1D7C0900" w14:textId="77777777" w:rsidR="0091151A" w:rsidRPr="005109A7" w:rsidRDefault="0091151A" w:rsidP="002B4D1C">
            <w:pPr>
              <w:rPr>
                <w:rFonts w:ascii="Arial" w:eastAsia="Aptos" w:hAnsi="Arial" w:cs="Arial"/>
              </w:rPr>
            </w:pPr>
            <w:r w:rsidRPr="00486DCD">
              <w:rPr>
                <w:rFonts w:ascii="Arial" w:eastAsia="Aptos" w:hAnsi="Arial" w:cs="Arial"/>
              </w:rPr>
              <w:t>Dwelling type</w:t>
            </w:r>
          </w:p>
        </w:tc>
        <w:tc>
          <w:tcPr>
            <w:tcW w:w="585" w:type="pct"/>
            <w:tcBorders>
              <w:top w:val="single" w:sz="8" w:space="0" w:color="AEAEAE"/>
              <w:left w:val="nil"/>
              <w:bottom w:val="single" w:sz="8" w:space="0" w:color="AEAEAE"/>
              <w:right w:val="single" w:sz="8" w:space="0" w:color="E0E0E0"/>
            </w:tcBorders>
            <w:hideMark/>
          </w:tcPr>
          <w:p w14:paraId="3A72189F" w14:textId="1DE36E89" w:rsidR="0091151A" w:rsidRPr="005109A7" w:rsidRDefault="0091151A" w:rsidP="00714E7D">
            <w:pPr>
              <w:jc w:val="right"/>
              <w:rPr>
                <w:rFonts w:ascii="Arial" w:eastAsia="Aptos" w:hAnsi="Arial" w:cs="Arial"/>
              </w:rPr>
            </w:pPr>
            <w:r w:rsidRPr="005109A7">
              <w:rPr>
                <w:rFonts w:ascii="Arial" w:eastAsia="Aptos" w:hAnsi="Arial" w:cs="Arial"/>
              </w:rPr>
              <w:t>-</w:t>
            </w:r>
            <w:r w:rsidR="00A76EB7" w:rsidRPr="00486DCD">
              <w:rPr>
                <w:rFonts w:ascii="Arial" w:eastAsia="Aptos" w:hAnsi="Arial" w:cs="Arial"/>
              </w:rPr>
              <w:t>0</w:t>
            </w:r>
            <w:r w:rsidRPr="005109A7">
              <w:rPr>
                <w:rFonts w:ascii="Arial" w:eastAsia="Aptos" w:hAnsi="Arial" w:cs="Arial"/>
              </w:rPr>
              <w:t>.260</w:t>
            </w:r>
          </w:p>
        </w:tc>
        <w:tc>
          <w:tcPr>
            <w:tcW w:w="670" w:type="pct"/>
            <w:tcBorders>
              <w:top w:val="single" w:sz="8" w:space="0" w:color="AEAEAE"/>
              <w:left w:val="single" w:sz="8" w:space="0" w:color="E0E0E0"/>
              <w:bottom w:val="single" w:sz="8" w:space="0" w:color="AEAEAE"/>
              <w:right w:val="single" w:sz="8" w:space="0" w:color="E0E0E0"/>
            </w:tcBorders>
            <w:hideMark/>
          </w:tcPr>
          <w:p w14:paraId="46275A83" w14:textId="21FC70EC"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.086</w:t>
            </w:r>
          </w:p>
        </w:tc>
        <w:tc>
          <w:tcPr>
            <w:tcW w:w="836" w:type="pct"/>
            <w:tcBorders>
              <w:top w:val="single" w:sz="8" w:space="0" w:color="AEAEAE"/>
              <w:left w:val="single" w:sz="8" w:space="0" w:color="E0E0E0"/>
              <w:bottom w:val="single" w:sz="8" w:space="0" w:color="AEAEAE"/>
              <w:right w:val="single" w:sz="8" w:space="0" w:color="E0E0E0"/>
            </w:tcBorders>
            <w:hideMark/>
          </w:tcPr>
          <w:p w14:paraId="6EC829C1" w14:textId="2403F795" w:rsidR="0091151A" w:rsidRPr="005109A7" w:rsidRDefault="0091151A" w:rsidP="00714E7D">
            <w:pPr>
              <w:jc w:val="right"/>
              <w:rPr>
                <w:rFonts w:ascii="Arial" w:eastAsia="Aptos" w:hAnsi="Arial" w:cs="Arial"/>
              </w:rPr>
            </w:pPr>
            <w:r w:rsidRPr="005109A7">
              <w:rPr>
                <w:rFonts w:ascii="Arial" w:eastAsia="Aptos" w:hAnsi="Arial" w:cs="Arial"/>
              </w:rPr>
              <w:t>-</w:t>
            </w:r>
            <w:r w:rsidR="00A76EB7" w:rsidRPr="00486DCD">
              <w:rPr>
                <w:rFonts w:ascii="Arial" w:eastAsia="Aptos" w:hAnsi="Arial" w:cs="Arial"/>
              </w:rPr>
              <w:t>0</w:t>
            </w:r>
            <w:r w:rsidRPr="005109A7">
              <w:rPr>
                <w:rFonts w:ascii="Arial" w:eastAsia="Aptos" w:hAnsi="Arial" w:cs="Arial"/>
              </w:rPr>
              <w:t>.152</w:t>
            </w:r>
          </w:p>
        </w:tc>
        <w:tc>
          <w:tcPr>
            <w:tcW w:w="501" w:type="pct"/>
            <w:tcBorders>
              <w:top w:val="single" w:sz="8" w:space="0" w:color="AEAEAE"/>
              <w:left w:val="single" w:sz="8" w:space="0" w:color="E0E0E0"/>
              <w:bottom w:val="single" w:sz="8" w:space="0" w:color="AEAEAE"/>
              <w:right w:val="single" w:sz="8" w:space="0" w:color="E0E0E0"/>
            </w:tcBorders>
            <w:hideMark/>
          </w:tcPr>
          <w:p w14:paraId="0FF6CCF9" w14:textId="77777777" w:rsidR="0091151A" w:rsidRPr="005109A7" w:rsidRDefault="0091151A" w:rsidP="00714E7D">
            <w:pPr>
              <w:jc w:val="right"/>
              <w:rPr>
                <w:rFonts w:ascii="Arial" w:eastAsia="Aptos" w:hAnsi="Arial" w:cs="Arial"/>
              </w:rPr>
            </w:pPr>
            <w:r w:rsidRPr="005109A7">
              <w:rPr>
                <w:rFonts w:ascii="Arial" w:eastAsia="Aptos" w:hAnsi="Arial" w:cs="Arial"/>
              </w:rPr>
              <w:t>-3.031</w:t>
            </w:r>
          </w:p>
        </w:tc>
        <w:tc>
          <w:tcPr>
            <w:tcW w:w="316" w:type="pct"/>
            <w:tcBorders>
              <w:top w:val="single" w:sz="8" w:space="0" w:color="AEAEAE"/>
              <w:left w:val="single" w:sz="8" w:space="0" w:color="E0E0E0"/>
              <w:bottom w:val="single" w:sz="8" w:space="0" w:color="AEAEAE"/>
              <w:right w:val="nil"/>
            </w:tcBorders>
            <w:hideMark/>
          </w:tcPr>
          <w:p w14:paraId="0A2229AD" w14:textId="197C4C52"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.003</w:t>
            </w:r>
          </w:p>
        </w:tc>
      </w:tr>
      <w:tr w:rsidR="00F53BF2" w:rsidRPr="00486DCD" w14:paraId="21F399E2" w14:textId="77777777" w:rsidTr="00AF45D1">
        <w:trPr>
          <w:cantSplit/>
          <w:trHeight w:val="335"/>
        </w:trPr>
        <w:tc>
          <w:tcPr>
            <w:tcW w:w="389" w:type="pct"/>
            <w:vMerge/>
            <w:tcBorders>
              <w:top w:val="single" w:sz="8" w:space="0" w:color="152935"/>
              <w:left w:val="nil"/>
              <w:bottom w:val="single" w:sz="8" w:space="0" w:color="152935"/>
              <w:right w:val="nil"/>
            </w:tcBorders>
            <w:vAlign w:val="center"/>
            <w:hideMark/>
          </w:tcPr>
          <w:p w14:paraId="7A45D84F" w14:textId="77777777" w:rsidR="0091151A" w:rsidRPr="005109A7" w:rsidRDefault="0091151A" w:rsidP="002B4D1C">
            <w:pPr>
              <w:rPr>
                <w:rFonts w:ascii="Arial" w:eastAsia="Aptos" w:hAnsi="Arial" w:cs="Arial"/>
              </w:rPr>
            </w:pPr>
          </w:p>
        </w:tc>
        <w:tc>
          <w:tcPr>
            <w:tcW w:w="1703" w:type="pct"/>
            <w:tcBorders>
              <w:top w:val="single" w:sz="8" w:space="0" w:color="AEAEAE"/>
              <w:left w:val="nil"/>
              <w:bottom w:val="single" w:sz="8" w:space="0" w:color="AEAEAE"/>
              <w:right w:val="nil"/>
            </w:tcBorders>
            <w:hideMark/>
          </w:tcPr>
          <w:p w14:paraId="64884DA0" w14:textId="77777777" w:rsidR="0091151A" w:rsidRPr="005109A7" w:rsidRDefault="0091151A" w:rsidP="002B4D1C">
            <w:pPr>
              <w:rPr>
                <w:rFonts w:ascii="Arial" w:eastAsia="Aptos" w:hAnsi="Arial" w:cs="Arial"/>
              </w:rPr>
            </w:pPr>
            <w:r w:rsidRPr="00486DCD">
              <w:rPr>
                <w:rFonts w:ascii="Arial" w:eastAsia="Aptos" w:hAnsi="Arial" w:cs="Arial"/>
              </w:rPr>
              <w:t>Cooking Energy Source</w:t>
            </w:r>
          </w:p>
        </w:tc>
        <w:tc>
          <w:tcPr>
            <w:tcW w:w="585" w:type="pct"/>
            <w:tcBorders>
              <w:top w:val="single" w:sz="8" w:space="0" w:color="AEAEAE"/>
              <w:left w:val="nil"/>
              <w:bottom w:val="single" w:sz="8" w:space="0" w:color="AEAEAE"/>
              <w:right w:val="single" w:sz="8" w:space="0" w:color="E0E0E0"/>
            </w:tcBorders>
            <w:hideMark/>
          </w:tcPr>
          <w:p w14:paraId="5C16E7F0" w14:textId="391448D9"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.153</w:t>
            </w:r>
          </w:p>
        </w:tc>
        <w:tc>
          <w:tcPr>
            <w:tcW w:w="670" w:type="pct"/>
            <w:tcBorders>
              <w:top w:val="single" w:sz="8" w:space="0" w:color="AEAEAE"/>
              <w:left w:val="single" w:sz="8" w:space="0" w:color="E0E0E0"/>
              <w:bottom w:val="single" w:sz="8" w:space="0" w:color="AEAEAE"/>
              <w:right w:val="single" w:sz="8" w:space="0" w:color="E0E0E0"/>
            </w:tcBorders>
            <w:hideMark/>
          </w:tcPr>
          <w:p w14:paraId="75CCC2D8" w14:textId="6C84D06B"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.156</w:t>
            </w:r>
          </w:p>
        </w:tc>
        <w:tc>
          <w:tcPr>
            <w:tcW w:w="836" w:type="pct"/>
            <w:tcBorders>
              <w:top w:val="single" w:sz="8" w:space="0" w:color="AEAEAE"/>
              <w:left w:val="single" w:sz="8" w:space="0" w:color="E0E0E0"/>
              <w:bottom w:val="single" w:sz="8" w:space="0" w:color="AEAEAE"/>
              <w:right w:val="single" w:sz="8" w:space="0" w:color="E0E0E0"/>
            </w:tcBorders>
            <w:hideMark/>
          </w:tcPr>
          <w:p w14:paraId="4B5BBE72" w14:textId="10BFAAB1"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.047</w:t>
            </w:r>
          </w:p>
        </w:tc>
        <w:tc>
          <w:tcPr>
            <w:tcW w:w="501" w:type="pct"/>
            <w:tcBorders>
              <w:top w:val="single" w:sz="8" w:space="0" w:color="AEAEAE"/>
              <w:left w:val="single" w:sz="8" w:space="0" w:color="E0E0E0"/>
              <w:bottom w:val="single" w:sz="8" w:space="0" w:color="AEAEAE"/>
              <w:right w:val="single" w:sz="8" w:space="0" w:color="E0E0E0"/>
            </w:tcBorders>
            <w:hideMark/>
          </w:tcPr>
          <w:p w14:paraId="19A5FD7F" w14:textId="60086A1C"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.981</w:t>
            </w:r>
          </w:p>
        </w:tc>
        <w:tc>
          <w:tcPr>
            <w:tcW w:w="316" w:type="pct"/>
            <w:tcBorders>
              <w:top w:val="single" w:sz="8" w:space="0" w:color="AEAEAE"/>
              <w:left w:val="single" w:sz="8" w:space="0" w:color="E0E0E0"/>
              <w:bottom w:val="single" w:sz="8" w:space="0" w:color="AEAEAE"/>
              <w:right w:val="nil"/>
            </w:tcBorders>
            <w:hideMark/>
          </w:tcPr>
          <w:p w14:paraId="0FFAC210" w14:textId="2D8D1C1D"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.327</w:t>
            </w:r>
          </w:p>
        </w:tc>
      </w:tr>
      <w:tr w:rsidR="00F53BF2" w:rsidRPr="00486DCD" w14:paraId="572CB40B" w14:textId="77777777" w:rsidTr="00AF45D1">
        <w:trPr>
          <w:cantSplit/>
        </w:trPr>
        <w:tc>
          <w:tcPr>
            <w:tcW w:w="389" w:type="pct"/>
            <w:vMerge/>
            <w:tcBorders>
              <w:top w:val="single" w:sz="8" w:space="0" w:color="152935"/>
              <w:left w:val="nil"/>
              <w:bottom w:val="single" w:sz="8" w:space="0" w:color="152935"/>
              <w:right w:val="nil"/>
            </w:tcBorders>
            <w:vAlign w:val="center"/>
            <w:hideMark/>
          </w:tcPr>
          <w:p w14:paraId="1963442D" w14:textId="77777777" w:rsidR="0091151A" w:rsidRPr="005109A7" w:rsidRDefault="0091151A" w:rsidP="002B4D1C">
            <w:pPr>
              <w:rPr>
                <w:rFonts w:ascii="Arial" w:eastAsia="Aptos" w:hAnsi="Arial" w:cs="Arial"/>
              </w:rPr>
            </w:pPr>
          </w:p>
        </w:tc>
        <w:tc>
          <w:tcPr>
            <w:tcW w:w="1703" w:type="pct"/>
            <w:tcBorders>
              <w:top w:val="single" w:sz="8" w:space="0" w:color="AEAEAE"/>
              <w:left w:val="nil"/>
              <w:bottom w:val="single" w:sz="8" w:space="0" w:color="152935"/>
              <w:right w:val="nil"/>
            </w:tcBorders>
            <w:hideMark/>
          </w:tcPr>
          <w:p w14:paraId="103B3A5B" w14:textId="77777777" w:rsidR="0091151A" w:rsidRPr="005109A7" w:rsidRDefault="0091151A" w:rsidP="002B4D1C">
            <w:pPr>
              <w:rPr>
                <w:rFonts w:ascii="Arial" w:eastAsia="Aptos" w:hAnsi="Arial" w:cs="Arial"/>
              </w:rPr>
            </w:pPr>
            <w:r w:rsidRPr="00486DCD">
              <w:rPr>
                <w:rFonts w:ascii="Arial" w:eastAsia="Aptos" w:hAnsi="Arial" w:cs="Arial"/>
              </w:rPr>
              <w:t>Transportation Mode</w:t>
            </w:r>
          </w:p>
        </w:tc>
        <w:tc>
          <w:tcPr>
            <w:tcW w:w="585" w:type="pct"/>
            <w:tcBorders>
              <w:top w:val="single" w:sz="8" w:space="0" w:color="AEAEAE"/>
              <w:left w:val="nil"/>
              <w:bottom w:val="single" w:sz="8" w:space="0" w:color="152935"/>
              <w:right w:val="single" w:sz="8" w:space="0" w:color="E0E0E0"/>
            </w:tcBorders>
            <w:hideMark/>
          </w:tcPr>
          <w:p w14:paraId="4B3A7DE3" w14:textId="5A3B86D2"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.959</w:t>
            </w:r>
          </w:p>
        </w:tc>
        <w:tc>
          <w:tcPr>
            <w:tcW w:w="670" w:type="pct"/>
            <w:tcBorders>
              <w:top w:val="single" w:sz="8" w:space="0" w:color="AEAEAE"/>
              <w:left w:val="single" w:sz="8" w:space="0" w:color="E0E0E0"/>
              <w:bottom w:val="single" w:sz="8" w:space="0" w:color="152935"/>
              <w:right w:val="single" w:sz="8" w:space="0" w:color="E0E0E0"/>
            </w:tcBorders>
            <w:hideMark/>
          </w:tcPr>
          <w:p w14:paraId="1DFC5C96" w14:textId="3E3C8C09"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.204</w:t>
            </w:r>
          </w:p>
        </w:tc>
        <w:tc>
          <w:tcPr>
            <w:tcW w:w="836" w:type="pct"/>
            <w:tcBorders>
              <w:top w:val="single" w:sz="8" w:space="0" w:color="AEAEAE"/>
              <w:left w:val="single" w:sz="8" w:space="0" w:color="E0E0E0"/>
              <w:bottom w:val="single" w:sz="8" w:space="0" w:color="152935"/>
              <w:right w:val="single" w:sz="8" w:space="0" w:color="E0E0E0"/>
            </w:tcBorders>
            <w:hideMark/>
          </w:tcPr>
          <w:p w14:paraId="7578A847" w14:textId="33D51627"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.273</w:t>
            </w:r>
          </w:p>
        </w:tc>
        <w:tc>
          <w:tcPr>
            <w:tcW w:w="501" w:type="pct"/>
            <w:tcBorders>
              <w:top w:val="single" w:sz="8" w:space="0" w:color="AEAEAE"/>
              <w:left w:val="single" w:sz="8" w:space="0" w:color="E0E0E0"/>
              <w:bottom w:val="single" w:sz="8" w:space="0" w:color="152935"/>
              <w:right w:val="single" w:sz="8" w:space="0" w:color="E0E0E0"/>
            </w:tcBorders>
            <w:hideMark/>
          </w:tcPr>
          <w:p w14:paraId="30DC9811" w14:textId="77777777" w:rsidR="0091151A" w:rsidRPr="005109A7" w:rsidRDefault="0091151A" w:rsidP="00714E7D">
            <w:pPr>
              <w:jc w:val="right"/>
              <w:rPr>
                <w:rFonts w:ascii="Arial" w:eastAsia="Aptos" w:hAnsi="Arial" w:cs="Arial"/>
              </w:rPr>
            </w:pPr>
            <w:r w:rsidRPr="005109A7">
              <w:rPr>
                <w:rFonts w:ascii="Arial" w:eastAsia="Aptos" w:hAnsi="Arial" w:cs="Arial"/>
              </w:rPr>
              <w:t>4.696</w:t>
            </w:r>
          </w:p>
        </w:tc>
        <w:tc>
          <w:tcPr>
            <w:tcW w:w="316" w:type="pct"/>
            <w:tcBorders>
              <w:top w:val="single" w:sz="8" w:space="0" w:color="AEAEAE"/>
              <w:left w:val="single" w:sz="8" w:space="0" w:color="E0E0E0"/>
              <w:bottom w:val="single" w:sz="8" w:space="0" w:color="152935"/>
              <w:right w:val="nil"/>
            </w:tcBorders>
            <w:hideMark/>
          </w:tcPr>
          <w:p w14:paraId="19C289C9" w14:textId="3DDB9FC5" w:rsidR="0091151A" w:rsidRPr="005109A7" w:rsidRDefault="00A76EB7" w:rsidP="00714E7D">
            <w:pPr>
              <w:jc w:val="right"/>
              <w:rPr>
                <w:rFonts w:ascii="Arial" w:eastAsia="Aptos" w:hAnsi="Arial" w:cs="Arial"/>
              </w:rPr>
            </w:pPr>
            <w:r w:rsidRPr="00486DCD">
              <w:rPr>
                <w:rFonts w:ascii="Arial" w:eastAsia="Aptos" w:hAnsi="Arial" w:cs="Arial"/>
              </w:rPr>
              <w:t>0</w:t>
            </w:r>
            <w:r w:rsidR="0091151A" w:rsidRPr="005109A7">
              <w:rPr>
                <w:rFonts w:ascii="Arial" w:eastAsia="Aptos" w:hAnsi="Arial" w:cs="Arial"/>
              </w:rPr>
              <w:t>.000</w:t>
            </w:r>
          </w:p>
        </w:tc>
      </w:tr>
      <w:tr w:rsidR="0091151A" w:rsidRPr="005109A7" w14:paraId="553CDAEE" w14:textId="77777777" w:rsidTr="00F53BF2">
        <w:trPr>
          <w:cantSplit/>
        </w:trPr>
        <w:tc>
          <w:tcPr>
            <w:tcW w:w="5000" w:type="pct"/>
            <w:gridSpan w:val="7"/>
            <w:tcBorders>
              <w:top w:val="nil"/>
              <w:left w:val="nil"/>
              <w:bottom w:val="nil"/>
              <w:right w:val="nil"/>
            </w:tcBorders>
            <w:hideMark/>
          </w:tcPr>
          <w:p w14:paraId="6903E389" w14:textId="77777777" w:rsidR="0091151A" w:rsidRPr="005109A7" w:rsidRDefault="0091151A" w:rsidP="002B4D1C">
            <w:pPr>
              <w:rPr>
                <w:rFonts w:ascii="Arial" w:eastAsia="Aptos" w:hAnsi="Arial" w:cs="Arial"/>
                <w:i/>
                <w:iCs/>
              </w:rPr>
            </w:pPr>
            <w:r w:rsidRPr="005109A7">
              <w:rPr>
                <w:rFonts w:ascii="Arial" w:eastAsia="Aptos" w:hAnsi="Arial" w:cs="Arial"/>
                <w:i/>
                <w:iCs/>
              </w:rPr>
              <w:t xml:space="preserve">a. Dependent Variable: </w:t>
            </w:r>
            <w:r w:rsidRPr="005109A7">
              <w:rPr>
                <w:rFonts w:ascii="Arial" w:eastAsia="Calibri" w:hAnsi="Arial" w:cs="Arial"/>
                <w:i/>
                <w:iCs/>
              </w:rPr>
              <w:t>Household Energy Consumption</w:t>
            </w:r>
          </w:p>
        </w:tc>
      </w:tr>
    </w:tbl>
    <w:p w14:paraId="1AA7C656" w14:textId="77777777" w:rsidR="0091151A" w:rsidRPr="005109A7" w:rsidRDefault="0091151A" w:rsidP="0091151A">
      <w:pPr>
        <w:rPr>
          <w:rFonts w:ascii="Arial" w:eastAsia="Aptos" w:hAnsi="Arial" w:cs="Arial"/>
          <w:b/>
          <w:bCs/>
        </w:rPr>
      </w:pPr>
    </w:p>
    <w:p w14:paraId="31709DF8" w14:textId="77777777" w:rsidR="0091151A" w:rsidRPr="00243692" w:rsidRDefault="0091151A" w:rsidP="00180BA8">
      <w:pPr>
        <w:spacing w:after="200"/>
        <w:jc w:val="both"/>
        <w:rPr>
          <w:rFonts w:ascii="Arial" w:eastAsia="Aptos" w:hAnsi="Arial" w:cs="Arial"/>
          <w:sz w:val="24"/>
          <w:szCs w:val="24"/>
        </w:rPr>
      </w:pPr>
      <w:r w:rsidRPr="00243692">
        <w:rPr>
          <w:rFonts w:ascii="Arial" w:eastAsia="Aptos" w:hAnsi="Arial" w:cs="Arial"/>
          <w:sz w:val="24"/>
          <w:szCs w:val="24"/>
        </w:rPr>
        <w:t>Socio-demographic characteristics such as household size, education, income stability, and transport mode significantly affect energy use, while income alone and cooking source do not. These findings underline the multi-dimensional drivers of household energy demand and the need for integrated policies that account for social as well as technical factors.</w:t>
      </w:r>
    </w:p>
    <w:p w14:paraId="2F523445" w14:textId="77777777" w:rsidR="0091151A" w:rsidRPr="00243692" w:rsidRDefault="0091151A" w:rsidP="00180BA8">
      <w:pPr>
        <w:spacing w:after="200"/>
        <w:outlineLvl w:val="0"/>
        <w:rPr>
          <w:rFonts w:ascii="Arial" w:eastAsia="Aptos" w:hAnsi="Arial" w:cs="Arial"/>
          <w:b/>
          <w:bCs/>
          <w:sz w:val="24"/>
          <w:szCs w:val="24"/>
        </w:rPr>
      </w:pPr>
      <w:r w:rsidRPr="00243692">
        <w:rPr>
          <w:rFonts w:ascii="Arial" w:eastAsia="Aptos" w:hAnsi="Arial" w:cs="Arial"/>
          <w:b/>
          <w:bCs/>
          <w:sz w:val="24"/>
          <w:szCs w:val="24"/>
        </w:rPr>
        <w:t xml:space="preserve">3.2 </w:t>
      </w:r>
      <w:r w:rsidRPr="00243692">
        <w:rPr>
          <w:rFonts w:ascii="Arial" w:eastAsia="Aptos" w:hAnsi="Arial" w:cs="Arial"/>
          <w:b/>
          <w:bCs/>
          <w:sz w:val="24"/>
          <w:szCs w:val="24"/>
        </w:rPr>
        <w:tab/>
        <w:t>Appliance Ownership and Household Energy Consumption</w:t>
      </w:r>
    </w:p>
    <w:p w14:paraId="7FAC1251" w14:textId="77777777" w:rsidR="0091151A" w:rsidRPr="00243692" w:rsidRDefault="0091151A" w:rsidP="00180BA8">
      <w:pPr>
        <w:spacing w:after="200"/>
        <w:jc w:val="both"/>
        <w:rPr>
          <w:rFonts w:ascii="Arial" w:eastAsia="Aptos" w:hAnsi="Arial" w:cs="Arial"/>
          <w:sz w:val="24"/>
          <w:szCs w:val="24"/>
        </w:rPr>
      </w:pPr>
      <w:r w:rsidRPr="00243692">
        <w:rPr>
          <w:rFonts w:ascii="Arial" w:eastAsia="Aptos" w:hAnsi="Arial" w:cs="Arial"/>
          <w:sz w:val="24"/>
          <w:szCs w:val="24"/>
        </w:rPr>
        <w:t>The regression analysis shows that appliance ownership explains 67.5% of the variance in household energy consumption (R² = .675, Adjusted R² = .669), indicating a strong predictive relationship. The model was statistically significant (</w:t>
      </w:r>
      <w:r w:rsidRPr="00243692">
        <w:rPr>
          <w:rFonts w:ascii="Arial" w:eastAsia="Aptos" w:hAnsi="Arial" w:cs="Arial"/>
          <w:i/>
          <w:iCs/>
          <w:sz w:val="24"/>
          <w:szCs w:val="24"/>
        </w:rPr>
        <w:t>F</w:t>
      </w:r>
      <w:r w:rsidRPr="00243692">
        <w:rPr>
          <w:rFonts w:ascii="Arial" w:eastAsia="Aptos" w:hAnsi="Arial" w:cs="Arial"/>
          <w:sz w:val="24"/>
          <w:szCs w:val="24"/>
        </w:rPr>
        <w:t xml:space="preserve"> = 104.923, </w:t>
      </w:r>
      <w:r w:rsidRPr="00243692">
        <w:rPr>
          <w:rFonts w:ascii="Arial" w:eastAsia="Aptos" w:hAnsi="Arial" w:cs="Arial"/>
          <w:i/>
          <w:iCs/>
          <w:sz w:val="24"/>
          <w:szCs w:val="24"/>
        </w:rPr>
        <w:t>P</w:t>
      </w:r>
      <w:r w:rsidRPr="00243692">
        <w:rPr>
          <w:rFonts w:ascii="Arial" w:eastAsia="Aptos" w:hAnsi="Arial" w:cs="Arial"/>
          <w:sz w:val="24"/>
          <w:szCs w:val="24"/>
        </w:rPr>
        <w:t xml:space="preserve"> = .000).</w:t>
      </w:r>
    </w:p>
    <w:p w14:paraId="0747AE6B" w14:textId="08D07669" w:rsidR="0091151A" w:rsidRDefault="0091151A" w:rsidP="00180BA8">
      <w:pPr>
        <w:spacing w:after="200"/>
        <w:contextualSpacing/>
        <w:jc w:val="both"/>
        <w:rPr>
          <w:rFonts w:ascii="Arial" w:eastAsia="Calibri" w:hAnsi="Arial" w:cs="Arial"/>
          <w:sz w:val="24"/>
          <w:szCs w:val="24"/>
        </w:rPr>
      </w:pPr>
      <w:r w:rsidRPr="00243692">
        <w:rPr>
          <w:rFonts w:ascii="Arial" w:eastAsia="Calibri" w:hAnsi="Arial" w:cs="Arial"/>
          <w:sz w:val="24"/>
          <w:szCs w:val="24"/>
        </w:rPr>
        <w:t xml:space="preserve">Key coefficients (Table 2) reveal that air conditioners (B = 0.648, </w:t>
      </w:r>
      <w:r w:rsidRPr="00243692">
        <w:rPr>
          <w:rFonts w:ascii="Arial" w:eastAsia="Calibri" w:hAnsi="Arial" w:cs="Arial"/>
          <w:i/>
          <w:iCs/>
          <w:sz w:val="24"/>
          <w:szCs w:val="24"/>
        </w:rPr>
        <w:t>P</w:t>
      </w:r>
      <w:r w:rsidRPr="00243692">
        <w:rPr>
          <w:rFonts w:ascii="Arial" w:eastAsia="Calibri" w:hAnsi="Arial" w:cs="Arial"/>
          <w:sz w:val="24"/>
          <w:szCs w:val="24"/>
        </w:rPr>
        <w:t xml:space="preserve"> = .001), electric cookers (B = 0.503, </w:t>
      </w:r>
      <w:r w:rsidRPr="00243692">
        <w:rPr>
          <w:rFonts w:ascii="Arial" w:eastAsia="Calibri" w:hAnsi="Arial" w:cs="Arial"/>
          <w:i/>
          <w:iCs/>
          <w:sz w:val="24"/>
          <w:szCs w:val="24"/>
        </w:rPr>
        <w:t>P</w:t>
      </w:r>
      <w:r w:rsidRPr="00243692">
        <w:rPr>
          <w:rFonts w:ascii="Arial" w:eastAsia="Calibri" w:hAnsi="Arial" w:cs="Arial"/>
          <w:sz w:val="24"/>
          <w:szCs w:val="24"/>
        </w:rPr>
        <w:t xml:space="preserve"> = .000), and electric fans (B = 0.603, </w:t>
      </w:r>
      <w:r w:rsidRPr="00243692">
        <w:rPr>
          <w:rFonts w:ascii="Arial" w:eastAsia="Calibri" w:hAnsi="Arial" w:cs="Arial"/>
          <w:i/>
          <w:iCs/>
          <w:sz w:val="24"/>
          <w:szCs w:val="24"/>
        </w:rPr>
        <w:t>P</w:t>
      </w:r>
      <w:r w:rsidRPr="00243692">
        <w:rPr>
          <w:rFonts w:ascii="Arial" w:eastAsia="Calibri" w:hAnsi="Arial" w:cs="Arial"/>
          <w:sz w:val="24"/>
          <w:szCs w:val="24"/>
        </w:rPr>
        <w:t xml:space="preserve"> = .004) significantly increase consumption. Frequent use of air conditioners (B = 2.006, </w:t>
      </w:r>
      <w:r w:rsidRPr="00243692">
        <w:rPr>
          <w:rFonts w:ascii="Arial" w:eastAsia="Calibri" w:hAnsi="Arial" w:cs="Arial"/>
          <w:i/>
          <w:iCs/>
          <w:sz w:val="24"/>
          <w:szCs w:val="24"/>
        </w:rPr>
        <w:t>P</w:t>
      </w:r>
      <w:r w:rsidRPr="00243692">
        <w:rPr>
          <w:rFonts w:ascii="Arial" w:eastAsia="Calibri" w:hAnsi="Arial" w:cs="Arial"/>
          <w:sz w:val="24"/>
          <w:szCs w:val="24"/>
        </w:rPr>
        <w:t xml:space="preserve"> = .000) and electric cookers (B = 0.481, </w:t>
      </w:r>
      <w:r w:rsidRPr="00243692">
        <w:rPr>
          <w:rFonts w:ascii="Arial" w:eastAsia="Calibri" w:hAnsi="Arial" w:cs="Arial"/>
          <w:i/>
          <w:iCs/>
          <w:sz w:val="24"/>
          <w:szCs w:val="24"/>
        </w:rPr>
        <w:t>P</w:t>
      </w:r>
      <w:r w:rsidRPr="00243692">
        <w:rPr>
          <w:rFonts w:ascii="Arial" w:eastAsia="Calibri" w:hAnsi="Arial" w:cs="Arial"/>
          <w:sz w:val="24"/>
          <w:szCs w:val="24"/>
        </w:rPr>
        <w:t xml:space="preserve"> = .000) also drive demand. In contrast, ownership of refrigerators (B = -1.960, </w:t>
      </w:r>
      <w:r w:rsidRPr="00243692">
        <w:rPr>
          <w:rFonts w:ascii="Arial" w:eastAsia="Calibri" w:hAnsi="Arial" w:cs="Arial"/>
          <w:i/>
          <w:iCs/>
          <w:sz w:val="24"/>
          <w:szCs w:val="24"/>
        </w:rPr>
        <w:t>P</w:t>
      </w:r>
      <w:r w:rsidRPr="00243692">
        <w:rPr>
          <w:rFonts w:ascii="Arial" w:eastAsia="Calibri" w:hAnsi="Arial" w:cs="Arial"/>
          <w:sz w:val="24"/>
          <w:szCs w:val="24"/>
        </w:rPr>
        <w:t xml:space="preserve"> = .000), washing machines (B = -1.304, </w:t>
      </w:r>
      <w:r w:rsidRPr="00243692">
        <w:rPr>
          <w:rFonts w:ascii="Arial" w:eastAsia="Calibri" w:hAnsi="Arial" w:cs="Arial"/>
          <w:i/>
          <w:iCs/>
          <w:sz w:val="24"/>
          <w:szCs w:val="24"/>
        </w:rPr>
        <w:t>P</w:t>
      </w:r>
      <w:r w:rsidRPr="00243692">
        <w:rPr>
          <w:rFonts w:ascii="Arial" w:eastAsia="Calibri" w:hAnsi="Arial" w:cs="Arial"/>
          <w:sz w:val="24"/>
          <w:szCs w:val="24"/>
        </w:rPr>
        <w:t xml:space="preserve"> = .000), and microwaves (B = -1.819, </w:t>
      </w:r>
      <w:r w:rsidRPr="00243692">
        <w:rPr>
          <w:rFonts w:ascii="Arial" w:eastAsia="Calibri" w:hAnsi="Arial" w:cs="Arial"/>
          <w:i/>
          <w:iCs/>
          <w:sz w:val="24"/>
          <w:szCs w:val="24"/>
        </w:rPr>
        <w:t>P</w:t>
      </w:r>
      <w:r w:rsidRPr="00243692">
        <w:rPr>
          <w:rFonts w:ascii="Arial" w:eastAsia="Calibri" w:hAnsi="Arial" w:cs="Arial"/>
          <w:sz w:val="24"/>
          <w:szCs w:val="24"/>
        </w:rPr>
        <w:t xml:space="preserve"> = .000) was negatively associated with consumption, </w:t>
      </w:r>
      <w:r w:rsidR="00FF39F0" w:rsidRPr="00FF39F0">
        <w:rPr>
          <w:rFonts w:ascii="Arial" w:eastAsia="Calibri" w:hAnsi="Arial" w:cs="Arial"/>
          <w:sz w:val="24"/>
          <w:szCs w:val="24"/>
        </w:rPr>
        <w:t>likely reflecting two mechanisms: the widespread use of more energy-efficient models for these appliances and their relatively limited or periodic usage compared to high-demand devices like air conditioners.</w:t>
      </w:r>
      <w:r w:rsidRPr="00243692">
        <w:rPr>
          <w:rFonts w:ascii="Arial" w:eastAsia="Calibri" w:hAnsi="Arial" w:cs="Arial"/>
          <w:sz w:val="24"/>
          <w:szCs w:val="24"/>
        </w:rPr>
        <w:t xml:space="preserve"> Televisions and refrigerator use frequency were not significant.</w:t>
      </w:r>
    </w:p>
    <w:p w14:paraId="6AA1936F" w14:textId="77777777" w:rsidR="00902092" w:rsidRDefault="00902092" w:rsidP="00180BA8">
      <w:pPr>
        <w:spacing w:after="200"/>
        <w:contextualSpacing/>
        <w:jc w:val="both"/>
        <w:rPr>
          <w:rFonts w:ascii="Arial" w:eastAsia="Calibri" w:hAnsi="Arial" w:cs="Arial"/>
          <w:sz w:val="24"/>
          <w:szCs w:val="24"/>
        </w:rPr>
      </w:pPr>
    </w:p>
    <w:p w14:paraId="0685DD8F" w14:textId="2AF71E03" w:rsidR="00902092" w:rsidRDefault="00902092" w:rsidP="00180BA8">
      <w:pPr>
        <w:spacing w:after="200"/>
        <w:contextualSpacing/>
        <w:jc w:val="both"/>
        <w:rPr>
          <w:rFonts w:ascii="Arial" w:eastAsia="Aptos" w:hAnsi="Arial" w:cs="Arial"/>
          <w:sz w:val="24"/>
          <w:szCs w:val="24"/>
        </w:rPr>
      </w:pPr>
      <w:r w:rsidRPr="00FF39F0">
        <w:rPr>
          <w:rFonts w:ascii="Arial" w:eastAsia="Aptos" w:hAnsi="Arial" w:cs="Arial"/>
          <w:sz w:val="24"/>
          <w:szCs w:val="24"/>
        </w:rPr>
        <w:t>Appliance ownership and use strongly influence household energy demand, with high-consumption appliances such as air conditioners, cookers, and fans driving usage. Negative coefficients for refrigerators, microwaves, and washing machines point to efficiency effects and underline how improvements in appliance technology can offset demand despite ownership. These findings highlight the central role of appliance technology and usage intensity in shaping energy demand in Nigerian households</w:t>
      </w:r>
      <w:r w:rsidR="00AF45D1">
        <w:rPr>
          <w:rFonts w:ascii="Arial" w:eastAsia="Aptos" w:hAnsi="Arial" w:cs="Arial"/>
          <w:sz w:val="24"/>
          <w:szCs w:val="24"/>
        </w:rPr>
        <w:t>.</w:t>
      </w:r>
    </w:p>
    <w:p w14:paraId="77A4C431" w14:textId="77777777" w:rsidR="00AF45D1" w:rsidRDefault="00AF45D1" w:rsidP="00180BA8">
      <w:pPr>
        <w:spacing w:after="200"/>
        <w:contextualSpacing/>
        <w:jc w:val="both"/>
        <w:rPr>
          <w:rFonts w:ascii="Arial" w:eastAsia="Aptos" w:hAnsi="Arial" w:cs="Arial"/>
          <w:sz w:val="24"/>
          <w:szCs w:val="24"/>
        </w:rPr>
      </w:pPr>
    </w:p>
    <w:p w14:paraId="43FDDD4A" w14:textId="77777777" w:rsidR="00AF45D1" w:rsidRDefault="00AF45D1" w:rsidP="00180BA8">
      <w:pPr>
        <w:spacing w:after="200"/>
        <w:contextualSpacing/>
        <w:jc w:val="both"/>
        <w:rPr>
          <w:rFonts w:ascii="Arial" w:eastAsia="Aptos" w:hAnsi="Arial" w:cs="Arial"/>
          <w:sz w:val="24"/>
          <w:szCs w:val="24"/>
        </w:rPr>
      </w:pPr>
    </w:p>
    <w:p w14:paraId="336ECEF0" w14:textId="77777777" w:rsidR="00AF45D1" w:rsidRDefault="00AF45D1" w:rsidP="00180BA8">
      <w:pPr>
        <w:spacing w:after="200"/>
        <w:contextualSpacing/>
        <w:jc w:val="both"/>
        <w:rPr>
          <w:rFonts w:ascii="Arial" w:eastAsia="Calibri" w:hAnsi="Arial" w:cs="Arial"/>
          <w:sz w:val="24"/>
          <w:szCs w:val="24"/>
        </w:rPr>
      </w:pPr>
    </w:p>
    <w:p w14:paraId="5FFFAE7F" w14:textId="77777777" w:rsidR="00902092" w:rsidRDefault="00902092" w:rsidP="00180BA8">
      <w:pPr>
        <w:spacing w:after="200"/>
        <w:contextualSpacing/>
        <w:jc w:val="both"/>
        <w:rPr>
          <w:rFonts w:ascii="Arial" w:eastAsia="Calibri" w:hAnsi="Arial" w:cs="Arial"/>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19"/>
        <w:gridCol w:w="2823"/>
        <w:gridCol w:w="1056"/>
        <w:gridCol w:w="1342"/>
        <w:gridCol w:w="1979"/>
        <w:gridCol w:w="1071"/>
        <w:gridCol w:w="870"/>
      </w:tblGrid>
      <w:tr w:rsidR="00FF39F0" w:rsidRPr="005109A7" w14:paraId="7EEAF95D" w14:textId="77777777" w:rsidTr="00F06DDA">
        <w:trPr>
          <w:cantSplit/>
        </w:trPr>
        <w:tc>
          <w:tcPr>
            <w:tcW w:w="5000" w:type="pct"/>
            <w:gridSpan w:val="7"/>
            <w:tcBorders>
              <w:top w:val="nil"/>
              <w:left w:val="nil"/>
              <w:bottom w:val="single" w:sz="2" w:space="0" w:color="auto"/>
              <w:right w:val="nil"/>
            </w:tcBorders>
            <w:vAlign w:val="center"/>
            <w:hideMark/>
          </w:tcPr>
          <w:p w14:paraId="033E0FA6" w14:textId="77777777" w:rsidR="00FF39F0" w:rsidRPr="005109A7" w:rsidRDefault="00FF39F0" w:rsidP="00F06DDA">
            <w:pPr>
              <w:spacing w:line="256" w:lineRule="auto"/>
              <w:rPr>
                <w:rFonts w:ascii="Arial" w:eastAsia="Calibri" w:hAnsi="Arial" w:cs="Arial"/>
                <w:b/>
                <w:bCs/>
              </w:rPr>
            </w:pPr>
            <w:r w:rsidRPr="005109A7">
              <w:rPr>
                <w:rFonts w:ascii="Arial" w:eastAsia="Calibri" w:hAnsi="Arial" w:cs="Arial"/>
                <w:b/>
                <w:bCs/>
              </w:rPr>
              <w:lastRenderedPageBreak/>
              <w:t xml:space="preserve">Table </w:t>
            </w:r>
            <w:r w:rsidRPr="00486DCD">
              <w:rPr>
                <w:rFonts w:ascii="Arial" w:eastAsia="Calibri" w:hAnsi="Arial" w:cs="Arial"/>
                <w:b/>
                <w:bCs/>
              </w:rPr>
              <w:t>2</w:t>
            </w:r>
            <w:r w:rsidRPr="005109A7">
              <w:rPr>
                <w:rFonts w:ascii="Arial" w:eastAsia="Calibri" w:hAnsi="Arial" w:cs="Arial"/>
                <w:b/>
                <w:bCs/>
              </w:rPr>
              <w:t xml:space="preserve"> </w:t>
            </w:r>
            <w:r w:rsidRPr="00486DCD">
              <w:rPr>
                <w:rFonts w:ascii="Arial" w:eastAsia="Calibri" w:hAnsi="Arial" w:cs="Arial"/>
                <w:b/>
                <w:bCs/>
              </w:rPr>
              <w:t>–</w:t>
            </w:r>
            <w:r w:rsidRPr="005109A7">
              <w:rPr>
                <w:rFonts w:ascii="Arial" w:eastAsia="Calibri" w:hAnsi="Arial" w:cs="Arial"/>
                <w:b/>
                <w:bCs/>
              </w:rPr>
              <w:t xml:space="preserve"> Coefficients</w:t>
            </w:r>
            <w:r w:rsidRPr="00486DCD">
              <w:rPr>
                <w:rFonts w:ascii="Arial" w:eastAsia="Calibri" w:hAnsi="Arial" w:cs="Arial"/>
                <w:b/>
                <w:bCs/>
              </w:rPr>
              <w:t xml:space="preserve"> of Regression for Appliance Ownership </w:t>
            </w:r>
            <w:r w:rsidRPr="005109A7">
              <w:rPr>
                <w:rFonts w:ascii="Arial" w:eastAsia="Calibri" w:hAnsi="Arial" w:cs="Arial"/>
                <w:b/>
                <w:bCs/>
                <w:vertAlign w:val="superscript"/>
              </w:rPr>
              <w:t>a</w:t>
            </w:r>
          </w:p>
        </w:tc>
      </w:tr>
      <w:tr w:rsidR="00FF39F0" w:rsidRPr="00486DCD" w14:paraId="4F911C69" w14:textId="77777777" w:rsidTr="00F06DDA">
        <w:trPr>
          <w:cantSplit/>
        </w:trPr>
        <w:tc>
          <w:tcPr>
            <w:tcW w:w="1625" w:type="pct"/>
            <w:gridSpan w:val="2"/>
            <w:vMerge w:val="restart"/>
            <w:tcBorders>
              <w:top w:val="single" w:sz="2" w:space="0" w:color="auto"/>
              <w:left w:val="nil"/>
              <w:bottom w:val="single" w:sz="4" w:space="0" w:color="auto"/>
              <w:right w:val="nil"/>
            </w:tcBorders>
            <w:vAlign w:val="bottom"/>
            <w:hideMark/>
          </w:tcPr>
          <w:p w14:paraId="176D6F7C" w14:textId="77777777" w:rsidR="00FF39F0" w:rsidRPr="005109A7" w:rsidRDefault="00FF39F0" w:rsidP="00F06DDA">
            <w:pPr>
              <w:spacing w:line="256" w:lineRule="auto"/>
              <w:rPr>
                <w:rFonts w:ascii="Arial" w:eastAsia="Calibri" w:hAnsi="Arial" w:cs="Arial"/>
                <w:b/>
                <w:bCs/>
              </w:rPr>
            </w:pPr>
            <w:r w:rsidRPr="005109A7">
              <w:rPr>
                <w:rFonts w:ascii="Arial" w:eastAsia="Calibri" w:hAnsi="Arial" w:cs="Arial"/>
                <w:b/>
                <w:bCs/>
              </w:rPr>
              <w:t>Model</w:t>
            </w:r>
          </w:p>
        </w:tc>
        <w:tc>
          <w:tcPr>
            <w:tcW w:w="1281" w:type="pct"/>
            <w:gridSpan w:val="2"/>
            <w:tcBorders>
              <w:top w:val="single" w:sz="2" w:space="0" w:color="auto"/>
              <w:left w:val="nil"/>
              <w:bottom w:val="single" w:sz="2" w:space="0" w:color="auto"/>
              <w:right w:val="single" w:sz="2" w:space="0" w:color="D9D9D9"/>
            </w:tcBorders>
            <w:vAlign w:val="bottom"/>
            <w:hideMark/>
          </w:tcPr>
          <w:p w14:paraId="5C5A947A" w14:textId="77777777" w:rsidR="00FF39F0" w:rsidRPr="005109A7" w:rsidRDefault="00FF39F0" w:rsidP="00F06DDA">
            <w:pPr>
              <w:spacing w:line="256" w:lineRule="auto"/>
              <w:jc w:val="center"/>
              <w:rPr>
                <w:rFonts w:ascii="Arial" w:eastAsia="Calibri" w:hAnsi="Arial" w:cs="Arial"/>
                <w:b/>
                <w:bCs/>
              </w:rPr>
            </w:pPr>
            <w:r w:rsidRPr="005109A7">
              <w:rPr>
                <w:rFonts w:ascii="Arial" w:eastAsia="Calibri" w:hAnsi="Arial" w:cs="Arial"/>
                <w:b/>
                <w:bCs/>
              </w:rPr>
              <w:t>Unstandardized Coefficients</w:t>
            </w:r>
          </w:p>
        </w:tc>
        <w:tc>
          <w:tcPr>
            <w:tcW w:w="1057" w:type="pct"/>
            <w:tcBorders>
              <w:top w:val="single" w:sz="2" w:space="0" w:color="auto"/>
              <w:left w:val="single" w:sz="2" w:space="0" w:color="D9D9D9"/>
              <w:bottom w:val="single" w:sz="2" w:space="0" w:color="auto"/>
              <w:right w:val="nil"/>
            </w:tcBorders>
            <w:vAlign w:val="bottom"/>
            <w:hideMark/>
          </w:tcPr>
          <w:p w14:paraId="19FF0183" w14:textId="77777777" w:rsidR="00FF39F0" w:rsidRPr="005109A7" w:rsidRDefault="00FF39F0" w:rsidP="00F06DDA">
            <w:pPr>
              <w:spacing w:line="256" w:lineRule="auto"/>
              <w:jc w:val="center"/>
              <w:rPr>
                <w:rFonts w:ascii="Arial" w:eastAsia="Calibri" w:hAnsi="Arial" w:cs="Arial"/>
                <w:b/>
                <w:bCs/>
              </w:rPr>
            </w:pPr>
            <w:r w:rsidRPr="005109A7">
              <w:rPr>
                <w:rFonts w:ascii="Arial" w:eastAsia="Calibri" w:hAnsi="Arial" w:cs="Arial"/>
                <w:b/>
                <w:bCs/>
              </w:rPr>
              <w:t>Standardized Coefficients</w:t>
            </w:r>
          </w:p>
        </w:tc>
        <w:tc>
          <w:tcPr>
            <w:tcW w:w="572" w:type="pct"/>
            <w:vMerge w:val="restart"/>
            <w:tcBorders>
              <w:top w:val="single" w:sz="2" w:space="0" w:color="auto"/>
              <w:left w:val="nil"/>
              <w:bottom w:val="single" w:sz="4" w:space="0" w:color="auto"/>
              <w:right w:val="nil"/>
            </w:tcBorders>
            <w:vAlign w:val="bottom"/>
            <w:hideMark/>
          </w:tcPr>
          <w:p w14:paraId="66E9B55C" w14:textId="77777777" w:rsidR="00FF39F0" w:rsidRPr="005109A7" w:rsidRDefault="00FF39F0" w:rsidP="00F06DDA">
            <w:pPr>
              <w:spacing w:line="256" w:lineRule="auto"/>
              <w:jc w:val="center"/>
              <w:rPr>
                <w:rFonts w:ascii="Arial" w:eastAsia="Calibri" w:hAnsi="Arial" w:cs="Arial"/>
                <w:b/>
                <w:bCs/>
              </w:rPr>
            </w:pPr>
            <w:r w:rsidRPr="005109A7">
              <w:rPr>
                <w:rFonts w:ascii="Arial" w:eastAsia="Calibri" w:hAnsi="Arial" w:cs="Arial"/>
                <w:b/>
                <w:bCs/>
              </w:rPr>
              <w:t>t</w:t>
            </w:r>
          </w:p>
        </w:tc>
        <w:tc>
          <w:tcPr>
            <w:tcW w:w="465" w:type="pct"/>
            <w:vMerge w:val="restart"/>
            <w:tcBorders>
              <w:top w:val="single" w:sz="2" w:space="0" w:color="auto"/>
              <w:left w:val="nil"/>
              <w:bottom w:val="single" w:sz="4" w:space="0" w:color="auto"/>
              <w:right w:val="nil"/>
            </w:tcBorders>
            <w:vAlign w:val="bottom"/>
            <w:hideMark/>
          </w:tcPr>
          <w:p w14:paraId="2EDF8229" w14:textId="77777777" w:rsidR="00FF39F0" w:rsidRPr="005109A7" w:rsidRDefault="00FF39F0" w:rsidP="00F06DDA">
            <w:pPr>
              <w:spacing w:line="256" w:lineRule="auto"/>
              <w:jc w:val="center"/>
              <w:rPr>
                <w:rFonts w:ascii="Arial" w:eastAsia="Calibri" w:hAnsi="Arial" w:cs="Arial"/>
                <w:b/>
                <w:bCs/>
              </w:rPr>
            </w:pPr>
            <w:r w:rsidRPr="005109A7">
              <w:rPr>
                <w:rFonts w:ascii="Arial" w:eastAsia="Calibri" w:hAnsi="Arial" w:cs="Arial"/>
                <w:b/>
                <w:bCs/>
              </w:rPr>
              <w:t>Sig.</w:t>
            </w:r>
          </w:p>
        </w:tc>
      </w:tr>
      <w:tr w:rsidR="00FF39F0" w:rsidRPr="00486DCD" w14:paraId="563683E5" w14:textId="77777777" w:rsidTr="00F06DDA">
        <w:trPr>
          <w:cantSplit/>
        </w:trPr>
        <w:tc>
          <w:tcPr>
            <w:tcW w:w="1625" w:type="pct"/>
            <w:gridSpan w:val="2"/>
            <w:vMerge/>
            <w:tcBorders>
              <w:top w:val="nil"/>
              <w:left w:val="nil"/>
              <w:bottom w:val="single" w:sz="4" w:space="0" w:color="auto"/>
              <w:right w:val="nil"/>
            </w:tcBorders>
            <w:vAlign w:val="center"/>
            <w:hideMark/>
          </w:tcPr>
          <w:p w14:paraId="0CFBC6DB" w14:textId="77777777" w:rsidR="00FF39F0" w:rsidRPr="005109A7" w:rsidRDefault="00FF39F0" w:rsidP="00F06DDA">
            <w:pPr>
              <w:spacing w:line="256" w:lineRule="auto"/>
              <w:rPr>
                <w:rFonts w:ascii="Arial" w:eastAsia="Calibri" w:hAnsi="Arial" w:cs="Arial"/>
              </w:rPr>
            </w:pPr>
          </w:p>
        </w:tc>
        <w:tc>
          <w:tcPr>
            <w:tcW w:w="564" w:type="pct"/>
            <w:tcBorders>
              <w:top w:val="single" w:sz="2" w:space="0" w:color="auto"/>
              <w:left w:val="nil"/>
              <w:bottom w:val="single" w:sz="4" w:space="0" w:color="auto"/>
              <w:right w:val="single" w:sz="8" w:space="0" w:color="E0E0E0"/>
            </w:tcBorders>
            <w:vAlign w:val="bottom"/>
            <w:hideMark/>
          </w:tcPr>
          <w:p w14:paraId="320889D0" w14:textId="77777777" w:rsidR="00FF39F0" w:rsidRPr="005109A7" w:rsidRDefault="00FF39F0" w:rsidP="00F06DDA">
            <w:pPr>
              <w:spacing w:line="256" w:lineRule="auto"/>
              <w:jc w:val="center"/>
              <w:rPr>
                <w:rFonts w:ascii="Arial" w:eastAsia="Calibri" w:hAnsi="Arial" w:cs="Arial"/>
                <w:b/>
                <w:bCs/>
              </w:rPr>
            </w:pPr>
            <w:r w:rsidRPr="005109A7">
              <w:rPr>
                <w:rFonts w:ascii="Arial" w:eastAsia="Calibri" w:hAnsi="Arial" w:cs="Arial"/>
                <w:b/>
                <w:bCs/>
              </w:rPr>
              <w:t>B</w:t>
            </w:r>
          </w:p>
        </w:tc>
        <w:tc>
          <w:tcPr>
            <w:tcW w:w="717" w:type="pct"/>
            <w:tcBorders>
              <w:top w:val="single" w:sz="2" w:space="0" w:color="auto"/>
              <w:left w:val="single" w:sz="8" w:space="0" w:color="E0E0E0"/>
              <w:bottom w:val="single" w:sz="4" w:space="0" w:color="auto"/>
              <w:right w:val="single" w:sz="8" w:space="0" w:color="E0E0E0"/>
            </w:tcBorders>
            <w:vAlign w:val="bottom"/>
            <w:hideMark/>
          </w:tcPr>
          <w:p w14:paraId="0C9BCAA1" w14:textId="77777777" w:rsidR="00FF39F0" w:rsidRPr="005109A7" w:rsidRDefault="00FF39F0" w:rsidP="00F06DDA">
            <w:pPr>
              <w:spacing w:line="256" w:lineRule="auto"/>
              <w:jc w:val="center"/>
              <w:rPr>
                <w:rFonts w:ascii="Arial" w:eastAsia="Calibri" w:hAnsi="Arial" w:cs="Arial"/>
                <w:b/>
                <w:bCs/>
              </w:rPr>
            </w:pPr>
            <w:r w:rsidRPr="005109A7">
              <w:rPr>
                <w:rFonts w:ascii="Arial" w:eastAsia="Calibri" w:hAnsi="Arial" w:cs="Arial"/>
                <w:b/>
                <w:bCs/>
              </w:rPr>
              <w:t>Std. Error</w:t>
            </w:r>
          </w:p>
        </w:tc>
        <w:tc>
          <w:tcPr>
            <w:tcW w:w="1057" w:type="pct"/>
            <w:tcBorders>
              <w:top w:val="single" w:sz="2" w:space="0" w:color="auto"/>
              <w:left w:val="single" w:sz="8" w:space="0" w:color="E0E0E0"/>
              <w:bottom w:val="single" w:sz="4" w:space="0" w:color="auto"/>
              <w:right w:val="nil"/>
            </w:tcBorders>
            <w:vAlign w:val="bottom"/>
            <w:hideMark/>
          </w:tcPr>
          <w:p w14:paraId="4FB942B4" w14:textId="77777777" w:rsidR="00FF39F0" w:rsidRPr="005109A7" w:rsidRDefault="00FF39F0" w:rsidP="00F06DDA">
            <w:pPr>
              <w:spacing w:line="256" w:lineRule="auto"/>
              <w:jc w:val="center"/>
              <w:rPr>
                <w:rFonts w:ascii="Arial" w:eastAsia="Calibri" w:hAnsi="Arial" w:cs="Arial"/>
                <w:b/>
                <w:bCs/>
              </w:rPr>
            </w:pPr>
            <w:r w:rsidRPr="005109A7">
              <w:rPr>
                <w:rFonts w:ascii="Arial" w:eastAsia="Calibri" w:hAnsi="Arial" w:cs="Arial"/>
                <w:b/>
                <w:bCs/>
              </w:rPr>
              <w:t>Beta</w:t>
            </w:r>
          </w:p>
        </w:tc>
        <w:tc>
          <w:tcPr>
            <w:tcW w:w="572" w:type="pct"/>
            <w:vMerge/>
            <w:tcBorders>
              <w:top w:val="nil"/>
              <w:left w:val="nil"/>
              <w:bottom w:val="single" w:sz="4" w:space="0" w:color="auto"/>
              <w:right w:val="nil"/>
            </w:tcBorders>
            <w:vAlign w:val="center"/>
            <w:hideMark/>
          </w:tcPr>
          <w:p w14:paraId="1140C06C" w14:textId="77777777" w:rsidR="00FF39F0" w:rsidRPr="005109A7" w:rsidRDefault="00FF39F0" w:rsidP="00F06DDA">
            <w:pPr>
              <w:spacing w:line="256" w:lineRule="auto"/>
              <w:jc w:val="center"/>
              <w:rPr>
                <w:rFonts w:ascii="Arial" w:eastAsia="Calibri" w:hAnsi="Arial" w:cs="Arial"/>
              </w:rPr>
            </w:pPr>
          </w:p>
        </w:tc>
        <w:tc>
          <w:tcPr>
            <w:tcW w:w="465" w:type="pct"/>
            <w:vMerge/>
            <w:tcBorders>
              <w:top w:val="nil"/>
              <w:left w:val="nil"/>
              <w:bottom w:val="single" w:sz="4" w:space="0" w:color="auto"/>
              <w:right w:val="nil"/>
            </w:tcBorders>
            <w:vAlign w:val="center"/>
            <w:hideMark/>
          </w:tcPr>
          <w:p w14:paraId="7C229838" w14:textId="77777777" w:rsidR="00FF39F0" w:rsidRPr="005109A7" w:rsidRDefault="00FF39F0" w:rsidP="00F06DDA">
            <w:pPr>
              <w:spacing w:line="256" w:lineRule="auto"/>
              <w:jc w:val="center"/>
              <w:rPr>
                <w:rFonts w:ascii="Arial" w:eastAsia="Calibri" w:hAnsi="Arial" w:cs="Arial"/>
              </w:rPr>
            </w:pPr>
          </w:p>
        </w:tc>
      </w:tr>
      <w:tr w:rsidR="00FF39F0" w:rsidRPr="00486DCD" w14:paraId="5027C8B9" w14:textId="77777777" w:rsidTr="00F06DDA">
        <w:trPr>
          <w:cantSplit/>
        </w:trPr>
        <w:tc>
          <w:tcPr>
            <w:tcW w:w="117" w:type="pct"/>
            <w:vMerge w:val="restart"/>
            <w:tcBorders>
              <w:top w:val="single" w:sz="4" w:space="0" w:color="auto"/>
              <w:left w:val="nil"/>
              <w:bottom w:val="single" w:sz="8" w:space="0" w:color="152935"/>
              <w:right w:val="nil"/>
            </w:tcBorders>
            <w:hideMark/>
          </w:tcPr>
          <w:p w14:paraId="046EC33C" w14:textId="77777777" w:rsidR="00FF39F0" w:rsidRPr="005109A7" w:rsidRDefault="00FF39F0" w:rsidP="00F06DDA">
            <w:pPr>
              <w:spacing w:line="256" w:lineRule="auto"/>
              <w:rPr>
                <w:rFonts w:ascii="Arial" w:eastAsia="Calibri" w:hAnsi="Arial" w:cs="Arial"/>
              </w:rPr>
            </w:pPr>
            <w:r w:rsidRPr="00486DCD">
              <w:rPr>
                <w:rFonts w:ascii="Arial" w:eastAsia="Calibri" w:hAnsi="Arial" w:cs="Arial"/>
              </w:rPr>
              <w:t>2</w:t>
            </w:r>
          </w:p>
        </w:tc>
        <w:tc>
          <w:tcPr>
            <w:tcW w:w="1508" w:type="pct"/>
            <w:tcBorders>
              <w:top w:val="single" w:sz="4" w:space="0" w:color="auto"/>
              <w:left w:val="nil"/>
              <w:bottom w:val="single" w:sz="8" w:space="0" w:color="AEAEAE"/>
              <w:right w:val="nil"/>
            </w:tcBorders>
            <w:hideMark/>
          </w:tcPr>
          <w:p w14:paraId="28447C83" w14:textId="77777777" w:rsidR="00FF39F0" w:rsidRPr="005109A7" w:rsidRDefault="00FF39F0" w:rsidP="00F06DDA">
            <w:pPr>
              <w:spacing w:line="256" w:lineRule="auto"/>
              <w:rPr>
                <w:rFonts w:ascii="Arial" w:eastAsia="Calibri" w:hAnsi="Arial" w:cs="Arial"/>
              </w:rPr>
            </w:pPr>
            <w:r w:rsidRPr="005109A7">
              <w:rPr>
                <w:rFonts w:ascii="Arial" w:eastAsia="Calibri" w:hAnsi="Arial" w:cs="Arial"/>
              </w:rPr>
              <w:t>(Constant)</w:t>
            </w:r>
          </w:p>
        </w:tc>
        <w:tc>
          <w:tcPr>
            <w:tcW w:w="564" w:type="pct"/>
            <w:tcBorders>
              <w:top w:val="single" w:sz="4" w:space="0" w:color="auto"/>
              <w:left w:val="nil"/>
              <w:bottom w:val="single" w:sz="8" w:space="0" w:color="AEAEAE"/>
              <w:right w:val="single" w:sz="8" w:space="0" w:color="E0E0E0"/>
            </w:tcBorders>
            <w:hideMark/>
          </w:tcPr>
          <w:p w14:paraId="66696B67"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11.818</w:t>
            </w:r>
          </w:p>
        </w:tc>
        <w:tc>
          <w:tcPr>
            <w:tcW w:w="717" w:type="pct"/>
            <w:tcBorders>
              <w:top w:val="single" w:sz="4" w:space="0" w:color="auto"/>
              <w:left w:val="single" w:sz="8" w:space="0" w:color="E0E0E0"/>
              <w:bottom w:val="single" w:sz="8" w:space="0" w:color="AEAEAE"/>
              <w:right w:val="single" w:sz="8" w:space="0" w:color="E0E0E0"/>
            </w:tcBorders>
            <w:hideMark/>
          </w:tcPr>
          <w:p w14:paraId="754A48FF"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.607</w:t>
            </w:r>
          </w:p>
        </w:tc>
        <w:tc>
          <w:tcPr>
            <w:tcW w:w="1057" w:type="pct"/>
            <w:tcBorders>
              <w:top w:val="single" w:sz="4" w:space="0" w:color="auto"/>
              <w:left w:val="single" w:sz="8" w:space="0" w:color="E0E0E0"/>
              <w:bottom w:val="single" w:sz="8" w:space="0" w:color="AEAEAE"/>
              <w:right w:val="single" w:sz="8" w:space="0" w:color="E0E0E0"/>
            </w:tcBorders>
            <w:vAlign w:val="center"/>
          </w:tcPr>
          <w:p w14:paraId="3DDF6522" w14:textId="77777777" w:rsidR="00FF39F0" w:rsidRPr="005109A7" w:rsidRDefault="00FF39F0" w:rsidP="00F06DDA">
            <w:pPr>
              <w:spacing w:line="256" w:lineRule="auto"/>
              <w:jc w:val="right"/>
              <w:rPr>
                <w:rFonts w:ascii="Arial" w:eastAsia="Calibri" w:hAnsi="Arial" w:cs="Arial"/>
              </w:rPr>
            </w:pPr>
          </w:p>
        </w:tc>
        <w:tc>
          <w:tcPr>
            <w:tcW w:w="572" w:type="pct"/>
            <w:tcBorders>
              <w:top w:val="single" w:sz="4" w:space="0" w:color="auto"/>
              <w:left w:val="single" w:sz="8" w:space="0" w:color="E0E0E0"/>
              <w:bottom w:val="single" w:sz="8" w:space="0" w:color="AEAEAE"/>
              <w:right w:val="single" w:sz="8" w:space="0" w:color="E0E0E0"/>
            </w:tcBorders>
            <w:hideMark/>
          </w:tcPr>
          <w:p w14:paraId="3E37A4FD"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19.484</w:t>
            </w:r>
          </w:p>
        </w:tc>
        <w:tc>
          <w:tcPr>
            <w:tcW w:w="465" w:type="pct"/>
            <w:tcBorders>
              <w:top w:val="single" w:sz="4" w:space="0" w:color="auto"/>
              <w:left w:val="single" w:sz="8" w:space="0" w:color="E0E0E0"/>
              <w:bottom w:val="single" w:sz="8" w:space="0" w:color="AEAEAE"/>
              <w:right w:val="nil"/>
            </w:tcBorders>
            <w:hideMark/>
          </w:tcPr>
          <w:p w14:paraId="77C15D5E"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FF39F0" w:rsidRPr="00486DCD" w14:paraId="1554C202" w14:textId="77777777" w:rsidTr="00F06DDA">
        <w:trPr>
          <w:cantSplit/>
        </w:trPr>
        <w:tc>
          <w:tcPr>
            <w:tcW w:w="117" w:type="pct"/>
            <w:vMerge/>
            <w:tcBorders>
              <w:top w:val="single" w:sz="8" w:space="0" w:color="152935"/>
              <w:left w:val="nil"/>
              <w:bottom w:val="single" w:sz="8" w:space="0" w:color="152935"/>
              <w:right w:val="nil"/>
            </w:tcBorders>
            <w:vAlign w:val="center"/>
            <w:hideMark/>
          </w:tcPr>
          <w:p w14:paraId="214C3880" w14:textId="77777777" w:rsidR="00FF39F0" w:rsidRPr="005109A7" w:rsidRDefault="00FF39F0" w:rsidP="00F06DDA">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0420516F" w14:textId="77777777" w:rsidR="00FF39F0" w:rsidRPr="005109A7" w:rsidRDefault="00FF39F0" w:rsidP="00F06DDA">
            <w:pPr>
              <w:spacing w:line="256" w:lineRule="auto"/>
              <w:rPr>
                <w:rFonts w:ascii="Arial" w:eastAsia="Calibri" w:hAnsi="Arial" w:cs="Arial"/>
              </w:rPr>
            </w:pPr>
            <w:r w:rsidRPr="00486DCD">
              <w:rPr>
                <w:rFonts w:ascii="Arial" w:eastAsia="Calibri" w:hAnsi="Arial" w:cs="Arial"/>
              </w:rPr>
              <w:t>Refrigerator (ownership)</w:t>
            </w:r>
          </w:p>
        </w:tc>
        <w:tc>
          <w:tcPr>
            <w:tcW w:w="564" w:type="pct"/>
            <w:tcBorders>
              <w:top w:val="single" w:sz="8" w:space="0" w:color="AEAEAE"/>
              <w:left w:val="nil"/>
              <w:bottom w:val="single" w:sz="8" w:space="0" w:color="AEAEAE"/>
              <w:right w:val="single" w:sz="8" w:space="0" w:color="E0E0E0"/>
            </w:tcBorders>
            <w:hideMark/>
          </w:tcPr>
          <w:p w14:paraId="66E0B503"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-1.960</w:t>
            </w:r>
          </w:p>
        </w:tc>
        <w:tc>
          <w:tcPr>
            <w:tcW w:w="717" w:type="pct"/>
            <w:tcBorders>
              <w:top w:val="single" w:sz="8" w:space="0" w:color="AEAEAE"/>
              <w:left w:val="single" w:sz="8" w:space="0" w:color="E0E0E0"/>
              <w:bottom w:val="single" w:sz="8" w:space="0" w:color="AEAEAE"/>
              <w:right w:val="single" w:sz="8" w:space="0" w:color="E0E0E0"/>
            </w:tcBorders>
            <w:hideMark/>
          </w:tcPr>
          <w:p w14:paraId="558D1BF1"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.371</w:t>
            </w:r>
          </w:p>
        </w:tc>
        <w:tc>
          <w:tcPr>
            <w:tcW w:w="1057" w:type="pct"/>
            <w:tcBorders>
              <w:top w:val="single" w:sz="8" w:space="0" w:color="AEAEAE"/>
              <w:left w:val="single" w:sz="8" w:space="0" w:color="E0E0E0"/>
              <w:bottom w:val="single" w:sz="8" w:space="0" w:color="AEAEAE"/>
              <w:right w:val="single" w:sz="8" w:space="0" w:color="E0E0E0"/>
            </w:tcBorders>
            <w:hideMark/>
          </w:tcPr>
          <w:p w14:paraId="2175BCF3"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.169</w:t>
            </w:r>
          </w:p>
        </w:tc>
        <w:tc>
          <w:tcPr>
            <w:tcW w:w="572" w:type="pct"/>
            <w:tcBorders>
              <w:top w:val="single" w:sz="8" w:space="0" w:color="AEAEAE"/>
              <w:left w:val="single" w:sz="8" w:space="0" w:color="E0E0E0"/>
              <w:bottom w:val="single" w:sz="8" w:space="0" w:color="AEAEAE"/>
              <w:right w:val="single" w:sz="8" w:space="0" w:color="E0E0E0"/>
            </w:tcBorders>
            <w:hideMark/>
          </w:tcPr>
          <w:p w14:paraId="3CDE8C4C"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-5.287</w:t>
            </w:r>
          </w:p>
        </w:tc>
        <w:tc>
          <w:tcPr>
            <w:tcW w:w="465" w:type="pct"/>
            <w:tcBorders>
              <w:top w:val="single" w:sz="8" w:space="0" w:color="AEAEAE"/>
              <w:left w:val="single" w:sz="8" w:space="0" w:color="E0E0E0"/>
              <w:bottom w:val="single" w:sz="8" w:space="0" w:color="AEAEAE"/>
              <w:right w:val="nil"/>
            </w:tcBorders>
            <w:hideMark/>
          </w:tcPr>
          <w:p w14:paraId="40B9072B"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FF39F0" w:rsidRPr="00486DCD" w14:paraId="51F1DD11" w14:textId="77777777" w:rsidTr="00F06DDA">
        <w:trPr>
          <w:cantSplit/>
        </w:trPr>
        <w:tc>
          <w:tcPr>
            <w:tcW w:w="117" w:type="pct"/>
            <w:vMerge/>
            <w:tcBorders>
              <w:top w:val="single" w:sz="8" w:space="0" w:color="152935"/>
              <w:left w:val="nil"/>
              <w:bottom w:val="single" w:sz="8" w:space="0" w:color="152935"/>
              <w:right w:val="nil"/>
            </w:tcBorders>
            <w:vAlign w:val="center"/>
            <w:hideMark/>
          </w:tcPr>
          <w:p w14:paraId="6FA381D8" w14:textId="77777777" w:rsidR="00FF39F0" w:rsidRPr="005109A7" w:rsidRDefault="00FF39F0" w:rsidP="00F06DDA">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6EB9215E" w14:textId="77777777" w:rsidR="00FF39F0" w:rsidRPr="005109A7" w:rsidRDefault="00FF39F0" w:rsidP="00F06DDA">
            <w:pPr>
              <w:spacing w:line="256" w:lineRule="auto"/>
              <w:rPr>
                <w:rFonts w:ascii="Arial" w:eastAsia="Calibri" w:hAnsi="Arial" w:cs="Arial"/>
              </w:rPr>
            </w:pPr>
            <w:r w:rsidRPr="00486DCD">
              <w:rPr>
                <w:rFonts w:ascii="Arial" w:eastAsia="Calibri" w:hAnsi="Arial" w:cs="Arial"/>
              </w:rPr>
              <w:t>Air conditioner (ownership)</w:t>
            </w:r>
          </w:p>
        </w:tc>
        <w:tc>
          <w:tcPr>
            <w:tcW w:w="564" w:type="pct"/>
            <w:tcBorders>
              <w:top w:val="single" w:sz="8" w:space="0" w:color="AEAEAE"/>
              <w:left w:val="nil"/>
              <w:bottom w:val="single" w:sz="8" w:space="0" w:color="AEAEAE"/>
              <w:right w:val="single" w:sz="8" w:space="0" w:color="E0E0E0"/>
            </w:tcBorders>
            <w:hideMark/>
          </w:tcPr>
          <w:p w14:paraId="4F42148D"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.648</w:t>
            </w:r>
          </w:p>
        </w:tc>
        <w:tc>
          <w:tcPr>
            <w:tcW w:w="717" w:type="pct"/>
            <w:tcBorders>
              <w:top w:val="single" w:sz="8" w:space="0" w:color="AEAEAE"/>
              <w:left w:val="single" w:sz="8" w:space="0" w:color="E0E0E0"/>
              <w:bottom w:val="single" w:sz="8" w:space="0" w:color="AEAEAE"/>
              <w:right w:val="single" w:sz="8" w:space="0" w:color="E0E0E0"/>
            </w:tcBorders>
            <w:hideMark/>
          </w:tcPr>
          <w:p w14:paraId="351B3360"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.188</w:t>
            </w:r>
          </w:p>
        </w:tc>
        <w:tc>
          <w:tcPr>
            <w:tcW w:w="1057" w:type="pct"/>
            <w:tcBorders>
              <w:top w:val="single" w:sz="8" w:space="0" w:color="AEAEAE"/>
              <w:left w:val="single" w:sz="8" w:space="0" w:color="E0E0E0"/>
              <w:bottom w:val="single" w:sz="8" w:space="0" w:color="AEAEAE"/>
              <w:right w:val="single" w:sz="8" w:space="0" w:color="E0E0E0"/>
            </w:tcBorders>
            <w:hideMark/>
          </w:tcPr>
          <w:p w14:paraId="6F8EAEA8"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.165</w:t>
            </w:r>
          </w:p>
        </w:tc>
        <w:tc>
          <w:tcPr>
            <w:tcW w:w="572" w:type="pct"/>
            <w:tcBorders>
              <w:top w:val="single" w:sz="8" w:space="0" w:color="AEAEAE"/>
              <w:left w:val="single" w:sz="8" w:space="0" w:color="E0E0E0"/>
              <w:bottom w:val="single" w:sz="8" w:space="0" w:color="AEAEAE"/>
              <w:right w:val="single" w:sz="8" w:space="0" w:color="E0E0E0"/>
            </w:tcBorders>
            <w:hideMark/>
          </w:tcPr>
          <w:p w14:paraId="4FCF597E"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3.456</w:t>
            </w:r>
          </w:p>
        </w:tc>
        <w:tc>
          <w:tcPr>
            <w:tcW w:w="465" w:type="pct"/>
            <w:tcBorders>
              <w:top w:val="single" w:sz="8" w:space="0" w:color="AEAEAE"/>
              <w:left w:val="single" w:sz="8" w:space="0" w:color="E0E0E0"/>
              <w:bottom w:val="single" w:sz="8" w:space="0" w:color="AEAEAE"/>
              <w:right w:val="nil"/>
            </w:tcBorders>
            <w:hideMark/>
          </w:tcPr>
          <w:p w14:paraId="60A9175B"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.001</w:t>
            </w:r>
          </w:p>
        </w:tc>
      </w:tr>
      <w:tr w:rsidR="00FF39F0" w:rsidRPr="00486DCD" w14:paraId="7F534BDC" w14:textId="77777777" w:rsidTr="00F06DDA">
        <w:trPr>
          <w:cantSplit/>
        </w:trPr>
        <w:tc>
          <w:tcPr>
            <w:tcW w:w="117" w:type="pct"/>
            <w:vMerge/>
            <w:tcBorders>
              <w:top w:val="single" w:sz="8" w:space="0" w:color="152935"/>
              <w:left w:val="nil"/>
              <w:bottom w:val="single" w:sz="8" w:space="0" w:color="152935"/>
              <w:right w:val="nil"/>
            </w:tcBorders>
            <w:vAlign w:val="center"/>
            <w:hideMark/>
          </w:tcPr>
          <w:p w14:paraId="46BABB4E" w14:textId="77777777" w:rsidR="00FF39F0" w:rsidRPr="005109A7" w:rsidRDefault="00FF39F0" w:rsidP="00F06DDA">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04B068EB" w14:textId="77777777" w:rsidR="00FF39F0" w:rsidRPr="005109A7" w:rsidRDefault="00FF39F0" w:rsidP="00F06DDA">
            <w:pPr>
              <w:spacing w:line="256" w:lineRule="auto"/>
              <w:rPr>
                <w:rFonts w:ascii="Arial" w:eastAsia="Calibri" w:hAnsi="Arial" w:cs="Arial"/>
              </w:rPr>
            </w:pPr>
            <w:r w:rsidRPr="00486DCD">
              <w:rPr>
                <w:rFonts w:ascii="Arial" w:eastAsia="Calibri" w:hAnsi="Arial" w:cs="Arial"/>
              </w:rPr>
              <w:t>Electric cooker (ownership)</w:t>
            </w:r>
          </w:p>
        </w:tc>
        <w:tc>
          <w:tcPr>
            <w:tcW w:w="564" w:type="pct"/>
            <w:tcBorders>
              <w:top w:val="single" w:sz="8" w:space="0" w:color="AEAEAE"/>
              <w:left w:val="nil"/>
              <w:bottom w:val="single" w:sz="8" w:space="0" w:color="AEAEAE"/>
              <w:right w:val="single" w:sz="8" w:space="0" w:color="E0E0E0"/>
            </w:tcBorders>
            <w:hideMark/>
          </w:tcPr>
          <w:p w14:paraId="7EB5C114"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.503</w:t>
            </w:r>
          </w:p>
        </w:tc>
        <w:tc>
          <w:tcPr>
            <w:tcW w:w="717" w:type="pct"/>
            <w:tcBorders>
              <w:top w:val="single" w:sz="8" w:space="0" w:color="AEAEAE"/>
              <w:left w:val="single" w:sz="8" w:space="0" w:color="E0E0E0"/>
              <w:bottom w:val="single" w:sz="8" w:space="0" w:color="AEAEAE"/>
              <w:right w:val="single" w:sz="8" w:space="0" w:color="E0E0E0"/>
            </w:tcBorders>
            <w:hideMark/>
          </w:tcPr>
          <w:p w14:paraId="1DBD27EF"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.115</w:t>
            </w:r>
          </w:p>
        </w:tc>
        <w:tc>
          <w:tcPr>
            <w:tcW w:w="1057" w:type="pct"/>
            <w:tcBorders>
              <w:top w:val="single" w:sz="8" w:space="0" w:color="AEAEAE"/>
              <w:left w:val="single" w:sz="8" w:space="0" w:color="E0E0E0"/>
              <w:bottom w:val="single" w:sz="8" w:space="0" w:color="AEAEAE"/>
              <w:right w:val="single" w:sz="8" w:space="0" w:color="E0E0E0"/>
            </w:tcBorders>
            <w:hideMark/>
          </w:tcPr>
          <w:p w14:paraId="7CB1C57A"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.129</w:t>
            </w:r>
          </w:p>
        </w:tc>
        <w:tc>
          <w:tcPr>
            <w:tcW w:w="572" w:type="pct"/>
            <w:tcBorders>
              <w:top w:val="single" w:sz="8" w:space="0" w:color="AEAEAE"/>
              <w:left w:val="single" w:sz="8" w:space="0" w:color="E0E0E0"/>
              <w:bottom w:val="single" w:sz="8" w:space="0" w:color="AEAEAE"/>
              <w:right w:val="single" w:sz="8" w:space="0" w:color="E0E0E0"/>
            </w:tcBorders>
            <w:hideMark/>
          </w:tcPr>
          <w:p w14:paraId="4AF1C85D"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4.363</w:t>
            </w:r>
          </w:p>
        </w:tc>
        <w:tc>
          <w:tcPr>
            <w:tcW w:w="465" w:type="pct"/>
            <w:tcBorders>
              <w:top w:val="single" w:sz="8" w:space="0" w:color="AEAEAE"/>
              <w:left w:val="single" w:sz="8" w:space="0" w:color="E0E0E0"/>
              <w:bottom w:val="single" w:sz="8" w:space="0" w:color="AEAEAE"/>
              <w:right w:val="nil"/>
            </w:tcBorders>
            <w:hideMark/>
          </w:tcPr>
          <w:p w14:paraId="38A0791E"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FF39F0" w:rsidRPr="00486DCD" w14:paraId="4EBD6F7F" w14:textId="77777777" w:rsidTr="00F06DDA">
        <w:trPr>
          <w:cantSplit/>
        </w:trPr>
        <w:tc>
          <w:tcPr>
            <w:tcW w:w="117" w:type="pct"/>
            <w:vMerge/>
            <w:tcBorders>
              <w:top w:val="single" w:sz="8" w:space="0" w:color="152935"/>
              <w:left w:val="nil"/>
              <w:bottom w:val="single" w:sz="8" w:space="0" w:color="152935"/>
              <w:right w:val="nil"/>
            </w:tcBorders>
            <w:vAlign w:val="center"/>
            <w:hideMark/>
          </w:tcPr>
          <w:p w14:paraId="39924091" w14:textId="77777777" w:rsidR="00FF39F0" w:rsidRPr="005109A7" w:rsidRDefault="00FF39F0" w:rsidP="00F06DDA">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3AC3C814" w14:textId="77777777" w:rsidR="00FF39F0" w:rsidRPr="005109A7" w:rsidRDefault="00FF39F0" w:rsidP="00F06DDA">
            <w:pPr>
              <w:spacing w:line="256" w:lineRule="auto"/>
              <w:rPr>
                <w:rFonts w:ascii="Arial" w:eastAsia="Calibri" w:hAnsi="Arial" w:cs="Arial"/>
              </w:rPr>
            </w:pPr>
            <w:r w:rsidRPr="00486DCD">
              <w:rPr>
                <w:rFonts w:ascii="Arial" w:eastAsia="Calibri" w:hAnsi="Arial" w:cs="Arial"/>
              </w:rPr>
              <w:t>Washing machine (ownership)</w:t>
            </w:r>
          </w:p>
        </w:tc>
        <w:tc>
          <w:tcPr>
            <w:tcW w:w="564" w:type="pct"/>
            <w:tcBorders>
              <w:top w:val="single" w:sz="8" w:space="0" w:color="AEAEAE"/>
              <w:left w:val="nil"/>
              <w:bottom w:val="single" w:sz="8" w:space="0" w:color="AEAEAE"/>
              <w:right w:val="single" w:sz="8" w:space="0" w:color="E0E0E0"/>
            </w:tcBorders>
            <w:hideMark/>
          </w:tcPr>
          <w:p w14:paraId="03DF7319"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-1.304</w:t>
            </w:r>
          </w:p>
        </w:tc>
        <w:tc>
          <w:tcPr>
            <w:tcW w:w="717" w:type="pct"/>
            <w:tcBorders>
              <w:top w:val="single" w:sz="8" w:space="0" w:color="AEAEAE"/>
              <w:left w:val="single" w:sz="8" w:space="0" w:color="E0E0E0"/>
              <w:bottom w:val="single" w:sz="8" w:space="0" w:color="AEAEAE"/>
              <w:right w:val="single" w:sz="8" w:space="0" w:color="E0E0E0"/>
            </w:tcBorders>
            <w:hideMark/>
          </w:tcPr>
          <w:p w14:paraId="2E4F32AA"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.142</w:t>
            </w:r>
          </w:p>
        </w:tc>
        <w:tc>
          <w:tcPr>
            <w:tcW w:w="1057" w:type="pct"/>
            <w:tcBorders>
              <w:top w:val="single" w:sz="8" w:space="0" w:color="AEAEAE"/>
              <w:left w:val="single" w:sz="8" w:space="0" w:color="E0E0E0"/>
              <w:bottom w:val="single" w:sz="8" w:space="0" w:color="AEAEAE"/>
              <w:right w:val="single" w:sz="8" w:space="0" w:color="E0E0E0"/>
            </w:tcBorders>
            <w:hideMark/>
          </w:tcPr>
          <w:p w14:paraId="2F578085"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.334</w:t>
            </w:r>
          </w:p>
        </w:tc>
        <w:tc>
          <w:tcPr>
            <w:tcW w:w="572" w:type="pct"/>
            <w:tcBorders>
              <w:top w:val="single" w:sz="8" w:space="0" w:color="AEAEAE"/>
              <w:left w:val="single" w:sz="8" w:space="0" w:color="E0E0E0"/>
              <w:bottom w:val="single" w:sz="8" w:space="0" w:color="AEAEAE"/>
              <w:right w:val="single" w:sz="8" w:space="0" w:color="E0E0E0"/>
            </w:tcBorders>
            <w:hideMark/>
          </w:tcPr>
          <w:p w14:paraId="4AEA4336"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-9.157</w:t>
            </w:r>
          </w:p>
        </w:tc>
        <w:tc>
          <w:tcPr>
            <w:tcW w:w="465" w:type="pct"/>
            <w:tcBorders>
              <w:top w:val="single" w:sz="8" w:space="0" w:color="AEAEAE"/>
              <w:left w:val="single" w:sz="8" w:space="0" w:color="E0E0E0"/>
              <w:bottom w:val="single" w:sz="8" w:space="0" w:color="AEAEAE"/>
              <w:right w:val="nil"/>
            </w:tcBorders>
            <w:hideMark/>
          </w:tcPr>
          <w:p w14:paraId="182140BE"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FF39F0" w:rsidRPr="00486DCD" w14:paraId="2A4B9C7E" w14:textId="77777777" w:rsidTr="00F06DDA">
        <w:trPr>
          <w:cantSplit/>
        </w:trPr>
        <w:tc>
          <w:tcPr>
            <w:tcW w:w="117" w:type="pct"/>
            <w:vMerge/>
            <w:tcBorders>
              <w:top w:val="single" w:sz="8" w:space="0" w:color="152935"/>
              <w:left w:val="nil"/>
              <w:bottom w:val="single" w:sz="8" w:space="0" w:color="152935"/>
              <w:right w:val="nil"/>
            </w:tcBorders>
            <w:vAlign w:val="center"/>
            <w:hideMark/>
          </w:tcPr>
          <w:p w14:paraId="546B36FF" w14:textId="77777777" w:rsidR="00FF39F0" w:rsidRPr="005109A7" w:rsidRDefault="00FF39F0" w:rsidP="00F06DDA">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3029C900" w14:textId="77777777" w:rsidR="00FF39F0" w:rsidRPr="005109A7" w:rsidRDefault="00FF39F0" w:rsidP="00F06DDA">
            <w:pPr>
              <w:spacing w:line="256" w:lineRule="auto"/>
              <w:rPr>
                <w:rFonts w:ascii="Arial" w:eastAsia="Calibri" w:hAnsi="Arial" w:cs="Arial"/>
              </w:rPr>
            </w:pPr>
            <w:r w:rsidRPr="00486DCD">
              <w:rPr>
                <w:rFonts w:ascii="Arial" w:eastAsia="Calibri" w:hAnsi="Arial" w:cs="Arial"/>
              </w:rPr>
              <w:t>Television (ownership)</w:t>
            </w:r>
          </w:p>
        </w:tc>
        <w:tc>
          <w:tcPr>
            <w:tcW w:w="564" w:type="pct"/>
            <w:tcBorders>
              <w:top w:val="single" w:sz="8" w:space="0" w:color="AEAEAE"/>
              <w:left w:val="nil"/>
              <w:bottom w:val="single" w:sz="8" w:space="0" w:color="AEAEAE"/>
              <w:right w:val="single" w:sz="8" w:space="0" w:color="E0E0E0"/>
            </w:tcBorders>
            <w:hideMark/>
          </w:tcPr>
          <w:p w14:paraId="4E10E236"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.195</w:t>
            </w:r>
          </w:p>
        </w:tc>
        <w:tc>
          <w:tcPr>
            <w:tcW w:w="717" w:type="pct"/>
            <w:tcBorders>
              <w:top w:val="single" w:sz="8" w:space="0" w:color="AEAEAE"/>
              <w:left w:val="single" w:sz="8" w:space="0" w:color="E0E0E0"/>
              <w:bottom w:val="single" w:sz="8" w:space="0" w:color="AEAEAE"/>
              <w:right w:val="single" w:sz="8" w:space="0" w:color="E0E0E0"/>
            </w:tcBorders>
            <w:hideMark/>
          </w:tcPr>
          <w:p w14:paraId="78C309F4"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.230</w:t>
            </w:r>
          </w:p>
        </w:tc>
        <w:tc>
          <w:tcPr>
            <w:tcW w:w="1057" w:type="pct"/>
            <w:tcBorders>
              <w:top w:val="single" w:sz="8" w:space="0" w:color="AEAEAE"/>
              <w:left w:val="single" w:sz="8" w:space="0" w:color="E0E0E0"/>
              <w:bottom w:val="single" w:sz="8" w:space="0" w:color="AEAEAE"/>
              <w:right w:val="single" w:sz="8" w:space="0" w:color="E0E0E0"/>
            </w:tcBorders>
            <w:hideMark/>
          </w:tcPr>
          <w:p w14:paraId="6D61DBC3"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.024</w:t>
            </w:r>
          </w:p>
        </w:tc>
        <w:tc>
          <w:tcPr>
            <w:tcW w:w="572" w:type="pct"/>
            <w:tcBorders>
              <w:top w:val="single" w:sz="8" w:space="0" w:color="AEAEAE"/>
              <w:left w:val="single" w:sz="8" w:space="0" w:color="E0E0E0"/>
              <w:bottom w:val="single" w:sz="8" w:space="0" w:color="AEAEAE"/>
              <w:right w:val="single" w:sz="8" w:space="0" w:color="E0E0E0"/>
            </w:tcBorders>
            <w:hideMark/>
          </w:tcPr>
          <w:p w14:paraId="5E38A712"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.850</w:t>
            </w:r>
          </w:p>
        </w:tc>
        <w:tc>
          <w:tcPr>
            <w:tcW w:w="465" w:type="pct"/>
            <w:tcBorders>
              <w:top w:val="single" w:sz="8" w:space="0" w:color="AEAEAE"/>
              <w:left w:val="single" w:sz="8" w:space="0" w:color="E0E0E0"/>
              <w:bottom w:val="single" w:sz="8" w:space="0" w:color="AEAEAE"/>
              <w:right w:val="nil"/>
            </w:tcBorders>
            <w:hideMark/>
          </w:tcPr>
          <w:p w14:paraId="3E6E58A6"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.396</w:t>
            </w:r>
          </w:p>
        </w:tc>
      </w:tr>
      <w:tr w:rsidR="00FF39F0" w:rsidRPr="00486DCD" w14:paraId="3D390403" w14:textId="77777777" w:rsidTr="00F06DDA">
        <w:trPr>
          <w:cantSplit/>
        </w:trPr>
        <w:tc>
          <w:tcPr>
            <w:tcW w:w="117" w:type="pct"/>
            <w:vMerge/>
            <w:tcBorders>
              <w:top w:val="single" w:sz="8" w:space="0" w:color="152935"/>
              <w:left w:val="nil"/>
              <w:bottom w:val="single" w:sz="8" w:space="0" w:color="152935"/>
              <w:right w:val="nil"/>
            </w:tcBorders>
            <w:vAlign w:val="center"/>
            <w:hideMark/>
          </w:tcPr>
          <w:p w14:paraId="31BF4C7D" w14:textId="77777777" w:rsidR="00FF39F0" w:rsidRPr="005109A7" w:rsidRDefault="00FF39F0" w:rsidP="00F06DDA">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12E63287" w14:textId="77777777" w:rsidR="00FF39F0" w:rsidRPr="005109A7" w:rsidRDefault="00FF39F0" w:rsidP="00F06DDA">
            <w:pPr>
              <w:spacing w:line="256" w:lineRule="auto"/>
              <w:rPr>
                <w:rFonts w:ascii="Arial" w:eastAsia="Calibri" w:hAnsi="Arial" w:cs="Arial"/>
              </w:rPr>
            </w:pPr>
            <w:r w:rsidRPr="00486DCD">
              <w:rPr>
                <w:rFonts w:ascii="Arial" w:eastAsia="Calibri" w:hAnsi="Arial" w:cs="Arial"/>
              </w:rPr>
              <w:t>Microwave (ownership)</w:t>
            </w:r>
          </w:p>
        </w:tc>
        <w:tc>
          <w:tcPr>
            <w:tcW w:w="564" w:type="pct"/>
            <w:tcBorders>
              <w:top w:val="single" w:sz="8" w:space="0" w:color="AEAEAE"/>
              <w:left w:val="nil"/>
              <w:bottom w:val="single" w:sz="8" w:space="0" w:color="AEAEAE"/>
              <w:right w:val="single" w:sz="8" w:space="0" w:color="E0E0E0"/>
            </w:tcBorders>
            <w:hideMark/>
          </w:tcPr>
          <w:p w14:paraId="242D13BA"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-1.819</w:t>
            </w:r>
          </w:p>
        </w:tc>
        <w:tc>
          <w:tcPr>
            <w:tcW w:w="717" w:type="pct"/>
            <w:tcBorders>
              <w:top w:val="single" w:sz="8" w:space="0" w:color="AEAEAE"/>
              <w:left w:val="single" w:sz="8" w:space="0" w:color="E0E0E0"/>
              <w:bottom w:val="single" w:sz="8" w:space="0" w:color="AEAEAE"/>
              <w:right w:val="single" w:sz="8" w:space="0" w:color="E0E0E0"/>
            </w:tcBorders>
            <w:hideMark/>
          </w:tcPr>
          <w:p w14:paraId="705A8043"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.128</w:t>
            </w:r>
          </w:p>
        </w:tc>
        <w:tc>
          <w:tcPr>
            <w:tcW w:w="1057" w:type="pct"/>
            <w:tcBorders>
              <w:top w:val="single" w:sz="8" w:space="0" w:color="AEAEAE"/>
              <w:left w:val="single" w:sz="8" w:space="0" w:color="E0E0E0"/>
              <w:bottom w:val="single" w:sz="8" w:space="0" w:color="AEAEAE"/>
              <w:right w:val="single" w:sz="8" w:space="0" w:color="E0E0E0"/>
            </w:tcBorders>
            <w:hideMark/>
          </w:tcPr>
          <w:p w14:paraId="5AF7854C"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.459</w:t>
            </w:r>
          </w:p>
        </w:tc>
        <w:tc>
          <w:tcPr>
            <w:tcW w:w="572" w:type="pct"/>
            <w:tcBorders>
              <w:top w:val="single" w:sz="8" w:space="0" w:color="AEAEAE"/>
              <w:left w:val="single" w:sz="8" w:space="0" w:color="E0E0E0"/>
              <w:bottom w:val="single" w:sz="8" w:space="0" w:color="AEAEAE"/>
              <w:right w:val="single" w:sz="8" w:space="0" w:color="E0E0E0"/>
            </w:tcBorders>
            <w:hideMark/>
          </w:tcPr>
          <w:p w14:paraId="64C1914B"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-14.189</w:t>
            </w:r>
          </w:p>
        </w:tc>
        <w:tc>
          <w:tcPr>
            <w:tcW w:w="465" w:type="pct"/>
            <w:tcBorders>
              <w:top w:val="single" w:sz="8" w:space="0" w:color="AEAEAE"/>
              <w:left w:val="single" w:sz="8" w:space="0" w:color="E0E0E0"/>
              <w:bottom w:val="single" w:sz="8" w:space="0" w:color="AEAEAE"/>
              <w:right w:val="nil"/>
            </w:tcBorders>
            <w:hideMark/>
          </w:tcPr>
          <w:p w14:paraId="70EFDE88"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FF39F0" w:rsidRPr="00486DCD" w14:paraId="5034C43C" w14:textId="77777777" w:rsidTr="00F06DDA">
        <w:trPr>
          <w:cantSplit/>
        </w:trPr>
        <w:tc>
          <w:tcPr>
            <w:tcW w:w="117" w:type="pct"/>
            <w:vMerge/>
            <w:tcBorders>
              <w:top w:val="single" w:sz="8" w:space="0" w:color="152935"/>
              <w:left w:val="nil"/>
              <w:bottom w:val="single" w:sz="8" w:space="0" w:color="152935"/>
              <w:right w:val="nil"/>
            </w:tcBorders>
            <w:vAlign w:val="center"/>
            <w:hideMark/>
          </w:tcPr>
          <w:p w14:paraId="4F5BC3A0" w14:textId="77777777" w:rsidR="00FF39F0" w:rsidRPr="005109A7" w:rsidRDefault="00FF39F0" w:rsidP="00F06DDA">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0E6CB77B" w14:textId="77777777" w:rsidR="00FF39F0" w:rsidRPr="005109A7" w:rsidRDefault="00FF39F0" w:rsidP="00F06DDA">
            <w:pPr>
              <w:spacing w:line="256" w:lineRule="auto"/>
              <w:rPr>
                <w:rFonts w:ascii="Arial" w:eastAsia="Calibri" w:hAnsi="Arial" w:cs="Arial"/>
              </w:rPr>
            </w:pPr>
            <w:r w:rsidRPr="00486DCD">
              <w:rPr>
                <w:rFonts w:ascii="Arial" w:eastAsia="Calibri" w:hAnsi="Arial" w:cs="Arial"/>
              </w:rPr>
              <w:t>Electric fan (ownership)</w:t>
            </w:r>
          </w:p>
        </w:tc>
        <w:tc>
          <w:tcPr>
            <w:tcW w:w="564" w:type="pct"/>
            <w:tcBorders>
              <w:top w:val="single" w:sz="8" w:space="0" w:color="AEAEAE"/>
              <w:left w:val="nil"/>
              <w:bottom w:val="single" w:sz="8" w:space="0" w:color="AEAEAE"/>
              <w:right w:val="single" w:sz="8" w:space="0" w:color="E0E0E0"/>
            </w:tcBorders>
            <w:hideMark/>
          </w:tcPr>
          <w:p w14:paraId="7BC7A1CD"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.603</w:t>
            </w:r>
          </w:p>
        </w:tc>
        <w:tc>
          <w:tcPr>
            <w:tcW w:w="717" w:type="pct"/>
            <w:tcBorders>
              <w:top w:val="single" w:sz="8" w:space="0" w:color="AEAEAE"/>
              <w:left w:val="single" w:sz="8" w:space="0" w:color="E0E0E0"/>
              <w:bottom w:val="single" w:sz="8" w:space="0" w:color="AEAEAE"/>
              <w:right w:val="single" w:sz="8" w:space="0" w:color="E0E0E0"/>
            </w:tcBorders>
            <w:hideMark/>
          </w:tcPr>
          <w:p w14:paraId="3497378D"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.209</w:t>
            </w:r>
          </w:p>
        </w:tc>
        <w:tc>
          <w:tcPr>
            <w:tcW w:w="1057" w:type="pct"/>
            <w:tcBorders>
              <w:top w:val="single" w:sz="8" w:space="0" w:color="AEAEAE"/>
              <w:left w:val="single" w:sz="8" w:space="0" w:color="E0E0E0"/>
              <w:bottom w:val="single" w:sz="8" w:space="0" w:color="AEAEAE"/>
              <w:right w:val="single" w:sz="8" w:space="0" w:color="E0E0E0"/>
            </w:tcBorders>
            <w:hideMark/>
          </w:tcPr>
          <w:p w14:paraId="283ADC4A"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.099</w:t>
            </w:r>
          </w:p>
        </w:tc>
        <w:tc>
          <w:tcPr>
            <w:tcW w:w="572" w:type="pct"/>
            <w:tcBorders>
              <w:top w:val="single" w:sz="8" w:space="0" w:color="AEAEAE"/>
              <w:left w:val="single" w:sz="8" w:space="0" w:color="E0E0E0"/>
              <w:bottom w:val="single" w:sz="8" w:space="0" w:color="AEAEAE"/>
              <w:right w:val="single" w:sz="8" w:space="0" w:color="E0E0E0"/>
            </w:tcBorders>
            <w:hideMark/>
          </w:tcPr>
          <w:p w14:paraId="7521C1F8"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2.881</w:t>
            </w:r>
          </w:p>
        </w:tc>
        <w:tc>
          <w:tcPr>
            <w:tcW w:w="465" w:type="pct"/>
            <w:tcBorders>
              <w:top w:val="single" w:sz="8" w:space="0" w:color="AEAEAE"/>
              <w:left w:val="single" w:sz="8" w:space="0" w:color="E0E0E0"/>
              <w:bottom w:val="single" w:sz="8" w:space="0" w:color="AEAEAE"/>
              <w:right w:val="nil"/>
            </w:tcBorders>
            <w:hideMark/>
          </w:tcPr>
          <w:p w14:paraId="2B1B450D"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.004</w:t>
            </w:r>
          </w:p>
        </w:tc>
      </w:tr>
      <w:tr w:rsidR="00FF39F0" w:rsidRPr="00486DCD" w14:paraId="46A44B53" w14:textId="77777777" w:rsidTr="00F06DDA">
        <w:trPr>
          <w:cantSplit/>
        </w:trPr>
        <w:tc>
          <w:tcPr>
            <w:tcW w:w="117" w:type="pct"/>
            <w:vMerge/>
            <w:tcBorders>
              <w:top w:val="single" w:sz="8" w:space="0" w:color="152935"/>
              <w:left w:val="nil"/>
              <w:bottom w:val="single" w:sz="8" w:space="0" w:color="152935"/>
              <w:right w:val="nil"/>
            </w:tcBorders>
            <w:vAlign w:val="center"/>
            <w:hideMark/>
          </w:tcPr>
          <w:p w14:paraId="13591AB3" w14:textId="77777777" w:rsidR="00FF39F0" w:rsidRPr="005109A7" w:rsidRDefault="00FF39F0" w:rsidP="00F06DDA">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5C6203E4" w14:textId="77777777" w:rsidR="00FF39F0" w:rsidRPr="005109A7" w:rsidRDefault="00FF39F0" w:rsidP="00F06DDA">
            <w:pPr>
              <w:spacing w:line="256" w:lineRule="auto"/>
              <w:rPr>
                <w:rFonts w:ascii="Arial" w:eastAsia="Calibri" w:hAnsi="Arial" w:cs="Arial"/>
              </w:rPr>
            </w:pPr>
            <w:r w:rsidRPr="00486DCD">
              <w:rPr>
                <w:rFonts w:ascii="Arial" w:eastAsia="Calibri" w:hAnsi="Arial" w:cs="Arial"/>
              </w:rPr>
              <w:t>Refrigerator (use)</w:t>
            </w:r>
          </w:p>
        </w:tc>
        <w:tc>
          <w:tcPr>
            <w:tcW w:w="564" w:type="pct"/>
            <w:tcBorders>
              <w:top w:val="single" w:sz="8" w:space="0" w:color="AEAEAE"/>
              <w:left w:val="nil"/>
              <w:bottom w:val="single" w:sz="8" w:space="0" w:color="AEAEAE"/>
              <w:right w:val="single" w:sz="8" w:space="0" w:color="E0E0E0"/>
            </w:tcBorders>
            <w:hideMark/>
          </w:tcPr>
          <w:p w14:paraId="373C2AE1"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.001</w:t>
            </w:r>
          </w:p>
        </w:tc>
        <w:tc>
          <w:tcPr>
            <w:tcW w:w="717" w:type="pct"/>
            <w:tcBorders>
              <w:top w:val="single" w:sz="8" w:space="0" w:color="AEAEAE"/>
              <w:left w:val="single" w:sz="8" w:space="0" w:color="E0E0E0"/>
              <w:bottom w:val="single" w:sz="8" w:space="0" w:color="AEAEAE"/>
              <w:right w:val="single" w:sz="8" w:space="0" w:color="E0E0E0"/>
            </w:tcBorders>
            <w:hideMark/>
          </w:tcPr>
          <w:p w14:paraId="1A45C68B"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.058</w:t>
            </w:r>
          </w:p>
        </w:tc>
        <w:tc>
          <w:tcPr>
            <w:tcW w:w="1057" w:type="pct"/>
            <w:tcBorders>
              <w:top w:val="single" w:sz="8" w:space="0" w:color="AEAEAE"/>
              <w:left w:val="single" w:sz="8" w:space="0" w:color="E0E0E0"/>
              <w:bottom w:val="single" w:sz="8" w:space="0" w:color="AEAEAE"/>
              <w:right w:val="single" w:sz="8" w:space="0" w:color="E0E0E0"/>
            </w:tcBorders>
            <w:hideMark/>
          </w:tcPr>
          <w:p w14:paraId="01DE7CF2"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.000</w:t>
            </w:r>
          </w:p>
        </w:tc>
        <w:tc>
          <w:tcPr>
            <w:tcW w:w="572" w:type="pct"/>
            <w:tcBorders>
              <w:top w:val="single" w:sz="8" w:space="0" w:color="AEAEAE"/>
              <w:left w:val="single" w:sz="8" w:space="0" w:color="E0E0E0"/>
              <w:bottom w:val="single" w:sz="8" w:space="0" w:color="AEAEAE"/>
              <w:right w:val="single" w:sz="8" w:space="0" w:color="E0E0E0"/>
            </w:tcBorders>
            <w:hideMark/>
          </w:tcPr>
          <w:p w14:paraId="4F6BF71A"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.014</w:t>
            </w:r>
          </w:p>
        </w:tc>
        <w:tc>
          <w:tcPr>
            <w:tcW w:w="465" w:type="pct"/>
            <w:tcBorders>
              <w:top w:val="single" w:sz="8" w:space="0" w:color="AEAEAE"/>
              <w:left w:val="single" w:sz="8" w:space="0" w:color="E0E0E0"/>
              <w:bottom w:val="single" w:sz="8" w:space="0" w:color="AEAEAE"/>
              <w:right w:val="nil"/>
            </w:tcBorders>
            <w:hideMark/>
          </w:tcPr>
          <w:p w14:paraId="7BF37A35"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.988</w:t>
            </w:r>
          </w:p>
        </w:tc>
      </w:tr>
      <w:tr w:rsidR="00FF39F0" w:rsidRPr="00486DCD" w14:paraId="1AF8515A" w14:textId="77777777" w:rsidTr="00F06DDA">
        <w:trPr>
          <w:cantSplit/>
        </w:trPr>
        <w:tc>
          <w:tcPr>
            <w:tcW w:w="117" w:type="pct"/>
            <w:vMerge/>
            <w:tcBorders>
              <w:top w:val="single" w:sz="8" w:space="0" w:color="152935"/>
              <w:left w:val="nil"/>
              <w:bottom w:val="single" w:sz="8" w:space="0" w:color="152935"/>
              <w:right w:val="nil"/>
            </w:tcBorders>
            <w:vAlign w:val="center"/>
            <w:hideMark/>
          </w:tcPr>
          <w:p w14:paraId="27EA8399" w14:textId="77777777" w:rsidR="00FF39F0" w:rsidRPr="005109A7" w:rsidRDefault="00FF39F0" w:rsidP="00F06DDA">
            <w:pPr>
              <w:spacing w:line="256" w:lineRule="auto"/>
              <w:rPr>
                <w:rFonts w:ascii="Arial" w:eastAsia="Calibri" w:hAnsi="Arial" w:cs="Arial"/>
              </w:rPr>
            </w:pPr>
          </w:p>
        </w:tc>
        <w:tc>
          <w:tcPr>
            <w:tcW w:w="1508" w:type="pct"/>
            <w:tcBorders>
              <w:top w:val="single" w:sz="8" w:space="0" w:color="AEAEAE"/>
              <w:left w:val="nil"/>
              <w:bottom w:val="single" w:sz="8" w:space="0" w:color="AEAEAE"/>
              <w:right w:val="nil"/>
            </w:tcBorders>
            <w:hideMark/>
          </w:tcPr>
          <w:p w14:paraId="6AC75341" w14:textId="77777777" w:rsidR="00FF39F0" w:rsidRPr="005109A7" w:rsidRDefault="00FF39F0" w:rsidP="00F06DDA">
            <w:pPr>
              <w:spacing w:line="256" w:lineRule="auto"/>
              <w:rPr>
                <w:rFonts w:ascii="Arial" w:eastAsia="Calibri" w:hAnsi="Arial" w:cs="Arial"/>
              </w:rPr>
            </w:pPr>
            <w:r w:rsidRPr="00486DCD">
              <w:rPr>
                <w:rFonts w:ascii="Arial" w:eastAsia="Calibri" w:hAnsi="Arial" w:cs="Arial"/>
              </w:rPr>
              <w:t>Air conditioner (use)</w:t>
            </w:r>
          </w:p>
        </w:tc>
        <w:tc>
          <w:tcPr>
            <w:tcW w:w="564" w:type="pct"/>
            <w:tcBorders>
              <w:top w:val="single" w:sz="8" w:space="0" w:color="AEAEAE"/>
              <w:left w:val="nil"/>
              <w:bottom w:val="single" w:sz="8" w:space="0" w:color="AEAEAE"/>
              <w:right w:val="single" w:sz="8" w:space="0" w:color="E0E0E0"/>
            </w:tcBorders>
            <w:hideMark/>
          </w:tcPr>
          <w:p w14:paraId="7BD1DA2C"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2.006</w:t>
            </w:r>
          </w:p>
        </w:tc>
        <w:tc>
          <w:tcPr>
            <w:tcW w:w="717" w:type="pct"/>
            <w:tcBorders>
              <w:top w:val="single" w:sz="8" w:space="0" w:color="AEAEAE"/>
              <w:left w:val="single" w:sz="8" w:space="0" w:color="E0E0E0"/>
              <w:bottom w:val="single" w:sz="8" w:space="0" w:color="AEAEAE"/>
              <w:right w:val="single" w:sz="8" w:space="0" w:color="E0E0E0"/>
            </w:tcBorders>
            <w:hideMark/>
          </w:tcPr>
          <w:p w14:paraId="3CABCA0A"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.152</w:t>
            </w:r>
          </w:p>
        </w:tc>
        <w:tc>
          <w:tcPr>
            <w:tcW w:w="1057" w:type="pct"/>
            <w:tcBorders>
              <w:top w:val="single" w:sz="8" w:space="0" w:color="AEAEAE"/>
              <w:left w:val="single" w:sz="8" w:space="0" w:color="E0E0E0"/>
              <w:bottom w:val="single" w:sz="8" w:space="0" w:color="AEAEAE"/>
              <w:right w:val="single" w:sz="8" w:space="0" w:color="E0E0E0"/>
            </w:tcBorders>
            <w:hideMark/>
          </w:tcPr>
          <w:p w14:paraId="2572A572"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.551</w:t>
            </w:r>
          </w:p>
        </w:tc>
        <w:tc>
          <w:tcPr>
            <w:tcW w:w="572" w:type="pct"/>
            <w:tcBorders>
              <w:top w:val="single" w:sz="8" w:space="0" w:color="AEAEAE"/>
              <w:left w:val="single" w:sz="8" w:space="0" w:color="E0E0E0"/>
              <w:bottom w:val="single" w:sz="8" w:space="0" w:color="AEAEAE"/>
              <w:right w:val="single" w:sz="8" w:space="0" w:color="E0E0E0"/>
            </w:tcBorders>
            <w:hideMark/>
          </w:tcPr>
          <w:p w14:paraId="3A41C8A7"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13.168</w:t>
            </w:r>
          </w:p>
        </w:tc>
        <w:tc>
          <w:tcPr>
            <w:tcW w:w="465" w:type="pct"/>
            <w:tcBorders>
              <w:top w:val="single" w:sz="8" w:space="0" w:color="AEAEAE"/>
              <w:left w:val="single" w:sz="8" w:space="0" w:color="E0E0E0"/>
              <w:bottom w:val="single" w:sz="8" w:space="0" w:color="AEAEAE"/>
              <w:right w:val="nil"/>
            </w:tcBorders>
            <w:hideMark/>
          </w:tcPr>
          <w:p w14:paraId="08BB7807"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FF39F0" w:rsidRPr="00486DCD" w14:paraId="2AEF7391" w14:textId="77777777" w:rsidTr="00F06DDA">
        <w:trPr>
          <w:cantSplit/>
        </w:trPr>
        <w:tc>
          <w:tcPr>
            <w:tcW w:w="117" w:type="pct"/>
            <w:vMerge/>
            <w:tcBorders>
              <w:top w:val="single" w:sz="8" w:space="0" w:color="152935"/>
              <w:left w:val="nil"/>
              <w:bottom w:val="single" w:sz="8" w:space="0" w:color="152935"/>
              <w:right w:val="nil"/>
            </w:tcBorders>
            <w:vAlign w:val="center"/>
            <w:hideMark/>
          </w:tcPr>
          <w:p w14:paraId="4355B500" w14:textId="77777777" w:rsidR="00FF39F0" w:rsidRPr="005109A7" w:rsidRDefault="00FF39F0" w:rsidP="00F06DDA">
            <w:pPr>
              <w:spacing w:line="256" w:lineRule="auto"/>
              <w:rPr>
                <w:rFonts w:ascii="Arial" w:eastAsia="Calibri" w:hAnsi="Arial" w:cs="Arial"/>
              </w:rPr>
            </w:pPr>
          </w:p>
        </w:tc>
        <w:tc>
          <w:tcPr>
            <w:tcW w:w="1508" w:type="pct"/>
            <w:tcBorders>
              <w:top w:val="single" w:sz="8" w:space="0" w:color="AEAEAE"/>
              <w:left w:val="nil"/>
              <w:bottom w:val="single" w:sz="8" w:space="0" w:color="152935"/>
              <w:right w:val="nil"/>
            </w:tcBorders>
            <w:hideMark/>
          </w:tcPr>
          <w:p w14:paraId="4A0D8988" w14:textId="77777777" w:rsidR="00FF39F0" w:rsidRPr="005109A7" w:rsidRDefault="00FF39F0" w:rsidP="00F06DDA">
            <w:pPr>
              <w:spacing w:line="256" w:lineRule="auto"/>
              <w:rPr>
                <w:rFonts w:ascii="Arial" w:eastAsia="Calibri" w:hAnsi="Arial" w:cs="Arial"/>
              </w:rPr>
            </w:pPr>
            <w:r w:rsidRPr="00486DCD">
              <w:rPr>
                <w:rFonts w:ascii="Arial" w:eastAsia="Calibri" w:hAnsi="Arial" w:cs="Arial"/>
              </w:rPr>
              <w:t>Electric cooker (use)</w:t>
            </w:r>
          </w:p>
        </w:tc>
        <w:tc>
          <w:tcPr>
            <w:tcW w:w="564" w:type="pct"/>
            <w:tcBorders>
              <w:top w:val="single" w:sz="8" w:space="0" w:color="AEAEAE"/>
              <w:left w:val="nil"/>
              <w:bottom w:val="single" w:sz="8" w:space="0" w:color="152935"/>
              <w:right w:val="single" w:sz="8" w:space="0" w:color="E0E0E0"/>
            </w:tcBorders>
            <w:hideMark/>
          </w:tcPr>
          <w:p w14:paraId="0461F9A8"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.481</w:t>
            </w:r>
          </w:p>
        </w:tc>
        <w:tc>
          <w:tcPr>
            <w:tcW w:w="717" w:type="pct"/>
            <w:tcBorders>
              <w:top w:val="single" w:sz="8" w:space="0" w:color="AEAEAE"/>
              <w:left w:val="single" w:sz="8" w:space="0" w:color="E0E0E0"/>
              <w:bottom w:val="single" w:sz="8" w:space="0" w:color="152935"/>
              <w:right w:val="single" w:sz="8" w:space="0" w:color="E0E0E0"/>
            </w:tcBorders>
            <w:hideMark/>
          </w:tcPr>
          <w:p w14:paraId="3DB34DF1"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.111</w:t>
            </w:r>
          </w:p>
        </w:tc>
        <w:tc>
          <w:tcPr>
            <w:tcW w:w="1057" w:type="pct"/>
            <w:tcBorders>
              <w:top w:val="single" w:sz="8" w:space="0" w:color="AEAEAE"/>
              <w:left w:val="single" w:sz="8" w:space="0" w:color="E0E0E0"/>
              <w:bottom w:val="single" w:sz="8" w:space="0" w:color="152935"/>
              <w:right w:val="single" w:sz="8" w:space="0" w:color="E0E0E0"/>
            </w:tcBorders>
            <w:hideMark/>
          </w:tcPr>
          <w:p w14:paraId="22C1DAF6"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.139</w:t>
            </w:r>
          </w:p>
        </w:tc>
        <w:tc>
          <w:tcPr>
            <w:tcW w:w="572" w:type="pct"/>
            <w:tcBorders>
              <w:top w:val="single" w:sz="8" w:space="0" w:color="AEAEAE"/>
              <w:left w:val="single" w:sz="8" w:space="0" w:color="E0E0E0"/>
              <w:bottom w:val="single" w:sz="8" w:space="0" w:color="152935"/>
              <w:right w:val="single" w:sz="8" w:space="0" w:color="E0E0E0"/>
            </w:tcBorders>
            <w:hideMark/>
          </w:tcPr>
          <w:p w14:paraId="01F9E2FE" w14:textId="77777777" w:rsidR="00FF39F0" w:rsidRPr="005109A7" w:rsidRDefault="00FF39F0" w:rsidP="00F06DDA">
            <w:pPr>
              <w:spacing w:line="256" w:lineRule="auto"/>
              <w:jc w:val="right"/>
              <w:rPr>
                <w:rFonts w:ascii="Arial" w:eastAsia="Calibri" w:hAnsi="Arial" w:cs="Arial"/>
              </w:rPr>
            </w:pPr>
            <w:r w:rsidRPr="005109A7">
              <w:rPr>
                <w:rFonts w:ascii="Arial" w:eastAsia="Calibri" w:hAnsi="Arial" w:cs="Arial"/>
              </w:rPr>
              <w:t>4.348</w:t>
            </w:r>
          </w:p>
        </w:tc>
        <w:tc>
          <w:tcPr>
            <w:tcW w:w="465" w:type="pct"/>
            <w:tcBorders>
              <w:top w:val="single" w:sz="8" w:space="0" w:color="AEAEAE"/>
              <w:left w:val="single" w:sz="8" w:space="0" w:color="E0E0E0"/>
              <w:bottom w:val="single" w:sz="8" w:space="0" w:color="152935"/>
              <w:right w:val="nil"/>
            </w:tcBorders>
            <w:hideMark/>
          </w:tcPr>
          <w:p w14:paraId="6A85D2A8" w14:textId="77777777" w:rsidR="00FF39F0" w:rsidRPr="005109A7" w:rsidRDefault="00FF39F0" w:rsidP="00F06DDA">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FF39F0" w:rsidRPr="005109A7" w14:paraId="609CAAA3" w14:textId="77777777" w:rsidTr="00F06DDA">
        <w:trPr>
          <w:cantSplit/>
        </w:trPr>
        <w:tc>
          <w:tcPr>
            <w:tcW w:w="5000" w:type="pct"/>
            <w:gridSpan w:val="7"/>
            <w:tcBorders>
              <w:top w:val="nil"/>
              <w:left w:val="nil"/>
              <w:bottom w:val="nil"/>
              <w:right w:val="nil"/>
            </w:tcBorders>
            <w:hideMark/>
          </w:tcPr>
          <w:p w14:paraId="3F3147CF" w14:textId="77777777" w:rsidR="00FF39F0" w:rsidRPr="005109A7" w:rsidRDefault="00FF39F0" w:rsidP="00F06DDA">
            <w:pPr>
              <w:spacing w:line="256" w:lineRule="auto"/>
              <w:rPr>
                <w:rFonts w:ascii="Arial" w:eastAsia="Calibri" w:hAnsi="Arial" w:cs="Arial"/>
                <w:i/>
                <w:iCs/>
              </w:rPr>
            </w:pPr>
            <w:r w:rsidRPr="005109A7">
              <w:rPr>
                <w:rFonts w:ascii="Arial" w:eastAsia="Calibri" w:hAnsi="Arial" w:cs="Arial"/>
                <w:i/>
                <w:iCs/>
              </w:rPr>
              <w:t>a. Dependent Variable: Household Energy Consumption</w:t>
            </w:r>
          </w:p>
        </w:tc>
      </w:tr>
    </w:tbl>
    <w:p w14:paraId="55B817D4" w14:textId="77777777" w:rsidR="00FF39F0" w:rsidRDefault="00FF39F0" w:rsidP="00180BA8">
      <w:pPr>
        <w:spacing w:after="200"/>
        <w:contextualSpacing/>
        <w:jc w:val="both"/>
        <w:rPr>
          <w:rFonts w:ascii="Arial" w:eastAsia="Calibri" w:hAnsi="Arial" w:cs="Arial"/>
          <w:sz w:val="24"/>
          <w:szCs w:val="24"/>
        </w:rPr>
      </w:pPr>
    </w:p>
    <w:p w14:paraId="1ED04A6C" w14:textId="77777777" w:rsidR="0091151A" w:rsidRPr="00243692" w:rsidRDefault="0091151A" w:rsidP="00B16B41">
      <w:pPr>
        <w:spacing w:after="200"/>
        <w:outlineLvl w:val="0"/>
        <w:rPr>
          <w:rFonts w:ascii="Arial" w:eastAsia="Aptos" w:hAnsi="Arial" w:cs="Arial"/>
          <w:b/>
          <w:bCs/>
          <w:sz w:val="24"/>
          <w:szCs w:val="24"/>
        </w:rPr>
      </w:pPr>
      <w:r w:rsidRPr="00243692">
        <w:rPr>
          <w:rFonts w:ascii="Arial" w:eastAsia="Aptos" w:hAnsi="Arial" w:cs="Arial"/>
          <w:b/>
          <w:bCs/>
          <w:sz w:val="24"/>
          <w:szCs w:val="24"/>
        </w:rPr>
        <w:t xml:space="preserve">3.3 </w:t>
      </w:r>
      <w:r w:rsidRPr="00243692">
        <w:rPr>
          <w:rFonts w:ascii="Arial" w:eastAsia="Aptos" w:hAnsi="Arial" w:cs="Arial"/>
          <w:b/>
          <w:bCs/>
          <w:sz w:val="24"/>
          <w:szCs w:val="24"/>
        </w:rPr>
        <w:tab/>
        <w:t>Behavioral Factors and Household Energy Consumption</w:t>
      </w:r>
    </w:p>
    <w:p w14:paraId="37C3CE74" w14:textId="77777777" w:rsidR="0091151A" w:rsidRPr="00243692" w:rsidRDefault="0091151A" w:rsidP="00B16B41">
      <w:pPr>
        <w:spacing w:after="200"/>
        <w:jc w:val="both"/>
        <w:rPr>
          <w:rFonts w:ascii="Arial" w:eastAsia="Calibri" w:hAnsi="Arial" w:cs="Arial"/>
          <w:sz w:val="24"/>
          <w:szCs w:val="24"/>
        </w:rPr>
      </w:pPr>
      <w:r w:rsidRPr="00243692">
        <w:rPr>
          <w:rFonts w:ascii="Arial" w:eastAsia="Calibri" w:hAnsi="Arial" w:cs="Arial"/>
          <w:sz w:val="24"/>
          <w:szCs w:val="24"/>
        </w:rPr>
        <w:t>The regression analysis shows that behavioral factors explain 32.9% of the variance in household energy use (R² = .329, Adjusted R² = .320). The model was statistically significant (</w:t>
      </w:r>
      <w:r w:rsidRPr="00243692">
        <w:rPr>
          <w:rFonts w:ascii="Arial" w:eastAsia="Calibri" w:hAnsi="Arial" w:cs="Arial"/>
          <w:i/>
          <w:iCs/>
          <w:sz w:val="24"/>
          <w:szCs w:val="24"/>
        </w:rPr>
        <w:t>F</w:t>
      </w:r>
      <w:r w:rsidRPr="00243692">
        <w:rPr>
          <w:rFonts w:ascii="Arial" w:eastAsia="Calibri" w:hAnsi="Arial" w:cs="Arial"/>
          <w:sz w:val="24"/>
          <w:szCs w:val="24"/>
        </w:rPr>
        <w:t xml:space="preserve"> = 35.544, </w:t>
      </w:r>
      <w:r w:rsidRPr="00243692">
        <w:rPr>
          <w:rFonts w:ascii="Arial" w:eastAsia="Calibri" w:hAnsi="Arial" w:cs="Arial"/>
          <w:i/>
          <w:iCs/>
          <w:sz w:val="24"/>
          <w:szCs w:val="24"/>
        </w:rPr>
        <w:t>P</w:t>
      </w:r>
      <w:r w:rsidRPr="00243692">
        <w:rPr>
          <w:rFonts w:ascii="Arial" w:eastAsia="Calibri" w:hAnsi="Arial" w:cs="Arial"/>
          <w:sz w:val="24"/>
          <w:szCs w:val="24"/>
        </w:rPr>
        <w:t xml:space="preserve"> = .000).</w:t>
      </w:r>
    </w:p>
    <w:p w14:paraId="6DD3FAF9" w14:textId="2FEA6BAC" w:rsidR="0091151A" w:rsidRPr="00243692" w:rsidRDefault="0091151A" w:rsidP="00B16B41">
      <w:pPr>
        <w:spacing w:after="200"/>
        <w:jc w:val="both"/>
        <w:rPr>
          <w:rFonts w:ascii="Arial" w:hAnsi="Arial" w:cs="Arial"/>
          <w:sz w:val="24"/>
          <w:szCs w:val="24"/>
        </w:rPr>
      </w:pPr>
      <w:r w:rsidRPr="00243692">
        <w:rPr>
          <w:rFonts w:ascii="Arial" w:hAnsi="Arial" w:cs="Arial"/>
          <w:sz w:val="24"/>
          <w:szCs w:val="24"/>
        </w:rPr>
        <w:t xml:space="preserve">Key coefficients (Table 3) reveal mixed effects. Using LED bulbs (B = -0.519, </w:t>
      </w:r>
      <w:r w:rsidRPr="00243692">
        <w:rPr>
          <w:rFonts w:ascii="Arial" w:hAnsi="Arial" w:cs="Arial"/>
          <w:i/>
          <w:iCs/>
          <w:sz w:val="24"/>
          <w:szCs w:val="24"/>
        </w:rPr>
        <w:t>P</w:t>
      </w:r>
      <w:r w:rsidRPr="00243692">
        <w:rPr>
          <w:rFonts w:ascii="Arial" w:hAnsi="Arial" w:cs="Arial"/>
          <w:sz w:val="24"/>
          <w:szCs w:val="24"/>
        </w:rPr>
        <w:t xml:space="preserve"> = .024) and fans instead of air conditioners (B = -0.732, </w:t>
      </w:r>
      <w:r w:rsidRPr="00243692">
        <w:rPr>
          <w:rFonts w:ascii="Arial" w:hAnsi="Arial" w:cs="Arial"/>
          <w:i/>
          <w:iCs/>
          <w:sz w:val="24"/>
          <w:szCs w:val="24"/>
        </w:rPr>
        <w:t>P</w:t>
      </w:r>
      <w:r w:rsidRPr="00243692">
        <w:rPr>
          <w:rFonts w:ascii="Arial" w:hAnsi="Arial" w:cs="Arial"/>
          <w:sz w:val="24"/>
          <w:szCs w:val="24"/>
        </w:rPr>
        <w:t xml:space="preserve"> = .000) significantly reduced energy use, while turning off lights (B = 0.524, </w:t>
      </w:r>
      <w:r w:rsidRPr="00243692">
        <w:rPr>
          <w:rFonts w:ascii="Arial" w:hAnsi="Arial" w:cs="Arial"/>
          <w:i/>
          <w:iCs/>
          <w:sz w:val="24"/>
          <w:szCs w:val="24"/>
        </w:rPr>
        <w:t>P</w:t>
      </w:r>
      <w:r w:rsidRPr="00243692">
        <w:rPr>
          <w:rFonts w:ascii="Arial" w:hAnsi="Arial" w:cs="Arial"/>
          <w:sz w:val="24"/>
          <w:szCs w:val="24"/>
        </w:rPr>
        <w:t xml:space="preserve"> = .000) and unplugging appliances (B = 0.422, </w:t>
      </w:r>
      <w:r w:rsidRPr="00243692">
        <w:rPr>
          <w:rFonts w:ascii="Arial" w:hAnsi="Arial" w:cs="Arial"/>
          <w:i/>
          <w:iCs/>
          <w:sz w:val="24"/>
          <w:szCs w:val="24"/>
        </w:rPr>
        <w:t>P</w:t>
      </w:r>
      <w:r w:rsidRPr="00243692">
        <w:rPr>
          <w:rFonts w:ascii="Arial" w:hAnsi="Arial" w:cs="Arial"/>
          <w:sz w:val="24"/>
          <w:szCs w:val="24"/>
        </w:rPr>
        <w:t xml:space="preserve"> = .002) were unexpectedly associated with higher consumption, possibly reflecting a rebound effect or confounding household practices. Insulating homes (B = 0.156, </w:t>
      </w:r>
      <w:r w:rsidRPr="00243692">
        <w:rPr>
          <w:rFonts w:ascii="Arial" w:hAnsi="Arial" w:cs="Arial"/>
          <w:i/>
          <w:iCs/>
          <w:sz w:val="24"/>
          <w:szCs w:val="24"/>
        </w:rPr>
        <w:t>P</w:t>
      </w:r>
      <w:r w:rsidRPr="00243692">
        <w:rPr>
          <w:rFonts w:ascii="Arial" w:hAnsi="Arial" w:cs="Arial"/>
          <w:sz w:val="24"/>
          <w:szCs w:val="24"/>
        </w:rPr>
        <w:t xml:space="preserve"> = .012) and using energy-efficient cooking methods (B = 0.253, </w:t>
      </w:r>
      <w:r w:rsidRPr="00243692">
        <w:rPr>
          <w:rFonts w:ascii="Arial" w:hAnsi="Arial" w:cs="Arial"/>
          <w:i/>
          <w:iCs/>
          <w:sz w:val="24"/>
          <w:szCs w:val="24"/>
        </w:rPr>
        <w:t>P</w:t>
      </w:r>
      <w:r w:rsidRPr="00243692">
        <w:rPr>
          <w:rFonts w:ascii="Arial" w:hAnsi="Arial" w:cs="Arial"/>
          <w:sz w:val="24"/>
          <w:szCs w:val="24"/>
        </w:rPr>
        <w:t xml:space="preserve"> = .000) showed positive coefficients, suggesting that efficiency gains may be offset by increased overall appliance use.</w:t>
      </w:r>
    </w:p>
    <w:tbl>
      <w:tblPr>
        <w:tblW w:w="510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31"/>
        <w:gridCol w:w="3658"/>
        <w:gridCol w:w="912"/>
        <w:gridCol w:w="1470"/>
        <w:gridCol w:w="1468"/>
        <w:gridCol w:w="854"/>
        <w:gridCol w:w="762"/>
      </w:tblGrid>
      <w:tr w:rsidR="0091151A" w:rsidRPr="00486DCD" w14:paraId="20EC4A7C" w14:textId="77777777" w:rsidTr="0070714A">
        <w:trPr>
          <w:cantSplit/>
        </w:trPr>
        <w:tc>
          <w:tcPr>
            <w:tcW w:w="5000" w:type="pct"/>
            <w:gridSpan w:val="7"/>
            <w:tcBorders>
              <w:top w:val="nil"/>
              <w:left w:val="nil"/>
              <w:bottom w:val="single" w:sz="4" w:space="0" w:color="auto"/>
              <w:right w:val="nil"/>
            </w:tcBorders>
            <w:vAlign w:val="center"/>
            <w:hideMark/>
          </w:tcPr>
          <w:p w14:paraId="499CD6E1" w14:textId="31785766" w:rsidR="0091151A" w:rsidRPr="005109A7" w:rsidRDefault="0091151A" w:rsidP="002B4D1C">
            <w:pPr>
              <w:spacing w:line="256" w:lineRule="auto"/>
              <w:rPr>
                <w:rFonts w:ascii="Arial" w:eastAsia="Calibri" w:hAnsi="Arial" w:cs="Arial"/>
                <w:b/>
                <w:bCs/>
              </w:rPr>
            </w:pPr>
            <w:bookmarkStart w:id="5" w:name="_Hlk189508246"/>
            <w:r w:rsidRPr="005109A7">
              <w:rPr>
                <w:rFonts w:ascii="Arial" w:eastAsia="Calibri" w:hAnsi="Arial" w:cs="Arial"/>
                <w:b/>
                <w:bCs/>
              </w:rPr>
              <w:t xml:space="preserve">Table </w:t>
            </w:r>
            <w:r w:rsidR="00B16B41" w:rsidRPr="00486DCD">
              <w:rPr>
                <w:rFonts w:ascii="Arial" w:eastAsia="Calibri" w:hAnsi="Arial" w:cs="Arial"/>
                <w:b/>
                <w:bCs/>
              </w:rPr>
              <w:t>3</w:t>
            </w:r>
            <w:r w:rsidRPr="005109A7">
              <w:rPr>
                <w:rFonts w:ascii="Arial" w:eastAsia="Calibri" w:hAnsi="Arial" w:cs="Arial"/>
                <w:b/>
                <w:bCs/>
              </w:rPr>
              <w:t xml:space="preserve"> </w:t>
            </w:r>
            <w:r w:rsidR="00B16B41" w:rsidRPr="00486DCD">
              <w:rPr>
                <w:rFonts w:ascii="Arial" w:eastAsia="Calibri" w:hAnsi="Arial" w:cs="Arial"/>
                <w:b/>
                <w:bCs/>
              </w:rPr>
              <w:t>–</w:t>
            </w:r>
            <w:r w:rsidRPr="005109A7">
              <w:rPr>
                <w:rFonts w:ascii="Arial" w:eastAsia="Calibri" w:hAnsi="Arial" w:cs="Arial"/>
                <w:b/>
                <w:bCs/>
              </w:rPr>
              <w:t xml:space="preserve"> Coefficients</w:t>
            </w:r>
            <w:bookmarkEnd w:id="5"/>
            <w:r w:rsidR="00B16B41" w:rsidRPr="00486DCD">
              <w:rPr>
                <w:rFonts w:ascii="Arial" w:eastAsia="Calibri" w:hAnsi="Arial" w:cs="Arial"/>
                <w:b/>
                <w:bCs/>
              </w:rPr>
              <w:t xml:space="preserve"> of Regression for Behavioral Factors</w:t>
            </w:r>
          </w:p>
        </w:tc>
      </w:tr>
      <w:tr w:rsidR="0070714A" w:rsidRPr="00486DCD" w14:paraId="79F00358" w14:textId="77777777" w:rsidTr="0070714A">
        <w:trPr>
          <w:cantSplit/>
        </w:trPr>
        <w:tc>
          <w:tcPr>
            <w:tcW w:w="2139" w:type="pct"/>
            <w:gridSpan w:val="2"/>
            <w:vMerge w:val="restart"/>
            <w:tcBorders>
              <w:top w:val="single" w:sz="4" w:space="0" w:color="auto"/>
              <w:left w:val="nil"/>
              <w:bottom w:val="single" w:sz="4" w:space="0" w:color="auto"/>
              <w:right w:val="nil"/>
            </w:tcBorders>
            <w:vAlign w:val="bottom"/>
            <w:hideMark/>
          </w:tcPr>
          <w:p w14:paraId="23F23B3C" w14:textId="77777777" w:rsidR="0091151A" w:rsidRPr="005109A7" w:rsidRDefault="0091151A" w:rsidP="002B4D1C">
            <w:pPr>
              <w:spacing w:line="256" w:lineRule="auto"/>
              <w:rPr>
                <w:rFonts w:ascii="Arial" w:eastAsia="Calibri" w:hAnsi="Arial" w:cs="Arial"/>
                <w:b/>
                <w:bCs/>
              </w:rPr>
            </w:pPr>
            <w:r w:rsidRPr="005109A7">
              <w:rPr>
                <w:rFonts w:ascii="Arial" w:eastAsia="Calibri" w:hAnsi="Arial" w:cs="Arial"/>
                <w:b/>
                <w:bCs/>
              </w:rPr>
              <w:t>Model</w:t>
            </w:r>
          </w:p>
        </w:tc>
        <w:tc>
          <w:tcPr>
            <w:tcW w:w="1246" w:type="pct"/>
            <w:gridSpan w:val="2"/>
            <w:tcBorders>
              <w:top w:val="single" w:sz="4" w:space="0" w:color="auto"/>
              <w:left w:val="nil"/>
              <w:bottom w:val="single" w:sz="4" w:space="0" w:color="auto"/>
              <w:right w:val="single" w:sz="8" w:space="0" w:color="E0E0E0"/>
            </w:tcBorders>
            <w:vAlign w:val="bottom"/>
            <w:hideMark/>
          </w:tcPr>
          <w:p w14:paraId="1ED72B84"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Unstandardized Coefficients</w:t>
            </w:r>
          </w:p>
        </w:tc>
        <w:tc>
          <w:tcPr>
            <w:tcW w:w="768" w:type="pct"/>
            <w:tcBorders>
              <w:top w:val="single" w:sz="4" w:space="0" w:color="auto"/>
              <w:left w:val="single" w:sz="8" w:space="0" w:color="E0E0E0"/>
              <w:bottom w:val="single" w:sz="4" w:space="0" w:color="auto"/>
              <w:right w:val="single" w:sz="8" w:space="0" w:color="E0E0E0"/>
            </w:tcBorders>
            <w:vAlign w:val="bottom"/>
            <w:hideMark/>
          </w:tcPr>
          <w:p w14:paraId="3FAD1BB4"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Standardized Coefficients</w:t>
            </w:r>
          </w:p>
        </w:tc>
        <w:tc>
          <w:tcPr>
            <w:tcW w:w="447" w:type="pct"/>
            <w:vMerge w:val="restart"/>
            <w:tcBorders>
              <w:top w:val="single" w:sz="4" w:space="0" w:color="auto"/>
              <w:left w:val="single" w:sz="8" w:space="0" w:color="E0E0E0"/>
              <w:bottom w:val="single" w:sz="4" w:space="0" w:color="auto"/>
              <w:right w:val="single" w:sz="8" w:space="0" w:color="E0E0E0"/>
            </w:tcBorders>
            <w:vAlign w:val="bottom"/>
            <w:hideMark/>
          </w:tcPr>
          <w:p w14:paraId="6F0C9D6F"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t</w:t>
            </w:r>
          </w:p>
        </w:tc>
        <w:tc>
          <w:tcPr>
            <w:tcW w:w="400" w:type="pct"/>
            <w:vMerge w:val="restart"/>
            <w:tcBorders>
              <w:top w:val="single" w:sz="4" w:space="0" w:color="auto"/>
              <w:left w:val="single" w:sz="8" w:space="0" w:color="E0E0E0"/>
              <w:bottom w:val="single" w:sz="4" w:space="0" w:color="auto"/>
              <w:right w:val="nil"/>
            </w:tcBorders>
            <w:vAlign w:val="bottom"/>
            <w:hideMark/>
          </w:tcPr>
          <w:p w14:paraId="52008B62"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Sig.</w:t>
            </w:r>
          </w:p>
        </w:tc>
      </w:tr>
      <w:tr w:rsidR="0091151A" w:rsidRPr="00486DCD" w14:paraId="142DBFBA" w14:textId="77777777" w:rsidTr="0070714A">
        <w:trPr>
          <w:cantSplit/>
        </w:trPr>
        <w:tc>
          <w:tcPr>
            <w:tcW w:w="2139" w:type="pct"/>
            <w:gridSpan w:val="2"/>
            <w:vMerge/>
            <w:tcBorders>
              <w:top w:val="single" w:sz="4" w:space="0" w:color="auto"/>
              <w:left w:val="nil"/>
              <w:bottom w:val="single" w:sz="4" w:space="0" w:color="auto"/>
              <w:right w:val="nil"/>
            </w:tcBorders>
            <w:vAlign w:val="center"/>
            <w:hideMark/>
          </w:tcPr>
          <w:p w14:paraId="07BD3185" w14:textId="77777777" w:rsidR="0091151A" w:rsidRPr="005109A7" w:rsidRDefault="0091151A" w:rsidP="002B4D1C">
            <w:pPr>
              <w:spacing w:line="256" w:lineRule="auto"/>
              <w:rPr>
                <w:rFonts w:ascii="Arial" w:eastAsia="Calibri" w:hAnsi="Arial" w:cs="Arial"/>
              </w:rPr>
            </w:pPr>
          </w:p>
        </w:tc>
        <w:tc>
          <w:tcPr>
            <w:tcW w:w="477" w:type="pct"/>
            <w:tcBorders>
              <w:top w:val="single" w:sz="4" w:space="0" w:color="auto"/>
              <w:left w:val="nil"/>
              <w:bottom w:val="single" w:sz="4" w:space="0" w:color="auto"/>
              <w:right w:val="single" w:sz="8" w:space="0" w:color="E0E0E0"/>
            </w:tcBorders>
            <w:vAlign w:val="bottom"/>
            <w:hideMark/>
          </w:tcPr>
          <w:p w14:paraId="00217A2F"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B</w:t>
            </w:r>
          </w:p>
        </w:tc>
        <w:tc>
          <w:tcPr>
            <w:tcW w:w="769" w:type="pct"/>
            <w:tcBorders>
              <w:top w:val="single" w:sz="4" w:space="0" w:color="auto"/>
              <w:left w:val="single" w:sz="8" w:space="0" w:color="E0E0E0"/>
              <w:bottom w:val="single" w:sz="4" w:space="0" w:color="auto"/>
              <w:right w:val="single" w:sz="8" w:space="0" w:color="E0E0E0"/>
            </w:tcBorders>
            <w:vAlign w:val="bottom"/>
            <w:hideMark/>
          </w:tcPr>
          <w:p w14:paraId="1F591FC3"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Std. Error</w:t>
            </w:r>
          </w:p>
        </w:tc>
        <w:tc>
          <w:tcPr>
            <w:tcW w:w="768" w:type="pct"/>
            <w:tcBorders>
              <w:top w:val="single" w:sz="4" w:space="0" w:color="auto"/>
              <w:left w:val="single" w:sz="8" w:space="0" w:color="E0E0E0"/>
              <w:bottom w:val="single" w:sz="4" w:space="0" w:color="auto"/>
              <w:right w:val="single" w:sz="8" w:space="0" w:color="E0E0E0"/>
            </w:tcBorders>
            <w:vAlign w:val="bottom"/>
            <w:hideMark/>
          </w:tcPr>
          <w:p w14:paraId="392448A5"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Beta</w:t>
            </w:r>
          </w:p>
        </w:tc>
        <w:tc>
          <w:tcPr>
            <w:tcW w:w="447" w:type="pct"/>
            <w:vMerge/>
            <w:tcBorders>
              <w:top w:val="single" w:sz="8" w:space="0" w:color="E0E0E0"/>
              <w:left w:val="single" w:sz="8" w:space="0" w:color="E0E0E0"/>
              <w:bottom w:val="single" w:sz="4" w:space="0" w:color="auto"/>
              <w:right w:val="single" w:sz="8" w:space="0" w:color="E0E0E0"/>
            </w:tcBorders>
            <w:vAlign w:val="center"/>
            <w:hideMark/>
          </w:tcPr>
          <w:p w14:paraId="4003AAC6" w14:textId="77777777" w:rsidR="0091151A" w:rsidRPr="005109A7" w:rsidRDefault="0091151A" w:rsidP="002B4D1C">
            <w:pPr>
              <w:spacing w:line="256" w:lineRule="auto"/>
              <w:rPr>
                <w:rFonts w:ascii="Arial" w:eastAsia="Calibri" w:hAnsi="Arial" w:cs="Arial"/>
              </w:rPr>
            </w:pPr>
          </w:p>
        </w:tc>
        <w:tc>
          <w:tcPr>
            <w:tcW w:w="400" w:type="pct"/>
            <w:vMerge/>
            <w:tcBorders>
              <w:top w:val="single" w:sz="8" w:space="0" w:color="E0E0E0"/>
              <w:left w:val="single" w:sz="8" w:space="0" w:color="E0E0E0"/>
              <w:bottom w:val="single" w:sz="4" w:space="0" w:color="auto"/>
              <w:right w:val="nil"/>
            </w:tcBorders>
            <w:vAlign w:val="center"/>
            <w:hideMark/>
          </w:tcPr>
          <w:p w14:paraId="67BB36AF" w14:textId="77777777" w:rsidR="0091151A" w:rsidRPr="005109A7" w:rsidRDefault="0091151A" w:rsidP="002B4D1C">
            <w:pPr>
              <w:spacing w:line="256" w:lineRule="auto"/>
              <w:rPr>
                <w:rFonts w:ascii="Arial" w:eastAsia="Calibri" w:hAnsi="Arial" w:cs="Arial"/>
              </w:rPr>
            </w:pPr>
          </w:p>
        </w:tc>
      </w:tr>
      <w:tr w:rsidR="0091151A" w:rsidRPr="00486DCD" w14:paraId="5DA23B79" w14:textId="77777777" w:rsidTr="0070714A">
        <w:trPr>
          <w:cantSplit/>
        </w:trPr>
        <w:tc>
          <w:tcPr>
            <w:tcW w:w="226" w:type="pct"/>
            <w:vMerge w:val="restart"/>
            <w:tcBorders>
              <w:top w:val="single" w:sz="4" w:space="0" w:color="auto"/>
              <w:left w:val="nil"/>
              <w:bottom w:val="single" w:sz="8" w:space="0" w:color="152935"/>
              <w:right w:val="nil"/>
            </w:tcBorders>
            <w:hideMark/>
          </w:tcPr>
          <w:p w14:paraId="3A21087B" w14:textId="0A8ECC12" w:rsidR="0091151A" w:rsidRPr="005109A7" w:rsidRDefault="0070714A" w:rsidP="0070714A">
            <w:pPr>
              <w:spacing w:line="256" w:lineRule="auto"/>
              <w:rPr>
                <w:rFonts w:ascii="Arial" w:eastAsia="Calibri" w:hAnsi="Arial" w:cs="Arial"/>
              </w:rPr>
            </w:pPr>
            <w:r w:rsidRPr="00486DCD">
              <w:rPr>
                <w:rFonts w:ascii="Arial" w:eastAsia="Calibri" w:hAnsi="Arial" w:cs="Arial"/>
              </w:rPr>
              <w:t>3</w:t>
            </w:r>
          </w:p>
        </w:tc>
        <w:tc>
          <w:tcPr>
            <w:tcW w:w="1914" w:type="pct"/>
            <w:tcBorders>
              <w:top w:val="single" w:sz="4" w:space="0" w:color="auto"/>
              <w:left w:val="nil"/>
              <w:bottom w:val="single" w:sz="8" w:space="0" w:color="AEAEAE"/>
              <w:right w:val="nil"/>
            </w:tcBorders>
            <w:hideMark/>
          </w:tcPr>
          <w:p w14:paraId="204F1C38"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(Constant)</w:t>
            </w:r>
          </w:p>
        </w:tc>
        <w:tc>
          <w:tcPr>
            <w:tcW w:w="477" w:type="pct"/>
            <w:tcBorders>
              <w:top w:val="single" w:sz="4" w:space="0" w:color="auto"/>
              <w:left w:val="nil"/>
              <w:bottom w:val="single" w:sz="8" w:space="0" w:color="AEAEAE"/>
              <w:right w:val="single" w:sz="8" w:space="0" w:color="E0E0E0"/>
            </w:tcBorders>
            <w:hideMark/>
          </w:tcPr>
          <w:p w14:paraId="15FA5967"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10.330</w:t>
            </w:r>
          </w:p>
        </w:tc>
        <w:tc>
          <w:tcPr>
            <w:tcW w:w="769" w:type="pct"/>
            <w:tcBorders>
              <w:top w:val="single" w:sz="4" w:space="0" w:color="auto"/>
              <w:left w:val="single" w:sz="8" w:space="0" w:color="E0E0E0"/>
              <w:bottom w:val="single" w:sz="8" w:space="0" w:color="AEAEAE"/>
              <w:right w:val="single" w:sz="8" w:space="0" w:color="E0E0E0"/>
            </w:tcBorders>
            <w:hideMark/>
          </w:tcPr>
          <w:p w14:paraId="40447BB7"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.315</w:t>
            </w:r>
          </w:p>
        </w:tc>
        <w:tc>
          <w:tcPr>
            <w:tcW w:w="768" w:type="pct"/>
            <w:tcBorders>
              <w:top w:val="single" w:sz="4" w:space="0" w:color="auto"/>
              <w:left w:val="single" w:sz="8" w:space="0" w:color="E0E0E0"/>
              <w:bottom w:val="single" w:sz="8" w:space="0" w:color="AEAEAE"/>
              <w:right w:val="single" w:sz="8" w:space="0" w:color="E0E0E0"/>
            </w:tcBorders>
            <w:vAlign w:val="center"/>
          </w:tcPr>
          <w:p w14:paraId="1E4AF745" w14:textId="77777777" w:rsidR="0091151A" w:rsidRPr="005109A7" w:rsidRDefault="0091151A" w:rsidP="00FA6EC4">
            <w:pPr>
              <w:spacing w:line="256" w:lineRule="auto"/>
              <w:jc w:val="right"/>
              <w:rPr>
                <w:rFonts w:ascii="Arial" w:eastAsia="Calibri" w:hAnsi="Arial" w:cs="Arial"/>
              </w:rPr>
            </w:pPr>
          </w:p>
        </w:tc>
        <w:tc>
          <w:tcPr>
            <w:tcW w:w="447" w:type="pct"/>
            <w:tcBorders>
              <w:top w:val="single" w:sz="4" w:space="0" w:color="auto"/>
              <w:left w:val="single" w:sz="8" w:space="0" w:color="E0E0E0"/>
              <w:bottom w:val="single" w:sz="8" w:space="0" w:color="AEAEAE"/>
              <w:right w:val="single" w:sz="8" w:space="0" w:color="E0E0E0"/>
            </w:tcBorders>
            <w:hideMark/>
          </w:tcPr>
          <w:p w14:paraId="3CFCD919"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32.746</w:t>
            </w:r>
          </w:p>
        </w:tc>
        <w:tc>
          <w:tcPr>
            <w:tcW w:w="400" w:type="pct"/>
            <w:tcBorders>
              <w:top w:val="single" w:sz="4" w:space="0" w:color="auto"/>
              <w:left w:val="single" w:sz="8" w:space="0" w:color="E0E0E0"/>
              <w:bottom w:val="single" w:sz="8" w:space="0" w:color="AEAEAE"/>
              <w:right w:val="nil"/>
            </w:tcBorders>
            <w:hideMark/>
          </w:tcPr>
          <w:p w14:paraId="4B21756A"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91151A" w:rsidRPr="00486DCD" w14:paraId="6EB50073" w14:textId="77777777" w:rsidTr="00092BED">
        <w:trPr>
          <w:cantSplit/>
        </w:trPr>
        <w:tc>
          <w:tcPr>
            <w:tcW w:w="226" w:type="pct"/>
            <w:vMerge/>
            <w:tcBorders>
              <w:top w:val="single" w:sz="8" w:space="0" w:color="152935"/>
              <w:left w:val="nil"/>
              <w:bottom w:val="single" w:sz="8" w:space="0" w:color="152935"/>
              <w:right w:val="nil"/>
            </w:tcBorders>
            <w:vAlign w:val="center"/>
            <w:hideMark/>
          </w:tcPr>
          <w:p w14:paraId="33D0743D" w14:textId="77777777" w:rsidR="0091151A" w:rsidRPr="005109A7" w:rsidRDefault="0091151A" w:rsidP="002B4D1C">
            <w:pPr>
              <w:spacing w:line="256" w:lineRule="auto"/>
              <w:rPr>
                <w:rFonts w:ascii="Arial" w:eastAsia="Calibri" w:hAnsi="Arial" w:cs="Arial"/>
              </w:rPr>
            </w:pPr>
          </w:p>
        </w:tc>
        <w:tc>
          <w:tcPr>
            <w:tcW w:w="1914" w:type="pct"/>
            <w:tcBorders>
              <w:top w:val="single" w:sz="8" w:space="0" w:color="AEAEAE"/>
              <w:left w:val="nil"/>
              <w:bottom w:val="single" w:sz="8" w:space="0" w:color="AEAEAE"/>
              <w:right w:val="nil"/>
            </w:tcBorders>
            <w:hideMark/>
          </w:tcPr>
          <w:p w14:paraId="5F08157C"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Turn off lights</w:t>
            </w:r>
          </w:p>
        </w:tc>
        <w:tc>
          <w:tcPr>
            <w:tcW w:w="477" w:type="pct"/>
            <w:tcBorders>
              <w:top w:val="single" w:sz="8" w:space="0" w:color="AEAEAE"/>
              <w:left w:val="nil"/>
              <w:bottom w:val="single" w:sz="8" w:space="0" w:color="AEAEAE"/>
              <w:right w:val="single" w:sz="8" w:space="0" w:color="E0E0E0"/>
            </w:tcBorders>
            <w:hideMark/>
          </w:tcPr>
          <w:p w14:paraId="542D2145"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.524</w:t>
            </w:r>
          </w:p>
        </w:tc>
        <w:tc>
          <w:tcPr>
            <w:tcW w:w="769" w:type="pct"/>
            <w:tcBorders>
              <w:top w:val="single" w:sz="8" w:space="0" w:color="AEAEAE"/>
              <w:left w:val="single" w:sz="8" w:space="0" w:color="E0E0E0"/>
              <w:bottom w:val="single" w:sz="8" w:space="0" w:color="AEAEAE"/>
              <w:right w:val="single" w:sz="8" w:space="0" w:color="E0E0E0"/>
            </w:tcBorders>
            <w:hideMark/>
          </w:tcPr>
          <w:p w14:paraId="62622B22"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.130</w:t>
            </w:r>
          </w:p>
        </w:tc>
        <w:tc>
          <w:tcPr>
            <w:tcW w:w="768" w:type="pct"/>
            <w:tcBorders>
              <w:top w:val="single" w:sz="8" w:space="0" w:color="AEAEAE"/>
              <w:left w:val="single" w:sz="8" w:space="0" w:color="E0E0E0"/>
              <w:bottom w:val="single" w:sz="8" w:space="0" w:color="AEAEAE"/>
              <w:right w:val="single" w:sz="8" w:space="0" w:color="E0E0E0"/>
            </w:tcBorders>
            <w:hideMark/>
          </w:tcPr>
          <w:p w14:paraId="6B1D93BC"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.316</w:t>
            </w:r>
          </w:p>
        </w:tc>
        <w:tc>
          <w:tcPr>
            <w:tcW w:w="447" w:type="pct"/>
            <w:tcBorders>
              <w:top w:val="single" w:sz="8" w:space="0" w:color="AEAEAE"/>
              <w:left w:val="single" w:sz="8" w:space="0" w:color="E0E0E0"/>
              <w:bottom w:val="single" w:sz="8" w:space="0" w:color="AEAEAE"/>
              <w:right w:val="single" w:sz="8" w:space="0" w:color="E0E0E0"/>
            </w:tcBorders>
            <w:hideMark/>
          </w:tcPr>
          <w:p w14:paraId="68B99213"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4.020</w:t>
            </w:r>
          </w:p>
        </w:tc>
        <w:tc>
          <w:tcPr>
            <w:tcW w:w="400" w:type="pct"/>
            <w:tcBorders>
              <w:top w:val="single" w:sz="8" w:space="0" w:color="AEAEAE"/>
              <w:left w:val="single" w:sz="8" w:space="0" w:color="E0E0E0"/>
              <w:bottom w:val="single" w:sz="8" w:space="0" w:color="AEAEAE"/>
              <w:right w:val="nil"/>
            </w:tcBorders>
            <w:hideMark/>
          </w:tcPr>
          <w:p w14:paraId="3225C9A1"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91151A" w:rsidRPr="00486DCD" w14:paraId="2154BF94" w14:textId="77777777" w:rsidTr="00092BED">
        <w:trPr>
          <w:cantSplit/>
        </w:trPr>
        <w:tc>
          <w:tcPr>
            <w:tcW w:w="226" w:type="pct"/>
            <w:vMerge/>
            <w:tcBorders>
              <w:top w:val="single" w:sz="8" w:space="0" w:color="152935"/>
              <w:left w:val="nil"/>
              <w:bottom w:val="single" w:sz="8" w:space="0" w:color="152935"/>
              <w:right w:val="nil"/>
            </w:tcBorders>
            <w:vAlign w:val="center"/>
            <w:hideMark/>
          </w:tcPr>
          <w:p w14:paraId="30DF2940" w14:textId="77777777" w:rsidR="0091151A" w:rsidRPr="005109A7" w:rsidRDefault="0091151A" w:rsidP="002B4D1C">
            <w:pPr>
              <w:spacing w:line="256" w:lineRule="auto"/>
              <w:rPr>
                <w:rFonts w:ascii="Arial" w:eastAsia="Calibri" w:hAnsi="Arial" w:cs="Arial"/>
              </w:rPr>
            </w:pPr>
          </w:p>
        </w:tc>
        <w:tc>
          <w:tcPr>
            <w:tcW w:w="1914" w:type="pct"/>
            <w:tcBorders>
              <w:top w:val="single" w:sz="8" w:space="0" w:color="AEAEAE"/>
              <w:left w:val="nil"/>
              <w:bottom w:val="single" w:sz="8" w:space="0" w:color="AEAEAE"/>
              <w:right w:val="nil"/>
            </w:tcBorders>
            <w:hideMark/>
          </w:tcPr>
          <w:p w14:paraId="7C3E3E42"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Unplug appliances</w:t>
            </w:r>
          </w:p>
        </w:tc>
        <w:tc>
          <w:tcPr>
            <w:tcW w:w="477" w:type="pct"/>
            <w:tcBorders>
              <w:top w:val="single" w:sz="8" w:space="0" w:color="AEAEAE"/>
              <w:left w:val="nil"/>
              <w:bottom w:val="single" w:sz="8" w:space="0" w:color="AEAEAE"/>
              <w:right w:val="single" w:sz="8" w:space="0" w:color="E0E0E0"/>
            </w:tcBorders>
            <w:hideMark/>
          </w:tcPr>
          <w:p w14:paraId="7AE76B26"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.422</w:t>
            </w:r>
          </w:p>
        </w:tc>
        <w:tc>
          <w:tcPr>
            <w:tcW w:w="769" w:type="pct"/>
            <w:tcBorders>
              <w:top w:val="single" w:sz="8" w:space="0" w:color="AEAEAE"/>
              <w:left w:val="single" w:sz="8" w:space="0" w:color="E0E0E0"/>
              <w:bottom w:val="single" w:sz="8" w:space="0" w:color="AEAEAE"/>
              <w:right w:val="single" w:sz="8" w:space="0" w:color="E0E0E0"/>
            </w:tcBorders>
            <w:hideMark/>
          </w:tcPr>
          <w:p w14:paraId="1B0696B4"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.136</w:t>
            </w:r>
          </w:p>
        </w:tc>
        <w:tc>
          <w:tcPr>
            <w:tcW w:w="768" w:type="pct"/>
            <w:tcBorders>
              <w:top w:val="single" w:sz="8" w:space="0" w:color="AEAEAE"/>
              <w:left w:val="single" w:sz="8" w:space="0" w:color="E0E0E0"/>
              <w:bottom w:val="single" w:sz="8" w:space="0" w:color="AEAEAE"/>
              <w:right w:val="single" w:sz="8" w:space="0" w:color="E0E0E0"/>
            </w:tcBorders>
            <w:hideMark/>
          </w:tcPr>
          <w:p w14:paraId="66D041A4"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.239</w:t>
            </w:r>
          </w:p>
        </w:tc>
        <w:tc>
          <w:tcPr>
            <w:tcW w:w="447" w:type="pct"/>
            <w:tcBorders>
              <w:top w:val="single" w:sz="8" w:space="0" w:color="AEAEAE"/>
              <w:left w:val="single" w:sz="8" w:space="0" w:color="E0E0E0"/>
              <w:bottom w:val="single" w:sz="8" w:space="0" w:color="AEAEAE"/>
              <w:right w:val="single" w:sz="8" w:space="0" w:color="E0E0E0"/>
            </w:tcBorders>
            <w:hideMark/>
          </w:tcPr>
          <w:p w14:paraId="5E733101"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3.111</w:t>
            </w:r>
          </w:p>
        </w:tc>
        <w:tc>
          <w:tcPr>
            <w:tcW w:w="400" w:type="pct"/>
            <w:tcBorders>
              <w:top w:val="single" w:sz="8" w:space="0" w:color="AEAEAE"/>
              <w:left w:val="single" w:sz="8" w:space="0" w:color="E0E0E0"/>
              <w:bottom w:val="single" w:sz="8" w:space="0" w:color="AEAEAE"/>
              <w:right w:val="nil"/>
            </w:tcBorders>
            <w:hideMark/>
          </w:tcPr>
          <w:p w14:paraId="042BD9F2"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.002</w:t>
            </w:r>
          </w:p>
        </w:tc>
      </w:tr>
      <w:tr w:rsidR="0091151A" w:rsidRPr="00486DCD" w14:paraId="558FEFB4" w14:textId="77777777" w:rsidTr="00092BED">
        <w:trPr>
          <w:cantSplit/>
        </w:trPr>
        <w:tc>
          <w:tcPr>
            <w:tcW w:w="226" w:type="pct"/>
            <w:vMerge/>
            <w:tcBorders>
              <w:top w:val="single" w:sz="8" w:space="0" w:color="152935"/>
              <w:left w:val="nil"/>
              <w:bottom w:val="single" w:sz="8" w:space="0" w:color="152935"/>
              <w:right w:val="nil"/>
            </w:tcBorders>
            <w:vAlign w:val="center"/>
            <w:hideMark/>
          </w:tcPr>
          <w:p w14:paraId="4B46601D" w14:textId="77777777" w:rsidR="0091151A" w:rsidRPr="005109A7" w:rsidRDefault="0091151A" w:rsidP="002B4D1C">
            <w:pPr>
              <w:spacing w:line="256" w:lineRule="auto"/>
              <w:rPr>
                <w:rFonts w:ascii="Arial" w:eastAsia="Calibri" w:hAnsi="Arial" w:cs="Arial"/>
              </w:rPr>
            </w:pPr>
          </w:p>
        </w:tc>
        <w:tc>
          <w:tcPr>
            <w:tcW w:w="1914" w:type="pct"/>
            <w:tcBorders>
              <w:top w:val="single" w:sz="8" w:space="0" w:color="AEAEAE"/>
              <w:left w:val="nil"/>
              <w:bottom w:val="single" w:sz="8" w:space="0" w:color="AEAEAE"/>
              <w:right w:val="nil"/>
            </w:tcBorders>
            <w:hideMark/>
          </w:tcPr>
          <w:p w14:paraId="65E22016"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Use LED bulbs</w:t>
            </w:r>
          </w:p>
        </w:tc>
        <w:tc>
          <w:tcPr>
            <w:tcW w:w="477" w:type="pct"/>
            <w:tcBorders>
              <w:top w:val="single" w:sz="8" w:space="0" w:color="AEAEAE"/>
              <w:left w:val="nil"/>
              <w:bottom w:val="single" w:sz="8" w:space="0" w:color="AEAEAE"/>
              <w:right w:val="single" w:sz="8" w:space="0" w:color="E0E0E0"/>
            </w:tcBorders>
            <w:hideMark/>
          </w:tcPr>
          <w:p w14:paraId="2EF5C6E2"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.519</w:t>
            </w:r>
          </w:p>
        </w:tc>
        <w:tc>
          <w:tcPr>
            <w:tcW w:w="769" w:type="pct"/>
            <w:tcBorders>
              <w:top w:val="single" w:sz="8" w:space="0" w:color="AEAEAE"/>
              <w:left w:val="single" w:sz="8" w:space="0" w:color="E0E0E0"/>
              <w:bottom w:val="single" w:sz="8" w:space="0" w:color="AEAEAE"/>
              <w:right w:val="single" w:sz="8" w:space="0" w:color="E0E0E0"/>
            </w:tcBorders>
            <w:hideMark/>
          </w:tcPr>
          <w:p w14:paraId="25DB8C3E"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.228</w:t>
            </w:r>
          </w:p>
        </w:tc>
        <w:tc>
          <w:tcPr>
            <w:tcW w:w="768" w:type="pct"/>
            <w:tcBorders>
              <w:top w:val="single" w:sz="8" w:space="0" w:color="AEAEAE"/>
              <w:left w:val="single" w:sz="8" w:space="0" w:color="E0E0E0"/>
              <w:bottom w:val="single" w:sz="8" w:space="0" w:color="AEAEAE"/>
              <w:right w:val="single" w:sz="8" w:space="0" w:color="E0E0E0"/>
            </w:tcBorders>
            <w:hideMark/>
          </w:tcPr>
          <w:p w14:paraId="729FEC94"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.285</w:t>
            </w:r>
          </w:p>
        </w:tc>
        <w:tc>
          <w:tcPr>
            <w:tcW w:w="447" w:type="pct"/>
            <w:tcBorders>
              <w:top w:val="single" w:sz="8" w:space="0" w:color="AEAEAE"/>
              <w:left w:val="single" w:sz="8" w:space="0" w:color="E0E0E0"/>
              <w:bottom w:val="single" w:sz="8" w:space="0" w:color="AEAEAE"/>
              <w:right w:val="single" w:sz="8" w:space="0" w:color="E0E0E0"/>
            </w:tcBorders>
            <w:hideMark/>
          </w:tcPr>
          <w:p w14:paraId="7C43E398"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-2.271</w:t>
            </w:r>
          </w:p>
        </w:tc>
        <w:tc>
          <w:tcPr>
            <w:tcW w:w="400" w:type="pct"/>
            <w:tcBorders>
              <w:top w:val="single" w:sz="8" w:space="0" w:color="AEAEAE"/>
              <w:left w:val="single" w:sz="8" w:space="0" w:color="E0E0E0"/>
              <w:bottom w:val="single" w:sz="8" w:space="0" w:color="AEAEAE"/>
              <w:right w:val="nil"/>
            </w:tcBorders>
            <w:hideMark/>
          </w:tcPr>
          <w:p w14:paraId="537F4BE8"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.024</w:t>
            </w:r>
          </w:p>
        </w:tc>
      </w:tr>
      <w:tr w:rsidR="0091151A" w:rsidRPr="00486DCD" w14:paraId="5ADC9AC8" w14:textId="77777777" w:rsidTr="00092BED">
        <w:trPr>
          <w:cantSplit/>
        </w:trPr>
        <w:tc>
          <w:tcPr>
            <w:tcW w:w="226" w:type="pct"/>
            <w:vMerge/>
            <w:tcBorders>
              <w:top w:val="single" w:sz="8" w:space="0" w:color="152935"/>
              <w:left w:val="nil"/>
              <w:bottom w:val="single" w:sz="8" w:space="0" w:color="152935"/>
              <w:right w:val="nil"/>
            </w:tcBorders>
            <w:vAlign w:val="center"/>
            <w:hideMark/>
          </w:tcPr>
          <w:p w14:paraId="0DEB9FDD" w14:textId="77777777" w:rsidR="0091151A" w:rsidRPr="005109A7" w:rsidRDefault="0091151A" w:rsidP="002B4D1C">
            <w:pPr>
              <w:spacing w:line="256" w:lineRule="auto"/>
              <w:rPr>
                <w:rFonts w:ascii="Arial" w:eastAsia="Calibri" w:hAnsi="Arial" w:cs="Arial"/>
              </w:rPr>
            </w:pPr>
          </w:p>
        </w:tc>
        <w:tc>
          <w:tcPr>
            <w:tcW w:w="1914" w:type="pct"/>
            <w:tcBorders>
              <w:top w:val="single" w:sz="8" w:space="0" w:color="AEAEAE"/>
              <w:left w:val="nil"/>
              <w:bottom w:val="single" w:sz="8" w:space="0" w:color="AEAEAE"/>
              <w:right w:val="nil"/>
            </w:tcBorders>
            <w:hideMark/>
          </w:tcPr>
          <w:p w14:paraId="2360A21A"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Use appliances only when necessary</w:t>
            </w:r>
          </w:p>
        </w:tc>
        <w:tc>
          <w:tcPr>
            <w:tcW w:w="477" w:type="pct"/>
            <w:tcBorders>
              <w:top w:val="single" w:sz="8" w:space="0" w:color="AEAEAE"/>
              <w:left w:val="nil"/>
              <w:bottom w:val="single" w:sz="8" w:space="0" w:color="AEAEAE"/>
              <w:right w:val="single" w:sz="8" w:space="0" w:color="E0E0E0"/>
            </w:tcBorders>
            <w:hideMark/>
          </w:tcPr>
          <w:p w14:paraId="4D37777E"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.241</w:t>
            </w:r>
          </w:p>
        </w:tc>
        <w:tc>
          <w:tcPr>
            <w:tcW w:w="769" w:type="pct"/>
            <w:tcBorders>
              <w:top w:val="single" w:sz="8" w:space="0" w:color="AEAEAE"/>
              <w:left w:val="single" w:sz="8" w:space="0" w:color="E0E0E0"/>
              <w:bottom w:val="single" w:sz="8" w:space="0" w:color="AEAEAE"/>
              <w:right w:val="single" w:sz="8" w:space="0" w:color="E0E0E0"/>
            </w:tcBorders>
            <w:hideMark/>
          </w:tcPr>
          <w:p w14:paraId="63EFF184"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.240</w:t>
            </w:r>
          </w:p>
        </w:tc>
        <w:tc>
          <w:tcPr>
            <w:tcW w:w="768" w:type="pct"/>
            <w:tcBorders>
              <w:top w:val="single" w:sz="8" w:space="0" w:color="AEAEAE"/>
              <w:left w:val="single" w:sz="8" w:space="0" w:color="E0E0E0"/>
              <w:bottom w:val="single" w:sz="8" w:space="0" w:color="AEAEAE"/>
              <w:right w:val="single" w:sz="8" w:space="0" w:color="E0E0E0"/>
            </w:tcBorders>
            <w:hideMark/>
          </w:tcPr>
          <w:p w14:paraId="07113F81"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.124</w:t>
            </w:r>
          </w:p>
        </w:tc>
        <w:tc>
          <w:tcPr>
            <w:tcW w:w="447" w:type="pct"/>
            <w:tcBorders>
              <w:top w:val="single" w:sz="8" w:space="0" w:color="AEAEAE"/>
              <w:left w:val="single" w:sz="8" w:space="0" w:color="E0E0E0"/>
              <w:bottom w:val="single" w:sz="8" w:space="0" w:color="AEAEAE"/>
              <w:right w:val="single" w:sz="8" w:space="0" w:color="E0E0E0"/>
            </w:tcBorders>
            <w:hideMark/>
          </w:tcPr>
          <w:p w14:paraId="3BBDF694"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1.003</w:t>
            </w:r>
          </w:p>
        </w:tc>
        <w:tc>
          <w:tcPr>
            <w:tcW w:w="400" w:type="pct"/>
            <w:tcBorders>
              <w:top w:val="single" w:sz="8" w:space="0" w:color="AEAEAE"/>
              <w:left w:val="single" w:sz="8" w:space="0" w:color="E0E0E0"/>
              <w:bottom w:val="single" w:sz="8" w:space="0" w:color="AEAEAE"/>
              <w:right w:val="nil"/>
            </w:tcBorders>
            <w:hideMark/>
          </w:tcPr>
          <w:p w14:paraId="01A966E2"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.316</w:t>
            </w:r>
          </w:p>
        </w:tc>
      </w:tr>
      <w:tr w:rsidR="0091151A" w:rsidRPr="00486DCD" w14:paraId="1EB23C72" w14:textId="77777777" w:rsidTr="00092BED">
        <w:trPr>
          <w:cantSplit/>
        </w:trPr>
        <w:tc>
          <w:tcPr>
            <w:tcW w:w="226" w:type="pct"/>
            <w:vMerge/>
            <w:tcBorders>
              <w:top w:val="single" w:sz="8" w:space="0" w:color="152935"/>
              <w:left w:val="nil"/>
              <w:bottom w:val="single" w:sz="8" w:space="0" w:color="152935"/>
              <w:right w:val="nil"/>
            </w:tcBorders>
            <w:vAlign w:val="center"/>
            <w:hideMark/>
          </w:tcPr>
          <w:p w14:paraId="5C2ACAB7" w14:textId="77777777" w:rsidR="0091151A" w:rsidRPr="005109A7" w:rsidRDefault="0091151A" w:rsidP="002B4D1C">
            <w:pPr>
              <w:spacing w:line="256" w:lineRule="auto"/>
              <w:rPr>
                <w:rFonts w:ascii="Arial" w:eastAsia="Calibri" w:hAnsi="Arial" w:cs="Arial"/>
              </w:rPr>
            </w:pPr>
          </w:p>
        </w:tc>
        <w:tc>
          <w:tcPr>
            <w:tcW w:w="1914" w:type="pct"/>
            <w:tcBorders>
              <w:top w:val="single" w:sz="8" w:space="0" w:color="AEAEAE"/>
              <w:left w:val="nil"/>
              <w:bottom w:val="single" w:sz="8" w:space="0" w:color="AEAEAE"/>
              <w:right w:val="nil"/>
            </w:tcBorders>
            <w:hideMark/>
          </w:tcPr>
          <w:p w14:paraId="70AFAE89"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Use fans instead of AC</w:t>
            </w:r>
          </w:p>
        </w:tc>
        <w:tc>
          <w:tcPr>
            <w:tcW w:w="477" w:type="pct"/>
            <w:tcBorders>
              <w:top w:val="single" w:sz="8" w:space="0" w:color="AEAEAE"/>
              <w:left w:val="nil"/>
              <w:bottom w:val="single" w:sz="8" w:space="0" w:color="AEAEAE"/>
              <w:right w:val="single" w:sz="8" w:space="0" w:color="E0E0E0"/>
            </w:tcBorders>
            <w:hideMark/>
          </w:tcPr>
          <w:p w14:paraId="1EC7B8BB"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.732</w:t>
            </w:r>
          </w:p>
        </w:tc>
        <w:tc>
          <w:tcPr>
            <w:tcW w:w="769" w:type="pct"/>
            <w:tcBorders>
              <w:top w:val="single" w:sz="8" w:space="0" w:color="AEAEAE"/>
              <w:left w:val="single" w:sz="8" w:space="0" w:color="E0E0E0"/>
              <w:bottom w:val="single" w:sz="8" w:space="0" w:color="AEAEAE"/>
              <w:right w:val="single" w:sz="8" w:space="0" w:color="E0E0E0"/>
            </w:tcBorders>
            <w:hideMark/>
          </w:tcPr>
          <w:p w14:paraId="6F069441"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.086</w:t>
            </w:r>
          </w:p>
        </w:tc>
        <w:tc>
          <w:tcPr>
            <w:tcW w:w="768" w:type="pct"/>
            <w:tcBorders>
              <w:top w:val="single" w:sz="8" w:space="0" w:color="AEAEAE"/>
              <w:left w:val="single" w:sz="8" w:space="0" w:color="E0E0E0"/>
              <w:bottom w:val="single" w:sz="8" w:space="0" w:color="AEAEAE"/>
              <w:right w:val="single" w:sz="8" w:space="0" w:color="E0E0E0"/>
            </w:tcBorders>
            <w:hideMark/>
          </w:tcPr>
          <w:p w14:paraId="6A7275E6"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.436</w:t>
            </w:r>
          </w:p>
        </w:tc>
        <w:tc>
          <w:tcPr>
            <w:tcW w:w="447" w:type="pct"/>
            <w:tcBorders>
              <w:top w:val="single" w:sz="8" w:space="0" w:color="AEAEAE"/>
              <w:left w:val="single" w:sz="8" w:space="0" w:color="E0E0E0"/>
              <w:bottom w:val="single" w:sz="8" w:space="0" w:color="AEAEAE"/>
              <w:right w:val="single" w:sz="8" w:space="0" w:color="E0E0E0"/>
            </w:tcBorders>
            <w:hideMark/>
          </w:tcPr>
          <w:p w14:paraId="4421F529"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-8.516</w:t>
            </w:r>
          </w:p>
        </w:tc>
        <w:tc>
          <w:tcPr>
            <w:tcW w:w="400" w:type="pct"/>
            <w:tcBorders>
              <w:top w:val="single" w:sz="8" w:space="0" w:color="AEAEAE"/>
              <w:left w:val="single" w:sz="8" w:space="0" w:color="E0E0E0"/>
              <w:bottom w:val="single" w:sz="8" w:space="0" w:color="AEAEAE"/>
              <w:right w:val="nil"/>
            </w:tcBorders>
            <w:hideMark/>
          </w:tcPr>
          <w:p w14:paraId="65C7025B"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91151A" w:rsidRPr="00486DCD" w14:paraId="1541C81D" w14:textId="77777777" w:rsidTr="00092BED">
        <w:trPr>
          <w:cantSplit/>
        </w:trPr>
        <w:tc>
          <w:tcPr>
            <w:tcW w:w="226" w:type="pct"/>
            <w:vMerge/>
            <w:tcBorders>
              <w:top w:val="single" w:sz="8" w:space="0" w:color="152935"/>
              <w:left w:val="nil"/>
              <w:bottom w:val="single" w:sz="8" w:space="0" w:color="152935"/>
              <w:right w:val="nil"/>
            </w:tcBorders>
            <w:vAlign w:val="center"/>
            <w:hideMark/>
          </w:tcPr>
          <w:p w14:paraId="36C59DA8" w14:textId="77777777" w:rsidR="0091151A" w:rsidRPr="005109A7" w:rsidRDefault="0091151A" w:rsidP="002B4D1C">
            <w:pPr>
              <w:spacing w:line="256" w:lineRule="auto"/>
              <w:rPr>
                <w:rFonts w:ascii="Arial" w:eastAsia="Calibri" w:hAnsi="Arial" w:cs="Arial"/>
              </w:rPr>
            </w:pPr>
          </w:p>
        </w:tc>
        <w:tc>
          <w:tcPr>
            <w:tcW w:w="1914" w:type="pct"/>
            <w:tcBorders>
              <w:top w:val="single" w:sz="8" w:space="0" w:color="AEAEAE"/>
              <w:left w:val="nil"/>
              <w:bottom w:val="single" w:sz="8" w:space="0" w:color="AEAEAE"/>
              <w:right w:val="nil"/>
            </w:tcBorders>
            <w:hideMark/>
          </w:tcPr>
          <w:p w14:paraId="563E115E"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Insulate home</w:t>
            </w:r>
          </w:p>
        </w:tc>
        <w:tc>
          <w:tcPr>
            <w:tcW w:w="477" w:type="pct"/>
            <w:tcBorders>
              <w:top w:val="single" w:sz="8" w:space="0" w:color="AEAEAE"/>
              <w:left w:val="nil"/>
              <w:bottom w:val="single" w:sz="8" w:space="0" w:color="AEAEAE"/>
              <w:right w:val="single" w:sz="8" w:space="0" w:color="E0E0E0"/>
            </w:tcBorders>
            <w:hideMark/>
          </w:tcPr>
          <w:p w14:paraId="262D2D19"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.156</w:t>
            </w:r>
          </w:p>
        </w:tc>
        <w:tc>
          <w:tcPr>
            <w:tcW w:w="769" w:type="pct"/>
            <w:tcBorders>
              <w:top w:val="single" w:sz="8" w:space="0" w:color="AEAEAE"/>
              <w:left w:val="single" w:sz="8" w:space="0" w:color="E0E0E0"/>
              <w:bottom w:val="single" w:sz="8" w:space="0" w:color="AEAEAE"/>
              <w:right w:val="single" w:sz="8" w:space="0" w:color="E0E0E0"/>
            </w:tcBorders>
            <w:hideMark/>
          </w:tcPr>
          <w:p w14:paraId="2E27EBC7"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.062</w:t>
            </w:r>
          </w:p>
        </w:tc>
        <w:tc>
          <w:tcPr>
            <w:tcW w:w="768" w:type="pct"/>
            <w:tcBorders>
              <w:top w:val="single" w:sz="8" w:space="0" w:color="AEAEAE"/>
              <w:left w:val="single" w:sz="8" w:space="0" w:color="E0E0E0"/>
              <w:bottom w:val="single" w:sz="8" w:space="0" w:color="AEAEAE"/>
              <w:right w:val="single" w:sz="8" w:space="0" w:color="E0E0E0"/>
            </w:tcBorders>
            <w:hideMark/>
          </w:tcPr>
          <w:p w14:paraId="4C8D0703"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.116</w:t>
            </w:r>
          </w:p>
        </w:tc>
        <w:tc>
          <w:tcPr>
            <w:tcW w:w="447" w:type="pct"/>
            <w:tcBorders>
              <w:top w:val="single" w:sz="8" w:space="0" w:color="AEAEAE"/>
              <w:left w:val="single" w:sz="8" w:space="0" w:color="E0E0E0"/>
              <w:bottom w:val="single" w:sz="8" w:space="0" w:color="AEAEAE"/>
              <w:right w:val="single" w:sz="8" w:space="0" w:color="E0E0E0"/>
            </w:tcBorders>
            <w:hideMark/>
          </w:tcPr>
          <w:p w14:paraId="5952D023"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2.524</w:t>
            </w:r>
          </w:p>
        </w:tc>
        <w:tc>
          <w:tcPr>
            <w:tcW w:w="400" w:type="pct"/>
            <w:tcBorders>
              <w:top w:val="single" w:sz="8" w:space="0" w:color="AEAEAE"/>
              <w:left w:val="single" w:sz="8" w:space="0" w:color="E0E0E0"/>
              <w:bottom w:val="single" w:sz="8" w:space="0" w:color="AEAEAE"/>
              <w:right w:val="nil"/>
            </w:tcBorders>
            <w:hideMark/>
          </w:tcPr>
          <w:p w14:paraId="5907A495"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.012</w:t>
            </w:r>
          </w:p>
        </w:tc>
      </w:tr>
      <w:tr w:rsidR="0091151A" w:rsidRPr="00486DCD" w14:paraId="1A4A4B8E" w14:textId="77777777" w:rsidTr="00092BED">
        <w:trPr>
          <w:cantSplit/>
        </w:trPr>
        <w:tc>
          <w:tcPr>
            <w:tcW w:w="226" w:type="pct"/>
            <w:vMerge/>
            <w:tcBorders>
              <w:top w:val="single" w:sz="8" w:space="0" w:color="152935"/>
              <w:left w:val="nil"/>
              <w:bottom w:val="single" w:sz="8" w:space="0" w:color="152935"/>
              <w:right w:val="nil"/>
            </w:tcBorders>
            <w:vAlign w:val="center"/>
            <w:hideMark/>
          </w:tcPr>
          <w:p w14:paraId="17A6CE2A" w14:textId="77777777" w:rsidR="0091151A" w:rsidRPr="005109A7" w:rsidRDefault="0091151A" w:rsidP="002B4D1C">
            <w:pPr>
              <w:spacing w:line="256" w:lineRule="auto"/>
              <w:rPr>
                <w:rFonts w:ascii="Arial" w:eastAsia="Calibri" w:hAnsi="Arial" w:cs="Arial"/>
              </w:rPr>
            </w:pPr>
          </w:p>
        </w:tc>
        <w:tc>
          <w:tcPr>
            <w:tcW w:w="1914" w:type="pct"/>
            <w:tcBorders>
              <w:top w:val="single" w:sz="8" w:space="0" w:color="AEAEAE"/>
              <w:left w:val="nil"/>
              <w:bottom w:val="single" w:sz="8" w:space="0" w:color="152935"/>
              <w:right w:val="nil"/>
            </w:tcBorders>
            <w:hideMark/>
          </w:tcPr>
          <w:p w14:paraId="753FDBA0"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Use efficient cooking methods</w:t>
            </w:r>
          </w:p>
        </w:tc>
        <w:tc>
          <w:tcPr>
            <w:tcW w:w="477" w:type="pct"/>
            <w:tcBorders>
              <w:top w:val="single" w:sz="8" w:space="0" w:color="AEAEAE"/>
              <w:left w:val="nil"/>
              <w:bottom w:val="single" w:sz="8" w:space="0" w:color="152935"/>
              <w:right w:val="single" w:sz="8" w:space="0" w:color="E0E0E0"/>
            </w:tcBorders>
            <w:hideMark/>
          </w:tcPr>
          <w:p w14:paraId="2DD97612"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.253</w:t>
            </w:r>
          </w:p>
        </w:tc>
        <w:tc>
          <w:tcPr>
            <w:tcW w:w="769" w:type="pct"/>
            <w:tcBorders>
              <w:top w:val="single" w:sz="8" w:space="0" w:color="AEAEAE"/>
              <w:left w:val="single" w:sz="8" w:space="0" w:color="E0E0E0"/>
              <w:bottom w:val="single" w:sz="8" w:space="0" w:color="152935"/>
              <w:right w:val="single" w:sz="8" w:space="0" w:color="E0E0E0"/>
            </w:tcBorders>
            <w:hideMark/>
          </w:tcPr>
          <w:p w14:paraId="0A936E94"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.069</w:t>
            </w:r>
          </w:p>
        </w:tc>
        <w:tc>
          <w:tcPr>
            <w:tcW w:w="768" w:type="pct"/>
            <w:tcBorders>
              <w:top w:val="single" w:sz="8" w:space="0" w:color="AEAEAE"/>
              <w:left w:val="single" w:sz="8" w:space="0" w:color="E0E0E0"/>
              <w:bottom w:val="single" w:sz="8" w:space="0" w:color="152935"/>
              <w:right w:val="single" w:sz="8" w:space="0" w:color="E0E0E0"/>
            </w:tcBorders>
            <w:hideMark/>
          </w:tcPr>
          <w:p w14:paraId="5505D5AB"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.182</w:t>
            </w:r>
          </w:p>
        </w:tc>
        <w:tc>
          <w:tcPr>
            <w:tcW w:w="447" w:type="pct"/>
            <w:tcBorders>
              <w:top w:val="single" w:sz="8" w:space="0" w:color="AEAEAE"/>
              <w:left w:val="single" w:sz="8" w:space="0" w:color="E0E0E0"/>
              <w:bottom w:val="single" w:sz="8" w:space="0" w:color="152935"/>
              <w:right w:val="single" w:sz="8" w:space="0" w:color="E0E0E0"/>
            </w:tcBorders>
            <w:hideMark/>
          </w:tcPr>
          <w:p w14:paraId="5BE2D9E9"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3.645</w:t>
            </w:r>
          </w:p>
        </w:tc>
        <w:tc>
          <w:tcPr>
            <w:tcW w:w="400" w:type="pct"/>
            <w:tcBorders>
              <w:top w:val="single" w:sz="8" w:space="0" w:color="AEAEAE"/>
              <w:left w:val="single" w:sz="8" w:space="0" w:color="E0E0E0"/>
              <w:bottom w:val="single" w:sz="8" w:space="0" w:color="152935"/>
              <w:right w:val="nil"/>
            </w:tcBorders>
            <w:hideMark/>
          </w:tcPr>
          <w:p w14:paraId="28CEA2DA"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91151A" w:rsidRPr="005109A7" w14:paraId="5AC9AA0E" w14:textId="77777777" w:rsidTr="00092BED">
        <w:trPr>
          <w:cantSplit/>
        </w:trPr>
        <w:tc>
          <w:tcPr>
            <w:tcW w:w="5000" w:type="pct"/>
            <w:gridSpan w:val="7"/>
            <w:tcBorders>
              <w:top w:val="nil"/>
              <w:left w:val="nil"/>
              <w:bottom w:val="nil"/>
              <w:right w:val="nil"/>
            </w:tcBorders>
            <w:hideMark/>
          </w:tcPr>
          <w:p w14:paraId="2F414F91" w14:textId="77777777" w:rsidR="0091151A" w:rsidRPr="00486DCD" w:rsidRDefault="0091151A" w:rsidP="002B4D1C">
            <w:pPr>
              <w:spacing w:after="200" w:line="256" w:lineRule="auto"/>
              <w:rPr>
                <w:rFonts w:ascii="Arial" w:eastAsia="Calibri" w:hAnsi="Arial" w:cs="Arial"/>
                <w:i/>
                <w:iCs/>
              </w:rPr>
            </w:pPr>
            <w:r w:rsidRPr="005109A7">
              <w:rPr>
                <w:rFonts w:ascii="Arial" w:eastAsia="Calibri" w:hAnsi="Arial" w:cs="Arial"/>
                <w:i/>
                <w:iCs/>
              </w:rPr>
              <w:t>a. Dependent Variable: Household Energy Consumption</w:t>
            </w:r>
          </w:p>
          <w:p w14:paraId="7796445D" w14:textId="77777777" w:rsidR="0091151A" w:rsidRPr="005109A7" w:rsidRDefault="0091151A" w:rsidP="002B4D1C">
            <w:pPr>
              <w:spacing w:line="256" w:lineRule="auto"/>
              <w:rPr>
                <w:rFonts w:ascii="Arial" w:eastAsia="Calibri" w:hAnsi="Arial" w:cs="Arial"/>
              </w:rPr>
            </w:pPr>
          </w:p>
        </w:tc>
      </w:tr>
    </w:tbl>
    <w:p w14:paraId="2B4298AA" w14:textId="77777777" w:rsidR="0091151A" w:rsidRDefault="0091151A" w:rsidP="006A51F1">
      <w:pPr>
        <w:spacing w:after="200"/>
        <w:jc w:val="both"/>
        <w:rPr>
          <w:rFonts w:ascii="Arial" w:eastAsia="Calibri" w:hAnsi="Arial" w:cs="Arial"/>
          <w:sz w:val="24"/>
          <w:szCs w:val="24"/>
        </w:rPr>
      </w:pPr>
      <w:r w:rsidRPr="00243692">
        <w:rPr>
          <w:rFonts w:ascii="Arial" w:eastAsia="Calibri" w:hAnsi="Arial" w:cs="Arial"/>
          <w:sz w:val="24"/>
          <w:szCs w:val="24"/>
        </w:rPr>
        <w:t>While certain behaviors, such as LED adoption and reliance on fans over air conditioning, reduce demand, others show counterintuitive or neutral effects. This suggests that behavior alone does not guarantee lower consumption, as overall energy demand is shaped by complex interactions with appliances and socio-demographic factors.</w:t>
      </w:r>
    </w:p>
    <w:p w14:paraId="34E777F7" w14:textId="77777777" w:rsidR="0091151A" w:rsidRPr="00243692" w:rsidRDefault="0091151A" w:rsidP="006A51F1">
      <w:pPr>
        <w:spacing w:after="200"/>
        <w:outlineLvl w:val="0"/>
        <w:rPr>
          <w:rFonts w:ascii="Arial" w:eastAsia="Aptos" w:hAnsi="Arial" w:cs="Arial"/>
          <w:b/>
          <w:bCs/>
          <w:sz w:val="24"/>
          <w:szCs w:val="24"/>
        </w:rPr>
      </w:pPr>
      <w:bookmarkStart w:id="6" w:name="_Toc189505481"/>
      <w:r w:rsidRPr="00243692">
        <w:rPr>
          <w:rFonts w:ascii="Arial" w:eastAsia="Aptos" w:hAnsi="Arial" w:cs="Arial"/>
          <w:b/>
          <w:bCs/>
          <w:sz w:val="24"/>
          <w:szCs w:val="24"/>
        </w:rPr>
        <w:lastRenderedPageBreak/>
        <w:t>3.4</w:t>
      </w:r>
      <w:r w:rsidRPr="00243692">
        <w:rPr>
          <w:rFonts w:ascii="Arial" w:eastAsia="Aptos" w:hAnsi="Arial" w:cs="Arial"/>
          <w:b/>
          <w:bCs/>
          <w:sz w:val="24"/>
          <w:szCs w:val="24"/>
        </w:rPr>
        <w:tab/>
        <w:t>Climate Change Awareness and Household Energy Consumption</w:t>
      </w:r>
      <w:bookmarkEnd w:id="6"/>
    </w:p>
    <w:p w14:paraId="2EF22023" w14:textId="250FA4E4" w:rsidR="0091151A" w:rsidRPr="00243692" w:rsidRDefault="0091151A" w:rsidP="006A51F1">
      <w:pPr>
        <w:spacing w:after="200"/>
        <w:jc w:val="both"/>
        <w:rPr>
          <w:rFonts w:ascii="Arial" w:eastAsia="Aptos" w:hAnsi="Arial" w:cs="Arial"/>
          <w:sz w:val="24"/>
          <w:szCs w:val="24"/>
        </w:rPr>
      </w:pPr>
      <w:r w:rsidRPr="00243692">
        <w:rPr>
          <w:rFonts w:ascii="Arial" w:eastAsia="Aptos" w:hAnsi="Arial" w:cs="Arial"/>
          <w:sz w:val="24"/>
          <w:szCs w:val="24"/>
        </w:rPr>
        <w:t xml:space="preserve">The regression analysis shows that climate change awareness explains 15.6% of the variance in household energy use (R² = .156, Adjusted R² = .146). </w:t>
      </w:r>
      <w:r w:rsidR="001D0EDA">
        <w:rPr>
          <w:rFonts w:ascii="Arial" w:eastAsia="Aptos" w:hAnsi="Arial" w:cs="Arial"/>
          <w:sz w:val="24"/>
          <w:szCs w:val="24"/>
        </w:rPr>
        <w:t>T</w:t>
      </w:r>
      <w:r w:rsidRPr="00243692">
        <w:rPr>
          <w:rFonts w:ascii="Arial" w:eastAsia="Aptos" w:hAnsi="Arial" w:cs="Arial"/>
          <w:sz w:val="24"/>
          <w:szCs w:val="24"/>
        </w:rPr>
        <w:t>he model was statistically significant (</w:t>
      </w:r>
      <w:r w:rsidRPr="00243692">
        <w:rPr>
          <w:rFonts w:ascii="Arial" w:eastAsia="Aptos" w:hAnsi="Arial" w:cs="Arial"/>
          <w:i/>
          <w:iCs/>
          <w:sz w:val="24"/>
          <w:szCs w:val="24"/>
        </w:rPr>
        <w:t>F</w:t>
      </w:r>
      <w:r w:rsidRPr="00243692">
        <w:rPr>
          <w:rFonts w:ascii="Arial" w:eastAsia="Aptos" w:hAnsi="Arial" w:cs="Arial"/>
          <w:sz w:val="24"/>
          <w:szCs w:val="24"/>
        </w:rPr>
        <w:t xml:space="preserve"> = 15.661, </w:t>
      </w:r>
      <w:r w:rsidRPr="00243692">
        <w:rPr>
          <w:rFonts w:ascii="Arial" w:eastAsia="Aptos" w:hAnsi="Arial" w:cs="Arial"/>
          <w:i/>
          <w:iCs/>
          <w:sz w:val="24"/>
          <w:szCs w:val="24"/>
        </w:rPr>
        <w:t>P</w:t>
      </w:r>
      <w:r w:rsidRPr="00243692">
        <w:rPr>
          <w:rFonts w:ascii="Arial" w:eastAsia="Aptos" w:hAnsi="Arial" w:cs="Arial"/>
          <w:sz w:val="24"/>
          <w:szCs w:val="24"/>
        </w:rPr>
        <w:t xml:space="preserve"> = .000).</w:t>
      </w:r>
    </w:p>
    <w:p w14:paraId="19C7BDA7" w14:textId="19BCDB8F" w:rsidR="0091151A" w:rsidRPr="00243692" w:rsidRDefault="0091151A" w:rsidP="006A51F1">
      <w:pPr>
        <w:spacing w:after="200"/>
        <w:jc w:val="both"/>
        <w:rPr>
          <w:rFonts w:ascii="Arial" w:eastAsia="Calibri" w:hAnsi="Arial" w:cs="Arial"/>
          <w:sz w:val="24"/>
          <w:szCs w:val="24"/>
        </w:rPr>
      </w:pPr>
      <w:r w:rsidRPr="00243692">
        <w:rPr>
          <w:rFonts w:ascii="Arial" w:eastAsia="Calibri" w:hAnsi="Arial" w:cs="Arial"/>
          <w:sz w:val="24"/>
          <w:szCs w:val="24"/>
        </w:rPr>
        <w:t xml:space="preserve">Key coefficients (Table 4) reveal mixed patterns. Willingness to invest in renewables (B = -0.488, </w:t>
      </w:r>
      <w:r w:rsidRPr="00243692">
        <w:rPr>
          <w:rFonts w:ascii="Arial" w:eastAsia="Calibri" w:hAnsi="Arial" w:cs="Arial"/>
          <w:i/>
          <w:iCs/>
          <w:sz w:val="24"/>
          <w:szCs w:val="24"/>
        </w:rPr>
        <w:t>P</w:t>
      </w:r>
      <w:r w:rsidRPr="00243692">
        <w:rPr>
          <w:rFonts w:ascii="Arial" w:eastAsia="Calibri" w:hAnsi="Arial" w:cs="Arial"/>
          <w:sz w:val="24"/>
          <w:szCs w:val="24"/>
        </w:rPr>
        <w:t xml:space="preserve"> = .012) significantly reduced energy use, while beliefs linking household consumption to climate change (B = 0.220, </w:t>
      </w:r>
      <w:r w:rsidRPr="00243692">
        <w:rPr>
          <w:rFonts w:ascii="Arial" w:eastAsia="Calibri" w:hAnsi="Arial" w:cs="Arial"/>
          <w:i/>
          <w:iCs/>
          <w:sz w:val="24"/>
          <w:szCs w:val="24"/>
        </w:rPr>
        <w:t>P</w:t>
      </w:r>
      <w:r w:rsidRPr="00243692">
        <w:rPr>
          <w:rFonts w:ascii="Arial" w:eastAsia="Calibri" w:hAnsi="Arial" w:cs="Arial"/>
          <w:sz w:val="24"/>
          <w:szCs w:val="24"/>
        </w:rPr>
        <w:t xml:space="preserve"> = .044) and belief in energy reduction as mitigation (B = 0.227, </w:t>
      </w:r>
      <w:r w:rsidRPr="00243692">
        <w:rPr>
          <w:rFonts w:ascii="Arial" w:eastAsia="Calibri" w:hAnsi="Arial" w:cs="Arial"/>
          <w:i/>
          <w:iCs/>
          <w:sz w:val="24"/>
          <w:szCs w:val="24"/>
        </w:rPr>
        <w:t>P</w:t>
      </w:r>
      <w:r w:rsidRPr="00243692">
        <w:rPr>
          <w:rFonts w:ascii="Arial" w:eastAsia="Calibri" w:hAnsi="Arial" w:cs="Arial"/>
          <w:sz w:val="24"/>
          <w:szCs w:val="24"/>
        </w:rPr>
        <w:t xml:space="preserve"> = .021) were positively associated with higher demand. General awareness (B = 0.038, </w:t>
      </w:r>
      <w:r w:rsidRPr="00243692">
        <w:rPr>
          <w:rFonts w:ascii="Arial" w:eastAsia="Calibri" w:hAnsi="Arial" w:cs="Arial"/>
          <w:i/>
          <w:iCs/>
          <w:sz w:val="24"/>
          <w:szCs w:val="24"/>
        </w:rPr>
        <w:t>P</w:t>
      </w:r>
      <w:r w:rsidRPr="00243692">
        <w:rPr>
          <w:rFonts w:ascii="Arial" w:eastAsia="Calibri" w:hAnsi="Arial" w:cs="Arial"/>
          <w:sz w:val="24"/>
          <w:szCs w:val="24"/>
        </w:rPr>
        <w:t xml:space="preserve"> = .808) and belief in adopting efficient practices (B = 0.208, </w:t>
      </w:r>
      <w:r w:rsidRPr="00243692">
        <w:rPr>
          <w:rFonts w:ascii="Arial" w:eastAsia="Calibri" w:hAnsi="Arial" w:cs="Arial"/>
          <w:i/>
          <w:iCs/>
          <w:sz w:val="24"/>
          <w:szCs w:val="24"/>
        </w:rPr>
        <w:t>P</w:t>
      </w:r>
      <w:r w:rsidRPr="00243692">
        <w:rPr>
          <w:rFonts w:ascii="Arial" w:eastAsia="Calibri" w:hAnsi="Arial" w:cs="Arial"/>
          <w:sz w:val="24"/>
          <w:szCs w:val="24"/>
        </w:rPr>
        <w:t xml:space="preserve"> = .258) were not significant.</w:t>
      </w:r>
    </w:p>
    <w:tbl>
      <w:tblPr>
        <w:tblW w:w="501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98"/>
        <w:gridCol w:w="3443"/>
        <w:gridCol w:w="1015"/>
        <w:gridCol w:w="1216"/>
        <w:gridCol w:w="1610"/>
        <w:gridCol w:w="6"/>
        <w:gridCol w:w="895"/>
        <w:gridCol w:w="8"/>
        <w:gridCol w:w="690"/>
      </w:tblGrid>
      <w:tr w:rsidR="0091151A" w:rsidRPr="005109A7" w14:paraId="498B6AEE" w14:textId="77777777" w:rsidTr="006A51F1">
        <w:trPr>
          <w:cantSplit/>
        </w:trPr>
        <w:tc>
          <w:tcPr>
            <w:tcW w:w="5000" w:type="pct"/>
            <w:gridSpan w:val="9"/>
            <w:tcBorders>
              <w:top w:val="nil"/>
              <w:left w:val="nil"/>
              <w:bottom w:val="single" w:sz="4" w:space="0" w:color="auto"/>
              <w:right w:val="nil"/>
            </w:tcBorders>
            <w:vAlign w:val="center"/>
            <w:hideMark/>
          </w:tcPr>
          <w:p w14:paraId="1EC36877" w14:textId="77777777" w:rsidR="0091151A" w:rsidRPr="005109A7" w:rsidRDefault="0091151A" w:rsidP="002B4D1C">
            <w:pPr>
              <w:spacing w:line="256" w:lineRule="auto"/>
              <w:rPr>
                <w:rFonts w:ascii="Arial" w:eastAsia="Calibri" w:hAnsi="Arial" w:cs="Arial"/>
                <w:b/>
                <w:bCs/>
              </w:rPr>
            </w:pPr>
            <w:bookmarkStart w:id="7" w:name="_Hlk189508311"/>
            <w:r w:rsidRPr="005109A7">
              <w:rPr>
                <w:rFonts w:ascii="Arial" w:eastAsia="Calibri" w:hAnsi="Arial" w:cs="Arial"/>
                <w:b/>
                <w:bCs/>
              </w:rPr>
              <w:t xml:space="preserve">Table 4 </w:t>
            </w:r>
            <w:r w:rsidRPr="00486DCD">
              <w:rPr>
                <w:rFonts w:ascii="Arial" w:eastAsia="Calibri" w:hAnsi="Arial" w:cs="Arial"/>
                <w:b/>
                <w:bCs/>
              </w:rPr>
              <w:t>–</w:t>
            </w:r>
            <w:r w:rsidRPr="005109A7">
              <w:rPr>
                <w:rFonts w:ascii="Arial" w:eastAsia="Calibri" w:hAnsi="Arial" w:cs="Arial"/>
                <w:b/>
                <w:bCs/>
              </w:rPr>
              <w:t xml:space="preserve"> Coefficients</w:t>
            </w:r>
            <w:bookmarkEnd w:id="7"/>
            <w:r w:rsidRPr="00486DCD">
              <w:rPr>
                <w:rFonts w:ascii="Arial" w:eastAsia="Calibri" w:hAnsi="Arial" w:cs="Arial"/>
                <w:b/>
                <w:bCs/>
              </w:rPr>
              <w:t xml:space="preserve"> of Regression for Climate Change Awareness</w:t>
            </w:r>
          </w:p>
        </w:tc>
      </w:tr>
      <w:tr w:rsidR="0091151A" w:rsidRPr="00486DCD" w14:paraId="58F583C3" w14:textId="77777777" w:rsidTr="00F83E0E">
        <w:trPr>
          <w:cantSplit/>
        </w:trPr>
        <w:tc>
          <w:tcPr>
            <w:tcW w:w="2101" w:type="pct"/>
            <w:gridSpan w:val="2"/>
            <w:vMerge w:val="restart"/>
            <w:tcBorders>
              <w:top w:val="single" w:sz="4" w:space="0" w:color="auto"/>
              <w:left w:val="nil"/>
              <w:bottom w:val="single" w:sz="4" w:space="0" w:color="auto"/>
              <w:right w:val="nil"/>
            </w:tcBorders>
            <w:vAlign w:val="bottom"/>
            <w:hideMark/>
          </w:tcPr>
          <w:p w14:paraId="0492142A" w14:textId="77777777" w:rsidR="0091151A" w:rsidRPr="005109A7" w:rsidRDefault="0091151A" w:rsidP="0070714A">
            <w:pPr>
              <w:spacing w:line="256" w:lineRule="auto"/>
              <w:rPr>
                <w:rFonts w:ascii="Arial" w:eastAsia="Calibri" w:hAnsi="Arial" w:cs="Arial"/>
                <w:b/>
                <w:bCs/>
              </w:rPr>
            </w:pPr>
            <w:r w:rsidRPr="005109A7">
              <w:rPr>
                <w:rFonts w:ascii="Arial" w:eastAsia="Calibri" w:hAnsi="Arial" w:cs="Arial"/>
                <w:b/>
                <w:bCs/>
              </w:rPr>
              <w:t>Model</w:t>
            </w:r>
          </w:p>
        </w:tc>
        <w:tc>
          <w:tcPr>
            <w:tcW w:w="1189" w:type="pct"/>
            <w:gridSpan w:val="2"/>
            <w:tcBorders>
              <w:top w:val="single" w:sz="4" w:space="0" w:color="auto"/>
              <w:left w:val="nil"/>
              <w:bottom w:val="single" w:sz="4" w:space="0" w:color="auto"/>
              <w:right w:val="single" w:sz="8" w:space="0" w:color="E0E0E0"/>
            </w:tcBorders>
            <w:vAlign w:val="bottom"/>
            <w:hideMark/>
          </w:tcPr>
          <w:p w14:paraId="731C51B7"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Unstandardized Coefficients</w:t>
            </w:r>
          </w:p>
        </w:tc>
        <w:tc>
          <w:tcPr>
            <w:tcW w:w="858" w:type="pct"/>
            <w:tcBorders>
              <w:top w:val="single" w:sz="4" w:space="0" w:color="auto"/>
              <w:left w:val="single" w:sz="8" w:space="0" w:color="E0E0E0"/>
              <w:bottom w:val="single" w:sz="4" w:space="0" w:color="auto"/>
              <w:right w:val="single" w:sz="8" w:space="0" w:color="E0E0E0"/>
            </w:tcBorders>
            <w:vAlign w:val="bottom"/>
            <w:hideMark/>
          </w:tcPr>
          <w:p w14:paraId="2077DE1B"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Standardized Coefficients</w:t>
            </w:r>
          </w:p>
        </w:tc>
        <w:tc>
          <w:tcPr>
            <w:tcW w:w="480" w:type="pct"/>
            <w:gridSpan w:val="2"/>
            <w:tcBorders>
              <w:top w:val="single" w:sz="4" w:space="0" w:color="auto"/>
              <w:left w:val="single" w:sz="8" w:space="0" w:color="E0E0E0"/>
              <w:bottom w:val="single" w:sz="4" w:space="0" w:color="auto"/>
              <w:right w:val="single" w:sz="8" w:space="0" w:color="E0E0E0"/>
            </w:tcBorders>
            <w:vAlign w:val="bottom"/>
            <w:hideMark/>
          </w:tcPr>
          <w:p w14:paraId="319078C4"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t</w:t>
            </w:r>
          </w:p>
        </w:tc>
        <w:tc>
          <w:tcPr>
            <w:tcW w:w="372" w:type="pct"/>
            <w:gridSpan w:val="2"/>
            <w:tcBorders>
              <w:top w:val="single" w:sz="4" w:space="0" w:color="auto"/>
              <w:left w:val="single" w:sz="8" w:space="0" w:color="E0E0E0"/>
              <w:bottom w:val="single" w:sz="4" w:space="0" w:color="auto"/>
              <w:right w:val="nil"/>
            </w:tcBorders>
            <w:vAlign w:val="bottom"/>
            <w:hideMark/>
          </w:tcPr>
          <w:p w14:paraId="0E75D192"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Sig.</w:t>
            </w:r>
          </w:p>
        </w:tc>
      </w:tr>
      <w:tr w:rsidR="00A76EB7" w:rsidRPr="00486DCD" w14:paraId="1AE1CCEE" w14:textId="77777777" w:rsidTr="00F83E0E">
        <w:trPr>
          <w:cantSplit/>
        </w:trPr>
        <w:tc>
          <w:tcPr>
            <w:tcW w:w="2101" w:type="pct"/>
            <w:gridSpan w:val="2"/>
            <w:vMerge/>
            <w:tcBorders>
              <w:top w:val="single" w:sz="4" w:space="0" w:color="auto"/>
              <w:left w:val="nil"/>
              <w:bottom w:val="single" w:sz="4" w:space="0" w:color="auto"/>
              <w:right w:val="nil"/>
            </w:tcBorders>
            <w:vAlign w:val="center"/>
            <w:hideMark/>
          </w:tcPr>
          <w:p w14:paraId="5DCCB2BE" w14:textId="77777777" w:rsidR="0091151A" w:rsidRPr="005109A7" w:rsidRDefault="0091151A" w:rsidP="002B4D1C">
            <w:pPr>
              <w:spacing w:line="256" w:lineRule="auto"/>
              <w:jc w:val="center"/>
              <w:rPr>
                <w:rFonts w:ascii="Arial" w:eastAsia="Calibri" w:hAnsi="Arial" w:cs="Arial"/>
                <w:b/>
                <w:bCs/>
              </w:rPr>
            </w:pPr>
          </w:p>
        </w:tc>
        <w:tc>
          <w:tcPr>
            <w:tcW w:w="541" w:type="pct"/>
            <w:tcBorders>
              <w:top w:val="single" w:sz="4" w:space="0" w:color="auto"/>
              <w:left w:val="nil"/>
              <w:bottom w:val="single" w:sz="4" w:space="0" w:color="auto"/>
              <w:right w:val="single" w:sz="8" w:space="0" w:color="E0E0E0"/>
            </w:tcBorders>
            <w:vAlign w:val="bottom"/>
            <w:hideMark/>
          </w:tcPr>
          <w:p w14:paraId="10F21A3D"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B</w:t>
            </w:r>
          </w:p>
        </w:tc>
        <w:tc>
          <w:tcPr>
            <w:tcW w:w="648" w:type="pct"/>
            <w:tcBorders>
              <w:top w:val="single" w:sz="4" w:space="0" w:color="auto"/>
              <w:left w:val="single" w:sz="8" w:space="0" w:color="E0E0E0"/>
              <w:bottom w:val="single" w:sz="4" w:space="0" w:color="auto"/>
              <w:right w:val="single" w:sz="8" w:space="0" w:color="E0E0E0"/>
            </w:tcBorders>
            <w:vAlign w:val="bottom"/>
            <w:hideMark/>
          </w:tcPr>
          <w:p w14:paraId="32E54943"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Std. Error</w:t>
            </w:r>
          </w:p>
        </w:tc>
        <w:tc>
          <w:tcPr>
            <w:tcW w:w="861" w:type="pct"/>
            <w:gridSpan w:val="2"/>
            <w:tcBorders>
              <w:top w:val="single" w:sz="4" w:space="0" w:color="auto"/>
              <w:left w:val="single" w:sz="8" w:space="0" w:color="E0E0E0"/>
              <w:bottom w:val="single" w:sz="4" w:space="0" w:color="auto"/>
              <w:right w:val="single" w:sz="8" w:space="0" w:color="E0E0E0"/>
            </w:tcBorders>
            <w:vAlign w:val="bottom"/>
            <w:hideMark/>
          </w:tcPr>
          <w:p w14:paraId="21386489" w14:textId="77777777" w:rsidR="0091151A" w:rsidRPr="005109A7" w:rsidRDefault="0091151A" w:rsidP="002B4D1C">
            <w:pPr>
              <w:spacing w:line="256" w:lineRule="auto"/>
              <w:jc w:val="center"/>
              <w:rPr>
                <w:rFonts w:ascii="Arial" w:eastAsia="Calibri" w:hAnsi="Arial" w:cs="Arial"/>
                <w:b/>
                <w:bCs/>
              </w:rPr>
            </w:pPr>
            <w:r w:rsidRPr="005109A7">
              <w:rPr>
                <w:rFonts w:ascii="Arial" w:eastAsia="Calibri" w:hAnsi="Arial" w:cs="Arial"/>
                <w:b/>
                <w:bCs/>
              </w:rPr>
              <w:t>Beta</w:t>
            </w:r>
          </w:p>
        </w:tc>
        <w:tc>
          <w:tcPr>
            <w:tcW w:w="481" w:type="pct"/>
            <w:gridSpan w:val="2"/>
            <w:tcBorders>
              <w:top w:val="single" w:sz="4" w:space="0" w:color="auto"/>
              <w:left w:val="single" w:sz="8" w:space="0" w:color="E0E0E0"/>
              <w:bottom w:val="nil"/>
              <w:right w:val="single" w:sz="8" w:space="0" w:color="E0E0E0"/>
            </w:tcBorders>
            <w:vAlign w:val="center"/>
            <w:hideMark/>
          </w:tcPr>
          <w:p w14:paraId="0B75A368" w14:textId="77777777" w:rsidR="0091151A" w:rsidRPr="005109A7" w:rsidRDefault="0091151A" w:rsidP="002B4D1C">
            <w:pPr>
              <w:spacing w:line="256" w:lineRule="auto"/>
              <w:jc w:val="center"/>
              <w:rPr>
                <w:rFonts w:ascii="Arial" w:eastAsia="Calibri" w:hAnsi="Arial" w:cs="Arial"/>
                <w:b/>
                <w:bCs/>
              </w:rPr>
            </w:pPr>
          </w:p>
        </w:tc>
        <w:tc>
          <w:tcPr>
            <w:tcW w:w="368" w:type="pct"/>
            <w:tcBorders>
              <w:top w:val="single" w:sz="4" w:space="0" w:color="auto"/>
              <w:left w:val="single" w:sz="8" w:space="0" w:color="E0E0E0"/>
              <w:bottom w:val="nil"/>
              <w:right w:val="nil"/>
            </w:tcBorders>
            <w:vAlign w:val="center"/>
            <w:hideMark/>
          </w:tcPr>
          <w:p w14:paraId="3B0A72C5" w14:textId="77777777" w:rsidR="0091151A" w:rsidRPr="005109A7" w:rsidRDefault="0091151A" w:rsidP="002B4D1C">
            <w:pPr>
              <w:spacing w:line="256" w:lineRule="auto"/>
              <w:rPr>
                <w:rFonts w:ascii="Arial" w:eastAsia="Calibri" w:hAnsi="Arial" w:cs="Arial"/>
                <w:b/>
                <w:bCs/>
              </w:rPr>
            </w:pPr>
          </w:p>
        </w:tc>
      </w:tr>
      <w:tr w:rsidR="00A76EB7" w:rsidRPr="00486DCD" w14:paraId="6E305F53" w14:textId="77777777" w:rsidTr="00F83E0E">
        <w:trPr>
          <w:cantSplit/>
        </w:trPr>
        <w:tc>
          <w:tcPr>
            <w:tcW w:w="266" w:type="pct"/>
            <w:vMerge w:val="restart"/>
            <w:tcBorders>
              <w:top w:val="single" w:sz="4" w:space="0" w:color="auto"/>
              <w:left w:val="nil"/>
              <w:bottom w:val="single" w:sz="8" w:space="0" w:color="152935"/>
              <w:right w:val="nil"/>
            </w:tcBorders>
            <w:hideMark/>
          </w:tcPr>
          <w:p w14:paraId="637F865F" w14:textId="68434542" w:rsidR="0091151A" w:rsidRPr="005109A7" w:rsidRDefault="0070714A" w:rsidP="002B4D1C">
            <w:pPr>
              <w:spacing w:line="256" w:lineRule="auto"/>
              <w:rPr>
                <w:rFonts w:ascii="Arial" w:eastAsia="Calibri" w:hAnsi="Arial" w:cs="Arial"/>
              </w:rPr>
            </w:pPr>
            <w:r w:rsidRPr="00486DCD">
              <w:rPr>
                <w:rFonts w:ascii="Arial" w:eastAsia="Calibri" w:hAnsi="Arial" w:cs="Arial"/>
              </w:rPr>
              <w:t>4</w:t>
            </w:r>
          </w:p>
        </w:tc>
        <w:tc>
          <w:tcPr>
            <w:tcW w:w="1835" w:type="pct"/>
            <w:tcBorders>
              <w:top w:val="single" w:sz="4" w:space="0" w:color="auto"/>
              <w:left w:val="nil"/>
              <w:bottom w:val="single" w:sz="8" w:space="0" w:color="AEAEAE"/>
              <w:right w:val="nil"/>
            </w:tcBorders>
            <w:hideMark/>
          </w:tcPr>
          <w:p w14:paraId="2E52E865" w14:textId="77777777" w:rsidR="0091151A" w:rsidRPr="005109A7" w:rsidRDefault="0091151A" w:rsidP="002B4D1C">
            <w:pPr>
              <w:spacing w:line="256" w:lineRule="auto"/>
              <w:rPr>
                <w:rFonts w:ascii="Arial" w:eastAsia="Calibri" w:hAnsi="Arial" w:cs="Arial"/>
              </w:rPr>
            </w:pPr>
            <w:r w:rsidRPr="005109A7">
              <w:rPr>
                <w:rFonts w:ascii="Arial" w:eastAsia="Calibri" w:hAnsi="Arial" w:cs="Arial"/>
              </w:rPr>
              <w:t>(Constant)</w:t>
            </w:r>
          </w:p>
        </w:tc>
        <w:tc>
          <w:tcPr>
            <w:tcW w:w="541" w:type="pct"/>
            <w:tcBorders>
              <w:top w:val="single" w:sz="4" w:space="0" w:color="auto"/>
              <w:left w:val="nil"/>
              <w:bottom w:val="single" w:sz="8" w:space="0" w:color="AEAEAE"/>
              <w:right w:val="single" w:sz="8" w:space="0" w:color="E0E0E0"/>
            </w:tcBorders>
            <w:hideMark/>
          </w:tcPr>
          <w:p w14:paraId="3DAA2429"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8.597</w:t>
            </w:r>
          </w:p>
        </w:tc>
        <w:tc>
          <w:tcPr>
            <w:tcW w:w="648" w:type="pct"/>
            <w:tcBorders>
              <w:top w:val="single" w:sz="4" w:space="0" w:color="auto"/>
              <w:left w:val="single" w:sz="8" w:space="0" w:color="E0E0E0"/>
              <w:bottom w:val="single" w:sz="8" w:space="0" w:color="AEAEAE"/>
              <w:right w:val="single" w:sz="8" w:space="0" w:color="E0E0E0"/>
            </w:tcBorders>
            <w:hideMark/>
          </w:tcPr>
          <w:p w14:paraId="433A1EF2"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.386</w:t>
            </w:r>
          </w:p>
        </w:tc>
        <w:tc>
          <w:tcPr>
            <w:tcW w:w="861" w:type="pct"/>
            <w:gridSpan w:val="2"/>
            <w:tcBorders>
              <w:top w:val="single" w:sz="4" w:space="0" w:color="auto"/>
              <w:left w:val="single" w:sz="8" w:space="0" w:color="E0E0E0"/>
              <w:bottom w:val="single" w:sz="8" w:space="0" w:color="AEAEAE"/>
              <w:right w:val="single" w:sz="8" w:space="0" w:color="E0E0E0"/>
            </w:tcBorders>
            <w:vAlign w:val="center"/>
          </w:tcPr>
          <w:p w14:paraId="27C212E4" w14:textId="77777777" w:rsidR="0091151A" w:rsidRPr="005109A7" w:rsidRDefault="0091151A" w:rsidP="00FA6EC4">
            <w:pPr>
              <w:spacing w:line="256" w:lineRule="auto"/>
              <w:jc w:val="right"/>
              <w:rPr>
                <w:rFonts w:ascii="Arial" w:eastAsia="Calibri" w:hAnsi="Arial" w:cs="Arial"/>
              </w:rPr>
            </w:pPr>
          </w:p>
        </w:tc>
        <w:tc>
          <w:tcPr>
            <w:tcW w:w="481" w:type="pct"/>
            <w:gridSpan w:val="2"/>
            <w:tcBorders>
              <w:top w:val="single" w:sz="8" w:space="0" w:color="152935"/>
              <w:left w:val="single" w:sz="8" w:space="0" w:color="E0E0E0"/>
              <w:bottom w:val="single" w:sz="8" w:space="0" w:color="AEAEAE"/>
              <w:right w:val="single" w:sz="8" w:space="0" w:color="E0E0E0"/>
            </w:tcBorders>
            <w:hideMark/>
          </w:tcPr>
          <w:p w14:paraId="5B5B7AA9"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22.251</w:t>
            </w:r>
          </w:p>
        </w:tc>
        <w:tc>
          <w:tcPr>
            <w:tcW w:w="368" w:type="pct"/>
            <w:tcBorders>
              <w:top w:val="single" w:sz="8" w:space="0" w:color="152935"/>
              <w:left w:val="single" w:sz="8" w:space="0" w:color="E0E0E0"/>
              <w:bottom w:val="single" w:sz="8" w:space="0" w:color="AEAEAE"/>
              <w:right w:val="nil"/>
            </w:tcBorders>
            <w:hideMark/>
          </w:tcPr>
          <w:p w14:paraId="5F7D8A52"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.000</w:t>
            </w:r>
          </w:p>
        </w:tc>
      </w:tr>
      <w:tr w:rsidR="00A76EB7" w:rsidRPr="00486DCD" w14:paraId="2538DF45" w14:textId="77777777" w:rsidTr="006A51F1">
        <w:trPr>
          <w:cantSplit/>
        </w:trPr>
        <w:tc>
          <w:tcPr>
            <w:tcW w:w="266" w:type="pct"/>
            <w:vMerge/>
            <w:tcBorders>
              <w:top w:val="single" w:sz="8" w:space="0" w:color="152935"/>
              <w:left w:val="nil"/>
              <w:bottom w:val="single" w:sz="8" w:space="0" w:color="152935"/>
              <w:right w:val="nil"/>
            </w:tcBorders>
            <w:vAlign w:val="center"/>
            <w:hideMark/>
          </w:tcPr>
          <w:p w14:paraId="50C5F6CD" w14:textId="77777777" w:rsidR="0091151A" w:rsidRPr="005109A7" w:rsidRDefault="0091151A" w:rsidP="002B4D1C">
            <w:pPr>
              <w:spacing w:line="256" w:lineRule="auto"/>
              <w:rPr>
                <w:rFonts w:ascii="Arial" w:eastAsia="Calibri" w:hAnsi="Arial" w:cs="Arial"/>
              </w:rPr>
            </w:pPr>
          </w:p>
        </w:tc>
        <w:tc>
          <w:tcPr>
            <w:tcW w:w="1835" w:type="pct"/>
            <w:tcBorders>
              <w:top w:val="single" w:sz="8" w:space="0" w:color="AEAEAE"/>
              <w:left w:val="nil"/>
              <w:bottom w:val="single" w:sz="8" w:space="0" w:color="AEAEAE"/>
              <w:right w:val="nil"/>
            </w:tcBorders>
            <w:hideMark/>
          </w:tcPr>
          <w:p w14:paraId="5599F5DB"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Willingness to invest in renewables</w:t>
            </w:r>
          </w:p>
        </w:tc>
        <w:tc>
          <w:tcPr>
            <w:tcW w:w="541" w:type="pct"/>
            <w:tcBorders>
              <w:top w:val="single" w:sz="8" w:space="0" w:color="AEAEAE"/>
              <w:left w:val="nil"/>
              <w:bottom w:val="single" w:sz="8" w:space="0" w:color="AEAEAE"/>
              <w:right w:val="single" w:sz="8" w:space="0" w:color="E0E0E0"/>
            </w:tcBorders>
            <w:hideMark/>
          </w:tcPr>
          <w:p w14:paraId="0E79B52B"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.488</w:t>
            </w:r>
          </w:p>
        </w:tc>
        <w:tc>
          <w:tcPr>
            <w:tcW w:w="648" w:type="pct"/>
            <w:tcBorders>
              <w:top w:val="single" w:sz="8" w:space="0" w:color="AEAEAE"/>
              <w:left w:val="single" w:sz="8" w:space="0" w:color="E0E0E0"/>
              <w:bottom w:val="single" w:sz="8" w:space="0" w:color="AEAEAE"/>
              <w:right w:val="single" w:sz="8" w:space="0" w:color="E0E0E0"/>
            </w:tcBorders>
            <w:hideMark/>
          </w:tcPr>
          <w:p w14:paraId="6E27E798"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.193</w:t>
            </w:r>
          </w:p>
        </w:tc>
        <w:tc>
          <w:tcPr>
            <w:tcW w:w="861" w:type="pct"/>
            <w:gridSpan w:val="2"/>
            <w:tcBorders>
              <w:top w:val="single" w:sz="8" w:space="0" w:color="AEAEAE"/>
              <w:left w:val="single" w:sz="8" w:space="0" w:color="E0E0E0"/>
              <w:bottom w:val="single" w:sz="8" w:space="0" w:color="AEAEAE"/>
              <w:right w:val="single" w:sz="8" w:space="0" w:color="E0E0E0"/>
            </w:tcBorders>
            <w:hideMark/>
          </w:tcPr>
          <w:p w14:paraId="0BEC9C2C"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w:t>
            </w:r>
            <w:r w:rsidRPr="00486DCD">
              <w:rPr>
                <w:rFonts w:ascii="Arial" w:eastAsia="Calibri" w:hAnsi="Arial" w:cs="Arial"/>
              </w:rPr>
              <w:t>0</w:t>
            </w:r>
            <w:r w:rsidRPr="005109A7">
              <w:rPr>
                <w:rFonts w:ascii="Arial" w:eastAsia="Calibri" w:hAnsi="Arial" w:cs="Arial"/>
              </w:rPr>
              <w:t>.117</w:t>
            </w:r>
          </w:p>
        </w:tc>
        <w:tc>
          <w:tcPr>
            <w:tcW w:w="481" w:type="pct"/>
            <w:gridSpan w:val="2"/>
            <w:tcBorders>
              <w:top w:val="single" w:sz="8" w:space="0" w:color="AEAEAE"/>
              <w:left w:val="single" w:sz="8" w:space="0" w:color="E0E0E0"/>
              <w:bottom w:val="single" w:sz="8" w:space="0" w:color="AEAEAE"/>
              <w:right w:val="single" w:sz="8" w:space="0" w:color="E0E0E0"/>
            </w:tcBorders>
            <w:hideMark/>
          </w:tcPr>
          <w:p w14:paraId="0F2FF178"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-2.531</w:t>
            </w:r>
          </w:p>
        </w:tc>
        <w:tc>
          <w:tcPr>
            <w:tcW w:w="368" w:type="pct"/>
            <w:tcBorders>
              <w:top w:val="single" w:sz="8" w:space="0" w:color="AEAEAE"/>
              <w:left w:val="single" w:sz="8" w:space="0" w:color="E0E0E0"/>
              <w:bottom w:val="single" w:sz="8" w:space="0" w:color="AEAEAE"/>
              <w:right w:val="nil"/>
            </w:tcBorders>
            <w:hideMark/>
          </w:tcPr>
          <w:p w14:paraId="3D4F45E3"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.012</w:t>
            </w:r>
          </w:p>
        </w:tc>
      </w:tr>
      <w:tr w:rsidR="00A76EB7" w:rsidRPr="00486DCD" w14:paraId="347AAA7C" w14:textId="77777777" w:rsidTr="006A51F1">
        <w:trPr>
          <w:cantSplit/>
        </w:trPr>
        <w:tc>
          <w:tcPr>
            <w:tcW w:w="266" w:type="pct"/>
            <w:vMerge/>
            <w:tcBorders>
              <w:top w:val="single" w:sz="8" w:space="0" w:color="152935"/>
              <w:left w:val="nil"/>
              <w:bottom w:val="single" w:sz="8" w:space="0" w:color="152935"/>
              <w:right w:val="nil"/>
            </w:tcBorders>
            <w:vAlign w:val="center"/>
            <w:hideMark/>
          </w:tcPr>
          <w:p w14:paraId="11DA30B0" w14:textId="77777777" w:rsidR="0091151A" w:rsidRPr="005109A7" w:rsidRDefault="0091151A" w:rsidP="002B4D1C">
            <w:pPr>
              <w:spacing w:line="256" w:lineRule="auto"/>
              <w:rPr>
                <w:rFonts w:ascii="Arial" w:eastAsia="Calibri" w:hAnsi="Arial" w:cs="Arial"/>
              </w:rPr>
            </w:pPr>
          </w:p>
        </w:tc>
        <w:tc>
          <w:tcPr>
            <w:tcW w:w="1835" w:type="pct"/>
            <w:tcBorders>
              <w:top w:val="single" w:sz="8" w:space="0" w:color="AEAEAE"/>
              <w:left w:val="nil"/>
              <w:bottom w:val="single" w:sz="8" w:space="0" w:color="AEAEAE"/>
              <w:right w:val="nil"/>
            </w:tcBorders>
            <w:hideMark/>
          </w:tcPr>
          <w:p w14:paraId="7A8A8283"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Factors influencing adoption</w:t>
            </w:r>
          </w:p>
        </w:tc>
        <w:tc>
          <w:tcPr>
            <w:tcW w:w="541" w:type="pct"/>
            <w:tcBorders>
              <w:top w:val="single" w:sz="8" w:space="0" w:color="AEAEAE"/>
              <w:left w:val="nil"/>
              <w:bottom w:val="single" w:sz="8" w:space="0" w:color="AEAEAE"/>
              <w:right w:val="single" w:sz="8" w:space="0" w:color="E0E0E0"/>
            </w:tcBorders>
            <w:hideMark/>
          </w:tcPr>
          <w:p w14:paraId="2EBDCCBC"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.117</w:t>
            </w:r>
          </w:p>
        </w:tc>
        <w:tc>
          <w:tcPr>
            <w:tcW w:w="648" w:type="pct"/>
            <w:tcBorders>
              <w:top w:val="single" w:sz="8" w:space="0" w:color="AEAEAE"/>
              <w:left w:val="single" w:sz="8" w:space="0" w:color="E0E0E0"/>
              <w:bottom w:val="single" w:sz="8" w:space="0" w:color="AEAEAE"/>
              <w:right w:val="single" w:sz="8" w:space="0" w:color="E0E0E0"/>
            </w:tcBorders>
            <w:hideMark/>
          </w:tcPr>
          <w:p w14:paraId="42640690"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.047</w:t>
            </w:r>
          </w:p>
        </w:tc>
        <w:tc>
          <w:tcPr>
            <w:tcW w:w="861" w:type="pct"/>
            <w:gridSpan w:val="2"/>
            <w:tcBorders>
              <w:top w:val="single" w:sz="8" w:space="0" w:color="AEAEAE"/>
              <w:left w:val="single" w:sz="8" w:space="0" w:color="E0E0E0"/>
              <w:bottom w:val="single" w:sz="8" w:space="0" w:color="AEAEAE"/>
              <w:right w:val="single" w:sz="8" w:space="0" w:color="E0E0E0"/>
            </w:tcBorders>
            <w:hideMark/>
          </w:tcPr>
          <w:p w14:paraId="125C99FB"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.107</w:t>
            </w:r>
          </w:p>
        </w:tc>
        <w:tc>
          <w:tcPr>
            <w:tcW w:w="481" w:type="pct"/>
            <w:gridSpan w:val="2"/>
            <w:tcBorders>
              <w:top w:val="single" w:sz="8" w:space="0" w:color="AEAEAE"/>
              <w:left w:val="single" w:sz="8" w:space="0" w:color="E0E0E0"/>
              <w:bottom w:val="single" w:sz="8" w:space="0" w:color="AEAEAE"/>
              <w:right w:val="single" w:sz="8" w:space="0" w:color="E0E0E0"/>
            </w:tcBorders>
            <w:hideMark/>
          </w:tcPr>
          <w:p w14:paraId="058BF998"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2.472</w:t>
            </w:r>
          </w:p>
        </w:tc>
        <w:tc>
          <w:tcPr>
            <w:tcW w:w="368" w:type="pct"/>
            <w:tcBorders>
              <w:top w:val="single" w:sz="8" w:space="0" w:color="AEAEAE"/>
              <w:left w:val="single" w:sz="8" w:space="0" w:color="E0E0E0"/>
              <w:bottom w:val="single" w:sz="8" w:space="0" w:color="AEAEAE"/>
              <w:right w:val="nil"/>
            </w:tcBorders>
            <w:hideMark/>
          </w:tcPr>
          <w:p w14:paraId="65F2F3AA"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.014</w:t>
            </w:r>
          </w:p>
        </w:tc>
      </w:tr>
      <w:tr w:rsidR="00A76EB7" w:rsidRPr="00486DCD" w14:paraId="5802B3FD" w14:textId="77777777" w:rsidTr="006A51F1">
        <w:trPr>
          <w:cantSplit/>
        </w:trPr>
        <w:tc>
          <w:tcPr>
            <w:tcW w:w="266" w:type="pct"/>
            <w:vMerge/>
            <w:tcBorders>
              <w:top w:val="single" w:sz="8" w:space="0" w:color="152935"/>
              <w:left w:val="nil"/>
              <w:bottom w:val="single" w:sz="8" w:space="0" w:color="152935"/>
              <w:right w:val="nil"/>
            </w:tcBorders>
            <w:vAlign w:val="center"/>
            <w:hideMark/>
          </w:tcPr>
          <w:p w14:paraId="60EB15D6" w14:textId="77777777" w:rsidR="0091151A" w:rsidRPr="005109A7" w:rsidRDefault="0091151A" w:rsidP="002B4D1C">
            <w:pPr>
              <w:spacing w:line="256" w:lineRule="auto"/>
              <w:rPr>
                <w:rFonts w:ascii="Arial" w:eastAsia="Calibri" w:hAnsi="Arial" w:cs="Arial"/>
              </w:rPr>
            </w:pPr>
          </w:p>
        </w:tc>
        <w:tc>
          <w:tcPr>
            <w:tcW w:w="1835" w:type="pct"/>
            <w:tcBorders>
              <w:top w:val="single" w:sz="8" w:space="0" w:color="AEAEAE"/>
              <w:left w:val="nil"/>
              <w:bottom w:val="single" w:sz="8" w:space="0" w:color="AEAEAE"/>
              <w:right w:val="nil"/>
            </w:tcBorders>
            <w:hideMark/>
          </w:tcPr>
          <w:p w14:paraId="35B194D3"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Awareness of climate impacts</w:t>
            </w:r>
          </w:p>
        </w:tc>
        <w:tc>
          <w:tcPr>
            <w:tcW w:w="541" w:type="pct"/>
            <w:tcBorders>
              <w:top w:val="single" w:sz="8" w:space="0" w:color="AEAEAE"/>
              <w:left w:val="nil"/>
              <w:bottom w:val="single" w:sz="8" w:space="0" w:color="AEAEAE"/>
              <w:right w:val="single" w:sz="8" w:space="0" w:color="E0E0E0"/>
            </w:tcBorders>
            <w:hideMark/>
          </w:tcPr>
          <w:p w14:paraId="78A73392"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.038</w:t>
            </w:r>
          </w:p>
        </w:tc>
        <w:tc>
          <w:tcPr>
            <w:tcW w:w="648" w:type="pct"/>
            <w:tcBorders>
              <w:top w:val="single" w:sz="8" w:space="0" w:color="AEAEAE"/>
              <w:left w:val="single" w:sz="8" w:space="0" w:color="E0E0E0"/>
              <w:bottom w:val="single" w:sz="8" w:space="0" w:color="AEAEAE"/>
              <w:right w:val="single" w:sz="8" w:space="0" w:color="E0E0E0"/>
            </w:tcBorders>
            <w:hideMark/>
          </w:tcPr>
          <w:p w14:paraId="41726ED6"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.157</w:t>
            </w:r>
          </w:p>
        </w:tc>
        <w:tc>
          <w:tcPr>
            <w:tcW w:w="861" w:type="pct"/>
            <w:gridSpan w:val="2"/>
            <w:tcBorders>
              <w:top w:val="single" w:sz="8" w:space="0" w:color="AEAEAE"/>
              <w:left w:val="single" w:sz="8" w:space="0" w:color="E0E0E0"/>
              <w:bottom w:val="single" w:sz="8" w:space="0" w:color="AEAEAE"/>
              <w:right w:val="single" w:sz="8" w:space="0" w:color="E0E0E0"/>
            </w:tcBorders>
            <w:hideMark/>
          </w:tcPr>
          <w:p w14:paraId="5E12D8E3"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.023</w:t>
            </w:r>
          </w:p>
        </w:tc>
        <w:tc>
          <w:tcPr>
            <w:tcW w:w="481" w:type="pct"/>
            <w:gridSpan w:val="2"/>
            <w:tcBorders>
              <w:top w:val="single" w:sz="8" w:space="0" w:color="AEAEAE"/>
              <w:left w:val="single" w:sz="8" w:space="0" w:color="E0E0E0"/>
              <w:bottom w:val="single" w:sz="8" w:space="0" w:color="AEAEAE"/>
              <w:right w:val="single" w:sz="8" w:space="0" w:color="E0E0E0"/>
            </w:tcBorders>
            <w:hideMark/>
          </w:tcPr>
          <w:p w14:paraId="141771CE"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.243</w:t>
            </w:r>
          </w:p>
        </w:tc>
        <w:tc>
          <w:tcPr>
            <w:tcW w:w="368" w:type="pct"/>
            <w:tcBorders>
              <w:top w:val="single" w:sz="8" w:space="0" w:color="AEAEAE"/>
              <w:left w:val="single" w:sz="8" w:space="0" w:color="E0E0E0"/>
              <w:bottom w:val="single" w:sz="8" w:space="0" w:color="AEAEAE"/>
              <w:right w:val="nil"/>
            </w:tcBorders>
            <w:hideMark/>
          </w:tcPr>
          <w:p w14:paraId="6275B08B"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.808</w:t>
            </w:r>
          </w:p>
        </w:tc>
      </w:tr>
      <w:tr w:rsidR="00A76EB7" w:rsidRPr="00486DCD" w14:paraId="04DAD9E6" w14:textId="77777777" w:rsidTr="006A51F1">
        <w:trPr>
          <w:cantSplit/>
        </w:trPr>
        <w:tc>
          <w:tcPr>
            <w:tcW w:w="266" w:type="pct"/>
            <w:vMerge/>
            <w:tcBorders>
              <w:top w:val="single" w:sz="8" w:space="0" w:color="152935"/>
              <w:left w:val="nil"/>
              <w:bottom w:val="single" w:sz="8" w:space="0" w:color="152935"/>
              <w:right w:val="nil"/>
            </w:tcBorders>
            <w:vAlign w:val="center"/>
            <w:hideMark/>
          </w:tcPr>
          <w:p w14:paraId="7ABFD589" w14:textId="77777777" w:rsidR="0091151A" w:rsidRPr="005109A7" w:rsidRDefault="0091151A" w:rsidP="002B4D1C">
            <w:pPr>
              <w:spacing w:line="256" w:lineRule="auto"/>
              <w:rPr>
                <w:rFonts w:ascii="Arial" w:eastAsia="Calibri" w:hAnsi="Arial" w:cs="Arial"/>
              </w:rPr>
            </w:pPr>
          </w:p>
        </w:tc>
        <w:tc>
          <w:tcPr>
            <w:tcW w:w="1835" w:type="pct"/>
            <w:tcBorders>
              <w:top w:val="single" w:sz="8" w:space="0" w:color="AEAEAE"/>
              <w:left w:val="nil"/>
              <w:bottom w:val="single" w:sz="8" w:space="0" w:color="AEAEAE"/>
              <w:right w:val="nil"/>
            </w:tcBorders>
            <w:hideMark/>
          </w:tcPr>
          <w:p w14:paraId="2C6FE6CD"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Belief consumption contributes</w:t>
            </w:r>
          </w:p>
        </w:tc>
        <w:tc>
          <w:tcPr>
            <w:tcW w:w="541" w:type="pct"/>
            <w:tcBorders>
              <w:top w:val="single" w:sz="8" w:space="0" w:color="AEAEAE"/>
              <w:left w:val="nil"/>
              <w:bottom w:val="single" w:sz="8" w:space="0" w:color="AEAEAE"/>
              <w:right w:val="single" w:sz="8" w:space="0" w:color="E0E0E0"/>
            </w:tcBorders>
            <w:hideMark/>
          </w:tcPr>
          <w:p w14:paraId="5BF60E07"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.220</w:t>
            </w:r>
          </w:p>
        </w:tc>
        <w:tc>
          <w:tcPr>
            <w:tcW w:w="648" w:type="pct"/>
            <w:tcBorders>
              <w:top w:val="single" w:sz="8" w:space="0" w:color="AEAEAE"/>
              <w:left w:val="single" w:sz="8" w:space="0" w:color="E0E0E0"/>
              <w:bottom w:val="single" w:sz="8" w:space="0" w:color="AEAEAE"/>
              <w:right w:val="single" w:sz="8" w:space="0" w:color="E0E0E0"/>
            </w:tcBorders>
            <w:hideMark/>
          </w:tcPr>
          <w:p w14:paraId="09850E4B"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.109</w:t>
            </w:r>
          </w:p>
        </w:tc>
        <w:tc>
          <w:tcPr>
            <w:tcW w:w="861" w:type="pct"/>
            <w:gridSpan w:val="2"/>
            <w:tcBorders>
              <w:top w:val="single" w:sz="8" w:space="0" w:color="AEAEAE"/>
              <w:left w:val="single" w:sz="8" w:space="0" w:color="E0E0E0"/>
              <w:bottom w:val="single" w:sz="8" w:space="0" w:color="AEAEAE"/>
              <w:right w:val="single" w:sz="8" w:space="0" w:color="E0E0E0"/>
            </w:tcBorders>
            <w:hideMark/>
          </w:tcPr>
          <w:p w14:paraId="50820E5D"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.135</w:t>
            </w:r>
          </w:p>
        </w:tc>
        <w:tc>
          <w:tcPr>
            <w:tcW w:w="481" w:type="pct"/>
            <w:gridSpan w:val="2"/>
            <w:tcBorders>
              <w:top w:val="single" w:sz="8" w:space="0" w:color="AEAEAE"/>
              <w:left w:val="single" w:sz="8" w:space="0" w:color="E0E0E0"/>
              <w:bottom w:val="single" w:sz="8" w:space="0" w:color="AEAEAE"/>
              <w:right w:val="single" w:sz="8" w:space="0" w:color="E0E0E0"/>
            </w:tcBorders>
            <w:hideMark/>
          </w:tcPr>
          <w:p w14:paraId="286DEBB0"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2.020</w:t>
            </w:r>
          </w:p>
        </w:tc>
        <w:tc>
          <w:tcPr>
            <w:tcW w:w="368" w:type="pct"/>
            <w:tcBorders>
              <w:top w:val="single" w:sz="8" w:space="0" w:color="AEAEAE"/>
              <w:left w:val="single" w:sz="8" w:space="0" w:color="E0E0E0"/>
              <w:bottom w:val="single" w:sz="8" w:space="0" w:color="AEAEAE"/>
              <w:right w:val="nil"/>
            </w:tcBorders>
            <w:hideMark/>
          </w:tcPr>
          <w:p w14:paraId="1BF799FA"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.044</w:t>
            </w:r>
          </w:p>
        </w:tc>
      </w:tr>
      <w:tr w:rsidR="00A76EB7" w:rsidRPr="00486DCD" w14:paraId="798A4757" w14:textId="77777777" w:rsidTr="006A51F1">
        <w:trPr>
          <w:cantSplit/>
        </w:trPr>
        <w:tc>
          <w:tcPr>
            <w:tcW w:w="266" w:type="pct"/>
            <w:vMerge/>
            <w:tcBorders>
              <w:top w:val="single" w:sz="8" w:space="0" w:color="152935"/>
              <w:left w:val="nil"/>
              <w:bottom w:val="single" w:sz="8" w:space="0" w:color="152935"/>
              <w:right w:val="nil"/>
            </w:tcBorders>
            <w:vAlign w:val="center"/>
            <w:hideMark/>
          </w:tcPr>
          <w:p w14:paraId="5AE60A5F" w14:textId="77777777" w:rsidR="0091151A" w:rsidRPr="005109A7" w:rsidRDefault="0091151A" w:rsidP="002B4D1C">
            <w:pPr>
              <w:spacing w:line="256" w:lineRule="auto"/>
              <w:rPr>
                <w:rFonts w:ascii="Arial" w:eastAsia="Calibri" w:hAnsi="Arial" w:cs="Arial"/>
              </w:rPr>
            </w:pPr>
          </w:p>
        </w:tc>
        <w:tc>
          <w:tcPr>
            <w:tcW w:w="1835" w:type="pct"/>
            <w:tcBorders>
              <w:top w:val="single" w:sz="8" w:space="0" w:color="AEAEAE"/>
              <w:left w:val="nil"/>
              <w:bottom w:val="single" w:sz="8" w:space="0" w:color="AEAEAE"/>
              <w:right w:val="nil"/>
            </w:tcBorders>
            <w:hideMark/>
          </w:tcPr>
          <w:p w14:paraId="4628B2BB"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Belief reduction mitigates</w:t>
            </w:r>
          </w:p>
        </w:tc>
        <w:tc>
          <w:tcPr>
            <w:tcW w:w="541" w:type="pct"/>
            <w:tcBorders>
              <w:top w:val="single" w:sz="8" w:space="0" w:color="AEAEAE"/>
              <w:left w:val="nil"/>
              <w:bottom w:val="single" w:sz="8" w:space="0" w:color="AEAEAE"/>
              <w:right w:val="single" w:sz="8" w:space="0" w:color="E0E0E0"/>
            </w:tcBorders>
            <w:hideMark/>
          </w:tcPr>
          <w:p w14:paraId="225D9012"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.227</w:t>
            </w:r>
          </w:p>
        </w:tc>
        <w:tc>
          <w:tcPr>
            <w:tcW w:w="648" w:type="pct"/>
            <w:tcBorders>
              <w:top w:val="single" w:sz="8" w:space="0" w:color="AEAEAE"/>
              <w:left w:val="single" w:sz="8" w:space="0" w:color="E0E0E0"/>
              <w:bottom w:val="single" w:sz="8" w:space="0" w:color="AEAEAE"/>
              <w:right w:val="single" w:sz="8" w:space="0" w:color="E0E0E0"/>
            </w:tcBorders>
            <w:hideMark/>
          </w:tcPr>
          <w:p w14:paraId="7A6CB7BC"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.098</w:t>
            </w:r>
          </w:p>
        </w:tc>
        <w:tc>
          <w:tcPr>
            <w:tcW w:w="861" w:type="pct"/>
            <w:gridSpan w:val="2"/>
            <w:tcBorders>
              <w:top w:val="single" w:sz="8" w:space="0" w:color="AEAEAE"/>
              <w:left w:val="single" w:sz="8" w:space="0" w:color="E0E0E0"/>
              <w:bottom w:val="single" w:sz="8" w:space="0" w:color="AEAEAE"/>
              <w:right w:val="single" w:sz="8" w:space="0" w:color="E0E0E0"/>
            </w:tcBorders>
            <w:hideMark/>
          </w:tcPr>
          <w:p w14:paraId="37D1A627"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.144</w:t>
            </w:r>
          </w:p>
        </w:tc>
        <w:tc>
          <w:tcPr>
            <w:tcW w:w="481" w:type="pct"/>
            <w:gridSpan w:val="2"/>
            <w:tcBorders>
              <w:top w:val="single" w:sz="8" w:space="0" w:color="AEAEAE"/>
              <w:left w:val="single" w:sz="8" w:space="0" w:color="E0E0E0"/>
              <w:bottom w:val="single" w:sz="8" w:space="0" w:color="AEAEAE"/>
              <w:right w:val="single" w:sz="8" w:space="0" w:color="E0E0E0"/>
            </w:tcBorders>
            <w:hideMark/>
          </w:tcPr>
          <w:p w14:paraId="00DFED94"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2.320</w:t>
            </w:r>
          </w:p>
        </w:tc>
        <w:tc>
          <w:tcPr>
            <w:tcW w:w="368" w:type="pct"/>
            <w:tcBorders>
              <w:top w:val="single" w:sz="8" w:space="0" w:color="AEAEAE"/>
              <w:left w:val="single" w:sz="8" w:space="0" w:color="E0E0E0"/>
              <w:bottom w:val="single" w:sz="8" w:space="0" w:color="AEAEAE"/>
              <w:right w:val="nil"/>
            </w:tcBorders>
            <w:hideMark/>
          </w:tcPr>
          <w:p w14:paraId="29A9FE37"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.021</w:t>
            </w:r>
          </w:p>
        </w:tc>
      </w:tr>
      <w:tr w:rsidR="00A76EB7" w:rsidRPr="00486DCD" w14:paraId="1BD119CB" w14:textId="77777777" w:rsidTr="006A51F1">
        <w:trPr>
          <w:cantSplit/>
        </w:trPr>
        <w:tc>
          <w:tcPr>
            <w:tcW w:w="266" w:type="pct"/>
            <w:vMerge/>
            <w:tcBorders>
              <w:top w:val="single" w:sz="8" w:space="0" w:color="152935"/>
              <w:left w:val="nil"/>
              <w:bottom w:val="single" w:sz="8" w:space="0" w:color="152935"/>
              <w:right w:val="nil"/>
            </w:tcBorders>
            <w:vAlign w:val="center"/>
            <w:hideMark/>
          </w:tcPr>
          <w:p w14:paraId="48DFC543" w14:textId="77777777" w:rsidR="0091151A" w:rsidRPr="005109A7" w:rsidRDefault="0091151A" w:rsidP="002B4D1C">
            <w:pPr>
              <w:spacing w:line="256" w:lineRule="auto"/>
              <w:rPr>
                <w:rFonts w:ascii="Arial" w:eastAsia="Calibri" w:hAnsi="Arial" w:cs="Arial"/>
              </w:rPr>
            </w:pPr>
          </w:p>
        </w:tc>
        <w:tc>
          <w:tcPr>
            <w:tcW w:w="1835" w:type="pct"/>
            <w:tcBorders>
              <w:top w:val="single" w:sz="8" w:space="0" w:color="AEAEAE"/>
              <w:left w:val="nil"/>
              <w:bottom w:val="single" w:sz="8" w:space="0" w:color="152935"/>
              <w:right w:val="nil"/>
            </w:tcBorders>
            <w:hideMark/>
          </w:tcPr>
          <w:p w14:paraId="4B9F65BE" w14:textId="77777777" w:rsidR="0091151A" w:rsidRPr="005109A7" w:rsidRDefault="0091151A" w:rsidP="002B4D1C">
            <w:pPr>
              <w:spacing w:line="256" w:lineRule="auto"/>
              <w:rPr>
                <w:rFonts w:ascii="Arial" w:eastAsia="Calibri" w:hAnsi="Arial" w:cs="Arial"/>
              </w:rPr>
            </w:pPr>
            <w:r w:rsidRPr="00486DCD">
              <w:rPr>
                <w:rFonts w:ascii="Arial" w:eastAsia="Calibri" w:hAnsi="Arial" w:cs="Arial"/>
              </w:rPr>
              <w:t>Belief in adopting efficient practices</w:t>
            </w:r>
          </w:p>
        </w:tc>
        <w:tc>
          <w:tcPr>
            <w:tcW w:w="541" w:type="pct"/>
            <w:tcBorders>
              <w:top w:val="single" w:sz="8" w:space="0" w:color="AEAEAE"/>
              <w:left w:val="nil"/>
              <w:bottom w:val="single" w:sz="8" w:space="0" w:color="152935"/>
              <w:right w:val="single" w:sz="8" w:space="0" w:color="E0E0E0"/>
            </w:tcBorders>
            <w:hideMark/>
          </w:tcPr>
          <w:p w14:paraId="3D0F1206"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.208</w:t>
            </w:r>
          </w:p>
        </w:tc>
        <w:tc>
          <w:tcPr>
            <w:tcW w:w="648" w:type="pct"/>
            <w:tcBorders>
              <w:top w:val="single" w:sz="8" w:space="0" w:color="AEAEAE"/>
              <w:left w:val="single" w:sz="8" w:space="0" w:color="E0E0E0"/>
              <w:bottom w:val="single" w:sz="8" w:space="0" w:color="152935"/>
              <w:right w:val="single" w:sz="8" w:space="0" w:color="E0E0E0"/>
            </w:tcBorders>
            <w:hideMark/>
          </w:tcPr>
          <w:p w14:paraId="06334E85"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.183</w:t>
            </w:r>
          </w:p>
        </w:tc>
        <w:tc>
          <w:tcPr>
            <w:tcW w:w="861" w:type="pct"/>
            <w:gridSpan w:val="2"/>
            <w:tcBorders>
              <w:top w:val="single" w:sz="8" w:space="0" w:color="AEAEAE"/>
              <w:left w:val="single" w:sz="8" w:space="0" w:color="E0E0E0"/>
              <w:bottom w:val="single" w:sz="8" w:space="0" w:color="152935"/>
              <w:right w:val="single" w:sz="8" w:space="0" w:color="E0E0E0"/>
            </w:tcBorders>
            <w:hideMark/>
          </w:tcPr>
          <w:p w14:paraId="7957EBBA"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.116</w:t>
            </w:r>
          </w:p>
        </w:tc>
        <w:tc>
          <w:tcPr>
            <w:tcW w:w="481" w:type="pct"/>
            <w:gridSpan w:val="2"/>
            <w:tcBorders>
              <w:top w:val="single" w:sz="8" w:space="0" w:color="AEAEAE"/>
              <w:left w:val="single" w:sz="8" w:space="0" w:color="E0E0E0"/>
              <w:bottom w:val="single" w:sz="8" w:space="0" w:color="152935"/>
              <w:right w:val="single" w:sz="8" w:space="0" w:color="E0E0E0"/>
            </w:tcBorders>
            <w:hideMark/>
          </w:tcPr>
          <w:p w14:paraId="3CFB2D3D" w14:textId="77777777" w:rsidR="0091151A" w:rsidRPr="005109A7" w:rsidRDefault="0091151A" w:rsidP="00FA6EC4">
            <w:pPr>
              <w:spacing w:line="256" w:lineRule="auto"/>
              <w:jc w:val="right"/>
              <w:rPr>
                <w:rFonts w:ascii="Arial" w:eastAsia="Calibri" w:hAnsi="Arial" w:cs="Arial"/>
              </w:rPr>
            </w:pPr>
            <w:r w:rsidRPr="005109A7">
              <w:rPr>
                <w:rFonts w:ascii="Arial" w:eastAsia="Calibri" w:hAnsi="Arial" w:cs="Arial"/>
              </w:rPr>
              <w:t>1.133</w:t>
            </w:r>
          </w:p>
        </w:tc>
        <w:tc>
          <w:tcPr>
            <w:tcW w:w="368" w:type="pct"/>
            <w:tcBorders>
              <w:top w:val="single" w:sz="8" w:space="0" w:color="AEAEAE"/>
              <w:left w:val="single" w:sz="8" w:space="0" w:color="E0E0E0"/>
              <w:bottom w:val="single" w:sz="8" w:space="0" w:color="152935"/>
              <w:right w:val="nil"/>
            </w:tcBorders>
            <w:hideMark/>
          </w:tcPr>
          <w:p w14:paraId="0B0361F1" w14:textId="77777777" w:rsidR="0091151A" w:rsidRPr="005109A7" w:rsidRDefault="0091151A" w:rsidP="00FA6EC4">
            <w:pPr>
              <w:spacing w:line="256" w:lineRule="auto"/>
              <w:jc w:val="right"/>
              <w:rPr>
                <w:rFonts w:ascii="Arial" w:eastAsia="Calibri" w:hAnsi="Arial" w:cs="Arial"/>
              </w:rPr>
            </w:pPr>
            <w:r w:rsidRPr="00486DCD">
              <w:rPr>
                <w:rFonts w:ascii="Arial" w:eastAsia="Calibri" w:hAnsi="Arial" w:cs="Arial"/>
              </w:rPr>
              <w:t>0</w:t>
            </w:r>
            <w:r w:rsidRPr="005109A7">
              <w:rPr>
                <w:rFonts w:ascii="Arial" w:eastAsia="Calibri" w:hAnsi="Arial" w:cs="Arial"/>
              </w:rPr>
              <w:t>.258</w:t>
            </w:r>
          </w:p>
        </w:tc>
      </w:tr>
      <w:tr w:rsidR="0091151A" w:rsidRPr="005109A7" w14:paraId="3FBBAC34" w14:textId="77777777" w:rsidTr="006A51F1">
        <w:trPr>
          <w:cantSplit/>
        </w:trPr>
        <w:tc>
          <w:tcPr>
            <w:tcW w:w="5000" w:type="pct"/>
            <w:gridSpan w:val="9"/>
            <w:tcBorders>
              <w:top w:val="nil"/>
              <w:left w:val="nil"/>
              <w:bottom w:val="nil"/>
              <w:right w:val="nil"/>
            </w:tcBorders>
            <w:hideMark/>
          </w:tcPr>
          <w:p w14:paraId="3FD73FE9" w14:textId="77777777" w:rsidR="0091151A" w:rsidRPr="005109A7" w:rsidRDefault="0091151A" w:rsidP="00841194">
            <w:pPr>
              <w:spacing w:after="240" w:line="256" w:lineRule="auto"/>
              <w:rPr>
                <w:rFonts w:ascii="Arial" w:eastAsia="Calibri" w:hAnsi="Arial" w:cs="Arial"/>
                <w:i/>
                <w:iCs/>
              </w:rPr>
            </w:pPr>
            <w:r w:rsidRPr="005109A7">
              <w:rPr>
                <w:rFonts w:ascii="Arial" w:eastAsia="Calibri" w:hAnsi="Arial" w:cs="Arial"/>
                <w:i/>
                <w:iCs/>
              </w:rPr>
              <w:t>a. Dependent Variable: Household Energy Consumption</w:t>
            </w:r>
          </w:p>
        </w:tc>
      </w:tr>
    </w:tbl>
    <w:p w14:paraId="6FA9A858" w14:textId="1C9DFF60" w:rsidR="0091151A" w:rsidRPr="00243692" w:rsidRDefault="0091151A" w:rsidP="00841194">
      <w:pPr>
        <w:spacing w:after="200"/>
        <w:jc w:val="both"/>
        <w:rPr>
          <w:rFonts w:ascii="Arial" w:eastAsia="Calibri" w:hAnsi="Arial" w:cs="Arial"/>
          <w:sz w:val="24"/>
          <w:szCs w:val="24"/>
        </w:rPr>
      </w:pPr>
      <w:r w:rsidRPr="00243692">
        <w:rPr>
          <w:rFonts w:ascii="Arial" w:eastAsia="Calibri" w:hAnsi="Arial" w:cs="Arial"/>
          <w:sz w:val="24"/>
          <w:szCs w:val="24"/>
        </w:rPr>
        <w:t>Climate change awareness has a statistically significant impact on household energy demand. Willingness to invest in renewable technologies is linked to reduced consumption, but paradoxically, some pro-environmental beliefs are associated with higher energy use. This suggests a gap between awareness and practice, reinforcing the need for policies that convert awareness into actionable behavior through incentives and practical interventions.</w:t>
      </w:r>
    </w:p>
    <w:p w14:paraId="5AAC1DCC" w14:textId="77777777" w:rsidR="0091151A" w:rsidRPr="00243692" w:rsidRDefault="0091151A" w:rsidP="00841194">
      <w:pPr>
        <w:spacing w:after="200"/>
        <w:jc w:val="both"/>
        <w:outlineLvl w:val="0"/>
        <w:rPr>
          <w:rFonts w:ascii="Arial" w:eastAsia="Aptos" w:hAnsi="Arial" w:cs="Arial"/>
          <w:b/>
          <w:bCs/>
          <w:sz w:val="24"/>
          <w:szCs w:val="24"/>
        </w:rPr>
      </w:pPr>
      <w:r w:rsidRPr="00243692">
        <w:rPr>
          <w:rFonts w:ascii="Arial" w:eastAsia="Aptos" w:hAnsi="Arial" w:cs="Arial"/>
          <w:b/>
          <w:bCs/>
          <w:sz w:val="24"/>
          <w:szCs w:val="24"/>
        </w:rPr>
        <w:t xml:space="preserve">3.5 </w:t>
      </w:r>
      <w:r w:rsidRPr="00243692">
        <w:rPr>
          <w:rFonts w:ascii="Arial" w:eastAsia="Aptos" w:hAnsi="Arial" w:cs="Arial"/>
          <w:b/>
          <w:bCs/>
          <w:sz w:val="24"/>
          <w:szCs w:val="24"/>
        </w:rPr>
        <w:tab/>
        <w:t>Joint Influence of All Predictors</w:t>
      </w:r>
    </w:p>
    <w:p w14:paraId="17FFEF42" w14:textId="77777777" w:rsidR="0091151A" w:rsidRPr="00243692" w:rsidRDefault="0091151A" w:rsidP="00841194">
      <w:pPr>
        <w:spacing w:after="200"/>
        <w:jc w:val="both"/>
        <w:rPr>
          <w:rFonts w:ascii="Arial" w:eastAsia="Aptos" w:hAnsi="Arial" w:cs="Arial"/>
          <w:sz w:val="24"/>
          <w:szCs w:val="24"/>
        </w:rPr>
      </w:pPr>
      <w:r w:rsidRPr="00243692">
        <w:rPr>
          <w:rFonts w:ascii="Arial" w:eastAsia="Aptos" w:hAnsi="Arial" w:cs="Arial"/>
          <w:sz w:val="24"/>
          <w:szCs w:val="24"/>
        </w:rPr>
        <w:t xml:space="preserve">The combined regression model shows that appliance ownership, behavioral factors, socio-demographic characteristics, and climate change awareness jointly explain 15.9% of the variance in household energy consumption (R² = .159, Adjusted R² = .152). The model was statistically significant (F = 24.133, </w:t>
      </w:r>
      <w:r w:rsidRPr="00243692">
        <w:rPr>
          <w:rFonts w:ascii="Arial" w:eastAsia="Aptos" w:hAnsi="Arial" w:cs="Arial"/>
          <w:i/>
          <w:iCs/>
          <w:sz w:val="24"/>
          <w:szCs w:val="24"/>
        </w:rPr>
        <w:t>P</w:t>
      </w:r>
      <w:r w:rsidRPr="00243692">
        <w:rPr>
          <w:rFonts w:ascii="Arial" w:eastAsia="Aptos" w:hAnsi="Arial" w:cs="Arial"/>
          <w:sz w:val="24"/>
          <w:szCs w:val="24"/>
        </w:rPr>
        <w:t xml:space="preserve"> = .000). </w:t>
      </w:r>
    </w:p>
    <w:p w14:paraId="508A69C7" w14:textId="77777777" w:rsidR="0091151A" w:rsidRDefault="0091151A" w:rsidP="00841194">
      <w:pPr>
        <w:spacing w:after="200"/>
        <w:jc w:val="both"/>
        <w:rPr>
          <w:rFonts w:ascii="Arial" w:eastAsia="Aptos" w:hAnsi="Arial" w:cs="Arial"/>
          <w:sz w:val="24"/>
          <w:szCs w:val="24"/>
        </w:rPr>
      </w:pPr>
      <w:r w:rsidRPr="00243692">
        <w:rPr>
          <w:rFonts w:ascii="Arial" w:eastAsia="Aptos" w:hAnsi="Arial" w:cs="Arial"/>
          <w:sz w:val="24"/>
          <w:szCs w:val="24"/>
        </w:rPr>
        <w:t xml:space="preserve">Coefficient results (Table 5) reveal that climate change awareness (B = 0.113, </w:t>
      </w:r>
      <w:r w:rsidRPr="00243692">
        <w:rPr>
          <w:rFonts w:ascii="Arial" w:eastAsia="Aptos" w:hAnsi="Arial" w:cs="Arial"/>
          <w:i/>
          <w:iCs/>
          <w:sz w:val="24"/>
          <w:szCs w:val="24"/>
        </w:rPr>
        <w:t>P</w:t>
      </w:r>
      <w:r w:rsidRPr="00243692">
        <w:rPr>
          <w:rFonts w:ascii="Arial" w:eastAsia="Aptos" w:hAnsi="Arial" w:cs="Arial"/>
          <w:sz w:val="24"/>
          <w:szCs w:val="24"/>
        </w:rPr>
        <w:t xml:space="preserve"> = .000) and behavioral factors (B = 0.047, </w:t>
      </w:r>
      <w:r w:rsidRPr="00243692">
        <w:rPr>
          <w:rFonts w:ascii="Arial" w:eastAsia="Aptos" w:hAnsi="Arial" w:cs="Arial"/>
          <w:i/>
          <w:iCs/>
          <w:sz w:val="24"/>
          <w:szCs w:val="24"/>
        </w:rPr>
        <w:t>P</w:t>
      </w:r>
      <w:r w:rsidRPr="00243692">
        <w:rPr>
          <w:rFonts w:ascii="Arial" w:eastAsia="Aptos" w:hAnsi="Arial" w:cs="Arial"/>
          <w:sz w:val="24"/>
          <w:szCs w:val="24"/>
        </w:rPr>
        <w:t xml:space="preserve"> = .001) are positively linked to consumption, while appliance ownership (B = -0.161, </w:t>
      </w:r>
      <w:r w:rsidRPr="00243692">
        <w:rPr>
          <w:rFonts w:ascii="Arial" w:eastAsia="Aptos" w:hAnsi="Arial" w:cs="Arial"/>
          <w:i/>
          <w:iCs/>
          <w:sz w:val="24"/>
          <w:szCs w:val="24"/>
        </w:rPr>
        <w:t>P</w:t>
      </w:r>
      <w:r w:rsidRPr="00243692">
        <w:rPr>
          <w:rFonts w:ascii="Arial" w:eastAsia="Aptos" w:hAnsi="Arial" w:cs="Arial"/>
          <w:sz w:val="24"/>
          <w:szCs w:val="24"/>
        </w:rPr>
        <w:t xml:space="preserve"> = .001) shows a negative association, likely reflecting efficiency in some appliances. Socio-demographic factors (B = 0.087, </w:t>
      </w:r>
      <w:r w:rsidRPr="00243692">
        <w:rPr>
          <w:rFonts w:ascii="Arial" w:eastAsia="Aptos" w:hAnsi="Arial" w:cs="Arial"/>
          <w:i/>
          <w:iCs/>
          <w:sz w:val="24"/>
          <w:szCs w:val="24"/>
        </w:rPr>
        <w:t>P</w:t>
      </w:r>
      <w:r w:rsidRPr="00243692">
        <w:rPr>
          <w:rFonts w:ascii="Arial" w:eastAsia="Aptos" w:hAnsi="Arial" w:cs="Arial"/>
          <w:sz w:val="24"/>
          <w:szCs w:val="24"/>
        </w:rPr>
        <w:t xml:space="preserve"> = .033) exert a small but significant effect.</w:t>
      </w:r>
    </w:p>
    <w:p w14:paraId="1C6CCEA6" w14:textId="77777777" w:rsidR="00AF45D1" w:rsidRDefault="00AF45D1" w:rsidP="00841194">
      <w:pPr>
        <w:spacing w:after="200"/>
        <w:jc w:val="both"/>
        <w:rPr>
          <w:rFonts w:ascii="Arial" w:eastAsia="Aptos" w:hAnsi="Arial" w:cs="Arial"/>
          <w:sz w:val="24"/>
          <w:szCs w:val="24"/>
        </w:rPr>
      </w:pPr>
    </w:p>
    <w:p w14:paraId="62D0E92A" w14:textId="77777777" w:rsidR="00AF45D1" w:rsidRDefault="00AF45D1" w:rsidP="00841194">
      <w:pPr>
        <w:spacing w:after="200"/>
        <w:jc w:val="both"/>
        <w:rPr>
          <w:rFonts w:ascii="Arial" w:eastAsia="Aptos" w:hAnsi="Arial" w:cs="Arial"/>
          <w:sz w:val="24"/>
          <w:szCs w:val="24"/>
        </w:rPr>
      </w:pPr>
    </w:p>
    <w:p w14:paraId="5BA3D3C6" w14:textId="77777777" w:rsidR="00AF45D1" w:rsidRPr="00243692" w:rsidRDefault="00AF45D1" w:rsidP="00841194">
      <w:pPr>
        <w:spacing w:after="200"/>
        <w:jc w:val="both"/>
        <w:rPr>
          <w:rFonts w:ascii="Arial" w:eastAsia="Aptos" w:hAnsi="Arial" w:cs="Arial"/>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61"/>
        <w:gridCol w:w="1731"/>
        <w:gridCol w:w="1052"/>
        <w:gridCol w:w="1060"/>
        <w:gridCol w:w="1455"/>
        <w:gridCol w:w="803"/>
        <w:gridCol w:w="803"/>
        <w:gridCol w:w="1101"/>
        <w:gridCol w:w="794"/>
      </w:tblGrid>
      <w:tr w:rsidR="0091151A" w:rsidRPr="005109A7" w14:paraId="132C0CF0" w14:textId="77777777" w:rsidTr="00841194">
        <w:trPr>
          <w:cantSplit/>
        </w:trPr>
        <w:tc>
          <w:tcPr>
            <w:tcW w:w="5000" w:type="pct"/>
            <w:gridSpan w:val="9"/>
            <w:tcBorders>
              <w:top w:val="nil"/>
              <w:left w:val="nil"/>
              <w:bottom w:val="single" w:sz="4" w:space="0" w:color="auto"/>
              <w:right w:val="nil"/>
            </w:tcBorders>
            <w:vAlign w:val="center"/>
            <w:hideMark/>
          </w:tcPr>
          <w:p w14:paraId="6908D6F9" w14:textId="77777777" w:rsidR="0091151A" w:rsidRPr="005109A7" w:rsidRDefault="0091151A" w:rsidP="002B4D1C">
            <w:pPr>
              <w:rPr>
                <w:rFonts w:ascii="Arial" w:eastAsia="Aptos" w:hAnsi="Arial" w:cs="Arial"/>
                <w:b/>
                <w:bCs/>
              </w:rPr>
            </w:pPr>
            <w:bookmarkStart w:id="8" w:name="_Hlk189508433"/>
            <w:r w:rsidRPr="005109A7">
              <w:rPr>
                <w:rFonts w:ascii="Arial" w:eastAsia="Aptos" w:hAnsi="Arial" w:cs="Arial"/>
                <w:b/>
                <w:bCs/>
              </w:rPr>
              <w:lastRenderedPageBreak/>
              <w:t xml:space="preserve">Table </w:t>
            </w:r>
            <w:r w:rsidRPr="00486DCD">
              <w:rPr>
                <w:rFonts w:ascii="Arial" w:eastAsia="Aptos" w:hAnsi="Arial" w:cs="Arial"/>
                <w:b/>
                <w:bCs/>
              </w:rPr>
              <w:t>5</w:t>
            </w:r>
            <w:r w:rsidRPr="005109A7">
              <w:rPr>
                <w:rFonts w:ascii="Arial" w:eastAsia="Aptos" w:hAnsi="Arial" w:cs="Arial"/>
                <w:b/>
                <w:bCs/>
              </w:rPr>
              <w:t xml:space="preserve"> </w:t>
            </w:r>
            <w:r w:rsidRPr="00486DCD">
              <w:rPr>
                <w:rFonts w:ascii="Arial" w:eastAsia="Aptos" w:hAnsi="Arial" w:cs="Arial"/>
                <w:b/>
                <w:bCs/>
              </w:rPr>
              <w:t>–</w:t>
            </w:r>
            <w:r w:rsidRPr="005109A7">
              <w:rPr>
                <w:rFonts w:ascii="Arial" w:eastAsia="Aptos" w:hAnsi="Arial" w:cs="Arial"/>
                <w:b/>
                <w:bCs/>
              </w:rPr>
              <w:t xml:space="preserve"> Coefficients</w:t>
            </w:r>
            <w:bookmarkEnd w:id="8"/>
            <w:r w:rsidRPr="00486DCD">
              <w:rPr>
                <w:rFonts w:ascii="Arial" w:eastAsia="Aptos" w:hAnsi="Arial" w:cs="Arial"/>
                <w:b/>
                <w:bCs/>
              </w:rPr>
              <w:t xml:space="preserve"> of Regression for Joint Influence of all Predictors</w:t>
            </w:r>
          </w:p>
        </w:tc>
      </w:tr>
      <w:tr w:rsidR="00841194" w:rsidRPr="00486DCD" w14:paraId="2C2AFF0A" w14:textId="77777777" w:rsidTr="00614C68">
        <w:trPr>
          <w:cantSplit/>
        </w:trPr>
        <w:tc>
          <w:tcPr>
            <w:tcW w:w="1224" w:type="pct"/>
            <w:gridSpan w:val="2"/>
            <w:vMerge w:val="restart"/>
            <w:tcBorders>
              <w:top w:val="single" w:sz="4" w:space="0" w:color="auto"/>
              <w:left w:val="nil"/>
              <w:bottom w:val="single" w:sz="4" w:space="0" w:color="auto"/>
              <w:right w:val="nil"/>
            </w:tcBorders>
            <w:vAlign w:val="bottom"/>
            <w:hideMark/>
          </w:tcPr>
          <w:p w14:paraId="1BF91E0B" w14:textId="77777777" w:rsidR="0091151A" w:rsidRPr="005109A7" w:rsidRDefault="0091151A" w:rsidP="002B4D1C">
            <w:pPr>
              <w:rPr>
                <w:rFonts w:ascii="Arial" w:eastAsia="Aptos" w:hAnsi="Arial" w:cs="Arial"/>
                <w:b/>
                <w:bCs/>
              </w:rPr>
            </w:pPr>
            <w:r w:rsidRPr="005109A7">
              <w:rPr>
                <w:rFonts w:ascii="Arial" w:eastAsia="Aptos" w:hAnsi="Arial" w:cs="Arial"/>
                <w:b/>
                <w:bCs/>
              </w:rPr>
              <w:t>Model</w:t>
            </w:r>
          </w:p>
        </w:tc>
        <w:tc>
          <w:tcPr>
            <w:tcW w:w="1128" w:type="pct"/>
            <w:gridSpan w:val="2"/>
            <w:tcBorders>
              <w:top w:val="single" w:sz="4" w:space="0" w:color="auto"/>
              <w:left w:val="nil"/>
              <w:bottom w:val="single" w:sz="4" w:space="0" w:color="auto"/>
              <w:right w:val="single" w:sz="8" w:space="0" w:color="E0E0E0"/>
            </w:tcBorders>
            <w:vAlign w:val="bottom"/>
            <w:hideMark/>
          </w:tcPr>
          <w:p w14:paraId="3F025115" w14:textId="77777777" w:rsidR="0091151A" w:rsidRPr="005109A7" w:rsidRDefault="0091151A" w:rsidP="002B4D1C">
            <w:pPr>
              <w:rPr>
                <w:rFonts w:ascii="Arial" w:eastAsia="Aptos" w:hAnsi="Arial" w:cs="Arial"/>
                <w:b/>
                <w:bCs/>
              </w:rPr>
            </w:pPr>
            <w:r w:rsidRPr="005109A7">
              <w:rPr>
                <w:rFonts w:ascii="Arial" w:eastAsia="Aptos" w:hAnsi="Arial" w:cs="Arial"/>
                <w:b/>
                <w:bCs/>
              </w:rPr>
              <w:t>Unstandardized Coefficients</w:t>
            </w:r>
          </w:p>
        </w:tc>
        <w:tc>
          <w:tcPr>
            <w:tcW w:w="777" w:type="pct"/>
            <w:tcBorders>
              <w:top w:val="single" w:sz="4" w:space="0" w:color="auto"/>
              <w:left w:val="single" w:sz="8" w:space="0" w:color="E0E0E0"/>
              <w:bottom w:val="single" w:sz="4" w:space="0" w:color="auto"/>
              <w:right w:val="single" w:sz="8" w:space="0" w:color="E0E0E0"/>
            </w:tcBorders>
            <w:vAlign w:val="bottom"/>
            <w:hideMark/>
          </w:tcPr>
          <w:p w14:paraId="56ED583C" w14:textId="77777777" w:rsidR="0091151A" w:rsidRPr="005109A7" w:rsidRDefault="0091151A" w:rsidP="002B4D1C">
            <w:pPr>
              <w:rPr>
                <w:rFonts w:ascii="Arial" w:eastAsia="Aptos" w:hAnsi="Arial" w:cs="Arial"/>
                <w:b/>
                <w:bCs/>
              </w:rPr>
            </w:pPr>
            <w:r w:rsidRPr="005109A7">
              <w:rPr>
                <w:rFonts w:ascii="Arial" w:eastAsia="Aptos" w:hAnsi="Arial" w:cs="Arial"/>
                <w:b/>
                <w:bCs/>
              </w:rPr>
              <w:t>Standardized Coefficients</w:t>
            </w:r>
          </w:p>
        </w:tc>
        <w:tc>
          <w:tcPr>
            <w:tcW w:w="429" w:type="pct"/>
            <w:vMerge w:val="restart"/>
            <w:tcBorders>
              <w:top w:val="single" w:sz="4" w:space="0" w:color="auto"/>
              <w:left w:val="single" w:sz="8" w:space="0" w:color="E0E0E0"/>
              <w:bottom w:val="nil"/>
              <w:right w:val="single" w:sz="8" w:space="0" w:color="E0E0E0"/>
            </w:tcBorders>
            <w:vAlign w:val="bottom"/>
            <w:hideMark/>
          </w:tcPr>
          <w:p w14:paraId="6A5EEC2E" w14:textId="77777777" w:rsidR="0091151A" w:rsidRPr="005109A7" w:rsidRDefault="0091151A" w:rsidP="002B4D1C">
            <w:pPr>
              <w:rPr>
                <w:rFonts w:ascii="Arial" w:eastAsia="Aptos" w:hAnsi="Arial" w:cs="Arial"/>
                <w:b/>
                <w:bCs/>
              </w:rPr>
            </w:pPr>
            <w:r w:rsidRPr="005109A7">
              <w:rPr>
                <w:rFonts w:ascii="Arial" w:eastAsia="Aptos" w:hAnsi="Arial" w:cs="Arial"/>
                <w:b/>
                <w:bCs/>
              </w:rPr>
              <w:t>t</w:t>
            </w:r>
          </w:p>
        </w:tc>
        <w:tc>
          <w:tcPr>
            <w:tcW w:w="429" w:type="pct"/>
            <w:vMerge w:val="restart"/>
            <w:tcBorders>
              <w:top w:val="single" w:sz="4" w:space="0" w:color="auto"/>
              <w:left w:val="single" w:sz="8" w:space="0" w:color="E0E0E0"/>
              <w:bottom w:val="nil"/>
              <w:right w:val="single" w:sz="8" w:space="0" w:color="E0E0E0"/>
            </w:tcBorders>
            <w:vAlign w:val="bottom"/>
            <w:hideMark/>
          </w:tcPr>
          <w:p w14:paraId="5697A09D" w14:textId="77777777" w:rsidR="0091151A" w:rsidRPr="005109A7" w:rsidRDefault="0091151A" w:rsidP="002B4D1C">
            <w:pPr>
              <w:rPr>
                <w:rFonts w:ascii="Arial" w:eastAsia="Aptos" w:hAnsi="Arial" w:cs="Arial"/>
                <w:b/>
                <w:bCs/>
              </w:rPr>
            </w:pPr>
            <w:r w:rsidRPr="005109A7">
              <w:rPr>
                <w:rFonts w:ascii="Arial" w:eastAsia="Aptos" w:hAnsi="Arial" w:cs="Arial"/>
                <w:b/>
                <w:bCs/>
              </w:rPr>
              <w:t>Sig.</w:t>
            </w:r>
          </w:p>
        </w:tc>
        <w:tc>
          <w:tcPr>
            <w:tcW w:w="1013" w:type="pct"/>
            <w:gridSpan w:val="2"/>
            <w:tcBorders>
              <w:top w:val="single" w:sz="4" w:space="0" w:color="auto"/>
              <w:left w:val="single" w:sz="8" w:space="0" w:color="E0E0E0"/>
              <w:bottom w:val="nil"/>
              <w:right w:val="nil"/>
            </w:tcBorders>
            <w:vAlign w:val="bottom"/>
            <w:hideMark/>
          </w:tcPr>
          <w:p w14:paraId="11F98333" w14:textId="77777777" w:rsidR="0091151A" w:rsidRPr="005109A7" w:rsidRDefault="0091151A" w:rsidP="002B4D1C">
            <w:pPr>
              <w:rPr>
                <w:rFonts w:ascii="Arial" w:eastAsia="Aptos" w:hAnsi="Arial" w:cs="Arial"/>
                <w:b/>
                <w:bCs/>
              </w:rPr>
            </w:pPr>
            <w:r w:rsidRPr="005109A7">
              <w:rPr>
                <w:rFonts w:ascii="Arial" w:eastAsia="Aptos" w:hAnsi="Arial" w:cs="Arial"/>
                <w:b/>
                <w:bCs/>
              </w:rPr>
              <w:t>Collinearity Statistics</w:t>
            </w:r>
          </w:p>
        </w:tc>
      </w:tr>
      <w:tr w:rsidR="00841194" w:rsidRPr="00486DCD" w14:paraId="78F80632" w14:textId="77777777" w:rsidTr="00614C68">
        <w:trPr>
          <w:cantSplit/>
        </w:trPr>
        <w:tc>
          <w:tcPr>
            <w:tcW w:w="1224" w:type="pct"/>
            <w:gridSpan w:val="2"/>
            <w:vMerge/>
            <w:tcBorders>
              <w:top w:val="nil"/>
              <w:left w:val="nil"/>
              <w:bottom w:val="single" w:sz="4" w:space="0" w:color="auto"/>
              <w:right w:val="nil"/>
            </w:tcBorders>
            <w:vAlign w:val="center"/>
            <w:hideMark/>
          </w:tcPr>
          <w:p w14:paraId="0886EF5D" w14:textId="77777777" w:rsidR="0091151A" w:rsidRPr="005109A7" w:rsidRDefault="0091151A" w:rsidP="002B4D1C">
            <w:pPr>
              <w:rPr>
                <w:rFonts w:ascii="Arial" w:eastAsia="Aptos" w:hAnsi="Arial" w:cs="Arial"/>
                <w:b/>
                <w:bCs/>
              </w:rPr>
            </w:pPr>
          </w:p>
        </w:tc>
        <w:tc>
          <w:tcPr>
            <w:tcW w:w="562" w:type="pct"/>
            <w:tcBorders>
              <w:top w:val="single" w:sz="4" w:space="0" w:color="auto"/>
              <w:left w:val="nil"/>
              <w:bottom w:val="single" w:sz="4" w:space="0" w:color="auto"/>
              <w:right w:val="single" w:sz="8" w:space="0" w:color="E0E0E0"/>
            </w:tcBorders>
            <w:vAlign w:val="bottom"/>
            <w:hideMark/>
          </w:tcPr>
          <w:p w14:paraId="3B997643" w14:textId="77777777" w:rsidR="0091151A" w:rsidRPr="005109A7" w:rsidRDefault="0091151A" w:rsidP="002B4D1C">
            <w:pPr>
              <w:rPr>
                <w:rFonts w:ascii="Arial" w:eastAsia="Aptos" w:hAnsi="Arial" w:cs="Arial"/>
                <w:b/>
                <w:bCs/>
              </w:rPr>
            </w:pPr>
            <w:r w:rsidRPr="005109A7">
              <w:rPr>
                <w:rFonts w:ascii="Arial" w:eastAsia="Aptos" w:hAnsi="Arial" w:cs="Arial"/>
                <w:b/>
                <w:bCs/>
              </w:rPr>
              <w:t>B</w:t>
            </w:r>
          </w:p>
        </w:tc>
        <w:tc>
          <w:tcPr>
            <w:tcW w:w="565" w:type="pct"/>
            <w:tcBorders>
              <w:top w:val="single" w:sz="4" w:space="0" w:color="auto"/>
              <w:left w:val="single" w:sz="8" w:space="0" w:color="E0E0E0"/>
              <w:bottom w:val="single" w:sz="4" w:space="0" w:color="auto"/>
              <w:right w:val="single" w:sz="8" w:space="0" w:color="E0E0E0"/>
            </w:tcBorders>
            <w:vAlign w:val="bottom"/>
            <w:hideMark/>
          </w:tcPr>
          <w:p w14:paraId="095ABA04" w14:textId="77777777" w:rsidR="0091151A" w:rsidRPr="005109A7" w:rsidRDefault="0091151A" w:rsidP="002B4D1C">
            <w:pPr>
              <w:rPr>
                <w:rFonts w:ascii="Arial" w:eastAsia="Aptos" w:hAnsi="Arial" w:cs="Arial"/>
                <w:b/>
                <w:bCs/>
              </w:rPr>
            </w:pPr>
            <w:r w:rsidRPr="005109A7">
              <w:rPr>
                <w:rFonts w:ascii="Arial" w:eastAsia="Aptos" w:hAnsi="Arial" w:cs="Arial"/>
                <w:b/>
                <w:bCs/>
              </w:rPr>
              <w:t>Std. Error</w:t>
            </w:r>
          </w:p>
        </w:tc>
        <w:tc>
          <w:tcPr>
            <w:tcW w:w="777" w:type="pct"/>
            <w:tcBorders>
              <w:top w:val="single" w:sz="4" w:space="0" w:color="auto"/>
              <w:left w:val="single" w:sz="8" w:space="0" w:color="E0E0E0"/>
              <w:bottom w:val="single" w:sz="4" w:space="0" w:color="auto"/>
              <w:right w:val="single" w:sz="8" w:space="0" w:color="E0E0E0"/>
            </w:tcBorders>
            <w:vAlign w:val="bottom"/>
            <w:hideMark/>
          </w:tcPr>
          <w:p w14:paraId="789EDE7A" w14:textId="77777777" w:rsidR="0091151A" w:rsidRPr="005109A7" w:rsidRDefault="0091151A" w:rsidP="002B4D1C">
            <w:pPr>
              <w:rPr>
                <w:rFonts w:ascii="Arial" w:eastAsia="Aptos" w:hAnsi="Arial" w:cs="Arial"/>
                <w:b/>
                <w:bCs/>
              </w:rPr>
            </w:pPr>
            <w:r w:rsidRPr="005109A7">
              <w:rPr>
                <w:rFonts w:ascii="Arial" w:eastAsia="Aptos" w:hAnsi="Arial" w:cs="Arial"/>
                <w:b/>
                <w:bCs/>
              </w:rPr>
              <w:t>Beta</w:t>
            </w:r>
          </w:p>
        </w:tc>
        <w:tc>
          <w:tcPr>
            <w:tcW w:w="429" w:type="pct"/>
            <w:vMerge/>
            <w:tcBorders>
              <w:top w:val="nil"/>
              <w:left w:val="single" w:sz="8" w:space="0" w:color="E0E0E0"/>
              <w:bottom w:val="single" w:sz="4" w:space="0" w:color="auto"/>
              <w:right w:val="single" w:sz="8" w:space="0" w:color="E0E0E0"/>
            </w:tcBorders>
            <w:vAlign w:val="center"/>
            <w:hideMark/>
          </w:tcPr>
          <w:p w14:paraId="01C9E2EA" w14:textId="77777777" w:rsidR="0091151A" w:rsidRPr="005109A7" w:rsidRDefault="0091151A" w:rsidP="002B4D1C">
            <w:pPr>
              <w:rPr>
                <w:rFonts w:ascii="Arial" w:eastAsia="Aptos" w:hAnsi="Arial" w:cs="Arial"/>
                <w:b/>
                <w:bCs/>
              </w:rPr>
            </w:pPr>
          </w:p>
        </w:tc>
        <w:tc>
          <w:tcPr>
            <w:tcW w:w="429" w:type="pct"/>
            <w:vMerge/>
            <w:tcBorders>
              <w:top w:val="nil"/>
              <w:left w:val="single" w:sz="8" w:space="0" w:color="E0E0E0"/>
              <w:bottom w:val="single" w:sz="4" w:space="0" w:color="auto"/>
              <w:right w:val="single" w:sz="8" w:space="0" w:color="E0E0E0"/>
            </w:tcBorders>
            <w:vAlign w:val="center"/>
            <w:hideMark/>
          </w:tcPr>
          <w:p w14:paraId="3912D066" w14:textId="77777777" w:rsidR="0091151A" w:rsidRPr="005109A7" w:rsidRDefault="0091151A" w:rsidP="002B4D1C">
            <w:pPr>
              <w:rPr>
                <w:rFonts w:ascii="Arial" w:eastAsia="Aptos" w:hAnsi="Arial" w:cs="Arial"/>
                <w:b/>
                <w:bCs/>
              </w:rPr>
            </w:pPr>
          </w:p>
        </w:tc>
        <w:tc>
          <w:tcPr>
            <w:tcW w:w="588" w:type="pct"/>
            <w:tcBorders>
              <w:top w:val="nil"/>
              <w:left w:val="single" w:sz="8" w:space="0" w:color="E0E0E0"/>
              <w:bottom w:val="single" w:sz="4" w:space="0" w:color="auto"/>
              <w:right w:val="single" w:sz="8" w:space="0" w:color="E0E0E0"/>
            </w:tcBorders>
            <w:vAlign w:val="bottom"/>
            <w:hideMark/>
          </w:tcPr>
          <w:p w14:paraId="21D1A509" w14:textId="77777777" w:rsidR="0091151A" w:rsidRPr="005109A7" w:rsidRDefault="0091151A" w:rsidP="002B4D1C">
            <w:pPr>
              <w:rPr>
                <w:rFonts w:ascii="Arial" w:eastAsia="Aptos" w:hAnsi="Arial" w:cs="Arial"/>
                <w:b/>
                <w:bCs/>
              </w:rPr>
            </w:pPr>
            <w:r w:rsidRPr="005109A7">
              <w:rPr>
                <w:rFonts w:ascii="Arial" w:eastAsia="Aptos" w:hAnsi="Arial" w:cs="Arial"/>
                <w:b/>
                <w:bCs/>
              </w:rPr>
              <w:t>Tolerance</w:t>
            </w:r>
          </w:p>
        </w:tc>
        <w:tc>
          <w:tcPr>
            <w:tcW w:w="425" w:type="pct"/>
            <w:tcBorders>
              <w:top w:val="nil"/>
              <w:left w:val="single" w:sz="8" w:space="0" w:color="E0E0E0"/>
              <w:bottom w:val="single" w:sz="4" w:space="0" w:color="auto"/>
              <w:right w:val="nil"/>
            </w:tcBorders>
            <w:vAlign w:val="bottom"/>
            <w:hideMark/>
          </w:tcPr>
          <w:p w14:paraId="02B51BCC" w14:textId="77777777" w:rsidR="0091151A" w:rsidRPr="005109A7" w:rsidRDefault="0091151A" w:rsidP="002B4D1C">
            <w:pPr>
              <w:rPr>
                <w:rFonts w:ascii="Arial" w:eastAsia="Aptos" w:hAnsi="Arial" w:cs="Arial"/>
                <w:b/>
                <w:bCs/>
              </w:rPr>
            </w:pPr>
            <w:r w:rsidRPr="005109A7">
              <w:rPr>
                <w:rFonts w:ascii="Arial" w:eastAsia="Aptos" w:hAnsi="Arial" w:cs="Arial"/>
                <w:b/>
                <w:bCs/>
              </w:rPr>
              <w:t>VIF</w:t>
            </w:r>
          </w:p>
        </w:tc>
      </w:tr>
      <w:tr w:rsidR="00A76EB7" w:rsidRPr="00486DCD" w14:paraId="5242B6DB" w14:textId="77777777" w:rsidTr="00614C68">
        <w:trPr>
          <w:cantSplit/>
        </w:trPr>
        <w:tc>
          <w:tcPr>
            <w:tcW w:w="300" w:type="pct"/>
            <w:vMerge w:val="restart"/>
            <w:tcBorders>
              <w:top w:val="single" w:sz="4" w:space="0" w:color="auto"/>
              <w:left w:val="nil"/>
              <w:bottom w:val="single" w:sz="8" w:space="0" w:color="152935"/>
              <w:right w:val="nil"/>
            </w:tcBorders>
            <w:hideMark/>
          </w:tcPr>
          <w:p w14:paraId="5E12A8FF" w14:textId="4CBB1256" w:rsidR="0091151A" w:rsidRPr="005109A7" w:rsidRDefault="00614C68" w:rsidP="002B4D1C">
            <w:pPr>
              <w:rPr>
                <w:rFonts w:ascii="Arial" w:eastAsia="Aptos" w:hAnsi="Arial" w:cs="Arial"/>
              </w:rPr>
            </w:pPr>
            <w:r w:rsidRPr="00486DCD">
              <w:rPr>
                <w:rFonts w:ascii="Arial" w:eastAsia="Aptos" w:hAnsi="Arial" w:cs="Arial"/>
              </w:rPr>
              <w:t>5</w:t>
            </w:r>
          </w:p>
        </w:tc>
        <w:tc>
          <w:tcPr>
            <w:tcW w:w="925" w:type="pct"/>
            <w:tcBorders>
              <w:top w:val="single" w:sz="4" w:space="0" w:color="auto"/>
              <w:left w:val="nil"/>
              <w:bottom w:val="single" w:sz="8" w:space="0" w:color="AEAEAE"/>
              <w:right w:val="nil"/>
            </w:tcBorders>
            <w:hideMark/>
          </w:tcPr>
          <w:p w14:paraId="0CEA20B9" w14:textId="77777777" w:rsidR="0091151A" w:rsidRPr="005109A7" w:rsidRDefault="0091151A" w:rsidP="002B4D1C">
            <w:pPr>
              <w:rPr>
                <w:rFonts w:ascii="Arial" w:eastAsia="Aptos" w:hAnsi="Arial" w:cs="Arial"/>
              </w:rPr>
            </w:pPr>
            <w:r w:rsidRPr="005109A7">
              <w:rPr>
                <w:rFonts w:ascii="Arial" w:eastAsia="Aptos" w:hAnsi="Arial" w:cs="Arial"/>
              </w:rPr>
              <w:t>(Constant)</w:t>
            </w:r>
          </w:p>
        </w:tc>
        <w:tc>
          <w:tcPr>
            <w:tcW w:w="562" w:type="pct"/>
            <w:tcBorders>
              <w:top w:val="single" w:sz="4" w:space="0" w:color="auto"/>
              <w:left w:val="nil"/>
              <w:bottom w:val="single" w:sz="8" w:space="0" w:color="AEAEAE"/>
              <w:right w:val="single" w:sz="8" w:space="0" w:color="E0E0E0"/>
            </w:tcBorders>
            <w:hideMark/>
          </w:tcPr>
          <w:p w14:paraId="0CF603C5" w14:textId="77777777" w:rsidR="0091151A" w:rsidRPr="005109A7" w:rsidRDefault="0091151A" w:rsidP="00FA6EC4">
            <w:pPr>
              <w:jc w:val="right"/>
              <w:rPr>
                <w:rFonts w:ascii="Arial" w:eastAsia="Aptos" w:hAnsi="Arial" w:cs="Arial"/>
              </w:rPr>
            </w:pPr>
            <w:r w:rsidRPr="005109A7">
              <w:rPr>
                <w:rFonts w:ascii="Arial" w:eastAsia="Aptos" w:hAnsi="Arial" w:cs="Arial"/>
              </w:rPr>
              <w:t>8.296</w:t>
            </w:r>
          </w:p>
        </w:tc>
        <w:tc>
          <w:tcPr>
            <w:tcW w:w="565" w:type="pct"/>
            <w:tcBorders>
              <w:top w:val="single" w:sz="4" w:space="0" w:color="auto"/>
              <w:left w:val="single" w:sz="8" w:space="0" w:color="E0E0E0"/>
              <w:bottom w:val="single" w:sz="8" w:space="0" w:color="AEAEAE"/>
              <w:right w:val="single" w:sz="8" w:space="0" w:color="E0E0E0"/>
            </w:tcBorders>
            <w:hideMark/>
          </w:tcPr>
          <w:p w14:paraId="54FB56A3" w14:textId="77777777" w:rsidR="0091151A" w:rsidRPr="005109A7" w:rsidRDefault="0091151A" w:rsidP="00FA6EC4">
            <w:pPr>
              <w:jc w:val="right"/>
              <w:rPr>
                <w:rFonts w:ascii="Arial" w:eastAsia="Aptos" w:hAnsi="Arial" w:cs="Arial"/>
              </w:rPr>
            </w:pPr>
            <w:r w:rsidRPr="005109A7">
              <w:rPr>
                <w:rFonts w:ascii="Arial" w:eastAsia="Aptos" w:hAnsi="Arial" w:cs="Arial"/>
              </w:rPr>
              <w:t>.977</w:t>
            </w:r>
          </w:p>
        </w:tc>
        <w:tc>
          <w:tcPr>
            <w:tcW w:w="777" w:type="pct"/>
            <w:tcBorders>
              <w:top w:val="single" w:sz="4" w:space="0" w:color="auto"/>
              <w:left w:val="single" w:sz="8" w:space="0" w:color="E0E0E0"/>
              <w:bottom w:val="single" w:sz="8" w:space="0" w:color="AEAEAE"/>
              <w:right w:val="single" w:sz="8" w:space="0" w:color="E0E0E0"/>
            </w:tcBorders>
            <w:vAlign w:val="center"/>
          </w:tcPr>
          <w:p w14:paraId="49377C49" w14:textId="77777777" w:rsidR="0091151A" w:rsidRPr="005109A7" w:rsidRDefault="0091151A" w:rsidP="00FA6EC4">
            <w:pPr>
              <w:jc w:val="right"/>
              <w:rPr>
                <w:rFonts w:ascii="Arial" w:eastAsia="Aptos" w:hAnsi="Arial" w:cs="Arial"/>
              </w:rPr>
            </w:pPr>
          </w:p>
        </w:tc>
        <w:tc>
          <w:tcPr>
            <w:tcW w:w="429" w:type="pct"/>
            <w:tcBorders>
              <w:top w:val="single" w:sz="4" w:space="0" w:color="auto"/>
              <w:left w:val="single" w:sz="8" w:space="0" w:color="E0E0E0"/>
              <w:bottom w:val="single" w:sz="8" w:space="0" w:color="AEAEAE"/>
              <w:right w:val="single" w:sz="8" w:space="0" w:color="E0E0E0"/>
            </w:tcBorders>
            <w:hideMark/>
          </w:tcPr>
          <w:p w14:paraId="70A7EAE3" w14:textId="77777777" w:rsidR="0091151A" w:rsidRPr="005109A7" w:rsidRDefault="0091151A" w:rsidP="00FA6EC4">
            <w:pPr>
              <w:jc w:val="right"/>
              <w:rPr>
                <w:rFonts w:ascii="Arial" w:eastAsia="Aptos" w:hAnsi="Arial" w:cs="Arial"/>
              </w:rPr>
            </w:pPr>
            <w:r w:rsidRPr="005109A7">
              <w:rPr>
                <w:rFonts w:ascii="Arial" w:eastAsia="Aptos" w:hAnsi="Arial" w:cs="Arial"/>
              </w:rPr>
              <w:t>8.491</w:t>
            </w:r>
          </w:p>
        </w:tc>
        <w:tc>
          <w:tcPr>
            <w:tcW w:w="429" w:type="pct"/>
            <w:tcBorders>
              <w:top w:val="single" w:sz="4" w:space="0" w:color="auto"/>
              <w:left w:val="single" w:sz="8" w:space="0" w:color="E0E0E0"/>
              <w:bottom w:val="single" w:sz="8" w:space="0" w:color="AEAEAE"/>
              <w:right w:val="single" w:sz="8" w:space="0" w:color="E0E0E0"/>
            </w:tcBorders>
            <w:hideMark/>
          </w:tcPr>
          <w:p w14:paraId="74EAF5A8" w14:textId="77777777" w:rsidR="0091151A" w:rsidRPr="005109A7" w:rsidRDefault="0091151A" w:rsidP="00FA6EC4">
            <w:pPr>
              <w:jc w:val="right"/>
              <w:rPr>
                <w:rFonts w:ascii="Arial" w:eastAsia="Aptos" w:hAnsi="Arial" w:cs="Arial"/>
              </w:rPr>
            </w:pPr>
            <w:r w:rsidRPr="005109A7">
              <w:rPr>
                <w:rFonts w:ascii="Arial" w:eastAsia="Aptos" w:hAnsi="Arial" w:cs="Arial"/>
              </w:rPr>
              <w:t>.000</w:t>
            </w:r>
          </w:p>
        </w:tc>
        <w:tc>
          <w:tcPr>
            <w:tcW w:w="588" w:type="pct"/>
            <w:tcBorders>
              <w:top w:val="single" w:sz="4" w:space="0" w:color="auto"/>
              <w:left w:val="single" w:sz="8" w:space="0" w:color="E0E0E0"/>
              <w:bottom w:val="single" w:sz="8" w:space="0" w:color="AEAEAE"/>
              <w:right w:val="single" w:sz="8" w:space="0" w:color="E0E0E0"/>
            </w:tcBorders>
            <w:vAlign w:val="center"/>
          </w:tcPr>
          <w:p w14:paraId="74DF1D26" w14:textId="77777777" w:rsidR="0091151A" w:rsidRPr="005109A7" w:rsidRDefault="0091151A" w:rsidP="00FA6EC4">
            <w:pPr>
              <w:jc w:val="right"/>
              <w:rPr>
                <w:rFonts w:ascii="Arial" w:eastAsia="Aptos" w:hAnsi="Arial" w:cs="Arial"/>
              </w:rPr>
            </w:pPr>
          </w:p>
        </w:tc>
        <w:tc>
          <w:tcPr>
            <w:tcW w:w="425" w:type="pct"/>
            <w:tcBorders>
              <w:top w:val="single" w:sz="4" w:space="0" w:color="auto"/>
              <w:left w:val="single" w:sz="8" w:space="0" w:color="E0E0E0"/>
              <w:bottom w:val="single" w:sz="8" w:space="0" w:color="AEAEAE"/>
              <w:right w:val="nil"/>
            </w:tcBorders>
            <w:vAlign w:val="center"/>
          </w:tcPr>
          <w:p w14:paraId="2E6E2308" w14:textId="77777777" w:rsidR="0091151A" w:rsidRPr="005109A7" w:rsidRDefault="0091151A" w:rsidP="00FA6EC4">
            <w:pPr>
              <w:jc w:val="right"/>
              <w:rPr>
                <w:rFonts w:ascii="Arial" w:eastAsia="Aptos" w:hAnsi="Arial" w:cs="Arial"/>
              </w:rPr>
            </w:pPr>
          </w:p>
        </w:tc>
      </w:tr>
      <w:tr w:rsidR="00A76EB7" w:rsidRPr="00486DCD" w14:paraId="764A130F" w14:textId="77777777" w:rsidTr="00841194">
        <w:trPr>
          <w:cantSplit/>
        </w:trPr>
        <w:tc>
          <w:tcPr>
            <w:tcW w:w="300" w:type="pct"/>
            <w:vMerge/>
            <w:tcBorders>
              <w:top w:val="single" w:sz="8" w:space="0" w:color="152935"/>
              <w:left w:val="nil"/>
              <w:bottom w:val="single" w:sz="8" w:space="0" w:color="152935"/>
              <w:right w:val="nil"/>
            </w:tcBorders>
            <w:vAlign w:val="center"/>
            <w:hideMark/>
          </w:tcPr>
          <w:p w14:paraId="646DDE4D" w14:textId="77777777" w:rsidR="0091151A" w:rsidRPr="005109A7" w:rsidRDefault="0091151A" w:rsidP="002B4D1C">
            <w:pPr>
              <w:rPr>
                <w:rFonts w:ascii="Arial" w:eastAsia="Aptos" w:hAnsi="Arial" w:cs="Arial"/>
              </w:rPr>
            </w:pPr>
          </w:p>
        </w:tc>
        <w:tc>
          <w:tcPr>
            <w:tcW w:w="925" w:type="pct"/>
            <w:tcBorders>
              <w:top w:val="single" w:sz="8" w:space="0" w:color="AEAEAE"/>
              <w:left w:val="nil"/>
              <w:bottom w:val="single" w:sz="8" w:space="0" w:color="AEAEAE"/>
              <w:right w:val="nil"/>
            </w:tcBorders>
            <w:hideMark/>
          </w:tcPr>
          <w:p w14:paraId="65F61BA5" w14:textId="77777777" w:rsidR="0091151A" w:rsidRPr="005109A7" w:rsidRDefault="0091151A" w:rsidP="002B4D1C">
            <w:pPr>
              <w:rPr>
                <w:rFonts w:ascii="Arial" w:eastAsia="Aptos" w:hAnsi="Arial" w:cs="Arial"/>
              </w:rPr>
            </w:pPr>
            <w:r w:rsidRPr="005109A7">
              <w:rPr>
                <w:rFonts w:ascii="Arial" w:eastAsia="Aptos" w:hAnsi="Arial" w:cs="Arial"/>
              </w:rPr>
              <w:t>Climate Change Awareness</w:t>
            </w:r>
          </w:p>
        </w:tc>
        <w:tc>
          <w:tcPr>
            <w:tcW w:w="562" w:type="pct"/>
            <w:tcBorders>
              <w:top w:val="single" w:sz="8" w:space="0" w:color="AEAEAE"/>
              <w:left w:val="nil"/>
              <w:bottom w:val="single" w:sz="8" w:space="0" w:color="AEAEAE"/>
              <w:right w:val="single" w:sz="8" w:space="0" w:color="E0E0E0"/>
            </w:tcBorders>
            <w:hideMark/>
          </w:tcPr>
          <w:p w14:paraId="2D8F6375" w14:textId="77777777" w:rsidR="0091151A" w:rsidRPr="005109A7" w:rsidRDefault="0091151A" w:rsidP="00FA6EC4">
            <w:pPr>
              <w:jc w:val="right"/>
              <w:rPr>
                <w:rFonts w:ascii="Arial" w:eastAsia="Aptos" w:hAnsi="Arial" w:cs="Arial"/>
              </w:rPr>
            </w:pPr>
            <w:r w:rsidRPr="005109A7">
              <w:rPr>
                <w:rFonts w:ascii="Arial" w:eastAsia="Aptos" w:hAnsi="Arial" w:cs="Arial"/>
              </w:rPr>
              <w:t>.113</w:t>
            </w:r>
          </w:p>
        </w:tc>
        <w:tc>
          <w:tcPr>
            <w:tcW w:w="565" w:type="pct"/>
            <w:tcBorders>
              <w:top w:val="single" w:sz="8" w:space="0" w:color="AEAEAE"/>
              <w:left w:val="single" w:sz="8" w:space="0" w:color="E0E0E0"/>
              <w:bottom w:val="single" w:sz="8" w:space="0" w:color="AEAEAE"/>
              <w:right w:val="single" w:sz="8" w:space="0" w:color="E0E0E0"/>
            </w:tcBorders>
            <w:hideMark/>
          </w:tcPr>
          <w:p w14:paraId="70E74329" w14:textId="77777777" w:rsidR="0091151A" w:rsidRPr="005109A7" w:rsidRDefault="0091151A" w:rsidP="00FA6EC4">
            <w:pPr>
              <w:jc w:val="right"/>
              <w:rPr>
                <w:rFonts w:ascii="Arial" w:eastAsia="Aptos" w:hAnsi="Arial" w:cs="Arial"/>
              </w:rPr>
            </w:pPr>
            <w:r w:rsidRPr="005109A7">
              <w:rPr>
                <w:rFonts w:ascii="Arial" w:eastAsia="Aptos" w:hAnsi="Arial" w:cs="Arial"/>
              </w:rPr>
              <w:t>.020</w:t>
            </w:r>
          </w:p>
        </w:tc>
        <w:tc>
          <w:tcPr>
            <w:tcW w:w="777" w:type="pct"/>
            <w:tcBorders>
              <w:top w:val="single" w:sz="8" w:space="0" w:color="AEAEAE"/>
              <w:left w:val="single" w:sz="8" w:space="0" w:color="E0E0E0"/>
              <w:bottom w:val="single" w:sz="8" w:space="0" w:color="AEAEAE"/>
              <w:right w:val="single" w:sz="8" w:space="0" w:color="E0E0E0"/>
            </w:tcBorders>
            <w:hideMark/>
          </w:tcPr>
          <w:p w14:paraId="73087CEB" w14:textId="77777777" w:rsidR="0091151A" w:rsidRPr="005109A7" w:rsidRDefault="0091151A" w:rsidP="00FA6EC4">
            <w:pPr>
              <w:jc w:val="right"/>
              <w:rPr>
                <w:rFonts w:ascii="Arial" w:eastAsia="Aptos" w:hAnsi="Arial" w:cs="Arial"/>
              </w:rPr>
            </w:pPr>
            <w:r w:rsidRPr="005109A7">
              <w:rPr>
                <w:rFonts w:ascii="Arial" w:eastAsia="Aptos" w:hAnsi="Arial" w:cs="Arial"/>
              </w:rPr>
              <w:t>.260</w:t>
            </w:r>
          </w:p>
        </w:tc>
        <w:tc>
          <w:tcPr>
            <w:tcW w:w="429" w:type="pct"/>
            <w:tcBorders>
              <w:top w:val="single" w:sz="8" w:space="0" w:color="AEAEAE"/>
              <w:left w:val="single" w:sz="8" w:space="0" w:color="E0E0E0"/>
              <w:bottom w:val="single" w:sz="8" w:space="0" w:color="AEAEAE"/>
              <w:right w:val="single" w:sz="8" w:space="0" w:color="E0E0E0"/>
            </w:tcBorders>
            <w:hideMark/>
          </w:tcPr>
          <w:p w14:paraId="27AD3B7C" w14:textId="77777777" w:rsidR="0091151A" w:rsidRPr="005109A7" w:rsidRDefault="0091151A" w:rsidP="00FA6EC4">
            <w:pPr>
              <w:jc w:val="right"/>
              <w:rPr>
                <w:rFonts w:ascii="Arial" w:eastAsia="Aptos" w:hAnsi="Arial" w:cs="Arial"/>
              </w:rPr>
            </w:pPr>
            <w:r w:rsidRPr="005109A7">
              <w:rPr>
                <w:rFonts w:ascii="Arial" w:eastAsia="Aptos" w:hAnsi="Arial" w:cs="Arial"/>
              </w:rPr>
              <w:t>5.640</w:t>
            </w:r>
          </w:p>
        </w:tc>
        <w:tc>
          <w:tcPr>
            <w:tcW w:w="429" w:type="pct"/>
            <w:tcBorders>
              <w:top w:val="single" w:sz="8" w:space="0" w:color="AEAEAE"/>
              <w:left w:val="single" w:sz="8" w:space="0" w:color="E0E0E0"/>
              <w:bottom w:val="single" w:sz="8" w:space="0" w:color="AEAEAE"/>
              <w:right w:val="single" w:sz="8" w:space="0" w:color="E0E0E0"/>
            </w:tcBorders>
            <w:hideMark/>
          </w:tcPr>
          <w:p w14:paraId="3BCFBE1E" w14:textId="77777777" w:rsidR="0091151A" w:rsidRPr="005109A7" w:rsidRDefault="0091151A" w:rsidP="00FA6EC4">
            <w:pPr>
              <w:jc w:val="right"/>
              <w:rPr>
                <w:rFonts w:ascii="Arial" w:eastAsia="Aptos" w:hAnsi="Arial" w:cs="Arial"/>
              </w:rPr>
            </w:pPr>
            <w:r w:rsidRPr="005109A7">
              <w:rPr>
                <w:rFonts w:ascii="Arial" w:eastAsia="Aptos" w:hAnsi="Arial" w:cs="Arial"/>
              </w:rPr>
              <w:t>.000</w:t>
            </w:r>
          </w:p>
        </w:tc>
        <w:tc>
          <w:tcPr>
            <w:tcW w:w="588" w:type="pct"/>
            <w:tcBorders>
              <w:top w:val="single" w:sz="8" w:space="0" w:color="AEAEAE"/>
              <w:left w:val="single" w:sz="8" w:space="0" w:color="E0E0E0"/>
              <w:bottom w:val="single" w:sz="8" w:space="0" w:color="AEAEAE"/>
              <w:right w:val="single" w:sz="8" w:space="0" w:color="E0E0E0"/>
            </w:tcBorders>
            <w:hideMark/>
          </w:tcPr>
          <w:p w14:paraId="2BBD55F9" w14:textId="77777777" w:rsidR="0091151A" w:rsidRPr="005109A7" w:rsidRDefault="0091151A" w:rsidP="00FA6EC4">
            <w:pPr>
              <w:jc w:val="right"/>
              <w:rPr>
                <w:rFonts w:ascii="Arial" w:eastAsia="Aptos" w:hAnsi="Arial" w:cs="Arial"/>
              </w:rPr>
            </w:pPr>
            <w:r w:rsidRPr="005109A7">
              <w:rPr>
                <w:rFonts w:ascii="Arial" w:eastAsia="Aptos" w:hAnsi="Arial" w:cs="Arial"/>
              </w:rPr>
              <w:t>.773</w:t>
            </w:r>
          </w:p>
        </w:tc>
        <w:tc>
          <w:tcPr>
            <w:tcW w:w="425" w:type="pct"/>
            <w:tcBorders>
              <w:top w:val="single" w:sz="8" w:space="0" w:color="AEAEAE"/>
              <w:left w:val="single" w:sz="8" w:space="0" w:color="E0E0E0"/>
              <w:bottom w:val="single" w:sz="8" w:space="0" w:color="AEAEAE"/>
              <w:right w:val="nil"/>
            </w:tcBorders>
            <w:hideMark/>
          </w:tcPr>
          <w:p w14:paraId="1997F977" w14:textId="77777777" w:rsidR="0091151A" w:rsidRPr="005109A7" w:rsidRDefault="0091151A" w:rsidP="00FA6EC4">
            <w:pPr>
              <w:jc w:val="right"/>
              <w:rPr>
                <w:rFonts w:ascii="Arial" w:eastAsia="Aptos" w:hAnsi="Arial" w:cs="Arial"/>
              </w:rPr>
            </w:pPr>
            <w:r w:rsidRPr="005109A7">
              <w:rPr>
                <w:rFonts w:ascii="Arial" w:eastAsia="Aptos" w:hAnsi="Arial" w:cs="Arial"/>
              </w:rPr>
              <w:t>1.294</w:t>
            </w:r>
          </w:p>
        </w:tc>
      </w:tr>
      <w:tr w:rsidR="00A76EB7" w:rsidRPr="00486DCD" w14:paraId="55F7A5EE" w14:textId="77777777" w:rsidTr="00841194">
        <w:trPr>
          <w:cantSplit/>
        </w:trPr>
        <w:tc>
          <w:tcPr>
            <w:tcW w:w="300" w:type="pct"/>
            <w:vMerge/>
            <w:tcBorders>
              <w:top w:val="single" w:sz="8" w:space="0" w:color="152935"/>
              <w:left w:val="nil"/>
              <w:bottom w:val="single" w:sz="8" w:space="0" w:color="152935"/>
              <w:right w:val="nil"/>
            </w:tcBorders>
            <w:vAlign w:val="center"/>
            <w:hideMark/>
          </w:tcPr>
          <w:p w14:paraId="12CA1592" w14:textId="77777777" w:rsidR="0091151A" w:rsidRPr="005109A7" w:rsidRDefault="0091151A" w:rsidP="002B4D1C">
            <w:pPr>
              <w:rPr>
                <w:rFonts w:ascii="Arial" w:eastAsia="Aptos" w:hAnsi="Arial" w:cs="Arial"/>
              </w:rPr>
            </w:pPr>
          </w:p>
        </w:tc>
        <w:tc>
          <w:tcPr>
            <w:tcW w:w="925" w:type="pct"/>
            <w:tcBorders>
              <w:top w:val="single" w:sz="8" w:space="0" w:color="AEAEAE"/>
              <w:left w:val="nil"/>
              <w:bottom w:val="single" w:sz="8" w:space="0" w:color="AEAEAE"/>
              <w:right w:val="nil"/>
            </w:tcBorders>
            <w:hideMark/>
          </w:tcPr>
          <w:p w14:paraId="6DAA43E6" w14:textId="77777777" w:rsidR="0091151A" w:rsidRPr="005109A7" w:rsidRDefault="0091151A" w:rsidP="002B4D1C">
            <w:pPr>
              <w:rPr>
                <w:rFonts w:ascii="Arial" w:eastAsia="Aptos" w:hAnsi="Arial" w:cs="Arial"/>
              </w:rPr>
            </w:pPr>
            <w:r w:rsidRPr="005109A7">
              <w:rPr>
                <w:rFonts w:ascii="Arial" w:eastAsia="Aptos" w:hAnsi="Arial" w:cs="Arial"/>
              </w:rPr>
              <w:t>Socio Demographic Factors</w:t>
            </w:r>
          </w:p>
        </w:tc>
        <w:tc>
          <w:tcPr>
            <w:tcW w:w="562" w:type="pct"/>
            <w:tcBorders>
              <w:top w:val="single" w:sz="8" w:space="0" w:color="AEAEAE"/>
              <w:left w:val="nil"/>
              <w:bottom w:val="single" w:sz="8" w:space="0" w:color="AEAEAE"/>
              <w:right w:val="single" w:sz="8" w:space="0" w:color="E0E0E0"/>
            </w:tcBorders>
            <w:hideMark/>
          </w:tcPr>
          <w:p w14:paraId="37FBC1CC" w14:textId="77777777" w:rsidR="0091151A" w:rsidRPr="005109A7" w:rsidRDefault="0091151A" w:rsidP="00FA6EC4">
            <w:pPr>
              <w:jc w:val="right"/>
              <w:rPr>
                <w:rFonts w:ascii="Arial" w:eastAsia="Aptos" w:hAnsi="Arial" w:cs="Arial"/>
              </w:rPr>
            </w:pPr>
            <w:r w:rsidRPr="005109A7">
              <w:rPr>
                <w:rFonts w:ascii="Arial" w:eastAsia="Aptos" w:hAnsi="Arial" w:cs="Arial"/>
              </w:rPr>
              <w:t>.087</w:t>
            </w:r>
          </w:p>
        </w:tc>
        <w:tc>
          <w:tcPr>
            <w:tcW w:w="565" w:type="pct"/>
            <w:tcBorders>
              <w:top w:val="single" w:sz="8" w:space="0" w:color="AEAEAE"/>
              <w:left w:val="single" w:sz="8" w:space="0" w:color="E0E0E0"/>
              <w:bottom w:val="single" w:sz="8" w:space="0" w:color="AEAEAE"/>
              <w:right w:val="single" w:sz="8" w:space="0" w:color="E0E0E0"/>
            </w:tcBorders>
            <w:hideMark/>
          </w:tcPr>
          <w:p w14:paraId="504670AC" w14:textId="77777777" w:rsidR="0091151A" w:rsidRPr="005109A7" w:rsidRDefault="0091151A" w:rsidP="00FA6EC4">
            <w:pPr>
              <w:jc w:val="right"/>
              <w:rPr>
                <w:rFonts w:ascii="Arial" w:eastAsia="Aptos" w:hAnsi="Arial" w:cs="Arial"/>
              </w:rPr>
            </w:pPr>
            <w:r w:rsidRPr="005109A7">
              <w:rPr>
                <w:rFonts w:ascii="Arial" w:eastAsia="Aptos" w:hAnsi="Arial" w:cs="Arial"/>
              </w:rPr>
              <w:t>.041</w:t>
            </w:r>
          </w:p>
        </w:tc>
        <w:tc>
          <w:tcPr>
            <w:tcW w:w="777" w:type="pct"/>
            <w:tcBorders>
              <w:top w:val="single" w:sz="8" w:space="0" w:color="AEAEAE"/>
              <w:left w:val="single" w:sz="8" w:space="0" w:color="E0E0E0"/>
              <w:bottom w:val="single" w:sz="8" w:space="0" w:color="AEAEAE"/>
              <w:right w:val="single" w:sz="8" w:space="0" w:color="E0E0E0"/>
            </w:tcBorders>
            <w:hideMark/>
          </w:tcPr>
          <w:p w14:paraId="395D4DDA" w14:textId="77777777" w:rsidR="0091151A" w:rsidRPr="005109A7" w:rsidRDefault="0091151A" w:rsidP="00FA6EC4">
            <w:pPr>
              <w:jc w:val="right"/>
              <w:rPr>
                <w:rFonts w:ascii="Arial" w:eastAsia="Aptos" w:hAnsi="Arial" w:cs="Arial"/>
              </w:rPr>
            </w:pPr>
            <w:r w:rsidRPr="005109A7">
              <w:rPr>
                <w:rFonts w:ascii="Arial" w:eastAsia="Aptos" w:hAnsi="Arial" w:cs="Arial"/>
              </w:rPr>
              <w:t>.089</w:t>
            </w:r>
          </w:p>
        </w:tc>
        <w:tc>
          <w:tcPr>
            <w:tcW w:w="429" w:type="pct"/>
            <w:tcBorders>
              <w:top w:val="single" w:sz="8" w:space="0" w:color="AEAEAE"/>
              <w:left w:val="single" w:sz="8" w:space="0" w:color="E0E0E0"/>
              <w:bottom w:val="single" w:sz="8" w:space="0" w:color="AEAEAE"/>
              <w:right w:val="single" w:sz="8" w:space="0" w:color="E0E0E0"/>
            </w:tcBorders>
            <w:hideMark/>
          </w:tcPr>
          <w:p w14:paraId="4B807617" w14:textId="77777777" w:rsidR="0091151A" w:rsidRPr="005109A7" w:rsidRDefault="0091151A" w:rsidP="00FA6EC4">
            <w:pPr>
              <w:jc w:val="right"/>
              <w:rPr>
                <w:rFonts w:ascii="Arial" w:eastAsia="Aptos" w:hAnsi="Arial" w:cs="Arial"/>
              </w:rPr>
            </w:pPr>
            <w:r w:rsidRPr="005109A7">
              <w:rPr>
                <w:rFonts w:ascii="Arial" w:eastAsia="Aptos" w:hAnsi="Arial" w:cs="Arial"/>
              </w:rPr>
              <w:t>2.132</w:t>
            </w:r>
          </w:p>
        </w:tc>
        <w:tc>
          <w:tcPr>
            <w:tcW w:w="429" w:type="pct"/>
            <w:tcBorders>
              <w:top w:val="single" w:sz="8" w:space="0" w:color="AEAEAE"/>
              <w:left w:val="single" w:sz="8" w:space="0" w:color="E0E0E0"/>
              <w:bottom w:val="single" w:sz="8" w:space="0" w:color="AEAEAE"/>
              <w:right w:val="single" w:sz="8" w:space="0" w:color="E0E0E0"/>
            </w:tcBorders>
            <w:hideMark/>
          </w:tcPr>
          <w:p w14:paraId="1A3F3EA7" w14:textId="77777777" w:rsidR="0091151A" w:rsidRPr="005109A7" w:rsidRDefault="0091151A" w:rsidP="00FA6EC4">
            <w:pPr>
              <w:jc w:val="right"/>
              <w:rPr>
                <w:rFonts w:ascii="Arial" w:eastAsia="Aptos" w:hAnsi="Arial" w:cs="Arial"/>
              </w:rPr>
            </w:pPr>
            <w:r w:rsidRPr="005109A7">
              <w:rPr>
                <w:rFonts w:ascii="Arial" w:eastAsia="Aptos" w:hAnsi="Arial" w:cs="Arial"/>
              </w:rPr>
              <w:t>.033</w:t>
            </w:r>
          </w:p>
        </w:tc>
        <w:tc>
          <w:tcPr>
            <w:tcW w:w="588" w:type="pct"/>
            <w:tcBorders>
              <w:top w:val="single" w:sz="8" w:space="0" w:color="AEAEAE"/>
              <w:left w:val="single" w:sz="8" w:space="0" w:color="E0E0E0"/>
              <w:bottom w:val="single" w:sz="8" w:space="0" w:color="AEAEAE"/>
              <w:right w:val="single" w:sz="8" w:space="0" w:color="E0E0E0"/>
            </w:tcBorders>
            <w:hideMark/>
          </w:tcPr>
          <w:p w14:paraId="07534E89" w14:textId="77777777" w:rsidR="0091151A" w:rsidRPr="005109A7" w:rsidRDefault="0091151A" w:rsidP="00FA6EC4">
            <w:pPr>
              <w:jc w:val="right"/>
              <w:rPr>
                <w:rFonts w:ascii="Arial" w:eastAsia="Aptos" w:hAnsi="Arial" w:cs="Arial"/>
              </w:rPr>
            </w:pPr>
            <w:r w:rsidRPr="005109A7">
              <w:rPr>
                <w:rFonts w:ascii="Arial" w:eastAsia="Aptos" w:hAnsi="Arial" w:cs="Arial"/>
              </w:rPr>
              <w:t>.942</w:t>
            </w:r>
          </w:p>
        </w:tc>
        <w:tc>
          <w:tcPr>
            <w:tcW w:w="425" w:type="pct"/>
            <w:tcBorders>
              <w:top w:val="single" w:sz="8" w:space="0" w:color="AEAEAE"/>
              <w:left w:val="single" w:sz="8" w:space="0" w:color="E0E0E0"/>
              <w:bottom w:val="single" w:sz="8" w:space="0" w:color="AEAEAE"/>
              <w:right w:val="nil"/>
            </w:tcBorders>
            <w:hideMark/>
          </w:tcPr>
          <w:p w14:paraId="21F88449" w14:textId="77777777" w:rsidR="0091151A" w:rsidRPr="005109A7" w:rsidRDefault="0091151A" w:rsidP="00FA6EC4">
            <w:pPr>
              <w:jc w:val="right"/>
              <w:rPr>
                <w:rFonts w:ascii="Arial" w:eastAsia="Aptos" w:hAnsi="Arial" w:cs="Arial"/>
              </w:rPr>
            </w:pPr>
            <w:r w:rsidRPr="005109A7">
              <w:rPr>
                <w:rFonts w:ascii="Arial" w:eastAsia="Aptos" w:hAnsi="Arial" w:cs="Arial"/>
              </w:rPr>
              <w:t>1.061</w:t>
            </w:r>
          </w:p>
        </w:tc>
      </w:tr>
      <w:tr w:rsidR="00A76EB7" w:rsidRPr="00486DCD" w14:paraId="2B7AAAC6" w14:textId="77777777" w:rsidTr="00841194">
        <w:trPr>
          <w:cantSplit/>
        </w:trPr>
        <w:tc>
          <w:tcPr>
            <w:tcW w:w="300" w:type="pct"/>
            <w:vMerge/>
            <w:tcBorders>
              <w:top w:val="single" w:sz="8" w:space="0" w:color="152935"/>
              <w:left w:val="nil"/>
              <w:bottom w:val="single" w:sz="8" w:space="0" w:color="152935"/>
              <w:right w:val="nil"/>
            </w:tcBorders>
            <w:vAlign w:val="center"/>
            <w:hideMark/>
          </w:tcPr>
          <w:p w14:paraId="18A58B42" w14:textId="77777777" w:rsidR="0091151A" w:rsidRPr="005109A7" w:rsidRDefault="0091151A" w:rsidP="002B4D1C">
            <w:pPr>
              <w:rPr>
                <w:rFonts w:ascii="Arial" w:eastAsia="Aptos" w:hAnsi="Arial" w:cs="Arial"/>
              </w:rPr>
            </w:pPr>
          </w:p>
        </w:tc>
        <w:tc>
          <w:tcPr>
            <w:tcW w:w="925" w:type="pct"/>
            <w:tcBorders>
              <w:top w:val="single" w:sz="8" w:space="0" w:color="AEAEAE"/>
              <w:left w:val="nil"/>
              <w:bottom w:val="single" w:sz="8" w:space="0" w:color="AEAEAE"/>
              <w:right w:val="nil"/>
            </w:tcBorders>
            <w:hideMark/>
          </w:tcPr>
          <w:p w14:paraId="21DC16C1" w14:textId="77777777" w:rsidR="0091151A" w:rsidRPr="005109A7" w:rsidRDefault="0091151A" w:rsidP="002B4D1C">
            <w:pPr>
              <w:rPr>
                <w:rFonts w:ascii="Arial" w:eastAsia="Aptos" w:hAnsi="Arial" w:cs="Arial"/>
              </w:rPr>
            </w:pPr>
            <w:r w:rsidRPr="005109A7">
              <w:rPr>
                <w:rFonts w:ascii="Arial" w:eastAsia="Aptos" w:hAnsi="Arial" w:cs="Arial"/>
              </w:rPr>
              <w:t>Appliance Ownership</w:t>
            </w:r>
          </w:p>
        </w:tc>
        <w:tc>
          <w:tcPr>
            <w:tcW w:w="562" w:type="pct"/>
            <w:tcBorders>
              <w:top w:val="single" w:sz="8" w:space="0" w:color="AEAEAE"/>
              <w:left w:val="nil"/>
              <w:bottom w:val="single" w:sz="8" w:space="0" w:color="AEAEAE"/>
              <w:right w:val="single" w:sz="8" w:space="0" w:color="E0E0E0"/>
            </w:tcBorders>
            <w:hideMark/>
          </w:tcPr>
          <w:p w14:paraId="1361B14C" w14:textId="77777777" w:rsidR="0091151A" w:rsidRPr="005109A7" w:rsidRDefault="0091151A" w:rsidP="00FA6EC4">
            <w:pPr>
              <w:jc w:val="right"/>
              <w:rPr>
                <w:rFonts w:ascii="Arial" w:eastAsia="Aptos" w:hAnsi="Arial" w:cs="Arial"/>
              </w:rPr>
            </w:pPr>
            <w:r w:rsidRPr="005109A7">
              <w:rPr>
                <w:rFonts w:ascii="Arial" w:eastAsia="Aptos" w:hAnsi="Arial" w:cs="Arial"/>
              </w:rPr>
              <w:t>-.161</w:t>
            </w:r>
          </w:p>
        </w:tc>
        <w:tc>
          <w:tcPr>
            <w:tcW w:w="565" w:type="pct"/>
            <w:tcBorders>
              <w:top w:val="single" w:sz="8" w:space="0" w:color="AEAEAE"/>
              <w:left w:val="single" w:sz="8" w:space="0" w:color="E0E0E0"/>
              <w:bottom w:val="single" w:sz="8" w:space="0" w:color="AEAEAE"/>
              <w:right w:val="single" w:sz="8" w:space="0" w:color="E0E0E0"/>
            </w:tcBorders>
            <w:hideMark/>
          </w:tcPr>
          <w:p w14:paraId="25DB7984" w14:textId="77777777" w:rsidR="0091151A" w:rsidRPr="005109A7" w:rsidRDefault="0091151A" w:rsidP="00FA6EC4">
            <w:pPr>
              <w:jc w:val="right"/>
              <w:rPr>
                <w:rFonts w:ascii="Arial" w:eastAsia="Aptos" w:hAnsi="Arial" w:cs="Arial"/>
              </w:rPr>
            </w:pPr>
            <w:r w:rsidRPr="005109A7">
              <w:rPr>
                <w:rFonts w:ascii="Arial" w:eastAsia="Aptos" w:hAnsi="Arial" w:cs="Arial"/>
              </w:rPr>
              <w:t>.048</w:t>
            </w:r>
          </w:p>
        </w:tc>
        <w:tc>
          <w:tcPr>
            <w:tcW w:w="777" w:type="pct"/>
            <w:tcBorders>
              <w:top w:val="single" w:sz="8" w:space="0" w:color="AEAEAE"/>
              <w:left w:val="single" w:sz="8" w:space="0" w:color="E0E0E0"/>
              <w:bottom w:val="single" w:sz="8" w:space="0" w:color="AEAEAE"/>
              <w:right w:val="single" w:sz="8" w:space="0" w:color="E0E0E0"/>
            </w:tcBorders>
            <w:hideMark/>
          </w:tcPr>
          <w:p w14:paraId="6FD18CAD" w14:textId="77777777" w:rsidR="0091151A" w:rsidRPr="005109A7" w:rsidRDefault="0091151A" w:rsidP="00FA6EC4">
            <w:pPr>
              <w:jc w:val="right"/>
              <w:rPr>
                <w:rFonts w:ascii="Arial" w:eastAsia="Aptos" w:hAnsi="Arial" w:cs="Arial"/>
              </w:rPr>
            </w:pPr>
            <w:r w:rsidRPr="005109A7">
              <w:rPr>
                <w:rFonts w:ascii="Arial" w:eastAsia="Aptos" w:hAnsi="Arial" w:cs="Arial"/>
              </w:rPr>
              <w:t>-.138</w:t>
            </w:r>
          </w:p>
        </w:tc>
        <w:tc>
          <w:tcPr>
            <w:tcW w:w="429" w:type="pct"/>
            <w:tcBorders>
              <w:top w:val="single" w:sz="8" w:space="0" w:color="AEAEAE"/>
              <w:left w:val="single" w:sz="8" w:space="0" w:color="E0E0E0"/>
              <w:bottom w:val="single" w:sz="8" w:space="0" w:color="AEAEAE"/>
              <w:right w:val="single" w:sz="8" w:space="0" w:color="E0E0E0"/>
            </w:tcBorders>
            <w:hideMark/>
          </w:tcPr>
          <w:p w14:paraId="550EACE0" w14:textId="77777777" w:rsidR="0091151A" w:rsidRPr="005109A7" w:rsidRDefault="0091151A" w:rsidP="00FA6EC4">
            <w:pPr>
              <w:jc w:val="right"/>
              <w:rPr>
                <w:rFonts w:ascii="Arial" w:eastAsia="Aptos" w:hAnsi="Arial" w:cs="Arial"/>
              </w:rPr>
            </w:pPr>
            <w:r w:rsidRPr="005109A7">
              <w:rPr>
                <w:rFonts w:ascii="Arial" w:eastAsia="Aptos" w:hAnsi="Arial" w:cs="Arial"/>
              </w:rPr>
              <w:t>-3.354</w:t>
            </w:r>
          </w:p>
        </w:tc>
        <w:tc>
          <w:tcPr>
            <w:tcW w:w="429" w:type="pct"/>
            <w:tcBorders>
              <w:top w:val="single" w:sz="8" w:space="0" w:color="AEAEAE"/>
              <w:left w:val="single" w:sz="8" w:space="0" w:color="E0E0E0"/>
              <w:bottom w:val="single" w:sz="8" w:space="0" w:color="AEAEAE"/>
              <w:right w:val="single" w:sz="8" w:space="0" w:color="E0E0E0"/>
            </w:tcBorders>
            <w:hideMark/>
          </w:tcPr>
          <w:p w14:paraId="2F0AFA19" w14:textId="77777777" w:rsidR="0091151A" w:rsidRPr="005109A7" w:rsidRDefault="0091151A" w:rsidP="00FA6EC4">
            <w:pPr>
              <w:jc w:val="right"/>
              <w:rPr>
                <w:rFonts w:ascii="Arial" w:eastAsia="Aptos" w:hAnsi="Arial" w:cs="Arial"/>
              </w:rPr>
            </w:pPr>
            <w:r w:rsidRPr="005109A7">
              <w:rPr>
                <w:rFonts w:ascii="Arial" w:eastAsia="Aptos" w:hAnsi="Arial" w:cs="Arial"/>
              </w:rPr>
              <w:t>.001</w:t>
            </w:r>
          </w:p>
        </w:tc>
        <w:tc>
          <w:tcPr>
            <w:tcW w:w="588" w:type="pct"/>
            <w:tcBorders>
              <w:top w:val="single" w:sz="8" w:space="0" w:color="AEAEAE"/>
              <w:left w:val="single" w:sz="8" w:space="0" w:color="E0E0E0"/>
              <w:bottom w:val="single" w:sz="8" w:space="0" w:color="AEAEAE"/>
              <w:right w:val="single" w:sz="8" w:space="0" w:color="E0E0E0"/>
            </w:tcBorders>
            <w:hideMark/>
          </w:tcPr>
          <w:p w14:paraId="53295A10" w14:textId="77777777" w:rsidR="0091151A" w:rsidRPr="005109A7" w:rsidRDefault="0091151A" w:rsidP="00FA6EC4">
            <w:pPr>
              <w:jc w:val="right"/>
              <w:rPr>
                <w:rFonts w:ascii="Arial" w:eastAsia="Aptos" w:hAnsi="Arial" w:cs="Arial"/>
              </w:rPr>
            </w:pPr>
            <w:r w:rsidRPr="005109A7">
              <w:rPr>
                <w:rFonts w:ascii="Arial" w:eastAsia="Aptos" w:hAnsi="Arial" w:cs="Arial"/>
              </w:rPr>
              <w:t>.974</w:t>
            </w:r>
          </w:p>
        </w:tc>
        <w:tc>
          <w:tcPr>
            <w:tcW w:w="425" w:type="pct"/>
            <w:tcBorders>
              <w:top w:val="single" w:sz="8" w:space="0" w:color="AEAEAE"/>
              <w:left w:val="single" w:sz="8" w:space="0" w:color="E0E0E0"/>
              <w:bottom w:val="single" w:sz="8" w:space="0" w:color="AEAEAE"/>
              <w:right w:val="nil"/>
            </w:tcBorders>
            <w:hideMark/>
          </w:tcPr>
          <w:p w14:paraId="7470EE80" w14:textId="77777777" w:rsidR="0091151A" w:rsidRPr="005109A7" w:rsidRDefault="0091151A" w:rsidP="00FA6EC4">
            <w:pPr>
              <w:jc w:val="right"/>
              <w:rPr>
                <w:rFonts w:ascii="Arial" w:eastAsia="Aptos" w:hAnsi="Arial" w:cs="Arial"/>
              </w:rPr>
            </w:pPr>
            <w:r w:rsidRPr="005109A7">
              <w:rPr>
                <w:rFonts w:ascii="Arial" w:eastAsia="Aptos" w:hAnsi="Arial" w:cs="Arial"/>
              </w:rPr>
              <w:t>1.027</w:t>
            </w:r>
          </w:p>
        </w:tc>
      </w:tr>
      <w:tr w:rsidR="00A76EB7" w:rsidRPr="00486DCD" w14:paraId="7A66DE29" w14:textId="77777777" w:rsidTr="00841194">
        <w:trPr>
          <w:cantSplit/>
        </w:trPr>
        <w:tc>
          <w:tcPr>
            <w:tcW w:w="300" w:type="pct"/>
            <w:vMerge/>
            <w:tcBorders>
              <w:top w:val="single" w:sz="8" w:space="0" w:color="152935"/>
              <w:left w:val="nil"/>
              <w:bottom w:val="single" w:sz="8" w:space="0" w:color="152935"/>
              <w:right w:val="nil"/>
            </w:tcBorders>
            <w:vAlign w:val="center"/>
            <w:hideMark/>
          </w:tcPr>
          <w:p w14:paraId="1BF63497" w14:textId="77777777" w:rsidR="0091151A" w:rsidRPr="005109A7" w:rsidRDefault="0091151A" w:rsidP="002B4D1C">
            <w:pPr>
              <w:rPr>
                <w:rFonts w:ascii="Arial" w:eastAsia="Aptos" w:hAnsi="Arial" w:cs="Arial"/>
              </w:rPr>
            </w:pPr>
          </w:p>
        </w:tc>
        <w:tc>
          <w:tcPr>
            <w:tcW w:w="925" w:type="pct"/>
            <w:tcBorders>
              <w:top w:val="single" w:sz="8" w:space="0" w:color="AEAEAE"/>
              <w:left w:val="nil"/>
              <w:bottom w:val="single" w:sz="8" w:space="0" w:color="152935"/>
              <w:right w:val="nil"/>
            </w:tcBorders>
            <w:hideMark/>
          </w:tcPr>
          <w:p w14:paraId="4F4C4358" w14:textId="77777777" w:rsidR="0091151A" w:rsidRPr="005109A7" w:rsidRDefault="0091151A" w:rsidP="002B4D1C">
            <w:pPr>
              <w:rPr>
                <w:rFonts w:ascii="Arial" w:eastAsia="Aptos" w:hAnsi="Arial" w:cs="Arial"/>
              </w:rPr>
            </w:pPr>
            <w:r w:rsidRPr="005109A7">
              <w:rPr>
                <w:rFonts w:ascii="Arial" w:eastAsia="Aptos" w:hAnsi="Arial" w:cs="Arial"/>
              </w:rPr>
              <w:t>Behavioral factors</w:t>
            </w:r>
          </w:p>
        </w:tc>
        <w:tc>
          <w:tcPr>
            <w:tcW w:w="562" w:type="pct"/>
            <w:tcBorders>
              <w:top w:val="single" w:sz="8" w:space="0" w:color="AEAEAE"/>
              <w:left w:val="nil"/>
              <w:bottom w:val="single" w:sz="8" w:space="0" w:color="152935"/>
              <w:right w:val="single" w:sz="8" w:space="0" w:color="E0E0E0"/>
            </w:tcBorders>
            <w:hideMark/>
          </w:tcPr>
          <w:p w14:paraId="3BC0738A" w14:textId="77777777" w:rsidR="0091151A" w:rsidRPr="005109A7" w:rsidRDefault="0091151A" w:rsidP="00FA6EC4">
            <w:pPr>
              <w:jc w:val="right"/>
              <w:rPr>
                <w:rFonts w:ascii="Arial" w:eastAsia="Aptos" w:hAnsi="Arial" w:cs="Arial"/>
              </w:rPr>
            </w:pPr>
            <w:r w:rsidRPr="005109A7">
              <w:rPr>
                <w:rFonts w:ascii="Arial" w:eastAsia="Aptos" w:hAnsi="Arial" w:cs="Arial"/>
              </w:rPr>
              <w:t>.047</w:t>
            </w:r>
          </w:p>
        </w:tc>
        <w:tc>
          <w:tcPr>
            <w:tcW w:w="565" w:type="pct"/>
            <w:tcBorders>
              <w:top w:val="single" w:sz="8" w:space="0" w:color="AEAEAE"/>
              <w:left w:val="single" w:sz="8" w:space="0" w:color="E0E0E0"/>
              <w:bottom w:val="single" w:sz="8" w:space="0" w:color="152935"/>
              <w:right w:val="single" w:sz="8" w:space="0" w:color="E0E0E0"/>
            </w:tcBorders>
            <w:hideMark/>
          </w:tcPr>
          <w:p w14:paraId="611D568A" w14:textId="77777777" w:rsidR="0091151A" w:rsidRPr="005109A7" w:rsidRDefault="0091151A" w:rsidP="00FA6EC4">
            <w:pPr>
              <w:jc w:val="right"/>
              <w:rPr>
                <w:rFonts w:ascii="Arial" w:eastAsia="Aptos" w:hAnsi="Arial" w:cs="Arial"/>
              </w:rPr>
            </w:pPr>
            <w:r w:rsidRPr="005109A7">
              <w:rPr>
                <w:rFonts w:ascii="Arial" w:eastAsia="Aptos" w:hAnsi="Arial" w:cs="Arial"/>
              </w:rPr>
              <w:t>.014</w:t>
            </w:r>
          </w:p>
        </w:tc>
        <w:tc>
          <w:tcPr>
            <w:tcW w:w="777" w:type="pct"/>
            <w:tcBorders>
              <w:top w:val="single" w:sz="8" w:space="0" w:color="AEAEAE"/>
              <w:left w:val="single" w:sz="8" w:space="0" w:color="E0E0E0"/>
              <w:bottom w:val="single" w:sz="8" w:space="0" w:color="152935"/>
              <w:right w:val="single" w:sz="8" w:space="0" w:color="E0E0E0"/>
            </w:tcBorders>
            <w:hideMark/>
          </w:tcPr>
          <w:p w14:paraId="3D8DCB11" w14:textId="77777777" w:rsidR="0091151A" w:rsidRPr="005109A7" w:rsidRDefault="0091151A" w:rsidP="00FA6EC4">
            <w:pPr>
              <w:jc w:val="right"/>
              <w:rPr>
                <w:rFonts w:ascii="Arial" w:eastAsia="Aptos" w:hAnsi="Arial" w:cs="Arial"/>
              </w:rPr>
            </w:pPr>
            <w:r w:rsidRPr="005109A7">
              <w:rPr>
                <w:rFonts w:ascii="Arial" w:eastAsia="Aptos" w:hAnsi="Arial" w:cs="Arial"/>
              </w:rPr>
              <w:t>.157</w:t>
            </w:r>
          </w:p>
        </w:tc>
        <w:tc>
          <w:tcPr>
            <w:tcW w:w="429" w:type="pct"/>
            <w:tcBorders>
              <w:top w:val="single" w:sz="8" w:space="0" w:color="AEAEAE"/>
              <w:left w:val="single" w:sz="8" w:space="0" w:color="E0E0E0"/>
              <w:bottom w:val="single" w:sz="8" w:space="0" w:color="152935"/>
              <w:right w:val="single" w:sz="8" w:space="0" w:color="E0E0E0"/>
            </w:tcBorders>
            <w:hideMark/>
          </w:tcPr>
          <w:p w14:paraId="03B42A57" w14:textId="77777777" w:rsidR="0091151A" w:rsidRPr="005109A7" w:rsidRDefault="0091151A" w:rsidP="00FA6EC4">
            <w:pPr>
              <w:jc w:val="right"/>
              <w:rPr>
                <w:rFonts w:ascii="Arial" w:eastAsia="Aptos" w:hAnsi="Arial" w:cs="Arial"/>
              </w:rPr>
            </w:pPr>
            <w:r w:rsidRPr="005109A7">
              <w:rPr>
                <w:rFonts w:ascii="Arial" w:eastAsia="Aptos" w:hAnsi="Arial" w:cs="Arial"/>
              </w:rPr>
              <w:t>3.462</w:t>
            </w:r>
          </w:p>
        </w:tc>
        <w:tc>
          <w:tcPr>
            <w:tcW w:w="429" w:type="pct"/>
            <w:tcBorders>
              <w:top w:val="single" w:sz="8" w:space="0" w:color="AEAEAE"/>
              <w:left w:val="single" w:sz="8" w:space="0" w:color="E0E0E0"/>
              <w:bottom w:val="single" w:sz="8" w:space="0" w:color="152935"/>
              <w:right w:val="single" w:sz="8" w:space="0" w:color="E0E0E0"/>
            </w:tcBorders>
            <w:hideMark/>
          </w:tcPr>
          <w:p w14:paraId="31C8F2F2" w14:textId="77777777" w:rsidR="0091151A" w:rsidRPr="005109A7" w:rsidRDefault="0091151A" w:rsidP="00FA6EC4">
            <w:pPr>
              <w:jc w:val="right"/>
              <w:rPr>
                <w:rFonts w:ascii="Arial" w:eastAsia="Aptos" w:hAnsi="Arial" w:cs="Arial"/>
              </w:rPr>
            </w:pPr>
            <w:r w:rsidRPr="005109A7">
              <w:rPr>
                <w:rFonts w:ascii="Arial" w:eastAsia="Aptos" w:hAnsi="Arial" w:cs="Arial"/>
              </w:rPr>
              <w:t>.001</w:t>
            </w:r>
          </w:p>
        </w:tc>
        <w:tc>
          <w:tcPr>
            <w:tcW w:w="588" w:type="pct"/>
            <w:tcBorders>
              <w:top w:val="single" w:sz="8" w:space="0" w:color="AEAEAE"/>
              <w:left w:val="single" w:sz="8" w:space="0" w:color="E0E0E0"/>
              <w:bottom w:val="single" w:sz="8" w:space="0" w:color="152935"/>
              <w:right w:val="single" w:sz="8" w:space="0" w:color="E0E0E0"/>
            </w:tcBorders>
            <w:hideMark/>
          </w:tcPr>
          <w:p w14:paraId="051CEF41" w14:textId="77777777" w:rsidR="0091151A" w:rsidRPr="005109A7" w:rsidRDefault="0091151A" w:rsidP="00FA6EC4">
            <w:pPr>
              <w:jc w:val="right"/>
              <w:rPr>
                <w:rFonts w:ascii="Arial" w:eastAsia="Aptos" w:hAnsi="Arial" w:cs="Arial"/>
              </w:rPr>
            </w:pPr>
            <w:r w:rsidRPr="005109A7">
              <w:rPr>
                <w:rFonts w:ascii="Arial" w:eastAsia="Aptos" w:hAnsi="Arial" w:cs="Arial"/>
              </w:rPr>
              <w:t>.799</w:t>
            </w:r>
          </w:p>
        </w:tc>
        <w:tc>
          <w:tcPr>
            <w:tcW w:w="425" w:type="pct"/>
            <w:tcBorders>
              <w:top w:val="single" w:sz="8" w:space="0" w:color="AEAEAE"/>
              <w:left w:val="single" w:sz="8" w:space="0" w:color="E0E0E0"/>
              <w:bottom w:val="single" w:sz="8" w:space="0" w:color="152935"/>
              <w:right w:val="nil"/>
            </w:tcBorders>
            <w:hideMark/>
          </w:tcPr>
          <w:p w14:paraId="42135313" w14:textId="77777777" w:rsidR="0091151A" w:rsidRPr="005109A7" w:rsidRDefault="0091151A" w:rsidP="00FA6EC4">
            <w:pPr>
              <w:jc w:val="right"/>
              <w:rPr>
                <w:rFonts w:ascii="Arial" w:eastAsia="Aptos" w:hAnsi="Arial" w:cs="Arial"/>
              </w:rPr>
            </w:pPr>
            <w:r w:rsidRPr="005109A7">
              <w:rPr>
                <w:rFonts w:ascii="Arial" w:eastAsia="Aptos" w:hAnsi="Arial" w:cs="Arial"/>
              </w:rPr>
              <w:t>1.252</w:t>
            </w:r>
          </w:p>
        </w:tc>
      </w:tr>
      <w:tr w:rsidR="0091151A" w:rsidRPr="005109A7" w14:paraId="745330AD" w14:textId="77777777" w:rsidTr="00841194">
        <w:trPr>
          <w:cantSplit/>
        </w:trPr>
        <w:tc>
          <w:tcPr>
            <w:tcW w:w="5000" w:type="pct"/>
            <w:gridSpan w:val="9"/>
            <w:tcBorders>
              <w:top w:val="nil"/>
              <w:left w:val="nil"/>
              <w:bottom w:val="nil"/>
              <w:right w:val="nil"/>
            </w:tcBorders>
            <w:hideMark/>
          </w:tcPr>
          <w:p w14:paraId="5765B810" w14:textId="77777777" w:rsidR="0091151A" w:rsidRPr="005109A7" w:rsidRDefault="0091151A" w:rsidP="002B4D1C">
            <w:pPr>
              <w:rPr>
                <w:rFonts w:ascii="Arial" w:eastAsia="Aptos" w:hAnsi="Arial" w:cs="Arial"/>
                <w:i/>
                <w:iCs/>
              </w:rPr>
            </w:pPr>
            <w:r w:rsidRPr="005109A7">
              <w:rPr>
                <w:rFonts w:ascii="Arial" w:eastAsia="Aptos" w:hAnsi="Arial" w:cs="Arial"/>
                <w:i/>
                <w:iCs/>
              </w:rPr>
              <w:t>a. Dependent Variable: Energy Consumption</w:t>
            </w:r>
          </w:p>
        </w:tc>
      </w:tr>
    </w:tbl>
    <w:p w14:paraId="367F4825" w14:textId="77777777" w:rsidR="0091151A" w:rsidRPr="005109A7" w:rsidRDefault="0091151A" w:rsidP="0091151A">
      <w:pPr>
        <w:rPr>
          <w:rFonts w:ascii="Arial" w:eastAsia="Aptos" w:hAnsi="Arial" w:cs="Arial"/>
          <w:b/>
          <w:bCs/>
        </w:rPr>
      </w:pPr>
    </w:p>
    <w:p w14:paraId="4BFF917A" w14:textId="02449A8D" w:rsidR="0091151A" w:rsidRPr="00243692" w:rsidRDefault="0091151A" w:rsidP="00614C68">
      <w:pPr>
        <w:spacing w:after="200"/>
        <w:jc w:val="both"/>
        <w:rPr>
          <w:rFonts w:ascii="Arial" w:eastAsia="Aptos" w:hAnsi="Arial" w:cs="Arial"/>
          <w:sz w:val="24"/>
          <w:szCs w:val="24"/>
        </w:rPr>
      </w:pPr>
      <w:r w:rsidRPr="00243692">
        <w:rPr>
          <w:rFonts w:ascii="Arial" w:eastAsia="Aptos" w:hAnsi="Arial" w:cs="Arial"/>
          <w:sz w:val="24"/>
          <w:szCs w:val="24"/>
        </w:rPr>
        <w:t xml:space="preserve">The collinearity diagnostics (Table </w:t>
      </w:r>
      <w:r w:rsidR="00614C68" w:rsidRPr="00243692">
        <w:rPr>
          <w:rFonts w:ascii="Arial" w:eastAsia="Aptos" w:hAnsi="Arial" w:cs="Arial"/>
          <w:sz w:val="24"/>
          <w:szCs w:val="24"/>
        </w:rPr>
        <w:t>6</w:t>
      </w:r>
      <w:r w:rsidRPr="00243692">
        <w:rPr>
          <w:rFonts w:ascii="Arial" w:eastAsia="Aptos" w:hAnsi="Arial" w:cs="Arial"/>
          <w:sz w:val="24"/>
          <w:szCs w:val="24"/>
        </w:rPr>
        <w:t>) further reinforce the reliability of these findings. The Tolerance and VIF values indicate no significant multicollinearity between the predictors, ensuring that each factor's contribution to energy consumption is independent and not distorted by correlations with other predictors. Tolerance values close to 1 and VIFs below 10 suggest that the predictors are not highly correlated, which is a good sign for the stability and reliability of the regression coefficients.</w:t>
      </w:r>
    </w:p>
    <w:tbl>
      <w:tblPr>
        <w:tblW w:w="5732" w:type="pct"/>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9"/>
        <w:gridCol w:w="1185"/>
        <w:gridCol w:w="854"/>
        <w:gridCol w:w="1088"/>
        <w:gridCol w:w="1238"/>
        <w:gridCol w:w="1328"/>
        <w:gridCol w:w="1586"/>
        <w:gridCol w:w="1322"/>
        <w:gridCol w:w="1320"/>
      </w:tblGrid>
      <w:tr w:rsidR="0091151A" w:rsidRPr="005109A7" w14:paraId="1CE7CC49" w14:textId="77777777" w:rsidTr="0018428A">
        <w:trPr>
          <w:cantSplit/>
        </w:trPr>
        <w:tc>
          <w:tcPr>
            <w:tcW w:w="5000" w:type="pct"/>
            <w:gridSpan w:val="9"/>
            <w:tcBorders>
              <w:top w:val="nil"/>
              <w:left w:val="nil"/>
              <w:bottom w:val="single" w:sz="8" w:space="0" w:color="152935"/>
              <w:right w:val="nil"/>
            </w:tcBorders>
            <w:vAlign w:val="center"/>
            <w:hideMark/>
          </w:tcPr>
          <w:p w14:paraId="267CCD96" w14:textId="421C860B" w:rsidR="0091151A" w:rsidRPr="005109A7" w:rsidRDefault="0091151A" w:rsidP="002B4D1C">
            <w:pPr>
              <w:rPr>
                <w:rFonts w:ascii="Arial" w:eastAsia="Aptos" w:hAnsi="Arial" w:cs="Arial"/>
                <w:b/>
                <w:bCs/>
              </w:rPr>
            </w:pPr>
            <w:bookmarkStart w:id="9" w:name="_Hlk189508448"/>
            <w:r w:rsidRPr="005109A7">
              <w:rPr>
                <w:rFonts w:ascii="Arial" w:eastAsia="Aptos" w:hAnsi="Arial" w:cs="Arial"/>
                <w:b/>
                <w:bCs/>
              </w:rPr>
              <w:t xml:space="preserve">Table </w:t>
            </w:r>
            <w:r w:rsidRPr="00486DCD">
              <w:rPr>
                <w:rFonts w:ascii="Arial" w:eastAsia="Aptos" w:hAnsi="Arial" w:cs="Arial"/>
                <w:b/>
                <w:bCs/>
              </w:rPr>
              <w:t>6</w:t>
            </w:r>
            <w:r w:rsidRPr="005109A7">
              <w:rPr>
                <w:rFonts w:ascii="Arial" w:eastAsia="Aptos" w:hAnsi="Arial" w:cs="Arial"/>
                <w:b/>
                <w:bCs/>
              </w:rPr>
              <w:t xml:space="preserve"> - Collinearity Diagnostics</w:t>
            </w:r>
            <w:bookmarkEnd w:id="9"/>
          </w:p>
        </w:tc>
      </w:tr>
      <w:tr w:rsidR="0091151A" w:rsidRPr="00486DCD" w14:paraId="5FDE7750" w14:textId="77777777" w:rsidTr="0018428A">
        <w:trPr>
          <w:cantSplit/>
        </w:trPr>
        <w:tc>
          <w:tcPr>
            <w:tcW w:w="377" w:type="pct"/>
            <w:vMerge w:val="restart"/>
            <w:tcBorders>
              <w:top w:val="single" w:sz="8" w:space="0" w:color="152935"/>
              <w:left w:val="nil"/>
              <w:bottom w:val="nil"/>
              <w:right w:val="single" w:sz="4" w:space="0" w:color="D9D9D9"/>
            </w:tcBorders>
            <w:vAlign w:val="bottom"/>
            <w:hideMark/>
          </w:tcPr>
          <w:p w14:paraId="0394C95E"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Model</w:t>
            </w:r>
          </w:p>
        </w:tc>
        <w:tc>
          <w:tcPr>
            <w:tcW w:w="552" w:type="pct"/>
            <w:vMerge w:val="restart"/>
            <w:tcBorders>
              <w:top w:val="single" w:sz="8" w:space="0" w:color="152935"/>
              <w:left w:val="single" w:sz="4" w:space="0" w:color="D9D9D9"/>
              <w:bottom w:val="nil"/>
              <w:right w:val="single" w:sz="8" w:space="0" w:color="D9D9D9"/>
            </w:tcBorders>
            <w:vAlign w:val="bottom"/>
            <w:hideMark/>
          </w:tcPr>
          <w:p w14:paraId="7DFDBB24"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Dimension</w:t>
            </w:r>
          </w:p>
        </w:tc>
        <w:tc>
          <w:tcPr>
            <w:tcW w:w="398" w:type="pct"/>
            <w:vMerge w:val="restart"/>
            <w:tcBorders>
              <w:top w:val="single" w:sz="8" w:space="0" w:color="152935"/>
              <w:left w:val="single" w:sz="8" w:space="0" w:color="D9D9D9"/>
              <w:bottom w:val="nil"/>
              <w:right w:val="single" w:sz="8" w:space="0" w:color="E0E0E0"/>
            </w:tcBorders>
            <w:vAlign w:val="bottom"/>
            <w:hideMark/>
          </w:tcPr>
          <w:p w14:paraId="0A01436D"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Eigen value</w:t>
            </w:r>
          </w:p>
        </w:tc>
        <w:tc>
          <w:tcPr>
            <w:tcW w:w="507" w:type="pct"/>
            <w:vMerge w:val="restart"/>
            <w:tcBorders>
              <w:top w:val="single" w:sz="8" w:space="0" w:color="152935"/>
              <w:left w:val="single" w:sz="8" w:space="0" w:color="E0E0E0"/>
              <w:bottom w:val="nil"/>
              <w:right w:val="single" w:sz="8" w:space="0" w:color="E0E0E0"/>
            </w:tcBorders>
            <w:vAlign w:val="bottom"/>
            <w:hideMark/>
          </w:tcPr>
          <w:p w14:paraId="6D845D13"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Condition Index</w:t>
            </w:r>
          </w:p>
        </w:tc>
        <w:tc>
          <w:tcPr>
            <w:tcW w:w="3167" w:type="pct"/>
            <w:gridSpan w:val="5"/>
            <w:tcBorders>
              <w:top w:val="single" w:sz="8" w:space="0" w:color="152935"/>
              <w:left w:val="single" w:sz="8" w:space="0" w:color="E0E0E0"/>
              <w:bottom w:val="nil"/>
              <w:right w:val="nil"/>
            </w:tcBorders>
            <w:vAlign w:val="bottom"/>
            <w:hideMark/>
          </w:tcPr>
          <w:p w14:paraId="09F38FC0"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Variance Proportions</w:t>
            </w:r>
          </w:p>
        </w:tc>
      </w:tr>
      <w:tr w:rsidR="0091151A" w:rsidRPr="00486DCD" w14:paraId="77DC9E9C" w14:textId="77777777" w:rsidTr="0018428A">
        <w:trPr>
          <w:cantSplit/>
        </w:trPr>
        <w:tc>
          <w:tcPr>
            <w:tcW w:w="377" w:type="pct"/>
            <w:vMerge/>
            <w:tcBorders>
              <w:top w:val="nil"/>
              <w:left w:val="nil"/>
              <w:bottom w:val="single" w:sz="8" w:space="0" w:color="152935"/>
              <w:right w:val="single" w:sz="4" w:space="0" w:color="D9D9D9"/>
            </w:tcBorders>
            <w:vAlign w:val="center"/>
            <w:hideMark/>
          </w:tcPr>
          <w:p w14:paraId="74942B99" w14:textId="77777777" w:rsidR="0091151A" w:rsidRPr="005109A7" w:rsidRDefault="0091151A" w:rsidP="002B4D1C">
            <w:pPr>
              <w:jc w:val="center"/>
              <w:rPr>
                <w:rFonts w:ascii="Arial" w:eastAsia="Aptos" w:hAnsi="Arial" w:cs="Arial"/>
                <w:b/>
                <w:bCs/>
              </w:rPr>
            </w:pPr>
          </w:p>
        </w:tc>
        <w:tc>
          <w:tcPr>
            <w:tcW w:w="552" w:type="pct"/>
            <w:vMerge/>
            <w:tcBorders>
              <w:top w:val="nil"/>
              <w:left w:val="single" w:sz="4" w:space="0" w:color="D9D9D9"/>
              <w:bottom w:val="single" w:sz="8" w:space="0" w:color="152935"/>
              <w:right w:val="single" w:sz="8" w:space="0" w:color="D9D9D9"/>
            </w:tcBorders>
            <w:vAlign w:val="center"/>
            <w:hideMark/>
          </w:tcPr>
          <w:p w14:paraId="7359903A" w14:textId="77777777" w:rsidR="0091151A" w:rsidRPr="005109A7" w:rsidRDefault="0091151A" w:rsidP="002B4D1C">
            <w:pPr>
              <w:jc w:val="center"/>
              <w:rPr>
                <w:rFonts w:ascii="Arial" w:eastAsia="Aptos" w:hAnsi="Arial" w:cs="Arial"/>
                <w:b/>
                <w:bCs/>
              </w:rPr>
            </w:pPr>
          </w:p>
        </w:tc>
        <w:tc>
          <w:tcPr>
            <w:tcW w:w="398" w:type="pct"/>
            <w:vMerge/>
            <w:tcBorders>
              <w:top w:val="nil"/>
              <w:left w:val="single" w:sz="8" w:space="0" w:color="D9D9D9"/>
              <w:bottom w:val="single" w:sz="8" w:space="0" w:color="152935"/>
              <w:right w:val="single" w:sz="8" w:space="0" w:color="E0E0E0"/>
            </w:tcBorders>
            <w:vAlign w:val="center"/>
            <w:hideMark/>
          </w:tcPr>
          <w:p w14:paraId="4DFF06D1" w14:textId="77777777" w:rsidR="0091151A" w:rsidRPr="005109A7" w:rsidRDefault="0091151A" w:rsidP="002B4D1C">
            <w:pPr>
              <w:jc w:val="center"/>
              <w:rPr>
                <w:rFonts w:ascii="Arial" w:eastAsia="Aptos" w:hAnsi="Arial" w:cs="Arial"/>
                <w:b/>
                <w:bCs/>
              </w:rPr>
            </w:pPr>
          </w:p>
        </w:tc>
        <w:tc>
          <w:tcPr>
            <w:tcW w:w="507" w:type="pct"/>
            <w:vMerge/>
            <w:tcBorders>
              <w:top w:val="nil"/>
              <w:left w:val="single" w:sz="8" w:space="0" w:color="E0E0E0"/>
              <w:bottom w:val="single" w:sz="8" w:space="0" w:color="152935"/>
              <w:right w:val="single" w:sz="8" w:space="0" w:color="E0E0E0"/>
            </w:tcBorders>
            <w:vAlign w:val="center"/>
            <w:hideMark/>
          </w:tcPr>
          <w:p w14:paraId="4BB5629B" w14:textId="77777777" w:rsidR="0091151A" w:rsidRPr="005109A7" w:rsidRDefault="0091151A" w:rsidP="002B4D1C">
            <w:pPr>
              <w:jc w:val="center"/>
              <w:rPr>
                <w:rFonts w:ascii="Arial" w:eastAsia="Aptos" w:hAnsi="Arial" w:cs="Arial"/>
                <w:b/>
                <w:bCs/>
              </w:rPr>
            </w:pPr>
          </w:p>
        </w:tc>
        <w:tc>
          <w:tcPr>
            <w:tcW w:w="577" w:type="pct"/>
            <w:tcBorders>
              <w:top w:val="nil"/>
              <w:left w:val="single" w:sz="8" w:space="0" w:color="E0E0E0"/>
              <w:bottom w:val="single" w:sz="8" w:space="0" w:color="152935"/>
              <w:right w:val="single" w:sz="8" w:space="0" w:color="E0E0E0"/>
            </w:tcBorders>
            <w:vAlign w:val="bottom"/>
            <w:hideMark/>
          </w:tcPr>
          <w:p w14:paraId="0894B69E"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(Constant)</w:t>
            </w:r>
          </w:p>
        </w:tc>
        <w:tc>
          <w:tcPr>
            <w:tcW w:w="619" w:type="pct"/>
            <w:tcBorders>
              <w:top w:val="single" w:sz="4" w:space="0" w:color="152935"/>
              <w:left w:val="single" w:sz="8" w:space="0" w:color="E0E0E0"/>
              <w:bottom w:val="single" w:sz="8" w:space="0" w:color="152935"/>
              <w:right w:val="single" w:sz="8" w:space="0" w:color="E0E0E0"/>
            </w:tcBorders>
            <w:vAlign w:val="bottom"/>
            <w:hideMark/>
          </w:tcPr>
          <w:p w14:paraId="4C2E8ADD"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Climate Change Awareness</w:t>
            </w:r>
          </w:p>
        </w:tc>
        <w:tc>
          <w:tcPr>
            <w:tcW w:w="739" w:type="pct"/>
            <w:tcBorders>
              <w:top w:val="single" w:sz="4" w:space="0" w:color="152935"/>
              <w:left w:val="single" w:sz="8" w:space="0" w:color="E0E0E0"/>
              <w:bottom w:val="single" w:sz="8" w:space="0" w:color="152935"/>
              <w:right w:val="single" w:sz="8" w:space="0" w:color="E0E0E0"/>
            </w:tcBorders>
            <w:vAlign w:val="bottom"/>
            <w:hideMark/>
          </w:tcPr>
          <w:p w14:paraId="3092145B"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Socio Demographic</w:t>
            </w:r>
          </w:p>
        </w:tc>
        <w:tc>
          <w:tcPr>
            <w:tcW w:w="616" w:type="pct"/>
            <w:tcBorders>
              <w:top w:val="single" w:sz="4" w:space="0" w:color="152935"/>
              <w:left w:val="single" w:sz="8" w:space="0" w:color="E0E0E0"/>
              <w:bottom w:val="single" w:sz="8" w:space="0" w:color="152935"/>
              <w:right w:val="single" w:sz="8" w:space="0" w:color="E0E0E0"/>
            </w:tcBorders>
            <w:vAlign w:val="bottom"/>
            <w:hideMark/>
          </w:tcPr>
          <w:p w14:paraId="6F23B941"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Appliance Ownership</w:t>
            </w:r>
          </w:p>
        </w:tc>
        <w:tc>
          <w:tcPr>
            <w:tcW w:w="616" w:type="pct"/>
            <w:tcBorders>
              <w:top w:val="single" w:sz="4" w:space="0" w:color="152935"/>
              <w:left w:val="single" w:sz="8" w:space="0" w:color="E0E0E0"/>
              <w:bottom w:val="single" w:sz="8" w:space="0" w:color="152935"/>
              <w:right w:val="nil"/>
            </w:tcBorders>
            <w:vAlign w:val="bottom"/>
            <w:hideMark/>
          </w:tcPr>
          <w:p w14:paraId="4886D66B" w14:textId="77777777" w:rsidR="0091151A" w:rsidRPr="005109A7" w:rsidRDefault="0091151A" w:rsidP="002B4D1C">
            <w:pPr>
              <w:jc w:val="center"/>
              <w:rPr>
                <w:rFonts w:ascii="Arial" w:eastAsia="Aptos" w:hAnsi="Arial" w:cs="Arial"/>
                <w:b/>
                <w:bCs/>
              </w:rPr>
            </w:pPr>
            <w:r w:rsidRPr="005109A7">
              <w:rPr>
                <w:rFonts w:ascii="Arial" w:eastAsia="Aptos" w:hAnsi="Arial" w:cs="Arial"/>
                <w:b/>
                <w:bCs/>
              </w:rPr>
              <w:t>Behavioral factors</w:t>
            </w:r>
          </w:p>
        </w:tc>
      </w:tr>
      <w:tr w:rsidR="0091151A" w:rsidRPr="00486DCD" w14:paraId="5FDA06E8" w14:textId="77777777" w:rsidTr="0018428A">
        <w:trPr>
          <w:cantSplit/>
        </w:trPr>
        <w:tc>
          <w:tcPr>
            <w:tcW w:w="377" w:type="pct"/>
            <w:vMerge w:val="restart"/>
            <w:tcBorders>
              <w:top w:val="single" w:sz="8" w:space="0" w:color="152935"/>
              <w:left w:val="nil"/>
              <w:bottom w:val="single" w:sz="8" w:space="0" w:color="152935"/>
              <w:right w:val="single" w:sz="4" w:space="0" w:color="D9D9D9"/>
            </w:tcBorders>
            <w:hideMark/>
          </w:tcPr>
          <w:p w14:paraId="65BDBB68" w14:textId="71D9FEC9" w:rsidR="0091151A" w:rsidRPr="005109A7" w:rsidRDefault="005B3917" w:rsidP="00565037">
            <w:pPr>
              <w:rPr>
                <w:rFonts w:ascii="Arial" w:eastAsia="Aptos" w:hAnsi="Arial" w:cs="Arial"/>
              </w:rPr>
            </w:pPr>
            <w:r w:rsidRPr="00486DCD">
              <w:rPr>
                <w:rFonts w:ascii="Arial" w:eastAsia="Aptos" w:hAnsi="Arial" w:cs="Arial"/>
              </w:rPr>
              <w:t>6</w:t>
            </w:r>
          </w:p>
        </w:tc>
        <w:tc>
          <w:tcPr>
            <w:tcW w:w="552" w:type="pct"/>
            <w:tcBorders>
              <w:top w:val="single" w:sz="8" w:space="0" w:color="152935"/>
              <w:left w:val="single" w:sz="4" w:space="0" w:color="D9D9D9"/>
              <w:bottom w:val="single" w:sz="8" w:space="0" w:color="AEAEAE"/>
              <w:right w:val="single" w:sz="8" w:space="0" w:color="D9D9D9"/>
            </w:tcBorders>
            <w:hideMark/>
          </w:tcPr>
          <w:p w14:paraId="3ACB84FC" w14:textId="77777777" w:rsidR="0091151A" w:rsidRPr="005109A7" w:rsidRDefault="0091151A" w:rsidP="002B4D1C">
            <w:pPr>
              <w:jc w:val="center"/>
              <w:rPr>
                <w:rFonts w:ascii="Arial" w:eastAsia="Aptos" w:hAnsi="Arial" w:cs="Arial"/>
              </w:rPr>
            </w:pPr>
            <w:r w:rsidRPr="005109A7">
              <w:rPr>
                <w:rFonts w:ascii="Arial" w:eastAsia="Aptos" w:hAnsi="Arial" w:cs="Arial"/>
              </w:rPr>
              <w:t>1</w:t>
            </w:r>
          </w:p>
        </w:tc>
        <w:tc>
          <w:tcPr>
            <w:tcW w:w="398" w:type="pct"/>
            <w:tcBorders>
              <w:top w:val="single" w:sz="8" w:space="0" w:color="152935"/>
              <w:left w:val="single" w:sz="8" w:space="0" w:color="D9D9D9"/>
              <w:bottom w:val="single" w:sz="8" w:space="0" w:color="AEAEAE"/>
              <w:right w:val="single" w:sz="8" w:space="0" w:color="E0E0E0"/>
            </w:tcBorders>
            <w:hideMark/>
          </w:tcPr>
          <w:p w14:paraId="2CB98938" w14:textId="77777777" w:rsidR="0091151A" w:rsidRPr="005109A7" w:rsidRDefault="0091151A" w:rsidP="00FA6EC4">
            <w:pPr>
              <w:jc w:val="right"/>
              <w:rPr>
                <w:rFonts w:ascii="Arial" w:eastAsia="Aptos" w:hAnsi="Arial" w:cs="Arial"/>
              </w:rPr>
            </w:pPr>
            <w:r w:rsidRPr="005109A7">
              <w:rPr>
                <w:rFonts w:ascii="Arial" w:eastAsia="Aptos" w:hAnsi="Arial" w:cs="Arial"/>
              </w:rPr>
              <w:t>4.895</w:t>
            </w:r>
          </w:p>
        </w:tc>
        <w:tc>
          <w:tcPr>
            <w:tcW w:w="507" w:type="pct"/>
            <w:tcBorders>
              <w:top w:val="single" w:sz="8" w:space="0" w:color="152935"/>
              <w:left w:val="single" w:sz="8" w:space="0" w:color="E0E0E0"/>
              <w:bottom w:val="single" w:sz="8" w:space="0" w:color="AEAEAE"/>
              <w:right w:val="single" w:sz="8" w:space="0" w:color="E0E0E0"/>
            </w:tcBorders>
            <w:hideMark/>
          </w:tcPr>
          <w:p w14:paraId="64D202BB" w14:textId="77777777" w:rsidR="0091151A" w:rsidRPr="005109A7" w:rsidRDefault="0091151A" w:rsidP="00FA6EC4">
            <w:pPr>
              <w:jc w:val="right"/>
              <w:rPr>
                <w:rFonts w:ascii="Arial" w:eastAsia="Aptos" w:hAnsi="Arial" w:cs="Arial"/>
              </w:rPr>
            </w:pPr>
            <w:r w:rsidRPr="005109A7">
              <w:rPr>
                <w:rFonts w:ascii="Arial" w:eastAsia="Aptos" w:hAnsi="Arial" w:cs="Arial"/>
              </w:rPr>
              <w:t>1.000</w:t>
            </w:r>
          </w:p>
        </w:tc>
        <w:tc>
          <w:tcPr>
            <w:tcW w:w="577" w:type="pct"/>
            <w:tcBorders>
              <w:top w:val="single" w:sz="8" w:space="0" w:color="152935"/>
              <w:left w:val="single" w:sz="8" w:space="0" w:color="E0E0E0"/>
              <w:bottom w:val="single" w:sz="8" w:space="0" w:color="AEAEAE"/>
              <w:right w:val="single" w:sz="8" w:space="0" w:color="E0E0E0"/>
            </w:tcBorders>
            <w:hideMark/>
          </w:tcPr>
          <w:p w14:paraId="67BFB485"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.00</w:t>
            </w:r>
          </w:p>
        </w:tc>
        <w:tc>
          <w:tcPr>
            <w:tcW w:w="619" w:type="pct"/>
            <w:tcBorders>
              <w:top w:val="single" w:sz="8" w:space="0" w:color="152935"/>
              <w:left w:val="single" w:sz="8" w:space="0" w:color="E0E0E0"/>
              <w:bottom w:val="single" w:sz="8" w:space="0" w:color="AEAEAE"/>
              <w:right w:val="single" w:sz="8" w:space="0" w:color="E0E0E0"/>
            </w:tcBorders>
            <w:hideMark/>
          </w:tcPr>
          <w:p w14:paraId="407D446F"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.00</w:t>
            </w:r>
          </w:p>
        </w:tc>
        <w:tc>
          <w:tcPr>
            <w:tcW w:w="739" w:type="pct"/>
            <w:tcBorders>
              <w:top w:val="single" w:sz="8" w:space="0" w:color="152935"/>
              <w:left w:val="single" w:sz="8" w:space="0" w:color="E0E0E0"/>
              <w:bottom w:val="single" w:sz="8" w:space="0" w:color="AEAEAE"/>
              <w:right w:val="single" w:sz="8" w:space="0" w:color="E0E0E0"/>
            </w:tcBorders>
            <w:hideMark/>
          </w:tcPr>
          <w:p w14:paraId="20B7224E"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.00</w:t>
            </w:r>
          </w:p>
        </w:tc>
        <w:tc>
          <w:tcPr>
            <w:tcW w:w="616" w:type="pct"/>
            <w:tcBorders>
              <w:top w:val="single" w:sz="8" w:space="0" w:color="152935"/>
              <w:left w:val="single" w:sz="8" w:space="0" w:color="E0E0E0"/>
              <w:bottom w:val="single" w:sz="8" w:space="0" w:color="AEAEAE"/>
              <w:right w:val="single" w:sz="8" w:space="0" w:color="E0E0E0"/>
            </w:tcBorders>
            <w:hideMark/>
          </w:tcPr>
          <w:p w14:paraId="2CABC4DB"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.00</w:t>
            </w:r>
          </w:p>
        </w:tc>
        <w:tc>
          <w:tcPr>
            <w:tcW w:w="616" w:type="pct"/>
            <w:tcBorders>
              <w:top w:val="single" w:sz="8" w:space="0" w:color="152935"/>
              <w:left w:val="single" w:sz="8" w:space="0" w:color="E0E0E0"/>
              <w:bottom w:val="single" w:sz="8" w:space="0" w:color="AEAEAE"/>
              <w:right w:val="nil"/>
            </w:tcBorders>
            <w:hideMark/>
          </w:tcPr>
          <w:p w14:paraId="54ABDA14"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.00</w:t>
            </w:r>
          </w:p>
        </w:tc>
      </w:tr>
      <w:tr w:rsidR="0091151A" w:rsidRPr="00486DCD" w14:paraId="776BE182" w14:textId="77777777" w:rsidTr="0018428A">
        <w:trPr>
          <w:cantSplit/>
        </w:trPr>
        <w:tc>
          <w:tcPr>
            <w:tcW w:w="377" w:type="pct"/>
            <w:vMerge/>
            <w:tcBorders>
              <w:top w:val="single" w:sz="8" w:space="0" w:color="152935"/>
              <w:left w:val="nil"/>
              <w:bottom w:val="single" w:sz="8" w:space="0" w:color="152935"/>
              <w:right w:val="single" w:sz="4" w:space="0" w:color="D9D9D9"/>
            </w:tcBorders>
            <w:vAlign w:val="center"/>
            <w:hideMark/>
          </w:tcPr>
          <w:p w14:paraId="4A47E3B9" w14:textId="77777777" w:rsidR="0091151A" w:rsidRPr="005109A7" w:rsidRDefault="0091151A" w:rsidP="002B4D1C">
            <w:pPr>
              <w:jc w:val="center"/>
              <w:rPr>
                <w:rFonts w:ascii="Arial" w:eastAsia="Aptos" w:hAnsi="Arial" w:cs="Arial"/>
              </w:rPr>
            </w:pPr>
          </w:p>
        </w:tc>
        <w:tc>
          <w:tcPr>
            <w:tcW w:w="552" w:type="pct"/>
            <w:tcBorders>
              <w:top w:val="single" w:sz="8" w:space="0" w:color="AEAEAE"/>
              <w:left w:val="single" w:sz="4" w:space="0" w:color="D9D9D9"/>
              <w:bottom w:val="single" w:sz="8" w:space="0" w:color="AEAEAE"/>
              <w:right w:val="single" w:sz="8" w:space="0" w:color="D9D9D9"/>
            </w:tcBorders>
            <w:hideMark/>
          </w:tcPr>
          <w:p w14:paraId="42F80A32" w14:textId="77777777" w:rsidR="0091151A" w:rsidRPr="005109A7" w:rsidRDefault="0091151A" w:rsidP="002B4D1C">
            <w:pPr>
              <w:jc w:val="center"/>
              <w:rPr>
                <w:rFonts w:ascii="Arial" w:eastAsia="Aptos" w:hAnsi="Arial" w:cs="Arial"/>
              </w:rPr>
            </w:pPr>
            <w:r w:rsidRPr="005109A7">
              <w:rPr>
                <w:rFonts w:ascii="Arial" w:eastAsia="Aptos" w:hAnsi="Arial" w:cs="Arial"/>
              </w:rPr>
              <w:t>2</w:t>
            </w:r>
          </w:p>
        </w:tc>
        <w:tc>
          <w:tcPr>
            <w:tcW w:w="398" w:type="pct"/>
            <w:tcBorders>
              <w:top w:val="single" w:sz="8" w:space="0" w:color="AEAEAE"/>
              <w:left w:val="single" w:sz="8" w:space="0" w:color="D9D9D9"/>
              <w:bottom w:val="single" w:sz="8" w:space="0" w:color="AEAEAE"/>
              <w:right w:val="single" w:sz="8" w:space="0" w:color="E0E0E0"/>
            </w:tcBorders>
            <w:hideMark/>
          </w:tcPr>
          <w:p w14:paraId="40ABFFC6"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.055</w:t>
            </w:r>
          </w:p>
        </w:tc>
        <w:tc>
          <w:tcPr>
            <w:tcW w:w="507" w:type="pct"/>
            <w:tcBorders>
              <w:top w:val="single" w:sz="8" w:space="0" w:color="AEAEAE"/>
              <w:left w:val="single" w:sz="8" w:space="0" w:color="E0E0E0"/>
              <w:bottom w:val="single" w:sz="8" w:space="0" w:color="AEAEAE"/>
              <w:right w:val="single" w:sz="8" w:space="0" w:color="E0E0E0"/>
            </w:tcBorders>
            <w:hideMark/>
          </w:tcPr>
          <w:p w14:paraId="21802014" w14:textId="77777777" w:rsidR="0091151A" w:rsidRPr="005109A7" w:rsidRDefault="0091151A" w:rsidP="00FA6EC4">
            <w:pPr>
              <w:jc w:val="right"/>
              <w:rPr>
                <w:rFonts w:ascii="Arial" w:eastAsia="Aptos" w:hAnsi="Arial" w:cs="Arial"/>
              </w:rPr>
            </w:pPr>
            <w:r w:rsidRPr="005109A7">
              <w:rPr>
                <w:rFonts w:ascii="Arial" w:eastAsia="Aptos" w:hAnsi="Arial" w:cs="Arial"/>
              </w:rPr>
              <w:t>9.409</w:t>
            </w:r>
          </w:p>
        </w:tc>
        <w:tc>
          <w:tcPr>
            <w:tcW w:w="577" w:type="pct"/>
            <w:tcBorders>
              <w:top w:val="single" w:sz="8" w:space="0" w:color="AEAEAE"/>
              <w:left w:val="single" w:sz="8" w:space="0" w:color="E0E0E0"/>
              <w:bottom w:val="single" w:sz="8" w:space="0" w:color="AEAEAE"/>
              <w:right w:val="single" w:sz="8" w:space="0" w:color="E0E0E0"/>
            </w:tcBorders>
            <w:hideMark/>
          </w:tcPr>
          <w:p w14:paraId="4B5B6E3D"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.01</w:t>
            </w:r>
          </w:p>
        </w:tc>
        <w:tc>
          <w:tcPr>
            <w:tcW w:w="619" w:type="pct"/>
            <w:tcBorders>
              <w:top w:val="single" w:sz="8" w:space="0" w:color="AEAEAE"/>
              <w:left w:val="single" w:sz="8" w:space="0" w:color="E0E0E0"/>
              <w:bottom w:val="single" w:sz="8" w:space="0" w:color="AEAEAE"/>
              <w:right w:val="single" w:sz="8" w:space="0" w:color="E0E0E0"/>
            </w:tcBorders>
            <w:hideMark/>
          </w:tcPr>
          <w:p w14:paraId="0DA1053C"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.09</w:t>
            </w:r>
          </w:p>
        </w:tc>
        <w:tc>
          <w:tcPr>
            <w:tcW w:w="739" w:type="pct"/>
            <w:tcBorders>
              <w:top w:val="single" w:sz="8" w:space="0" w:color="AEAEAE"/>
              <w:left w:val="single" w:sz="8" w:space="0" w:color="E0E0E0"/>
              <w:bottom w:val="single" w:sz="8" w:space="0" w:color="AEAEAE"/>
              <w:right w:val="single" w:sz="8" w:space="0" w:color="E0E0E0"/>
            </w:tcBorders>
            <w:hideMark/>
          </w:tcPr>
          <w:p w14:paraId="755297ED"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.02</w:t>
            </w:r>
          </w:p>
        </w:tc>
        <w:tc>
          <w:tcPr>
            <w:tcW w:w="616" w:type="pct"/>
            <w:tcBorders>
              <w:top w:val="single" w:sz="8" w:space="0" w:color="AEAEAE"/>
              <w:left w:val="single" w:sz="8" w:space="0" w:color="E0E0E0"/>
              <w:bottom w:val="single" w:sz="8" w:space="0" w:color="AEAEAE"/>
              <w:right w:val="single" w:sz="8" w:space="0" w:color="E0E0E0"/>
            </w:tcBorders>
            <w:hideMark/>
          </w:tcPr>
          <w:p w14:paraId="7C9B43B9"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.04</w:t>
            </w:r>
          </w:p>
        </w:tc>
        <w:tc>
          <w:tcPr>
            <w:tcW w:w="616" w:type="pct"/>
            <w:tcBorders>
              <w:top w:val="single" w:sz="8" w:space="0" w:color="AEAEAE"/>
              <w:left w:val="single" w:sz="8" w:space="0" w:color="E0E0E0"/>
              <w:bottom w:val="single" w:sz="8" w:space="0" w:color="AEAEAE"/>
              <w:right w:val="nil"/>
            </w:tcBorders>
            <w:hideMark/>
          </w:tcPr>
          <w:p w14:paraId="6B820E4F"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.52</w:t>
            </w:r>
          </w:p>
        </w:tc>
      </w:tr>
      <w:tr w:rsidR="0091151A" w:rsidRPr="00486DCD" w14:paraId="534B6005" w14:textId="77777777" w:rsidTr="0018428A">
        <w:trPr>
          <w:cantSplit/>
        </w:trPr>
        <w:tc>
          <w:tcPr>
            <w:tcW w:w="377" w:type="pct"/>
            <w:vMerge/>
            <w:tcBorders>
              <w:top w:val="single" w:sz="8" w:space="0" w:color="152935"/>
              <w:left w:val="nil"/>
              <w:bottom w:val="single" w:sz="8" w:space="0" w:color="152935"/>
              <w:right w:val="single" w:sz="4" w:space="0" w:color="D9D9D9"/>
            </w:tcBorders>
            <w:vAlign w:val="center"/>
            <w:hideMark/>
          </w:tcPr>
          <w:p w14:paraId="00B73F54" w14:textId="77777777" w:rsidR="0091151A" w:rsidRPr="005109A7" w:rsidRDefault="0091151A" w:rsidP="002B4D1C">
            <w:pPr>
              <w:jc w:val="center"/>
              <w:rPr>
                <w:rFonts w:ascii="Arial" w:eastAsia="Aptos" w:hAnsi="Arial" w:cs="Arial"/>
              </w:rPr>
            </w:pPr>
          </w:p>
        </w:tc>
        <w:tc>
          <w:tcPr>
            <w:tcW w:w="552" w:type="pct"/>
            <w:tcBorders>
              <w:top w:val="single" w:sz="8" w:space="0" w:color="AEAEAE"/>
              <w:left w:val="single" w:sz="4" w:space="0" w:color="D9D9D9"/>
              <w:bottom w:val="single" w:sz="8" w:space="0" w:color="AEAEAE"/>
              <w:right w:val="single" w:sz="8" w:space="0" w:color="D9D9D9"/>
            </w:tcBorders>
            <w:hideMark/>
          </w:tcPr>
          <w:p w14:paraId="110519D0" w14:textId="77777777" w:rsidR="0091151A" w:rsidRPr="005109A7" w:rsidRDefault="0091151A" w:rsidP="002B4D1C">
            <w:pPr>
              <w:jc w:val="center"/>
              <w:rPr>
                <w:rFonts w:ascii="Arial" w:eastAsia="Aptos" w:hAnsi="Arial" w:cs="Arial"/>
              </w:rPr>
            </w:pPr>
            <w:r w:rsidRPr="005109A7">
              <w:rPr>
                <w:rFonts w:ascii="Arial" w:eastAsia="Aptos" w:hAnsi="Arial" w:cs="Arial"/>
              </w:rPr>
              <w:t>3</w:t>
            </w:r>
          </w:p>
        </w:tc>
        <w:tc>
          <w:tcPr>
            <w:tcW w:w="398" w:type="pct"/>
            <w:tcBorders>
              <w:top w:val="single" w:sz="8" w:space="0" w:color="AEAEAE"/>
              <w:left w:val="single" w:sz="8" w:space="0" w:color="D9D9D9"/>
              <w:bottom w:val="single" w:sz="8" w:space="0" w:color="AEAEAE"/>
              <w:right w:val="single" w:sz="8" w:space="0" w:color="E0E0E0"/>
            </w:tcBorders>
            <w:hideMark/>
          </w:tcPr>
          <w:p w14:paraId="0BBBFF0F"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.034</w:t>
            </w:r>
          </w:p>
        </w:tc>
        <w:tc>
          <w:tcPr>
            <w:tcW w:w="507" w:type="pct"/>
            <w:tcBorders>
              <w:top w:val="single" w:sz="8" w:space="0" w:color="AEAEAE"/>
              <w:left w:val="single" w:sz="8" w:space="0" w:color="E0E0E0"/>
              <w:bottom w:val="single" w:sz="8" w:space="0" w:color="AEAEAE"/>
              <w:right w:val="single" w:sz="8" w:space="0" w:color="E0E0E0"/>
            </w:tcBorders>
            <w:hideMark/>
          </w:tcPr>
          <w:p w14:paraId="46348DCC" w14:textId="77777777" w:rsidR="0091151A" w:rsidRPr="005109A7" w:rsidRDefault="0091151A" w:rsidP="00FA6EC4">
            <w:pPr>
              <w:jc w:val="right"/>
              <w:rPr>
                <w:rFonts w:ascii="Arial" w:eastAsia="Aptos" w:hAnsi="Arial" w:cs="Arial"/>
              </w:rPr>
            </w:pPr>
            <w:r w:rsidRPr="005109A7">
              <w:rPr>
                <w:rFonts w:ascii="Arial" w:eastAsia="Aptos" w:hAnsi="Arial" w:cs="Arial"/>
              </w:rPr>
              <w:t>11.963</w:t>
            </w:r>
          </w:p>
        </w:tc>
        <w:tc>
          <w:tcPr>
            <w:tcW w:w="577" w:type="pct"/>
            <w:tcBorders>
              <w:top w:val="single" w:sz="8" w:space="0" w:color="AEAEAE"/>
              <w:left w:val="single" w:sz="8" w:space="0" w:color="E0E0E0"/>
              <w:bottom w:val="single" w:sz="8" w:space="0" w:color="AEAEAE"/>
              <w:right w:val="single" w:sz="8" w:space="0" w:color="E0E0E0"/>
            </w:tcBorders>
            <w:hideMark/>
          </w:tcPr>
          <w:p w14:paraId="693094CD"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.00</w:t>
            </w:r>
          </w:p>
        </w:tc>
        <w:tc>
          <w:tcPr>
            <w:tcW w:w="619" w:type="pct"/>
            <w:tcBorders>
              <w:top w:val="single" w:sz="8" w:space="0" w:color="AEAEAE"/>
              <w:left w:val="single" w:sz="8" w:space="0" w:color="E0E0E0"/>
              <w:bottom w:val="single" w:sz="8" w:space="0" w:color="AEAEAE"/>
              <w:right w:val="single" w:sz="8" w:space="0" w:color="E0E0E0"/>
            </w:tcBorders>
            <w:hideMark/>
          </w:tcPr>
          <w:p w14:paraId="07C95BC9"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.82</w:t>
            </w:r>
          </w:p>
        </w:tc>
        <w:tc>
          <w:tcPr>
            <w:tcW w:w="739" w:type="pct"/>
            <w:tcBorders>
              <w:top w:val="single" w:sz="8" w:space="0" w:color="AEAEAE"/>
              <w:left w:val="single" w:sz="8" w:space="0" w:color="E0E0E0"/>
              <w:bottom w:val="single" w:sz="8" w:space="0" w:color="AEAEAE"/>
              <w:right w:val="single" w:sz="8" w:space="0" w:color="E0E0E0"/>
            </w:tcBorders>
            <w:hideMark/>
          </w:tcPr>
          <w:p w14:paraId="52D2E34B"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.00</w:t>
            </w:r>
          </w:p>
        </w:tc>
        <w:tc>
          <w:tcPr>
            <w:tcW w:w="616" w:type="pct"/>
            <w:tcBorders>
              <w:top w:val="single" w:sz="8" w:space="0" w:color="AEAEAE"/>
              <w:left w:val="single" w:sz="8" w:space="0" w:color="E0E0E0"/>
              <w:bottom w:val="single" w:sz="8" w:space="0" w:color="AEAEAE"/>
              <w:right w:val="single" w:sz="8" w:space="0" w:color="E0E0E0"/>
            </w:tcBorders>
            <w:hideMark/>
          </w:tcPr>
          <w:p w14:paraId="7F6693B4"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.02</w:t>
            </w:r>
          </w:p>
        </w:tc>
        <w:tc>
          <w:tcPr>
            <w:tcW w:w="616" w:type="pct"/>
            <w:tcBorders>
              <w:top w:val="single" w:sz="8" w:space="0" w:color="AEAEAE"/>
              <w:left w:val="single" w:sz="8" w:space="0" w:color="E0E0E0"/>
              <w:bottom w:val="single" w:sz="8" w:space="0" w:color="AEAEAE"/>
              <w:right w:val="nil"/>
            </w:tcBorders>
            <w:hideMark/>
          </w:tcPr>
          <w:p w14:paraId="1D3D49F8"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.45</w:t>
            </w:r>
          </w:p>
        </w:tc>
      </w:tr>
      <w:tr w:rsidR="0091151A" w:rsidRPr="00486DCD" w14:paraId="37DFC2CB" w14:textId="77777777" w:rsidTr="0018428A">
        <w:trPr>
          <w:cantSplit/>
        </w:trPr>
        <w:tc>
          <w:tcPr>
            <w:tcW w:w="377" w:type="pct"/>
            <w:vMerge/>
            <w:tcBorders>
              <w:top w:val="single" w:sz="8" w:space="0" w:color="152935"/>
              <w:left w:val="nil"/>
              <w:bottom w:val="single" w:sz="8" w:space="0" w:color="152935"/>
              <w:right w:val="single" w:sz="4" w:space="0" w:color="D9D9D9"/>
            </w:tcBorders>
            <w:vAlign w:val="center"/>
            <w:hideMark/>
          </w:tcPr>
          <w:p w14:paraId="0DAF911D" w14:textId="77777777" w:rsidR="0091151A" w:rsidRPr="005109A7" w:rsidRDefault="0091151A" w:rsidP="002B4D1C">
            <w:pPr>
              <w:jc w:val="center"/>
              <w:rPr>
                <w:rFonts w:ascii="Arial" w:eastAsia="Aptos" w:hAnsi="Arial" w:cs="Arial"/>
              </w:rPr>
            </w:pPr>
          </w:p>
        </w:tc>
        <w:tc>
          <w:tcPr>
            <w:tcW w:w="552" w:type="pct"/>
            <w:tcBorders>
              <w:top w:val="single" w:sz="8" w:space="0" w:color="AEAEAE"/>
              <w:left w:val="single" w:sz="4" w:space="0" w:color="D9D9D9"/>
              <w:bottom w:val="single" w:sz="8" w:space="0" w:color="AEAEAE"/>
              <w:right w:val="single" w:sz="8" w:space="0" w:color="D9D9D9"/>
            </w:tcBorders>
            <w:hideMark/>
          </w:tcPr>
          <w:p w14:paraId="235EAB3A" w14:textId="77777777" w:rsidR="0091151A" w:rsidRPr="005109A7" w:rsidRDefault="0091151A" w:rsidP="002B4D1C">
            <w:pPr>
              <w:jc w:val="center"/>
              <w:rPr>
                <w:rFonts w:ascii="Arial" w:eastAsia="Aptos" w:hAnsi="Arial" w:cs="Arial"/>
              </w:rPr>
            </w:pPr>
            <w:r w:rsidRPr="005109A7">
              <w:rPr>
                <w:rFonts w:ascii="Arial" w:eastAsia="Aptos" w:hAnsi="Arial" w:cs="Arial"/>
              </w:rPr>
              <w:t>4</w:t>
            </w:r>
          </w:p>
        </w:tc>
        <w:tc>
          <w:tcPr>
            <w:tcW w:w="398" w:type="pct"/>
            <w:tcBorders>
              <w:top w:val="single" w:sz="8" w:space="0" w:color="AEAEAE"/>
              <w:left w:val="single" w:sz="8" w:space="0" w:color="D9D9D9"/>
              <w:bottom w:val="single" w:sz="8" w:space="0" w:color="AEAEAE"/>
              <w:right w:val="single" w:sz="8" w:space="0" w:color="E0E0E0"/>
            </w:tcBorders>
            <w:hideMark/>
          </w:tcPr>
          <w:p w14:paraId="01DB9190"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.011</w:t>
            </w:r>
          </w:p>
        </w:tc>
        <w:tc>
          <w:tcPr>
            <w:tcW w:w="507" w:type="pct"/>
            <w:tcBorders>
              <w:top w:val="single" w:sz="8" w:space="0" w:color="AEAEAE"/>
              <w:left w:val="single" w:sz="8" w:space="0" w:color="E0E0E0"/>
              <w:bottom w:val="single" w:sz="8" w:space="0" w:color="AEAEAE"/>
              <w:right w:val="single" w:sz="8" w:space="0" w:color="E0E0E0"/>
            </w:tcBorders>
            <w:hideMark/>
          </w:tcPr>
          <w:p w14:paraId="5F6BEB58" w14:textId="77777777" w:rsidR="0091151A" w:rsidRPr="005109A7" w:rsidRDefault="0091151A" w:rsidP="00FA6EC4">
            <w:pPr>
              <w:jc w:val="right"/>
              <w:rPr>
                <w:rFonts w:ascii="Arial" w:eastAsia="Aptos" w:hAnsi="Arial" w:cs="Arial"/>
              </w:rPr>
            </w:pPr>
            <w:r w:rsidRPr="005109A7">
              <w:rPr>
                <w:rFonts w:ascii="Arial" w:eastAsia="Aptos" w:hAnsi="Arial" w:cs="Arial"/>
              </w:rPr>
              <w:t>21.398</w:t>
            </w:r>
          </w:p>
        </w:tc>
        <w:tc>
          <w:tcPr>
            <w:tcW w:w="577" w:type="pct"/>
            <w:tcBorders>
              <w:top w:val="single" w:sz="8" w:space="0" w:color="AEAEAE"/>
              <w:left w:val="single" w:sz="8" w:space="0" w:color="E0E0E0"/>
              <w:bottom w:val="single" w:sz="8" w:space="0" w:color="AEAEAE"/>
              <w:right w:val="single" w:sz="8" w:space="0" w:color="E0E0E0"/>
            </w:tcBorders>
            <w:hideMark/>
          </w:tcPr>
          <w:p w14:paraId="4A308B5A"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.01</w:t>
            </w:r>
          </w:p>
        </w:tc>
        <w:tc>
          <w:tcPr>
            <w:tcW w:w="619" w:type="pct"/>
            <w:tcBorders>
              <w:top w:val="single" w:sz="8" w:space="0" w:color="AEAEAE"/>
              <w:left w:val="single" w:sz="8" w:space="0" w:color="E0E0E0"/>
              <w:bottom w:val="single" w:sz="8" w:space="0" w:color="AEAEAE"/>
              <w:right w:val="single" w:sz="8" w:space="0" w:color="E0E0E0"/>
            </w:tcBorders>
            <w:hideMark/>
          </w:tcPr>
          <w:p w14:paraId="435EDA41"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.09</w:t>
            </w:r>
          </w:p>
        </w:tc>
        <w:tc>
          <w:tcPr>
            <w:tcW w:w="739" w:type="pct"/>
            <w:tcBorders>
              <w:top w:val="single" w:sz="8" w:space="0" w:color="AEAEAE"/>
              <w:left w:val="single" w:sz="8" w:space="0" w:color="E0E0E0"/>
              <w:bottom w:val="single" w:sz="8" w:space="0" w:color="AEAEAE"/>
              <w:right w:val="single" w:sz="8" w:space="0" w:color="E0E0E0"/>
            </w:tcBorders>
            <w:hideMark/>
          </w:tcPr>
          <w:p w14:paraId="28E7D24C"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.45</w:t>
            </w:r>
          </w:p>
        </w:tc>
        <w:tc>
          <w:tcPr>
            <w:tcW w:w="616" w:type="pct"/>
            <w:tcBorders>
              <w:top w:val="single" w:sz="8" w:space="0" w:color="AEAEAE"/>
              <w:left w:val="single" w:sz="8" w:space="0" w:color="E0E0E0"/>
              <w:bottom w:val="single" w:sz="8" w:space="0" w:color="AEAEAE"/>
              <w:right w:val="single" w:sz="8" w:space="0" w:color="E0E0E0"/>
            </w:tcBorders>
            <w:hideMark/>
          </w:tcPr>
          <w:p w14:paraId="607B698D"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.65</w:t>
            </w:r>
          </w:p>
        </w:tc>
        <w:tc>
          <w:tcPr>
            <w:tcW w:w="616" w:type="pct"/>
            <w:tcBorders>
              <w:top w:val="single" w:sz="8" w:space="0" w:color="AEAEAE"/>
              <w:left w:val="single" w:sz="8" w:space="0" w:color="E0E0E0"/>
              <w:bottom w:val="single" w:sz="8" w:space="0" w:color="AEAEAE"/>
              <w:right w:val="nil"/>
            </w:tcBorders>
            <w:hideMark/>
          </w:tcPr>
          <w:p w14:paraId="798D2C0C"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.02</w:t>
            </w:r>
          </w:p>
        </w:tc>
      </w:tr>
      <w:tr w:rsidR="0091151A" w:rsidRPr="00486DCD" w14:paraId="23D97B45" w14:textId="77777777" w:rsidTr="0018428A">
        <w:trPr>
          <w:cantSplit/>
        </w:trPr>
        <w:tc>
          <w:tcPr>
            <w:tcW w:w="377" w:type="pct"/>
            <w:vMerge/>
            <w:tcBorders>
              <w:top w:val="single" w:sz="8" w:space="0" w:color="152935"/>
              <w:left w:val="nil"/>
              <w:bottom w:val="single" w:sz="8" w:space="0" w:color="152935"/>
              <w:right w:val="single" w:sz="4" w:space="0" w:color="D9D9D9"/>
            </w:tcBorders>
            <w:vAlign w:val="center"/>
            <w:hideMark/>
          </w:tcPr>
          <w:p w14:paraId="1E40B818" w14:textId="77777777" w:rsidR="0091151A" w:rsidRPr="005109A7" w:rsidRDefault="0091151A" w:rsidP="002B4D1C">
            <w:pPr>
              <w:jc w:val="center"/>
              <w:rPr>
                <w:rFonts w:ascii="Arial" w:eastAsia="Aptos" w:hAnsi="Arial" w:cs="Arial"/>
              </w:rPr>
            </w:pPr>
          </w:p>
        </w:tc>
        <w:tc>
          <w:tcPr>
            <w:tcW w:w="552" w:type="pct"/>
            <w:tcBorders>
              <w:top w:val="single" w:sz="8" w:space="0" w:color="AEAEAE"/>
              <w:left w:val="single" w:sz="4" w:space="0" w:color="D9D9D9"/>
              <w:bottom w:val="single" w:sz="8" w:space="0" w:color="152935"/>
              <w:right w:val="single" w:sz="8" w:space="0" w:color="D9D9D9"/>
            </w:tcBorders>
            <w:hideMark/>
          </w:tcPr>
          <w:p w14:paraId="33E33C19" w14:textId="77777777" w:rsidR="0091151A" w:rsidRPr="005109A7" w:rsidRDefault="0091151A" w:rsidP="002B4D1C">
            <w:pPr>
              <w:jc w:val="center"/>
              <w:rPr>
                <w:rFonts w:ascii="Arial" w:eastAsia="Aptos" w:hAnsi="Arial" w:cs="Arial"/>
              </w:rPr>
            </w:pPr>
            <w:r w:rsidRPr="005109A7">
              <w:rPr>
                <w:rFonts w:ascii="Arial" w:eastAsia="Aptos" w:hAnsi="Arial" w:cs="Arial"/>
              </w:rPr>
              <w:t>5</w:t>
            </w:r>
          </w:p>
        </w:tc>
        <w:tc>
          <w:tcPr>
            <w:tcW w:w="398" w:type="pct"/>
            <w:tcBorders>
              <w:top w:val="single" w:sz="8" w:space="0" w:color="AEAEAE"/>
              <w:left w:val="single" w:sz="8" w:space="0" w:color="D9D9D9"/>
              <w:bottom w:val="single" w:sz="8" w:space="0" w:color="152935"/>
              <w:right w:val="single" w:sz="8" w:space="0" w:color="E0E0E0"/>
            </w:tcBorders>
            <w:hideMark/>
          </w:tcPr>
          <w:p w14:paraId="2F855A95"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.005</w:t>
            </w:r>
          </w:p>
        </w:tc>
        <w:tc>
          <w:tcPr>
            <w:tcW w:w="507" w:type="pct"/>
            <w:tcBorders>
              <w:top w:val="single" w:sz="8" w:space="0" w:color="AEAEAE"/>
              <w:left w:val="single" w:sz="8" w:space="0" w:color="E0E0E0"/>
              <w:bottom w:val="single" w:sz="8" w:space="0" w:color="152935"/>
              <w:right w:val="single" w:sz="8" w:space="0" w:color="E0E0E0"/>
            </w:tcBorders>
            <w:hideMark/>
          </w:tcPr>
          <w:p w14:paraId="29F0D541" w14:textId="77777777" w:rsidR="0091151A" w:rsidRPr="005109A7" w:rsidRDefault="0091151A" w:rsidP="00FA6EC4">
            <w:pPr>
              <w:jc w:val="right"/>
              <w:rPr>
                <w:rFonts w:ascii="Arial" w:eastAsia="Aptos" w:hAnsi="Arial" w:cs="Arial"/>
              </w:rPr>
            </w:pPr>
            <w:r w:rsidRPr="005109A7">
              <w:rPr>
                <w:rFonts w:ascii="Arial" w:eastAsia="Aptos" w:hAnsi="Arial" w:cs="Arial"/>
              </w:rPr>
              <w:t>32.915</w:t>
            </w:r>
          </w:p>
        </w:tc>
        <w:tc>
          <w:tcPr>
            <w:tcW w:w="577" w:type="pct"/>
            <w:tcBorders>
              <w:top w:val="single" w:sz="8" w:space="0" w:color="AEAEAE"/>
              <w:left w:val="single" w:sz="8" w:space="0" w:color="E0E0E0"/>
              <w:bottom w:val="single" w:sz="8" w:space="0" w:color="152935"/>
              <w:right w:val="single" w:sz="8" w:space="0" w:color="E0E0E0"/>
            </w:tcBorders>
            <w:hideMark/>
          </w:tcPr>
          <w:p w14:paraId="1731F143"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.98</w:t>
            </w:r>
          </w:p>
        </w:tc>
        <w:tc>
          <w:tcPr>
            <w:tcW w:w="619" w:type="pct"/>
            <w:tcBorders>
              <w:top w:val="single" w:sz="8" w:space="0" w:color="AEAEAE"/>
              <w:left w:val="single" w:sz="8" w:space="0" w:color="E0E0E0"/>
              <w:bottom w:val="single" w:sz="8" w:space="0" w:color="152935"/>
              <w:right w:val="single" w:sz="8" w:space="0" w:color="E0E0E0"/>
            </w:tcBorders>
            <w:hideMark/>
          </w:tcPr>
          <w:p w14:paraId="7201583A"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.00</w:t>
            </w:r>
          </w:p>
        </w:tc>
        <w:tc>
          <w:tcPr>
            <w:tcW w:w="739" w:type="pct"/>
            <w:tcBorders>
              <w:top w:val="single" w:sz="8" w:space="0" w:color="AEAEAE"/>
              <w:left w:val="single" w:sz="8" w:space="0" w:color="E0E0E0"/>
              <w:bottom w:val="single" w:sz="8" w:space="0" w:color="152935"/>
              <w:right w:val="single" w:sz="8" w:space="0" w:color="E0E0E0"/>
            </w:tcBorders>
            <w:hideMark/>
          </w:tcPr>
          <w:p w14:paraId="38A28E73"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.53</w:t>
            </w:r>
          </w:p>
        </w:tc>
        <w:tc>
          <w:tcPr>
            <w:tcW w:w="616" w:type="pct"/>
            <w:tcBorders>
              <w:top w:val="single" w:sz="8" w:space="0" w:color="AEAEAE"/>
              <w:left w:val="single" w:sz="8" w:space="0" w:color="E0E0E0"/>
              <w:bottom w:val="single" w:sz="8" w:space="0" w:color="152935"/>
              <w:right w:val="single" w:sz="8" w:space="0" w:color="E0E0E0"/>
            </w:tcBorders>
            <w:hideMark/>
          </w:tcPr>
          <w:p w14:paraId="4F3FA279"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.30</w:t>
            </w:r>
          </w:p>
        </w:tc>
        <w:tc>
          <w:tcPr>
            <w:tcW w:w="616" w:type="pct"/>
            <w:tcBorders>
              <w:top w:val="single" w:sz="8" w:space="0" w:color="AEAEAE"/>
              <w:left w:val="single" w:sz="8" w:space="0" w:color="E0E0E0"/>
              <w:bottom w:val="single" w:sz="8" w:space="0" w:color="152935"/>
              <w:right w:val="nil"/>
            </w:tcBorders>
            <w:hideMark/>
          </w:tcPr>
          <w:p w14:paraId="5748EDD9" w14:textId="77777777" w:rsidR="0091151A" w:rsidRPr="005109A7" w:rsidRDefault="0091151A" w:rsidP="00FA6EC4">
            <w:pPr>
              <w:jc w:val="right"/>
              <w:rPr>
                <w:rFonts w:ascii="Arial" w:eastAsia="Aptos" w:hAnsi="Arial" w:cs="Arial"/>
              </w:rPr>
            </w:pPr>
            <w:r w:rsidRPr="00486DCD">
              <w:rPr>
                <w:rFonts w:ascii="Arial" w:eastAsia="Aptos" w:hAnsi="Arial" w:cs="Arial"/>
              </w:rPr>
              <w:t>0</w:t>
            </w:r>
            <w:r w:rsidRPr="005109A7">
              <w:rPr>
                <w:rFonts w:ascii="Arial" w:eastAsia="Aptos" w:hAnsi="Arial" w:cs="Arial"/>
              </w:rPr>
              <w:t>.01</w:t>
            </w:r>
          </w:p>
        </w:tc>
      </w:tr>
      <w:tr w:rsidR="0091151A" w:rsidRPr="005109A7" w14:paraId="5B7559AC" w14:textId="77777777" w:rsidTr="0018428A">
        <w:trPr>
          <w:cantSplit/>
        </w:trPr>
        <w:tc>
          <w:tcPr>
            <w:tcW w:w="5000" w:type="pct"/>
            <w:gridSpan w:val="9"/>
            <w:tcBorders>
              <w:top w:val="nil"/>
              <w:left w:val="nil"/>
              <w:bottom w:val="nil"/>
              <w:right w:val="nil"/>
            </w:tcBorders>
            <w:hideMark/>
          </w:tcPr>
          <w:p w14:paraId="695ACCF2" w14:textId="77777777" w:rsidR="0091151A" w:rsidRPr="005109A7" w:rsidRDefault="0091151A" w:rsidP="002B4D1C">
            <w:pPr>
              <w:rPr>
                <w:rFonts w:ascii="Arial" w:eastAsia="Aptos" w:hAnsi="Arial" w:cs="Arial"/>
                <w:i/>
                <w:iCs/>
              </w:rPr>
            </w:pPr>
            <w:r w:rsidRPr="005109A7">
              <w:rPr>
                <w:rFonts w:ascii="Arial" w:eastAsia="Aptos" w:hAnsi="Arial" w:cs="Arial"/>
                <w:i/>
                <w:iCs/>
              </w:rPr>
              <w:t>a. Dependent Variable: Energy Consumption</w:t>
            </w:r>
          </w:p>
        </w:tc>
      </w:tr>
    </w:tbl>
    <w:p w14:paraId="3FFDFBB1" w14:textId="77777777" w:rsidR="0091151A" w:rsidRPr="00486DCD" w:rsidRDefault="0091151A" w:rsidP="0091151A">
      <w:pPr>
        <w:rPr>
          <w:rFonts w:ascii="Arial" w:eastAsia="Aptos" w:hAnsi="Arial" w:cs="Arial"/>
          <w:b/>
          <w:bCs/>
        </w:rPr>
      </w:pPr>
    </w:p>
    <w:p w14:paraId="0DAD97D6" w14:textId="77777777" w:rsidR="0091151A" w:rsidRPr="00243692" w:rsidRDefault="0091151A" w:rsidP="00A072FB">
      <w:pPr>
        <w:spacing w:after="240"/>
        <w:rPr>
          <w:rFonts w:ascii="Arial" w:eastAsia="Aptos" w:hAnsi="Arial" w:cs="Arial"/>
          <w:b/>
          <w:bCs/>
          <w:sz w:val="24"/>
          <w:szCs w:val="24"/>
        </w:rPr>
      </w:pPr>
      <w:r w:rsidRPr="00243692">
        <w:rPr>
          <w:rFonts w:ascii="Arial" w:eastAsia="Aptos" w:hAnsi="Arial" w:cs="Arial"/>
          <w:b/>
          <w:bCs/>
          <w:sz w:val="24"/>
          <w:szCs w:val="24"/>
        </w:rPr>
        <w:t>3.6</w:t>
      </w:r>
      <w:r w:rsidRPr="00243692">
        <w:rPr>
          <w:rFonts w:ascii="Arial" w:eastAsia="Aptos" w:hAnsi="Arial" w:cs="Arial"/>
          <w:b/>
          <w:bCs/>
          <w:sz w:val="24"/>
          <w:szCs w:val="24"/>
        </w:rPr>
        <w:tab/>
        <w:t>Discussion</w:t>
      </w:r>
    </w:p>
    <w:p w14:paraId="57A69ABF" w14:textId="7C7988C2" w:rsidR="0091151A" w:rsidRPr="00243692" w:rsidRDefault="0091151A" w:rsidP="00A072FB">
      <w:pPr>
        <w:spacing w:after="160"/>
        <w:jc w:val="both"/>
        <w:rPr>
          <w:rFonts w:ascii="Arial" w:eastAsia="Aptos" w:hAnsi="Arial" w:cs="Arial"/>
          <w:sz w:val="24"/>
          <w:szCs w:val="24"/>
        </w:rPr>
      </w:pPr>
      <w:r w:rsidRPr="00243692">
        <w:rPr>
          <w:rFonts w:ascii="Arial" w:eastAsia="Aptos" w:hAnsi="Arial" w:cs="Arial"/>
          <w:sz w:val="24"/>
          <w:szCs w:val="24"/>
        </w:rPr>
        <w:t xml:space="preserve">The results show that appliance ownership is a strong determinant of household energy use, with high-consumption devices such as air conditioners and cookers driving demand. This aligns with earlier studies in Nigeria and Sub-Saharan Africa, which link increasing appliance penetration to higher electricity demand </w:t>
      </w:r>
      <w:r w:rsidR="009E445C" w:rsidRPr="00243692">
        <w:rPr>
          <w:rFonts w:ascii="Arial" w:eastAsia="Aptos" w:hAnsi="Arial" w:cs="Arial"/>
          <w:sz w:val="24"/>
          <w:szCs w:val="24"/>
        </w:rPr>
        <w:t>(Adebayo &amp; Prah, 2025; Pelz et al., 2023)</w:t>
      </w:r>
      <w:r w:rsidRPr="00243692">
        <w:rPr>
          <w:rFonts w:ascii="Arial" w:eastAsia="Aptos" w:hAnsi="Arial" w:cs="Arial"/>
          <w:sz w:val="24"/>
          <w:szCs w:val="24"/>
        </w:rPr>
        <w:t xml:space="preserve">. However, energy-efficient technologies like LED bulbs reduce consumption, consistent with </w:t>
      </w:r>
      <w:bookmarkStart w:id="10" w:name="_Hlk209343940"/>
      <w:r w:rsidR="009E445C" w:rsidRPr="00243692">
        <w:rPr>
          <w:rFonts w:ascii="Arial" w:eastAsia="Aptos" w:hAnsi="Arial" w:cs="Arial"/>
          <w:sz w:val="24"/>
          <w:szCs w:val="24"/>
        </w:rPr>
        <w:t xml:space="preserve">Ogunsola </w:t>
      </w:r>
      <w:r w:rsidRPr="00243692">
        <w:rPr>
          <w:rFonts w:ascii="Arial" w:eastAsia="Aptos" w:hAnsi="Arial" w:cs="Arial"/>
          <w:sz w:val="24"/>
          <w:szCs w:val="24"/>
        </w:rPr>
        <w:t>et al. (202</w:t>
      </w:r>
      <w:r w:rsidR="009E445C" w:rsidRPr="00243692">
        <w:rPr>
          <w:rFonts w:ascii="Arial" w:eastAsia="Aptos" w:hAnsi="Arial" w:cs="Arial"/>
          <w:sz w:val="24"/>
          <w:szCs w:val="24"/>
        </w:rPr>
        <w:t>2</w:t>
      </w:r>
      <w:bookmarkEnd w:id="10"/>
      <w:r w:rsidRPr="00243692">
        <w:rPr>
          <w:rFonts w:ascii="Arial" w:eastAsia="Aptos" w:hAnsi="Arial" w:cs="Arial"/>
          <w:sz w:val="24"/>
          <w:szCs w:val="24"/>
        </w:rPr>
        <w:t xml:space="preserve">). The negative coefficient for appliance ownership observed in this study may therefore reflect the growing role of energy-efficient appliances, as also reported by </w:t>
      </w:r>
      <w:r w:rsidR="009E445C" w:rsidRPr="00243692">
        <w:rPr>
          <w:rFonts w:ascii="Arial" w:eastAsia="Aptos" w:hAnsi="Arial" w:cs="Arial"/>
          <w:sz w:val="24"/>
          <w:szCs w:val="24"/>
        </w:rPr>
        <w:t>Olatunde et al. (2024)</w:t>
      </w:r>
      <w:r w:rsidRPr="00243692">
        <w:rPr>
          <w:rFonts w:ascii="Arial" w:eastAsia="Aptos" w:hAnsi="Arial" w:cs="Arial"/>
          <w:sz w:val="24"/>
          <w:szCs w:val="24"/>
        </w:rPr>
        <w:t>, who found significant reductions in energy use among households adopting efficient technologies.</w:t>
      </w:r>
    </w:p>
    <w:p w14:paraId="2D8B7F75" w14:textId="3FE5E89F" w:rsidR="0091151A" w:rsidRPr="00243692" w:rsidRDefault="007E2B60" w:rsidP="00A072FB">
      <w:pPr>
        <w:spacing w:after="160"/>
        <w:jc w:val="both"/>
        <w:rPr>
          <w:rFonts w:ascii="Arial" w:eastAsia="Aptos" w:hAnsi="Arial" w:cs="Arial"/>
          <w:sz w:val="24"/>
          <w:szCs w:val="24"/>
        </w:rPr>
      </w:pPr>
      <w:r w:rsidRPr="00243692">
        <w:rPr>
          <w:rFonts w:ascii="Arial" w:eastAsia="Aptos" w:hAnsi="Arial" w:cs="Arial"/>
          <w:sz w:val="24"/>
          <w:szCs w:val="24"/>
        </w:rPr>
        <w:t xml:space="preserve">Socio-demographic characteristics also shape energy use patterns. Household size and education level were significant predictors of higher consumption, corroborating findings that larger and more educated households tend to use more appliances, as shown by Abubakar et al. (2024) and Ubani et al. (2024). Income effects were less pronounced but still indicated that wealthier households consumed more, consistent with Bashir &amp; Olayiwola (2025), who found that electricity access and usage positively influence income growth and consumption behavior. </w:t>
      </w:r>
      <w:r w:rsidR="0091151A" w:rsidRPr="00243692">
        <w:rPr>
          <w:rFonts w:ascii="Arial" w:eastAsia="Aptos" w:hAnsi="Arial" w:cs="Arial"/>
          <w:sz w:val="24"/>
          <w:szCs w:val="24"/>
        </w:rPr>
        <w:t xml:space="preserve">Urban households exhibited greater demand </w:t>
      </w:r>
      <w:r w:rsidR="0091151A" w:rsidRPr="00243692">
        <w:rPr>
          <w:rFonts w:ascii="Arial" w:eastAsia="Aptos" w:hAnsi="Arial" w:cs="Arial"/>
          <w:sz w:val="24"/>
          <w:szCs w:val="24"/>
        </w:rPr>
        <w:lastRenderedPageBreak/>
        <w:t xml:space="preserve">due to appliance access and infrastructure, supporting the conclusions of </w:t>
      </w:r>
      <w:bookmarkStart w:id="11" w:name="_Hlk209343964"/>
      <w:r w:rsidR="0091151A" w:rsidRPr="00243692">
        <w:rPr>
          <w:rFonts w:ascii="Arial" w:eastAsia="Aptos" w:hAnsi="Arial" w:cs="Arial"/>
          <w:sz w:val="24"/>
          <w:szCs w:val="24"/>
        </w:rPr>
        <w:t>Osi and Eke (2023)</w:t>
      </w:r>
      <w:bookmarkEnd w:id="11"/>
      <w:r w:rsidR="0091151A" w:rsidRPr="00243692">
        <w:rPr>
          <w:rFonts w:ascii="Arial" w:eastAsia="Aptos" w:hAnsi="Arial" w:cs="Arial"/>
          <w:sz w:val="24"/>
          <w:szCs w:val="24"/>
        </w:rPr>
        <w:t>. These results highlight the need to consider social and economic heterogeneity when designing household energy policies.</w:t>
      </w:r>
    </w:p>
    <w:p w14:paraId="5BA57ED3" w14:textId="1F424D3E" w:rsidR="0091151A" w:rsidRPr="00243692" w:rsidRDefault="00A868C9" w:rsidP="00A072FB">
      <w:pPr>
        <w:spacing w:after="160"/>
        <w:jc w:val="both"/>
        <w:rPr>
          <w:rFonts w:ascii="Arial" w:eastAsia="Aptos" w:hAnsi="Arial" w:cs="Arial"/>
          <w:sz w:val="24"/>
          <w:szCs w:val="24"/>
        </w:rPr>
      </w:pPr>
      <w:r w:rsidRPr="00243692">
        <w:rPr>
          <w:rFonts w:ascii="Arial" w:eastAsia="Aptos" w:hAnsi="Arial" w:cs="Arial"/>
          <w:sz w:val="24"/>
          <w:szCs w:val="24"/>
        </w:rPr>
        <w:t xml:space="preserve">Behavioral factors contributed moderately to explaining energy demand, though with mixed effects. Practices such as using LED bulbs and fans instead of air conditioners reduced consumption, while actions like turning off lights or unplugging appliances showed counterintuitive associations with higher demand. </w:t>
      </w:r>
      <w:r w:rsidR="000248FC" w:rsidRPr="000248FC">
        <w:rPr>
          <w:rFonts w:ascii="Arial" w:eastAsia="Aptos" w:hAnsi="Arial" w:cs="Arial"/>
          <w:sz w:val="24"/>
          <w:szCs w:val="24"/>
        </w:rPr>
        <w:t>This may reflect the dominance of high-consumption appliances in driving overall usage, such that households who frequently unplug smaller devices still maintain or even increase total demand through intensive use of air conditioners, refrigerators, and other major appliances.</w:t>
      </w:r>
      <w:r w:rsidR="000248FC">
        <w:rPr>
          <w:rFonts w:ascii="Arial" w:eastAsia="Aptos" w:hAnsi="Arial" w:cs="Arial"/>
          <w:sz w:val="24"/>
          <w:szCs w:val="24"/>
        </w:rPr>
        <w:t xml:space="preserve"> </w:t>
      </w:r>
      <w:r w:rsidRPr="00243692">
        <w:rPr>
          <w:rFonts w:ascii="Arial" w:eastAsia="Aptos" w:hAnsi="Arial" w:cs="Arial"/>
          <w:sz w:val="24"/>
          <w:szCs w:val="24"/>
        </w:rPr>
        <w:t xml:space="preserve">This aligns with findings by </w:t>
      </w:r>
      <w:proofErr w:type="spellStart"/>
      <w:r w:rsidRPr="00243692">
        <w:rPr>
          <w:rFonts w:ascii="Arial" w:eastAsia="Aptos" w:hAnsi="Arial" w:cs="Arial"/>
          <w:sz w:val="24"/>
          <w:szCs w:val="24"/>
        </w:rPr>
        <w:t>Uyigue</w:t>
      </w:r>
      <w:proofErr w:type="spellEnd"/>
      <w:r w:rsidRPr="00243692">
        <w:rPr>
          <w:rFonts w:ascii="Arial" w:eastAsia="Aptos" w:hAnsi="Arial" w:cs="Arial"/>
          <w:sz w:val="24"/>
          <w:szCs w:val="24"/>
        </w:rPr>
        <w:t xml:space="preserve"> et al. (2023), who showed that high-consumption appliances like air conditioners dominate household energy use, and that behavioral shifts, while helpful, are insufficient without structural changes. Similarly, Shari et al. (2020) emphasized that energy-saving behaviors alone cannot offset systemic inefficiencies in Nigeria’s residential energy landscape. Limited awareness and inconsistent adherence to conservation practices, as demonstrated by </w:t>
      </w:r>
      <w:proofErr w:type="spellStart"/>
      <w:r w:rsidRPr="00243692">
        <w:rPr>
          <w:rFonts w:ascii="Arial" w:eastAsia="Aptos" w:hAnsi="Arial" w:cs="Arial"/>
          <w:sz w:val="24"/>
          <w:szCs w:val="24"/>
        </w:rPr>
        <w:t>Ogbuanya</w:t>
      </w:r>
      <w:proofErr w:type="spellEnd"/>
      <w:r w:rsidRPr="00243692">
        <w:rPr>
          <w:rFonts w:ascii="Arial" w:eastAsia="Aptos" w:hAnsi="Arial" w:cs="Arial"/>
          <w:sz w:val="24"/>
          <w:szCs w:val="24"/>
        </w:rPr>
        <w:t xml:space="preserve"> &amp; </w:t>
      </w:r>
      <w:proofErr w:type="spellStart"/>
      <w:r w:rsidRPr="00243692">
        <w:rPr>
          <w:rFonts w:ascii="Arial" w:eastAsia="Aptos" w:hAnsi="Arial" w:cs="Arial"/>
          <w:sz w:val="24"/>
          <w:szCs w:val="24"/>
        </w:rPr>
        <w:t>Nungse</w:t>
      </w:r>
      <w:proofErr w:type="spellEnd"/>
      <w:r w:rsidRPr="00243692">
        <w:rPr>
          <w:rFonts w:ascii="Arial" w:eastAsia="Aptos" w:hAnsi="Arial" w:cs="Arial"/>
          <w:sz w:val="24"/>
          <w:szCs w:val="24"/>
        </w:rPr>
        <w:t xml:space="preserve"> (2021), further constrain the effectiveness of behavioral change, underscoring the need for targeted awareness and education campaigns.</w:t>
      </w:r>
    </w:p>
    <w:p w14:paraId="76FF3DE4" w14:textId="46AACA1C" w:rsidR="0091151A" w:rsidRPr="00243692" w:rsidRDefault="00A868C9" w:rsidP="00A072FB">
      <w:pPr>
        <w:spacing w:after="160"/>
        <w:jc w:val="both"/>
        <w:rPr>
          <w:rFonts w:ascii="Arial" w:eastAsia="Aptos" w:hAnsi="Arial" w:cs="Arial"/>
          <w:sz w:val="24"/>
          <w:szCs w:val="24"/>
        </w:rPr>
      </w:pPr>
      <w:r w:rsidRPr="00243692">
        <w:rPr>
          <w:rFonts w:ascii="Arial" w:eastAsia="Aptos" w:hAnsi="Arial" w:cs="Arial"/>
          <w:sz w:val="24"/>
          <w:szCs w:val="24"/>
        </w:rPr>
        <w:t xml:space="preserve">Climate change awareness had a significant but paradoxical effect, as higher awareness was associated with increased energy use. This may reflect that households conscious of climate issues are more likely to acquire modern appliances, including efficient technologies, which still raise total consumption, as shown by Abubakar et al. (2024). Nonetheless, awareness did encourage some energy-saving attitudes, consistent with Tilde &amp; Fernando (2024). Yet, financial and infrastructural barriers limit behavioral adjustments, a challenge also identified by Al-Amin et al. (2025). Addressing this awareness–practice gap will require not only education but also subsidies and accessible alternatives, as recommended by Ekechukwu &amp; </w:t>
      </w:r>
      <w:proofErr w:type="spellStart"/>
      <w:r w:rsidRPr="00243692">
        <w:rPr>
          <w:rFonts w:ascii="Arial" w:eastAsia="Aptos" w:hAnsi="Arial" w:cs="Arial"/>
          <w:sz w:val="24"/>
          <w:szCs w:val="24"/>
        </w:rPr>
        <w:t>Eziefula</w:t>
      </w:r>
      <w:proofErr w:type="spellEnd"/>
      <w:r w:rsidRPr="00243692">
        <w:rPr>
          <w:rFonts w:ascii="Arial" w:eastAsia="Aptos" w:hAnsi="Arial" w:cs="Arial"/>
          <w:sz w:val="24"/>
          <w:szCs w:val="24"/>
        </w:rPr>
        <w:t xml:space="preserve"> (2025).</w:t>
      </w:r>
    </w:p>
    <w:p w14:paraId="592E54D4" w14:textId="2E3508DB" w:rsidR="0091151A" w:rsidRDefault="005A26A9" w:rsidP="00A072FB">
      <w:pPr>
        <w:spacing w:after="160"/>
        <w:jc w:val="both"/>
        <w:rPr>
          <w:rFonts w:ascii="Arial" w:eastAsia="Aptos" w:hAnsi="Arial" w:cs="Arial"/>
          <w:sz w:val="24"/>
          <w:szCs w:val="24"/>
        </w:rPr>
      </w:pPr>
      <w:r w:rsidRPr="00243692">
        <w:rPr>
          <w:rFonts w:ascii="Arial" w:eastAsia="Aptos" w:hAnsi="Arial" w:cs="Arial"/>
          <w:sz w:val="24"/>
          <w:szCs w:val="24"/>
        </w:rPr>
        <w:t xml:space="preserve">The joint model highlights that climate change awareness and appliance ownership remain the most influential predictors of household energy demand, followed by behavioral and socio-demographic factors. This finding aligns with </w:t>
      </w:r>
      <w:proofErr w:type="spellStart"/>
      <w:r w:rsidRPr="00243692">
        <w:rPr>
          <w:rFonts w:ascii="Arial" w:eastAsia="Aptos" w:hAnsi="Arial" w:cs="Arial"/>
          <w:sz w:val="24"/>
          <w:szCs w:val="24"/>
        </w:rPr>
        <w:t>Uyigue</w:t>
      </w:r>
      <w:proofErr w:type="spellEnd"/>
      <w:r w:rsidRPr="00243692">
        <w:rPr>
          <w:rFonts w:ascii="Arial" w:eastAsia="Aptos" w:hAnsi="Arial" w:cs="Arial"/>
          <w:sz w:val="24"/>
          <w:szCs w:val="24"/>
        </w:rPr>
        <w:t xml:space="preserve"> et al. (2023) and Olatunde et al. (2024), who identified appliance ownership and awareness as key drivers of consumption in Nigerian households. It also reinforces Abubakar et al. (2024), who emphasized socio-economic disparities in energy access and use. Together, these results suggest that policies must adopt a multifaceted approach that promotes efficient appliance ownership, strengthens behavioral change interventions, considers socio-demographic realities, and deepens climate awareness to achieve sustainable energy consumption outcomes in Nigeria.</w:t>
      </w:r>
    </w:p>
    <w:p w14:paraId="0CF78792" w14:textId="4D5B43D7" w:rsidR="007B40B0" w:rsidRPr="007B40B0" w:rsidRDefault="007B40B0" w:rsidP="00A072FB">
      <w:pPr>
        <w:spacing w:after="160"/>
        <w:jc w:val="both"/>
        <w:rPr>
          <w:rFonts w:ascii="Arial" w:eastAsia="Aptos" w:hAnsi="Arial" w:cs="Arial"/>
          <w:b/>
          <w:bCs/>
          <w:sz w:val="24"/>
          <w:szCs w:val="24"/>
        </w:rPr>
      </w:pPr>
      <w:r w:rsidRPr="007B40B0">
        <w:rPr>
          <w:rFonts w:ascii="Arial" w:eastAsia="Aptos" w:hAnsi="Arial" w:cs="Arial"/>
          <w:b/>
          <w:bCs/>
          <w:sz w:val="24"/>
          <w:szCs w:val="24"/>
        </w:rPr>
        <w:t>3.7</w:t>
      </w:r>
      <w:r w:rsidRPr="007B40B0">
        <w:rPr>
          <w:rFonts w:ascii="Arial" w:eastAsia="Aptos" w:hAnsi="Arial" w:cs="Arial"/>
          <w:b/>
          <w:bCs/>
          <w:sz w:val="24"/>
          <w:szCs w:val="24"/>
        </w:rPr>
        <w:tab/>
        <w:t>Policy Implications</w:t>
      </w:r>
    </w:p>
    <w:p w14:paraId="19075ABE" w14:textId="77777777" w:rsidR="007B40B0" w:rsidRDefault="007B40B0" w:rsidP="00A072FB">
      <w:pPr>
        <w:spacing w:after="160"/>
        <w:jc w:val="both"/>
        <w:rPr>
          <w:rFonts w:ascii="Arial" w:eastAsia="Aptos" w:hAnsi="Arial" w:cs="Arial"/>
          <w:sz w:val="24"/>
          <w:szCs w:val="24"/>
        </w:rPr>
      </w:pPr>
      <w:r w:rsidRPr="007B40B0">
        <w:rPr>
          <w:rFonts w:ascii="Arial" w:eastAsia="Aptos" w:hAnsi="Arial" w:cs="Arial"/>
          <w:sz w:val="24"/>
          <w:szCs w:val="24"/>
        </w:rPr>
        <w:t xml:space="preserve">The findings of this study highlight several actionable priorities for household energy policy in Nigeria. First, given that high-consumption appliances such as air conditioners and cookers are major drivers of demand, policies should focus on incentivizing the uptake of energy-efficient alternatives through subsidies, rebates, or reduced import tariffs. Second, the negative coefficients for refrigerators, microwaves, and washing machines suggest that improvements in appliance technology can significantly reduce </w:t>
      </w:r>
      <w:r w:rsidRPr="007B40B0">
        <w:rPr>
          <w:rFonts w:ascii="Arial" w:eastAsia="Aptos" w:hAnsi="Arial" w:cs="Arial"/>
          <w:sz w:val="24"/>
          <w:szCs w:val="24"/>
        </w:rPr>
        <w:lastRenderedPageBreak/>
        <w:t xml:space="preserve">consumption, underscoring the importance of strengthening appliance efficiency standards and labeling programs. </w:t>
      </w:r>
    </w:p>
    <w:p w14:paraId="0D670AD8" w14:textId="68439D87" w:rsidR="007B40B0" w:rsidRPr="00243692" w:rsidRDefault="007B40B0" w:rsidP="00A072FB">
      <w:pPr>
        <w:spacing w:after="160"/>
        <w:jc w:val="both"/>
        <w:rPr>
          <w:rFonts w:ascii="Arial" w:eastAsia="Aptos" w:hAnsi="Arial" w:cs="Arial"/>
          <w:sz w:val="24"/>
          <w:szCs w:val="24"/>
        </w:rPr>
      </w:pPr>
      <w:r w:rsidRPr="007B40B0">
        <w:rPr>
          <w:rFonts w:ascii="Arial" w:eastAsia="Aptos" w:hAnsi="Arial" w:cs="Arial"/>
          <w:sz w:val="24"/>
          <w:szCs w:val="24"/>
        </w:rPr>
        <w:t>Third, the persistence of a knowledge</w:t>
      </w:r>
      <w:r>
        <w:rPr>
          <w:rFonts w:ascii="Arial" w:eastAsia="Aptos" w:hAnsi="Arial" w:cs="Arial"/>
          <w:sz w:val="24"/>
          <w:szCs w:val="24"/>
        </w:rPr>
        <w:t>-</w:t>
      </w:r>
      <w:r w:rsidRPr="007B40B0">
        <w:rPr>
          <w:rFonts w:ascii="Arial" w:eastAsia="Aptos" w:hAnsi="Arial" w:cs="Arial"/>
          <w:sz w:val="24"/>
          <w:szCs w:val="24"/>
        </w:rPr>
        <w:t xml:space="preserve">practice gap indicates that awareness campaigns alone are insufficient; behavioral interventions must be coupled with affordable, practical options that enable households to act on their intentions. Fourth, socio-demographic disparities point to the need for differentiated policy approaches: for instance, targeting larger and higher-income households with incentives for energy-efficient retrofits while ensuring equitable access for lower-income households. Finally, the strong effect of climate change awareness suggests that integrating energy education into national climate strategies can support longer-term cultural shifts toward sustainable consumption. </w:t>
      </w:r>
      <w:r>
        <w:rPr>
          <w:rFonts w:ascii="Arial" w:eastAsia="Aptos" w:hAnsi="Arial" w:cs="Arial"/>
          <w:sz w:val="24"/>
          <w:szCs w:val="24"/>
        </w:rPr>
        <w:t>T</w:t>
      </w:r>
      <w:r w:rsidRPr="007B40B0">
        <w:rPr>
          <w:rFonts w:ascii="Arial" w:eastAsia="Aptos" w:hAnsi="Arial" w:cs="Arial"/>
          <w:sz w:val="24"/>
          <w:szCs w:val="24"/>
        </w:rPr>
        <w:t>hese measures can reduce household energy demand, improve efficiency, and support Nigeria’s broader energy transition goals.</w:t>
      </w:r>
    </w:p>
    <w:p w14:paraId="7089ABC6" w14:textId="77777777" w:rsidR="00B01FCD" w:rsidRPr="00243692" w:rsidRDefault="00000F8F" w:rsidP="00584F31">
      <w:pPr>
        <w:pStyle w:val="ConcHead"/>
        <w:jc w:val="both"/>
        <w:rPr>
          <w:rFonts w:ascii="Arial" w:hAnsi="Arial" w:cs="Arial"/>
          <w:sz w:val="24"/>
          <w:szCs w:val="24"/>
        </w:rPr>
      </w:pPr>
      <w:r w:rsidRPr="00243692">
        <w:rPr>
          <w:rFonts w:ascii="Arial" w:hAnsi="Arial" w:cs="Arial"/>
          <w:sz w:val="24"/>
          <w:szCs w:val="24"/>
        </w:rPr>
        <w:t xml:space="preserve">4. </w:t>
      </w:r>
      <w:r w:rsidR="00B01FCD" w:rsidRPr="00243692">
        <w:rPr>
          <w:rFonts w:ascii="Arial" w:hAnsi="Arial" w:cs="Arial"/>
          <w:sz w:val="24"/>
          <w:szCs w:val="24"/>
        </w:rPr>
        <w:t>Conclusion</w:t>
      </w:r>
    </w:p>
    <w:p w14:paraId="45180E6D" w14:textId="3D8C2037" w:rsidR="00364457" w:rsidRDefault="00584F31" w:rsidP="00166DEB">
      <w:pPr>
        <w:pStyle w:val="Body"/>
        <w:rPr>
          <w:rFonts w:ascii="Arial" w:hAnsi="Arial" w:cs="Arial"/>
          <w:sz w:val="24"/>
          <w:szCs w:val="24"/>
        </w:rPr>
      </w:pPr>
      <w:r w:rsidRPr="00243692">
        <w:rPr>
          <w:rFonts w:ascii="Arial" w:hAnsi="Arial" w:cs="Arial"/>
          <w:sz w:val="24"/>
          <w:szCs w:val="24"/>
        </w:rPr>
        <w:t>This study examined the determinants of household energy consumption in Nigeria, focusing on appliance ownership, socio-demographic characteristics, behavioral practices, and climate change awareness. The findings reveal that appliance ownership, particularly high-demand appliances such as air conditioners and cookers, remains the strongest driver of energy use, while energy-efficient technologies like LED bulbs can significantly reduce demand. Socio-demographic factors, including household size, education, and income stability, also shape consumption patterns, with larger and more educated households consuming more. Behavioral practices showed mixed effects, as some conservation measures reduced demand while others had counterintuitive associations with higher consumption, reflecting a gap between awareness and actual outcomes. Climate change awareness was significant but paradoxical, as households with greater awareness often consumed more energy, highlighting the persistence of an awareness–practice gap. Overall, the study concludes that household energy demand in Nigeria is influenced by a complex interplay of technical, social, and attitudinal factors, underscoring the need for integrated policies that combine efficient technology adoption, targeted awareness campaigns, and socio-economic considerations to promote sustainable energy use.</w:t>
      </w:r>
    </w:p>
    <w:p w14:paraId="08503828" w14:textId="77777777" w:rsidR="00401503" w:rsidRPr="00AF45D1" w:rsidRDefault="00401503" w:rsidP="00AF45D1">
      <w:pPr>
        <w:jc w:val="both"/>
        <w:rPr>
          <w:rFonts w:ascii="Arial" w:hAnsi="Arial" w:cs="Arial"/>
          <w:b/>
          <w:bCs/>
          <w:sz w:val="24"/>
          <w:szCs w:val="24"/>
        </w:rPr>
      </w:pPr>
      <w:r w:rsidRPr="00AF45D1">
        <w:rPr>
          <w:rFonts w:ascii="Arial" w:hAnsi="Arial" w:cs="Arial"/>
          <w:b/>
          <w:bCs/>
          <w:sz w:val="24"/>
          <w:szCs w:val="24"/>
        </w:rPr>
        <w:t>Disclaimer (Artificial intelligence)</w:t>
      </w:r>
    </w:p>
    <w:p w14:paraId="08870690" w14:textId="77777777" w:rsidR="00401503" w:rsidRPr="00AF45D1" w:rsidRDefault="00401503" w:rsidP="00AF45D1">
      <w:pPr>
        <w:jc w:val="both"/>
        <w:rPr>
          <w:rFonts w:ascii="Arial" w:hAnsi="Arial" w:cs="Arial"/>
          <w:sz w:val="24"/>
          <w:szCs w:val="24"/>
        </w:rPr>
      </w:pPr>
    </w:p>
    <w:p w14:paraId="40919450" w14:textId="77777777" w:rsidR="00401503" w:rsidRPr="00AF45D1" w:rsidRDefault="00401503" w:rsidP="00AF45D1">
      <w:pPr>
        <w:jc w:val="both"/>
      </w:pPr>
      <w:r w:rsidRPr="00AF45D1">
        <w:rPr>
          <w:rFonts w:ascii="Arial" w:hAnsi="Arial" w:cs="Arial"/>
          <w:sz w:val="24"/>
          <w:szCs w:val="24"/>
        </w:rPr>
        <w:t>Author(s) hereby declare that NO generative AI technologies such as Large Language Models (ChatGPT, COPILOT, etc.) and text-to-image generators have been used during the writing or editing of this manuscript</w:t>
      </w:r>
      <w:r w:rsidRPr="00AF45D1">
        <w:t xml:space="preserve">. </w:t>
      </w:r>
    </w:p>
    <w:p w14:paraId="2BF39582" w14:textId="77777777" w:rsidR="00401503" w:rsidRPr="00270720" w:rsidRDefault="00401503" w:rsidP="00401503">
      <w:pPr>
        <w:rPr>
          <w:highlight w:val="yellow"/>
        </w:rPr>
      </w:pPr>
    </w:p>
    <w:p w14:paraId="1B28ADB1" w14:textId="77777777" w:rsidR="00B01FCD" w:rsidRPr="00243692" w:rsidRDefault="00B01FCD" w:rsidP="00441B6F">
      <w:pPr>
        <w:pStyle w:val="ReferHead"/>
        <w:spacing w:after="0"/>
        <w:jc w:val="both"/>
        <w:rPr>
          <w:rFonts w:ascii="Arial" w:hAnsi="Arial" w:cs="Arial"/>
          <w:sz w:val="24"/>
          <w:szCs w:val="24"/>
        </w:rPr>
      </w:pPr>
      <w:r w:rsidRPr="00243692">
        <w:rPr>
          <w:rFonts w:ascii="Arial" w:hAnsi="Arial" w:cs="Arial"/>
          <w:sz w:val="24"/>
          <w:szCs w:val="24"/>
        </w:rPr>
        <w:t>References</w:t>
      </w:r>
    </w:p>
    <w:p w14:paraId="029C2404" w14:textId="77777777" w:rsidR="00790ADA" w:rsidRPr="00243692" w:rsidRDefault="00790ADA" w:rsidP="00441B6F">
      <w:pPr>
        <w:pStyle w:val="ReferHead"/>
        <w:spacing w:after="0"/>
        <w:jc w:val="both"/>
        <w:rPr>
          <w:rFonts w:ascii="Arial" w:hAnsi="Arial" w:cs="Arial"/>
          <w:sz w:val="24"/>
          <w:szCs w:val="24"/>
        </w:rPr>
      </w:pPr>
    </w:p>
    <w:p w14:paraId="5477C362" w14:textId="5E21CF60" w:rsidR="00A5352A" w:rsidRPr="00243692" w:rsidRDefault="00A5352A" w:rsidP="00D83EC1">
      <w:pPr>
        <w:spacing w:after="100"/>
        <w:ind w:left="142" w:hanging="142"/>
        <w:jc w:val="both"/>
        <w:rPr>
          <w:rFonts w:cs="Arial"/>
          <w:sz w:val="24"/>
          <w:szCs w:val="24"/>
        </w:rPr>
      </w:pPr>
      <w:r w:rsidRPr="00243692">
        <w:rPr>
          <w:rFonts w:cs="Arial"/>
          <w:sz w:val="24"/>
          <w:szCs w:val="24"/>
        </w:rPr>
        <w:t xml:space="preserve">Abubakar, I. R., Alola, A. A., </w:t>
      </w:r>
      <w:proofErr w:type="spellStart"/>
      <w:r w:rsidRPr="00243692">
        <w:rPr>
          <w:rFonts w:cs="Arial"/>
          <w:sz w:val="24"/>
          <w:szCs w:val="24"/>
        </w:rPr>
        <w:t>Bekun</w:t>
      </w:r>
      <w:proofErr w:type="spellEnd"/>
      <w:r w:rsidRPr="00243692">
        <w:rPr>
          <w:rFonts w:cs="Arial"/>
          <w:sz w:val="24"/>
          <w:szCs w:val="24"/>
        </w:rPr>
        <w:t xml:space="preserve">, F. V., &amp; Onifade, S. T. (2024). Investigating the determinants of household energy consumption in Nigeria: insights and implications. </w:t>
      </w:r>
      <w:r w:rsidRPr="00243692">
        <w:rPr>
          <w:rFonts w:cs="Arial"/>
          <w:i/>
          <w:iCs/>
          <w:sz w:val="24"/>
          <w:szCs w:val="24"/>
        </w:rPr>
        <w:t>Energy Sustainability and Society</w:t>
      </w:r>
      <w:r w:rsidRPr="00243692">
        <w:rPr>
          <w:rFonts w:cs="Arial"/>
          <w:sz w:val="24"/>
          <w:szCs w:val="24"/>
        </w:rPr>
        <w:t xml:space="preserve">, </w:t>
      </w:r>
      <w:r w:rsidRPr="00243692">
        <w:rPr>
          <w:rFonts w:cs="Arial"/>
          <w:i/>
          <w:iCs/>
          <w:sz w:val="24"/>
          <w:szCs w:val="24"/>
        </w:rPr>
        <w:t>14</w:t>
      </w:r>
      <w:r w:rsidRPr="00243692">
        <w:rPr>
          <w:rFonts w:cs="Arial"/>
          <w:sz w:val="24"/>
          <w:szCs w:val="24"/>
        </w:rPr>
        <w:t xml:space="preserve">(1). </w:t>
      </w:r>
      <w:hyperlink r:id="rId8" w:history="1">
        <w:r w:rsidR="00AF45D1" w:rsidRPr="00B0291D">
          <w:rPr>
            <w:rStyle w:val="Hyperlink"/>
            <w:rFonts w:cs="Arial"/>
            <w:sz w:val="24"/>
            <w:szCs w:val="24"/>
          </w:rPr>
          <w:t>https://doi.org/10.1186/s13705-024-00451-6</w:t>
        </w:r>
      </w:hyperlink>
      <w:r w:rsidR="00AF45D1">
        <w:rPr>
          <w:rFonts w:cs="Arial"/>
          <w:sz w:val="24"/>
          <w:szCs w:val="24"/>
        </w:rPr>
        <w:t xml:space="preserve"> </w:t>
      </w:r>
    </w:p>
    <w:p w14:paraId="118F6B62" w14:textId="4050D11F" w:rsidR="00A5352A" w:rsidRPr="00243692" w:rsidRDefault="00A5352A" w:rsidP="00D83EC1">
      <w:pPr>
        <w:spacing w:after="100"/>
        <w:ind w:left="142" w:hanging="142"/>
        <w:jc w:val="both"/>
        <w:rPr>
          <w:sz w:val="24"/>
          <w:szCs w:val="24"/>
        </w:rPr>
      </w:pPr>
      <w:bookmarkStart w:id="12" w:name="_Hlk209344845"/>
      <w:r w:rsidRPr="00243692">
        <w:rPr>
          <w:sz w:val="24"/>
          <w:szCs w:val="24"/>
        </w:rPr>
        <w:t>Adebayo, G. D., &amp; Prah</w:t>
      </w:r>
      <w:bookmarkEnd w:id="12"/>
      <w:r w:rsidRPr="00243692">
        <w:rPr>
          <w:sz w:val="24"/>
          <w:szCs w:val="24"/>
        </w:rPr>
        <w:t xml:space="preserve">, L. F. (2025). Beyond the grid: Appliance poverty and unequal energy services in rural Nigeria. </w:t>
      </w:r>
      <w:r w:rsidRPr="00243692">
        <w:rPr>
          <w:i/>
          <w:iCs/>
          <w:sz w:val="24"/>
          <w:szCs w:val="24"/>
        </w:rPr>
        <w:t>Path of Science</w:t>
      </w:r>
      <w:r w:rsidRPr="00243692">
        <w:rPr>
          <w:sz w:val="24"/>
          <w:szCs w:val="24"/>
        </w:rPr>
        <w:t xml:space="preserve">, 11(8). </w:t>
      </w:r>
      <w:hyperlink r:id="rId9" w:history="1">
        <w:r w:rsidR="00AF45D1" w:rsidRPr="00B0291D">
          <w:rPr>
            <w:rStyle w:val="Hyperlink"/>
            <w:sz w:val="24"/>
            <w:szCs w:val="24"/>
          </w:rPr>
          <w:t>http://dx.doi.org/10.22178/pos.121-13</w:t>
        </w:r>
      </w:hyperlink>
      <w:r w:rsidR="00AF45D1">
        <w:rPr>
          <w:sz w:val="24"/>
          <w:szCs w:val="24"/>
        </w:rPr>
        <w:t xml:space="preserve"> </w:t>
      </w:r>
      <w:r w:rsidRPr="00243692">
        <w:rPr>
          <w:sz w:val="24"/>
          <w:szCs w:val="24"/>
        </w:rPr>
        <w:t xml:space="preserve"> </w:t>
      </w:r>
    </w:p>
    <w:p w14:paraId="46174DD7" w14:textId="60AB867C" w:rsidR="00A5352A" w:rsidRPr="00243692" w:rsidRDefault="00A5352A" w:rsidP="00D83EC1">
      <w:pPr>
        <w:spacing w:after="100"/>
        <w:ind w:left="142" w:hanging="142"/>
        <w:jc w:val="both"/>
        <w:rPr>
          <w:sz w:val="24"/>
          <w:szCs w:val="24"/>
        </w:rPr>
      </w:pPr>
      <w:r w:rsidRPr="00243692">
        <w:rPr>
          <w:sz w:val="24"/>
          <w:szCs w:val="24"/>
        </w:rPr>
        <w:lastRenderedPageBreak/>
        <w:t xml:space="preserve">Adewuyi, A. (2020). Challenges and prospects of renewable energy in Nigeria: A case of bioethanol and biodiesel production. </w:t>
      </w:r>
      <w:r w:rsidRPr="00243692">
        <w:rPr>
          <w:i/>
          <w:iCs/>
          <w:sz w:val="24"/>
          <w:szCs w:val="24"/>
        </w:rPr>
        <w:t>Energy Reports</w:t>
      </w:r>
      <w:r w:rsidRPr="00243692">
        <w:rPr>
          <w:sz w:val="24"/>
          <w:szCs w:val="24"/>
        </w:rPr>
        <w:t xml:space="preserve">, </w:t>
      </w:r>
      <w:r w:rsidRPr="00243692">
        <w:rPr>
          <w:i/>
          <w:iCs/>
          <w:sz w:val="24"/>
          <w:szCs w:val="24"/>
        </w:rPr>
        <w:t>6</w:t>
      </w:r>
      <w:r w:rsidRPr="00243692">
        <w:rPr>
          <w:sz w:val="24"/>
          <w:szCs w:val="24"/>
        </w:rPr>
        <w:t xml:space="preserve">, 77–88. </w:t>
      </w:r>
      <w:hyperlink r:id="rId10" w:history="1">
        <w:r w:rsidR="00AF45D1" w:rsidRPr="00B0291D">
          <w:rPr>
            <w:rStyle w:val="Hyperlink"/>
            <w:sz w:val="24"/>
            <w:szCs w:val="24"/>
          </w:rPr>
          <w:t>https://doi.org/10.1016/j.egyr.2019.12.002</w:t>
        </w:r>
      </w:hyperlink>
      <w:r w:rsidR="00AF45D1">
        <w:rPr>
          <w:sz w:val="24"/>
          <w:szCs w:val="24"/>
        </w:rPr>
        <w:t xml:space="preserve"> </w:t>
      </w:r>
      <w:r w:rsidRPr="00243692">
        <w:rPr>
          <w:sz w:val="24"/>
          <w:szCs w:val="24"/>
        </w:rPr>
        <w:t xml:space="preserve"> </w:t>
      </w:r>
    </w:p>
    <w:p w14:paraId="071216A3" w14:textId="329AB373" w:rsidR="00A5352A" w:rsidRPr="00243692" w:rsidRDefault="00A5352A" w:rsidP="00D83EC1">
      <w:pPr>
        <w:spacing w:after="100"/>
        <w:ind w:left="142" w:hanging="142"/>
        <w:jc w:val="both"/>
        <w:rPr>
          <w:rFonts w:eastAsia="Aptos" w:cs="Arial"/>
          <w:sz w:val="24"/>
          <w:szCs w:val="24"/>
        </w:rPr>
      </w:pPr>
      <w:r w:rsidRPr="00243692">
        <w:rPr>
          <w:rFonts w:eastAsia="Aptos" w:cs="Arial"/>
          <w:sz w:val="24"/>
          <w:szCs w:val="24"/>
        </w:rPr>
        <w:t xml:space="preserve">Al-Amin, A. I., Magaji, S., &amp; Ismail, Y. (2025). Investigating the barriers to climate finance and ESG integration in Nigeria’s energy transition. </w:t>
      </w:r>
      <w:r w:rsidRPr="00243692">
        <w:rPr>
          <w:rFonts w:eastAsia="Aptos" w:cs="Arial"/>
          <w:i/>
          <w:iCs/>
          <w:sz w:val="24"/>
          <w:szCs w:val="24"/>
        </w:rPr>
        <w:t>GAS Journal of Arts Humanities and Social Sciences</w:t>
      </w:r>
      <w:r w:rsidRPr="00243692">
        <w:rPr>
          <w:rFonts w:eastAsia="Aptos" w:cs="Arial"/>
          <w:sz w:val="24"/>
          <w:szCs w:val="24"/>
        </w:rPr>
        <w:t xml:space="preserve">, 3(9). </w:t>
      </w:r>
      <w:hyperlink r:id="rId11" w:history="1">
        <w:r w:rsidR="00AF45D1" w:rsidRPr="00B0291D">
          <w:rPr>
            <w:rStyle w:val="Hyperlink"/>
            <w:rFonts w:eastAsia="Aptos" w:cs="Arial"/>
            <w:sz w:val="24"/>
            <w:szCs w:val="24"/>
          </w:rPr>
          <w:t>https://www.doi.org/10.5281/zenodo.17113171</w:t>
        </w:r>
      </w:hyperlink>
      <w:r w:rsidR="00AF45D1">
        <w:rPr>
          <w:rFonts w:eastAsia="Aptos" w:cs="Arial"/>
          <w:sz w:val="24"/>
          <w:szCs w:val="24"/>
        </w:rPr>
        <w:t xml:space="preserve"> </w:t>
      </w:r>
    </w:p>
    <w:p w14:paraId="5BFB2369" w14:textId="5581E086" w:rsidR="00A5352A" w:rsidRPr="00243692" w:rsidRDefault="00A5352A" w:rsidP="00D83EC1">
      <w:pPr>
        <w:spacing w:after="100"/>
        <w:ind w:left="142" w:hanging="142"/>
        <w:jc w:val="both"/>
        <w:rPr>
          <w:rFonts w:eastAsia="Aptos" w:cs="Arial"/>
          <w:sz w:val="24"/>
          <w:szCs w:val="24"/>
        </w:rPr>
      </w:pPr>
      <w:r w:rsidRPr="00243692">
        <w:rPr>
          <w:rFonts w:eastAsia="Aptos" w:cs="Arial"/>
          <w:sz w:val="24"/>
          <w:szCs w:val="24"/>
        </w:rPr>
        <w:t xml:space="preserve">Bashir, N. O., &amp; Olayiwola, H. O. (2025). Impact of electricity access on households’ income growth in Nigeria. </w:t>
      </w:r>
      <w:proofErr w:type="spellStart"/>
      <w:r w:rsidRPr="00243692">
        <w:rPr>
          <w:rFonts w:eastAsia="Aptos" w:cs="Arial"/>
          <w:i/>
          <w:iCs/>
          <w:sz w:val="24"/>
          <w:szCs w:val="24"/>
        </w:rPr>
        <w:t>Lapai</w:t>
      </w:r>
      <w:proofErr w:type="spellEnd"/>
      <w:r w:rsidRPr="00243692">
        <w:rPr>
          <w:rFonts w:eastAsia="Aptos" w:cs="Arial"/>
          <w:i/>
          <w:iCs/>
          <w:sz w:val="24"/>
          <w:szCs w:val="24"/>
        </w:rPr>
        <w:t xml:space="preserve"> Journal of Economics</w:t>
      </w:r>
      <w:r w:rsidRPr="00243692">
        <w:rPr>
          <w:rFonts w:eastAsia="Aptos" w:cs="Arial"/>
          <w:sz w:val="24"/>
          <w:szCs w:val="24"/>
        </w:rPr>
        <w:t xml:space="preserve">, 9(1). </w:t>
      </w:r>
      <w:hyperlink r:id="rId12" w:history="1">
        <w:r w:rsidR="00AF45D1" w:rsidRPr="00B0291D">
          <w:rPr>
            <w:rStyle w:val="Hyperlink"/>
            <w:rFonts w:eastAsia="Aptos" w:cs="Arial"/>
            <w:sz w:val="24"/>
            <w:szCs w:val="24"/>
          </w:rPr>
          <w:t>https://www.ajol.info/index.php/lje/article/view/299498</w:t>
        </w:r>
      </w:hyperlink>
      <w:r w:rsidR="00AF45D1">
        <w:rPr>
          <w:rFonts w:eastAsia="Aptos" w:cs="Arial"/>
          <w:sz w:val="24"/>
          <w:szCs w:val="24"/>
        </w:rPr>
        <w:t xml:space="preserve"> </w:t>
      </w:r>
    </w:p>
    <w:p w14:paraId="4C8A55D3" w14:textId="03AE0871" w:rsidR="00A5352A" w:rsidRPr="00243692" w:rsidRDefault="00A5352A" w:rsidP="00D83EC1">
      <w:pPr>
        <w:spacing w:after="100"/>
        <w:ind w:left="142" w:hanging="142"/>
        <w:jc w:val="both"/>
        <w:rPr>
          <w:sz w:val="24"/>
          <w:szCs w:val="24"/>
        </w:rPr>
      </w:pPr>
      <w:r w:rsidRPr="00243692">
        <w:rPr>
          <w:sz w:val="24"/>
          <w:szCs w:val="24"/>
        </w:rPr>
        <w:t xml:space="preserve">Bharadwaj, B., Subedi, M. N., Malakar, Y., &amp; Ashworth, P. (2023). Low-capacity decentralized electricity systems limit the adoption of electronic appliances in rural Nepal. </w:t>
      </w:r>
      <w:r w:rsidRPr="00243692">
        <w:rPr>
          <w:i/>
          <w:iCs/>
          <w:sz w:val="24"/>
          <w:szCs w:val="24"/>
        </w:rPr>
        <w:t>Energy Policy</w:t>
      </w:r>
      <w:r w:rsidRPr="00243692">
        <w:rPr>
          <w:sz w:val="24"/>
          <w:szCs w:val="24"/>
        </w:rPr>
        <w:t xml:space="preserve">, </w:t>
      </w:r>
      <w:r w:rsidRPr="00243692">
        <w:rPr>
          <w:i/>
          <w:iCs/>
          <w:sz w:val="24"/>
          <w:szCs w:val="24"/>
        </w:rPr>
        <w:t>177</w:t>
      </w:r>
      <w:r w:rsidRPr="00243692">
        <w:rPr>
          <w:sz w:val="24"/>
          <w:szCs w:val="24"/>
        </w:rPr>
        <w:t xml:space="preserve">, 113576. </w:t>
      </w:r>
      <w:hyperlink r:id="rId13" w:history="1">
        <w:r w:rsidR="00AF45D1" w:rsidRPr="00B0291D">
          <w:rPr>
            <w:rStyle w:val="Hyperlink"/>
            <w:sz w:val="24"/>
            <w:szCs w:val="24"/>
          </w:rPr>
          <w:t>https://doi.org/10.1016/j.enpol.2023.113576</w:t>
        </w:r>
      </w:hyperlink>
      <w:r w:rsidR="00AF45D1">
        <w:rPr>
          <w:sz w:val="24"/>
          <w:szCs w:val="24"/>
        </w:rPr>
        <w:t xml:space="preserve"> </w:t>
      </w:r>
      <w:r w:rsidRPr="00243692">
        <w:rPr>
          <w:sz w:val="24"/>
          <w:szCs w:val="24"/>
        </w:rPr>
        <w:t xml:space="preserve"> </w:t>
      </w:r>
    </w:p>
    <w:p w14:paraId="720B61F5" w14:textId="52D4E364" w:rsidR="00A5352A" w:rsidRPr="00243692" w:rsidRDefault="00A5352A" w:rsidP="00D83EC1">
      <w:pPr>
        <w:spacing w:after="100"/>
        <w:ind w:left="142" w:hanging="142"/>
        <w:jc w:val="both"/>
        <w:rPr>
          <w:rFonts w:cs="Arial"/>
          <w:sz w:val="24"/>
          <w:szCs w:val="24"/>
        </w:rPr>
      </w:pPr>
      <w:r w:rsidRPr="00243692">
        <w:rPr>
          <w:rFonts w:cs="Arial"/>
          <w:sz w:val="24"/>
          <w:szCs w:val="24"/>
        </w:rPr>
        <w:t xml:space="preserve">Ekechukwu, D., &amp; </w:t>
      </w:r>
      <w:proofErr w:type="spellStart"/>
      <w:r w:rsidRPr="00243692">
        <w:rPr>
          <w:rFonts w:cs="Arial"/>
          <w:sz w:val="24"/>
          <w:szCs w:val="24"/>
        </w:rPr>
        <w:t>Eziefula</w:t>
      </w:r>
      <w:proofErr w:type="spellEnd"/>
      <w:r w:rsidRPr="00243692">
        <w:rPr>
          <w:rFonts w:cs="Arial"/>
          <w:sz w:val="24"/>
          <w:szCs w:val="24"/>
        </w:rPr>
        <w:t xml:space="preserve">, B. (2025). Clean energy Alternatives, policies, and Implementation in Nigeria: A Comparative analysis. </w:t>
      </w:r>
      <w:r w:rsidRPr="00243692">
        <w:rPr>
          <w:rFonts w:cs="Arial"/>
          <w:i/>
          <w:iCs/>
          <w:sz w:val="24"/>
          <w:szCs w:val="24"/>
        </w:rPr>
        <w:t>Journal of Energy Research and Reviews</w:t>
      </w:r>
      <w:r w:rsidRPr="00243692">
        <w:rPr>
          <w:rFonts w:cs="Arial"/>
          <w:sz w:val="24"/>
          <w:szCs w:val="24"/>
        </w:rPr>
        <w:t xml:space="preserve">, </w:t>
      </w:r>
      <w:r w:rsidRPr="00243692">
        <w:rPr>
          <w:rFonts w:cs="Arial"/>
          <w:i/>
          <w:iCs/>
          <w:sz w:val="24"/>
          <w:szCs w:val="24"/>
        </w:rPr>
        <w:t>17</w:t>
      </w:r>
      <w:r w:rsidRPr="00243692">
        <w:rPr>
          <w:rFonts w:cs="Arial"/>
          <w:sz w:val="24"/>
          <w:szCs w:val="24"/>
        </w:rPr>
        <w:t xml:space="preserve">(3), 1–16. </w:t>
      </w:r>
      <w:hyperlink r:id="rId14" w:history="1">
        <w:r w:rsidR="00AF45D1" w:rsidRPr="00B0291D">
          <w:rPr>
            <w:rStyle w:val="Hyperlink"/>
            <w:rFonts w:cs="Arial"/>
            <w:sz w:val="24"/>
            <w:szCs w:val="24"/>
          </w:rPr>
          <w:t>https://doi.org/10.9734/jenrr/2025/v17i3398</w:t>
        </w:r>
      </w:hyperlink>
      <w:r w:rsidR="00AF45D1">
        <w:rPr>
          <w:rFonts w:cs="Arial"/>
          <w:sz w:val="24"/>
          <w:szCs w:val="24"/>
        </w:rPr>
        <w:t xml:space="preserve"> </w:t>
      </w:r>
    </w:p>
    <w:p w14:paraId="39B9D9D5" w14:textId="2B033779" w:rsidR="00A5352A" w:rsidRPr="00243692" w:rsidRDefault="00A5352A" w:rsidP="00D83EC1">
      <w:pPr>
        <w:spacing w:after="100"/>
        <w:ind w:left="142" w:hanging="142"/>
        <w:jc w:val="both"/>
        <w:rPr>
          <w:rFonts w:cs="Arial"/>
          <w:sz w:val="24"/>
          <w:szCs w:val="24"/>
        </w:rPr>
      </w:pPr>
      <w:r w:rsidRPr="00243692">
        <w:rPr>
          <w:rFonts w:cs="Arial"/>
          <w:sz w:val="24"/>
          <w:szCs w:val="24"/>
        </w:rPr>
        <w:t xml:space="preserve">Falcone, P. M. (2023). Sustainable Energy Policies in Developing Countries: A Review of Challenges and opportunities. </w:t>
      </w:r>
      <w:r w:rsidRPr="00243692">
        <w:rPr>
          <w:rFonts w:cs="Arial"/>
          <w:i/>
          <w:iCs/>
          <w:sz w:val="24"/>
          <w:szCs w:val="24"/>
        </w:rPr>
        <w:t>Energies</w:t>
      </w:r>
      <w:r w:rsidRPr="00243692">
        <w:rPr>
          <w:rFonts w:cs="Arial"/>
          <w:sz w:val="24"/>
          <w:szCs w:val="24"/>
        </w:rPr>
        <w:t xml:space="preserve">, </w:t>
      </w:r>
      <w:r w:rsidRPr="00243692">
        <w:rPr>
          <w:rFonts w:cs="Arial"/>
          <w:i/>
          <w:iCs/>
          <w:sz w:val="24"/>
          <w:szCs w:val="24"/>
        </w:rPr>
        <w:t>16</w:t>
      </w:r>
      <w:r w:rsidRPr="00243692">
        <w:rPr>
          <w:rFonts w:cs="Arial"/>
          <w:sz w:val="24"/>
          <w:szCs w:val="24"/>
        </w:rPr>
        <w:t xml:space="preserve">(18), 6682. </w:t>
      </w:r>
      <w:hyperlink r:id="rId15" w:history="1">
        <w:r w:rsidR="00AF45D1" w:rsidRPr="00B0291D">
          <w:rPr>
            <w:rStyle w:val="Hyperlink"/>
            <w:rFonts w:cs="Arial"/>
            <w:sz w:val="24"/>
            <w:szCs w:val="24"/>
          </w:rPr>
          <w:t>https://doi.org/10.3390/en16186682</w:t>
        </w:r>
      </w:hyperlink>
      <w:r w:rsidR="00AF45D1">
        <w:rPr>
          <w:rFonts w:cs="Arial"/>
          <w:sz w:val="24"/>
          <w:szCs w:val="24"/>
        </w:rPr>
        <w:t xml:space="preserve"> </w:t>
      </w:r>
    </w:p>
    <w:p w14:paraId="29E69486" w14:textId="7056DEC0" w:rsidR="00A5352A" w:rsidRPr="00243692" w:rsidRDefault="00A5352A" w:rsidP="00D83EC1">
      <w:pPr>
        <w:spacing w:after="100"/>
        <w:ind w:left="142" w:hanging="142"/>
        <w:jc w:val="both"/>
        <w:rPr>
          <w:sz w:val="24"/>
          <w:szCs w:val="24"/>
        </w:rPr>
      </w:pPr>
      <w:proofErr w:type="spellStart"/>
      <w:r w:rsidRPr="00243692">
        <w:rPr>
          <w:sz w:val="24"/>
          <w:szCs w:val="24"/>
        </w:rPr>
        <w:t>Jareemit</w:t>
      </w:r>
      <w:proofErr w:type="spellEnd"/>
      <w:r w:rsidRPr="00243692">
        <w:rPr>
          <w:sz w:val="24"/>
          <w:szCs w:val="24"/>
        </w:rPr>
        <w:t xml:space="preserve">, D., &amp; </w:t>
      </w:r>
      <w:proofErr w:type="spellStart"/>
      <w:r w:rsidRPr="00243692">
        <w:rPr>
          <w:sz w:val="24"/>
          <w:szCs w:val="24"/>
        </w:rPr>
        <w:t>Limmeechokchai</w:t>
      </w:r>
      <w:proofErr w:type="spellEnd"/>
      <w:r w:rsidRPr="00243692">
        <w:rPr>
          <w:sz w:val="24"/>
          <w:szCs w:val="24"/>
        </w:rPr>
        <w:t xml:space="preserve">, B. (2019). Impact of homeowner’s </w:t>
      </w:r>
      <w:proofErr w:type="spellStart"/>
      <w:r w:rsidRPr="00243692">
        <w:rPr>
          <w:sz w:val="24"/>
          <w:szCs w:val="24"/>
        </w:rPr>
        <w:t>behaviours</w:t>
      </w:r>
      <w:proofErr w:type="spellEnd"/>
      <w:r w:rsidRPr="00243692">
        <w:rPr>
          <w:sz w:val="24"/>
          <w:szCs w:val="24"/>
        </w:rPr>
        <w:t xml:space="preserve"> on residential energy consumption in Bangkok, Thailand. </w:t>
      </w:r>
      <w:r w:rsidRPr="00243692">
        <w:rPr>
          <w:i/>
          <w:iCs/>
          <w:sz w:val="24"/>
          <w:szCs w:val="24"/>
        </w:rPr>
        <w:t>Journal of Building Engineering</w:t>
      </w:r>
      <w:r w:rsidRPr="00243692">
        <w:rPr>
          <w:sz w:val="24"/>
          <w:szCs w:val="24"/>
        </w:rPr>
        <w:t xml:space="preserve">, </w:t>
      </w:r>
      <w:r w:rsidRPr="00243692">
        <w:rPr>
          <w:i/>
          <w:iCs/>
          <w:sz w:val="24"/>
          <w:szCs w:val="24"/>
        </w:rPr>
        <w:t>21</w:t>
      </w:r>
      <w:r w:rsidRPr="00243692">
        <w:rPr>
          <w:sz w:val="24"/>
          <w:szCs w:val="24"/>
        </w:rPr>
        <w:t xml:space="preserve">, 328–335. </w:t>
      </w:r>
      <w:hyperlink r:id="rId16" w:history="1">
        <w:r w:rsidR="00AF45D1" w:rsidRPr="00B0291D">
          <w:rPr>
            <w:rStyle w:val="Hyperlink"/>
            <w:sz w:val="24"/>
            <w:szCs w:val="24"/>
          </w:rPr>
          <w:t>https://doi.org/10.1016/j.jobe.2018.10.030</w:t>
        </w:r>
      </w:hyperlink>
      <w:r w:rsidR="00AF45D1">
        <w:rPr>
          <w:sz w:val="24"/>
          <w:szCs w:val="24"/>
        </w:rPr>
        <w:t xml:space="preserve"> </w:t>
      </w:r>
    </w:p>
    <w:p w14:paraId="0DDCB1D9" w14:textId="0430BB8D" w:rsidR="00A5352A" w:rsidRDefault="00A5352A" w:rsidP="00D83EC1">
      <w:pPr>
        <w:spacing w:after="100"/>
        <w:ind w:left="142" w:hanging="142"/>
        <w:jc w:val="both"/>
        <w:rPr>
          <w:rFonts w:ascii="Arial" w:hAnsi="Arial" w:cs="Arial"/>
          <w:sz w:val="24"/>
          <w:szCs w:val="24"/>
        </w:rPr>
      </w:pPr>
      <w:r w:rsidRPr="00243692">
        <w:rPr>
          <w:sz w:val="24"/>
          <w:szCs w:val="24"/>
        </w:rPr>
        <w:t xml:space="preserve">Le, V. T., &amp; Pitts, A. (2019). A survey on electrical appliance use and energy consumption in Vietnamese households: Case study of Tuy Hoa city. </w:t>
      </w:r>
      <w:r w:rsidRPr="00243692">
        <w:rPr>
          <w:i/>
          <w:iCs/>
          <w:sz w:val="24"/>
          <w:szCs w:val="24"/>
        </w:rPr>
        <w:t>Energy and Buildings</w:t>
      </w:r>
      <w:r w:rsidRPr="00243692">
        <w:rPr>
          <w:sz w:val="24"/>
          <w:szCs w:val="24"/>
        </w:rPr>
        <w:t xml:space="preserve">, </w:t>
      </w:r>
      <w:r w:rsidRPr="00243692">
        <w:rPr>
          <w:i/>
          <w:iCs/>
          <w:sz w:val="24"/>
          <w:szCs w:val="24"/>
        </w:rPr>
        <w:t>197</w:t>
      </w:r>
      <w:r w:rsidRPr="00243692">
        <w:rPr>
          <w:sz w:val="24"/>
          <w:szCs w:val="24"/>
        </w:rPr>
        <w:t xml:space="preserve">, 229–241. </w:t>
      </w:r>
      <w:hyperlink r:id="rId17" w:history="1">
        <w:r w:rsidR="00AF45D1" w:rsidRPr="00B0291D">
          <w:rPr>
            <w:rStyle w:val="Hyperlink"/>
            <w:sz w:val="24"/>
            <w:szCs w:val="24"/>
          </w:rPr>
          <w:t>https://doi.org/10.1016/j.enbuild.2019.05.051</w:t>
        </w:r>
      </w:hyperlink>
      <w:r w:rsidR="00AF45D1">
        <w:rPr>
          <w:sz w:val="24"/>
          <w:szCs w:val="24"/>
        </w:rPr>
        <w:t xml:space="preserve"> </w:t>
      </w:r>
      <w:r w:rsidRPr="00243692">
        <w:rPr>
          <w:rFonts w:ascii="Arial" w:hAnsi="Arial" w:cs="Arial"/>
          <w:sz w:val="24"/>
          <w:szCs w:val="24"/>
        </w:rPr>
        <w:t xml:space="preserve"> </w:t>
      </w:r>
      <w:r w:rsidR="00AF45D1">
        <w:rPr>
          <w:rFonts w:ascii="Arial" w:hAnsi="Arial" w:cs="Arial"/>
          <w:sz w:val="24"/>
          <w:szCs w:val="24"/>
        </w:rPr>
        <w:t xml:space="preserve"> </w:t>
      </w:r>
      <w:r w:rsidR="00E02967">
        <w:rPr>
          <w:rFonts w:ascii="Arial" w:hAnsi="Arial" w:cs="Arial"/>
          <w:sz w:val="24"/>
          <w:szCs w:val="24"/>
        </w:rPr>
        <w:t xml:space="preserve"> </w:t>
      </w:r>
    </w:p>
    <w:p w14:paraId="7144FDF9" w14:textId="2D8594A1" w:rsidR="00E02967" w:rsidRPr="00E02967" w:rsidRDefault="00E02967" w:rsidP="00E02967">
      <w:pPr>
        <w:spacing w:after="100"/>
        <w:ind w:left="142" w:hanging="142"/>
        <w:jc w:val="both"/>
        <w:rPr>
          <w:rFonts w:cs="Arial"/>
          <w:sz w:val="24"/>
          <w:szCs w:val="24"/>
        </w:rPr>
      </w:pPr>
      <w:r w:rsidRPr="00E02967">
        <w:rPr>
          <w:rFonts w:cs="Arial"/>
          <w:sz w:val="24"/>
          <w:szCs w:val="24"/>
        </w:rPr>
        <w:t xml:space="preserve">Li, X., Lin, C., Wang, Y., Zhao, L., Duan, N., &amp; Wu, X. (2015). Analysis of rural household energy consumption and renewable energy systems in </w:t>
      </w:r>
      <w:proofErr w:type="spellStart"/>
      <w:r w:rsidRPr="00E02967">
        <w:rPr>
          <w:rFonts w:cs="Arial"/>
          <w:sz w:val="24"/>
          <w:szCs w:val="24"/>
        </w:rPr>
        <w:t>Zhangziying</w:t>
      </w:r>
      <w:proofErr w:type="spellEnd"/>
      <w:r w:rsidRPr="00E02967">
        <w:rPr>
          <w:rFonts w:cs="Arial"/>
          <w:sz w:val="24"/>
          <w:szCs w:val="24"/>
        </w:rPr>
        <w:t xml:space="preserve"> town of Beijing. </w:t>
      </w:r>
      <w:r w:rsidRPr="00E02967">
        <w:rPr>
          <w:rFonts w:cs="Arial"/>
          <w:i/>
          <w:iCs/>
          <w:sz w:val="24"/>
          <w:szCs w:val="24"/>
        </w:rPr>
        <w:t>Ecological Modelling</w:t>
      </w:r>
      <w:r w:rsidRPr="00E02967">
        <w:rPr>
          <w:rFonts w:cs="Arial"/>
          <w:sz w:val="24"/>
          <w:szCs w:val="24"/>
        </w:rPr>
        <w:t xml:space="preserve">, </w:t>
      </w:r>
      <w:r w:rsidRPr="00E02967">
        <w:rPr>
          <w:rFonts w:cs="Arial"/>
          <w:i/>
          <w:iCs/>
          <w:sz w:val="24"/>
          <w:szCs w:val="24"/>
        </w:rPr>
        <w:t>318</w:t>
      </w:r>
      <w:r w:rsidRPr="00E02967">
        <w:rPr>
          <w:rFonts w:cs="Arial"/>
          <w:sz w:val="24"/>
          <w:szCs w:val="24"/>
        </w:rPr>
        <w:t xml:space="preserve">, 184–193. </w:t>
      </w:r>
      <w:hyperlink r:id="rId18" w:history="1">
        <w:r w:rsidRPr="00E02967">
          <w:rPr>
            <w:rStyle w:val="Hyperlink"/>
            <w:rFonts w:cs="Arial"/>
            <w:sz w:val="24"/>
            <w:szCs w:val="24"/>
          </w:rPr>
          <w:t>https://doi.org/10.1016/j.ecolmodel.2015.05.011</w:t>
        </w:r>
      </w:hyperlink>
      <w:r>
        <w:rPr>
          <w:rFonts w:cs="Arial"/>
          <w:sz w:val="24"/>
          <w:szCs w:val="24"/>
        </w:rPr>
        <w:t xml:space="preserve"> </w:t>
      </w:r>
    </w:p>
    <w:p w14:paraId="669F8B26" w14:textId="2DA53FA6" w:rsidR="00A5352A" w:rsidRPr="00243692" w:rsidRDefault="00A5352A" w:rsidP="00D83EC1">
      <w:pPr>
        <w:spacing w:after="100"/>
        <w:ind w:left="142" w:hanging="142"/>
        <w:jc w:val="both"/>
        <w:rPr>
          <w:rFonts w:cs="Arial"/>
          <w:sz w:val="24"/>
          <w:szCs w:val="24"/>
        </w:rPr>
      </w:pPr>
      <w:r w:rsidRPr="00243692">
        <w:rPr>
          <w:sz w:val="24"/>
          <w:szCs w:val="24"/>
        </w:rPr>
        <w:t xml:space="preserve">McAndrew, R., Mulcahy, R., Gordon, R., &amp; Russell-Bennett, R. (2021). Household energy efficiency interventions: A systematic literature review. </w:t>
      </w:r>
      <w:r w:rsidRPr="00243692">
        <w:rPr>
          <w:i/>
          <w:iCs/>
          <w:sz w:val="24"/>
          <w:szCs w:val="24"/>
        </w:rPr>
        <w:t>Energy Policy</w:t>
      </w:r>
      <w:r w:rsidRPr="00243692">
        <w:rPr>
          <w:sz w:val="24"/>
          <w:szCs w:val="24"/>
        </w:rPr>
        <w:t xml:space="preserve">, </w:t>
      </w:r>
      <w:r w:rsidRPr="00243692">
        <w:rPr>
          <w:i/>
          <w:iCs/>
          <w:sz w:val="24"/>
          <w:szCs w:val="24"/>
        </w:rPr>
        <w:t>150</w:t>
      </w:r>
      <w:r w:rsidRPr="00243692">
        <w:rPr>
          <w:sz w:val="24"/>
          <w:szCs w:val="24"/>
        </w:rPr>
        <w:t xml:space="preserve">, 112136. </w:t>
      </w:r>
      <w:hyperlink r:id="rId19" w:history="1">
        <w:r w:rsidR="00AF45D1" w:rsidRPr="00B0291D">
          <w:rPr>
            <w:rStyle w:val="Hyperlink"/>
            <w:sz w:val="24"/>
            <w:szCs w:val="24"/>
          </w:rPr>
          <w:t>https://doi.org/10.1016/j.enpol.2021.112136</w:t>
        </w:r>
      </w:hyperlink>
      <w:r w:rsidR="00AF45D1">
        <w:rPr>
          <w:sz w:val="24"/>
          <w:szCs w:val="24"/>
        </w:rPr>
        <w:t xml:space="preserve"> </w:t>
      </w:r>
    </w:p>
    <w:p w14:paraId="11AA2F49" w14:textId="2308B8EA" w:rsidR="00A5352A" w:rsidRPr="00243692" w:rsidRDefault="00A5352A" w:rsidP="00D83EC1">
      <w:pPr>
        <w:spacing w:after="100"/>
        <w:ind w:left="142" w:hanging="142"/>
        <w:jc w:val="both"/>
        <w:rPr>
          <w:rFonts w:cs="Arial"/>
          <w:sz w:val="24"/>
          <w:szCs w:val="24"/>
        </w:rPr>
      </w:pPr>
      <w:proofErr w:type="spellStart"/>
      <w:r w:rsidRPr="00243692">
        <w:rPr>
          <w:rFonts w:cs="Arial"/>
          <w:sz w:val="24"/>
          <w:szCs w:val="24"/>
        </w:rPr>
        <w:t>Ogbuanya</w:t>
      </w:r>
      <w:proofErr w:type="spellEnd"/>
      <w:r w:rsidRPr="00243692">
        <w:rPr>
          <w:rFonts w:cs="Arial"/>
          <w:sz w:val="24"/>
          <w:szCs w:val="24"/>
        </w:rPr>
        <w:t xml:space="preserve">, T. C., &amp; </w:t>
      </w:r>
      <w:proofErr w:type="spellStart"/>
      <w:r w:rsidRPr="00243692">
        <w:rPr>
          <w:rFonts w:cs="Arial"/>
          <w:sz w:val="24"/>
          <w:szCs w:val="24"/>
        </w:rPr>
        <w:t>Nungse</w:t>
      </w:r>
      <w:proofErr w:type="spellEnd"/>
      <w:r w:rsidRPr="00243692">
        <w:rPr>
          <w:rFonts w:cs="Arial"/>
          <w:sz w:val="24"/>
          <w:szCs w:val="24"/>
        </w:rPr>
        <w:t xml:space="preserve">, N. I. (2020). Effectiveness of energy conservation awareness package on energy conservation behaviors of off-campus students in Nigerian universities. </w:t>
      </w:r>
      <w:r w:rsidRPr="00243692">
        <w:rPr>
          <w:rFonts w:cs="Arial"/>
          <w:i/>
          <w:iCs/>
          <w:sz w:val="24"/>
          <w:szCs w:val="24"/>
        </w:rPr>
        <w:t>Energy Exploration &amp; Exploitation</w:t>
      </w:r>
      <w:r w:rsidRPr="00243692">
        <w:rPr>
          <w:rFonts w:cs="Arial"/>
          <w:sz w:val="24"/>
          <w:szCs w:val="24"/>
        </w:rPr>
        <w:t xml:space="preserve">, </w:t>
      </w:r>
      <w:r w:rsidRPr="00243692">
        <w:rPr>
          <w:rFonts w:cs="Arial"/>
          <w:i/>
          <w:iCs/>
          <w:sz w:val="24"/>
          <w:szCs w:val="24"/>
        </w:rPr>
        <w:t>39</w:t>
      </w:r>
      <w:r w:rsidRPr="00243692">
        <w:rPr>
          <w:rFonts w:cs="Arial"/>
          <w:sz w:val="24"/>
          <w:szCs w:val="24"/>
        </w:rPr>
        <w:t xml:space="preserve">(5), 1415–1428. </w:t>
      </w:r>
      <w:hyperlink r:id="rId20" w:history="1">
        <w:r w:rsidR="00AF45D1" w:rsidRPr="00B0291D">
          <w:rPr>
            <w:rStyle w:val="Hyperlink"/>
            <w:rFonts w:cs="Arial"/>
            <w:sz w:val="24"/>
            <w:szCs w:val="24"/>
          </w:rPr>
          <w:t>https://doi.org/10.1177/0144598720975133</w:t>
        </w:r>
      </w:hyperlink>
      <w:r w:rsidR="00AF45D1">
        <w:rPr>
          <w:rFonts w:cs="Arial"/>
          <w:sz w:val="24"/>
          <w:szCs w:val="24"/>
        </w:rPr>
        <w:t xml:space="preserve"> </w:t>
      </w:r>
    </w:p>
    <w:p w14:paraId="48E4CE5F" w14:textId="1488A96E" w:rsidR="00A5352A" w:rsidRPr="00243692" w:rsidRDefault="00A5352A" w:rsidP="00D83EC1">
      <w:pPr>
        <w:spacing w:after="100"/>
        <w:ind w:left="142" w:hanging="142"/>
        <w:jc w:val="both"/>
        <w:rPr>
          <w:rFonts w:eastAsia="Aptos" w:cs="Arial"/>
          <w:sz w:val="24"/>
          <w:szCs w:val="24"/>
        </w:rPr>
      </w:pPr>
      <w:bookmarkStart w:id="13" w:name="_Hlk209345085"/>
      <w:r w:rsidRPr="00243692">
        <w:rPr>
          <w:rFonts w:eastAsia="Aptos" w:cs="Arial"/>
          <w:sz w:val="24"/>
          <w:szCs w:val="24"/>
        </w:rPr>
        <w:t>Ogunsola</w:t>
      </w:r>
      <w:bookmarkEnd w:id="13"/>
      <w:r w:rsidRPr="00243692">
        <w:rPr>
          <w:rFonts w:eastAsia="Aptos" w:cs="Arial"/>
          <w:sz w:val="24"/>
          <w:szCs w:val="24"/>
        </w:rPr>
        <w:t xml:space="preserve">, A. D., </w:t>
      </w:r>
      <w:proofErr w:type="spellStart"/>
      <w:r w:rsidRPr="00243692">
        <w:rPr>
          <w:rFonts w:eastAsia="Aptos" w:cs="Arial"/>
          <w:sz w:val="24"/>
          <w:szCs w:val="24"/>
        </w:rPr>
        <w:t>Olaogun</w:t>
      </w:r>
      <w:proofErr w:type="spellEnd"/>
      <w:r w:rsidRPr="00243692">
        <w:rPr>
          <w:rFonts w:eastAsia="Aptos" w:cs="Arial"/>
          <w:sz w:val="24"/>
          <w:szCs w:val="24"/>
        </w:rPr>
        <w:t xml:space="preserve">, O., Adeyi, A. J., Adeyi, O., </w:t>
      </w:r>
      <w:proofErr w:type="spellStart"/>
      <w:r w:rsidRPr="00243692">
        <w:rPr>
          <w:rFonts w:eastAsia="Aptos" w:cs="Arial"/>
          <w:sz w:val="24"/>
          <w:szCs w:val="24"/>
        </w:rPr>
        <w:t>Ibiwoye</w:t>
      </w:r>
      <w:proofErr w:type="spellEnd"/>
      <w:r w:rsidRPr="00243692">
        <w:rPr>
          <w:rFonts w:eastAsia="Aptos" w:cs="Arial"/>
          <w:sz w:val="24"/>
          <w:szCs w:val="24"/>
        </w:rPr>
        <w:t xml:space="preserve">, M. O., &amp; Adegbola, A. A. (2022). Performance evaluation of energy-saving bulbs in selected Nigerian locations with artificial neural network modelling. </w:t>
      </w:r>
      <w:r w:rsidRPr="00243692">
        <w:rPr>
          <w:rFonts w:eastAsia="Aptos" w:cs="Arial"/>
          <w:i/>
          <w:iCs/>
          <w:sz w:val="24"/>
          <w:szCs w:val="24"/>
        </w:rPr>
        <w:t>LAUTECH Journal of Engineering and Technology</w:t>
      </w:r>
      <w:r w:rsidRPr="00243692">
        <w:rPr>
          <w:rFonts w:eastAsia="Aptos" w:cs="Arial"/>
          <w:sz w:val="24"/>
          <w:szCs w:val="24"/>
        </w:rPr>
        <w:t xml:space="preserve">, 1(1). Retrieved from </w:t>
      </w:r>
      <w:hyperlink r:id="rId21" w:history="1">
        <w:r w:rsidR="00AF45D1" w:rsidRPr="00B0291D">
          <w:rPr>
            <w:rStyle w:val="Hyperlink"/>
            <w:rFonts w:eastAsia="Aptos" w:cs="Arial"/>
            <w:sz w:val="24"/>
            <w:szCs w:val="24"/>
          </w:rPr>
          <w:t>https://kwasuspace.kwasu.edu.ng/items/f18f99c5-e4c3-4f9e-ad9f-669286b485f8</w:t>
        </w:r>
      </w:hyperlink>
      <w:r w:rsidR="00AF45D1">
        <w:rPr>
          <w:rFonts w:eastAsia="Aptos" w:cs="Arial"/>
          <w:sz w:val="24"/>
          <w:szCs w:val="24"/>
        </w:rPr>
        <w:t xml:space="preserve"> </w:t>
      </w:r>
    </w:p>
    <w:p w14:paraId="0CCDFDF6" w14:textId="55794E65" w:rsidR="00A5352A" w:rsidRPr="00243692" w:rsidRDefault="00A5352A" w:rsidP="00D83EC1">
      <w:pPr>
        <w:spacing w:after="100"/>
        <w:ind w:left="142" w:hanging="142"/>
        <w:jc w:val="both"/>
        <w:rPr>
          <w:rFonts w:cs="Arial"/>
          <w:sz w:val="24"/>
          <w:szCs w:val="24"/>
        </w:rPr>
      </w:pPr>
      <w:r w:rsidRPr="00243692">
        <w:rPr>
          <w:rFonts w:cs="Arial"/>
          <w:sz w:val="24"/>
          <w:szCs w:val="24"/>
        </w:rPr>
        <w:t xml:space="preserve">Olatunde, N. T. M., </w:t>
      </w:r>
      <w:proofErr w:type="spellStart"/>
      <w:r w:rsidRPr="00243692">
        <w:rPr>
          <w:rFonts w:cs="Arial"/>
          <w:sz w:val="24"/>
          <w:szCs w:val="24"/>
        </w:rPr>
        <w:t>Okwandu</w:t>
      </w:r>
      <w:proofErr w:type="spellEnd"/>
      <w:r w:rsidRPr="00243692">
        <w:rPr>
          <w:rFonts w:cs="Arial"/>
          <w:sz w:val="24"/>
          <w:szCs w:val="24"/>
        </w:rPr>
        <w:t xml:space="preserve">, N. a. C., &amp; Akande, N. D. O. (2024). Reviewing the impact of energy-efficient appliances on household consumption. </w:t>
      </w:r>
      <w:r w:rsidRPr="00243692">
        <w:rPr>
          <w:rFonts w:cs="Arial"/>
          <w:i/>
          <w:iCs/>
          <w:sz w:val="24"/>
          <w:szCs w:val="24"/>
        </w:rPr>
        <w:t>International Journal of Science and Technology Research Archive</w:t>
      </w:r>
      <w:r w:rsidRPr="00243692">
        <w:rPr>
          <w:rFonts w:cs="Arial"/>
          <w:sz w:val="24"/>
          <w:szCs w:val="24"/>
        </w:rPr>
        <w:t xml:space="preserve">, </w:t>
      </w:r>
      <w:r w:rsidRPr="00243692">
        <w:rPr>
          <w:rFonts w:cs="Arial"/>
          <w:i/>
          <w:iCs/>
          <w:sz w:val="24"/>
          <w:szCs w:val="24"/>
        </w:rPr>
        <w:t>6</w:t>
      </w:r>
      <w:r w:rsidRPr="00243692">
        <w:rPr>
          <w:rFonts w:cs="Arial"/>
          <w:sz w:val="24"/>
          <w:szCs w:val="24"/>
        </w:rPr>
        <w:t xml:space="preserve">(2), 001–011. </w:t>
      </w:r>
      <w:hyperlink r:id="rId22" w:history="1">
        <w:r w:rsidR="00AF45D1" w:rsidRPr="00B0291D">
          <w:rPr>
            <w:rStyle w:val="Hyperlink"/>
            <w:rFonts w:cs="Arial"/>
            <w:sz w:val="24"/>
            <w:szCs w:val="24"/>
          </w:rPr>
          <w:t>https://doi.org/10.53771/ijstra.2024.6.2.0038</w:t>
        </w:r>
      </w:hyperlink>
      <w:r w:rsidR="00AF45D1">
        <w:rPr>
          <w:rFonts w:cs="Arial"/>
          <w:sz w:val="24"/>
          <w:szCs w:val="24"/>
        </w:rPr>
        <w:t xml:space="preserve"> </w:t>
      </w:r>
    </w:p>
    <w:p w14:paraId="55948BF9" w14:textId="7ED2FF44" w:rsidR="00A5352A" w:rsidRPr="00243692" w:rsidRDefault="00A5352A" w:rsidP="00D83EC1">
      <w:pPr>
        <w:spacing w:after="100"/>
        <w:ind w:left="142" w:hanging="142"/>
        <w:jc w:val="both"/>
        <w:rPr>
          <w:sz w:val="24"/>
          <w:szCs w:val="24"/>
        </w:rPr>
      </w:pPr>
      <w:r w:rsidRPr="00243692">
        <w:rPr>
          <w:sz w:val="24"/>
          <w:szCs w:val="24"/>
        </w:rPr>
        <w:lastRenderedPageBreak/>
        <w:t xml:space="preserve">Ornaghi, C., Costanza, E., Kittley-Davies, J., Bourikas, L., Aragon, V., &amp; James, P. A. (2018). The effect of </w:t>
      </w:r>
      <w:proofErr w:type="spellStart"/>
      <w:r w:rsidRPr="00243692">
        <w:rPr>
          <w:sz w:val="24"/>
          <w:szCs w:val="24"/>
        </w:rPr>
        <w:t>behavioural</w:t>
      </w:r>
      <w:proofErr w:type="spellEnd"/>
      <w:r w:rsidRPr="00243692">
        <w:rPr>
          <w:sz w:val="24"/>
          <w:szCs w:val="24"/>
        </w:rPr>
        <w:t xml:space="preserve"> interventions on energy conservation in naturally ventilated offices. </w:t>
      </w:r>
      <w:r w:rsidRPr="00243692">
        <w:rPr>
          <w:i/>
          <w:iCs/>
          <w:sz w:val="24"/>
          <w:szCs w:val="24"/>
        </w:rPr>
        <w:t>Energy Economics</w:t>
      </w:r>
      <w:r w:rsidRPr="00243692">
        <w:rPr>
          <w:sz w:val="24"/>
          <w:szCs w:val="24"/>
        </w:rPr>
        <w:t xml:space="preserve">, </w:t>
      </w:r>
      <w:r w:rsidRPr="00243692">
        <w:rPr>
          <w:i/>
          <w:iCs/>
          <w:sz w:val="24"/>
          <w:szCs w:val="24"/>
        </w:rPr>
        <w:t>74</w:t>
      </w:r>
      <w:r w:rsidRPr="00243692">
        <w:rPr>
          <w:sz w:val="24"/>
          <w:szCs w:val="24"/>
        </w:rPr>
        <w:t xml:space="preserve">, 582–591. </w:t>
      </w:r>
      <w:hyperlink r:id="rId23" w:history="1">
        <w:r w:rsidR="00AF45D1" w:rsidRPr="00B0291D">
          <w:rPr>
            <w:rStyle w:val="Hyperlink"/>
            <w:sz w:val="24"/>
            <w:szCs w:val="24"/>
          </w:rPr>
          <w:t>https://doi.org/10.1016/j.eneco.2018.07.008</w:t>
        </w:r>
      </w:hyperlink>
      <w:r w:rsidR="00AF45D1">
        <w:rPr>
          <w:sz w:val="24"/>
          <w:szCs w:val="24"/>
        </w:rPr>
        <w:t xml:space="preserve"> </w:t>
      </w:r>
    </w:p>
    <w:p w14:paraId="3ECAC5D8" w14:textId="021477A5" w:rsidR="00A5352A" w:rsidRPr="00243692" w:rsidRDefault="00A5352A" w:rsidP="00D83EC1">
      <w:pPr>
        <w:spacing w:after="100"/>
        <w:ind w:left="142" w:hanging="142"/>
        <w:jc w:val="both"/>
        <w:rPr>
          <w:sz w:val="24"/>
          <w:szCs w:val="24"/>
        </w:rPr>
      </w:pPr>
      <w:r w:rsidRPr="00243692">
        <w:rPr>
          <w:sz w:val="24"/>
          <w:szCs w:val="24"/>
        </w:rPr>
        <w:t xml:space="preserve">Osi, M., &amp; Eke, C. (2023). Households and 1-World Economy: A Mathematical Discourse. </w:t>
      </w:r>
      <w:r w:rsidRPr="00243692">
        <w:rPr>
          <w:i/>
          <w:iCs/>
          <w:sz w:val="24"/>
          <w:szCs w:val="24"/>
        </w:rPr>
        <w:t>Asian Journal of Economics Business and Accounting</w:t>
      </w:r>
      <w:r w:rsidRPr="00243692">
        <w:rPr>
          <w:sz w:val="24"/>
          <w:szCs w:val="24"/>
        </w:rPr>
        <w:t xml:space="preserve">, </w:t>
      </w:r>
      <w:r w:rsidRPr="00243692">
        <w:rPr>
          <w:i/>
          <w:iCs/>
          <w:sz w:val="24"/>
          <w:szCs w:val="24"/>
        </w:rPr>
        <w:t>23</w:t>
      </w:r>
      <w:r w:rsidRPr="00243692">
        <w:rPr>
          <w:sz w:val="24"/>
          <w:szCs w:val="24"/>
        </w:rPr>
        <w:t xml:space="preserve">(15), 44–48. </w:t>
      </w:r>
      <w:hyperlink r:id="rId24" w:history="1">
        <w:r w:rsidR="00AF45D1" w:rsidRPr="00B0291D">
          <w:rPr>
            <w:rStyle w:val="Hyperlink"/>
            <w:sz w:val="24"/>
            <w:szCs w:val="24"/>
          </w:rPr>
          <w:t>https://doi.org/10.9734/ajeba/2023/v23i151014</w:t>
        </w:r>
      </w:hyperlink>
      <w:r w:rsidR="00AF45D1">
        <w:rPr>
          <w:sz w:val="24"/>
          <w:szCs w:val="24"/>
        </w:rPr>
        <w:t xml:space="preserve"> </w:t>
      </w:r>
      <w:r w:rsidRPr="00243692">
        <w:rPr>
          <w:sz w:val="24"/>
          <w:szCs w:val="24"/>
        </w:rPr>
        <w:t xml:space="preserve">  </w:t>
      </w:r>
    </w:p>
    <w:p w14:paraId="0414C903" w14:textId="5B9F5D94" w:rsidR="00A5352A" w:rsidRPr="00243692" w:rsidRDefault="00A5352A" w:rsidP="00D83EC1">
      <w:pPr>
        <w:spacing w:after="100"/>
        <w:ind w:left="142" w:hanging="142"/>
        <w:jc w:val="both"/>
        <w:rPr>
          <w:rFonts w:cs="Arial"/>
          <w:sz w:val="24"/>
          <w:szCs w:val="24"/>
        </w:rPr>
      </w:pPr>
      <w:r w:rsidRPr="00243692">
        <w:rPr>
          <w:rFonts w:cs="Arial"/>
          <w:sz w:val="24"/>
          <w:szCs w:val="24"/>
        </w:rPr>
        <w:t xml:space="preserve">Pelz, S., </w:t>
      </w:r>
      <w:proofErr w:type="spellStart"/>
      <w:r w:rsidRPr="00243692">
        <w:rPr>
          <w:rFonts w:cs="Arial"/>
          <w:sz w:val="24"/>
          <w:szCs w:val="24"/>
        </w:rPr>
        <w:t>Chinichian</w:t>
      </w:r>
      <w:proofErr w:type="spellEnd"/>
      <w:r w:rsidRPr="00243692">
        <w:rPr>
          <w:rFonts w:cs="Arial"/>
          <w:sz w:val="24"/>
          <w:szCs w:val="24"/>
        </w:rPr>
        <w:t xml:space="preserve">, N., </w:t>
      </w:r>
      <w:proofErr w:type="spellStart"/>
      <w:r w:rsidRPr="00243692">
        <w:rPr>
          <w:rFonts w:cs="Arial"/>
          <w:sz w:val="24"/>
          <w:szCs w:val="24"/>
        </w:rPr>
        <w:t>Neyrand</w:t>
      </w:r>
      <w:proofErr w:type="spellEnd"/>
      <w:r w:rsidRPr="00243692">
        <w:rPr>
          <w:rFonts w:cs="Arial"/>
          <w:sz w:val="24"/>
          <w:szCs w:val="24"/>
        </w:rPr>
        <w:t xml:space="preserve">, C., &amp; Blechinger, P. (2023). Electricity supply quality and use among rural and peri-urban households and small firms in Nigeria. </w:t>
      </w:r>
      <w:r w:rsidRPr="00243692">
        <w:rPr>
          <w:rFonts w:cs="Arial"/>
          <w:i/>
          <w:iCs/>
          <w:sz w:val="24"/>
          <w:szCs w:val="24"/>
        </w:rPr>
        <w:t>Scientific Data</w:t>
      </w:r>
      <w:r w:rsidRPr="00243692">
        <w:rPr>
          <w:rFonts w:cs="Arial"/>
          <w:sz w:val="24"/>
          <w:szCs w:val="24"/>
        </w:rPr>
        <w:t xml:space="preserve">, </w:t>
      </w:r>
      <w:r w:rsidRPr="00243692">
        <w:rPr>
          <w:rFonts w:cs="Arial"/>
          <w:i/>
          <w:iCs/>
          <w:sz w:val="24"/>
          <w:szCs w:val="24"/>
        </w:rPr>
        <w:t>10</w:t>
      </w:r>
      <w:r w:rsidRPr="00243692">
        <w:rPr>
          <w:rFonts w:cs="Arial"/>
          <w:sz w:val="24"/>
          <w:szCs w:val="24"/>
        </w:rPr>
        <w:t xml:space="preserve">(1). </w:t>
      </w:r>
      <w:hyperlink r:id="rId25" w:history="1">
        <w:r w:rsidR="00AF45D1" w:rsidRPr="00B0291D">
          <w:rPr>
            <w:rStyle w:val="Hyperlink"/>
            <w:rFonts w:cs="Arial"/>
            <w:sz w:val="24"/>
            <w:szCs w:val="24"/>
          </w:rPr>
          <w:t>https://doi.org/10.1038/s41597-023-02185-0</w:t>
        </w:r>
      </w:hyperlink>
      <w:r w:rsidR="00AF45D1">
        <w:rPr>
          <w:rFonts w:cs="Arial"/>
          <w:sz w:val="24"/>
          <w:szCs w:val="24"/>
        </w:rPr>
        <w:t xml:space="preserve"> </w:t>
      </w:r>
    </w:p>
    <w:p w14:paraId="2C702DE4" w14:textId="45850EC1" w:rsidR="00A5352A" w:rsidRPr="00243692" w:rsidRDefault="00A5352A" w:rsidP="00D83EC1">
      <w:pPr>
        <w:spacing w:after="100"/>
        <w:ind w:left="142" w:hanging="142"/>
        <w:jc w:val="both"/>
        <w:rPr>
          <w:sz w:val="24"/>
          <w:szCs w:val="24"/>
        </w:rPr>
      </w:pPr>
      <w:r w:rsidRPr="00243692">
        <w:rPr>
          <w:sz w:val="24"/>
          <w:szCs w:val="24"/>
        </w:rPr>
        <w:t xml:space="preserve">Shahin, M., Ghasri, M., &amp; Abbasi, A. (2024). Individuals’ contribution to household energy savings: The role of big-two personality traits. </w:t>
      </w:r>
      <w:proofErr w:type="spellStart"/>
      <w:r w:rsidRPr="00243692">
        <w:rPr>
          <w:i/>
          <w:iCs/>
          <w:sz w:val="24"/>
          <w:szCs w:val="24"/>
        </w:rPr>
        <w:t>Heliyon</w:t>
      </w:r>
      <w:proofErr w:type="spellEnd"/>
      <w:r w:rsidRPr="00243692">
        <w:rPr>
          <w:sz w:val="24"/>
          <w:szCs w:val="24"/>
        </w:rPr>
        <w:t xml:space="preserve">, e25922. </w:t>
      </w:r>
      <w:hyperlink r:id="rId26" w:history="1">
        <w:r w:rsidR="00AF45D1" w:rsidRPr="00B0291D">
          <w:rPr>
            <w:rStyle w:val="Hyperlink"/>
            <w:sz w:val="24"/>
            <w:szCs w:val="24"/>
          </w:rPr>
          <w:t>https://doi.org/10.1016/j.heliyon.2024.e25922</w:t>
        </w:r>
      </w:hyperlink>
      <w:r w:rsidR="00AF45D1">
        <w:rPr>
          <w:sz w:val="24"/>
          <w:szCs w:val="24"/>
        </w:rPr>
        <w:t xml:space="preserve"> </w:t>
      </w:r>
    </w:p>
    <w:p w14:paraId="669D4756" w14:textId="3078665D" w:rsidR="00A5352A" w:rsidRPr="00243692" w:rsidRDefault="00A5352A" w:rsidP="00D83EC1">
      <w:pPr>
        <w:spacing w:after="100"/>
        <w:ind w:left="142" w:hanging="142"/>
        <w:jc w:val="both"/>
        <w:rPr>
          <w:rFonts w:cs="Arial"/>
          <w:sz w:val="24"/>
          <w:szCs w:val="24"/>
        </w:rPr>
      </w:pPr>
      <w:r w:rsidRPr="00243692">
        <w:rPr>
          <w:rFonts w:cs="Arial"/>
          <w:sz w:val="24"/>
          <w:szCs w:val="24"/>
        </w:rPr>
        <w:t xml:space="preserve">Shari, B. E., Moumouni, Y., &amp; Momodu, A. S. (2020). Low carbon transition of residential electricity consumption in Nigeria: A system dynamics Modeling approach. </w:t>
      </w:r>
      <w:r w:rsidRPr="00243692">
        <w:rPr>
          <w:rFonts w:cs="Arial"/>
          <w:i/>
          <w:iCs/>
          <w:sz w:val="24"/>
          <w:szCs w:val="24"/>
        </w:rPr>
        <w:t>International Journal of Energy and Power Engineering</w:t>
      </w:r>
      <w:r w:rsidRPr="00243692">
        <w:rPr>
          <w:rFonts w:cs="Arial"/>
          <w:sz w:val="24"/>
          <w:szCs w:val="24"/>
        </w:rPr>
        <w:t xml:space="preserve">, </w:t>
      </w:r>
      <w:r w:rsidRPr="00243692">
        <w:rPr>
          <w:rFonts w:cs="Arial"/>
          <w:i/>
          <w:iCs/>
          <w:sz w:val="24"/>
          <w:szCs w:val="24"/>
        </w:rPr>
        <w:t>9</w:t>
      </w:r>
      <w:r w:rsidRPr="00243692">
        <w:rPr>
          <w:rFonts w:cs="Arial"/>
          <w:sz w:val="24"/>
          <w:szCs w:val="24"/>
        </w:rPr>
        <w:t xml:space="preserve">(1), 11. </w:t>
      </w:r>
      <w:hyperlink r:id="rId27" w:history="1">
        <w:r w:rsidR="00AF45D1" w:rsidRPr="00B0291D">
          <w:rPr>
            <w:rStyle w:val="Hyperlink"/>
            <w:rFonts w:cs="Arial"/>
            <w:sz w:val="24"/>
            <w:szCs w:val="24"/>
          </w:rPr>
          <w:t>https://doi.org/10.11648/j.ijepe.20200901.12</w:t>
        </w:r>
      </w:hyperlink>
      <w:r w:rsidR="00AF45D1">
        <w:rPr>
          <w:rFonts w:cs="Arial"/>
          <w:sz w:val="24"/>
          <w:szCs w:val="24"/>
        </w:rPr>
        <w:t xml:space="preserve"> </w:t>
      </w:r>
    </w:p>
    <w:p w14:paraId="3AC6A155" w14:textId="0E6817F3" w:rsidR="00A5352A" w:rsidRPr="00243692" w:rsidRDefault="00A5352A" w:rsidP="00D83EC1">
      <w:pPr>
        <w:spacing w:after="100"/>
        <w:ind w:left="142" w:hanging="142"/>
        <w:jc w:val="both"/>
        <w:rPr>
          <w:sz w:val="24"/>
          <w:szCs w:val="24"/>
        </w:rPr>
      </w:pPr>
      <w:proofErr w:type="spellStart"/>
      <w:r w:rsidRPr="00243692">
        <w:rPr>
          <w:sz w:val="24"/>
          <w:szCs w:val="24"/>
        </w:rPr>
        <w:t>Spunei</w:t>
      </w:r>
      <w:proofErr w:type="spellEnd"/>
      <w:r w:rsidRPr="00243692">
        <w:rPr>
          <w:sz w:val="24"/>
          <w:szCs w:val="24"/>
        </w:rPr>
        <w:t xml:space="preserve">, E., </w:t>
      </w:r>
      <w:proofErr w:type="spellStart"/>
      <w:r w:rsidRPr="00243692">
        <w:rPr>
          <w:sz w:val="24"/>
          <w:szCs w:val="24"/>
        </w:rPr>
        <w:t>Frumușanu</w:t>
      </w:r>
      <w:proofErr w:type="spellEnd"/>
      <w:r w:rsidRPr="00243692">
        <w:rPr>
          <w:sz w:val="24"/>
          <w:szCs w:val="24"/>
        </w:rPr>
        <w:t xml:space="preserve">, N., &amp; Martin, M. (2024). Study on Household-Level electricity consumption of domestic consumers in Romania: The need to check the electrical installation. </w:t>
      </w:r>
      <w:r w:rsidRPr="00243692">
        <w:rPr>
          <w:i/>
          <w:iCs/>
          <w:sz w:val="24"/>
          <w:szCs w:val="24"/>
        </w:rPr>
        <w:t>Sustainability</w:t>
      </w:r>
      <w:r w:rsidRPr="00243692">
        <w:rPr>
          <w:sz w:val="24"/>
          <w:szCs w:val="24"/>
        </w:rPr>
        <w:t xml:space="preserve">, </w:t>
      </w:r>
      <w:r w:rsidRPr="00243692">
        <w:rPr>
          <w:i/>
          <w:iCs/>
          <w:sz w:val="24"/>
          <w:szCs w:val="24"/>
        </w:rPr>
        <w:t>16</w:t>
      </w:r>
      <w:r w:rsidRPr="00243692">
        <w:rPr>
          <w:sz w:val="24"/>
          <w:szCs w:val="24"/>
        </w:rPr>
        <w:t xml:space="preserve">(10), 4203. </w:t>
      </w:r>
      <w:hyperlink r:id="rId28" w:history="1">
        <w:r w:rsidR="00AF45D1" w:rsidRPr="00B0291D">
          <w:rPr>
            <w:rStyle w:val="Hyperlink"/>
            <w:sz w:val="24"/>
            <w:szCs w:val="24"/>
          </w:rPr>
          <w:t>https://doi.org/10.3390/su16104203</w:t>
        </w:r>
      </w:hyperlink>
      <w:r w:rsidR="00AF45D1">
        <w:rPr>
          <w:sz w:val="24"/>
          <w:szCs w:val="24"/>
        </w:rPr>
        <w:t xml:space="preserve"> </w:t>
      </w:r>
    </w:p>
    <w:p w14:paraId="712813B7" w14:textId="36FDE1F4" w:rsidR="00A5352A" w:rsidRPr="00243692" w:rsidRDefault="00A5352A" w:rsidP="00D83EC1">
      <w:pPr>
        <w:spacing w:after="100"/>
        <w:ind w:left="142" w:hanging="142"/>
        <w:jc w:val="both"/>
        <w:rPr>
          <w:rFonts w:cs="Arial"/>
          <w:sz w:val="24"/>
          <w:szCs w:val="24"/>
        </w:rPr>
      </w:pPr>
      <w:r w:rsidRPr="00243692">
        <w:rPr>
          <w:rFonts w:cs="Arial"/>
          <w:sz w:val="24"/>
          <w:szCs w:val="24"/>
        </w:rPr>
        <w:t xml:space="preserve">Tilde, A. I., &amp; Fernando, N. G. (2024). Knowledge, attitude and practices of energy </w:t>
      </w:r>
      <w:proofErr w:type="spellStart"/>
      <w:r w:rsidRPr="00243692">
        <w:rPr>
          <w:rFonts w:cs="Arial"/>
          <w:sz w:val="24"/>
          <w:szCs w:val="24"/>
        </w:rPr>
        <w:t>utilisation</w:t>
      </w:r>
      <w:proofErr w:type="spellEnd"/>
      <w:r w:rsidRPr="00243692">
        <w:rPr>
          <w:rFonts w:cs="Arial"/>
          <w:sz w:val="24"/>
          <w:szCs w:val="24"/>
        </w:rPr>
        <w:t xml:space="preserve"> </w:t>
      </w:r>
      <w:proofErr w:type="spellStart"/>
      <w:r w:rsidRPr="00243692">
        <w:rPr>
          <w:rFonts w:cs="Arial"/>
          <w:sz w:val="24"/>
          <w:szCs w:val="24"/>
        </w:rPr>
        <w:t>behaviours</w:t>
      </w:r>
      <w:proofErr w:type="spellEnd"/>
      <w:r w:rsidRPr="00243692">
        <w:rPr>
          <w:rFonts w:cs="Arial"/>
          <w:sz w:val="24"/>
          <w:szCs w:val="24"/>
        </w:rPr>
        <w:t xml:space="preserve">: a study of residential building occupants. </w:t>
      </w:r>
      <w:r w:rsidRPr="00243692">
        <w:rPr>
          <w:rFonts w:cs="Arial"/>
          <w:i/>
          <w:iCs/>
          <w:sz w:val="24"/>
          <w:szCs w:val="24"/>
        </w:rPr>
        <w:t>Built Environment Project and Asset Management</w:t>
      </w:r>
      <w:r w:rsidRPr="00243692">
        <w:rPr>
          <w:rFonts w:cs="Arial"/>
          <w:sz w:val="24"/>
          <w:szCs w:val="24"/>
        </w:rPr>
        <w:t xml:space="preserve">, </w:t>
      </w:r>
      <w:r w:rsidRPr="00243692">
        <w:rPr>
          <w:rFonts w:cs="Arial"/>
          <w:i/>
          <w:iCs/>
          <w:sz w:val="24"/>
          <w:szCs w:val="24"/>
        </w:rPr>
        <w:t>14</w:t>
      </w:r>
      <w:r w:rsidRPr="00243692">
        <w:rPr>
          <w:rFonts w:cs="Arial"/>
          <w:sz w:val="24"/>
          <w:szCs w:val="24"/>
        </w:rPr>
        <w:t xml:space="preserve">(3), 349–365. </w:t>
      </w:r>
      <w:hyperlink r:id="rId29" w:history="1">
        <w:r w:rsidR="00AF45D1" w:rsidRPr="00B0291D">
          <w:rPr>
            <w:rStyle w:val="Hyperlink"/>
            <w:rFonts w:cs="Arial"/>
            <w:sz w:val="24"/>
            <w:szCs w:val="24"/>
          </w:rPr>
          <w:t>https://doi.org/10.1108/bepam-01-2023-0008</w:t>
        </w:r>
      </w:hyperlink>
      <w:r w:rsidR="00AF45D1">
        <w:rPr>
          <w:rFonts w:cs="Arial"/>
          <w:sz w:val="24"/>
          <w:szCs w:val="24"/>
        </w:rPr>
        <w:t xml:space="preserve"> </w:t>
      </w:r>
    </w:p>
    <w:p w14:paraId="29894B84" w14:textId="7405901F" w:rsidR="00A5352A" w:rsidRPr="00243692" w:rsidRDefault="00A5352A" w:rsidP="00D83EC1">
      <w:pPr>
        <w:spacing w:after="100"/>
        <w:ind w:left="142" w:hanging="142"/>
        <w:jc w:val="both"/>
        <w:rPr>
          <w:rFonts w:cs="Arial"/>
          <w:sz w:val="24"/>
          <w:szCs w:val="24"/>
        </w:rPr>
      </w:pPr>
      <w:r w:rsidRPr="00243692">
        <w:rPr>
          <w:rFonts w:cs="Arial"/>
          <w:sz w:val="24"/>
          <w:szCs w:val="24"/>
        </w:rPr>
        <w:t xml:space="preserve">Ubani, O., Sam-Amobi, C., Mba, E., </w:t>
      </w:r>
      <w:proofErr w:type="spellStart"/>
      <w:r w:rsidRPr="00243692">
        <w:rPr>
          <w:rFonts w:cs="Arial"/>
          <w:sz w:val="24"/>
          <w:szCs w:val="24"/>
        </w:rPr>
        <w:t>Idu</w:t>
      </w:r>
      <w:proofErr w:type="spellEnd"/>
      <w:r w:rsidRPr="00243692">
        <w:rPr>
          <w:rFonts w:cs="Arial"/>
          <w:sz w:val="24"/>
          <w:szCs w:val="24"/>
        </w:rPr>
        <w:t xml:space="preserve">, E., </w:t>
      </w:r>
      <w:proofErr w:type="spellStart"/>
      <w:r w:rsidRPr="00243692">
        <w:rPr>
          <w:rFonts w:cs="Arial"/>
          <w:sz w:val="24"/>
          <w:szCs w:val="24"/>
        </w:rPr>
        <w:t>Ezeama</w:t>
      </w:r>
      <w:proofErr w:type="spellEnd"/>
      <w:r w:rsidRPr="00243692">
        <w:rPr>
          <w:rFonts w:cs="Arial"/>
          <w:sz w:val="24"/>
          <w:szCs w:val="24"/>
        </w:rPr>
        <w:t xml:space="preserve">, E., &amp; </w:t>
      </w:r>
      <w:proofErr w:type="spellStart"/>
      <w:r w:rsidRPr="00243692">
        <w:rPr>
          <w:rFonts w:cs="Arial"/>
          <w:sz w:val="24"/>
          <w:szCs w:val="24"/>
        </w:rPr>
        <w:t>Oforji</w:t>
      </w:r>
      <w:proofErr w:type="spellEnd"/>
      <w:r w:rsidRPr="00243692">
        <w:rPr>
          <w:rFonts w:cs="Arial"/>
          <w:sz w:val="24"/>
          <w:szCs w:val="24"/>
        </w:rPr>
        <w:t xml:space="preserve">, P. I. (2024). Household electricity consumption determinants in major Nigeria cities. </w:t>
      </w:r>
      <w:r w:rsidRPr="00243692">
        <w:rPr>
          <w:rFonts w:cs="Arial"/>
          <w:i/>
          <w:iCs/>
          <w:sz w:val="24"/>
          <w:szCs w:val="24"/>
        </w:rPr>
        <w:t>Journal of Infrastructure Policy and Development</w:t>
      </w:r>
      <w:r w:rsidRPr="00243692">
        <w:rPr>
          <w:rFonts w:cs="Arial"/>
          <w:sz w:val="24"/>
          <w:szCs w:val="24"/>
        </w:rPr>
        <w:t xml:space="preserve">, </w:t>
      </w:r>
      <w:r w:rsidRPr="00243692">
        <w:rPr>
          <w:rFonts w:cs="Arial"/>
          <w:i/>
          <w:iCs/>
          <w:sz w:val="24"/>
          <w:szCs w:val="24"/>
        </w:rPr>
        <w:t>8</w:t>
      </w:r>
      <w:r w:rsidRPr="00243692">
        <w:rPr>
          <w:rFonts w:cs="Arial"/>
          <w:sz w:val="24"/>
          <w:szCs w:val="24"/>
        </w:rPr>
        <w:t xml:space="preserve">(3). </w:t>
      </w:r>
      <w:hyperlink r:id="rId30" w:history="1">
        <w:r w:rsidR="00AF45D1" w:rsidRPr="00B0291D">
          <w:rPr>
            <w:rStyle w:val="Hyperlink"/>
            <w:rFonts w:cs="Arial"/>
            <w:sz w:val="24"/>
            <w:szCs w:val="24"/>
          </w:rPr>
          <w:t>https://doi.org/10.24294/jipd.v8i3.2895</w:t>
        </w:r>
      </w:hyperlink>
      <w:r w:rsidR="00AF45D1">
        <w:rPr>
          <w:rFonts w:cs="Arial"/>
          <w:sz w:val="24"/>
          <w:szCs w:val="24"/>
        </w:rPr>
        <w:t xml:space="preserve"> </w:t>
      </w:r>
    </w:p>
    <w:p w14:paraId="3AA6590A" w14:textId="77777777" w:rsidR="004D4277" w:rsidRDefault="00A5352A" w:rsidP="003838B2">
      <w:pPr>
        <w:spacing w:after="100"/>
        <w:ind w:left="142" w:hanging="142"/>
        <w:jc w:val="both"/>
        <w:rPr>
          <w:sz w:val="24"/>
          <w:szCs w:val="24"/>
        </w:rPr>
      </w:pPr>
      <w:proofErr w:type="spellStart"/>
      <w:r w:rsidRPr="00243692">
        <w:rPr>
          <w:sz w:val="24"/>
          <w:szCs w:val="24"/>
        </w:rPr>
        <w:t>Uyigue</w:t>
      </w:r>
      <w:proofErr w:type="spellEnd"/>
      <w:r w:rsidRPr="00243692">
        <w:rPr>
          <w:sz w:val="24"/>
          <w:szCs w:val="24"/>
        </w:rPr>
        <w:t xml:space="preserve">, E., Yapp, J., </w:t>
      </w:r>
      <w:proofErr w:type="spellStart"/>
      <w:r w:rsidRPr="00243692">
        <w:rPr>
          <w:sz w:val="24"/>
          <w:szCs w:val="24"/>
        </w:rPr>
        <w:t>Lebof</w:t>
      </w:r>
      <w:proofErr w:type="spellEnd"/>
      <w:r w:rsidRPr="00243692">
        <w:rPr>
          <w:sz w:val="24"/>
          <w:szCs w:val="24"/>
        </w:rPr>
        <w:t xml:space="preserve">, B., &amp; Odele, M. (2023). </w:t>
      </w:r>
      <w:r w:rsidRPr="00243692">
        <w:rPr>
          <w:i/>
          <w:iCs/>
          <w:sz w:val="24"/>
          <w:szCs w:val="24"/>
        </w:rPr>
        <w:t>A survey of households electricity consumption of end-use appliances in Nigeria</w:t>
      </w:r>
      <w:r w:rsidRPr="00243692">
        <w:rPr>
          <w:sz w:val="24"/>
          <w:szCs w:val="24"/>
        </w:rPr>
        <w:t xml:space="preserve">. Journal of Energy Policy Research and Development. Retrieved from </w:t>
      </w:r>
      <w:hyperlink r:id="rId31" w:history="1">
        <w:r w:rsidR="00D60D4E" w:rsidRPr="00B0291D">
          <w:rPr>
            <w:rStyle w:val="Hyperlink"/>
            <w:sz w:val="24"/>
            <w:szCs w:val="24"/>
          </w:rPr>
          <w:t>https://jeprd.energy.gov.ng/jeprd/index.php/journal/article/download/2/1/1</w:t>
        </w:r>
      </w:hyperlink>
      <w:r w:rsidR="00D60D4E">
        <w:rPr>
          <w:sz w:val="24"/>
          <w:szCs w:val="24"/>
        </w:rPr>
        <w:t xml:space="preserve"> </w:t>
      </w:r>
    </w:p>
    <w:sectPr w:rsidR="004D4277" w:rsidSect="00FF39F0">
      <w:headerReference w:type="even" r:id="rId32"/>
      <w:headerReference w:type="default" r:id="rId33"/>
      <w:footerReference w:type="default" r:id="rId34"/>
      <w:headerReference w:type="first" r:id="rId3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F968" w14:textId="77777777" w:rsidR="00A37DF7" w:rsidRDefault="00A37DF7" w:rsidP="00C37E61">
      <w:r>
        <w:separator/>
      </w:r>
    </w:p>
  </w:endnote>
  <w:endnote w:type="continuationSeparator" w:id="0">
    <w:p w14:paraId="78889CB8" w14:textId="77777777" w:rsidR="00A37DF7" w:rsidRDefault="00A37D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A712" w14:textId="77777777" w:rsidR="002B4D1C" w:rsidRPr="00C37E61" w:rsidRDefault="002B4D1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F9C3" w14:textId="77777777" w:rsidR="00A37DF7" w:rsidRDefault="00A37DF7" w:rsidP="00C37E61">
      <w:r>
        <w:separator/>
      </w:r>
    </w:p>
  </w:footnote>
  <w:footnote w:type="continuationSeparator" w:id="0">
    <w:p w14:paraId="4BC6FF67" w14:textId="77777777" w:rsidR="00A37DF7" w:rsidRDefault="00A37D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0C52" w14:textId="6AA45D37" w:rsidR="008636FE" w:rsidRDefault="00000000">
    <w:pPr>
      <w:pStyle w:val="Header"/>
    </w:pPr>
    <w:r>
      <w:rPr>
        <w:noProof/>
      </w:rPr>
      <w:pict w14:anchorId="3B168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18848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D05C" w14:textId="59937728" w:rsidR="008636FE" w:rsidRDefault="00000000">
    <w:pPr>
      <w:pStyle w:val="Header"/>
    </w:pPr>
    <w:r>
      <w:rPr>
        <w:noProof/>
      </w:rPr>
      <w:pict w14:anchorId="45FEC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18848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7843" w14:textId="229451A3" w:rsidR="008636FE" w:rsidRDefault="00000000">
    <w:pPr>
      <w:pStyle w:val="Header"/>
    </w:pPr>
    <w:r>
      <w:rPr>
        <w:noProof/>
      </w:rPr>
      <w:pict w14:anchorId="2C3C5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18848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622885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1782552">
    <w:abstractNumId w:val="15"/>
  </w:num>
  <w:num w:numId="3" w16cid:durableId="972709695">
    <w:abstractNumId w:val="23"/>
  </w:num>
  <w:num w:numId="4" w16cid:durableId="182434967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43307929">
    <w:abstractNumId w:val="7"/>
  </w:num>
  <w:num w:numId="6" w16cid:durableId="1535388081">
    <w:abstractNumId w:val="6"/>
  </w:num>
  <w:num w:numId="7" w16cid:durableId="657735431">
    <w:abstractNumId w:val="1"/>
  </w:num>
  <w:num w:numId="8" w16cid:durableId="1390495910">
    <w:abstractNumId w:val="12"/>
  </w:num>
  <w:num w:numId="9" w16cid:durableId="1445462414">
    <w:abstractNumId w:val="25"/>
  </w:num>
  <w:num w:numId="10" w16cid:durableId="2086950149">
    <w:abstractNumId w:val="2"/>
  </w:num>
  <w:num w:numId="11" w16cid:durableId="551119412">
    <w:abstractNumId w:val="18"/>
  </w:num>
  <w:num w:numId="12" w16cid:durableId="144055382">
    <w:abstractNumId w:val="3"/>
  </w:num>
  <w:num w:numId="13" w16cid:durableId="806822945">
    <w:abstractNumId w:val="17"/>
  </w:num>
  <w:num w:numId="14" w16cid:durableId="1572540673">
    <w:abstractNumId w:val="8"/>
  </w:num>
  <w:num w:numId="15" w16cid:durableId="1648823970">
    <w:abstractNumId w:val="21"/>
  </w:num>
  <w:num w:numId="16" w16cid:durableId="232470231">
    <w:abstractNumId w:val="5"/>
  </w:num>
  <w:num w:numId="17" w16cid:durableId="1330014468">
    <w:abstractNumId w:val="22"/>
  </w:num>
  <w:num w:numId="18" w16cid:durableId="457771277">
    <w:abstractNumId w:val="14"/>
  </w:num>
  <w:num w:numId="19" w16cid:durableId="1795444222">
    <w:abstractNumId w:val="28"/>
  </w:num>
  <w:num w:numId="20" w16cid:durableId="1034958968">
    <w:abstractNumId w:val="11"/>
  </w:num>
  <w:num w:numId="21" w16cid:durableId="2006860782">
    <w:abstractNumId w:val="9"/>
  </w:num>
  <w:num w:numId="22" w16cid:durableId="466513114">
    <w:abstractNumId w:val="13"/>
  </w:num>
  <w:num w:numId="23" w16cid:durableId="486167020">
    <w:abstractNumId w:val="19"/>
  </w:num>
  <w:num w:numId="24" w16cid:durableId="2139255130">
    <w:abstractNumId w:val="26"/>
  </w:num>
  <w:num w:numId="25" w16cid:durableId="1280603374">
    <w:abstractNumId w:val="4"/>
  </w:num>
  <w:num w:numId="26" w16cid:durableId="145246784">
    <w:abstractNumId w:val="16"/>
  </w:num>
  <w:num w:numId="27" w16cid:durableId="2045715065">
    <w:abstractNumId w:val="20"/>
  </w:num>
  <w:num w:numId="28" w16cid:durableId="673725979">
    <w:abstractNumId w:val="27"/>
  </w:num>
  <w:num w:numId="29" w16cid:durableId="1536650766">
    <w:abstractNumId w:val="24"/>
  </w:num>
  <w:num w:numId="30" w16cid:durableId="2038506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8FC"/>
    <w:rsid w:val="0002620B"/>
    <w:rsid w:val="00030174"/>
    <w:rsid w:val="0004579C"/>
    <w:rsid w:val="0005226A"/>
    <w:rsid w:val="00060C30"/>
    <w:rsid w:val="00092BED"/>
    <w:rsid w:val="000A47FA"/>
    <w:rsid w:val="000A65D3"/>
    <w:rsid w:val="000B1E33"/>
    <w:rsid w:val="000D689F"/>
    <w:rsid w:val="000E7B7B"/>
    <w:rsid w:val="000E7D62"/>
    <w:rsid w:val="000F3C67"/>
    <w:rsid w:val="00103357"/>
    <w:rsid w:val="00123C9F"/>
    <w:rsid w:val="00126190"/>
    <w:rsid w:val="00130F17"/>
    <w:rsid w:val="001320BF"/>
    <w:rsid w:val="00163BC4"/>
    <w:rsid w:val="00166DEB"/>
    <w:rsid w:val="00180BA8"/>
    <w:rsid w:val="0018428A"/>
    <w:rsid w:val="00191062"/>
    <w:rsid w:val="00192B72"/>
    <w:rsid w:val="001A29D8"/>
    <w:rsid w:val="001A5CAA"/>
    <w:rsid w:val="001B0427"/>
    <w:rsid w:val="001D0EDA"/>
    <w:rsid w:val="001D3A51"/>
    <w:rsid w:val="001E10D2"/>
    <w:rsid w:val="001E25B4"/>
    <w:rsid w:val="001E44FE"/>
    <w:rsid w:val="00200595"/>
    <w:rsid w:val="00204835"/>
    <w:rsid w:val="002153C3"/>
    <w:rsid w:val="0022779F"/>
    <w:rsid w:val="00231920"/>
    <w:rsid w:val="0023195C"/>
    <w:rsid w:val="0024282C"/>
    <w:rsid w:val="00243692"/>
    <w:rsid w:val="002460DC"/>
    <w:rsid w:val="00250985"/>
    <w:rsid w:val="002556F6"/>
    <w:rsid w:val="00283105"/>
    <w:rsid w:val="00284C4C"/>
    <w:rsid w:val="00287E68"/>
    <w:rsid w:val="00296529"/>
    <w:rsid w:val="002B27FB"/>
    <w:rsid w:val="002B4D1C"/>
    <w:rsid w:val="002B685A"/>
    <w:rsid w:val="002C57D2"/>
    <w:rsid w:val="002E0D56"/>
    <w:rsid w:val="003057BE"/>
    <w:rsid w:val="00315186"/>
    <w:rsid w:val="0033343E"/>
    <w:rsid w:val="0034071E"/>
    <w:rsid w:val="003512C2"/>
    <w:rsid w:val="0036373C"/>
    <w:rsid w:val="00364457"/>
    <w:rsid w:val="00371FB6"/>
    <w:rsid w:val="003763C1"/>
    <w:rsid w:val="00376BBE"/>
    <w:rsid w:val="003838B2"/>
    <w:rsid w:val="0039224F"/>
    <w:rsid w:val="003A43A4"/>
    <w:rsid w:val="003A7E18"/>
    <w:rsid w:val="003C4C86"/>
    <w:rsid w:val="003C6258"/>
    <w:rsid w:val="003D36DE"/>
    <w:rsid w:val="003E2904"/>
    <w:rsid w:val="003F4515"/>
    <w:rsid w:val="00401503"/>
    <w:rsid w:val="00401927"/>
    <w:rsid w:val="0041027F"/>
    <w:rsid w:val="00412475"/>
    <w:rsid w:val="00423789"/>
    <w:rsid w:val="00440F43"/>
    <w:rsid w:val="00441B6F"/>
    <w:rsid w:val="00446221"/>
    <w:rsid w:val="00450E62"/>
    <w:rsid w:val="004539DB"/>
    <w:rsid w:val="00465A99"/>
    <w:rsid w:val="00471A80"/>
    <w:rsid w:val="004867F8"/>
    <w:rsid w:val="00486DCD"/>
    <w:rsid w:val="00495030"/>
    <w:rsid w:val="0049690C"/>
    <w:rsid w:val="004D305E"/>
    <w:rsid w:val="004D4277"/>
    <w:rsid w:val="00502516"/>
    <w:rsid w:val="00505F06"/>
    <w:rsid w:val="00506828"/>
    <w:rsid w:val="005101B6"/>
    <w:rsid w:val="00516475"/>
    <w:rsid w:val="0053056E"/>
    <w:rsid w:val="00554FDA"/>
    <w:rsid w:val="00565037"/>
    <w:rsid w:val="00584F31"/>
    <w:rsid w:val="005A26A9"/>
    <w:rsid w:val="005B3917"/>
    <w:rsid w:val="005B79E7"/>
    <w:rsid w:val="005C305B"/>
    <w:rsid w:val="005C784C"/>
    <w:rsid w:val="005D17F6"/>
    <w:rsid w:val="005E1579"/>
    <w:rsid w:val="005E5539"/>
    <w:rsid w:val="005F1F33"/>
    <w:rsid w:val="00602BF5"/>
    <w:rsid w:val="00614C68"/>
    <w:rsid w:val="00617FDD"/>
    <w:rsid w:val="00633614"/>
    <w:rsid w:val="00633F68"/>
    <w:rsid w:val="00636EB2"/>
    <w:rsid w:val="006375B8"/>
    <w:rsid w:val="0066510A"/>
    <w:rsid w:val="00673F9F"/>
    <w:rsid w:val="00686953"/>
    <w:rsid w:val="00687DEA"/>
    <w:rsid w:val="00687E67"/>
    <w:rsid w:val="006967F7"/>
    <w:rsid w:val="006A250C"/>
    <w:rsid w:val="006A51F1"/>
    <w:rsid w:val="006B21D3"/>
    <w:rsid w:val="006B57D0"/>
    <w:rsid w:val="006D30FF"/>
    <w:rsid w:val="006D5E8C"/>
    <w:rsid w:val="006D6940"/>
    <w:rsid w:val="006F11EC"/>
    <w:rsid w:val="0070082C"/>
    <w:rsid w:val="0070714A"/>
    <w:rsid w:val="00710088"/>
    <w:rsid w:val="00714E7D"/>
    <w:rsid w:val="007369E6"/>
    <w:rsid w:val="00746E59"/>
    <w:rsid w:val="00754C9A"/>
    <w:rsid w:val="0075599A"/>
    <w:rsid w:val="00761D52"/>
    <w:rsid w:val="0077749E"/>
    <w:rsid w:val="00790ADA"/>
    <w:rsid w:val="007B40B0"/>
    <w:rsid w:val="007C6DAA"/>
    <w:rsid w:val="007D2288"/>
    <w:rsid w:val="007E088F"/>
    <w:rsid w:val="007E2B60"/>
    <w:rsid w:val="007F7B32"/>
    <w:rsid w:val="00804BC2"/>
    <w:rsid w:val="0081431A"/>
    <w:rsid w:val="00820531"/>
    <w:rsid w:val="0083216F"/>
    <w:rsid w:val="00841194"/>
    <w:rsid w:val="00860000"/>
    <w:rsid w:val="008636FE"/>
    <w:rsid w:val="00863BD3"/>
    <w:rsid w:val="008641ED"/>
    <w:rsid w:val="00866D66"/>
    <w:rsid w:val="008671C6"/>
    <w:rsid w:val="00875803"/>
    <w:rsid w:val="00882BAF"/>
    <w:rsid w:val="008B459E"/>
    <w:rsid w:val="008E13AE"/>
    <w:rsid w:val="008E1506"/>
    <w:rsid w:val="008E710C"/>
    <w:rsid w:val="008F69D6"/>
    <w:rsid w:val="00902092"/>
    <w:rsid w:val="00902823"/>
    <w:rsid w:val="0091151A"/>
    <w:rsid w:val="00915CA6"/>
    <w:rsid w:val="00925224"/>
    <w:rsid w:val="00927834"/>
    <w:rsid w:val="009500A6"/>
    <w:rsid w:val="00957C18"/>
    <w:rsid w:val="009659BA"/>
    <w:rsid w:val="00973A94"/>
    <w:rsid w:val="00983040"/>
    <w:rsid w:val="009B3FB9"/>
    <w:rsid w:val="009C2465"/>
    <w:rsid w:val="009D35A0"/>
    <w:rsid w:val="009D7EB7"/>
    <w:rsid w:val="009E048A"/>
    <w:rsid w:val="009E08E9"/>
    <w:rsid w:val="009E3DB9"/>
    <w:rsid w:val="009E445C"/>
    <w:rsid w:val="009E6E35"/>
    <w:rsid w:val="009F0EDA"/>
    <w:rsid w:val="00A03B96"/>
    <w:rsid w:val="00A05B19"/>
    <w:rsid w:val="00A072FB"/>
    <w:rsid w:val="00A1134E"/>
    <w:rsid w:val="00A24E7E"/>
    <w:rsid w:val="00A258C3"/>
    <w:rsid w:val="00A347BE"/>
    <w:rsid w:val="00A347C0"/>
    <w:rsid w:val="00A37DF7"/>
    <w:rsid w:val="00A51431"/>
    <w:rsid w:val="00A5352A"/>
    <w:rsid w:val="00A539AD"/>
    <w:rsid w:val="00A76EB7"/>
    <w:rsid w:val="00A861AE"/>
    <w:rsid w:val="00A868C9"/>
    <w:rsid w:val="00A94063"/>
    <w:rsid w:val="00AA6219"/>
    <w:rsid w:val="00AA74E0"/>
    <w:rsid w:val="00AB28CB"/>
    <w:rsid w:val="00AB703F"/>
    <w:rsid w:val="00AC6BB8"/>
    <w:rsid w:val="00AD2F6B"/>
    <w:rsid w:val="00AE008F"/>
    <w:rsid w:val="00AF45D1"/>
    <w:rsid w:val="00B01FCD"/>
    <w:rsid w:val="00B16B41"/>
    <w:rsid w:val="00B1776C"/>
    <w:rsid w:val="00B2023C"/>
    <w:rsid w:val="00B52583"/>
    <w:rsid w:val="00B52896"/>
    <w:rsid w:val="00B73F7E"/>
    <w:rsid w:val="00B92482"/>
    <w:rsid w:val="00B95236"/>
    <w:rsid w:val="00B96BD9"/>
    <w:rsid w:val="00BA1B01"/>
    <w:rsid w:val="00BA2320"/>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25E8"/>
    <w:rsid w:val="00D173F1"/>
    <w:rsid w:val="00D56F2D"/>
    <w:rsid w:val="00D60D4E"/>
    <w:rsid w:val="00D74CB0"/>
    <w:rsid w:val="00D76C03"/>
    <w:rsid w:val="00D8295D"/>
    <w:rsid w:val="00D83EC1"/>
    <w:rsid w:val="00DB2537"/>
    <w:rsid w:val="00DC2A65"/>
    <w:rsid w:val="00DE15F0"/>
    <w:rsid w:val="00DE5663"/>
    <w:rsid w:val="00DE78AA"/>
    <w:rsid w:val="00E02967"/>
    <w:rsid w:val="00E053D0"/>
    <w:rsid w:val="00E15994"/>
    <w:rsid w:val="00E3114E"/>
    <w:rsid w:val="00E31A70"/>
    <w:rsid w:val="00E35B02"/>
    <w:rsid w:val="00E654EE"/>
    <w:rsid w:val="00E66496"/>
    <w:rsid w:val="00E66B35"/>
    <w:rsid w:val="00E66E10"/>
    <w:rsid w:val="00E769F6"/>
    <w:rsid w:val="00E8407C"/>
    <w:rsid w:val="00E84F3C"/>
    <w:rsid w:val="00EA012C"/>
    <w:rsid w:val="00EC6A55"/>
    <w:rsid w:val="00ED0288"/>
    <w:rsid w:val="00EE52CB"/>
    <w:rsid w:val="00EF581D"/>
    <w:rsid w:val="00EF7FD8"/>
    <w:rsid w:val="00F00C14"/>
    <w:rsid w:val="00F06F59"/>
    <w:rsid w:val="00F17988"/>
    <w:rsid w:val="00F469F0"/>
    <w:rsid w:val="00F53273"/>
    <w:rsid w:val="00F53BF2"/>
    <w:rsid w:val="00F53D03"/>
    <w:rsid w:val="00F755E4"/>
    <w:rsid w:val="00F77D02"/>
    <w:rsid w:val="00F83E0E"/>
    <w:rsid w:val="00FA6EC4"/>
    <w:rsid w:val="00FB3A86"/>
    <w:rsid w:val="00FD36C8"/>
    <w:rsid w:val="00FF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25701B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F39F0"/>
    <w:pPr>
      <w:ind w:left="720"/>
      <w:contextualSpacing/>
    </w:pPr>
  </w:style>
  <w:style w:type="character" w:styleId="UnresolvedMention">
    <w:name w:val="Unresolved Mention"/>
    <w:basedOn w:val="DefaultParagraphFont"/>
    <w:uiPriority w:val="99"/>
    <w:semiHidden/>
    <w:unhideWhenUsed/>
    <w:rsid w:val="00D60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77">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289783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npol.2023.113576" TargetMode="External"/><Relationship Id="rId18" Type="http://schemas.openxmlformats.org/officeDocument/2006/relationships/hyperlink" Target="https://doi.org/10.1016/j.ecolmodel.2015.05.011" TargetMode="External"/><Relationship Id="rId26" Type="http://schemas.openxmlformats.org/officeDocument/2006/relationships/hyperlink" Target="https://doi.org/10.1016/j.heliyon.2024.e25922" TargetMode="External"/><Relationship Id="rId21" Type="http://schemas.openxmlformats.org/officeDocument/2006/relationships/hyperlink" Target="https://kwasuspace.kwasu.edu.ng/items/f18f99c5-e4c3-4f9e-ad9f-669286b485f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jol.info/index.php/lje/article/view/299498" TargetMode="External"/><Relationship Id="rId17" Type="http://schemas.openxmlformats.org/officeDocument/2006/relationships/hyperlink" Target="https://doi.org/10.1016/j.enbuild.2019.05.051" TargetMode="External"/><Relationship Id="rId25" Type="http://schemas.openxmlformats.org/officeDocument/2006/relationships/hyperlink" Target="https://doi.org/10.1038/s41597-023-02185-0"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j.jobe.2018.10.030" TargetMode="External"/><Relationship Id="rId20" Type="http://schemas.openxmlformats.org/officeDocument/2006/relationships/hyperlink" Target="https://doi.org/10.1177/0144598720975133" TargetMode="External"/><Relationship Id="rId29" Type="http://schemas.openxmlformats.org/officeDocument/2006/relationships/hyperlink" Target="https://doi.org/10.1108/bepam-01-2023-0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i.org/10.5281/zenodo.17113171" TargetMode="External"/><Relationship Id="rId24" Type="http://schemas.openxmlformats.org/officeDocument/2006/relationships/hyperlink" Target="https://doi.org/10.9734/ajeba/2023/v23i151014"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en16186682" TargetMode="External"/><Relationship Id="rId23" Type="http://schemas.openxmlformats.org/officeDocument/2006/relationships/hyperlink" Target="https://doi.org/10.1016/j.eneco.2018.07.008" TargetMode="External"/><Relationship Id="rId28" Type="http://schemas.openxmlformats.org/officeDocument/2006/relationships/hyperlink" Target="https://doi.org/10.3390/su16104203" TargetMode="External"/><Relationship Id="rId36" Type="http://schemas.openxmlformats.org/officeDocument/2006/relationships/fontTable" Target="fontTable.xml"/><Relationship Id="rId10" Type="http://schemas.openxmlformats.org/officeDocument/2006/relationships/hyperlink" Target="https://doi.org/10.1016/j.egyr.2019.12.002" TargetMode="External"/><Relationship Id="rId19" Type="http://schemas.openxmlformats.org/officeDocument/2006/relationships/hyperlink" Target="https://doi.org/10.1016/j.enpol.2021.112136" TargetMode="External"/><Relationship Id="rId31" Type="http://schemas.openxmlformats.org/officeDocument/2006/relationships/hyperlink" Target="https://jeprd.energy.gov.ng/jeprd/index.php/journal/article/download/2/1/1" TargetMode="External"/><Relationship Id="rId4" Type="http://schemas.openxmlformats.org/officeDocument/2006/relationships/settings" Target="settings.xml"/><Relationship Id="rId9" Type="http://schemas.openxmlformats.org/officeDocument/2006/relationships/hyperlink" Target="http://dx.doi.org/10.22178/pos.121-13" TargetMode="External"/><Relationship Id="rId14" Type="http://schemas.openxmlformats.org/officeDocument/2006/relationships/hyperlink" Target="https://doi.org/10.9734/jenrr/2025/v17i3398" TargetMode="External"/><Relationship Id="rId22" Type="http://schemas.openxmlformats.org/officeDocument/2006/relationships/hyperlink" Target="https://doi.org/10.53771/ijstra.2024.6.2.0038" TargetMode="External"/><Relationship Id="rId27" Type="http://schemas.openxmlformats.org/officeDocument/2006/relationships/hyperlink" Target="https://doi.org/10.11648/j.ijepe.20200901.12" TargetMode="External"/><Relationship Id="rId30" Type="http://schemas.openxmlformats.org/officeDocument/2006/relationships/hyperlink" Target="https://doi.org/10.24294/jipd.v8i3.2895" TargetMode="External"/><Relationship Id="rId35" Type="http://schemas.openxmlformats.org/officeDocument/2006/relationships/header" Target="header3.xml"/><Relationship Id="rId8" Type="http://schemas.openxmlformats.org/officeDocument/2006/relationships/hyperlink" Target="https://doi.org/10.1186/s13705-024-00451-6"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AB8A4-10A1-452D-A751-D8ACDF9B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368</TotalTime>
  <Pages>11</Pages>
  <Words>4783</Words>
  <Characters>27266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Martin Ufi</cp:lastModifiedBy>
  <cp:revision>76</cp:revision>
  <cp:lastPrinted>1999-07-06T11:00:00Z</cp:lastPrinted>
  <dcterms:created xsi:type="dcterms:W3CDTF">2014-10-25T14:34:00Z</dcterms:created>
  <dcterms:modified xsi:type="dcterms:W3CDTF">2025-10-02T15:39:00Z</dcterms:modified>
</cp:coreProperties>
</file>