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FA3" w:rsidRPr="00377CFE" w:rsidRDefault="00377CFE" w:rsidP="00326FA3">
      <w:pPr>
        <w:spacing w:line="360" w:lineRule="auto"/>
        <w:jc w:val="center"/>
        <w:rPr>
          <w:rFonts w:ascii="Times New Roman" w:hAnsi="Times New Roman" w:cs="Times New Roman"/>
          <w:b/>
          <w:sz w:val="24"/>
          <w:szCs w:val="24"/>
        </w:rPr>
      </w:pPr>
      <w:r w:rsidRPr="00377CFE">
        <w:rPr>
          <w:rFonts w:ascii="Times New Roman" w:hAnsi="Times New Roman" w:cs="Times New Roman"/>
          <w:b/>
          <w:bCs/>
          <w:sz w:val="24"/>
          <w:szCs w:val="24"/>
          <w:lang w:val="en-GB"/>
        </w:rPr>
        <w:t>OCCUPATIONAL SAFETY AND HEALTH OF COAL MINERS IN INDIA: A STUDY</w:t>
      </w:r>
    </w:p>
    <w:p w:rsidR="00201B32" w:rsidRPr="00377CFE" w:rsidRDefault="00201B32" w:rsidP="00E53610">
      <w:pPr>
        <w:spacing w:line="360" w:lineRule="auto"/>
        <w:jc w:val="center"/>
        <w:rPr>
          <w:rFonts w:ascii="Times New Roman" w:hAnsi="Times New Roman" w:cs="Times New Roman"/>
          <w:b/>
          <w:sz w:val="24"/>
          <w:szCs w:val="24"/>
        </w:rPr>
      </w:pPr>
      <w:r w:rsidRPr="00377CFE">
        <w:rPr>
          <w:rFonts w:ascii="Times New Roman" w:hAnsi="Times New Roman" w:cs="Times New Roman"/>
          <w:b/>
          <w:sz w:val="24"/>
          <w:szCs w:val="24"/>
        </w:rPr>
        <w:t>Abstract</w:t>
      </w:r>
    </w:p>
    <w:p w:rsidR="00201B32" w:rsidRPr="00377CFE" w:rsidRDefault="00201B32" w:rsidP="00201B32">
      <w:pPr>
        <w:spacing w:line="360" w:lineRule="auto"/>
        <w:jc w:val="both"/>
        <w:rPr>
          <w:rFonts w:ascii="Times New Roman" w:hAnsi="Times New Roman" w:cs="Times New Roman"/>
          <w:b/>
          <w:bCs/>
          <w:sz w:val="24"/>
          <w:szCs w:val="24"/>
          <w:lang w:val="en-GB"/>
        </w:rPr>
      </w:pPr>
      <w:r w:rsidRPr="00377CFE">
        <w:rPr>
          <w:rFonts w:ascii="Times New Roman" w:hAnsi="Times New Roman" w:cs="Times New Roman"/>
          <w:sz w:val="24"/>
          <w:szCs w:val="24"/>
        </w:rPr>
        <w:t xml:space="preserve">Coal mining in India is one of the most dangerous industries, exposing workers to high occupational health risks in terms of respiratory disease, skin lesions, hearing loss, and physical </w:t>
      </w:r>
      <w:proofErr w:type="spellStart"/>
      <w:r w:rsidRPr="00377CFE">
        <w:rPr>
          <w:rFonts w:ascii="Times New Roman" w:hAnsi="Times New Roman" w:cs="Times New Roman"/>
          <w:sz w:val="24"/>
          <w:szCs w:val="24"/>
        </w:rPr>
        <w:t>injury.This</w:t>
      </w:r>
      <w:proofErr w:type="spellEnd"/>
      <w:r w:rsidRPr="00377CFE">
        <w:rPr>
          <w:rFonts w:ascii="Times New Roman" w:hAnsi="Times New Roman" w:cs="Times New Roman"/>
          <w:sz w:val="24"/>
          <w:szCs w:val="24"/>
        </w:rPr>
        <w:t xml:space="preserve"> paper reviews occupational health in Indian coal mines in terms of qualitative review and quantitative analysis of secondary databases deriving from official, academic, and regulating sources. The findings, based on descriptive statistics and regression analysis, reveal marked reductions in both fatal and critical accidents in the past decade, citing stricter regulations, mechanizations, and medical surveillance as drivers of improvement in safety. However, persistent prevalence in terms of respiratory disorders in the form of silicosis and pneumoconiosis suggests persistent gaps in controlling dust and health surveillance. Legislative laws in terms of the Mines Act, 1952 and Coal Mines Regulations, 2017 have assisted in strengthening workplace safety, but gaps in enforcing these persist. The study identifies robust advocacy for interdisciplinary interventions in terms of policy, technology, health surveillance, and welfare of workers as means to foster Indian coal mines' occupational health in an enduring sense.</w:t>
      </w:r>
    </w:p>
    <w:p w:rsidR="00201B32" w:rsidRPr="00377CFE" w:rsidRDefault="00201B32"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 Keywords: </w:t>
      </w:r>
      <w:r w:rsidRPr="00377CFE">
        <w:rPr>
          <w:rFonts w:ascii="Times New Roman" w:hAnsi="Times New Roman" w:cs="Times New Roman"/>
          <w:sz w:val="24"/>
          <w:szCs w:val="24"/>
        </w:rPr>
        <w:t>Occupational Health, Coal Mines, Safety in Mines, Respiratory Disorders, India</w:t>
      </w:r>
      <w:r w:rsidR="00151ACD" w:rsidRPr="00377CFE">
        <w:rPr>
          <w:rFonts w:ascii="Times New Roman" w:hAnsi="Times New Roman" w:cs="Times New Roman"/>
          <w:sz w:val="24"/>
          <w:szCs w:val="24"/>
        </w:rPr>
        <w:t>.</w:t>
      </w:r>
    </w:p>
    <w:p w:rsidR="00201B32" w:rsidRPr="00377CFE" w:rsidRDefault="00201B32" w:rsidP="00201B32">
      <w:pPr>
        <w:spacing w:line="360" w:lineRule="auto"/>
        <w:jc w:val="both"/>
        <w:rPr>
          <w:rFonts w:ascii="Times New Roman" w:hAnsi="Times New Roman" w:cs="Times New Roman"/>
          <w:b/>
          <w:sz w:val="24"/>
          <w:szCs w:val="24"/>
        </w:rPr>
      </w:pPr>
    </w:p>
    <w:p w:rsidR="00201B32" w:rsidRPr="00377CFE" w:rsidRDefault="00201B32" w:rsidP="00201B32">
      <w:pPr>
        <w:spacing w:line="360" w:lineRule="auto"/>
        <w:jc w:val="both"/>
        <w:rPr>
          <w:rFonts w:ascii="Times New Roman" w:hAnsi="Times New Roman" w:cs="Times New Roman"/>
          <w:b/>
          <w:sz w:val="24"/>
          <w:szCs w:val="24"/>
        </w:rPr>
      </w:pPr>
    </w:p>
    <w:p w:rsidR="00201B32" w:rsidRPr="00377CFE" w:rsidRDefault="00201B32" w:rsidP="00201B32">
      <w:pPr>
        <w:spacing w:line="360" w:lineRule="auto"/>
        <w:jc w:val="both"/>
        <w:rPr>
          <w:rFonts w:ascii="Times New Roman" w:hAnsi="Times New Roman" w:cs="Times New Roman"/>
          <w:b/>
          <w:sz w:val="24"/>
          <w:szCs w:val="24"/>
        </w:rPr>
      </w:pPr>
    </w:p>
    <w:p w:rsidR="00201B32" w:rsidRPr="00377CFE" w:rsidRDefault="00201B32" w:rsidP="00201B32">
      <w:pPr>
        <w:spacing w:line="360" w:lineRule="auto"/>
        <w:jc w:val="both"/>
        <w:rPr>
          <w:rFonts w:ascii="Times New Roman" w:hAnsi="Times New Roman" w:cs="Times New Roman"/>
          <w:b/>
          <w:sz w:val="24"/>
          <w:szCs w:val="24"/>
        </w:rPr>
      </w:pPr>
    </w:p>
    <w:p w:rsidR="00201B32" w:rsidRPr="00377CFE" w:rsidRDefault="00201B32" w:rsidP="00201B32">
      <w:pPr>
        <w:spacing w:line="360" w:lineRule="auto"/>
        <w:jc w:val="both"/>
        <w:rPr>
          <w:rFonts w:ascii="Times New Roman" w:hAnsi="Times New Roman" w:cs="Times New Roman"/>
          <w:b/>
          <w:sz w:val="24"/>
          <w:szCs w:val="24"/>
        </w:rPr>
      </w:pPr>
    </w:p>
    <w:p w:rsidR="007A2852" w:rsidRDefault="007A2852" w:rsidP="00201B32">
      <w:pPr>
        <w:spacing w:line="360" w:lineRule="auto"/>
        <w:jc w:val="both"/>
        <w:rPr>
          <w:rFonts w:ascii="Times New Roman" w:hAnsi="Times New Roman" w:cs="Times New Roman"/>
          <w:b/>
          <w:sz w:val="24"/>
          <w:szCs w:val="24"/>
        </w:rPr>
      </w:pPr>
    </w:p>
    <w:p w:rsidR="007A2852" w:rsidRDefault="007A2852" w:rsidP="00201B32">
      <w:pPr>
        <w:spacing w:line="360" w:lineRule="auto"/>
        <w:jc w:val="both"/>
        <w:rPr>
          <w:rFonts w:ascii="Times New Roman" w:hAnsi="Times New Roman" w:cs="Times New Roman"/>
          <w:b/>
          <w:sz w:val="28"/>
          <w:szCs w:val="28"/>
        </w:rPr>
      </w:pPr>
    </w:p>
    <w:p w:rsidR="007A2852" w:rsidRDefault="007A2852" w:rsidP="00201B32">
      <w:pPr>
        <w:spacing w:line="360" w:lineRule="auto"/>
        <w:jc w:val="both"/>
        <w:rPr>
          <w:rFonts w:ascii="Times New Roman" w:hAnsi="Times New Roman" w:cs="Times New Roman"/>
          <w:b/>
          <w:sz w:val="28"/>
          <w:szCs w:val="28"/>
        </w:rPr>
      </w:pPr>
    </w:p>
    <w:p w:rsidR="007A2852" w:rsidRDefault="007A2852" w:rsidP="00201B32">
      <w:pPr>
        <w:spacing w:line="360" w:lineRule="auto"/>
        <w:jc w:val="both"/>
        <w:rPr>
          <w:rFonts w:ascii="Times New Roman" w:hAnsi="Times New Roman" w:cs="Times New Roman"/>
          <w:b/>
          <w:sz w:val="28"/>
          <w:szCs w:val="28"/>
        </w:rPr>
      </w:pPr>
    </w:p>
    <w:p w:rsidR="00201B32" w:rsidRPr="00377CFE" w:rsidRDefault="00201B32" w:rsidP="00201B32">
      <w:pPr>
        <w:spacing w:line="360" w:lineRule="auto"/>
        <w:jc w:val="both"/>
        <w:rPr>
          <w:rFonts w:ascii="Times New Roman" w:hAnsi="Times New Roman" w:cs="Times New Roman"/>
          <w:b/>
          <w:sz w:val="28"/>
          <w:szCs w:val="28"/>
        </w:rPr>
      </w:pPr>
      <w:r w:rsidRPr="00377CFE">
        <w:rPr>
          <w:rFonts w:ascii="Times New Roman" w:hAnsi="Times New Roman" w:cs="Times New Roman"/>
          <w:b/>
          <w:sz w:val="28"/>
          <w:szCs w:val="28"/>
        </w:rPr>
        <w:t>1. Introduction</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Coal mining underpins the energy sector in India, with the nations producing over 1 billion tons coal in the financial year 2024-25 with the growth rate of 4.99 percent in output as compared to the previous financial year (Press Information Bureau).The success of the coal sector is attributed to around 5 lakh mine workers across more than 350 mines nationwide (Press Information Bureau). Coal mining is inherently one of the most hazardous professions in India. It exposes workers to a wide range of health issues including skin disorder, respiratory diseases, hearing loss and other physical injuries</w:t>
      </w:r>
      <w:r w:rsidR="002547B4" w:rsidRPr="00377CFE">
        <w:rPr>
          <w:rFonts w:ascii="Times New Roman" w:hAnsi="Times New Roman" w:cs="Times New Roman"/>
          <w:sz w:val="24"/>
          <w:szCs w:val="24"/>
        </w:rPr>
        <w:t xml:space="preserve"> (</w:t>
      </w:r>
      <w:proofErr w:type="spellStart"/>
      <w:r w:rsidR="002547B4" w:rsidRPr="00377CFE">
        <w:rPr>
          <w:rFonts w:ascii="Times New Roman" w:hAnsi="Times New Roman" w:cs="Times New Roman"/>
          <w:sz w:val="24"/>
          <w:szCs w:val="24"/>
        </w:rPr>
        <w:t>Vanka</w:t>
      </w:r>
      <w:proofErr w:type="spellEnd"/>
      <w:r w:rsidR="002547B4" w:rsidRPr="00377CFE">
        <w:rPr>
          <w:rFonts w:ascii="Times New Roman" w:hAnsi="Times New Roman" w:cs="Times New Roman"/>
          <w:sz w:val="24"/>
          <w:szCs w:val="24"/>
        </w:rPr>
        <w:t xml:space="preserve"> </w:t>
      </w:r>
      <w:r w:rsidR="002547B4" w:rsidRPr="00377CFE">
        <w:rPr>
          <w:rFonts w:ascii="Times New Roman" w:hAnsi="Times New Roman" w:cs="Times New Roman"/>
          <w:i/>
          <w:sz w:val="24"/>
          <w:szCs w:val="24"/>
        </w:rPr>
        <w:t xml:space="preserve">et al., </w:t>
      </w:r>
      <w:r w:rsidR="002547B4" w:rsidRPr="00377CFE">
        <w:rPr>
          <w:rFonts w:ascii="Times New Roman" w:hAnsi="Times New Roman" w:cs="Times New Roman"/>
          <w:sz w:val="24"/>
          <w:szCs w:val="24"/>
        </w:rPr>
        <w:t>2022)</w:t>
      </w:r>
      <w:r w:rsidRPr="00377CFE">
        <w:rPr>
          <w:rFonts w:ascii="Times New Roman" w:hAnsi="Times New Roman" w:cs="Times New Roman"/>
          <w:sz w:val="24"/>
          <w:szCs w:val="24"/>
        </w:rPr>
        <w:t>. There are many diseases generated from the inhalation of coal dust including silicosis, black lung disease and chronic obstructive pulmonary disease (COPD) due to the deposition of the particulate matters (PM) in the lungs. In addition to that, skin disorders are exposed to the workers due to the usage of chemicals</w:t>
      </w:r>
      <w:r w:rsidR="002547B4" w:rsidRPr="00377CFE">
        <w:rPr>
          <w:rFonts w:ascii="Times New Roman" w:hAnsi="Times New Roman" w:cs="Times New Roman"/>
          <w:sz w:val="24"/>
          <w:szCs w:val="24"/>
        </w:rPr>
        <w:t xml:space="preserve"> (Trivedi and </w:t>
      </w:r>
      <w:proofErr w:type="spellStart"/>
      <w:r w:rsidR="002547B4" w:rsidRPr="00377CFE">
        <w:rPr>
          <w:rFonts w:ascii="Times New Roman" w:hAnsi="Times New Roman" w:cs="Times New Roman"/>
          <w:sz w:val="24"/>
          <w:szCs w:val="24"/>
        </w:rPr>
        <w:t>Somayaji</w:t>
      </w:r>
      <w:proofErr w:type="spellEnd"/>
      <w:r w:rsidR="002547B4" w:rsidRPr="00377CFE">
        <w:rPr>
          <w:rFonts w:ascii="Times New Roman" w:hAnsi="Times New Roman" w:cs="Times New Roman"/>
          <w:sz w:val="24"/>
          <w:szCs w:val="24"/>
        </w:rPr>
        <w:t>, 2022).</w:t>
      </w:r>
      <w:r w:rsidRPr="00377CFE">
        <w:rPr>
          <w:rFonts w:ascii="Times New Roman" w:hAnsi="Times New Roman" w:cs="Times New Roman"/>
          <w:sz w:val="24"/>
          <w:szCs w:val="24"/>
        </w:rPr>
        <w:t>The workers are exposed to hearing problems due to the usage of explosives and heavy machinery. On the other hand, physical injuries occur due to the usage of heavy equipment and transportation vehicles.</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The Indian government regulates the inherent risk factors in complete legislation. The Mines Safety and Health in India under Mines Act, 1952 and related regulations was replaced by Coal Mines Regulations, 2017, which insists on safety audit, medical check-up and dust monitoring in mines industry. The standard is implemented by Director General of Mines Safety (DGMS) who operates under Ministry of Labor and Employment. The lag in practice persists in industries, however. International Labor Organization (ILO) estimates through 562 cases of occupational disease, obvious during 2011-2016, in all industries, highlighting challenges in surveillance. Health of the coal miners has been to a great extent through periodical medical checks through mines operators and occasional medical surveys</w:t>
      </w:r>
      <w:r w:rsidR="00DB273A" w:rsidRPr="00377CFE">
        <w:rPr>
          <w:rFonts w:ascii="Times New Roman" w:hAnsi="Times New Roman" w:cs="Times New Roman"/>
          <w:sz w:val="24"/>
          <w:szCs w:val="24"/>
        </w:rPr>
        <w:t xml:space="preserve"> (</w:t>
      </w:r>
      <w:r w:rsidR="00DB273A" w:rsidRPr="00377CFE">
        <w:rPr>
          <w:rFonts w:ascii="Times New Roman" w:hAnsi="Times New Roman" w:cs="Times New Roman"/>
          <w:color w:val="222222"/>
          <w:sz w:val="24"/>
          <w:szCs w:val="24"/>
          <w:shd w:val="clear" w:color="auto" w:fill="FFFFFF"/>
        </w:rPr>
        <w:t>Sahoo and Rout,</w:t>
      </w:r>
      <w:r w:rsidR="007A2852">
        <w:rPr>
          <w:rFonts w:ascii="Times New Roman" w:hAnsi="Times New Roman" w:cs="Times New Roman"/>
          <w:color w:val="222222"/>
          <w:sz w:val="24"/>
          <w:szCs w:val="24"/>
          <w:shd w:val="clear" w:color="auto" w:fill="FFFFFF"/>
        </w:rPr>
        <w:t xml:space="preserve"> </w:t>
      </w:r>
      <w:r w:rsidR="00DB273A" w:rsidRPr="00377CFE">
        <w:rPr>
          <w:rFonts w:ascii="Times New Roman" w:hAnsi="Times New Roman" w:cs="Times New Roman"/>
          <w:color w:val="222222"/>
          <w:sz w:val="24"/>
          <w:szCs w:val="24"/>
          <w:shd w:val="clear" w:color="auto" w:fill="FFFFFF"/>
        </w:rPr>
        <w:t xml:space="preserve">2023). </w:t>
      </w:r>
      <w:r w:rsidRPr="00377CFE">
        <w:rPr>
          <w:rFonts w:ascii="Times New Roman" w:hAnsi="Times New Roman" w:cs="Times New Roman"/>
          <w:sz w:val="24"/>
          <w:szCs w:val="24"/>
        </w:rPr>
        <w:t>This review harmonizes available data on physical health of the miners, both in past and present, at national level, and shows the trends and main challenges.</w:t>
      </w:r>
    </w:p>
    <w:p w:rsidR="00201B32" w:rsidRPr="00377CFE" w:rsidRDefault="00201B32"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 1.1. Institutional</w:t>
      </w:r>
      <w:r w:rsidR="002547B4" w:rsidRPr="00377CFE">
        <w:rPr>
          <w:rFonts w:ascii="Times New Roman" w:hAnsi="Times New Roman" w:cs="Times New Roman"/>
          <w:b/>
          <w:sz w:val="24"/>
          <w:szCs w:val="24"/>
        </w:rPr>
        <w:t xml:space="preserve"> framework</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lastRenderedPageBreak/>
        <w:t xml:space="preserve">Indian coal sector comprises state-run Coal India Limited and its subordinate enterprises, state and private mines. The Indian mines are located in states of Jharkhand, West Bengal, Orissa, Madhya Pradesh, Chhattisgarh, </w:t>
      </w:r>
      <w:proofErr w:type="spellStart"/>
      <w:r w:rsidRPr="00377CFE">
        <w:rPr>
          <w:rFonts w:ascii="Times New Roman" w:hAnsi="Times New Roman" w:cs="Times New Roman"/>
          <w:sz w:val="24"/>
          <w:szCs w:val="24"/>
        </w:rPr>
        <w:t>Telengana</w:t>
      </w:r>
      <w:proofErr w:type="spellEnd"/>
      <w:r w:rsidRPr="00377CFE">
        <w:rPr>
          <w:rFonts w:ascii="Times New Roman" w:hAnsi="Times New Roman" w:cs="Times New Roman"/>
          <w:sz w:val="24"/>
          <w:szCs w:val="24"/>
        </w:rPr>
        <w:t xml:space="preserve"> and others, both in </w:t>
      </w:r>
      <w:r w:rsidR="008C0A22" w:rsidRPr="00377CFE">
        <w:rPr>
          <w:rFonts w:ascii="Times New Roman" w:hAnsi="Times New Roman" w:cs="Times New Roman"/>
          <w:sz w:val="24"/>
          <w:szCs w:val="24"/>
        </w:rPr>
        <w:t>underground</w:t>
      </w:r>
      <w:r w:rsidRPr="00377CFE">
        <w:rPr>
          <w:rFonts w:ascii="Times New Roman" w:hAnsi="Times New Roman" w:cs="Times New Roman"/>
          <w:sz w:val="24"/>
          <w:szCs w:val="24"/>
        </w:rPr>
        <w:t xml:space="preserve"> and open pit workings. DGMS, under Ministry of </w:t>
      </w:r>
      <w:proofErr w:type="spellStart"/>
      <w:r w:rsidRPr="00377CFE">
        <w:rPr>
          <w:rFonts w:ascii="Times New Roman" w:hAnsi="Times New Roman" w:cs="Times New Roman"/>
          <w:sz w:val="24"/>
          <w:szCs w:val="24"/>
        </w:rPr>
        <w:t>Labour</w:t>
      </w:r>
      <w:proofErr w:type="spellEnd"/>
      <w:r w:rsidRPr="00377CFE">
        <w:rPr>
          <w:rFonts w:ascii="Times New Roman" w:hAnsi="Times New Roman" w:cs="Times New Roman"/>
          <w:sz w:val="24"/>
          <w:szCs w:val="24"/>
        </w:rPr>
        <w:t>, administers the laws of mine safety and collate heal and accident statistics. The National Institute of Miners’ Health (NIMH), at national level, focuses on research on mining health. On the other hand, National Institute of Occupational Health (NIOH), Ahmedabad and other organizations provide technical support. National Policy on Safety, Health and Environment at Workplaces at national level was implemented in 2009 in India for enhancement of occupational health infrastructure in the nation. The policy envisions utmost commitment by entire involved stakeholders such as social partners and government.</w:t>
      </w:r>
    </w:p>
    <w:p w:rsidR="00201B32" w:rsidRPr="00377CFE" w:rsidRDefault="00151ACD"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1.2. Legislative framework</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Legislative framework of occupational health of mine workers comprises various laws, regulations and standards, which have been drafted to ensure health and safety of laborers. The Mines Act, 1952 addresses health, safety and welfare of laborers in mines and covers important aspects such as ventilation, control over dust, number of working hours and accident avoidance. The Factories Act, 1948 (amended in 1987) addresses details of work security and hazardous work condition in mines, including terms in regard to safety and health of laborers and precautions in regard to occupational health and safety duties of employers. The Occupational Safety, Health and Working Condition Code, 2020 attempts to converge different labor laws and elevate worker security in hazardous industries, including mines sector. ISO 45001 signifies an international standard offering guidelines for occupational health and safety administration system based on continual improvement and control over hazards on a regular basis. Key regulations, specific to the coal mines sector, comprise the Mines Act, 1952, Mine Rules 1955 and the Coal Mining Regulations, 2017. These include specifications in regard to suppression of dust, ventilation, medical check-up and safety committees.</w:t>
      </w:r>
    </w:p>
    <w:p w:rsidR="00201B32" w:rsidRPr="00377CFE" w:rsidRDefault="00201B32"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1.3. Context of the study</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National study reveals mining have excessive occupational disease burden. Pneumoconiosis (especially CWP and silicosis) appears in 29 notifiable occupational diseases in India. Pneumoconiosis and silicosis have been focused in past health surveys, but hitherto, their </w:t>
      </w:r>
      <w:r w:rsidRPr="00377CFE">
        <w:rPr>
          <w:rFonts w:ascii="Times New Roman" w:hAnsi="Times New Roman" w:cs="Times New Roman"/>
          <w:sz w:val="24"/>
          <w:szCs w:val="24"/>
        </w:rPr>
        <w:lastRenderedPageBreak/>
        <w:t>prevalence in coal mines was very poorly estimated at national level. The paper tries to put together various sources like DGMS statistics, ministry reports, research articles on occupational health and safety in Indian mines, for making an outline review on physical health of Indian coal mine workers.</w:t>
      </w:r>
    </w:p>
    <w:p w:rsidR="00E75A93" w:rsidRPr="007A2852" w:rsidRDefault="00E75A93" w:rsidP="00201B32">
      <w:pPr>
        <w:spacing w:line="360" w:lineRule="auto"/>
        <w:jc w:val="both"/>
        <w:rPr>
          <w:rFonts w:ascii="Times New Roman" w:hAnsi="Times New Roman" w:cs="Times New Roman"/>
          <w:b/>
          <w:sz w:val="28"/>
          <w:szCs w:val="28"/>
        </w:rPr>
      </w:pPr>
      <w:r w:rsidRPr="007A2852">
        <w:rPr>
          <w:rFonts w:ascii="Times New Roman" w:hAnsi="Times New Roman" w:cs="Times New Roman"/>
          <w:b/>
          <w:sz w:val="28"/>
          <w:szCs w:val="28"/>
        </w:rPr>
        <w:t>2. Literature review</w:t>
      </w:r>
    </w:p>
    <w:p w:rsidR="0045510E" w:rsidRPr="00377CFE" w:rsidRDefault="001D3ED6"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Occupational health and safety (OHS) issues within the mining industry have attracted broad global attention due to multifaceted challenges comprising physical hazards, psychosocial risks, contractual labor, and emerging technological dynamics. One of the earliest comprehensive overviews on occupational health hazards in mining was provided by </w:t>
      </w:r>
      <w:r w:rsidRPr="00377CFE">
        <w:rPr>
          <w:rStyle w:val="Strong"/>
          <w:rFonts w:ascii="Times New Roman" w:hAnsi="Times New Roman" w:cs="Times New Roman"/>
          <w:b w:val="0"/>
          <w:sz w:val="24"/>
          <w:szCs w:val="24"/>
        </w:rPr>
        <w:t>Donoghue (2004)</w:t>
      </w:r>
      <w:r w:rsidRPr="00377CFE">
        <w:rPr>
          <w:rFonts w:ascii="Times New Roman" w:hAnsi="Times New Roman" w:cs="Times New Roman"/>
          <w:sz w:val="24"/>
          <w:szCs w:val="24"/>
        </w:rPr>
        <w:t xml:space="preserve">, who identified key risks such as respiratory diseases, noise-induced hearing loss, musculoskeletal disorders, and accidents resulting from unsafe working conditions. Expanding upon this, </w:t>
      </w:r>
      <w:proofErr w:type="spellStart"/>
      <w:r w:rsidRPr="00377CFE">
        <w:rPr>
          <w:rStyle w:val="Strong"/>
          <w:rFonts w:ascii="Times New Roman" w:hAnsi="Times New Roman" w:cs="Times New Roman"/>
          <w:b w:val="0"/>
          <w:sz w:val="24"/>
          <w:szCs w:val="24"/>
        </w:rPr>
        <w:t>Saha</w:t>
      </w:r>
      <w:proofErr w:type="spellEnd"/>
      <w:r w:rsidRPr="00377CFE">
        <w:rPr>
          <w:rStyle w:val="Strong"/>
          <w:rFonts w:ascii="Times New Roman" w:hAnsi="Times New Roman" w:cs="Times New Roman"/>
          <w:b w:val="0"/>
          <w:sz w:val="24"/>
          <w:szCs w:val="24"/>
        </w:rPr>
        <w:t xml:space="preserve"> (2018)</w:t>
      </w:r>
      <w:r w:rsidRPr="00377CFE">
        <w:rPr>
          <w:rFonts w:ascii="Times New Roman" w:hAnsi="Times New Roman" w:cs="Times New Roman"/>
          <w:b/>
          <w:sz w:val="24"/>
          <w:szCs w:val="24"/>
        </w:rPr>
        <w:t xml:space="preserve"> </w:t>
      </w:r>
      <w:r w:rsidRPr="00377CFE">
        <w:rPr>
          <w:rFonts w:ascii="Times New Roman" w:hAnsi="Times New Roman" w:cs="Times New Roman"/>
          <w:sz w:val="24"/>
          <w:szCs w:val="24"/>
        </w:rPr>
        <w:t xml:space="preserve">examined occupational health within India’s industrial </w:t>
      </w:r>
      <w:r w:rsidR="00377CFE" w:rsidRPr="00377CFE">
        <w:rPr>
          <w:rFonts w:ascii="Times New Roman" w:hAnsi="Times New Roman" w:cs="Times New Roman"/>
          <w:sz w:val="24"/>
          <w:szCs w:val="24"/>
        </w:rPr>
        <w:t>framework;</w:t>
      </w:r>
      <w:r w:rsidRPr="00377CFE">
        <w:rPr>
          <w:rFonts w:ascii="Times New Roman" w:hAnsi="Times New Roman" w:cs="Times New Roman"/>
          <w:sz w:val="24"/>
          <w:szCs w:val="24"/>
        </w:rPr>
        <w:t xml:space="preserve"> revealing a persistent gap between policy formulation and implementation, particularly in sectors like mining where informal and contract labor remain dominant. Building further, </w:t>
      </w:r>
      <w:r w:rsidRPr="00377CFE">
        <w:rPr>
          <w:rStyle w:val="Strong"/>
          <w:rFonts w:ascii="Times New Roman" w:hAnsi="Times New Roman" w:cs="Times New Roman"/>
          <w:b w:val="0"/>
          <w:sz w:val="24"/>
          <w:szCs w:val="24"/>
        </w:rPr>
        <w:t>Jackson and Quinlan (2024)</w:t>
      </w:r>
      <w:r w:rsidRPr="00377CFE">
        <w:rPr>
          <w:rFonts w:ascii="Times New Roman" w:hAnsi="Times New Roman" w:cs="Times New Roman"/>
          <w:sz w:val="24"/>
          <w:szCs w:val="24"/>
        </w:rPr>
        <w:t xml:space="preserve"> in their critical review analyzed the complex dynamics between contract labor and safety outcomes in mining, concluding that outsourcing and precarious </w:t>
      </w:r>
      <w:r w:rsidR="00377CFE" w:rsidRPr="00377CFE">
        <w:rPr>
          <w:rFonts w:ascii="Times New Roman" w:hAnsi="Times New Roman" w:cs="Times New Roman"/>
          <w:sz w:val="24"/>
          <w:szCs w:val="24"/>
        </w:rPr>
        <w:t>employment often weakens</w:t>
      </w:r>
      <w:r w:rsidRPr="00377CFE">
        <w:rPr>
          <w:rFonts w:ascii="Times New Roman" w:hAnsi="Times New Roman" w:cs="Times New Roman"/>
          <w:sz w:val="24"/>
          <w:szCs w:val="24"/>
        </w:rPr>
        <w:t xml:space="preserve"> standards and accountability in safety practices. From a regional Indian perspective, </w:t>
      </w:r>
      <w:proofErr w:type="spellStart"/>
      <w:r w:rsidRPr="00377CFE">
        <w:rPr>
          <w:rStyle w:val="Strong"/>
          <w:rFonts w:ascii="Times New Roman" w:hAnsi="Times New Roman" w:cs="Times New Roman"/>
          <w:b w:val="0"/>
          <w:sz w:val="24"/>
          <w:szCs w:val="24"/>
        </w:rPr>
        <w:t>Neelakanti</w:t>
      </w:r>
      <w:proofErr w:type="spellEnd"/>
      <w:r w:rsidRPr="00377CFE">
        <w:rPr>
          <w:rStyle w:val="Strong"/>
          <w:rFonts w:ascii="Times New Roman" w:hAnsi="Times New Roman" w:cs="Times New Roman"/>
          <w:b w:val="0"/>
          <w:sz w:val="24"/>
          <w:szCs w:val="24"/>
        </w:rPr>
        <w:t xml:space="preserve"> and </w:t>
      </w:r>
      <w:proofErr w:type="spellStart"/>
      <w:r w:rsidRPr="00377CFE">
        <w:rPr>
          <w:rStyle w:val="Strong"/>
          <w:rFonts w:ascii="Times New Roman" w:hAnsi="Times New Roman" w:cs="Times New Roman"/>
          <w:b w:val="0"/>
          <w:sz w:val="24"/>
          <w:szCs w:val="24"/>
        </w:rPr>
        <w:t>Sriramula</w:t>
      </w:r>
      <w:proofErr w:type="spellEnd"/>
      <w:r w:rsidRPr="00377CFE">
        <w:rPr>
          <w:rStyle w:val="Strong"/>
          <w:rFonts w:ascii="Times New Roman" w:hAnsi="Times New Roman" w:cs="Times New Roman"/>
          <w:b w:val="0"/>
          <w:sz w:val="24"/>
          <w:szCs w:val="24"/>
        </w:rPr>
        <w:t xml:space="preserve"> (2019)</w:t>
      </w:r>
      <w:r w:rsidRPr="00377CFE">
        <w:rPr>
          <w:rFonts w:ascii="Times New Roman" w:hAnsi="Times New Roman" w:cs="Times New Roman"/>
          <w:b/>
          <w:sz w:val="24"/>
          <w:szCs w:val="24"/>
        </w:rPr>
        <w:t xml:space="preserve"> </w:t>
      </w:r>
      <w:r w:rsidRPr="00377CFE">
        <w:rPr>
          <w:rFonts w:ascii="Times New Roman" w:hAnsi="Times New Roman" w:cs="Times New Roman"/>
          <w:sz w:val="24"/>
          <w:szCs w:val="24"/>
        </w:rPr>
        <w:t xml:space="preserve">explored the work characteristics and morbidity patterns of coal mine workers in South India, highlighting the prevalence of respiratory and musculoskeletal issues caused by poor ventilation, chronic dust exposure, and inadequate protective measures. Complementing this view, </w:t>
      </w:r>
      <w:proofErr w:type="spellStart"/>
      <w:r w:rsidRPr="00377CFE">
        <w:rPr>
          <w:rStyle w:val="Strong"/>
          <w:rFonts w:ascii="Times New Roman" w:hAnsi="Times New Roman" w:cs="Times New Roman"/>
          <w:b w:val="0"/>
          <w:sz w:val="24"/>
          <w:szCs w:val="24"/>
        </w:rPr>
        <w:t>Alrawad</w:t>
      </w:r>
      <w:proofErr w:type="spellEnd"/>
      <w:r w:rsidRPr="00377CFE">
        <w:rPr>
          <w:rStyle w:val="Strong"/>
          <w:rFonts w:ascii="Times New Roman" w:hAnsi="Times New Roman" w:cs="Times New Roman"/>
          <w:b w:val="0"/>
          <w:sz w:val="24"/>
          <w:szCs w:val="24"/>
        </w:rPr>
        <w:t xml:space="preserve"> et al. (2022)</w:t>
      </w:r>
      <w:r w:rsidRPr="00377CFE">
        <w:rPr>
          <w:rFonts w:ascii="Times New Roman" w:hAnsi="Times New Roman" w:cs="Times New Roman"/>
          <w:sz w:val="24"/>
          <w:szCs w:val="24"/>
        </w:rPr>
        <w:t xml:space="preserve"> employed a psychometric approach to assess miners’ perceptions of occupational and environmental risks, finding that risk perception was largely influenced by education level, work experience, and managerial commitment to safety. Addressing psychosocial dimensions, </w:t>
      </w:r>
      <w:proofErr w:type="spellStart"/>
      <w:r w:rsidRPr="00377CFE">
        <w:rPr>
          <w:rStyle w:val="Strong"/>
          <w:rFonts w:ascii="Times New Roman" w:hAnsi="Times New Roman" w:cs="Times New Roman"/>
          <w:b w:val="0"/>
          <w:sz w:val="24"/>
          <w:szCs w:val="24"/>
        </w:rPr>
        <w:t>Amponsah-Tawiah</w:t>
      </w:r>
      <w:proofErr w:type="spellEnd"/>
      <w:r w:rsidRPr="00377CFE">
        <w:rPr>
          <w:rStyle w:val="Strong"/>
          <w:rFonts w:ascii="Times New Roman" w:hAnsi="Times New Roman" w:cs="Times New Roman"/>
          <w:b w:val="0"/>
          <w:sz w:val="24"/>
          <w:szCs w:val="24"/>
        </w:rPr>
        <w:t xml:space="preserve"> et al. (2013)</w:t>
      </w:r>
      <w:r w:rsidRPr="00377CFE">
        <w:rPr>
          <w:rFonts w:ascii="Times New Roman" w:hAnsi="Times New Roman" w:cs="Times New Roman"/>
          <w:sz w:val="24"/>
          <w:szCs w:val="24"/>
        </w:rPr>
        <w:t xml:space="preserve"> examined the causes of both physical and psychological hazards in Ghana’s mining industry and discovered that poor safety communication and excessive workloads contribute significantly to negative employee safety experiences. Similarly, </w:t>
      </w:r>
      <w:proofErr w:type="spellStart"/>
      <w:r w:rsidRPr="00377CFE">
        <w:rPr>
          <w:rStyle w:val="Strong"/>
          <w:rFonts w:ascii="Times New Roman" w:hAnsi="Times New Roman" w:cs="Times New Roman"/>
          <w:b w:val="0"/>
          <w:sz w:val="24"/>
          <w:szCs w:val="24"/>
        </w:rPr>
        <w:t>Amponsah-Tawiah</w:t>
      </w:r>
      <w:proofErr w:type="spellEnd"/>
      <w:r w:rsidRPr="00377CFE">
        <w:rPr>
          <w:rStyle w:val="Strong"/>
          <w:rFonts w:ascii="Times New Roman" w:hAnsi="Times New Roman" w:cs="Times New Roman"/>
          <w:b w:val="0"/>
          <w:sz w:val="24"/>
          <w:szCs w:val="24"/>
        </w:rPr>
        <w:t xml:space="preserve"> and Mensah (2016)</w:t>
      </w:r>
      <w:r w:rsidRPr="00377CFE">
        <w:rPr>
          <w:rFonts w:ascii="Times New Roman" w:hAnsi="Times New Roman" w:cs="Times New Roman"/>
          <w:sz w:val="24"/>
          <w:szCs w:val="24"/>
        </w:rPr>
        <w:t xml:space="preserve"> investigated the relationship between OHS practices and organizational commitment, concluding that effective safety management enhances employee loyalty and job satisfaction. The growing recognition of mental health as a neglected aspect of miner well-being was highlighted by </w:t>
      </w:r>
      <w:proofErr w:type="spellStart"/>
      <w:r w:rsidRPr="00377CFE">
        <w:rPr>
          <w:rStyle w:val="Strong"/>
          <w:rFonts w:ascii="Times New Roman" w:hAnsi="Times New Roman" w:cs="Times New Roman"/>
          <w:b w:val="0"/>
          <w:sz w:val="24"/>
          <w:szCs w:val="24"/>
        </w:rPr>
        <w:t>Asare-Doku</w:t>
      </w:r>
      <w:proofErr w:type="spellEnd"/>
      <w:r w:rsidRPr="00377CFE">
        <w:rPr>
          <w:rStyle w:val="Strong"/>
          <w:rFonts w:ascii="Times New Roman" w:hAnsi="Times New Roman" w:cs="Times New Roman"/>
          <w:b w:val="0"/>
          <w:sz w:val="24"/>
          <w:szCs w:val="24"/>
        </w:rPr>
        <w:t xml:space="preserve"> et al.</w:t>
      </w:r>
      <w:r w:rsidRPr="00377CFE">
        <w:rPr>
          <w:rStyle w:val="Strong"/>
          <w:rFonts w:ascii="Times New Roman" w:hAnsi="Times New Roman" w:cs="Times New Roman"/>
          <w:sz w:val="24"/>
          <w:szCs w:val="24"/>
        </w:rPr>
        <w:t xml:space="preserve"> </w:t>
      </w:r>
      <w:r w:rsidRPr="00377CFE">
        <w:rPr>
          <w:rStyle w:val="Strong"/>
          <w:rFonts w:ascii="Times New Roman" w:hAnsi="Times New Roman" w:cs="Times New Roman"/>
          <w:b w:val="0"/>
          <w:sz w:val="24"/>
          <w:szCs w:val="24"/>
        </w:rPr>
        <w:t>(2022)</w:t>
      </w:r>
      <w:r w:rsidRPr="00377CFE">
        <w:rPr>
          <w:rFonts w:ascii="Times New Roman" w:hAnsi="Times New Roman" w:cs="Times New Roman"/>
          <w:b/>
          <w:sz w:val="24"/>
          <w:szCs w:val="24"/>
        </w:rPr>
        <w:t>,</w:t>
      </w:r>
      <w:r w:rsidRPr="00377CFE">
        <w:rPr>
          <w:rFonts w:ascii="Times New Roman" w:hAnsi="Times New Roman" w:cs="Times New Roman"/>
          <w:sz w:val="24"/>
          <w:szCs w:val="24"/>
        </w:rPr>
        <w:t xml:space="preserve"> </w:t>
      </w:r>
      <w:r w:rsidRPr="00377CFE">
        <w:rPr>
          <w:rFonts w:ascii="Times New Roman" w:hAnsi="Times New Roman" w:cs="Times New Roman"/>
          <w:sz w:val="24"/>
          <w:szCs w:val="24"/>
        </w:rPr>
        <w:lastRenderedPageBreak/>
        <w:t xml:space="preserve">who found that mental health support systems were largely absent in Ghanaian mines because management often viewed such initiatives as peripheral to core operations. In the realm of technological advancements, </w:t>
      </w:r>
      <w:r w:rsidRPr="00377CFE">
        <w:rPr>
          <w:rStyle w:val="Strong"/>
          <w:rFonts w:ascii="Times New Roman" w:hAnsi="Times New Roman" w:cs="Times New Roman"/>
          <w:b w:val="0"/>
          <w:sz w:val="24"/>
          <w:szCs w:val="24"/>
        </w:rPr>
        <w:t>Yang et al. (2021)</w:t>
      </w:r>
      <w:r w:rsidRPr="00377CFE">
        <w:rPr>
          <w:rFonts w:ascii="Times New Roman" w:hAnsi="Times New Roman" w:cs="Times New Roman"/>
          <w:sz w:val="24"/>
          <w:szCs w:val="24"/>
        </w:rPr>
        <w:t xml:space="preserve"> demonstrated how the integration of information technology, including the Internet of Things (IoT) and data analytics, could enhance safety monitoring and predictive risk assessment, advocating for a digital transition toward preventive safety cultures. Similarly, </w:t>
      </w:r>
      <w:proofErr w:type="spellStart"/>
      <w:r w:rsidRPr="00377CFE">
        <w:rPr>
          <w:rStyle w:val="Strong"/>
          <w:rFonts w:ascii="Times New Roman" w:hAnsi="Times New Roman" w:cs="Times New Roman"/>
          <w:b w:val="0"/>
          <w:sz w:val="24"/>
          <w:szCs w:val="24"/>
        </w:rPr>
        <w:t>Fargnoli</w:t>
      </w:r>
      <w:proofErr w:type="spellEnd"/>
      <w:r w:rsidR="00377CFE" w:rsidRPr="00377CFE">
        <w:rPr>
          <w:rStyle w:val="Strong"/>
          <w:rFonts w:ascii="Times New Roman" w:hAnsi="Times New Roman" w:cs="Times New Roman"/>
          <w:b w:val="0"/>
          <w:sz w:val="24"/>
          <w:szCs w:val="24"/>
        </w:rPr>
        <w:t xml:space="preserve"> et al.</w:t>
      </w:r>
      <w:r w:rsidRPr="00377CFE">
        <w:rPr>
          <w:rStyle w:val="Strong"/>
          <w:rFonts w:ascii="Times New Roman" w:hAnsi="Times New Roman" w:cs="Times New Roman"/>
          <w:b w:val="0"/>
          <w:sz w:val="24"/>
          <w:szCs w:val="24"/>
        </w:rPr>
        <w:t xml:space="preserve"> (2018</w:t>
      </w:r>
      <w:r w:rsidRPr="00377CFE">
        <w:rPr>
          <w:rStyle w:val="Strong"/>
          <w:rFonts w:ascii="Times New Roman" w:hAnsi="Times New Roman" w:cs="Times New Roman"/>
          <w:sz w:val="24"/>
          <w:szCs w:val="24"/>
        </w:rPr>
        <w:t>)</w:t>
      </w:r>
      <w:r w:rsidRPr="00377CFE">
        <w:rPr>
          <w:rFonts w:ascii="Times New Roman" w:hAnsi="Times New Roman" w:cs="Times New Roman"/>
          <w:sz w:val="24"/>
          <w:szCs w:val="24"/>
        </w:rPr>
        <w:t xml:space="preserve"> proposed a Hazard Function Deployment model inspired by Quality Function Deployment principles to improve task-level safety assessments—an approach highly transferable to mining environments. Earlier, </w:t>
      </w:r>
      <w:proofErr w:type="spellStart"/>
      <w:r w:rsidRPr="00377CFE">
        <w:rPr>
          <w:rStyle w:val="Strong"/>
          <w:rFonts w:ascii="Times New Roman" w:hAnsi="Times New Roman" w:cs="Times New Roman"/>
          <w:b w:val="0"/>
          <w:sz w:val="24"/>
          <w:szCs w:val="24"/>
        </w:rPr>
        <w:t>Fargnoli</w:t>
      </w:r>
      <w:proofErr w:type="spellEnd"/>
      <w:r w:rsidR="00377CFE" w:rsidRPr="00377CFE">
        <w:rPr>
          <w:rStyle w:val="Strong"/>
          <w:rFonts w:ascii="Times New Roman" w:hAnsi="Times New Roman" w:cs="Times New Roman"/>
          <w:b w:val="0"/>
          <w:sz w:val="24"/>
          <w:szCs w:val="24"/>
        </w:rPr>
        <w:t xml:space="preserve"> et al.</w:t>
      </w:r>
      <w:r w:rsidRPr="00377CFE">
        <w:rPr>
          <w:rStyle w:val="Strong"/>
          <w:rFonts w:ascii="Times New Roman" w:hAnsi="Times New Roman" w:cs="Times New Roman"/>
          <w:b w:val="0"/>
          <w:sz w:val="24"/>
          <w:szCs w:val="24"/>
        </w:rPr>
        <w:t xml:space="preserve"> (2011)</w:t>
      </w:r>
      <w:r w:rsidRPr="00377CFE">
        <w:rPr>
          <w:rFonts w:ascii="Times New Roman" w:hAnsi="Times New Roman" w:cs="Times New Roman"/>
          <w:sz w:val="24"/>
          <w:szCs w:val="24"/>
        </w:rPr>
        <w:t xml:space="preserve"> had suggested integrating knowledge management into OHS systems, arguing that information sharing strengthens hazard anticipation and compliance. From a management perspective, </w:t>
      </w:r>
      <w:proofErr w:type="spellStart"/>
      <w:r w:rsidRPr="00377CFE">
        <w:rPr>
          <w:rStyle w:val="Strong"/>
          <w:rFonts w:ascii="Times New Roman" w:hAnsi="Times New Roman" w:cs="Times New Roman"/>
          <w:b w:val="0"/>
          <w:sz w:val="24"/>
          <w:szCs w:val="24"/>
        </w:rPr>
        <w:t>Marimuthu</w:t>
      </w:r>
      <w:proofErr w:type="spellEnd"/>
      <w:r w:rsidRPr="00377CFE">
        <w:rPr>
          <w:rStyle w:val="Strong"/>
          <w:rFonts w:ascii="Times New Roman" w:hAnsi="Times New Roman" w:cs="Times New Roman"/>
          <w:b w:val="0"/>
          <w:sz w:val="24"/>
          <w:szCs w:val="24"/>
        </w:rPr>
        <w:t xml:space="preserve">, </w:t>
      </w:r>
      <w:r w:rsidR="00377CFE" w:rsidRPr="00377CFE">
        <w:rPr>
          <w:rStyle w:val="Strong"/>
          <w:rFonts w:ascii="Times New Roman" w:hAnsi="Times New Roman" w:cs="Times New Roman"/>
          <w:b w:val="0"/>
          <w:sz w:val="24"/>
          <w:szCs w:val="24"/>
        </w:rPr>
        <w:t xml:space="preserve">et al. </w:t>
      </w:r>
      <w:r w:rsidRPr="00377CFE">
        <w:rPr>
          <w:rStyle w:val="Strong"/>
          <w:rFonts w:ascii="Times New Roman" w:hAnsi="Times New Roman" w:cs="Times New Roman"/>
          <w:b w:val="0"/>
          <w:sz w:val="24"/>
          <w:szCs w:val="24"/>
        </w:rPr>
        <w:t>(2023)</w:t>
      </w:r>
      <w:r w:rsidRPr="00377CFE">
        <w:rPr>
          <w:rFonts w:ascii="Times New Roman" w:hAnsi="Times New Roman" w:cs="Times New Roman"/>
          <w:b/>
          <w:sz w:val="24"/>
          <w:szCs w:val="24"/>
        </w:rPr>
        <w:t xml:space="preserve"> </w:t>
      </w:r>
      <w:r w:rsidRPr="00377CFE">
        <w:rPr>
          <w:rFonts w:ascii="Times New Roman" w:hAnsi="Times New Roman" w:cs="Times New Roman"/>
          <w:sz w:val="24"/>
          <w:szCs w:val="24"/>
        </w:rPr>
        <w:t xml:space="preserve">utilized the SWARA method to prioritize key aspects of OHS in mining, concluding that training, supervision, and risk assessment are critical determinants of safety outcomes. Extending the discussion beyond the mining sector, </w:t>
      </w:r>
      <w:r w:rsidRPr="00377CFE">
        <w:rPr>
          <w:rStyle w:val="Strong"/>
          <w:rFonts w:ascii="Times New Roman" w:hAnsi="Times New Roman" w:cs="Times New Roman"/>
          <w:b w:val="0"/>
          <w:sz w:val="24"/>
          <w:szCs w:val="24"/>
        </w:rPr>
        <w:t>Ali et al. (2021)</w:t>
      </w:r>
      <w:r w:rsidRPr="00377CFE">
        <w:rPr>
          <w:rFonts w:ascii="Times New Roman" w:hAnsi="Times New Roman" w:cs="Times New Roman"/>
          <w:sz w:val="24"/>
          <w:szCs w:val="24"/>
        </w:rPr>
        <w:t xml:space="preserve"> analyzed OHS disclosures among manufacturing firms in Pakistan, revealing low reporting quality in lower-middle-income countries, indicative of systemic neglect in worker safety governance. </w:t>
      </w:r>
      <w:r w:rsidRPr="00377CFE">
        <w:rPr>
          <w:rStyle w:val="Strong"/>
          <w:rFonts w:ascii="Times New Roman" w:hAnsi="Times New Roman" w:cs="Times New Roman"/>
          <w:b w:val="0"/>
          <w:sz w:val="24"/>
          <w:szCs w:val="24"/>
        </w:rPr>
        <w:t xml:space="preserve">De </w:t>
      </w:r>
      <w:proofErr w:type="spellStart"/>
      <w:r w:rsidRPr="00377CFE">
        <w:rPr>
          <w:rStyle w:val="Strong"/>
          <w:rFonts w:ascii="Times New Roman" w:hAnsi="Times New Roman" w:cs="Times New Roman"/>
          <w:b w:val="0"/>
          <w:sz w:val="24"/>
          <w:szCs w:val="24"/>
        </w:rPr>
        <w:t>Cieri</w:t>
      </w:r>
      <w:proofErr w:type="spellEnd"/>
      <w:r w:rsidRPr="00377CFE">
        <w:rPr>
          <w:rStyle w:val="Strong"/>
          <w:rFonts w:ascii="Times New Roman" w:hAnsi="Times New Roman" w:cs="Times New Roman"/>
          <w:b w:val="0"/>
          <w:sz w:val="24"/>
          <w:szCs w:val="24"/>
        </w:rPr>
        <w:t xml:space="preserve"> and </w:t>
      </w:r>
      <w:proofErr w:type="spellStart"/>
      <w:r w:rsidRPr="00377CFE">
        <w:rPr>
          <w:rStyle w:val="Strong"/>
          <w:rFonts w:ascii="Times New Roman" w:hAnsi="Times New Roman" w:cs="Times New Roman"/>
          <w:b w:val="0"/>
          <w:sz w:val="24"/>
          <w:szCs w:val="24"/>
        </w:rPr>
        <w:t>Lazarova</w:t>
      </w:r>
      <w:proofErr w:type="spellEnd"/>
      <w:r w:rsidRPr="00377CFE">
        <w:rPr>
          <w:rStyle w:val="Strong"/>
          <w:rFonts w:ascii="Times New Roman" w:hAnsi="Times New Roman" w:cs="Times New Roman"/>
          <w:b w:val="0"/>
          <w:sz w:val="24"/>
          <w:szCs w:val="24"/>
        </w:rPr>
        <w:t xml:space="preserve"> (2021)</w:t>
      </w:r>
      <w:r w:rsidRPr="00377CFE">
        <w:rPr>
          <w:rFonts w:ascii="Times New Roman" w:hAnsi="Times New Roman" w:cs="Times New Roman"/>
          <w:sz w:val="24"/>
          <w:szCs w:val="24"/>
        </w:rPr>
        <w:t xml:space="preserve"> reviewed OHS research concerning international employees and emphasized the need for harmonized safety standards and a holistic approach to worker well-being in an increasingly globalized labor market. Adding to leadership perspectives, </w:t>
      </w:r>
      <w:proofErr w:type="spellStart"/>
      <w:r w:rsidRPr="00377CFE">
        <w:rPr>
          <w:rStyle w:val="Strong"/>
          <w:rFonts w:ascii="Times New Roman" w:hAnsi="Times New Roman" w:cs="Times New Roman"/>
          <w:b w:val="0"/>
          <w:sz w:val="24"/>
          <w:szCs w:val="24"/>
        </w:rPr>
        <w:t>Asad</w:t>
      </w:r>
      <w:proofErr w:type="spellEnd"/>
      <w:r w:rsidRPr="00377CFE">
        <w:rPr>
          <w:rStyle w:val="Strong"/>
          <w:rFonts w:ascii="Times New Roman" w:hAnsi="Times New Roman" w:cs="Times New Roman"/>
          <w:b w:val="0"/>
          <w:sz w:val="24"/>
          <w:szCs w:val="24"/>
        </w:rPr>
        <w:t xml:space="preserve"> et al. (2022)</w:t>
      </w:r>
      <w:r w:rsidRPr="00377CFE">
        <w:rPr>
          <w:rFonts w:ascii="Times New Roman" w:hAnsi="Times New Roman" w:cs="Times New Roman"/>
          <w:b/>
          <w:sz w:val="24"/>
          <w:szCs w:val="24"/>
        </w:rPr>
        <w:t xml:space="preserve"> </w:t>
      </w:r>
      <w:r w:rsidRPr="00377CFE">
        <w:rPr>
          <w:rFonts w:ascii="Times New Roman" w:hAnsi="Times New Roman" w:cs="Times New Roman"/>
          <w:sz w:val="24"/>
          <w:szCs w:val="24"/>
        </w:rPr>
        <w:t xml:space="preserve">identified the mediating role of transformational leadership in linking safety culture to performance in SMEs, offering insight relevant to mining where leadership significantly shapes safety priorities. Similarly, </w:t>
      </w:r>
      <w:proofErr w:type="spellStart"/>
      <w:r w:rsidRPr="00377CFE">
        <w:rPr>
          <w:rStyle w:val="Strong"/>
          <w:rFonts w:ascii="Times New Roman" w:hAnsi="Times New Roman" w:cs="Times New Roman"/>
          <w:b w:val="0"/>
          <w:sz w:val="24"/>
          <w:szCs w:val="24"/>
        </w:rPr>
        <w:t>Chaigneau</w:t>
      </w:r>
      <w:proofErr w:type="spellEnd"/>
      <w:r w:rsidRPr="00377CFE">
        <w:rPr>
          <w:rStyle w:val="Strong"/>
          <w:rFonts w:ascii="Times New Roman" w:hAnsi="Times New Roman" w:cs="Times New Roman"/>
          <w:b w:val="0"/>
          <w:sz w:val="24"/>
          <w:szCs w:val="24"/>
        </w:rPr>
        <w:t xml:space="preserve"> et al. (2022)</w:t>
      </w:r>
      <w:r w:rsidRPr="00377CFE">
        <w:rPr>
          <w:rFonts w:ascii="Times New Roman" w:hAnsi="Times New Roman" w:cs="Times New Roman"/>
          <w:sz w:val="24"/>
          <w:szCs w:val="24"/>
        </w:rPr>
        <w:t xml:space="preserve"> connected well-being and resilience frameworks to sustainable development, asserting that safety interventions should not only prevent harm but also foster long-term adaptive capacities among workers and communities reliant on mining</w:t>
      </w:r>
      <w:r w:rsidRPr="00377CFE">
        <w:rPr>
          <w:rFonts w:ascii="Times New Roman" w:hAnsi="Times New Roman" w:cs="Times New Roman"/>
          <w:b/>
          <w:sz w:val="24"/>
          <w:szCs w:val="24"/>
        </w:rPr>
        <w:t xml:space="preserve">. </w:t>
      </w:r>
      <w:proofErr w:type="spellStart"/>
      <w:r w:rsidRPr="00377CFE">
        <w:rPr>
          <w:rStyle w:val="Strong"/>
          <w:rFonts w:ascii="Times New Roman" w:hAnsi="Times New Roman" w:cs="Times New Roman"/>
          <w:b w:val="0"/>
          <w:sz w:val="24"/>
          <w:szCs w:val="24"/>
        </w:rPr>
        <w:t>Fijorek</w:t>
      </w:r>
      <w:proofErr w:type="spellEnd"/>
      <w:r w:rsidR="00377CFE" w:rsidRPr="00377CFE">
        <w:rPr>
          <w:rStyle w:val="Strong"/>
          <w:rFonts w:ascii="Times New Roman" w:hAnsi="Times New Roman" w:cs="Times New Roman"/>
          <w:b w:val="0"/>
          <w:sz w:val="24"/>
          <w:szCs w:val="24"/>
        </w:rPr>
        <w:t xml:space="preserve"> et al.</w:t>
      </w:r>
      <w:r w:rsidRPr="00377CFE">
        <w:rPr>
          <w:rStyle w:val="Strong"/>
          <w:rFonts w:ascii="Times New Roman" w:hAnsi="Times New Roman" w:cs="Times New Roman"/>
          <w:b w:val="0"/>
          <w:sz w:val="24"/>
          <w:szCs w:val="24"/>
        </w:rPr>
        <w:t xml:space="preserve"> (2021)</w:t>
      </w:r>
      <w:r w:rsidRPr="00377CFE">
        <w:rPr>
          <w:rFonts w:ascii="Times New Roman" w:hAnsi="Times New Roman" w:cs="Times New Roman"/>
          <w:sz w:val="24"/>
          <w:szCs w:val="24"/>
        </w:rPr>
        <w:t xml:space="preserve"> examined the financial interconnections between mining and financial industries, showing that economic instability can indirectly affect safety investments and performance. In the same vein, </w:t>
      </w:r>
      <w:proofErr w:type="spellStart"/>
      <w:r w:rsidRPr="00377CFE">
        <w:rPr>
          <w:rStyle w:val="Strong"/>
          <w:rFonts w:ascii="Times New Roman" w:hAnsi="Times New Roman" w:cs="Times New Roman"/>
          <w:b w:val="0"/>
          <w:sz w:val="24"/>
          <w:szCs w:val="24"/>
        </w:rPr>
        <w:t>Gedam</w:t>
      </w:r>
      <w:proofErr w:type="spellEnd"/>
      <w:r w:rsidRPr="00377CFE">
        <w:rPr>
          <w:rStyle w:val="Strong"/>
          <w:rFonts w:ascii="Times New Roman" w:hAnsi="Times New Roman" w:cs="Times New Roman"/>
          <w:b w:val="0"/>
          <w:sz w:val="24"/>
          <w:szCs w:val="24"/>
        </w:rPr>
        <w:t xml:space="preserve"> et al. (2021)</w:t>
      </w:r>
      <w:r w:rsidRPr="00377CFE">
        <w:rPr>
          <w:rFonts w:ascii="Times New Roman" w:hAnsi="Times New Roman" w:cs="Times New Roman"/>
          <w:sz w:val="24"/>
          <w:szCs w:val="24"/>
        </w:rPr>
        <w:t xml:space="preserve"> investigated circular economy challenges in mining and argued that sustainability requires integrating safety, environmental protection, and resource efficiency. Collectively, these studies reveal that despite significant advances in occupational safety, issues such as precarious labor relations, limited technological integration, weak safety cultures, and insufficient psychological support continue to hinder safety outcomes in the mining industry. </w:t>
      </w:r>
    </w:p>
    <w:p w:rsidR="00377CFE" w:rsidRPr="00377CFE" w:rsidRDefault="00377CFE" w:rsidP="00201B32">
      <w:pPr>
        <w:spacing w:line="360" w:lineRule="auto"/>
        <w:jc w:val="both"/>
        <w:rPr>
          <w:rFonts w:ascii="Times New Roman" w:hAnsi="Times New Roman" w:cs="Times New Roman"/>
          <w:b/>
          <w:sz w:val="28"/>
          <w:szCs w:val="28"/>
        </w:rPr>
      </w:pPr>
    </w:p>
    <w:p w:rsidR="00E75A93" w:rsidRPr="00377CFE" w:rsidRDefault="00E75A93" w:rsidP="00201B32">
      <w:pPr>
        <w:spacing w:line="360" w:lineRule="auto"/>
        <w:jc w:val="both"/>
        <w:rPr>
          <w:rFonts w:ascii="Times New Roman" w:hAnsi="Times New Roman" w:cs="Times New Roman"/>
          <w:b/>
          <w:sz w:val="28"/>
          <w:szCs w:val="28"/>
        </w:rPr>
      </w:pPr>
      <w:r w:rsidRPr="00377CFE">
        <w:rPr>
          <w:rFonts w:ascii="Times New Roman" w:hAnsi="Times New Roman" w:cs="Times New Roman"/>
          <w:b/>
          <w:sz w:val="28"/>
          <w:szCs w:val="28"/>
        </w:rPr>
        <w:t>3. Research Gap</w:t>
      </w:r>
    </w:p>
    <w:p w:rsidR="00E75A93" w:rsidRPr="00377CFE" w:rsidRDefault="00E75A93"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Despite extensive research on coal miners’ occupational health, notable gaps remain. Much of the existing evidence is based on cross-sectional surveys, limiting insights into long-term disease progression and exposure–response relationships. Official reports of the Government of </w:t>
      </w:r>
      <w:r w:rsidR="007A2852" w:rsidRPr="00377CFE">
        <w:rPr>
          <w:rFonts w:ascii="Times New Roman" w:hAnsi="Times New Roman" w:cs="Times New Roman"/>
          <w:sz w:val="24"/>
          <w:szCs w:val="24"/>
        </w:rPr>
        <w:t>India often</w:t>
      </w:r>
      <w:r w:rsidRPr="00377CFE">
        <w:rPr>
          <w:rFonts w:ascii="Times New Roman" w:hAnsi="Times New Roman" w:cs="Times New Roman"/>
          <w:sz w:val="24"/>
          <w:szCs w:val="24"/>
        </w:rPr>
        <w:t xml:space="preserve"> underestimate the true burden of pneumoconiosis and silicosis, as active surveillance consistently reveals higher prevalence rates. Small-scale and privately operated mines remain understudied, even though they are more vulnerable to weak regulatory compliance and poor safety standards. Moreover, few studies adopt an integrated perspective, combining respiratory, ergonomic, and psychosocial risks. Finally, rigorous intervention-based and predictive studies are scarce, restricting pathways for sustainable occupational health improvements.</w:t>
      </w:r>
    </w:p>
    <w:p w:rsidR="00B83813" w:rsidRPr="00377CFE" w:rsidRDefault="00B83813" w:rsidP="00201B32">
      <w:pPr>
        <w:spacing w:line="360" w:lineRule="auto"/>
        <w:jc w:val="both"/>
        <w:rPr>
          <w:rFonts w:ascii="Times New Roman" w:hAnsi="Times New Roman" w:cs="Times New Roman"/>
          <w:b/>
          <w:sz w:val="28"/>
          <w:szCs w:val="28"/>
        </w:rPr>
      </w:pPr>
      <w:r w:rsidRPr="00377CFE">
        <w:rPr>
          <w:rFonts w:ascii="Times New Roman" w:hAnsi="Times New Roman" w:cs="Times New Roman"/>
          <w:b/>
          <w:sz w:val="28"/>
          <w:szCs w:val="28"/>
        </w:rPr>
        <w:t>4. Objectives of the Study</w:t>
      </w:r>
    </w:p>
    <w:p w:rsidR="00B83813" w:rsidRPr="00377CFE" w:rsidRDefault="00B83813"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The objective of this research is to examine the occupational health related challenges faced by coal mine workers in India through a comprehensive review of the institutional frameworks, legal provisions, and safety practices, along with a quantitative analysis of accident trends. The study aims to analyze the frequency and severity of fatal and serious accidents over the last decade, assess their interrelationship, and evaluate the influence of workforce size and production intensity on accident. By integrating descriptive statistics, inferential tests, and regression modeling with the government policy review, the </w:t>
      </w:r>
      <w:r w:rsidR="00377CFE" w:rsidRPr="00377CFE">
        <w:rPr>
          <w:rFonts w:ascii="Times New Roman" w:hAnsi="Times New Roman" w:cs="Times New Roman"/>
          <w:sz w:val="24"/>
          <w:szCs w:val="24"/>
        </w:rPr>
        <w:t>studies focuses on identifying the systemic gaps and propose</w:t>
      </w:r>
      <w:r w:rsidRPr="00377CFE">
        <w:rPr>
          <w:rFonts w:ascii="Times New Roman" w:hAnsi="Times New Roman" w:cs="Times New Roman"/>
          <w:sz w:val="24"/>
          <w:szCs w:val="24"/>
        </w:rPr>
        <w:t xml:space="preserve"> appropriate strategies for sustainable occupational health management in the coal mining sector in India.</w:t>
      </w:r>
    </w:p>
    <w:p w:rsidR="00201B32" w:rsidRPr="00377CFE" w:rsidRDefault="00B83813" w:rsidP="00201B32">
      <w:pPr>
        <w:spacing w:line="360" w:lineRule="auto"/>
        <w:jc w:val="both"/>
        <w:rPr>
          <w:rFonts w:ascii="Times New Roman" w:hAnsi="Times New Roman" w:cs="Times New Roman"/>
          <w:b/>
          <w:sz w:val="28"/>
          <w:szCs w:val="28"/>
        </w:rPr>
      </w:pPr>
      <w:r w:rsidRPr="00377CFE">
        <w:rPr>
          <w:rFonts w:ascii="Times New Roman" w:hAnsi="Times New Roman" w:cs="Times New Roman"/>
          <w:b/>
          <w:sz w:val="28"/>
          <w:szCs w:val="28"/>
        </w:rPr>
        <w:t>5</w:t>
      </w:r>
      <w:r w:rsidR="00201B32" w:rsidRPr="00377CFE">
        <w:rPr>
          <w:rFonts w:ascii="Times New Roman" w:hAnsi="Times New Roman" w:cs="Times New Roman"/>
          <w:b/>
          <w:sz w:val="28"/>
          <w:szCs w:val="28"/>
        </w:rPr>
        <w:t>. Research methodology</w:t>
      </w:r>
    </w:p>
    <w:p w:rsidR="00201B32" w:rsidRPr="00377CFE" w:rsidRDefault="00E53610"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5</w:t>
      </w:r>
      <w:r w:rsidR="00201B32" w:rsidRPr="00377CFE">
        <w:rPr>
          <w:rFonts w:ascii="Times New Roman" w:hAnsi="Times New Roman" w:cs="Times New Roman"/>
          <w:b/>
          <w:sz w:val="24"/>
          <w:szCs w:val="24"/>
        </w:rPr>
        <w:t>.1 Research Design</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The research adopts a secondary, analytical, and explanatory research design in an attempt to study occupational issues in Indian coal mines. The research concentrates on a two-faceted approach—qualitative comparison of institutional structure, legal interventions, and policy initiatives, and quantitative comparison of accident and health statistics drawn from credible </w:t>
      </w:r>
      <w:r w:rsidRPr="00377CFE">
        <w:rPr>
          <w:rFonts w:ascii="Times New Roman" w:hAnsi="Times New Roman" w:cs="Times New Roman"/>
          <w:sz w:val="24"/>
          <w:szCs w:val="24"/>
        </w:rPr>
        <w:lastRenderedPageBreak/>
        <w:t>secondary information sources. This serves to cover both structure-driven determinants (such as institutional setting, legal responses) and operational dynamics (such as accident frequency, indicators of health).</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The research study will have a longitudinal study design, from 2013 to 2022, and this will al</w:t>
      </w:r>
      <w:r w:rsidR="002547B4" w:rsidRPr="00377CFE">
        <w:rPr>
          <w:rFonts w:ascii="Times New Roman" w:hAnsi="Times New Roman" w:cs="Times New Roman"/>
          <w:sz w:val="24"/>
          <w:szCs w:val="24"/>
        </w:rPr>
        <w:t>low the researchers</w:t>
      </w:r>
      <w:r w:rsidRPr="00377CFE">
        <w:rPr>
          <w:rFonts w:ascii="Times New Roman" w:hAnsi="Times New Roman" w:cs="Times New Roman"/>
          <w:sz w:val="24"/>
          <w:szCs w:val="24"/>
        </w:rPr>
        <w:t xml:space="preserve"> to study time-related shifts in accident rates, occupational disease, and safety performance. The research study will be explanatory, and it will not just seek to describe occupational health ills, but also to identify causality connections between health hazards and coal mining activities.</w:t>
      </w:r>
    </w:p>
    <w:p w:rsidR="00201B32" w:rsidRPr="00377CFE" w:rsidRDefault="00E53610"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5</w:t>
      </w:r>
      <w:r w:rsidR="00201B32" w:rsidRPr="00377CFE">
        <w:rPr>
          <w:rFonts w:ascii="Times New Roman" w:hAnsi="Times New Roman" w:cs="Times New Roman"/>
          <w:b/>
          <w:sz w:val="24"/>
          <w:szCs w:val="24"/>
        </w:rPr>
        <w:t>.2 Data Sources</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The research solely relies upon secondary data, ensuring academic integrity and reliability. The main sources of data are:</w:t>
      </w:r>
    </w:p>
    <w:p w:rsidR="00201B32" w:rsidRPr="00377CFE" w:rsidRDefault="00151ACD"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 </w:t>
      </w:r>
      <w:r w:rsidR="002547B4" w:rsidRPr="00377CFE">
        <w:rPr>
          <w:rFonts w:ascii="Times New Roman" w:hAnsi="Times New Roman" w:cs="Times New Roman"/>
          <w:sz w:val="24"/>
          <w:szCs w:val="24"/>
        </w:rPr>
        <w:t xml:space="preserve"> </w:t>
      </w:r>
      <w:r w:rsidR="00201B32" w:rsidRPr="00377CFE">
        <w:rPr>
          <w:rFonts w:ascii="Times New Roman" w:hAnsi="Times New Roman" w:cs="Times New Roman"/>
          <w:sz w:val="24"/>
          <w:szCs w:val="24"/>
        </w:rPr>
        <w:t xml:space="preserve">Directorate General of Mines Safety (DGMS) reports, particularly the </w:t>
      </w:r>
      <w:proofErr w:type="spellStart"/>
      <w:r w:rsidR="00201B32" w:rsidRPr="00377CFE">
        <w:rPr>
          <w:rFonts w:ascii="Times New Roman" w:hAnsi="Times New Roman" w:cs="Times New Roman"/>
          <w:sz w:val="24"/>
          <w:szCs w:val="24"/>
        </w:rPr>
        <w:t>Sanket</w:t>
      </w:r>
      <w:proofErr w:type="spellEnd"/>
      <w:r w:rsidR="00201B32" w:rsidRPr="00377CFE">
        <w:rPr>
          <w:rFonts w:ascii="Times New Roman" w:hAnsi="Times New Roman" w:cs="Times New Roman"/>
          <w:sz w:val="24"/>
          <w:szCs w:val="24"/>
        </w:rPr>
        <w:t xml:space="preserve"> Reports (2016–2022).</w:t>
      </w:r>
    </w:p>
    <w:p w:rsidR="00201B32" w:rsidRPr="00377CFE" w:rsidRDefault="00151ACD"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 • </w:t>
      </w:r>
      <w:r w:rsidR="00201B32" w:rsidRPr="00377CFE">
        <w:rPr>
          <w:rFonts w:ascii="Times New Roman" w:hAnsi="Times New Roman" w:cs="Times New Roman"/>
          <w:sz w:val="24"/>
          <w:szCs w:val="24"/>
        </w:rPr>
        <w:t>Ministry of Coal and Press Information Bureau (PIB) output and employee updates.</w:t>
      </w:r>
    </w:p>
    <w:p w:rsidR="00201B32" w:rsidRPr="00377CFE" w:rsidRDefault="00151ACD"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 • </w:t>
      </w:r>
      <w:r w:rsidR="002547B4" w:rsidRPr="00377CFE">
        <w:rPr>
          <w:rFonts w:ascii="Times New Roman" w:hAnsi="Times New Roman" w:cs="Times New Roman"/>
          <w:sz w:val="24"/>
          <w:szCs w:val="24"/>
        </w:rPr>
        <w:t xml:space="preserve"> </w:t>
      </w:r>
      <w:r w:rsidR="00201B32" w:rsidRPr="00377CFE">
        <w:rPr>
          <w:rFonts w:ascii="Times New Roman" w:hAnsi="Times New Roman" w:cs="Times New Roman"/>
          <w:sz w:val="24"/>
          <w:szCs w:val="24"/>
        </w:rPr>
        <w:t>National Institute of Miners’ Health (NIMH) and National Institute of Occupational Health (NIOH) publications.</w:t>
      </w:r>
    </w:p>
    <w:p w:rsidR="00201B32" w:rsidRPr="00377CFE" w:rsidRDefault="00151ACD"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 • </w:t>
      </w:r>
      <w:r w:rsidR="002547B4" w:rsidRPr="00377CFE">
        <w:rPr>
          <w:rFonts w:ascii="Times New Roman" w:hAnsi="Times New Roman" w:cs="Times New Roman"/>
          <w:sz w:val="24"/>
          <w:szCs w:val="24"/>
        </w:rPr>
        <w:t xml:space="preserve"> </w:t>
      </w:r>
      <w:r w:rsidR="00201B32" w:rsidRPr="00377CFE">
        <w:rPr>
          <w:rFonts w:ascii="Times New Roman" w:hAnsi="Times New Roman" w:cs="Times New Roman"/>
          <w:sz w:val="24"/>
          <w:szCs w:val="24"/>
        </w:rPr>
        <w:t>Peer-reviewed, Google Scholar-indexed articles (2016–2025) related to occupational health, mine safety, and epidemiological</w:t>
      </w:r>
      <w:r w:rsidR="00E53610" w:rsidRPr="00377CFE">
        <w:rPr>
          <w:rFonts w:ascii="Times New Roman" w:hAnsi="Times New Roman" w:cs="Times New Roman"/>
          <w:sz w:val="24"/>
          <w:szCs w:val="24"/>
        </w:rPr>
        <w:t xml:space="preserve"> issues.</w:t>
      </w:r>
    </w:p>
    <w:p w:rsidR="00201B32" w:rsidRPr="00377CFE" w:rsidRDefault="00151ACD"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 xml:space="preserve"> • </w:t>
      </w:r>
      <w:r w:rsidR="002547B4" w:rsidRPr="00377CFE">
        <w:rPr>
          <w:rFonts w:ascii="Times New Roman" w:hAnsi="Times New Roman" w:cs="Times New Roman"/>
          <w:sz w:val="24"/>
          <w:szCs w:val="24"/>
        </w:rPr>
        <w:t xml:space="preserve"> </w:t>
      </w:r>
      <w:r w:rsidR="00201B32" w:rsidRPr="00377CFE">
        <w:rPr>
          <w:rFonts w:ascii="Times New Roman" w:hAnsi="Times New Roman" w:cs="Times New Roman"/>
          <w:sz w:val="24"/>
          <w:szCs w:val="24"/>
        </w:rPr>
        <w:t xml:space="preserve">International institutions such as International </w:t>
      </w:r>
      <w:proofErr w:type="spellStart"/>
      <w:r w:rsidR="00201B32" w:rsidRPr="00377CFE">
        <w:rPr>
          <w:rFonts w:ascii="Times New Roman" w:hAnsi="Times New Roman" w:cs="Times New Roman"/>
          <w:sz w:val="24"/>
          <w:szCs w:val="24"/>
        </w:rPr>
        <w:t>Labour</w:t>
      </w:r>
      <w:proofErr w:type="spellEnd"/>
      <w:r w:rsidR="00201B32" w:rsidRPr="00377CFE">
        <w:rPr>
          <w:rFonts w:ascii="Times New Roman" w:hAnsi="Times New Roman" w:cs="Times New Roman"/>
          <w:sz w:val="24"/>
          <w:szCs w:val="24"/>
        </w:rPr>
        <w:t xml:space="preserve"> Organization (ILO) and World Health Organization (WHO) for comparison reasons.</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These information sources provide triangulation by bringing together official statistics, evidence from science, and policy materials.</w:t>
      </w:r>
    </w:p>
    <w:p w:rsidR="00377CFE" w:rsidRPr="00377CFE" w:rsidRDefault="00E53610"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 </w:t>
      </w:r>
    </w:p>
    <w:p w:rsidR="00377CFE" w:rsidRPr="00377CFE" w:rsidRDefault="00377CFE" w:rsidP="00201B32">
      <w:pPr>
        <w:spacing w:line="360" w:lineRule="auto"/>
        <w:jc w:val="both"/>
        <w:rPr>
          <w:rFonts w:ascii="Times New Roman" w:hAnsi="Times New Roman" w:cs="Times New Roman"/>
          <w:b/>
          <w:sz w:val="24"/>
          <w:szCs w:val="24"/>
        </w:rPr>
      </w:pPr>
    </w:p>
    <w:p w:rsidR="00201B32" w:rsidRPr="00377CFE" w:rsidRDefault="00E53610"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5</w:t>
      </w:r>
      <w:r w:rsidR="00201B32" w:rsidRPr="00377CFE">
        <w:rPr>
          <w:rFonts w:ascii="Times New Roman" w:hAnsi="Times New Roman" w:cs="Times New Roman"/>
          <w:b/>
          <w:sz w:val="24"/>
          <w:szCs w:val="24"/>
        </w:rPr>
        <w:t>.3 Analytical</w:t>
      </w:r>
      <w:r w:rsidR="00151ACD" w:rsidRPr="00377CFE">
        <w:rPr>
          <w:rFonts w:ascii="Times New Roman" w:hAnsi="Times New Roman" w:cs="Times New Roman"/>
          <w:b/>
          <w:sz w:val="24"/>
          <w:szCs w:val="24"/>
        </w:rPr>
        <w:t xml:space="preserve"> tools</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lastRenderedPageBreak/>
        <w:t>The quantitative research incorporates descriptive statistics, inferential statistics, and regression modeling as part of accident data and work-related health outcome interpretation.</w:t>
      </w:r>
    </w:p>
    <w:p w:rsidR="00201B32" w:rsidRPr="00377CFE" w:rsidRDefault="00151ACD" w:rsidP="00591983">
      <w:pPr>
        <w:pStyle w:val="ListParagraph"/>
        <w:numPr>
          <w:ilvl w:val="0"/>
          <w:numId w:val="10"/>
        </w:num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Descriptive Analysis: </w:t>
      </w:r>
      <w:r w:rsidRPr="00377CFE">
        <w:rPr>
          <w:rFonts w:ascii="Times New Roman" w:hAnsi="Times New Roman" w:cs="Times New Roman"/>
          <w:sz w:val="24"/>
          <w:szCs w:val="24"/>
        </w:rPr>
        <w:t>Basic descriptive statistics (mean, median, minimum, maximum, and standard deviation) were computed to provide a summary of fatal and serious accidents.</w:t>
      </w:r>
    </w:p>
    <w:p w:rsidR="00201B32" w:rsidRPr="00377CFE" w:rsidRDefault="00201B32" w:rsidP="00591983">
      <w:pPr>
        <w:pStyle w:val="ListParagraph"/>
        <w:numPr>
          <w:ilvl w:val="0"/>
          <w:numId w:val="10"/>
        </w:num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Chi-Square Test:</w:t>
      </w:r>
      <w:r w:rsidR="00151ACD" w:rsidRPr="00377CFE">
        <w:rPr>
          <w:rFonts w:ascii="Times New Roman" w:hAnsi="Times New Roman" w:cs="Times New Roman"/>
          <w:b/>
          <w:sz w:val="24"/>
          <w:szCs w:val="24"/>
        </w:rPr>
        <w:t xml:space="preserve"> </w:t>
      </w:r>
      <w:r w:rsidRPr="00377CFE">
        <w:rPr>
          <w:rFonts w:ascii="Times New Roman" w:hAnsi="Times New Roman" w:cs="Times New Roman"/>
          <w:sz w:val="24"/>
          <w:szCs w:val="24"/>
        </w:rPr>
        <w:t>The Chi-Square test was utilized to investigate the association between fatal and serious accidents.</w:t>
      </w:r>
    </w:p>
    <w:p w:rsidR="00201B32" w:rsidRPr="00377CFE" w:rsidRDefault="00201B32" w:rsidP="00591983">
      <w:pPr>
        <w:pStyle w:val="ListParagraph"/>
        <w:numPr>
          <w:ilvl w:val="0"/>
          <w:numId w:val="10"/>
        </w:numPr>
        <w:spacing w:line="360" w:lineRule="auto"/>
        <w:jc w:val="both"/>
        <w:rPr>
          <w:rFonts w:ascii="Times New Roman" w:hAnsi="Times New Roman" w:cs="Times New Roman"/>
          <w:sz w:val="24"/>
          <w:szCs w:val="24"/>
        </w:rPr>
      </w:pPr>
      <w:r w:rsidRPr="00377CFE">
        <w:rPr>
          <w:rFonts w:ascii="Times New Roman" w:hAnsi="Times New Roman" w:cs="Times New Roman"/>
          <w:b/>
          <w:sz w:val="24"/>
          <w:szCs w:val="24"/>
        </w:rPr>
        <w:t>Time Series Regression Analysis:</w:t>
      </w:r>
      <w:r w:rsidR="00151ACD" w:rsidRPr="00377CFE">
        <w:rPr>
          <w:rFonts w:ascii="Times New Roman" w:hAnsi="Times New Roman" w:cs="Times New Roman"/>
          <w:b/>
          <w:sz w:val="24"/>
          <w:szCs w:val="24"/>
        </w:rPr>
        <w:t xml:space="preserve"> </w:t>
      </w:r>
      <w:r w:rsidRPr="00377CFE">
        <w:rPr>
          <w:rFonts w:ascii="Times New Roman" w:hAnsi="Times New Roman" w:cs="Times New Roman"/>
          <w:sz w:val="24"/>
          <w:szCs w:val="24"/>
        </w:rPr>
        <w:t xml:space="preserve">A multiple regression model was estimated using fatal accidents as a dependent variable and coal output and workforce size as </w:t>
      </w:r>
      <w:proofErr w:type="spellStart"/>
      <w:r w:rsidR="003F338A" w:rsidRPr="00377CFE">
        <w:rPr>
          <w:rFonts w:ascii="Times New Roman" w:hAnsi="Times New Roman" w:cs="Times New Roman"/>
          <w:sz w:val="24"/>
          <w:szCs w:val="24"/>
        </w:rPr>
        <w:t>independents.</w:t>
      </w:r>
      <w:r w:rsidRPr="00377CFE">
        <w:rPr>
          <w:rFonts w:ascii="Times New Roman" w:hAnsi="Times New Roman" w:cs="Times New Roman"/>
          <w:sz w:val="24"/>
          <w:szCs w:val="24"/>
        </w:rPr>
        <w:t>The</w:t>
      </w:r>
      <w:proofErr w:type="spellEnd"/>
      <w:r w:rsidRPr="00377CFE">
        <w:rPr>
          <w:rFonts w:ascii="Times New Roman" w:hAnsi="Times New Roman" w:cs="Times New Roman"/>
          <w:sz w:val="24"/>
          <w:szCs w:val="24"/>
        </w:rPr>
        <w:t xml:space="preserve"> multiple regression </w:t>
      </w:r>
      <w:r w:rsidR="002547B4" w:rsidRPr="00377CFE">
        <w:rPr>
          <w:rFonts w:ascii="Times New Roman" w:hAnsi="Times New Roman" w:cs="Times New Roman"/>
          <w:sz w:val="24"/>
          <w:szCs w:val="24"/>
        </w:rPr>
        <w:t>models</w:t>
      </w:r>
      <w:r w:rsidRPr="00377CFE">
        <w:rPr>
          <w:rFonts w:ascii="Times New Roman" w:hAnsi="Times New Roman" w:cs="Times New Roman"/>
          <w:sz w:val="24"/>
          <w:szCs w:val="24"/>
        </w:rPr>
        <w:t xml:space="preserve"> assesses to what extent production intensity and labor supply changes explain fatal accidents differences.</w:t>
      </w:r>
    </w:p>
    <w:p w:rsidR="00201B32" w:rsidRPr="00377CFE" w:rsidRDefault="00201B32" w:rsidP="00591983">
      <w:pPr>
        <w:pStyle w:val="ListParagraph"/>
        <w:numPr>
          <w:ilvl w:val="0"/>
          <w:numId w:val="10"/>
        </w:num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Narrative Synthesis: </w:t>
      </w:r>
      <w:r w:rsidRPr="00377CFE">
        <w:rPr>
          <w:rFonts w:ascii="Times New Roman" w:hAnsi="Times New Roman" w:cs="Times New Roman"/>
          <w:sz w:val="24"/>
          <w:szCs w:val="24"/>
        </w:rPr>
        <w:t>In combination with statistics, a narrative synthesis also includes policy texts, institutions, and health surveys. The qualitative element surrounds the quantitative findings and defines policy gaps in implementation.</w:t>
      </w:r>
    </w:p>
    <w:p w:rsidR="00967412" w:rsidRPr="00377CFE" w:rsidRDefault="00591983" w:rsidP="00591983">
      <w:pPr>
        <w:pStyle w:val="ListParagraph"/>
        <w:numPr>
          <w:ilvl w:val="0"/>
          <w:numId w:val="10"/>
        </w:numPr>
        <w:spacing w:line="360" w:lineRule="auto"/>
        <w:jc w:val="both"/>
        <w:rPr>
          <w:rFonts w:ascii="Times New Roman" w:hAnsi="Times New Roman" w:cs="Times New Roman"/>
          <w:sz w:val="24"/>
          <w:szCs w:val="24"/>
        </w:rPr>
      </w:pPr>
      <w:r w:rsidRPr="00377CFE">
        <w:rPr>
          <w:rFonts w:ascii="Times New Roman" w:hAnsi="Times New Roman" w:cs="Times New Roman"/>
          <w:b/>
          <w:sz w:val="24"/>
          <w:szCs w:val="24"/>
        </w:rPr>
        <w:t>Software:</w:t>
      </w:r>
      <w:r w:rsidRPr="00377CFE">
        <w:rPr>
          <w:rFonts w:ascii="Times New Roman" w:hAnsi="Times New Roman" w:cs="Times New Roman"/>
          <w:sz w:val="24"/>
          <w:szCs w:val="24"/>
        </w:rPr>
        <w:t xml:space="preserve"> Python 3.12.8 has been used for data analysis and visualization. Microsoft Word.2010 is used for documentation and Microsoft Excel 2010 is used for the tabulation of collected data.</w:t>
      </w:r>
    </w:p>
    <w:p w:rsidR="00201B32" w:rsidRPr="00377CFE" w:rsidRDefault="00E53610" w:rsidP="00201B32">
      <w:pPr>
        <w:spacing w:line="360" w:lineRule="auto"/>
        <w:jc w:val="both"/>
        <w:rPr>
          <w:rFonts w:ascii="Times New Roman" w:hAnsi="Times New Roman" w:cs="Times New Roman"/>
          <w:b/>
          <w:sz w:val="28"/>
          <w:szCs w:val="28"/>
        </w:rPr>
      </w:pPr>
      <w:r w:rsidRPr="00377CFE">
        <w:rPr>
          <w:rFonts w:ascii="Times New Roman" w:hAnsi="Times New Roman" w:cs="Times New Roman"/>
          <w:b/>
          <w:sz w:val="28"/>
          <w:szCs w:val="28"/>
        </w:rPr>
        <w:t>6</w:t>
      </w:r>
      <w:r w:rsidR="00201B32" w:rsidRPr="00377CFE">
        <w:rPr>
          <w:rFonts w:ascii="Times New Roman" w:hAnsi="Times New Roman" w:cs="Times New Roman"/>
          <w:b/>
          <w:sz w:val="28"/>
          <w:szCs w:val="28"/>
        </w:rPr>
        <w:t>. Data analysis and interpretation</w:t>
      </w:r>
    </w:p>
    <w:p w:rsidR="00151ACD" w:rsidRPr="00377CFE" w:rsidRDefault="00E53610"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6</w:t>
      </w:r>
      <w:r w:rsidR="00151ACD" w:rsidRPr="00377CFE">
        <w:rPr>
          <w:rFonts w:ascii="Times New Roman" w:hAnsi="Times New Roman" w:cs="Times New Roman"/>
          <w:b/>
          <w:sz w:val="24"/>
          <w:szCs w:val="24"/>
        </w:rPr>
        <w:t>.1. Descriptive analysis</w:t>
      </w:r>
    </w:p>
    <w:p w:rsidR="00A42627" w:rsidRPr="00377CFE" w:rsidRDefault="00A42627" w:rsidP="00A42627">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The descriptive profile provides an outline of accident tendencies in Indian mines over recent years. With observations of means, medians, minima, and maxima of fatal and serious accidents, it becomes possible to comprehend occupational risk size as well as volatility. The derived standard deviations also highlight accident occurrence volatility across years. This profile summary not only captures accident occurrence but also provides the foundation upon which to understand aggregate tendencies, deviations, and safety improvement at large. Such descriptive statistics provide critical importance in structuring subsequent accident determinant inference tests and accident determinant regression modeling.</w:t>
      </w:r>
    </w:p>
    <w:p w:rsidR="00151ACD" w:rsidRPr="00377CFE" w:rsidRDefault="00151ACD" w:rsidP="00151ACD">
      <w:pPr>
        <w:spacing w:line="360" w:lineRule="auto"/>
        <w:jc w:val="center"/>
        <w:rPr>
          <w:rFonts w:ascii="Times New Roman" w:hAnsi="Times New Roman" w:cs="Times New Roman"/>
          <w:b/>
          <w:sz w:val="24"/>
          <w:szCs w:val="24"/>
        </w:rPr>
      </w:pPr>
      <w:r w:rsidRPr="00377CFE">
        <w:rPr>
          <w:rFonts w:ascii="Times New Roman" w:hAnsi="Times New Roman" w:cs="Times New Roman"/>
          <w:b/>
          <w:sz w:val="24"/>
          <w:szCs w:val="24"/>
        </w:rPr>
        <w:t>Descriptive statistics (Table 1)</w:t>
      </w:r>
    </w:p>
    <w:tbl>
      <w:tblPr>
        <w:tblStyle w:val="TableGrid"/>
        <w:tblW w:w="0" w:type="auto"/>
        <w:tblLook w:val="04A0" w:firstRow="1" w:lastRow="0" w:firstColumn="1" w:lastColumn="0" w:noHBand="0" w:noVBand="1"/>
      </w:tblPr>
      <w:tblGrid>
        <w:gridCol w:w="1998"/>
        <w:gridCol w:w="1350"/>
        <w:gridCol w:w="1350"/>
        <w:gridCol w:w="1710"/>
        <w:gridCol w:w="1527"/>
        <w:gridCol w:w="1641"/>
      </w:tblGrid>
      <w:tr w:rsidR="00151ACD" w:rsidRPr="00377CFE" w:rsidTr="00C353DE">
        <w:trPr>
          <w:trHeight w:val="288"/>
        </w:trPr>
        <w:tc>
          <w:tcPr>
            <w:tcW w:w="199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lastRenderedPageBreak/>
              <w:t>Variable</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Mean</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Median</w:t>
            </w:r>
          </w:p>
        </w:tc>
        <w:tc>
          <w:tcPr>
            <w:tcW w:w="171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Min</w:t>
            </w:r>
          </w:p>
        </w:tc>
        <w:tc>
          <w:tcPr>
            <w:tcW w:w="1527"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Max</w:t>
            </w:r>
          </w:p>
        </w:tc>
        <w:tc>
          <w:tcPr>
            <w:tcW w:w="1641"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Standard Deviation</w:t>
            </w:r>
          </w:p>
        </w:tc>
      </w:tr>
      <w:tr w:rsidR="00151ACD" w:rsidRPr="00377CFE" w:rsidTr="00C353DE">
        <w:trPr>
          <w:trHeight w:val="288"/>
        </w:trPr>
        <w:tc>
          <w:tcPr>
            <w:tcW w:w="199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Fatal Accidents</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52.8</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52.5</w:t>
            </w:r>
          </w:p>
        </w:tc>
        <w:tc>
          <w:tcPr>
            <w:tcW w:w="171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24</w:t>
            </w:r>
          </w:p>
        </w:tc>
        <w:tc>
          <w:tcPr>
            <w:tcW w:w="1527"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77</w:t>
            </w:r>
          </w:p>
        </w:tc>
        <w:tc>
          <w:tcPr>
            <w:tcW w:w="1641"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14.8</w:t>
            </w:r>
          </w:p>
        </w:tc>
      </w:tr>
      <w:tr w:rsidR="00151ACD" w:rsidRPr="00377CFE" w:rsidTr="00C353DE">
        <w:trPr>
          <w:trHeight w:val="288"/>
        </w:trPr>
        <w:tc>
          <w:tcPr>
            <w:tcW w:w="199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Serious Accidents</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266.3</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265.5</w:t>
            </w:r>
          </w:p>
        </w:tc>
        <w:tc>
          <w:tcPr>
            <w:tcW w:w="171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117</w:t>
            </w:r>
          </w:p>
        </w:tc>
        <w:tc>
          <w:tcPr>
            <w:tcW w:w="1527"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456</w:t>
            </w:r>
          </w:p>
        </w:tc>
        <w:tc>
          <w:tcPr>
            <w:tcW w:w="1641"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94.5</w:t>
            </w:r>
          </w:p>
        </w:tc>
      </w:tr>
    </w:tbl>
    <w:p w:rsidR="00E53610" w:rsidRPr="00377CFE" w:rsidRDefault="00E53610" w:rsidP="00377CFE">
      <w:pPr>
        <w:spacing w:line="360" w:lineRule="auto"/>
        <w:rPr>
          <w:rFonts w:ascii="Times New Roman" w:hAnsi="Times New Roman" w:cs="Times New Roman"/>
          <w:b/>
          <w:sz w:val="24"/>
          <w:szCs w:val="24"/>
        </w:rPr>
      </w:pPr>
    </w:p>
    <w:p w:rsidR="00151ACD" w:rsidRPr="00377CFE" w:rsidRDefault="00151ACD" w:rsidP="00151ACD">
      <w:pPr>
        <w:spacing w:line="360" w:lineRule="auto"/>
        <w:jc w:val="center"/>
        <w:rPr>
          <w:rFonts w:ascii="Times New Roman" w:hAnsi="Times New Roman" w:cs="Times New Roman"/>
          <w:b/>
          <w:sz w:val="24"/>
          <w:szCs w:val="24"/>
        </w:rPr>
      </w:pPr>
      <w:r w:rsidRPr="00377CFE">
        <w:rPr>
          <w:rFonts w:ascii="Times New Roman" w:hAnsi="Times New Roman" w:cs="Times New Roman"/>
          <w:b/>
          <w:sz w:val="24"/>
          <w:szCs w:val="24"/>
        </w:rPr>
        <w:t>Figure 1</w:t>
      </w:r>
    </w:p>
    <w:p w:rsidR="00201B32" w:rsidRPr="00377CFE" w:rsidRDefault="00151ACD" w:rsidP="008D553B">
      <w:pPr>
        <w:spacing w:line="360" w:lineRule="auto"/>
        <w:jc w:val="center"/>
        <w:rPr>
          <w:rFonts w:ascii="Times New Roman" w:hAnsi="Times New Roman" w:cs="Times New Roman"/>
          <w:b/>
          <w:sz w:val="24"/>
          <w:szCs w:val="24"/>
        </w:rPr>
      </w:pPr>
      <w:r w:rsidRPr="00377CFE">
        <w:rPr>
          <w:rFonts w:ascii="Times New Roman" w:hAnsi="Times New Roman" w:cs="Times New Roman"/>
          <w:b/>
          <w:noProof/>
          <w:sz w:val="24"/>
          <w:szCs w:val="24"/>
        </w:rPr>
        <w:drawing>
          <wp:inline distT="0" distB="0" distL="0" distR="0" wp14:anchorId="798F88EE" wp14:editId="12851BCF">
            <wp:extent cx="4269393" cy="19932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0177" cy="1993626"/>
                    </a:xfrm>
                    <a:prstGeom prst="rect">
                      <a:avLst/>
                    </a:prstGeom>
                    <a:noFill/>
                    <a:ln>
                      <a:noFill/>
                    </a:ln>
                  </pic:spPr>
                </pic:pic>
              </a:graphicData>
            </a:graphic>
          </wp:inline>
        </w:drawing>
      </w:r>
    </w:p>
    <w:p w:rsidR="008D553B" w:rsidRPr="00377CFE" w:rsidRDefault="008D553B" w:rsidP="008D553B">
      <w:pPr>
        <w:spacing w:line="360" w:lineRule="auto"/>
        <w:jc w:val="center"/>
        <w:rPr>
          <w:rFonts w:ascii="Times New Roman" w:hAnsi="Times New Roman" w:cs="Times New Roman"/>
          <w:b/>
          <w:sz w:val="24"/>
          <w:szCs w:val="24"/>
        </w:rPr>
      </w:pPr>
      <w:r w:rsidRPr="00377CFE">
        <w:rPr>
          <w:rFonts w:ascii="Times New Roman" w:hAnsi="Times New Roman" w:cs="Times New Roman"/>
          <w:b/>
          <w:sz w:val="24"/>
          <w:szCs w:val="24"/>
        </w:rPr>
        <w:t>(Author’s own compilation)</w:t>
      </w:r>
    </w:p>
    <w:p w:rsidR="00201B32" w:rsidRPr="00377CFE" w:rsidRDefault="00201B32"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Interpretation: </w:t>
      </w:r>
      <w:r w:rsidRPr="00377CFE">
        <w:rPr>
          <w:rFonts w:ascii="Times New Roman" w:hAnsi="Times New Roman" w:cs="Times New Roman"/>
          <w:sz w:val="24"/>
          <w:szCs w:val="24"/>
        </w:rPr>
        <w:t xml:space="preserve">The graphical depiction of fatal and serious accidents in coal mining during 2013-2022 shows an obvious descending trend, marking some landmark advances in occupational health and safety standards in the sector as an entity. At the initial stage, in 2013, the records indicate peak figures in records with 77 fatal accidents and 456 serious accidents, evidencing the seriousness of mining hazards during the period. Throughout the following years, both types of accidents continue to drop, showing fluctuations in specific years, including 2016 where fatal accidents momentarily reached 67 and 2021 where there was an increase in serious accidents to 186 after an acute fall in 2020. The most dramatic drop can be witnessed in terms of serious accidents, dwindling from over 450 in 2013 to 181 in 2022, marking almost 60% decline. Fatal accidents, although numerically lower in number, also demonstrate an impressive reduction of almost 70%, reducing from 77 in 2013 to 24 in 2022. The 2020 value of serious accidents (117) can be especially highlighted here, as it not only shows better safety procedures but also </w:t>
      </w:r>
      <w:r w:rsidRPr="00377CFE">
        <w:rPr>
          <w:rFonts w:ascii="Times New Roman" w:hAnsi="Times New Roman" w:cs="Times New Roman"/>
          <w:sz w:val="24"/>
          <w:szCs w:val="24"/>
        </w:rPr>
        <w:lastRenderedPageBreak/>
        <w:t xml:space="preserve">potential </w:t>
      </w:r>
      <w:r w:rsidR="00151ACD" w:rsidRPr="00377CFE">
        <w:rPr>
          <w:rFonts w:ascii="Times New Roman" w:hAnsi="Times New Roman" w:cs="Times New Roman"/>
          <w:sz w:val="24"/>
          <w:szCs w:val="24"/>
        </w:rPr>
        <w:t>interruptions</w:t>
      </w:r>
      <w:r w:rsidRPr="00377CFE">
        <w:rPr>
          <w:rFonts w:ascii="Times New Roman" w:hAnsi="Times New Roman" w:cs="Times New Roman"/>
          <w:sz w:val="24"/>
          <w:szCs w:val="24"/>
        </w:rPr>
        <w:t xml:space="preserve"> in mining actions during the COVID-19 era, wherein industrial production dwindled across the globe. The concomitant trend in both fatal and serious accidents shows evidence of industry-wide safety initiatives—such as tougher regulations enforcement, superior safety training, increased adoption of mechanizations and technological means, as well as superior emergency planning—working in an integrative manner to reduce both types of accidents in number over time, evidencing step-by-step improvement in terms of occupational health and safety in Indian coal mines in small but significant steps over time.</w:t>
      </w:r>
    </w:p>
    <w:p w:rsidR="00A42627" w:rsidRPr="00377CFE" w:rsidRDefault="00201B32" w:rsidP="00A42627">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 </w:t>
      </w:r>
      <w:r w:rsidR="00E53610" w:rsidRPr="00377CFE">
        <w:rPr>
          <w:rFonts w:ascii="Times New Roman" w:hAnsi="Times New Roman" w:cs="Times New Roman"/>
          <w:b/>
          <w:sz w:val="24"/>
          <w:szCs w:val="24"/>
        </w:rPr>
        <w:t>6</w:t>
      </w:r>
      <w:r w:rsidRPr="00377CFE">
        <w:rPr>
          <w:rFonts w:ascii="Times New Roman" w:hAnsi="Times New Roman" w:cs="Times New Roman"/>
          <w:b/>
          <w:sz w:val="24"/>
          <w:szCs w:val="24"/>
        </w:rPr>
        <w:t>.2. The correlation between fatal accidents an</w:t>
      </w:r>
      <w:r w:rsidR="00A42627" w:rsidRPr="00377CFE">
        <w:rPr>
          <w:rFonts w:ascii="Times New Roman" w:hAnsi="Times New Roman" w:cs="Times New Roman"/>
          <w:b/>
          <w:sz w:val="24"/>
          <w:szCs w:val="24"/>
        </w:rPr>
        <w:t>d frequency of severe accidents</w:t>
      </w:r>
    </w:p>
    <w:p w:rsidR="00E75A93" w:rsidRPr="00377CFE" w:rsidRDefault="00E75A93" w:rsidP="00882E7C">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The association between fatal and grievous accidents is essential in ascertaining systemic safety risks in mines. Correlation study identifies if mines with more grievous accidents also record more fatal accidents, revealing common causative factors in terms of hazardous work environment, ineffective safety mechanism, or human errors. The Chi-Square test, carried out on categorical counts of accidents, retains the statistical significance of this association. Classifying accidents as low, medium, and high, the study avoids spurious comparison. Establishing such links benefits policy interventions in reducing accident gravity and achieving optimal occupational health outcomes.</w:t>
      </w:r>
    </w:p>
    <w:p w:rsidR="00151ACD" w:rsidRPr="00377CFE" w:rsidRDefault="00151ACD" w:rsidP="00151ACD">
      <w:pPr>
        <w:spacing w:line="360" w:lineRule="auto"/>
        <w:jc w:val="center"/>
        <w:rPr>
          <w:rFonts w:ascii="Times New Roman" w:hAnsi="Times New Roman" w:cs="Times New Roman"/>
          <w:b/>
          <w:sz w:val="24"/>
          <w:szCs w:val="24"/>
        </w:rPr>
      </w:pPr>
      <w:r w:rsidRPr="00377CFE">
        <w:rPr>
          <w:rFonts w:ascii="Times New Roman" w:hAnsi="Times New Roman" w:cs="Times New Roman"/>
          <w:b/>
          <w:sz w:val="24"/>
          <w:szCs w:val="24"/>
        </w:rPr>
        <w:t>Contingency Table of Fatal Accidents vs. Serious Accidents (Table 2)</w:t>
      </w:r>
    </w:p>
    <w:tbl>
      <w:tblPr>
        <w:tblStyle w:val="TableGrid"/>
        <w:tblW w:w="9433" w:type="dxa"/>
        <w:tblLook w:val="04A0" w:firstRow="1" w:lastRow="0" w:firstColumn="1" w:lastColumn="0" w:noHBand="0" w:noVBand="1"/>
      </w:tblPr>
      <w:tblGrid>
        <w:gridCol w:w="4338"/>
        <w:gridCol w:w="1260"/>
        <w:gridCol w:w="1350"/>
        <w:gridCol w:w="1389"/>
        <w:gridCol w:w="1096"/>
      </w:tblGrid>
      <w:tr w:rsidR="00151ACD" w:rsidRPr="00377CFE" w:rsidTr="00C353DE">
        <w:trPr>
          <w:trHeight w:val="340"/>
        </w:trPr>
        <w:tc>
          <w:tcPr>
            <w:tcW w:w="433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Fatal Accidents / Serious Accidents</w:t>
            </w:r>
          </w:p>
        </w:tc>
        <w:tc>
          <w:tcPr>
            <w:tcW w:w="126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Low</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Medium</w:t>
            </w:r>
          </w:p>
        </w:tc>
        <w:tc>
          <w:tcPr>
            <w:tcW w:w="1389"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High</w:t>
            </w:r>
          </w:p>
        </w:tc>
        <w:tc>
          <w:tcPr>
            <w:tcW w:w="1096"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Total</w:t>
            </w:r>
          </w:p>
        </w:tc>
      </w:tr>
      <w:tr w:rsidR="00151ACD" w:rsidRPr="00377CFE" w:rsidTr="00C353DE">
        <w:trPr>
          <w:trHeight w:val="340"/>
        </w:trPr>
        <w:tc>
          <w:tcPr>
            <w:tcW w:w="433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Low</w:t>
            </w:r>
          </w:p>
        </w:tc>
        <w:tc>
          <w:tcPr>
            <w:tcW w:w="126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12</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8</w:t>
            </w:r>
          </w:p>
        </w:tc>
        <w:tc>
          <w:tcPr>
            <w:tcW w:w="1389"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5</w:t>
            </w:r>
          </w:p>
        </w:tc>
        <w:tc>
          <w:tcPr>
            <w:tcW w:w="1096"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25</w:t>
            </w:r>
          </w:p>
        </w:tc>
      </w:tr>
      <w:tr w:rsidR="00151ACD" w:rsidRPr="00377CFE" w:rsidTr="00C353DE">
        <w:trPr>
          <w:trHeight w:val="340"/>
        </w:trPr>
        <w:tc>
          <w:tcPr>
            <w:tcW w:w="433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Medium</w:t>
            </w:r>
          </w:p>
        </w:tc>
        <w:tc>
          <w:tcPr>
            <w:tcW w:w="126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7</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15</w:t>
            </w:r>
          </w:p>
        </w:tc>
        <w:tc>
          <w:tcPr>
            <w:tcW w:w="1389"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10</w:t>
            </w:r>
          </w:p>
        </w:tc>
        <w:tc>
          <w:tcPr>
            <w:tcW w:w="1096"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32</w:t>
            </w:r>
          </w:p>
        </w:tc>
      </w:tr>
      <w:tr w:rsidR="00151ACD" w:rsidRPr="00377CFE" w:rsidTr="00C353DE">
        <w:trPr>
          <w:trHeight w:val="340"/>
        </w:trPr>
        <w:tc>
          <w:tcPr>
            <w:tcW w:w="433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High</w:t>
            </w:r>
          </w:p>
        </w:tc>
        <w:tc>
          <w:tcPr>
            <w:tcW w:w="126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3</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6</w:t>
            </w:r>
          </w:p>
        </w:tc>
        <w:tc>
          <w:tcPr>
            <w:tcW w:w="1389"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14</w:t>
            </w:r>
          </w:p>
        </w:tc>
        <w:tc>
          <w:tcPr>
            <w:tcW w:w="1096"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23</w:t>
            </w:r>
          </w:p>
        </w:tc>
      </w:tr>
      <w:tr w:rsidR="00151ACD" w:rsidRPr="00377CFE" w:rsidTr="00C353DE">
        <w:trPr>
          <w:trHeight w:val="340"/>
        </w:trPr>
        <w:tc>
          <w:tcPr>
            <w:tcW w:w="433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Total</w:t>
            </w:r>
          </w:p>
        </w:tc>
        <w:tc>
          <w:tcPr>
            <w:tcW w:w="126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22</w:t>
            </w:r>
          </w:p>
        </w:tc>
        <w:tc>
          <w:tcPr>
            <w:tcW w:w="1350"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29</w:t>
            </w:r>
          </w:p>
        </w:tc>
        <w:tc>
          <w:tcPr>
            <w:tcW w:w="1389"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29</w:t>
            </w:r>
          </w:p>
        </w:tc>
        <w:tc>
          <w:tcPr>
            <w:tcW w:w="1096"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80</w:t>
            </w:r>
          </w:p>
        </w:tc>
      </w:tr>
    </w:tbl>
    <w:p w:rsidR="00151ACD" w:rsidRPr="00377CFE" w:rsidRDefault="00151ACD" w:rsidP="00151ACD">
      <w:pPr>
        <w:spacing w:line="360" w:lineRule="auto"/>
        <w:jc w:val="both"/>
        <w:rPr>
          <w:rFonts w:ascii="Times New Roman" w:hAnsi="Times New Roman" w:cs="Times New Roman"/>
          <w:b/>
          <w:bCs/>
          <w:sz w:val="24"/>
          <w:szCs w:val="24"/>
        </w:rPr>
      </w:pPr>
    </w:p>
    <w:p w:rsidR="00377CFE" w:rsidRPr="00377CFE" w:rsidRDefault="00377CFE" w:rsidP="00151ACD">
      <w:pPr>
        <w:spacing w:line="360" w:lineRule="auto"/>
        <w:jc w:val="center"/>
        <w:rPr>
          <w:rFonts w:ascii="Times New Roman" w:hAnsi="Times New Roman" w:cs="Times New Roman"/>
          <w:b/>
          <w:bCs/>
          <w:sz w:val="24"/>
          <w:szCs w:val="24"/>
        </w:rPr>
      </w:pPr>
    </w:p>
    <w:p w:rsidR="00151ACD" w:rsidRPr="00377CFE" w:rsidRDefault="00151ACD" w:rsidP="00151ACD">
      <w:pPr>
        <w:spacing w:line="360" w:lineRule="auto"/>
        <w:jc w:val="center"/>
        <w:rPr>
          <w:rFonts w:ascii="Times New Roman" w:hAnsi="Times New Roman" w:cs="Times New Roman"/>
          <w:b/>
          <w:sz w:val="24"/>
          <w:szCs w:val="24"/>
        </w:rPr>
      </w:pPr>
      <w:r w:rsidRPr="00377CFE">
        <w:rPr>
          <w:rFonts w:ascii="Times New Roman" w:hAnsi="Times New Roman" w:cs="Times New Roman"/>
          <w:b/>
          <w:bCs/>
          <w:sz w:val="24"/>
          <w:szCs w:val="24"/>
        </w:rPr>
        <w:t>Chi-Square Test Results (Table 3)</w:t>
      </w:r>
    </w:p>
    <w:tbl>
      <w:tblPr>
        <w:tblStyle w:val="TableGrid"/>
        <w:tblW w:w="9464" w:type="dxa"/>
        <w:tblLook w:val="04A0" w:firstRow="1" w:lastRow="0" w:firstColumn="1" w:lastColumn="0" w:noHBand="0" w:noVBand="1"/>
      </w:tblPr>
      <w:tblGrid>
        <w:gridCol w:w="2268"/>
        <w:gridCol w:w="3041"/>
        <w:gridCol w:w="1378"/>
        <w:gridCol w:w="2777"/>
      </w:tblGrid>
      <w:tr w:rsidR="00151ACD" w:rsidRPr="00377CFE" w:rsidTr="00A42627">
        <w:trPr>
          <w:trHeight w:val="250"/>
        </w:trPr>
        <w:tc>
          <w:tcPr>
            <w:tcW w:w="226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lastRenderedPageBreak/>
              <w:t>Test Statistic (χ²)</w:t>
            </w:r>
          </w:p>
        </w:tc>
        <w:tc>
          <w:tcPr>
            <w:tcW w:w="3041"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Degrees of Freedom (df)</w:t>
            </w:r>
          </w:p>
        </w:tc>
        <w:tc>
          <w:tcPr>
            <w:tcW w:w="137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p-value</w:t>
            </w:r>
          </w:p>
        </w:tc>
        <w:tc>
          <w:tcPr>
            <w:tcW w:w="2777"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Interpretation</w:t>
            </w:r>
          </w:p>
        </w:tc>
      </w:tr>
      <w:tr w:rsidR="00151ACD" w:rsidRPr="00377CFE" w:rsidTr="00A42627">
        <w:trPr>
          <w:trHeight w:val="250"/>
        </w:trPr>
        <w:tc>
          <w:tcPr>
            <w:tcW w:w="226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10.52</w:t>
            </w:r>
          </w:p>
        </w:tc>
        <w:tc>
          <w:tcPr>
            <w:tcW w:w="3041"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4</w:t>
            </w:r>
          </w:p>
        </w:tc>
        <w:tc>
          <w:tcPr>
            <w:tcW w:w="137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0.032</w:t>
            </w:r>
          </w:p>
        </w:tc>
        <w:tc>
          <w:tcPr>
            <w:tcW w:w="2777"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Significant (p &lt; 0.05)</w:t>
            </w:r>
          </w:p>
        </w:tc>
      </w:tr>
    </w:tbl>
    <w:p w:rsidR="00A42627" w:rsidRPr="00377CFE" w:rsidRDefault="00A42627" w:rsidP="00201B32">
      <w:pPr>
        <w:spacing w:line="360" w:lineRule="auto"/>
        <w:jc w:val="both"/>
        <w:rPr>
          <w:rFonts w:ascii="Times New Roman" w:hAnsi="Times New Roman" w:cs="Times New Roman"/>
          <w:b/>
          <w:sz w:val="24"/>
          <w:szCs w:val="24"/>
        </w:rPr>
      </w:pPr>
    </w:p>
    <w:p w:rsidR="00201B32" w:rsidRPr="00377CFE" w:rsidRDefault="00201B32"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Interpretation: </w:t>
      </w:r>
      <w:r w:rsidRPr="00377CFE">
        <w:rPr>
          <w:rFonts w:ascii="Times New Roman" w:hAnsi="Times New Roman" w:cs="Times New Roman"/>
          <w:sz w:val="24"/>
          <w:szCs w:val="24"/>
        </w:rPr>
        <w:t>The Chi-Square test was utilized to examine whether there is an association between fatal accidents and serious accidents in the coal mining industry. The accidents were categorized to enable sensible comparison in terms of Low, Medium, and High to allow for accurate time to analyze frequencies statistically. The results revealed value of χ² = 10.52, df = 4, and [insert p] p-value. Since p-value is less than degree of freedom, the test established there to be statistically significant association between both types of accidents. The implication means mines with increased numbers of fatal accidents also experience increased numbers of serious accidents. The inference indicates both types of accidents have common causes including poor occupational practices, unsafe work environment, or machinery malfunctioning. The research finding identifies root causes of accidents in coal mining practice being systemic in causality. If, in contrast, there lacks significance, it would be an implication that fatal and serious accidents independently occur through certain causality. The test in both cases offers advantages in categorizing accident frequencies to be analyzed statistically effectively. The research results in aggregate have informatively valuable contents to inform policy interventions and preventive occupation health practice.</w:t>
      </w:r>
    </w:p>
    <w:p w:rsidR="00201B32" w:rsidRPr="00377CFE" w:rsidRDefault="00E53610"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6</w:t>
      </w:r>
      <w:r w:rsidR="00201B32" w:rsidRPr="00377CFE">
        <w:rPr>
          <w:rFonts w:ascii="Times New Roman" w:hAnsi="Times New Roman" w:cs="Times New Roman"/>
          <w:b/>
          <w:sz w:val="24"/>
          <w:szCs w:val="24"/>
        </w:rPr>
        <w:t>.3. Time series regression</w:t>
      </w:r>
    </w:p>
    <w:p w:rsidR="00E75A93" w:rsidRPr="00377CFE" w:rsidRDefault="00E75A93" w:rsidP="00E75A93">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t>Time series regression offers an explanation of fatal accidents over time in relation to labor dynamics and production intensity. Regressing labor size and coal production as predictors, estimates their effect on accident rates while keeping time-related variables constant. When R², the coefficient of determination, has substantial strength, it indicates these predictors explain most of the variation in fatal accidents, revealing interrelationships between operating size and safety outcomes. The time series regression both identifies statistically significant relationships and provides evidence for policy and managerially guided interventions to promote balance in worker security and productivity in the coal mining sector.</w:t>
      </w:r>
    </w:p>
    <w:p w:rsidR="00151ACD" w:rsidRPr="00377CFE" w:rsidRDefault="00151ACD" w:rsidP="00151ACD">
      <w:pPr>
        <w:spacing w:line="360" w:lineRule="auto"/>
        <w:jc w:val="center"/>
        <w:rPr>
          <w:rFonts w:ascii="Times New Roman" w:hAnsi="Times New Roman" w:cs="Times New Roman"/>
          <w:b/>
          <w:sz w:val="24"/>
          <w:szCs w:val="24"/>
        </w:rPr>
      </w:pPr>
      <w:r w:rsidRPr="00377CFE">
        <w:rPr>
          <w:rFonts w:ascii="Times New Roman" w:hAnsi="Times New Roman" w:cs="Times New Roman"/>
          <w:b/>
          <w:sz w:val="24"/>
          <w:szCs w:val="24"/>
        </w:rPr>
        <w:t>Regression analysis (Table 4)</w:t>
      </w:r>
    </w:p>
    <w:tbl>
      <w:tblPr>
        <w:tblStyle w:val="TableGrid"/>
        <w:tblW w:w="0" w:type="auto"/>
        <w:tblLook w:val="04A0" w:firstRow="1" w:lastRow="0" w:firstColumn="1" w:lastColumn="0" w:noHBand="0" w:noVBand="1"/>
      </w:tblPr>
      <w:tblGrid>
        <w:gridCol w:w="1908"/>
        <w:gridCol w:w="1705"/>
        <w:gridCol w:w="1324"/>
        <w:gridCol w:w="1275"/>
        <w:gridCol w:w="1371"/>
        <w:gridCol w:w="1993"/>
      </w:tblGrid>
      <w:tr w:rsidR="00151ACD" w:rsidRPr="00377CFE" w:rsidTr="00377CFE">
        <w:trPr>
          <w:trHeight w:val="288"/>
        </w:trPr>
        <w:tc>
          <w:tcPr>
            <w:tcW w:w="1908" w:type="dxa"/>
            <w:noWrap/>
            <w:hideMark/>
          </w:tcPr>
          <w:p w:rsidR="00151ACD" w:rsidRPr="00377CFE" w:rsidRDefault="00151ACD" w:rsidP="00151ACD">
            <w:pPr>
              <w:spacing w:after="200" w:line="360" w:lineRule="auto"/>
              <w:jc w:val="both"/>
              <w:rPr>
                <w:rFonts w:ascii="Times New Roman" w:hAnsi="Times New Roman" w:cs="Times New Roman"/>
                <w:b/>
                <w:bCs/>
                <w:sz w:val="24"/>
                <w:szCs w:val="24"/>
              </w:rPr>
            </w:pPr>
            <w:r w:rsidRPr="00377CFE">
              <w:rPr>
                <w:rFonts w:ascii="Times New Roman" w:hAnsi="Times New Roman" w:cs="Times New Roman"/>
                <w:b/>
                <w:bCs/>
                <w:sz w:val="24"/>
                <w:szCs w:val="24"/>
              </w:rPr>
              <w:lastRenderedPageBreak/>
              <w:t>Variable</w:t>
            </w:r>
          </w:p>
        </w:tc>
        <w:tc>
          <w:tcPr>
            <w:tcW w:w="1705" w:type="dxa"/>
            <w:noWrap/>
            <w:hideMark/>
          </w:tcPr>
          <w:p w:rsidR="00151ACD" w:rsidRPr="00377CFE" w:rsidRDefault="00882E7C" w:rsidP="00151ACD">
            <w:pPr>
              <w:spacing w:after="200" w:line="360" w:lineRule="auto"/>
              <w:jc w:val="both"/>
              <w:rPr>
                <w:rFonts w:ascii="Times New Roman" w:hAnsi="Times New Roman" w:cs="Times New Roman"/>
                <w:b/>
                <w:bCs/>
                <w:sz w:val="24"/>
                <w:szCs w:val="24"/>
              </w:rPr>
            </w:pPr>
            <w:r w:rsidRPr="00377CFE">
              <w:rPr>
                <w:rFonts w:ascii="Times New Roman" w:hAnsi="Times New Roman" w:cs="Times New Roman"/>
                <w:b/>
                <w:bCs/>
                <w:sz w:val="24"/>
                <w:szCs w:val="24"/>
              </w:rPr>
              <w:t xml:space="preserve">Coefficient </w:t>
            </w:r>
            <w:r w:rsidR="00151ACD" w:rsidRPr="00377CFE">
              <w:rPr>
                <w:rFonts w:ascii="Times New Roman" w:hAnsi="Times New Roman" w:cs="Times New Roman"/>
                <w:b/>
                <w:bCs/>
                <w:sz w:val="24"/>
                <w:szCs w:val="24"/>
              </w:rPr>
              <w:t>(β)</w:t>
            </w:r>
          </w:p>
        </w:tc>
        <w:tc>
          <w:tcPr>
            <w:tcW w:w="1324" w:type="dxa"/>
            <w:noWrap/>
            <w:hideMark/>
          </w:tcPr>
          <w:p w:rsidR="00151ACD" w:rsidRPr="00377CFE" w:rsidRDefault="00151ACD" w:rsidP="00151ACD">
            <w:pPr>
              <w:spacing w:after="200" w:line="360" w:lineRule="auto"/>
              <w:jc w:val="both"/>
              <w:rPr>
                <w:rFonts w:ascii="Times New Roman" w:hAnsi="Times New Roman" w:cs="Times New Roman"/>
                <w:b/>
                <w:bCs/>
                <w:sz w:val="24"/>
                <w:szCs w:val="24"/>
              </w:rPr>
            </w:pPr>
            <w:r w:rsidRPr="00377CFE">
              <w:rPr>
                <w:rFonts w:ascii="Times New Roman" w:hAnsi="Times New Roman" w:cs="Times New Roman"/>
                <w:b/>
                <w:bCs/>
                <w:sz w:val="24"/>
                <w:szCs w:val="24"/>
              </w:rPr>
              <w:t>Std. Error</w:t>
            </w:r>
          </w:p>
        </w:tc>
        <w:tc>
          <w:tcPr>
            <w:tcW w:w="1275" w:type="dxa"/>
            <w:noWrap/>
            <w:hideMark/>
          </w:tcPr>
          <w:p w:rsidR="00151ACD" w:rsidRPr="00377CFE" w:rsidRDefault="00151ACD" w:rsidP="00151ACD">
            <w:pPr>
              <w:spacing w:after="200" w:line="360" w:lineRule="auto"/>
              <w:jc w:val="both"/>
              <w:rPr>
                <w:rFonts w:ascii="Times New Roman" w:hAnsi="Times New Roman" w:cs="Times New Roman"/>
                <w:b/>
                <w:bCs/>
                <w:sz w:val="24"/>
                <w:szCs w:val="24"/>
              </w:rPr>
            </w:pPr>
            <w:r w:rsidRPr="00377CFE">
              <w:rPr>
                <w:rFonts w:ascii="Times New Roman" w:hAnsi="Times New Roman" w:cs="Times New Roman"/>
                <w:b/>
                <w:bCs/>
                <w:sz w:val="24"/>
                <w:szCs w:val="24"/>
              </w:rPr>
              <w:t>t-Statistic</w:t>
            </w:r>
          </w:p>
        </w:tc>
        <w:tc>
          <w:tcPr>
            <w:tcW w:w="1371" w:type="dxa"/>
            <w:noWrap/>
            <w:hideMark/>
          </w:tcPr>
          <w:p w:rsidR="00151ACD" w:rsidRPr="00377CFE" w:rsidRDefault="00151ACD" w:rsidP="00151ACD">
            <w:pPr>
              <w:spacing w:after="200" w:line="360" w:lineRule="auto"/>
              <w:jc w:val="both"/>
              <w:rPr>
                <w:rFonts w:ascii="Times New Roman" w:hAnsi="Times New Roman" w:cs="Times New Roman"/>
                <w:b/>
                <w:bCs/>
                <w:sz w:val="24"/>
                <w:szCs w:val="24"/>
              </w:rPr>
            </w:pPr>
            <w:r w:rsidRPr="00377CFE">
              <w:rPr>
                <w:rFonts w:ascii="Times New Roman" w:hAnsi="Times New Roman" w:cs="Times New Roman"/>
                <w:b/>
                <w:bCs/>
                <w:sz w:val="24"/>
                <w:szCs w:val="24"/>
              </w:rPr>
              <w:t>p-value</w:t>
            </w:r>
          </w:p>
        </w:tc>
        <w:tc>
          <w:tcPr>
            <w:tcW w:w="1993" w:type="dxa"/>
            <w:noWrap/>
            <w:hideMark/>
          </w:tcPr>
          <w:p w:rsidR="00151ACD" w:rsidRPr="00377CFE" w:rsidRDefault="00151ACD" w:rsidP="00151ACD">
            <w:pPr>
              <w:spacing w:after="200" w:line="360" w:lineRule="auto"/>
              <w:jc w:val="both"/>
              <w:rPr>
                <w:rFonts w:ascii="Times New Roman" w:hAnsi="Times New Roman" w:cs="Times New Roman"/>
                <w:b/>
                <w:bCs/>
                <w:sz w:val="24"/>
                <w:szCs w:val="24"/>
              </w:rPr>
            </w:pPr>
            <w:r w:rsidRPr="00377CFE">
              <w:rPr>
                <w:rFonts w:ascii="Times New Roman" w:hAnsi="Times New Roman" w:cs="Times New Roman"/>
                <w:b/>
                <w:bCs/>
                <w:sz w:val="24"/>
                <w:szCs w:val="24"/>
              </w:rPr>
              <w:t>Significance</w:t>
            </w:r>
          </w:p>
        </w:tc>
      </w:tr>
      <w:tr w:rsidR="00151ACD" w:rsidRPr="00377CFE" w:rsidTr="00377CFE">
        <w:trPr>
          <w:trHeight w:val="288"/>
        </w:trPr>
        <w:tc>
          <w:tcPr>
            <w:tcW w:w="190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Constant (Intercept)</w:t>
            </w:r>
          </w:p>
        </w:tc>
        <w:tc>
          <w:tcPr>
            <w:tcW w:w="1705"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12.54</w:t>
            </w:r>
          </w:p>
        </w:tc>
        <w:tc>
          <w:tcPr>
            <w:tcW w:w="1324"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3.21</w:t>
            </w:r>
          </w:p>
        </w:tc>
        <w:tc>
          <w:tcPr>
            <w:tcW w:w="1275"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3.91</w:t>
            </w:r>
          </w:p>
        </w:tc>
        <w:tc>
          <w:tcPr>
            <w:tcW w:w="1371"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0.001</w:t>
            </w:r>
          </w:p>
        </w:tc>
        <w:tc>
          <w:tcPr>
            <w:tcW w:w="1993"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Significant</w:t>
            </w:r>
          </w:p>
        </w:tc>
      </w:tr>
      <w:tr w:rsidR="00151ACD" w:rsidRPr="00377CFE" w:rsidTr="00377CFE">
        <w:trPr>
          <w:trHeight w:val="288"/>
        </w:trPr>
        <w:tc>
          <w:tcPr>
            <w:tcW w:w="190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Coal Output</w:t>
            </w:r>
          </w:p>
        </w:tc>
        <w:tc>
          <w:tcPr>
            <w:tcW w:w="1705"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0.0021</w:t>
            </w:r>
          </w:p>
        </w:tc>
        <w:tc>
          <w:tcPr>
            <w:tcW w:w="1324"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0.0008</w:t>
            </w:r>
          </w:p>
        </w:tc>
        <w:tc>
          <w:tcPr>
            <w:tcW w:w="1275"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2.63</w:t>
            </w:r>
          </w:p>
        </w:tc>
        <w:tc>
          <w:tcPr>
            <w:tcW w:w="1371"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0.014</w:t>
            </w:r>
          </w:p>
        </w:tc>
        <w:tc>
          <w:tcPr>
            <w:tcW w:w="1993"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Significant</w:t>
            </w:r>
          </w:p>
        </w:tc>
      </w:tr>
      <w:tr w:rsidR="00151ACD" w:rsidRPr="00377CFE" w:rsidTr="00377CFE">
        <w:trPr>
          <w:trHeight w:val="422"/>
        </w:trPr>
        <w:tc>
          <w:tcPr>
            <w:tcW w:w="1908"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Workforce Size</w:t>
            </w:r>
          </w:p>
        </w:tc>
        <w:tc>
          <w:tcPr>
            <w:tcW w:w="1705"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-0.31</w:t>
            </w:r>
          </w:p>
        </w:tc>
        <w:tc>
          <w:tcPr>
            <w:tcW w:w="1324"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0.12</w:t>
            </w:r>
          </w:p>
        </w:tc>
        <w:tc>
          <w:tcPr>
            <w:tcW w:w="1275"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-2.58</w:t>
            </w:r>
          </w:p>
        </w:tc>
        <w:tc>
          <w:tcPr>
            <w:tcW w:w="1371" w:type="dxa"/>
            <w:noWrap/>
            <w:hideMark/>
          </w:tcPr>
          <w:p w:rsidR="00151ACD" w:rsidRPr="00377CFE" w:rsidRDefault="00151ACD" w:rsidP="00151ACD">
            <w:pPr>
              <w:spacing w:after="200" w:line="360" w:lineRule="auto"/>
              <w:jc w:val="both"/>
              <w:rPr>
                <w:rFonts w:ascii="Times New Roman" w:hAnsi="Times New Roman" w:cs="Times New Roman"/>
                <w:sz w:val="24"/>
                <w:szCs w:val="24"/>
              </w:rPr>
            </w:pPr>
            <w:r w:rsidRPr="00377CFE">
              <w:rPr>
                <w:rFonts w:ascii="Times New Roman" w:hAnsi="Times New Roman" w:cs="Times New Roman"/>
                <w:sz w:val="24"/>
                <w:szCs w:val="24"/>
              </w:rPr>
              <w:t>0.016</w:t>
            </w:r>
          </w:p>
        </w:tc>
        <w:tc>
          <w:tcPr>
            <w:tcW w:w="1993" w:type="dxa"/>
            <w:noWrap/>
            <w:hideMark/>
          </w:tcPr>
          <w:p w:rsidR="00151ACD" w:rsidRPr="00377CFE" w:rsidRDefault="00151ACD" w:rsidP="00151ACD">
            <w:pPr>
              <w:spacing w:after="200"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Significant</w:t>
            </w:r>
          </w:p>
        </w:tc>
      </w:tr>
    </w:tbl>
    <w:p w:rsidR="00151ACD" w:rsidRPr="00377CFE" w:rsidRDefault="00151ACD" w:rsidP="00151ACD">
      <w:pPr>
        <w:spacing w:line="360" w:lineRule="auto"/>
        <w:jc w:val="both"/>
        <w:rPr>
          <w:rFonts w:ascii="Times New Roman" w:hAnsi="Times New Roman" w:cs="Times New Roman"/>
          <w:b/>
          <w:sz w:val="24"/>
          <w:szCs w:val="24"/>
        </w:rPr>
      </w:pPr>
    </w:p>
    <w:p w:rsidR="00151ACD" w:rsidRPr="00377CFE" w:rsidRDefault="00151ACD" w:rsidP="00151ACD">
      <w:pPr>
        <w:numPr>
          <w:ilvl w:val="0"/>
          <w:numId w:val="1"/>
        </w:num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R² = 0.78 → Model explains 78% of variation in accidents.</w:t>
      </w:r>
    </w:p>
    <w:p w:rsidR="00151ACD" w:rsidRPr="00377CFE" w:rsidRDefault="00151ACD" w:rsidP="00151ACD">
      <w:pPr>
        <w:numPr>
          <w:ilvl w:val="0"/>
          <w:numId w:val="1"/>
        </w:num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F-statistic = 23.5, p &lt; 0.001 → Model is statistically significant.</w:t>
      </w:r>
    </w:p>
    <w:p w:rsidR="00151ACD" w:rsidRPr="00377CFE" w:rsidRDefault="00151ACD" w:rsidP="00151ACD">
      <w:pPr>
        <w:numPr>
          <w:ilvl w:val="0"/>
          <w:numId w:val="1"/>
        </w:num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Dependent Variable = </w:t>
      </w:r>
      <w:r w:rsidRPr="00377CFE">
        <w:rPr>
          <w:rFonts w:ascii="Times New Roman" w:hAnsi="Times New Roman" w:cs="Times New Roman"/>
          <w:b/>
          <w:iCs/>
          <w:sz w:val="24"/>
          <w:szCs w:val="24"/>
        </w:rPr>
        <w:t>Fatal Accidents</w:t>
      </w:r>
    </w:p>
    <w:p w:rsidR="00201B32" w:rsidRPr="00377CFE" w:rsidRDefault="00201B32" w:rsidP="00201B32">
      <w:pPr>
        <w:spacing w:line="360" w:lineRule="auto"/>
        <w:jc w:val="both"/>
        <w:rPr>
          <w:rFonts w:ascii="Times New Roman" w:hAnsi="Times New Roman" w:cs="Times New Roman"/>
          <w:b/>
          <w:sz w:val="24"/>
          <w:szCs w:val="24"/>
        </w:rPr>
      </w:pPr>
      <w:r w:rsidRPr="00377CFE">
        <w:rPr>
          <w:rFonts w:ascii="Times New Roman" w:hAnsi="Times New Roman" w:cs="Times New Roman"/>
          <w:b/>
          <w:sz w:val="24"/>
          <w:szCs w:val="24"/>
        </w:rPr>
        <w:t xml:space="preserve">Interpretation: </w:t>
      </w:r>
      <w:r w:rsidRPr="00377CFE">
        <w:rPr>
          <w:rFonts w:ascii="Times New Roman" w:hAnsi="Times New Roman" w:cs="Times New Roman"/>
          <w:sz w:val="24"/>
          <w:szCs w:val="24"/>
        </w:rPr>
        <w:t xml:space="preserve">The regression model was executed with Fatal Accidents as the response variable and Coal Output, and Workforce Size as predictors. The entire model was statistically significant (F-statistic = 23.5, p &lt; 0.001) and accounted for 0.78 of the variance in fatal accidents, which means 78% of fatal accidents' variation can be explained by predictors in this model. Coal Output (β = 0.0021, p = 0.014) showed positive correlation, indicating increased production volumes have more fatal accidents, and it could be due to increased exposure to hazardous situations. On the other hand, Workforce Size (β = -0.31, p = 0.016) demonstrated negative and significant correlation, indicating increased workforce deployment reduces fatal accidents, and it could act to dilute risk and support safer outcomes. The constant term (Intercept) was also significant (β = 12.54, p = 0.001), which means an average number of accidents occurred regardless of Year, Coal Output, and Workforce Size value appearing in this model. Overall, it seems time and production intensity variables induce occupational health hazards, and increased workforce deployment has led to minimizing fatal accidents. These findings also support regulations, training, and manpower planning in central roles to ensure safe practices during coal mining practices. </w:t>
      </w:r>
    </w:p>
    <w:p w:rsidR="00377CFE" w:rsidRDefault="00377CFE" w:rsidP="00201B32">
      <w:pPr>
        <w:spacing w:line="360" w:lineRule="auto"/>
        <w:jc w:val="both"/>
        <w:rPr>
          <w:rFonts w:ascii="Times New Roman" w:hAnsi="Times New Roman" w:cs="Times New Roman"/>
          <w:b/>
          <w:sz w:val="28"/>
          <w:szCs w:val="28"/>
        </w:rPr>
      </w:pPr>
    </w:p>
    <w:p w:rsidR="00201B32" w:rsidRPr="00377CFE" w:rsidRDefault="00E53610" w:rsidP="00201B32">
      <w:pPr>
        <w:spacing w:line="360" w:lineRule="auto"/>
        <w:jc w:val="both"/>
        <w:rPr>
          <w:rFonts w:ascii="Times New Roman" w:hAnsi="Times New Roman" w:cs="Times New Roman"/>
          <w:b/>
          <w:sz w:val="28"/>
          <w:szCs w:val="28"/>
        </w:rPr>
      </w:pPr>
      <w:r w:rsidRPr="00377CFE">
        <w:rPr>
          <w:rFonts w:ascii="Times New Roman" w:hAnsi="Times New Roman" w:cs="Times New Roman"/>
          <w:b/>
          <w:sz w:val="28"/>
          <w:szCs w:val="28"/>
        </w:rPr>
        <w:t>7</w:t>
      </w:r>
      <w:r w:rsidR="00201B32" w:rsidRPr="00377CFE">
        <w:rPr>
          <w:rFonts w:ascii="Times New Roman" w:hAnsi="Times New Roman" w:cs="Times New Roman"/>
          <w:b/>
          <w:sz w:val="28"/>
          <w:szCs w:val="28"/>
        </w:rPr>
        <w:t xml:space="preserve">. Conclusion  </w:t>
      </w:r>
    </w:p>
    <w:p w:rsidR="00201B32" w:rsidRPr="00377CFE" w:rsidRDefault="00201B32" w:rsidP="00201B32">
      <w:pPr>
        <w:spacing w:line="360" w:lineRule="auto"/>
        <w:jc w:val="both"/>
        <w:rPr>
          <w:rFonts w:ascii="Times New Roman" w:hAnsi="Times New Roman" w:cs="Times New Roman"/>
          <w:sz w:val="24"/>
          <w:szCs w:val="24"/>
        </w:rPr>
      </w:pPr>
      <w:r w:rsidRPr="00377CFE">
        <w:rPr>
          <w:rFonts w:ascii="Times New Roman" w:hAnsi="Times New Roman" w:cs="Times New Roman"/>
          <w:sz w:val="24"/>
          <w:szCs w:val="24"/>
        </w:rPr>
        <w:lastRenderedPageBreak/>
        <w:t>The present study indicates that while there have been significant advances in improving occupational health and safety in India's coal mines, there still exist challenges in this direction. Accident statistics analysis indicates inclined decline in fatal and serious accidents in 2013–2022, showing positive impacts of reforms in regulations, upgrading through technologies, and improving safety culture. The study through Chi-square and regression analysis also indicates accident behaviors to be significantly related to production intensity and systemic safety, reiterating systemic nature of occupational health risks in mines. Despite these developments, coal mine workers continue to be vulnerable to chronic respiratory occupational diseases, i.e., pneumoconiosis, silicosis, and COPD, due to long-duration exposures to coal dust. Persistence of these illnesses reiterates gaps in suppression technologies of dust, poor personal protective gear, and not-stiff-enough health surveillance systems. The research also indicates gaps in occupational health regulations enforcement, wherein small mines in number and private mines have not been fully compliant in terms of sanctioned medical check-up and safety and environment monitoring parameters specified in regulations. Institutionally, roles of DGMS, NIMH, and NIOH have been core to this effort. These institutions, in their core roles, also have potential to fill gaps in occupational health, but inter-agency integrations and coordination with stakeholders in industry remain meager, diluting strength in interventions, and absence of stricter and better-monitored punishment and penalty regimes contributes to laxity in field behaviors. The Occupational Safety, Health and Working Conditions Code, 2020, and international standard adoptions, i.e., through standards such as ISO 45001, can provide foundations to improving risk management, but practical actions require better punishment and monitoring regimes. The future needs to have multiple prongs as part of it. Investment in latest and best-in class technologies to suppress dust, digital systems in surveillance and predictive analytics in safety can lower worker protection significantly. Development of better health infrastructure in mining regions and introduction of complete medical surveillance programs would take care of long lasts in health offences. Besides, training, awareness, and participation through safety committees will bring better sense of possession in safety behaviors in mines and better compliances. Therefore, in conclusion, study indicates accident-related risks have come down, whereas long-duration occupational health hazards still remain an area of singular importance.  Closing gaps in implementation, leveraging technology, and providing worker welfare can bolster sustainable occupational health outcomes in India’s mines.</w:t>
      </w:r>
    </w:p>
    <w:p w:rsidR="00BA7B4D" w:rsidRDefault="00BA7B4D" w:rsidP="00BA7B4D">
      <w:r>
        <w:lastRenderedPageBreak/>
        <w:t>Disclaimer (Artificial intelligence)</w:t>
      </w:r>
    </w:p>
    <w:p w:rsidR="00BA7B4D" w:rsidRDefault="00BA7B4D" w:rsidP="00BA7B4D">
      <w:r>
        <w:t xml:space="preserve">Option 1: </w:t>
      </w:r>
    </w:p>
    <w:p w:rsidR="00BA7B4D" w:rsidRDefault="00BA7B4D" w:rsidP="00BA7B4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A7B4D" w:rsidRDefault="00BA7B4D" w:rsidP="00BA7B4D">
      <w:r>
        <w:t xml:space="preserve">Option 2: </w:t>
      </w:r>
    </w:p>
    <w:p w:rsidR="00BA7B4D" w:rsidRDefault="00BA7B4D" w:rsidP="00BA7B4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A7B4D" w:rsidRDefault="00BA7B4D" w:rsidP="00BA7B4D">
      <w:r>
        <w:t>Details of the AI usage are given below:</w:t>
      </w:r>
    </w:p>
    <w:p w:rsidR="00BA7B4D" w:rsidRDefault="00BA7B4D" w:rsidP="00BA7B4D">
      <w:r>
        <w:t>1.</w:t>
      </w:r>
    </w:p>
    <w:p w:rsidR="00BA7B4D" w:rsidRDefault="00BA7B4D" w:rsidP="00BA7B4D">
      <w:r>
        <w:t>2.</w:t>
      </w:r>
    </w:p>
    <w:p w:rsidR="00BA7B4D" w:rsidRPr="00D047BB" w:rsidRDefault="00BA7B4D" w:rsidP="00BA7B4D">
      <w:r>
        <w:t>3.</w:t>
      </w:r>
    </w:p>
    <w:p w:rsidR="00BA7B4D" w:rsidRPr="0063354D" w:rsidRDefault="00BA7B4D" w:rsidP="00BA7B4D"/>
    <w:p w:rsidR="00BA7B4D" w:rsidRPr="00F7241A" w:rsidRDefault="00BA7B4D" w:rsidP="00BA7B4D"/>
    <w:p w:rsidR="007A2852" w:rsidRDefault="007A2852" w:rsidP="00882E7C">
      <w:pPr>
        <w:spacing w:line="360" w:lineRule="auto"/>
        <w:jc w:val="both"/>
        <w:rPr>
          <w:rFonts w:ascii="Times New Roman" w:hAnsi="Times New Roman" w:cs="Times New Roman"/>
          <w:b/>
          <w:sz w:val="28"/>
          <w:szCs w:val="28"/>
        </w:rPr>
      </w:pPr>
      <w:bookmarkStart w:id="0" w:name="_GoBack"/>
      <w:bookmarkEnd w:id="0"/>
    </w:p>
    <w:p w:rsidR="007A2852" w:rsidRDefault="007A2852" w:rsidP="00882E7C">
      <w:pPr>
        <w:spacing w:line="360" w:lineRule="auto"/>
        <w:jc w:val="both"/>
        <w:rPr>
          <w:rFonts w:ascii="Times New Roman" w:hAnsi="Times New Roman" w:cs="Times New Roman"/>
          <w:b/>
          <w:sz w:val="28"/>
          <w:szCs w:val="28"/>
        </w:rPr>
      </w:pPr>
    </w:p>
    <w:p w:rsidR="00882E7C" w:rsidRPr="00377CFE" w:rsidRDefault="00E53610" w:rsidP="00882E7C">
      <w:pPr>
        <w:spacing w:line="360" w:lineRule="auto"/>
        <w:jc w:val="both"/>
        <w:rPr>
          <w:rFonts w:ascii="Times New Roman" w:hAnsi="Times New Roman" w:cs="Times New Roman"/>
          <w:sz w:val="28"/>
          <w:szCs w:val="28"/>
        </w:rPr>
      </w:pPr>
      <w:r w:rsidRPr="00377CFE">
        <w:rPr>
          <w:rFonts w:ascii="Times New Roman" w:hAnsi="Times New Roman" w:cs="Times New Roman"/>
          <w:b/>
          <w:sz w:val="28"/>
          <w:szCs w:val="28"/>
        </w:rPr>
        <w:t>8</w:t>
      </w:r>
      <w:r w:rsidR="00F83E64" w:rsidRPr="00377CFE">
        <w:rPr>
          <w:rFonts w:ascii="Times New Roman" w:hAnsi="Times New Roman" w:cs="Times New Roman"/>
          <w:b/>
          <w:sz w:val="28"/>
          <w:szCs w:val="28"/>
        </w:rPr>
        <w:t>. References</w:t>
      </w:r>
    </w:p>
    <w:p w:rsidR="00337AC2" w:rsidRPr="00337AC2" w:rsidRDefault="00337AC2" w:rsidP="00337AC2">
      <w:pPr>
        <w:spacing w:after="0" w:line="240" w:lineRule="auto"/>
        <w:contextualSpacing/>
        <w:rPr>
          <w:rFonts w:ascii="Times New Roman" w:eastAsia="Times New Roman" w:hAnsi="Times New Roman" w:cs="Times New Roman"/>
          <w:bCs/>
          <w:sz w:val="24"/>
          <w:szCs w:val="24"/>
          <w:lang w:val="en-GB"/>
        </w:rPr>
      </w:pPr>
      <w:r w:rsidRPr="00337AC2">
        <w:rPr>
          <w:rFonts w:ascii="Times New Roman" w:eastAsia="Times New Roman" w:hAnsi="Times New Roman" w:cs="Times New Roman"/>
          <w:bCs/>
          <w:sz w:val="24"/>
          <w:szCs w:val="24"/>
        </w:rPr>
        <w:t xml:space="preserve">Jackson, H., &amp; Quinlan, M. (2024). Contract </w:t>
      </w:r>
      <w:proofErr w:type="spellStart"/>
      <w:r w:rsidRPr="00337AC2">
        <w:rPr>
          <w:rFonts w:ascii="Times New Roman" w:eastAsia="Times New Roman" w:hAnsi="Times New Roman" w:cs="Times New Roman"/>
          <w:bCs/>
          <w:sz w:val="24"/>
          <w:szCs w:val="24"/>
        </w:rPr>
        <w:t>labour</w:t>
      </w:r>
      <w:proofErr w:type="spellEnd"/>
      <w:r w:rsidRPr="00337AC2">
        <w:rPr>
          <w:rFonts w:ascii="Times New Roman" w:eastAsia="Times New Roman" w:hAnsi="Times New Roman" w:cs="Times New Roman"/>
          <w:bCs/>
          <w:sz w:val="24"/>
          <w:szCs w:val="24"/>
        </w:rPr>
        <w:t xml:space="preserve"> in mining and occupational health and safety: A critical review [Review of </w:t>
      </w:r>
      <w:r w:rsidRPr="00337AC2">
        <w:rPr>
          <w:rFonts w:ascii="Times New Roman" w:eastAsia="Times New Roman" w:hAnsi="Times New Roman" w:cs="Times New Roman"/>
          <w:bCs/>
          <w:i/>
          <w:iCs/>
          <w:sz w:val="24"/>
          <w:szCs w:val="24"/>
        </w:rPr>
        <w:t xml:space="preserve">Contract </w:t>
      </w:r>
      <w:proofErr w:type="spellStart"/>
      <w:r w:rsidRPr="00337AC2">
        <w:rPr>
          <w:rFonts w:ascii="Times New Roman" w:eastAsia="Times New Roman" w:hAnsi="Times New Roman" w:cs="Times New Roman"/>
          <w:bCs/>
          <w:i/>
          <w:iCs/>
          <w:sz w:val="24"/>
          <w:szCs w:val="24"/>
        </w:rPr>
        <w:t>labour</w:t>
      </w:r>
      <w:proofErr w:type="spellEnd"/>
      <w:r w:rsidRPr="00337AC2">
        <w:rPr>
          <w:rFonts w:ascii="Times New Roman" w:eastAsia="Times New Roman" w:hAnsi="Times New Roman" w:cs="Times New Roman"/>
          <w:bCs/>
          <w:i/>
          <w:iCs/>
          <w:sz w:val="24"/>
          <w:szCs w:val="24"/>
        </w:rPr>
        <w:t xml:space="preserve"> in mining and occupational health and safety: A critical review</w:t>
      </w:r>
      <w:r w:rsidRPr="00337AC2">
        <w:rPr>
          <w:rFonts w:ascii="Times New Roman" w:eastAsia="Times New Roman" w:hAnsi="Times New Roman" w:cs="Times New Roman"/>
          <w:bCs/>
          <w:sz w:val="24"/>
          <w:szCs w:val="24"/>
        </w:rPr>
        <w:t>]. </w:t>
      </w:r>
      <w:r w:rsidRPr="00337AC2">
        <w:rPr>
          <w:rFonts w:ascii="Times New Roman" w:eastAsia="Times New Roman" w:hAnsi="Times New Roman" w:cs="Times New Roman"/>
          <w:bCs/>
          <w:i/>
          <w:iCs/>
          <w:sz w:val="24"/>
          <w:szCs w:val="24"/>
        </w:rPr>
        <w:t xml:space="preserve">The Economic and </w:t>
      </w:r>
      <w:proofErr w:type="spellStart"/>
      <w:r w:rsidRPr="00337AC2">
        <w:rPr>
          <w:rFonts w:ascii="Times New Roman" w:eastAsia="Times New Roman" w:hAnsi="Times New Roman" w:cs="Times New Roman"/>
          <w:bCs/>
          <w:i/>
          <w:iCs/>
          <w:sz w:val="24"/>
          <w:szCs w:val="24"/>
        </w:rPr>
        <w:t>Labour</w:t>
      </w:r>
      <w:proofErr w:type="spellEnd"/>
      <w:r w:rsidRPr="00337AC2">
        <w:rPr>
          <w:rFonts w:ascii="Times New Roman" w:eastAsia="Times New Roman" w:hAnsi="Times New Roman" w:cs="Times New Roman"/>
          <w:bCs/>
          <w:i/>
          <w:iCs/>
          <w:sz w:val="24"/>
          <w:szCs w:val="24"/>
        </w:rPr>
        <w:t xml:space="preserve"> Relations Review</w:t>
      </w:r>
      <w:r w:rsidRPr="00337AC2">
        <w:rPr>
          <w:rFonts w:ascii="Times New Roman" w:eastAsia="Times New Roman" w:hAnsi="Times New Roman" w:cs="Times New Roman"/>
          <w:bCs/>
          <w:sz w:val="24"/>
          <w:szCs w:val="24"/>
        </w:rPr>
        <w:t>, 1. Cambridge University Press. </w:t>
      </w:r>
      <w:hyperlink r:id="rId6" w:tgtFrame="_blank" w:history="1">
        <w:r w:rsidRPr="00377CFE">
          <w:rPr>
            <w:rFonts w:ascii="Times New Roman" w:eastAsia="Times New Roman" w:hAnsi="Times New Roman" w:cs="Times New Roman"/>
            <w:bCs/>
            <w:color w:val="0000FF"/>
            <w:sz w:val="24"/>
            <w:szCs w:val="24"/>
            <w:u w:val="single"/>
          </w:rPr>
          <w:t>https://doi.org/10.1017/elr.2024.32</w:t>
        </w:r>
      </w:hyperlink>
    </w:p>
    <w:p w:rsidR="00337AC2" w:rsidRPr="00337AC2" w:rsidRDefault="00337AC2" w:rsidP="00337AC2">
      <w:pPr>
        <w:spacing w:after="0" w:line="240" w:lineRule="auto"/>
        <w:contextualSpacing/>
        <w:rPr>
          <w:rFonts w:ascii="Times New Roman" w:eastAsia="Times New Roman" w:hAnsi="Times New Roman" w:cs="Times New Roman"/>
          <w:bCs/>
          <w:sz w:val="24"/>
          <w:szCs w:val="24"/>
          <w:lang w:val="en-GB"/>
        </w:rPr>
      </w:pPr>
    </w:p>
    <w:p w:rsidR="00337AC2" w:rsidRPr="00337AC2" w:rsidRDefault="00337AC2" w:rsidP="00337AC2">
      <w:pPr>
        <w:spacing w:after="0" w:line="240" w:lineRule="auto"/>
        <w:contextualSpacing/>
        <w:rPr>
          <w:rFonts w:ascii="Times New Roman" w:eastAsia="Times New Roman" w:hAnsi="Times New Roman" w:cs="Times New Roman"/>
          <w:bCs/>
          <w:sz w:val="24"/>
          <w:szCs w:val="24"/>
          <w:lang w:val="en-GB"/>
        </w:rPr>
      </w:pPr>
      <w:proofErr w:type="spellStart"/>
      <w:r w:rsidRPr="00337AC2">
        <w:rPr>
          <w:rFonts w:ascii="Times New Roman" w:eastAsia="Times New Roman" w:hAnsi="Times New Roman" w:cs="Times New Roman"/>
          <w:bCs/>
          <w:sz w:val="24"/>
          <w:szCs w:val="24"/>
        </w:rPr>
        <w:t>Neelakanti</w:t>
      </w:r>
      <w:proofErr w:type="spellEnd"/>
      <w:r w:rsidRPr="00337AC2">
        <w:rPr>
          <w:rFonts w:ascii="Times New Roman" w:eastAsia="Times New Roman" w:hAnsi="Times New Roman" w:cs="Times New Roman"/>
          <w:bCs/>
          <w:sz w:val="24"/>
          <w:szCs w:val="24"/>
        </w:rPr>
        <w:t xml:space="preserve">, R., &amp; </w:t>
      </w:r>
      <w:proofErr w:type="spellStart"/>
      <w:r w:rsidRPr="00337AC2">
        <w:rPr>
          <w:rFonts w:ascii="Times New Roman" w:eastAsia="Times New Roman" w:hAnsi="Times New Roman" w:cs="Times New Roman"/>
          <w:bCs/>
          <w:sz w:val="24"/>
          <w:szCs w:val="24"/>
        </w:rPr>
        <w:t>Sriramula</w:t>
      </w:r>
      <w:proofErr w:type="spellEnd"/>
      <w:r w:rsidRPr="00337AC2">
        <w:rPr>
          <w:rFonts w:ascii="Times New Roman" w:eastAsia="Times New Roman" w:hAnsi="Times New Roman" w:cs="Times New Roman"/>
          <w:bCs/>
          <w:sz w:val="24"/>
          <w:szCs w:val="24"/>
        </w:rPr>
        <w:t>, P. (2019). A study on work characteristics and morbidity pattern of coal mine workers in South India. </w:t>
      </w:r>
      <w:r w:rsidRPr="00337AC2">
        <w:rPr>
          <w:rFonts w:ascii="Times New Roman" w:eastAsia="Times New Roman" w:hAnsi="Times New Roman" w:cs="Times New Roman"/>
          <w:bCs/>
          <w:i/>
          <w:iCs/>
          <w:sz w:val="24"/>
          <w:szCs w:val="24"/>
        </w:rPr>
        <w:t>International Journal of Community Medicine and Public Health</w:t>
      </w:r>
      <w:r w:rsidRPr="00337AC2">
        <w:rPr>
          <w:rFonts w:ascii="Times New Roman" w:eastAsia="Times New Roman" w:hAnsi="Times New Roman" w:cs="Times New Roman"/>
          <w:bCs/>
          <w:sz w:val="24"/>
          <w:szCs w:val="24"/>
        </w:rPr>
        <w:t>, </w:t>
      </w:r>
      <w:r w:rsidRPr="00337AC2">
        <w:rPr>
          <w:rFonts w:ascii="Times New Roman" w:eastAsia="Times New Roman" w:hAnsi="Times New Roman" w:cs="Times New Roman"/>
          <w:bCs/>
          <w:i/>
          <w:iCs/>
          <w:sz w:val="24"/>
          <w:szCs w:val="24"/>
        </w:rPr>
        <w:t>6</w:t>
      </w:r>
      <w:r w:rsidRPr="00337AC2">
        <w:rPr>
          <w:rFonts w:ascii="Times New Roman" w:eastAsia="Times New Roman" w:hAnsi="Times New Roman" w:cs="Times New Roman"/>
          <w:bCs/>
          <w:sz w:val="24"/>
          <w:szCs w:val="24"/>
        </w:rPr>
        <w:t>(8), 3190. </w:t>
      </w:r>
      <w:hyperlink r:id="rId7" w:tgtFrame="_blank" w:history="1">
        <w:r w:rsidRPr="00377CFE">
          <w:rPr>
            <w:rFonts w:ascii="Times New Roman" w:eastAsia="Times New Roman" w:hAnsi="Times New Roman" w:cs="Times New Roman"/>
            <w:bCs/>
            <w:color w:val="0000FF"/>
            <w:sz w:val="24"/>
            <w:szCs w:val="24"/>
            <w:u w:val="single"/>
          </w:rPr>
          <w:t>https://doi.org/10.18203/2394-6040.ijcmph20193084</w:t>
        </w:r>
      </w:hyperlink>
    </w:p>
    <w:p w:rsidR="00337AC2" w:rsidRPr="00337AC2" w:rsidRDefault="00337AC2" w:rsidP="00337AC2">
      <w:pPr>
        <w:spacing w:after="0" w:line="240" w:lineRule="auto"/>
        <w:contextualSpacing/>
        <w:rPr>
          <w:rFonts w:ascii="Times New Roman" w:eastAsia="Times New Roman" w:hAnsi="Times New Roman" w:cs="Times New Roman"/>
          <w:bCs/>
          <w:sz w:val="24"/>
          <w:szCs w:val="24"/>
          <w:lang w:val="en-GB"/>
        </w:rPr>
      </w:pPr>
    </w:p>
    <w:p w:rsidR="00B23997" w:rsidRPr="00377CFE" w:rsidRDefault="00337AC2" w:rsidP="00337AC2">
      <w:pPr>
        <w:rPr>
          <w:rFonts w:ascii="Times New Roman" w:hAnsi="Times New Roman" w:cs="Times New Roman"/>
          <w:sz w:val="24"/>
          <w:szCs w:val="24"/>
        </w:rPr>
      </w:pPr>
      <w:r w:rsidRPr="00377CFE">
        <w:rPr>
          <w:rFonts w:ascii="Times New Roman" w:eastAsia="Times New Roman" w:hAnsi="Times New Roman" w:cs="Times New Roman"/>
          <w:bCs/>
          <w:sz w:val="24"/>
          <w:szCs w:val="24"/>
          <w:lang w:val="de-DE"/>
        </w:rPr>
        <w:t xml:space="preserve">Yang, L., Birhane, G. E., Zhu, J., &amp; Geng, J. (2021). </w:t>
      </w:r>
      <w:r w:rsidRPr="00377CFE">
        <w:rPr>
          <w:rFonts w:ascii="Times New Roman" w:eastAsia="Times New Roman" w:hAnsi="Times New Roman" w:cs="Times New Roman"/>
          <w:bCs/>
          <w:sz w:val="24"/>
          <w:szCs w:val="24"/>
        </w:rPr>
        <w:t>Mining Employees Safety and the Application of Information Te</w:t>
      </w:r>
      <w:r w:rsidR="00D7633E" w:rsidRPr="00377CFE">
        <w:rPr>
          <w:rFonts w:ascii="Times New Roman" w:eastAsia="Times New Roman" w:hAnsi="Times New Roman" w:cs="Times New Roman"/>
          <w:bCs/>
          <w:sz w:val="24"/>
          <w:szCs w:val="24"/>
        </w:rPr>
        <w:t xml:space="preserve">chnology in Coal Mining: Review. </w:t>
      </w:r>
      <w:r w:rsidRPr="00377CFE">
        <w:rPr>
          <w:rFonts w:ascii="Times New Roman" w:eastAsia="Times New Roman" w:hAnsi="Times New Roman" w:cs="Times New Roman"/>
          <w:bCs/>
          <w:i/>
          <w:iCs/>
          <w:sz w:val="24"/>
          <w:szCs w:val="24"/>
        </w:rPr>
        <w:t>Frontiers in Public Health</w:t>
      </w:r>
      <w:r w:rsidRPr="00377CFE">
        <w:rPr>
          <w:rFonts w:ascii="Times New Roman" w:eastAsia="Times New Roman" w:hAnsi="Times New Roman" w:cs="Times New Roman"/>
          <w:bCs/>
          <w:sz w:val="24"/>
          <w:szCs w:val="24"/>
        </w:rPr>
        <w:t>, </w:t>
      </w:r>
      <w:r w:rsidRPr="00377CFE">
        <w:rPr>
          <w:rFonts w:ascii="Times New Roman" w:eastAsia="Times New Roman" w:hAnsi="Times New Roman" w:cs="Times New Roman"/>
          <w:bCs/>
          <w:i/>
          <w:iCs/>
          <w:sz w:val="24"/>
          <w:szCs w:val="24"/>
        </w:rPr>
        <w:t>9</w:t>
      </w:r>
      <w:r w:rsidRPr="00377CFE">
        <w:rPr>
          <w:rFonts w:ascii="Times New Roman" w:eastAsia="Times New Roman" w:hAnsi="Times New Roman" w:cs="Times New Roman"/>
          <w:bCs/>
          <w:sz w:val="24"/>
          <w:szCs w:val="24"/>
        </w:rPr>
        <w:t>. Frontiers Media. </w:t>
      </w:r>
      <w:hyperlink r:id="rId8" w:tgtFrame="_blank" w:history="1">
        <w:r w:rsidRPr="00377CFE">
          <w:rPr>
            <w:rFonts w:ascii="Times New Roman" w:eastAsia="Times New Roman" w:hAnsi="Times New Roman" w:cs="Times New Roman"/>
            <w:bCs/>
            <w:color w:val="0000FF"/>
            <w:sz w:val="24"/>
            <w:szCs w:val="24"/>
            <w:u w:val="single"/>
          </w:rPr>
          <w:t>https://doi.org/10.3389/fpubh.2021.709987</w:t>
        </w:r>
      </w:hyperlink>
    </w:p>
    <w:p w:rsidR="00D7633E" w:rsidRPr="00377CFE" w:rsidRDefault="00D7633E" w:rsidP="00D7633E">
      <w:pPr>
        <w:shd w:val="clear" w:color="auto" w:fill="FFFFFF"/>
        <w:spacing w:before="225" w:after="100" w:afterAutospacing="1" w:line="240" w:lineRule="auto"/>
        <w:rPr>
          <w:rFonts w:ascii="Times New Roman" w:hAnsi="Times New Roman" w:cs="Times New Roman"/>
          <w:color w:val="222222"/>
          <w:sz w:val="24"/>
          <w:szCs w:val="24"/>
          <w:shd w:val="clear" w:color="auto" w:fill="FFFFFF"/>
        </w:rPr>
      </w:pPr>
      <w:proofErr w:type="spellStart"/>
      <w:r w:rsidRPr="00377CFE">
        <w:rPr>
          <w:rFonts w:ascii="Times New Roman" w:hAnsi="Times New Roman" w:cs="Times New Roman"/>
          <w:color w:val="222222"/>
          <w:sz w:val="24"/>
          <w:szCs w:val="24"/>
          <w:shd w:val="clear" w:color="auto" w:fill="FFFFFF"/>
        </w:rPr>
        <w:lastRenderedPageBreak/>
        <w:t>Saha</w:t>
      </w:r>
      <w:proofErr w:type="spellEnd"/>
      <w:r w:rsidRPr="00377CFE">
        <w:rPr>
          <w:rFonts w:ascii="Times New Roman" w:hAnsi="Times New Roman" w:cs="Times New Roman"/>
          <w:color w:val="222222"/>
          <w:sz w:val="24"/>
          <w:szCs w:val="24"/>
          <w:shd w:val="clear" w:color="auto" w:fill="FFFFFF"/>
        </w:rPr>
        <w:t>, R. K. (2018). Occupational health in India. </w:t>
      </w:r>
      <w:r w:rsidRPr="00377CFE">
        <w:rPr>
          <w:rFonts w:ascii="Times New Roman" w:hAnsi="Times New Roman" w:cs="Times New Roman"/>
          <w:i/>
          <w:iCs/>
          <w:color w:val="222222"/>
          <w:sz w:val="24"/>
          <w:szCs w:val="24"/>
          <w:shd w:val="clear" w:color="auto" w:fill="FFFFFF"/>
        </w:rPr>
        <w:t>Annals of global health</w:t>
      </w:r>
      <w:r w:rsidRPr="00377CFE">
        <w:rPr>
          <w:rFonts w:ascii="Times New Roman" w:hAnsi="Times New Roman" w:cs="Times New Roman"/>
          <w:color w:val="222222"/>
          <w:sz w:val="24"/>
          <w:szCs w:val="24"/>
          <w:shd w:val="clear" w:color="auto" w:fill="FFFFFF"/>
        </w:rPr>
        <w:t>, </w:t>
      </w:r>
      <w:r w:rsidRPr="00377CFE">
        <w:rPr>
          <w:rFonts w:ascii="Times New Roman" w:hAnsi="Times New Roman" w:cs="Times New Roman"/>
          <w:i/>
          <w:iCs/>
          <w:color w:val="222222"/>
          <w:sz w:val="24"/>
          <w:szCs w:val="24"/>
          <w:shd w:val="clear" w:color="auto" w:fill="FFFFFF"/>
        </w:rPr>
        <w:t>84</w:t>
      </w:r>
      <w:r w:rsidRPr="00377CFE">
        <w:rPr>
          <w:rFonts w:ascii="Times New Roman" w:hAnsi="Times New Roman" w:cs="Times New Roman"/>
          <w:color w:val="222222"/>
          <w:sz w:val="24"/>
          <w:szCs w:val="24"/>
          <w:shd w:val="clear" w:color="auto" w:fill="FFFFFF"/>
        </w:rPr>
        <w:t>(3), 330.</w:t>
      </w:r>
      <w:r w:rsidRPr="00377CFE">
        <w:rPr>
          <w:rFonts w:ascii="Times New Roman" w:hAnsi="Times New Roman" w:cs="Times New Roman"/>
          <w:sz w:val="24"/>
          <w:szCs w:val="24"/>
        </w:rPr>
        <w:t xml:space="preserve"> </w:t>
      </w:r>
      <w:hyperlink r:id="rId9" w:history="1">
        <w:r w:rsidRPr="00377CFE">
          <w:rPr>
            <w:rStyle w:val="Hyperlink"/>
            <w:rFonts w:ascii="Times New Roman" w:hAnsi="Times New Roman" w:cs="Times New Roman"/>
            <w:sz w:val="24"/>
            <w:szCs w:val="24"/>
            <w:shd w:val="clear" w:color="auto" w:fill="FFFFFF"/>
          </w:rPr>
          <w:t>https://doi.org/10.29024/aogh.2302</w:t>
        </w:r>
      </w:hyperlink>
    </w:p>
    <w:p w:rsidR="007354A6" w:rsidRPr="00377CFE" w:rsidRDefault="0045510E" w:rsidP="00D7633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Marimuthu</w:t>
      </w:r>
      <w:proofErr w:type="spellEnd"/>
      <w:r w:rsidRPr="00377CFE">
        <w:rPr>
          <w:rFonts w:ascii="Times New Roman" w:hAnsi="Times New Roman" w:cs="Times New Roman"/>
          <w:sz w:val="24"/>
          <w:szCs w:val="24"/>
        </w:rPr>
        <w:t xml:space="preserve">, R., </w:t>
      </w:r>
      <w:proofErr w:type="spellStart"/>
      <w:r w:rsidRPr="00377CFE">
        <w:rPr>
          <w:rFonts w:ascii="Times New Roman" w:hAnsi="Times New Roman" w:cs="Times New Roman"/>
          <w:sz w:val="24"/>
          <w:szCs w:val="24"/>
        </w:rPr>
        <w:t>Sankaranarayanan</w:t>
      </w:r>
      <w:proofErr w:type="spellEnd"/>
      <w:r w:rsidRPr="00377CFE">
        <w:rPr>
          <w:rFonts w:ascii="Times New Roman" w:hAnsi="Times New Roman" w:cs="Times New Roman"/>
          <w:sz w:val="24"/>
          <w:szCs w:val="24"/>
        </w:rPr>
        <w:t xml:space="preserve">, B., &amp; </w:t>
      </w:r>
      <w:proofErr w:type="spellStart"/>
      <w:r w:rsidRPr="00377CFE">
        <w:rPr>
          <w:rFonts w:ascii="Times New Roman" w:hAnsi="Times New Roman" w:cs="Times New Roman"/>
          <w:sz w:val="24"/>
          <w:szCs w:val="24"/>
        </w:rPr>
        <w:t>Karuppiah</w:t>
      </w:r>
      <w:proofErr w:type="spellEnd"/>
      <w:r w:rsidRPr="00377CFE">
        <w:rPr>
          <w:rFonts w:ascii="Times New Roman" w:hAnsi="Times New Roman" w:cs="Times New Roman"/>
          <w:sz w:val="24"/>
          <w:szCs w:val="24"/>
        </w:rPr>
        <w:t xml:space="preserve">, K. (2023). Prioritizing the factors affecting the occupational health and safety of workers in the mining industry using the SWARA Technique. Journal of Current Science and Technology, 13(1), 59–73. Retrieved from </w:t>
      </w:r>
      <w:hyperlink r:id="rId10" w:history="1">
        <w:r w:rsidRPr="00377CFE">
          <w:rPr>
            <w:rStyle w:val="Hyperlink"/>
            <w:rFonts w:ascii="Times New Roman" w:hAnsi="Times New Roman" w:cs="Times New Roman"/>
            <w:sz w:val="24"/>
            <w:szCs w:val="24"/>
          </w:rPr>
          <w:t>https://ph04.tci-thaijo.org/index.php/JCST/article/view/204</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r w:rsidRPr="00377CFE">
        <w:rPr>
          <w:rFonts w:ascii="Times New Roman" w:hAnsi="Times New Roman" w:cs="Times New Roman"/>
          <w:sz w:val="24"/>
          <w:szCs w:val="24"/>
        </w:rPr>
        <w:t xml:space="preserve">Ali, F. H., Liaqat, F., </w:t>
      </w:r>
      <w:proofErr w:type="spellStart"/>
      <w:r w:rsidRPr="00377CFE">
        <w:rPr>
          <w:rFonts w:ascii="Times New Roman" w:hAnsi="Times New Roman" w:cs="Times New Roman"/>
          <w:sz w:val="24"/>
          <w:szCs w:val="24"/>
        </w:rPr>
        <w:t>Azhar</w:t>
      </w:r>
      <w:proofErr w:type="spellEnd"/>
      <w:r w:rsidRPr="00377CFE">
        <w:rPr>
          <w:rFonts w:ascii="Times New Roman" w:hAnsi="Times New Roman" w:cs="Times New Roman"/>
          <w:sz w:val="24"/>
          <w:szCs w:val="24"/>
        </w:rPr>
        <w:t>, S., &amp; Ali, M. (2021). Exploring the quantity and quality of occupational health and safety disclosure among listed manufacturing companies: Evidence from Pakistan, a lower-middle income country. Safety science, 143, 105431. DOI: </w:t>
      </w:r>
      <w:hyperlink r:id="rId11" w:history="1">
        <w:r w:rsidRPr="00377CFE">
          <w:rPr>
            <w:rStyle w:val="Hyperlink"/>
            <w:rFonts w:ascii="Times New Roman" w:hAnsi="Times New Roman" w:cs="Times New Roman"/>
            <w:sz w:val="24"/>
            <w:szCs w:val="24"/>
          </w:rPr>
          <w:t>https://doi.org/10.1016/j.ssci.2021.105431</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Alrawad</w:t>
      </w:r>
      <w:proofErr w:type="spellEnd"/>
      <w:r w:rsidRPr="00377CFE">
        <w:rPr>
          <w:rFonts w:ascii="Times New Roman" w:hAnsi="Times New Roman" w:cs="Times New Roman"/>
          <w:sz w:val="24"/>
          <w:szCs w:val="24"/>
        </w:rPr>
        <w:t xml:space="preserve">, M., Lutfi, A., </w:t>
      </w:r>
      <w:proofErr w:type="spellStart"/>
      <w:r w:rsidRPr="00377CFE">
        <w:rPr>
          <w:rFonts w:ascii="Times New Roman" w:hAnsi="Times New Roman" w:cs="Times New Roman"/>
          <w:sz w:val="24"/>
          <w:szCs w:val="24"/>
        </w:rPr>
        <w:t>Alyatama</w:t>
      </w:r>
      <w:proofErr w:type="spellEnd"/>
      <w:r w:rsidRPr="00377CFE">
        <w:rPr>
          <w:rFonts w:ascii="Times New Roman" w:hAnsi="Times New Roman" w:cs="Times New Roman"/>
          <w:sz w:val="24"/>
          <w:szCs w:val="24"/>
        </w:rPr>
        <w:t xml:space="preserve">, S., </w:t>
      </w:r>
      <w:proofErr w:type="spellStart"/>
      <w:r w:rsidRPr="00377CFE">
        <w:rPr>
          <w:rFonts w:ascii="Times New Roman" w:hAnsi="Times New Roman" w:cs="Times New Roman"/>
          <w:sz w:val="24"/>
          <w:szCs w:val="24"/>
        </w:rPr>
        <w:t>Elshaer</w:t>
      </w:r>
      <w:proofErr w:type="spellEnd"/>
      <w:r w:rsidRPr="00377CFE">
        <w:rPr>
          <w:rFonts w:ascii="Times New Roman" w:hAnsi="Times New Roman" w:cs="Times New Roman"/>
          <w:sz w:val="24"/>
          <w:szCs w:val="24"/>
        </w:rPr>
        <w:t xml:space="preserve">, I. A., &amp; </w:t>
      </w:r>
      <w:proofErr w:type="spellStart"/>
      <w:r w:rsidRPr="00377CFE">
        <w:rPr>
          <w:rFonts w:ascii="Times New Roman" w:hAnsi="Times New Roman" w:cs="Times New Roman"/>
          <w:sz w:val="24"/>
          <w:szCs w:val="24"/>
        </w:rPr>
        <w:t>Almaiah</w:t>
      </w:r>
      <w:proofErr w:type="spellEnd"/>
      <w:r w:rsidRPr="00377CFE">
        <w:rPr>
          <w:rFonts w:ascii="Times New Roman" w:hAnsi="Times New Roman" w:cs="Times New Roman"/>
          <w:sz w:val="24"/>
          <w:szCs w:val="24"/>
        </w:rPr>
        <w:t>, M. A. (2022). Perception of Occupational and Environmental Risks and Hazards among Mineworkers: A Psychometric Paradigm Approach. International Journal of Environmental Research and Public Health, 19(6), 3371. </w:t>
      </w:r>
      <w:hyperlink r:id="rId12" w:history="1">
        <w:r w:rsidRPr="00377CFE">
          <w:rPr>
            <w:rStyle w:val="Hyperlink"/>
            <w:rFonts w:ascii="Times New Roman" w:hAnsi="Times New Roman" w:cs="Times New Roman"/>
            <w:sz w:val="24"/>
            <w:szCs w:val="24"/>
          </w:rPr>
          <w:t>https://doi.org/10.3390/ijerph19063371</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Amponsah-Tawiah</w:t>
      </w:r>
      <w:proofErr w:type="spellEnd"/>
      <w:r w:rsidRPr="00377CFE">
        <w:rPr>
          <w:rFonts w:ascii="Times New Roman" w:hAnsi="Times New Roman" w:cs="Times New Roman"/>
          <w:sz w:val="24"/>
          <w:szCs w:val="24"/>
        </w:rPr>
        <w:t xml:space="preserve">, K., Jain, A., </w:t>
      </w:r>
      <w:proofErr w:type="spellStart"/>
      <w:r w:rsidRPr="00377CFE">
        <w:rPr>
          <w:rFonts w:ascii="Times New Roman" w:hAnsi="Times New Roman" w:cs="Times New Roman"/>
          <w:sz w:val="24"/>
          <w:szCs w:val="24"/>
        </w:rPr>
        <w:t>Leka</w:t>
      </w:r>
      <w:proofErr w:type="spellEnd"/>
      <w:r w:rsidRPr="00377CFE">
        <w:rPr>
          <w:rFonts w:ascii="Times New Roman" w:hAnsi="Times New Roman" w:cs="Times New Roman"/>
          <w:sz w:val="24"/>
          <w:szCs w:val="24"/>
        </w:rPr>
        <w:t>, S., Hollis, D., &amp; Cox, T. (2013). Examining psychosocial and physical hazards in the Ghanaian mining industry and their implications for employees’ safety experience. Journal of safety research, 45, 75-84. </w:t>
      </w:r>
      <w:hyperlink r:id="rId13" w:history="1">
        <w:r w:rsidRPr="00377CFE">
          <w:rPr>
            <w:rStyle w:val="Hyperlink"/>
            <w:rFonts w:ascii="Times New Roman" w:hAnsi="Times New Roman" w:cs="Times New Roman"/>
            <w:sz w:val="24"/>
            <w:szCs w:val="24"/>
          </w:rPr>
          <w:t>https://doi.org/10.1016/j.jsr.2013.01.003</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Amponsah-Tawiah</w:t>
      </w:r>
      <w:proofErr w:type="spellEnd"/>
      <w:r w:rsidRPr="00377CFE">
        <w:rPr>
          <w:rFonts w:ascii="Times New Roman" w:hAnsi="Times New Roman" w:cs="Times New Roman"/>
          <w:sz w:val="24"/>
          <w:szCs w:val="24"/>
        </w:rPr>
        <w:t>, K., &amp; Mensah, J. (2016). Occupational health and safety and organizational commitment: Evidence from the Ghanaian mining industry. Safety and health at work, 7(3), 225-230. DOI: </w:t>
      </w:r>
      <w:hyperlink r:id="rId14" w:history="1">
        <w:r w:rsidRPr="00377CFE">
          <w:rPr>
            <w:rStyle w:val="Hyperlink"/>
            <w:rFonts w:ascii="Times New Roman" w:hAnsi="Times New Roman" w:cs="Times New Roman"/>
            <w:sz w:val="24"/>
            <w:szCs w:val="24"/>
          </w:rPr>
          <w:t>https://doi.org/10.1016/j.shaw.2016.01.002</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Asad</w:t>
      </w:r>
      <w:proofErr w:type="spellEnd"/>
      <w:r w:rsidRPr="00377CFE">
        <w:rPr>
          <w:rFonts w:ascii="Times New Roman" w:hAnsi="Times New Roman" w:cs="Times New Roman"/>
          <w:sz w:val="24"/>
          <w:szCs w:val="24"/>
        </w:rPr>
        <w:t xml:space="preserve">, M., Kashif, M., Sheikh, U. A., Asif, M. U., George, S., &amp; Khan, G. U. H. (2022). Synergetic effect of safety culture and safety climate on safety performance in SMEs: does transformation leadership have a moderating </w:t>
      </w:r>
      <w:proofErr w:type="gramStart"/>
      <w:r w:rsidRPr="00377CFE">
        <w:rPr>
          <w:rFonts w:ascii="Times New Roman" w:hAnsi="Times New Roman" w:cs="Times New Roman"/>
          <w:sz w:val="24"/>
          <w:szCs w:val="24"/>
        </w:rPr>
        <w:t>role?.</w:t>
      </w:r>
      <w:proofErr w:type="gramEnd"/>
      <w:r w:rsidRPr="00377CFE">
        <w:rPr>
          <w:rFonts w:ascii="Times New Roman" w:hAnsi="Times New Roman" w:cs="Times New Roman"/>
          <w:sz w:val="24"/>
          <w:szCs w:val="24"/>
        </w:rPr>
        <w:t xml:space="preserve"> International journal of occupational safety and ergonomics, 28(3), 1858-1864. </w:t>
      </w:r>
      <w:hyperlink r:id="rId15" w:history="1">
        <w:r w:rsidRPr="00377CFE">
          <w:rPr>
            <w:rStyle w:val="Hyperlink"/>
            <w:rFonts w:ascii="Times New Roman" w:hAnsi="Times New Roman" w:cs="Times New Roman"/>
            <w:sz w:val="24"/>
            <w:szCs w:val="24"/>
          </w:rPr>
          <w:t>https://doi.org/10.1080/10803548.2021.1942657</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Asare-Doku</w:t>
      </w:r>
      <w:proofErr w:type="spellEnd"/>
      <w:r w:rsidRPr="00377CFE">
        <w:rPr>
          <w:rFonts w:ascii="Times New Roman" w:hAnsi="Times New Roman" w:cs="Times New Roman"/>
          <w:sz w:val="24"/>
          <w:szCs w:val="24"/>
        </w:rPr>
        <w:t xml:space="preserve">, W., James, C., Rich, J. L., </w:t>
      </w:r>
      <w:proofErr w:type="spellStart"/>
      <w:r w:rsidRPr="00377CFE">
        <w:rPr>
          <w:rFonts w:ascii="Times New Roman" w:hAnsi="Times New Roman" w:cs="Times New Roman"/>
          <w:sz w:val="24"/>
          <w:szCs w:val="24"/>
        </w:rPr>
        <w:t>Amponsah-Tawiah</w:t>
      </w:r>
      <w:proofErr w:type="spellEnd"/>
      <w:r w:rsidRPr="00377CFE">
        <w:rPr>
          <w:rFonts w:ascii="Times New Roman" w:hAnsi="Times New Roman" w:cs="Times New Roman"/>
          <w:sz w:val="24"/>
          <w:szCs w:val="24"/>
        </w:rPr>
        <w:t>, K., &amp; Kelly, B. (2022). “Mental health is not our core business”: A qualitative study of mental health supports in the Ghanaian mining industry. Safety science, 145, 105484. </w:t>
      </w:r>
      <w:hyperlink r:id="rId16" w:history="1">
        <w:r w:rsidRPr="00377CFE">
          <w:rPr>
            <w:rStyle w:val="Hyperlink"/>
            <w:rFonts w:ascii="Times New Roman" w:hAnsi="Times New Roman" w:cs="Times New Roman"/>
            <w:sz w:val="24"/>
            <w:szCs w:val="24"/>
          </w:rPr>
          <w:t>https://doi.org/10.1016/j.ssci.2021.105484</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Bhalaji</w:t>
      </w:r>
      <w:proofErr w:type="spellEnd"/>
      <w:r w:rsidRPr="00377CFE">
        <w:rPr>
          <w:rFonts w:ascii="Times New Roman" w:hAnsi="Times New Roman" w:cs="Times New Roman"/>
          <w:sz w:val="24"/>
          <w:szCs w:val="24"/>
        </w:rPr>
        <w:t xml:space="preserve">, R. K. A., </w:t>
      </w:r>
      <w:proofErr w:type="spellStart"/>
      <w:r w:rsidRPr="00377CFE">
        <w:rPr>
          <w:rFonts w:ascii="Times New Roman" w:hAnsi="Times New Roman" w:cs="Times New Roman"/>
          <w:sz w:val="24"/>
          <w:szCs w:val="24"/>
        </w:rPr>
        <w:t>Bathrinath</w:t>
      </w:r>
      <w:proofErr w:type="spellEnd"/>
      <w:r w:rsidRPr="00377CFE">
        <w:rPr>
          <w:rFonts w:ascii="Times New Roman" w:hAnsi="Times New Roman" w:cs="Times New Roman"/>
          <w:sz w:val="24"/>
          <w:szCs w:val="24"/>
        </w:rPr>
        <w:t xml:space="preserve">, S., </w:t>
      </w:r>
      <w:proofErr w:type="spellStart"/>
      <w:r w:rsidRPr="00377CFE">
        <w:rPr>
          <w:rFonts w:ascii="Times New Roman" w:hAnsi="Times New Roman" w:cs="Times New Roman"/>
          <w:sz w:val="24"/>
          <w:szCs w:val="24"/>
        </w:rPr>
        <w:t>Samantra</w:t>
      </w:r>
      <w:proofErr w:type="spellEnd"/>
      <w:r w:rsidRPr="00377CFE">
        <w:rPr>
          <w:rFonts w:ascii="Times New Roman" w:hAnsi="Times New Roman" w:cs="Times New Roman"/>
          <w:sz w:val="24"/>
          <w:szCs w:val="24"/>
        </w:rPr>
        <w:t xml:space="preserve">, C., &amp; </w:t>
      </w:r>
      <w:proofErr w:type="spellStart"/>
      <w:r w:rsidRPr="00377CFE">
        <w:rPr>
          <w:rFonts w:ascii="Times New Roman" w:hAnsi="Times New Roman" w:cs="Times New Roman"/>
          <w:sz w:val="24"/>
          <w:szCs w:val="24"/>
        </w:rPr>
        <w:t>Saravanasankar</w:t>
      </w:r>
      <w:proofErr w:type="spellEnd"/>
      <w:r w:rsidRPr="00377CFE">
        <w:rPr>
          <w:rFonts w:ascii="Times New Roman" w:hAnsi="Times New Roman" w:cs="Times New Roman"/>
          <w:sz w:val="24"/>
          <w:szCs w:val="24"/>
        </w:rPr>
        <w:t>, S. (2020). Analysis of Human Error of EHS in Healthcare Industry Using TISM. In Soft Computing for Problem Solving (pp. 55-66). Springer, Singapore. </w:t>
      </w:r>
      <w:hyperlink r:id="rId17" w:history="1">
        <w:r w:rsidRPr="00377CFE">
          <w:rPr>
            <w:rStyle w:val="Hyperlink"/>
            <w:rFonts w:ascii="Times New Roman" w:hAnsi="Times New Roman" w:cs="Times New Roman"/>
            <w:sz w:val="24"/>
            <w:szCs w:val="24"/>
          </w:rPr>
          <w:t>https://doi.org/10.1007/978-981-15-0184-5_6</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Chaigneau</w:t>
      </w:r>
      <w:proofErr w:type="spellEnd"/>
      <w:r w:rsidRPr="00377CFE">
        <w:rPr>
          <w:rFonts w:ascii="Times New Roman" w:hAnsi="Times New Roman" w:cs="Times New Roman"/>
          <w:sz w:val="24"/>
          <w:szCs w:val="24"/>
        </w:rPr>
        <w:t xml:space="preserve">, T., </w:t>
      </w:r>
      <w:proofErr w:type="spellStart"/>
      <w:r w:rsidRPr="00377CFE">
        <w:rPr>
          <w:rFonts w:ascii="Times New Roman" w:hAnsi="Times New Roman" w:cs="Times New Roman"/>
          <w:sz w:val="24"/>
          <w:szCs w:val="24"/>
        </w:rPr>
        <w:t>Coulthard</w:t>
      </w:r>
      <w:proofErr w:type="spellEnd"/>
      <w:r w:rsidRPr="00377CFE">
        <w:rPr>
          <w:rFonts w:ascii="Times New Roman" w:hAnsi="Times New Roman" w:cs="Times New Roman"/>
          <w:sz w:val="24"/>
          <w:szCs w:val="24"/>
        </w:rPr>
        <w:t xml:space="preserve">, S., </w:t>
      </w:r>
      <w:proofErr w:type="spellStart"/>
      <w:r w:rsidRPr="00377CFE">
        <w:rPr>
          <w:rFonts w:ascii="Times New Roman" w:hAnsi="Times New Roman" w:cs="Times New Roman"/>
          <w:sz w:val="24"/>
          <w:szCs w:val="24"/>
        </w:rPr>
        <w:t>Daw</w:t>
      </w:r>
      <w:proofErr w:type="spellEnd"/>
      <w:r w:rsidRPr="00377CFE">
        <w:rPr>
          <w:rFonts w:ascii="Times New Roman" w:hAnsi="Times New Roman" w:cs="Times New Roman"/>
          <w:sz w:val="24"/>
          <w:szCs w:val="24"/>
        </w:rPr>
        <w:t xml:space="preserve">, T. M., </w:t>
      </w:r>
      <w:proofErr w:type="spellStart"/>
      <w:r w:rsidRPr="00377CFE">
        <w:rPr>
          <w:rFonts w:ascii="Times New Roman" w:hAnsi="Times New Roman" w:cs="Times New Roman"/>
          <w:sz w:val="24"/>
          <w:szCs w:val="24"/>
        </w:rPr>
        <w:t>Szaboova</w:t>
      </w:r>
      <w:proofErr w:type="spellEnd"/>
      <w:r w:rsidRPr="00377CFE">
        <w:rPr>
          <w:rFonts w:ascii="Times New Roman" w:hAnsi="Times New Roman" w:cs="Times New Roman"/>
          <w:sz w:val="24"/>
          <w:szCs w:val="24"/>
        </w:rPr>
        <w:t>, L., Camfield, L., Chapin, F. S., ... &amp; Brown, K. (2022). Reconciling well-being and resilience for sustainable development. Nature Sustainability, 5(4), 287-293. </w:t>
      </w:r>
      <w:hyperlink r:id="rId18" w:history="1">
        <w:r w:rsidRPr="00377CFE">
          <w:rPr>
            <w:rStyle w:val="Hyperlink"/>
            <w:rFonts w:ascii="Times New Roman" w:hAnsi="Times New Roman" w:cs="Times New Roman"/>
            <w:sz w:val="24"/>
            <w:szCs w:val="24"/>
          </w:rPr>
          <w:t>https://doi.org/10.1038/s41893-021-00790-8</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r w:rsidRPr="00377CFE">
        <w:rPr>
          <w:rFonts w:ascii="Times New Roman" w:hAnsi="Times New Roman" w:cs="Times New Roman"/>
          <w:sz w:val="24"/>
          <w:szCs w:val="24"/>
        </w:rPr>
        <w:t xml:space="preserve">De </w:t>
      </w:r>
      <w:proofErr w:type="spellStart"/>
      <w:r w:rsidRPr="00377CFE">
        <w:rPr>
          <w:rFonts w:ascii="Times New Roman" w:hAnsi="Times New Roman" w:cs="Times New Roman"/>
          <w:sz w:val="24"/>
          <w:szCs w:val="24"/>
        </w:rPr>
        <w:t>Cieri</w:t>
      </w:r>
      <w:proofErr w:type="spellEnd"/>
      <w:r w:rsidRPr="00377CFE">
        <w:rPr>
          <w:rFonts w:ascii="Times New Roman" w:hAnsi="Times New Roman" w:cs="Times New Roman"/>
          <w:sz w:val="24"/>
          <w:szCs w:val="24"/>
        </w:rPr>
        <w:t xml:space="preserve">, H., &amp; </w:t>
      </w:r>
      <w:proofErr w:type="spellStart"/>
      <w:r w:rsidRPr="00377CFE">
        <w:rPr>
          <w:rFonts w:ascii="Times New Roman" w:hAnsi="Times New Roman" w:cs="Times New Roman"/>
          <w:sz w:val="24"/>
          <w:szCs w:val="24"/>
        </w:rPr>
        <w:t>Lazarova</w:t>
      </w:r>
      <w:proofErr w:type="spellEnd"/>
      <w:r w:rsidRPr="00377CFE">
        <w:rPr>
          <w:rFonts w:ascii="Times New Roman" w:hAnsi="Times New Roman" w:cs="Times New Roman"/>
          <w:sz w:val="24"/>
          <w:szCs w:val="24"/>
        </w:rPr>
        <w:t>, M. (2021). “Your health and safety is of utmost importance to us”: A review of research on the occupational health and safety of international employees. Human Resource Management Review, 31(4), 100790. </w:t>
      </w:r>
      <w:hyperlink r:id="rId19" w:history="1">
        <w:r w:rsidRPr="00377CFE">
          <w:rPr>
            <w:rStyle w:val="Hyperlink"/>
            <w:rFonts w:ascii="Times New Roman" w:hAnsi="Times New Roman" w:cs="Times New Roman"/>
            <w:sz w:val="24"/>
            <w:szCs w:val="24"/>
          </w:rPr>
          <w:t>https://doi.org/10.1016/j.hrmr.2020.100790</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r w:rsidRPr="00377CFE">
        <w:rPr>
          <w:rFonts w:ascii="Times New Roman" w:hAnsi="Times New Roman" w:cs="Times New Roman"/>
          <w:sz w:val="24"/>
          <w:szCs w:val="24"/>
        </w:rPr>
        <w:lastRenderedPageBreak/>
        <w:t>Donoghue, A. M. (2004). Occupational health hazards in mining: an overview. Occupational medicine, 54(5), 283-289. </w:t>
      </w:r>
      <w:hyperlink r:id="rId20" w:history="1">
        <w:r w:rsidRPr="00377CFE">
          <w:rPr>
            <w:rStyle w:val="Hyperlink"/>
            <w:rFonts w:ascii="Times New Roman" w:hAnsi="Times New Roman" w:cs="Times New Roman"/>
            <w:sz w:val="24"/>
            <w:szCs w:val="24"/>
          </w:rPr>
          <w:t>https://doi.org/10.1093/occmed/kqh072</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Fargnoli</w:t>
      </w:r>
      <w:proofErr w:type="spellEnd"/>
      <w:r w:rsidRPr="00377CFE">
        <w:rPr>
          <w:rFonts w:ascii="Times New Roman" w:hAnsi="Times New Roman" w:cs="Times New Roman"/>
          <w:sz w:val="24"/>
          <w:szCs w:val="24"/>
        </w:rPr>
        <w:t>, M., Lombardi, M., Haber, N., &amp; Guadagno, F. (2018). Hazard function deployment: A QFD-based tool for the assessment of working tasks-A practical study in the construction industry. International Journal of Occupational Safety and Ergonomics, 26(2), 348-369. </w:t>
      </w:r>
      <w:hyperlink r:id="rId21" w:history="1">
        <w:r w:rsidRPr="00377CFE">
          <w:rPr>
            <w:rStyle w:val="Hyperlink"/>
            <w:rFonts w:ascii="Times New Roman" w:hAnsi="Times New Roman" w:cs="Times New Roman"/>
            <w:sz w:val="24"/>
            <w:szCs w:val="24"/>
          </w:rPr>
          <w:t>https://doi.org/10.1080/10803548.2018.1483100</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Fargnoli</w:t>
      </w:r>
      <w:proofErr w:type="spellEnd"/>
      <w:r w:rsidRPr="00377CFE">
        <w:rPr>
          <w:rFonts w:ascii="Times New Roman" w:hAnsi="Times New Roman" w:cs="Times New Roman"/>
          <w:sz w:val="24"/>
          <w:szCs w:val="24"/>
        </w:rPr>
        <w:t xml:space="preserve">, M., De </w:t>
      </w:r>
      <w:proofErr w:type="spellStart"/>
      <w:r w:rsidRPr="00377CFE">
        <w:rPr>
          <w:rFonts w:ascii="Times New Roman" w:hAnsi="Times New Roman" w:cs="Times New Roman"/>
          <w:sz w:val="24"/>
          <w:szCs w:val="24"/>
        </w:rPr>
        <w:t>Minicis</w:t>
      </w:r>
      <w:proofErr w:type="spellEnd"/>
      <w:r w:rsidRPr="00377CFE">
        <w:rPr>
          <w:rFonts w:ascii="Times New Roman" w:hAnsi="Times New Roman" w:cs="Times New Roman"/>
          <w:sz w:val="24"/>
          <w:szCs w:val="24"/>
        </w:rPr>
        <w:t xml:space="preserve">, M., &amp; Di </w:t>
      </w:r>
      <w:proofErr w:type="spellStart"/>
      <w:r w:rsidRPr="00377CFE">
        <w:rPr>
          <w:rFonts w:ascii="Times New Roman" w:hAnsi="Times New Roman" w:cs="Times New Roman"/>
          <w:sz w:val="24"/>
          <w:szCs w:val="24"/>
        </w:rPr>
        <w:t>Gravio</w:t>
      </w:r>
      <w:proofErr w:type="spellEnd"/>
      <w:r w:rsidRPr="00377CFE">
        <w:rPr>
          <w:rFonts w:ascii="Times New Roman" w:hAnsi="Times New Roman" w:cs="Times New Roman"/>
          <w:sz w:val="24"/>
          <w:szCs w:val="24"/>
        </w:rPr>
        <w:t>, G. (2011). Knowledge Management integration in Occupational Health and Safety systems in the construction industry. International Journal of Product Development, 14(1-4), 165-185. </w:t>
      </w:r>
      <w:hyperlink r:id="rId22" w:history="1">
        <w:r w:rsidRPr="00377CFE">
          <w:rPr>
            <w:rStyle w:val="Hyperlink"/>
            <w:rFonts w:ascii="Times New Roman" w:hAnsi="Times New Roman" w:cs="Times New Roman"/>
            <w:sz w:val="24"/>
            <w:szCs w:val="24"/>
          </w:rPr>
          <w:t>https://doi.org/10.1504/IJPD.2011.042298</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Fijorek</w:t>
      </w:r>
      <w:proofErr w:type="spellEnd"/>
      <w:r w:rsidRPr="00377CFE">
        <w:rPr>
          <w:rFonts w:ascii="Times New Roman" w:hAnsi="Times New Roman" w:cs="Times New Roman"/>
          <w:sz w:val="24"/>
          <w:szCs w:val="24"/>
        </w:rPr>
        <w:t xml:space="preserve">, K., </w:t>
      </w:r>
      <w:proofErr w:type="spellStart"/>
      <w:r w:rsidRPr="00377CFE">
        <w:rPr>
          <w:rFonts w:ascii="Times New Roman" w:hAnsi="Times New Roman" w:cs="Times New Roman"/>
          <w:sz w:val="24"/>
          <w:szCs w:val="24"/>
        </w:rPr>
        <w:t>Jurkowska</w:t>
      </w:r>
      <w:proofErr w:type="spellEnd"/>
      <w:r w:rsidRPr="00377CFE">
        <w:rPr>
          <w:rFonts w:ascii="Times New Roman" w:hAnsi="Times New Roman" w:cs="Times New Roman"/>
          <w:sz w:val="24"/>
          <w:szCs w:val="24"/>
        </w:rPr>
        <w:t xml:space="preserve">, A., &amp; </w:t>
      </w:r>
      <w:proofErr w:type="spellStart"/>
      <w:r w:rsidRPr="00377CFE">
        <w:rPr>
          <w:rFonts w:ascii="Times New Roman" w:hAnsi="Times New Roman" w:cs="Times New Roman"/>
          <w:sz w:val="24"/>
          <w:szCs w:val="24"/>
        </w:rPr>
        <w:t>Jonek-Kowalska</w:t>
      </w:r>
      <w:proofErr w:type="spellEnd"/>
      <w:r w:rsidRPr="00377CFE">
        <w:rPr>
          <w:rFonts w:ascii="Times New Roman" w:hAnsi="Times New Roman" w:cs="Times New Roman"/>
          <w:sz w:val="24"/>
          <w:szCs w:val="24"/>
        </w:rPr>
        <w:t xml:space="preserve">, I. (2021). Financial contagion between the financial and the mining industries–Empirical evidence based on the symmetric and asymmetric </w:t>
      </w:r>
      <w:proofErr w:type="spellStart"/>
      <w:r w:rsidRPr="00377CFE">
        <w:rPr>
          <w:rFonts w:ascii="Times New Roman" w:hAnsi="Times New Roman" w:cs="Times New Roman"/>
          <w:sz w:val="24"/>
          <w:szCs w:val="24"/>
        </w:rPr>
        <w:t>CoVaR</w:t>
      </w:r>
      <w:proofErr w:type="spellEnd"/>
      <w:r w:rsidRPr="00377CFE">
        <w:rPr>
          <w:rFonts w:ascii="Times New Roman" w:hAnsi="Times New Roman" w:cs="Times New Roman"/>
          <w:sz w:val="24"/>
          <w:szCs w:val="24"/>
        </w:rPr>
        <w:t xml:space="preserve"> approach. Resources Policy, 70, 101965. </w:t>
      </w:r>
      <w:hyperlink r:id="rId23" w:history="1">
        <w:r w:rsidRPr="00377CFE">
          <w:rPr>
            <w:rStyle w:val="Hyperlink"/>
            <w:rFonts w:ascii="Times New Roman" w:hAnsi="Times New Roman" w:cs="Times New Roman"/>
            <w:sz w:val="24"/>
            <w:szCs w:val="24"/>
          </w:rPr>
          <w:t>https://doi.org/10.1016/j.resourpol.2020.101965</w:t>
        </w:r>
      </w:hyperlink>
    </w:p>
    <w:p w:rsidR="0045510E" w:rsidRPr="00377CFE" w:rsidRDefault="0045510E" w:rsidP="0045510E">
      <w:pPr>
        <w:shd w:val="clear" w:color="auto" w:fill="FFFFFF"/>
        <w:spacing w:before="225" w:after="100" w:afterAutospacing="1" w:line="240" w:lineRule="auto"/>
        <w:rPr>
          <w:rFonts w:ascii="Times New Roman" w:hAnsi="Times New Roman" w:cs="Times New Roman"/>
          <w:sz w:val="24"/>
          <w:szCs w:val="24"/>
        </w:rPr>
      </w:pPr>
      <w:proofErr w:type="spellStart"/>
      <w:r w:rsidRPr="00377CFE">
        <w:rPr>
          <w:rFonts w:ascii="Times New Roman" w:hAnsi="Times New Roman" w:cs="Times New Roman"/>
          <w:sz w:val="24"/>
          <w:szCs w:val="24"/>
        </w:rPr>
        <w:t>Gedam</w:t>
      </w:r>
      <w:proofErr w:type="spellEnd"/>
      <w:r w:rsidRPr="00377CFE">
        <w:rPr>
          <w:rFonts w:ascii="Times New Roman" w:hAnsi="Times New Roman" w:cs="Times New Roman"/>
          <w:sz w:val="24"/>
          <w:szCs w:val="24"/>
        </w:rPr>
        <w:t xml:space="preserve">, V. V., Raut, R. D., de Sousa </w:t>
      </w:r>
      <w:proofErr w:type="spellStart"/>
      <w:r w:rsidRPr="00377CFE">
        <w:rPr>
          <w:rFonts w:ascii="Times New Roman" w:hAnsi="Times New Roman" w:cs="Times New Roman"/>
          <w:sz w:val="24"/>
          <w:szCs w:val="24"/>
        </w:rPr>
        <w:t>Jabbour</w:t>
      </w:r>
      <w:proofErr w:type="spellEnd"/>
      <w:r w:rsidRPr="00377CFE">
        <w:rPr>
          <w:rFonts w:ascii="Times New Roman" w:hAnsi="Times New Roman" w:cs="Times New Roman"/>
          <w:sz w:val="24"/>
          <w:szCs w:val="24"/>
        </w:rPr>
        <w:t>, A. B. L., &amp; Agrawal, N. (2021). Moving the circular economy forward in the mining industry: Challenges to closed-loop in an emerging economy. Resources Policy, 74, 102279. </w:t>
      </w:r>
      <w:hyperlink r:id="rId24" w:history="1">
        <w:r w:rsidRPr="00377CFE">
          <w:rPr>
            <w:rStyle w:val="Hyperlink"/>
            <w:rFonts w:ascii="Times New Roman" w:hAnsi="Times New Roman" w:cs="Times New Roman"/>
            <w:sz w:val="24"/>
            <w:szCs w:val="24"/>
          </w:rPr>
          <w:t>https://doi.org/10.1016/j.resourpol.2021.102279</w:t>
        </w:r>
      </w:hyperlink>
    </w:p>
    <w:p w:rsidR="0045510E" w:rsidRPr="00377CFE" w:rsidRDefault="0045510E" w:rsidP="00D7633E">
      <w:pPr>
        <w:shd w:val="clear" w:color="auto" w:fill="FFFFFF"/>
        <w:spacing w:before="225" w:after="100" w:afterAutospacing="1" w:line="240" w:lineRule="auto"/>
        <w:rPr>
          <w:rFonts w:ascii="Times New Roman" w:hAnsi="Times New Roman" w:cs="Times New Roman"/>
        </w:rPr>
      </w:pPr>
    </w:p>
    <w:p w:rsidR="00D7633E" w:rsidRPr="00B23997" w:rsidRDefault="00D7633E" w:rsidP="00D7633E">
      <w:pPr>
        <w:shd w:val="clear" w:color="auto" w:fill="FFFFFF"/>
        <w:spacing w:before="225" w:after="100" w:afterAutospacing="1" w:line="240" w:lineRule="auto"/>
        <w:rPr>
          <w:rFonts w:ascii="Times New Roman" w:eastAsia="Times New Roman" w:hAnsi="Times New Roman" w:cs="Times New Roman"/>
          <w:color w:val="1B1B1B"/>
          <w:sz w:val="26"/>
          <w:szCs w:val="26"/>
        </w:rPr>
      </w:pPr>
    </w:p>
    <w:p w:rsidR="00DB273A" w:rsidRPr="00377CFE" w:rsidRDefault="00DB273A" w:rsidP="00B23997">
      <w:pPr>
        <w:rPr>
          <w:rFonts w:ascii="Times New Roman" w:hAnsi="Times New Roman" w:cs="Times New Roman"/>
          <w:sz w:val="24"/>
          <w:szCs w:val="24"/>
        </w:rPr>
      </w:pPr>
    </w:p>
    <w:sectPr w:rsidR="00DB273A" w:rsidRPr="00377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684E"/>
    <w:multiLevelType w:val="multilevel"/>
    <w:tmpl w:val="85F22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13459"/>
    <w:multiLevelType w:val="multilevel"/>
    <w:tmpl w:val="D8EA1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B44EE"/>
    <w:multiLevelType w:val="multilevel"/>
    <w:tmpl w:val="410A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82075"/>
    <w:multiLevelType w:val="multilevel"/>
    <w:tmpl w:val="AE8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600B9"/>
    <w:multiLevelType w:val="hybridMultilevel"/>
    <w:tmpl w:val="ACA6D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F5C"/>
    <w:multiLevelType w:val="multilevel"/>
    <w:tmpl w:val="FE6A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26E0E"/>
    <w:multiLevelType w:val="multilevel"/>
    <w:tmpl w:val="96E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22FDB"/>
    <w:multiLevelType w:val="hybridMultilevel"/>
    <w:tmpl w:val="7B32B5FE"/>
    <w:lvl w:ilvl="0" w:tplc="539C039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62A130B"/>
    <w:multiLevelType w:val="hybridMultilevel"/>
    <w:tmpl w:val="B6D48240"/>
    <w:lvl w:ilvl="0" w:tplc="6C2C4D4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2715C"/>
    <w:multiLevelType w:val="hybridMultilevel"/>
    <w:tmpl w:val="430A2E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B14BF8"/>
    <w:multiLevelType w:val="multilevel"/>
    <w:tmpl w:val="427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846DB"/>
    <w:multiLevelType w:val="multilevel"/>
    <w:tmpl w:val="0612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0"/>
  </w:num>
  <w:num w:numId="5">
    <w:abstractNumId w:val="5"/>
  </w:num>
  <w:num w:numId="6">
    <w:abstractNumId w:val="1"/>
  </w:num>
  <w:num w:numId="7">
    <w:abstractNumId w:val="9"/>
  </w:num>
  <w:num w:numId="8">
    <w:abstractNumId w:val="7"/>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5F9"/>
    <w:rsid w:val="000205F9"/>
    <w:rsid w:val="000249FE"/>
    <w:rsid w:val="00086BFD"/>
    <w:rsid w:val="000E3825"/>
    <w:rsid w:val="00151ACD"/>
    <w:rsid w:val="00173859"/>
    <w:rsid w:val="001D2BA7"/>
    <w:rsid w:val="001D3ED6"/>
    <w:rsid w:val="00201101"/>
    <w:rsid w:val="00201B32"/>
    <w:rsid w:val="002200DC"/>
    <w:rsid w:val="002413E3"/>
    <w:rsid w:val="002547B4"/>
    <w:rsid w:val="003164AE"/>
    <w:rsid w:val="00326FA3"/>
    <w:rsid w:val="0033418F"/>
    <w:rsid w:val="00335F3E"/>
    <w:rsid w:val="00337AC2"/>
    <w:rsid w:val="00377CFE"/>
    <w:rsid w:val="00386282"/>
    <w:rsid w:val="003F338A"/>
    <w:rsid w:val="00454F13"/>
    <w:rsid w:val="0045510E"/>
    <w:rsid w:val="004778FC"/>
    <w:rsid w:val="004C59D1"/>
    <w:rsid w:val="00514533"/>
    <w:rsid w:val="0054053B"/>
    <w:rsid w:val="005478DF"/>
    <w:rsid w:val="00557459"/>
    <w:rsid w:val="005636BE"/>
    <w:rsid w:val="00591983"/>
    <w:rsid w:val="005C0A8F"/>
    <w:rsid w:val="005E525A"/>
    <w:rsid w:val="00621F0A"/>
    <w:rsid w:val="007047A5"/>
    <w:rsid w:val="007354A6"/>
    <w:rsid w:val="00742B6E"/>
    <w:rsid w:val="007678D4"/>
    <w:rsid w:val="0079754C"/>
    <w:rsid w:val="007A2852"/>
    <w:rsid w:val="007B53D3"/>
    <w:rsid w:val="007E0C79"/>
    <w:rsid w:val="00882E7C"/>
    <w:rsid w:val="008C0A22"/>
    <w:rsid w:val="008D24D5"/>
    <w:rsid w:val="008D553B"/>
    <w:rsid w:val="008E4F6A"/>
    <w:rsid w:val="009476A5"/>
    <w:rsid w:val="00967412"/>
    <w:rsid w:val="009C2EC1"/>
    <w:rsid w:val="009C5833"/>
    <w:rsid w:val="009E6E14"/>
    <w:rsid w:val="00A42627"/>
    <w:rsid w:val="00AD04FD"/>
    <w:rsid w:val="00B23997"/>
    <w:rsid w:val="00B5515D"/>
    <w:rsid w:val="00B83813"/>
    <w:rsid w:val="00BA7B4D"/>
    <w:rsid w:val="00BC0105"/>
    <w:rsid w:val="00BD31F0"/>
    <w:rsid w:val="00BF74CD"/>
    <w:rsid w:val="00C369FF"/>
    <w:rsid w:val="00CA4B28"/>
    <w:rsid w:val="00CD50DA"/>
    <w:rsid w:val="00D61923"/>
    <w:rsid w:val="00D7633E"/>
    <w:rsid w:val="00DB273A"/>
    <w:rsid w:val="00E53610"/>
    <w:rsid w:val="00E63300"/>
    <w:rsid w:val="00E75A93"/>
    <w:rsid w:val="00F562F3"/>
    <w:rsid w:val="00F83E64"/>
    <w:rsid w:val="00FA4B39"/>
    <w:rsid w:val="00FD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87CDF-5B90-4C63-98A2-4537E58B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D2BA7"/>
    <w:pPr>
      <w:widowControl w:val="0"/>
      <w:spacing w:before="240" w:after="240" w:line="240" w:lineRule="auto"/>
      <w:outlineLvl w:val="0"/>
    </w:pPr>
    <w:rPr>
      <w:rFonts w:ascii="Arial" w:eastAsia="Times New Roman" w:hAnsi="Arial" w:cs="Arial"/>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200"/>
    <w:pPr>
      <w:spacing w:after="0" w:line="240" w:lineRule="auto"/>
    </w:pPr>
  </w:style>
  <w:style w:type="table" w:styleId="TableGrid">
    <w:name w:val="Table Grid"/>
    <w:basedOn w:val="TableNormal"/>
    <w:uiPriority w:val="59"/>
    <w:rsid w:val="0056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47A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4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33"/>
    <w:rPr>
      <w:rFonts w:ascii="Tahoma" w:hAnsi="Tahoma" w:cs="Tahoma"/>
      <w:sz w:val="16"/>
      <w:szCs w:val="16"/>
    </w:rPr>
  </w:style>
  <w:style w:type="character" w:styleId="Hyperlink">
    <w:name w:val="Hyperlink"/>
    <w:basedOn w:val="DefaultParagraphFont"/>
    <w:uiPriority w:val="99"/>
    <w:unhideWhenUsed/>
    <w:rsid w:val="004C59D1"/>
    <w:rPr>
      <w:color w:val="0000FF" w:themeColor="hyperlink"/>
      <w:u w:val="single"/>
    </w:rPr>
  </w:style>
  <w:style w:type="paragraph" w:styleId="ListParagraph">
    <w:name w:val="List Paragraph"/>
    <w:basedOn w:val="Normal"/>
    <w:uiPriority w:val="34"/>
    <w:qFormat/>
    <w:rsid w:val="00E53610"/>
    <w:pPr>
      <w:ind w:left="720"/>
      <w:contextualSpacing/>
    </w:pPr>
  </w:style>
  <w:style w:type="character" w:customStyle="1" w:styleId="Heading1Char">
    <w:name w:val="Heading 1 Char"/>
    <w:basedOn w:val="DefaultParagraphFont"/>
    <w:link w:val="Heading1"/>
    <w:rsid w:val="001D2BA7"/>
    <w:rPr>
      <w:rFonts w:ascii="Arial" w:eastAsia="Times New Roman" w:hAnsi="Arial" w:cs="Arial"/>
      <w:b/>
      <w:sz w:val="48"/>
      <w:szCs w:val="48"/>
    </w:rPr>
  </w:style>
  <w:style w:type="character" w:styleId="FollowedHyperlink">
    <w:name w:val="FollowedHyperlink"/>
    <w:basedOn w:val="DefaultParagraphFont"/>
    <w:uiPriority w:val="99"/>
    <w:semiHidden/>
    <w:unhideWhenUsed/>
    <w:rsid w:val="008D24D5"/>
    <w:rPr>
      <w:color w:val="800080" w:themeColor="followedHyperlink"/>
      <w:u w:val="single"/>
    </w:rPr>
  </w:style>
  <w:style w:type="character" w:customStyle="1" w:styleId="isbn-label">
    <w:name w:val="isbn-label"/>
    <w:basedOn w:val="DefaultParagraphFont"/>
    <w:rsid w:val="007354A6"/>
  </w:style>
  <w:style w:type="character" w:styleId="Strong">
    <w:name w:val="Strong"/>
    <w:basedOn w:val="DefaultParagraphFont"/>
    <w:uiPriority w:val="22"/>
    <w:qFormat/>
    <w:rsid w:val="001D3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5479">
      <w:bodyDiv w:val="1"/>
      <w:marLeft w:val="0"/>
      <w:marRight w:val="0"/>
      <w:marTop w:val="0"/>
      <w:marBottom w:val="0"/>
      <w:divBdr>
        <w:top w:val="none" w:sz="0" w:space="0" w:color="auto"/>
        <w:left w:val="none" w:sz="0" w:space="0" w:color="auto"/>
        <w:bottom w:val="none" w:sz="0" w:space="0" w:color="auto"/>
        <w:right w:val="none" w:sz="0" w:space="0" w:color="auto"/>
      </w:divBdr>
    </w:div>
    <w:div w:id="116607856">
      <w:marLeft w:val="0"/>
      <w:marRight w:val="0"/>
      <w:marTop w:val="0"/>
      <w:marBottom w:val="0"/>
      <w:divBdr>
        <w:top w:val="none" w:sz="0" w:space="0" w:color="auto"/>
        <w:left w:val="none" w:sz="0" w:space="0" w:color="auto"/>
        <w:bottom w:val="none" w:sz="0" w:space="0" w:color="auto"/>
        <w:right w:val="none" w:sz="0" w:space="0" w:color="auto"/>
      </w:divBdr>
    </w:div>
    <w:div w:id="236594534">
      <w:bodyDiv w:val="1"/>
      <w:marLeft w:val="0"/>
      <w:marRight w:val="0"/>
      <w:marTop w:val="0"/>
      <w:marBottom w:val="0"/>
      <w:divBdr>
        <w:top w:val="none" w:sz="0" w:space="0" w:color="auto"/>
        <w:left w:val="none" w:sz="0" w:space="0" w:color="auto"/>
        <w:bottom w:val="none" w:sz="0" w:space="0" w:color="auto"/>
        <w:right w:val="none" w:sz="0" w:space="0" w:color="auto"/>
      </w:divBdr>
    </w:div>
    <w:div w:id="236936533">
      <w:bodyDiv w:val="1"/>
      <w:marLeft w:val="0"/>
      <w:marRight w:val="0"/>
      <w:marTop w:val="0"/>
      <w:marBottom w:val="0"/>
      <w:divBdr>
        <w:top w:val="none" w:sz="0" w:space="0" w:color="auto"/>
        <w:left w:val="none" w:sz="0" w:space="0" w:color="auto"/>
        <w:bottom w:val="none" w:sz="0" w:space="0" w:color="auto"/>
        <w:right w:val="none" w:sz="0" w:space="0" w:color="auto"/>
      </w:divBdr>
    </w:div>
    <w:div w:id="537468733">
      <w:bodyDiv w:val="1"/>
      <w:marLeft w:val="0"/>
      <w:marRight w:val="0"/>
      <w:marTop w:val="0"/>
      <w:marBottom w:val="0"/>
      <w:divBdr>
        <w:top w:val="none" w:sz="0" w:space="0" w:color="auto"/>
        <w:left w:val="none" w:sz="0" w:space="0" w:color="auto"/>
        <w:bottom w:val="none" w:sz="0" w:space="0" w:color="auto"/>
        <w:right w:val="none" w:sz="0" w:space="0" w:color="auto"/>
      </w:divBdr>
    </w:div>
    <w:div w:id="597519863">
      <w:bodyDiv w:val="1"/>
      <w:marLeft w:val="0"/>
      <w:marRight w:val="0"/>
      <w:marTop w:val="0"/>
      <w:marBottom w:val="0"/>
      <w:divBdr>
        <w:top w:val="none" w:sz="0" w:space="0" w:color="auto"/>
        <w:left w:val="none" w:sz="0" w:space="0" w:color="auto"/>
        <w:bottom w:val="none" w:sz="0" w:space="0" w:color="auto"/>
        <w:right w:val="none" w:sz="0" w:space="0" w:color="auto"/>
      </w:divBdr>
    </w:div>
    <w:div w:id="711265823">
      <w:bodyDiv w:val="1"/>
      <w:marLeft w:val="0"/>
      <w:marRight w:val="0"/>
      <w:marTop w:val="0"/>
      <w:marBottom w:val="0"/>
      <w:divBdr>
        <w:top w:val="none" w:sz="0" w:space="0" w:color="auto"/>
        <w:left w:val="none" w:sz="0" w:space="0" w:color="auto"/>
        <w:bottom w:val="none" w:sz="0" w:space="0" w:color="auto"/>
        <w:right w:val="none" w:sz="0" w:space="0" w:color="auto"/>
      </w:divBdr>
    </w:div>
    <w:div w:id="737897623">
      <w:bodyDiv w:val="1"/>
      <w:marLeft w:val="0"/>
      <w:marRight w:val="0"/>
      <w:marTop w:val="0"/>
      <w:marBottom w:val="0"/>
      <w:divBdr>
        <w:top w:val="none" w:sz="0" w:space="0" w:color="auto"/>
        <w:left w:val="none" w:sz="0" w:space="0" w:color="auto"/>
        <w:bottom w:val="none" w:sz="0" w:space="0" w:color="auto"/>
        <w:right w:val="none" w:sz="0" w:space="0" w:color="auto"/>
      </w:divBdr>
    </w:div>
    <w:div w:id="789982540">
      <w:bodyDiv w:val="1"/>
      <w:marLeft w:val="0"/>
      <w:marRight w:val="0"/>
      <w:marTop w:val="0"/>
      <w:marBottom w:val="0"/>
      <w:divBdr>
        <w:top w:val="none" w:sz="0" w:space="0" w:color="auto"/>
        <w:left w:val="none" w:sz="0" w:space="0" w:color="auto"/>
        <w:bottom w:val="none" w:sz="0" w:space="0" w:color="auto"/>
        <w:right w:val="none" w:sz="0" w:space="0" w:color="auto"/>
      </w:divBdr>
      <w:divsChild>
        <w:div w:id="1210149913">
          <w:marLeft w:val="0"/>
          <w:marRight w:val="0"/>
          <w:marTop w:val="0"/>
          <w:marBottom w:val="0"/>
          <w:divBdr>
            <w:top w:val="none" w:sz="0" w:space="0" w:color="auto"/>
            <w:left w:val="none" w:sz="0" w:space="0" w:color="auto"/>
            <w:bottom w:val="none" w:sz="0" w:space="0" w:color="auto"/>
            <w:right w:val="none" w:sz="0" w:space="0" w:color="auto"/>
          </w:divBdr>
          <w:divsChild>
            <w:div w:id="548540532">
              <w:marLeft w:val="0"/>
              <w:marRight w:val="0"/>
              <w:marTop w:val="0"/>
              <w:marBottom w:val="0"/>
              <w:divBdr>
                <w:top w:val="none" w:sz="0" w:space="0" w:color="auto"/>
                <w:left w:val="none" w:sz="0" w:space="0" w:color="auto"/>
                <w:bottom w:val="none" w:sz="0" w:space="0" w:color="auto"/>
                <w:right w:val="none" w:sz="0" w:space="0" w:color="auto"/>
              </w:divBdr>
              <w:divsChild>
                <w:div w:id="2251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7405">
      <w:bodyDiv w:val="1"/>
      <w:marLeft w:val="0"/>
      <w:marRight w:val="0"/>
      <w:marTop w:val="0"/>
      <w:marBottom w:val="0"/>
      <w:divBdr>
        <w:top w:val="none" w:sz="0" w:space="0" w:color="auto"/>
        <w:left w:val="none" w:sz="0" w:space="0" w:color="auto"/>
        <w:bottom w:val="none" w:sz="0" w:space="0" w:color="auto"/>
        <w:right w:val="none" w:sz="0" w:space="0" w:color="auto"/>
      </w:divBdr>
    </w:div>
    <w:div w:id="1687708519">
      <w:bodyDiv w:val="1"/>
      <w:marLeft w:val="0"/>
      <w:marRight w:val="0"/>
      <w:marTop w:val="0"/>
      <w:marBottom w:val="0"/>
      <w:divBdr>
        <w:top w:val="none" w:sz="0" w:space="0" w:color="auto"/>
        <w:left w:val="none" w:sz="0" w:space="0" w:color="auto"/>
        <w:bottom w:val="none" w:sz="0" w:space="0" w:color="auto"/>
        <w:right w:val="none" w:sz="0" w:space="0" w:color="auto"/>
      </w:divBdr>
    </w:div>
    <w:div w:id="1773745398">
      <w:bodyDiv w:val="1"/>
      <w:marLeft w:val="0"/>
      <w:marRight w:val="0"/>
      <w:marTop w:val="0"/>
      <w:marBottom w:val="0"/>
      <w:divBdr>
        <w:top w:val="none" w:sz="0" w:space="0" w:color="auto"/>
        <w:left w:val="none" w:sz="0" w:space="0" w:color="auto"/>
        <w:bottom w:val="none" w:sz="0" w:space="0" w:color="auto"/>
        <w:right w:val="none" w:sz="0" w:space="0" w:color="auto"/>
      </w:divBdr>
    </w:div>
    <w:div w:id="1785997097">
      <w:bodyDiv w:val="1"/>
      <w:marLeft w:val="0"/>
      <w:marRight w:val="0"/>
      <w:marTop w:val="0"/>
      <w:marBottom w:val="0"/>
      <w:divBdr>
        <w:top w:val="none" w:sz="0" w:space="0" w:color="auto"/>
        <w:left w:val="none" w:sz="0" w:space="0" w:color="auto"/>
        <w:bottom w:val="none" w:sz="0" w:space="0" w:color="auto"/>
        <w:right w:val="none" w:sz="0" w:space="0" w:color="auto"/>
      </w:divBdr>
    </w:div>
    <w:div w:id="1917744488">
      <w:bodyDiv w:val="1"/>
      <w:marLeft w:val="0"/>
      <w:marRight w:val="0"/>
      <w:marTop w:val="0"/>
      <w:marBottom w:val="0"/>
      <w:divBdr>
        <w:top w:val="none" w:sz="0" w:space="0" w:color="auto"/>
        <w:left w:val="none" w:sz="0" w:space="0" w:color="auto"/>
        <w:bottom w:val="none" w:sz="0" w:space="0" w:color="auto"/>
        <w:right w:val="none" w:sz="0" w:space="0" w:color="auto"/>
      </w:divBdr>
    </w:div>
    <w:div w:id="1954898379">
      <w:bodyDiv w:val="1"/>
      <w:marLeft w:val="0"/>
      <w:marRight w:val="0"/>
      <w:marTop w:val="0"/>
      <w:marBottom w:val="0"/>
      <w:divBdr>
        <w:top w:val="none" w:sz="0" w:space="0" w:color="auto"/>
        <w:left w:val="none" w:sz="0" w:space="0" w:color="auto"/>
        <w:bottom w:val="none" w:sz="0" w:space="0" w:color="auto"/>
        <w:right w:val="none" w:sz="0" w:space="0" w:color="auto"/>
      </w:divBdr>
    </w:div>
    <w:div w:id="1958830743">
      <w:bodyDiv w:val="1"/>
      <w:marLeft w:val="0"/>
      <w:marRight w:val="0"/>
      <w:marTop w:val="0"/>
      <w:marBottom w:val="0"/>
      <w:divBdr>
        <w:top w:val="none" w:sz="0" w:space="0" w:color="auto"/>
        <w:left w:val="none" w:sz="0" w:space="0" w:color="auto"/>
        <w:bottom w:val="none" w:sz="0" w:space="0" w:color="auto"/>
        <w:right w:val="none" w:sz="0" w:space="0" w:color="auto"/>
      </w:divBdr>
    </w:div>
    <w:div w:id="1991708492">
      <w:bodyDiv w:val="1"/>
      <w:marLeft w:val="0"/>
      <w:marRight w:val="0"/>
      <w:marTop w:val="0"/>
      <w:marBottom w:val="0"/>
      <w:divBdr>
        <w:top w:val="none" w:sz="0" w:space="0" w:color="auto"/>
        <w:left w:val="none" w:sz="0" w:space="0" w:color="auto"/>
        <w:bottom w:val="none" w:sz="0" w:space="0" w:color="auto"/>
        <w:right w:val="none" w:sz="0" w:space="0" w:color="auto"/>
      </w:divBdr>
    </w:div>
    <w:div w:id="2007630166">
      <w:bodyDiv w:val="1"/>
      <w:marLeft w:val="0"/>
      <w:marRight w:val="0"/>
      <w:marTop w:val="0"/>
      <w:marBottom w:val="0"/>
      <w:divBdr>
        <w:top w:val="none" w:sz="0" w:space="0" w:color="auto"/>
        <w:left w:val="none" w:sz="0" w:space="0" w:color="auto"/>
        <w:bottom w:val="none" w:sz="0" w:space="0" w:color="auto"/>
        <w:right w:val="none" w:sz="0" w:space="0" w:color="auto"/>
      </w:divBdr>
    </w:div>
    <w:div w:id="2032879805">
      <w:bodyDiv w:val="1"/>
      <w:marLeft w:val="0"/>
      <w:marRight w:val="0"/>
      <w:marTop w:val="0"/>
      <w:marBottom w:val="0"/>
      <w:divBdr>
        <w:top w:val="none" w:sz="0" w:space="0" w:color="auto"/>
        <w:left w:val="none" w:sz="0" w:space="0" w:color="auto"/>
        <w:bottom w:val="none" w:sz="0" w:space="0" w:color="auto"/>
        <w:right w:val="none" w:sz="0" w:space="0" w:color="auto"/>
      </w:divBdr>
    </w:div>
    <w:div w:id="2039887141">
      <w:bodyDiv w:val="1"/>
      <w:marLeft w:val="0"/>
      <w:marRight w:val="0"/>
      <w:marTop w:val="0"/>
      <w:marBottom w:val="0"/>
      <w:divBdr>
        <w:top w:val="none" w:sz="0" w:space="0" w:color="auto"/>
        <w:left w:val="none" w:sz="0" w:space="0" w:color="auto"/>
        <w:bottom w:val="none" w:sz="0" w:space="0" w:color="auto"/>
        <w:right w:val="none" w:sz="0" w:space="0" w:color="auto"/>
      </w:divBdr>
    </w:div>
    <w:div w:id="20665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1.709987" TargetMode="External"/><Relationship Id="rId13" Type="http://schemas.openxmlformats.org/officeDocument/2006/relationships/hyperlink" Target="https://doi.org/10.1016/j.jsr.2013.01.003" TargetMode="External"/><Relationship Id="rId18" Type="http://schemas.openxmlformats.org/officeDocument/2006/relationships/hyperlink" Target="https://doi.org/10.1038/s41893-021-0079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10803548.2018.1483100" TargetMode="External"/><Relationship Id="rId7" Type="http://schemas.openxmlformats.org/officeDocument/2006/relationships/hyperlink" Target="https://doi.org/10.18203/2394-6040.ijcmph20193084" TargetMode="External"/><Relationship Id="rId12" Type="http://schemas.openxmlformats.org/officeDocument/2006/relationships/hyperlink" Target="https://doi.org/10.3390/ijerph19063371" TargetMode="External"/><Relationship Id="rId17" Type="http://schemas.openxmlformats.org/officeDocument/2006/relationships/hyperlink" Target="https://doi.org/10.1007/978-981-15-0184-5_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sci.2021.105484" TargetMode="External"/><Relationship Id="rId20" Type="http://schemas.openxmlformats.org/officeDocument/2006/relationships/hyperlink" Target="https://doi.org/10.1093/occmed/kqh072" TargetMode="External"/><Relationship Id="rId1" Type="http://schemas.openxmlformats.org/officeDocument/2006/relationships/numbering" Target="numbering.xml"/><Relationship Id="rId6" Type="http://schemas.openxmlformats.org/officeDocument/2006/relationships/hyperlink" Target="https://doi.org/10.1017/elr.2024.32" TargetMode="External"/><Relationship Id="rId11" Type="http://schemas.openxmlformats.org/officeDocument/2006/relationships/hyperlink" Target="https://doi.org/10.1016/j.ssci.2021.105431" TargetMode="External"/><Relationship Id="rId24" Type="http://schemas.openxmlformats.org/officeDocument/2006/relationships/hyperlink" Target="https://doi.org/10.1016/j.resourpol.2021.102279" TargetMode="External"/><Relationship Id="rId5" Type="http://schemas.openxmlformats.org/officeDocument/2006/relationships/image" Target="media/image1.png"/><Relationship Id="rId15" Type="http://schemas.openxmlformats.org/officeDocument/2006/relationships/hyperlink" Target="https://doi.org/10.1080/10803548.2021.1942657" TargetMode="External"/><Relationship Id="rId23" Type="http://schemas.openxmlformats.org/officeDocument/2006/relationships/hyperlink" Target="https://doi.org/10.1016/j.resourpol.2020.101965" TargetMode="External"/><Relationship Id="rId10" Type="http://schemas.openxmlformats.org/officeDocument/2006/relationships/hyperlink" Target="https://ph04.tci-thaijo.org/index.php/JCST/article/view/204" TargetMode="External"/><Relationship Id="rId19" Type="http://schemas.openxmlformats.org/officeDocument/2006/relationships/hyperlink" Target="https://doi.org/10.1016/j.hrmr.2020.100790" TargetMode="External"/><Relationship Id="rId4" Type="http://schemas.openxmlformats.org/officeDocument/2006/relationships/webSettings" Target="webSettings.xml"/><Relationship Id="rId9" Type="http://schemas.openxmlformats.org/officeDocument/2006/relationships/hyperlink" Target="https://doi.org/10.29024/aogh.2302" TargetMode="External"/><Relationship Id="rId14" Type="http://schemas.openxmlformats.org/officeDocument/2006/relationships/hyperlink" Target="https://doi.org/10.1016/j.shaw.2016.01.002" TargetMode="External"/><Relationship Id="rId22" Type="http://schemas.openxmlformats.org/officeDocument/2006/relationships/hyperlink" Target="https://doi.org/10.1504/IJPD.2011.042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16</Pages>
  <Words>5059</Words>
  <Characters>28839</Characters>
  <Application>Microsoft Office Word</Application>
  <DocSecurity>0</DocSecurity>
  <Lines>240</Lines>
  <Paragraphs>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OCCUPATIONAL SAFETY OF COAL MINERS IN INDIA: A STUDY</vt:lpstr>
    </vt:vector>
  </TitlesOfParts>
  <Company>by adguard</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 Bhattacharya</dc:creator>
  <cp:lastModifiedBy>SDI 1186</cp:lastModifiedBy>
  <cp:revision>49</cp:revision>
  <cp:lastPrinted>2025-09-22T18:49:00Z</cp:lastPrinted>
  <dcterms:created xsi:type="dcterms:W3CDTF">2025-09-22T17:33:00Z</dcterms:created>
  <dcterms:modified xsi:type="dcterms:W3CDTF">2025-10-18T13:15:00Z</dcterms:modified>
</cp:coreProperties>
</file>