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37" w:rsidRPr="00503137" w:rsidRDefault="00503137" w:rsidP="00503137">
      <w:pPr>
        <w:pStyle w:val="Author"/>
        <w:rPr>
          <w:rFonts w:ascii="Arial" w:hAnsi="Arial" w:cs="Arial"/>
          <w:bCs/>
          <w:i/>
          <w:iCs/>
          <w:kern w:val="28"/>
          <w:sz w:val="32"/>
          <w:szCs w:val="18"/>
          <w:u w:val="single"/>
        </w:rPr>
      </w:pPr>
      <w:bookmarkStart w:id="0" w:name="_Hlk209871193"/>
      <w:r w:rsidRPr="00503137">
        <w:rPr>
          <w:rFonts w:ascii="Arial" w:hAnsi="Arial" w:cs="Arial"/>
          <w:bCs/>
          <w:i/>
          <w:iCs/>
          <w:kern w:val="28"/>
          <w:sz w:val="32"/>
          <w:szCs w:val="18"/>
          <w:u w:val="single"/>
        </w:rPr>
        <w:t>Original Research Article</w:t>
      </w:r>
    </w:p>
    <w:p w:rsidR="00503137" w:rsidRDefault="00503137" w:rsidP="004A76B2">
      <w:pPr>
        <w:pStyle w:val="Author"/>
        <w:spacing w:line="240" w:lineRule="auto"/>
        <w:rPr>
          <w:rFonts w:ascii="Arial" w:hAnsi="Arial" w:cs="Arial"/>
          <w:bCs/>
          <w:iCs/>
          <w:kern w:val="28"/>
          <w:sz w:val="36"/>
        </w:rPr>
      </w:pPr>
    </w:p>
    <w:p w:rsidR="004A76B2" w:rsidRPr="00163BC4" w:rsidRDefault="004A76B2" w:rsidP="004A76B2">
      <w:pPr>
        <w:pStyle w:val="Author"/>
        <w:spacing w:line="240" w:lineRule="auto"/>
        <w:rPr>
          <w:rFonts w:ascii="Arial" w:hAnsi="Arial" w:cs="Arial"/>
          <w:bCs/>
          <w:iCs/>
          <w:kern w:val="28"/>
          <w:sz w:val="36"/>
        </w:rPr>
      </w:pPr>
      <w:r w:rsidRPr="0059634C">
        <w:rPr>
          <w:rFonts w:ascii="Arial" w:hAnsi="Arial" w:cs="Arial"/>
          <w:bCs/>
          <w:iCs/>
          <w:kern w:val="28"/>
          <w:sz w:val="36"/>
        </w:rPr>
        <w:t>Non – Performing Assets: Status and Trends of the Select Public and Private Sector Banks in India</w:t>
      </w:r>
    </w:p>
    <w:bookmarkEnd w:id="0"/>
    <w:p w:rsidR="004A76B2" w:rsidRPr="00790ADA" w:rsidRDefault="004A76B2" w:rsidP="004A76B2">
      <w:pPr>
        <w:pStyle w:val="Author"/>
        <w:spacing w:line="240" w:lineRule="auto"/>
        <w:jc w:val="both"/>
        <w:rPr>
          <w:rFonts w:ascii="Arial" w:hAnsi="Arial" w:cs="Arial"/>
          <w:sz w:val="36"/>
        </w:rPr>
      </w:pPr>
    </w:p>
    <w:p w:rsidR="00503137" w:rsidRDefault="00503137" w:rsidP="00503137">
      <w:pPr>
        <w:pStyle w:val="Affiliation"/>
        <w:spacing w:after="0" w:line="240" w:lineRule="auto"/>
        <w:rPr>
          <w:rFonts w:ascii="Arial" w:hAnsi="Arial" w:cs="Arial"/>
          <w:i/>
        </w:rPr>
      </w:pPr>
    </w:p>
    <w:p w:rsidR="004A76B2" w:rsidRDefault="000A4B25" w:rsidP="004A76B2">
      <w:pPr>
        <w:pStyle w:val="Affiliation"/>
        <w:spacing w:after="0" w:line="240" w:lineRule="auto"/>
        <w:rPr>
          <w:rFonts w:ascii="Arial" w:hAnsi="Arial" w:cs="Arial"/>
          <w:i/>
        </w:rPr>
      </w:pPr>
      <w:r>
        <w:rPr>
          <w:rFonts w:ascii="Arial" w:hAnsi="Arial" w:cs="Arial"/>
          <w:noProof/>
          <w:lang w:val="en-IN" w:eastAsia="en-IN"/>
        </w:rPr>
      </w:r>
      <w:r>
        <w:rPr>
          <w:rFonts w:ascii="Arial" w:hAnsi="Arial" w:cs="Arial"/>
          <w:noProof/>
          <w:lang w:val="en-IN" w:eastAsia="en-IN"/>
        </w:rPr>
        <w:pict>
          <v:shapetype id="_x0000_t32" coordsize="21600,21600" o:spt="32" o:oned="t" path="m,l21600,21600e" filled="f">
            <v:path arrowok="t" fillok="f" o:connecttype="none"/>
            <o:lock v:ext="edit" shapetype="t"/>
          </v:shapetype>
          <v:shape id="Straight Arrow Connector 4"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rsidR="004A76B2" w:rsidRDefault="004A76B2" w:rsidP="004A76B2">
      <w:pPr>
        <w:pStyle w:val="Affiliation"/>
        <w:spacing w:after="0" w:line="240" w:lineRule="auto"/>
        <w:jc w:val="left"/>
        <w:rPr>
          <w:rFonts w:ascii="Arial" w:hAnsi="Arial" w:cs="Arial"/>
          <w:i/>
        </w:rPr>
      </w:pPr>
    </w:p>
    <w:p w:rsidR="004A76B2" w:rsidRDefault="004A76B2" w:rsidP="004A76B2">
      <w:pPr>
        <w:ind w:right="84"/>
        <w:rPr>
          <w:rFonts w:ascii="Arial" w:hAnsi="Arial" w:cs="Arial"/>
          <w:b/>
        </w:rPr>
      </w:pPr>
      <w:r w:rsidRPr="004A76B2">
        <w:rPr>
          <w:rFonts w:ascii="Arial" w:hAnsi="Arial" w:cs="Arial"/>
          <w:b/>
        </w:rPr>
        <w:t>ABSTRACT</w:t>
      </w:r>
    </w:p>
    <w:p w:rsidR="004A76B2" w:rsidRPr="004A76B2" w:rsidRDefault="004A76B2" w:rsidP="004A76B2">
      <w:pPr>
        <w:spacing w:line="360" w:lineRule="auto"/>
        <w:jc w:val="both"/>
        <w:rPr>
          <w:rFonts w:ascii="Arial" w:hAnsi="Arial" w:cs="Arial"/>
          <w:sz w:val="20"/>
          <w:szCs w:val="20"/>
          <w:lang w:val="en-US"/>
        </w:rPr>
      </w:pPr>
      <w:r w:rsidRPr="004A76B2">
        <w:rPr>
          <w:rFonts w:ascii="Arial" w:hAnsi="Arial" w:cs="Arial"/>
          <w:sz w:val="20"/>
          <w:szCs w:val="20"/>
          <w:lang w:val="en-US"/>
        </w:rPr>
        <w:t>Non-Performing Assets (NPAs) continue to pose a significant threat to the financial stability and efficiency of the Indian banking sector, particularly among Public Sector Banks (PSBs). This study examines the trends and status of NPAs in six selected public and private sector banks</w:t>
      </w:r>
      <w:r w:rsidR="00975A58">
        <w:rPr>
          <w:rFonts w:ascii="Arial" w:hAnsi="Arial" w:cs="Arial"/>
          <w:sz w:val="20"/>
          <w:szCs w:val="20"/>
          <w:lang w:val="en-US"/>
        </w:rPr>
        <w:t xml:space="preserve"> viz.,</w:t>
      </w:r>
      <w:r w:rsidRPr="004A76B2">
        <w:rPr>
          <w:rFonts w:ascii="Arial" w:hAnsi="Arial" w:cs="Arial"/>
          <w:sz w:val="20"/>
          <w:szCs w:val="20"/>
          <w:lang w:val="en-US"/>
        </w:rPr>
        <w:t xml:space="preserve"> State Bank of India, Punjab National Bank, Bank of Baroda, HDFC Bank, ICICI Bank, and Axis Bank over the </w:t>
      </w:r>
      <w:r w:rsidR="00975A58">
        <w:rPr>
          <w:rFonts w:ascii="Arial" w:hAnsi="Arial" w:cs="Arial"/>
          <w:sz w:val="20"/>
          <w:szCs w:val="20"/>
          <w:lang w:val="en-US"/>
        </w:rPr>
        <w:t>period 2014-15 to 2023-24. The</w:t>
      </w:r>
      <w:r w:rsidRPr="004A76B2">
        <w:rPr>
          <w:rFonts w:ascii="Arial" w:hAnsi="Arial" w:cs="Arial"/>
          <w:sz w:val="20"/>
          <w:szCs w:val="20"/>
          <w:lang w:val="en-US"/>
        </w:rPr>
        <w:t xml:space="preserve"> statistical tools such as mean, standard deviation, coefficient of variation, and ANOVA</w:t>
      </w:r>
      <w:r w:rsidR="00975A58">
        <w:rPr>
          <w:rFonts w:ascii="Arial" w:hAnsi="Arial" w:cs="Arial"/>
          <w:sz w:val="20"/>
          <w:szCs w:val="20"/>
          <w:lang w:val="en-US"/>
        </w:rPr>
        <w:t xml:space="preserve"> applied and</w:t>
      </w:r>
      <w:r w:rsidRPr="004A76B2">
        <w:rPr>
          <w:rFonts w:ascii="Arial" w:hAnsi="Arial" w:cs="Arial"/>
          <w:sz w:val="20"/>
          <w:szCs w:val="20"/>
          <w:lang w:val="en-US"/>
        </w:rPr>
        <w:t>, t</w:t>
      </w:r>
      <w:r w:rsidR="00975A58">
        <w:rPr>
          <w:rFonts w:ascii="Arial" w:hAnsi="Arial" w:cs="Arial"/>
          <w:sz w:val="20"/>
          <w:szCs w:val="20"/>
          <w:lang w:val="en-US"/>
        </w:rPr>
        <w:t>he research analyzed</w:t>
      </w:r>
      <w:r w:rsidR="000A4B25">
        <w:rPr>
          <w:rFonts w:ascii="Arial" w:hAnsi="Arial" w:cs="Arial"/>
          <w:sz w:val="20"/>
          <w:szCs w:val="20"/>
          <w:lang w:val="en-US"/>
        </w:rPr>
        <w:t xml:space="preserve"> Gross and Net </w:t>
      </w:r>
      <w:r w:rsidRPr="004A76B2">
        <w:rPr>
          <w:rFonts w:ascii="Arial" w:hAnsi="Arial" w:cs="Arial"/>
          <w:sz w:val="20"/>
          <w:szCs w:val="20"/>
          <w:lang w:val="en-US"/>
        </w:rPr>
        <w:t xml:space="preserve">NPA Ratios to evaluate asset quality differences between the two sectors. Results indicate that public sector banks consistently exhibit higher NPA levels due to weak credit appraisal systems, policy obligations, and regulatory lapses, whereas private banks demonstrate better performance through stronger risk management practices. Hypothesis testing confirms significant variation </w:t>
      </w:r>
      <w:r w:rsidR="00B55840">
        <w:rPr>
          <w:rFonts w:ascii="Arial" w:hAnsi="Arial" w:cs="Arial"/>
          <w:sz w:val="20"/>
          <w:szCs w:val="20"/>
          <w:lang w:val="en-US"/>
        </w:rPr>
        <w:t>in NPA ratios among the select</w:t>
      </w:r>
      <w:r w:rsidRPr="004A76B2">
        <w:rPr>
          <w:rFonts w:ascii="Arial" w:hAnsi="Arial" w:cs="Arial"/>
          <w:sz w:val="20"/>
          <w:szCs w:val="20"/>
          <w:lang w:val="en-US"/>
        </w:rPr>
        <w:t xml:space="preserve"> banks. The study further explores the root causes of NPAs, including willful defaults, industrial sickness, fraudulent practices, and coordination failures among lenders. The growing burden of NPAs hampers credit growth, raises interest rates, undermines public confidence, and weakens capital adequacy, ultimately slowing down the overall economy. This analysis offers valuable insights to aid policymakers, regulators, and banking institutions in devising targeted strategies for effective NPA management and sustainable financial development.</w:t>
      </w:r>
    </w:p>
    <w:p w:rsidR="004A76B2" w:rsidRDefault="004A76B2" w:rsidP="00476D71">
      <w:pPr>
        <w:pStyle w:val="Body"/>
        <w:rPr>
          <w:rFonts w:ascii="Arial" w:hAnsi="Arial" w:cs="Arial"/>
          <w:i/>
        </w:rPr>
      </w:pPr>
      <w:r>
        <w:rPr>
          <w:rFonts w:ascii="Arial" w:hAnsi="Arial" w:cs="Arial"/>
          <w:i/>
        </w:rPr>
        <w:t xml:space="preserve">Keywords: </w:t>
      </w:r>
      <w:r w:rsidRPr="004A76B2">
        <w:rPr>
          <w:rFonts w:ascii="Arial" w:hAnsi="Arial" w:cs="Arial"/>
          <w:i/>
        </w:rPr>
        <w:t xml:space="preserve">Scheduled Commercial Banks, Non-Performing Assets, Gross NPA, Net                     </w:t>
      </w:r>
      <w:r w:rsidR="000A4B25">
        <w:rPr>
          <w:rFonts w:ascii="Arial" w:hAnsi="Arial" w:cs="Arial"/>
          <w:i/>
        </w:rPr>
        <w:tab/>
        <w:t xml:space="preserve">       </w:t>
      </w:r>
      <w:r w:rsidRPr="004A76B2">
        <w:rPr>
          <w:rFonts w:ascii="Arial" w:hAnsi="Arial" w:cs="Arial"/>
          <w:i/>
        </w:rPr>
        <w:t>NPA, Gross Advances, Net Advances.</w:t>
      </w:r>
    </w:p>
    <w:p w:rsidR="00476D71" w:rsidRPr="00476D71" w:rsidRDefault="00975A58" w:rsidP="00476D71">
      <w:pPr>
        <w:spacing w:line="360" w:lineRule="auto"/>
        <w:rPr>
          <w:rFonts w:ascii="Arial" w:hAnsi="Arial" w:cs="Arial"/>
          <w:b/>
          <w:lang w:val="en-US"/>
        </w:rPr>
      </w:pPr>
      <w:r>
        <w:rPr>
          <w:rFonts w:ascii="Arial" w:hAnsi="Arial" w:cs="Arial"/>
          <w:b/>
          <w:lang w:val="en-US"/>
        </w:rPr>
        <w:t xml:space="preserve">1. </w:t>
      </w:r>
      <w:r w:rsidR="00476D71" w:rsidRPr="00476D71">
        <w:rPr>
          <w:rFonts w:ascii="Arial" w:hAnsi="Arial" w:cs="Arial"/>
          <w:b/>
          <w:lang w:val="en-US"/>
        </w:rPr>
        <w:t>INTRODUCTION:</w:t>
      </w:r>
    </w:p>
    <w:p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The Indian banking sector plays a crucial role in the country's economic growth and development. As a key component of the financial system, it facilitates the flow of funds between savers and borrowers, supports businesses, and contributes to overall economic stability. The sector comprises various types of banks, including public sector banks, private sector banks, foreign banks,</w:t>
      </w:r>
      <w:r w:rsidR="00975A58">
        <w:rPr>
          <w:rFonts w:ascii="Arial" w:hAnsi="Arial" w:cs="Arial"/>
          <w:sz w:val="20"/>
          <w:szCs w:val="20"/>
          <w:lang w:val="en-US"/>
        </w:rPr>
        <w:t xml:space="preserve"> co-operative banks,</w:t>
      </w:r>
      <w:r w:rsidRPr="00476D71">
        <w:rPr>
          <w:rFonts w:ascii="Arial" w:hAnsi="Arial" w:cs="Arial"/>
          <w:sz w:val="20"/>
          <w:szCs w:val="20"/>
          <w:lang w:val="en-US"/>
        </w:rPr>
        <w:t xml:space="preserve"> and regional rural banks, each serving different segments of the population and economy. In recent years, the Indian banking sector has faced significant challenges, with one of the most pressing issues being the high level of Non-Performing Assets (NPAs). NPAs are loans or advances that are in default or close to being in default, posing a significant risk to the financial health of banks and the broader </w:t>
      </w:r>
      <w:r w:rsidRPr="00476D71">
        <w:rPr>
          <w:rFonts w:ascii="Arial" w:hAnsi="Arial" w:cs="Arial"/>
          <w:sz w:val="20"/>
          <w:szCs w:val="20"/>
          <w:lang w:val="en-US"/>
        </w:rPr>
        <w:lastRenderedPageBreak/>
        <w:t>economy. The rise in NPAs has been a major concern for policymakers, regulators, and stakeholders in the Indian banking system.</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NPA crisis in India can be attributed to several factors. One of the primary reasons is the aggressive lending practices adopted by banks during periods of economic growth, particularly in sectors such as infrastructure, power, and real estate. Many of these loans turned sour due to project delays, cost overruns, and changing market conditions. Additionally, economic slowdowns, global financial crises, and sector-specific challenges have contributed to the accumulation of NPAs. The impact of high NPAs on the Indian banking sector has been substantial. Banks have had to increase their provisioning for bad loans, leading to reduced profitability and erosion of capital. This, in turn, has affected their ability to extend new credit, potentially slowing down economic growth. The NPA problem has been particularly acute for public sector banks, which account for a significant portion of the banking sector's assets.</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Recognizing the severity of the NPA issue, the Indian government and the Reserve Bank of India (RBI) have implemented various measures to address the problem. These include the introduction of the Insolvency and Bankruptcy Code (IBC) in 2016, which provides a time-bound process for resolving insolvency cases. The RBI has also introduced stricter norms for NPA recognition and resolution, such as the Prompt Corrective Action (PCA) framework for banks with high NPAs. Other initiatives to tackle the NPA crisis include the establishment of asset reconstruction companies, debt recovery tribunals, and the creation of bad banks</w:t>
      </w:r>
      <w:r w:rsidR="00975A58">
        <w:rPr>
          <w:rFonts w:ascii="Arial" w:hAnsi="Arial" w:cs="Arial"/>
          <w:sz w:val="20"/>
          <w:szCs w:val="20"/>
          <w:lang w:val="en-US"/>
        </w:rPr>
        <w:t xml:space="preserve"> (i.e., NARCL)</w:t>
      </w:r>
      <w:r w:rsidRPr="00476D71">
        <w:rPr>
          <w:rFonts w:ascii="Arial" w:hAnsi="Arial" w:cs="Arial"/>
          <w:sz w:val="20"/>
          <w:szCs w:val="20"/>
          <w:lang w:val="en-US"/>
        </w:rPr>
        <w:t xml:space="preserve"> to take over stressed assets. The government has also undertaken recapitalization efforts to strengthen the capital base of public sector banks. While these measures have shown some positive results in recent years, with a gradual decline in the NPA ratio, the issue remains a significant challenge for the Indian banking sector. Continued efforts are needed to improve asset quality, enhance risk management practices, and strengthen the overall health of the banking system to support India's economic growth aspirations.</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A Non-Performing Asset (NPA) refers to a loan or advance provided by a bank that has entered a state of default or arrears. Specifically, a loan is considered to be in arrears when scheduled payments of principal or interest are delayed or missed. It is classified as an NPA when the interest and/or principal installment remains overdue for a period exceeding 90 days. Gross Non-Performing Assets (GNPAs) represent the total value of all such loan assets that have been categorized as NPAs, providing a comprehensive measure of the asset quality and financial health of a bank.</w:t>
      </w:r>
    </w:p>
    <w:p w:rsidR="00476D71" w:rsidRDefault="00476D71" w:rsidP="00476D71">
      <w:pPr>
        <w:spacing w:line="360" w:lineRule="auto"/>
        <w:jc w:val="center"/>
        <w:rPr>
          <w:rFonts w:ascii="Arial" w:hAnsi="Arial" w:cs="Arial"/>
          <w:sz w:val="20"/>
          <w:szCs w:val="20"/>
          <w:lang w:val="en-US"/>
        </w:rPr>
      </w:pPr>
    </w:p>
    <w:p w:rsidR="00476D71" w:rsidRDefault="00476D71" w:rsidP="00476D71">
      <w:pPr>
        <w:spacing w:line="360" w:lineRule="auto"/>
        <w:jc w:val="center"/>
        <w:rPr>
          <w:rFonts w:ascii="Arial" w:hAnsi="Arial" w:cs="Arial"/>
          <w:sz w:val="20"/>
          <w:szCs w:val="20"/>
          <w:lang w:val="en-US"/>
        </w:rPr>
      </w:pPr>
    </w:p>
    <w:p w:rsidR="00476D71" w:rsidRPr="00476D71" w:rsidRDefault="00476D71" w:rsidP="00476D71">
      <w:pPr>
        <w:spacing w:line="360" w:lineRule="auto"/>
        <w:jc w:val="center"/>
        <w:rPr>
          <w:rFonts w:ascii="Arial" w:hAnsi="Arial" w:cs="Arial"/>
          <w:sz w:val="20"/>
          <w:szCs w:val="20"/>
          <w:lang w:val="en-US"/>
        </w:rPr>
      </w:pPr>
    </w:p>
    <w:p w:rsidR="00476D71" w:rsidRPr="00476D71" w:rsidRDefault="00476D71" w:rsidP="00476D71">
      <w:pPr>
        <w:spacing w:line="360" w:lineRule="auto"/>
        <w:jc w:val="center"/>
        <w:rPr>
          <w:rFonts w:ascii="Arial" w:hAnsi="Arial" w:cs="Arial"/>
          <w:sz w:val="20"/>
          <w:szCs w:val="20"/>
          <w:lang w:val="en-US"/>
        </w:rPr>
      </w:pPr>
    </w:p>
    <w:p w:rsidR="00422A2F" w:rsidRDefault="00422A2F" w:rsidP="00476D71">
      <w:pPr>
        <w:spacing w:line="360" w:lineRule="auto"/>
        <w:jc w:val="center"/>
        <w:rPr>
          <w:rFonts w:ascii="Arial" w:hAnsi="Arial" w:cs="Arial"/>
          <w:b/>
          <w:szCs w:val="20"/>
          <w:lang w:val="en-US"/>
        </w:rPr>
      </w:pPr>
    </w:p>
    <w:p w:rsidR="00476D71" w:rsidRPr="00476D71" w:rsidRDefault="00476D71" w:rsidP="00476D71">
      <w:pPr>
        <w:spacing w:line="360" w:lineRule="auto"/>
        <w:jc w:val="center"/>
        <w:rPr>
          <w:rFonts w:ascii="Arial" w:hAnsi="Arial" w:cs="Arial"/>
          <w:b/>
          <w:szCs w:val="20"/>
          <w:lang w:val="en-US"/>
        </w:rPr>
      </w:pPr>
      <w:r w:rsidRPr="00476D71">
        <w:rPr>
          <w:rFonts w:ascii="Arial" w:hAnsi="Arial" w:cs="Arial"/>
          <w:b/>
          <w:szCs w:val="20"/>
          <w:lang w:val="en-US"/>
        </w:rPr>
        <w:lastRenderedPageBreak/>
        <w:t>Fig. 1 - Classification of NPAs</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noProof/>
          <w:sz w:val="20"/>
          <w:szCs w:val="20"/>
          <w:lang w:eastAsia="en-IN"/>
        </w:rPr>
        <w:drawing>
          <wp:inline distT="0" distB="0" distL="0" distR="0">
            <wp:extent cx="5708650" cy="30861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76D71" w:rsidRPr="00476D71" w:rsidRDefault="00975A58" w:rsidP="00476D71">
      <w:pPr>
        <w:spacing w:line="360" w:lineRule="auto"/>
        <w:jc w:val="both"/>
        <w:rPr>
          <w:rFonts w:ascii="Arial" w:hAnsi="Arial" w:cs="Arial"/>
          <w:b/>
          <w:lang w:val="en-US"/>
        </w:rPr>
      </w:pPr>
      <w:r>
        <w:rPr>
          <w:rFonts w:ascii="Arial" w:hAnsi="Arial" w:cs="Arial"/>
          <w:b/>
          <w:lang w:val="en-US"/>
        </w:rPr>
        <w:t xml:space="preserve">2. </w:t>
      </w:r>
      <w:r w:rsidR="00476D71" w:rsidRPr="00476D71">
        <w:rPr>
          <w:rFonts w:ascii="Arial" w:hAnsi="Arial" w:cs="Arial"/>
          <w:b/>
          <w:lang w:val="en-US"/>
        </w:rPr>
        <w:t>LITERATURE REVIEW:</w:t>
      </w:r>
    </w:p>
    <w:p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 xml:space="preserve">Non-Performing Assets (NPAs) have consistently posed a significant challenge to India’s banking sector, particularly affecting both public and private sector banks. Over the past decade, various studies have explored the patterns, underlying causes, impacts, and evolving trends associated with NPAs. </w:t>
      </w:r>
    </w:p>
    <w:p w:rsidR="00476D71" w:rsidRPr="00476D71" w:rsidRDefault="001C3F05"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00476D71" w:rsidRPr="00476D71">
        <w:rPr>
          <w:rFonts w:ascii="Arial" w:hAnsi="Arial" w:cs="Arial"/>
          <w:b/>
          <w:sz w:val="20"/>
          <w:szCs w:val="20"/>
          <w:lang w:val="en-US"/>
        </w:rPr>
        <w:instrText xml:space="preserve"> ADDIN ZOTERO_ITEM CSL_CITATION {"citationID":"0sUQ3FnI","properties":{"formattedCitation":"(Dr Babita Dubey &amp; Amit Chaudhary, 2025)","plainCitation":"(Dr Babita Dubey &amp; Amit Chaudhary, 2025)","noteIndex":0},"citationItems":[{"id":547,"uris":["http://zotero.org/users/10858153/items/YWD3KZ7M"],"itemData":{"id":547,"type":"article-journal","abstract":"Non-Performing Assets (NPAs) pose a significant challenge for the Indian banking sector, particularly for public sector banks like Canara Bank, where high NPA ratios directly affect profitability and operational efficiency. This study provides an analytical investigation into the causes, trends, and impact of NPAs on Canara Bank's profitability. Through a mixed-methods approach, including demographic analysis and hypothesis testing, this research explores both internal and external factors contributing to the growth of NPAs. The findings suggest that socio-economic factors, such as the borrower's financial status, are significantly associated with the likelihood of loan defaults. Meanwhile, the study finds no immediate relationship between NPAs and profitability, although long-term risks to financial stability are evident. Employee training and awareness of Reserve Bank of India (RBI) asset classification norms are also identified as crucial in managing NPAs effectively. Survey results reveal mixed opinions on the effectiveness of internal presentations on NPA-related policies, highlighting a gap in employee understanding that could be addressed through enhanced training. Overall, this study offers valuable insights for improving NPA management strategies, contributing to both policy decisions and practical banking solutions.","container-title":"European Economic Letters","issue":"1","language":"en","page":"3378-3381","source":"Zotero","title":"An Analytical Study on Non-Performing Assets (NPAs) in Canara Bank: Causes, Trends, and Impact on Profitability","volume":"15","author":[{"family":"Dr Babita Dubey","given":""},{"family":"Amit Chaudhary","given":""}],"issued":{"date-parts":[["2025"]]}}}],"schema":"https://github.com/citation-style-language/schema/raw/master/csl-citation.json"} </w:instrText>
      </w:r>
      <w:r w:rsidRPr="00476D71">
        <w:rPr>
          <w:rFonts w:ascii="Arial" w:hAnsi="Arial" w:cs="Arial"/>
          <w:b/>
          <w:sz w:val="20"/>
          <w:szCs w:val="20"/>
          <w:lang w:val="en-US"/>
        </w:rPr>
        <w:fldChar w:fldCharType="separate"/>
      </w:r>
      <w:r w:rsidR="00476D71" w:rsidRPr="00476D71">
        <w:rPr>
          <w:rFonts w:ascii="Arial" w:hAnsi="Arial" w:cs="Arial"/>
          <w:b/>
          <w:sz w:val="20"/>
          <w:szCs w:val="20"/>
        </w:rPr>
        <w:t>Dr Babita Dubey &amp; Amit Chaudhary (2025)</w:t>
      </w:r>
      <w:r w:rsidRPr="00476D71">
        <w:rPr>
          <w:rFonts w:ascii="Arial" w:hAnsi="Arial" w:cs="Arial"/>
          <w:b/>
          <w:sz w:val="20"/>
          <w:szCs w:val="20"/>
          <w:lang w:val="en-US"/>
        </w:rPr>
        <w:fldChar w:fldCharType="end"/>
      </w:r>
      <w:r w:rsidR="00476D71" w:rsidRPr="00476D71">
        <w:rPr>
          <w:rFonts w:ascii="Arial" w:hAnsi="Arial" w:cs="Arial"/>
          <w:b/>
          <w:sz w:val="20"/>
          <w:szCs w:val="20"/>
          <w:vertAlign w:val="superscript"/>
          <w:lang w:val="en-US"/>
        </w:rPr>
        <w:t xml:space="preserve">1 </w:t>
      </w:r>
      <w:r w:rsidR="00476D71" w:rsidRPr="00476D71">
        <w:rPr>
          <w:rFonts w:ascii="Arial" w:hAnsi="Arial" w:cs="Arial"/>
          <w:sz w:val="20"/>
          <w:szCs w:val="20"/>
          <w:lang w:val="en-US"/>
        </w:rPr>
        <w:t>offers a comprehensive analysis of the causes, patterns, and effects of Non-Performing Assets (NPAs) on the profitability of Canara Bank. Utilizing a mixed-methods approach that includes demographic evaluation and hypothesis testing, the study examines both internal and external contributors to the rise in NPAs. The results indicate that socio-economic factors, particularly the financial condition of borrowers, play a significant role in loan defaults. While the study does not find an immediate link between NPAs and profitability, it points to potential long-term threats to the bank’s financial health. Survey data show varied opinions regarding the usefulness of internal presentations on NPA policies, suggesting a need for improved training to bridge knowledge gaps. Ultimately, the study provides important insights to enhance NPA management practices and inform both policy-making and operational improvements in the banking sector.</w:t>
      </w:r>
    </w:p>
    <w:p w:rsidR="00476D71" w:rsidRPr="00476D71" w:rsidRDefault="001C3F05"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00476D71" w:rsidRPr="00476D71">
        <w:rPr>
          <w:rFonts w:ascii="Arial" w:hAnsi="Arial" w:cs="Arial"/>
          <w:b/>
          <w:sz w:val="20"/>
          <w:szCs w:val="20"/>
          <w:lang w:val="en-US"/>
        </w:rPr>
        <w:instrText xml:space="preserve"> ADDIN ZOTERO_ITEM CSL_CITATION {"citationID":"X6NmOY9k","properties":{"formattedCitation":"(Dr Sukanta Sarkar, 2025)","plainCitation":"(Dr Sukanta Sarkar, 2025)","noteIndex":0},"citationItems":[{"id":542,"uris":["http://zotero.org/users/10858153/items/EFMKCHE8"],"itemData":{"id":542,"type":"article-journal","abstract":"The objective of the study is to examine the current status of non-performing assets of banking sector of India. It has found that non-performing assets is a bigger challenge of our banking sector. Such asset is the burden in any financial institution. It exists in more or less in any type of banking institution. Gross and net non-performing assets of scheduled commercial banks are declining since 2018-19. In scheduled commercial banks, public sector banks have the higher non-performing assets then the private bank, regional rural banks and foreign banks. Rural Cooperative Banks has higher non-performing assets then the urban cooperative banks. Non-performing assets affect bank’s profitability, and revenues. Due to the recession and slowdown in demand, companies are unable to pay debts. This has led to debt accumulation and increased non-performing assets. The Reserve Bank of India has taken various measures to address the non-performing assets problem. Measures related to management processes, technological integration and specific business strategies aimed at immediate reduction and long-term adaptation.","container-title":"International Journal of Management, Public Policy and Research","issue":"1","language":"en","page":"8-19","source":"Zotero","title":"CURRENT STATUS OF NON-PERFORMING ASSETS OF BANKING SECTOR OF INDIA WITH SPECIAL REFERENCES TO CAUSES AND GOVERNMENT INITIATIVES","volume":"4","author":[{"family":"Dr Sukanta Sarkar","given":""}],"issued":{"date-parts":[["2025"]]}}}],"schema":"https://github.com/citation-style-language/schema/raw/master/csl-citation.json"} </w:instrText>
      </w:r>
      <w:r w:rsidRPr="00476D71">
        <w:rPr>
          <w:rFonts w:ascii="Arial" w:hAnsi="Arial" w:cs="Arial"/>
          <w:b/>
          <w:sz w:val="20"/>
          <w:szCs w:val="20"/>
          <w:lang w:val="en-US"/>
        </w:rPr>
        <w:fldChar w:fldCharType="separate"/>
      </w:r>
      <w:r w:rsidR="00476D71" w:rsidRPr="00476D71">
        <w:rPr>
          <w:rFonts w:ascii="Arial" w:hAnsi="Arial" w:cs="Arial"/>
          <w:b/>
          <w:sz w:val="20"/>
          <w:szCs w:val="20"/>
        </w:rPr>
        <w:t>Dr</w:t>
      </w:r>
      <w:r w:rsidR="00476D71" w:rsidRPr="00476D71">
        <w:rPr>
          <w:rFonts w:ascii="Arial" w:hAnsi="Arial" w:cs="Arial"/>
          <w:sz w:val="20"/>
          <w:szCs w:val="20"/>
        </w:rPr>
        <w:t xml:space="preserve"> </w:t>
      </w:r>
      <w:r w:rsidR="00476D71" w:rsidRPr="00476D71">
        <w:rPr>
          <w:rFonts w:ascii="Arial" w:hAnsi="Arial" w:cs="Arial"/>
          <w:b/>
          <w:sz w:val="20"/>
          <w:szCs w:val="20"/>
        </w:rPr>
        <w:t>Sukanta Sarkar (2025)</w:t>
      </w:r>
      <w:r w:rsidRPr="00476D71">
        <w:rPr>
          <w:rFonts w:ascii="Arial" w:hAnsi="Arial" w:cs="Arial"/>
          <w:sz w:val="20"/>
          <w:szCs w:val="20"/>
          <w:lang w:val="en-US"/>
        </w:rPr>
        <w:fldChar w:fldCharType="end"/>
      </w:r>
      <w:r w:rsidR="00476D71" w:rsidRPr="00476D71">
        <w:rPr>
          <w:rFonts w:ascii="Arial" w:hAnsi="Arial" w:cs="Arial"/>
          <w:b/>
          <w:sz w:val="20"/>
          <w:szCs w:val="20"/>
          <w:vertAlign w:val="superscript"/>
          <w:lang w:val="en-US"/>
        </w:rPr>
        <w:t>2</w:t>
      </w:r>
      <w:r w:rsidR="00476D71" w:rsidRPr="00476D71">
        <w:rPr>
          <w:rFonts w:ascii="Arial" w:hAnsi="Arial" w:cs="Arial"/>
          <w:sz w:val="20"/>
          <w:szCs w:val="20"/>
          <w:lang w:val="en-US"/>
        </w:rPr>
        <w:t xml:space="preserve"> presents a comprehensive overview of past research on non-performing assets (NPAs) in India. The researcher highlighted key contributors who explored the causes, impact, and management of NPAs across various types of banks. Studies compared public, private, and foreign banks, revealing NPAs as a persistent issue affecting profitability. Scholars emphasized the need for strong credit policies, risk assessment, and regulatory reforms. The study underscored that while total elimination of NPAs is impractical, </w:t>
      </w:r>
      <w:r w:rsidR="00476D71" w:rsidRPr="00476D71">
        <w:rPr>
          <w:rFonts w:ascii="Arial" w:hAnsi="Arial" w:cs="Arial"/>
          <w:sz w:val="20"/>
          <w:szCs w:val="20"/>
          <w:lang w:val="en-US"/>
        </w:rPr>
        <w:lastRenderedPageBreak/>
        <w:t xml:space="preserve">effective strategies can minimize their impact. Overall, this establishes a clear foundation for understanding the challenges and management practices surrounding NPAs in the Indian banking sector. </w:t>
      </w:r>
    </w:p>
    <w:p w:rsidR="00476D71" w:rsidRPr="00476D71" w:rsidRDefault="001C3F05"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00476D71" w:rsidRPr="00476D71">
        <w:rPr>
          <w:rFonts w:ascii="Arial" w:hAnsi="Arial" w:cs="Arial"/>
          <w:b/>
          <w:sz w:val="20"/>
          <w:szCs w:val="20"/>
          <w:lang w:val="en-US"/>
        </w:rPr>
        <w:instrText xml:space="preserve"> ADDIN ZOTERO_ITEM CSL_CITATION {"citationID":"Et9Oz39t","properties":{"formattedCitation":"(S. V Rajkumar et al., 2025)","plainCitation":"(S. V Rajkumar et al., 2025)","noteIndex":0},"citationItems":[{"id":546,"uris":["http://zotero.org/users/10858153/items/8SNSF9MQ"],"itemData":{"id":546,"type":"article-journal","abstract":"This study presents a comparative analysis of Non-Performing Assets (NPAs) in Indian public and private sector banks from 2013 to 2023, examining trends, policy impacts, and sectoral resilience. Using RBI data, the study evaluates how asset quality evolved through economic shocks, regulatory reforms, and the COVID-19 pandemic. Findings reveal that private banks consistently maintained lower NPA ratios (peaking at 5.5% gross NPA vs. public banks 14.6%), attributed to superior risk management, diversified portfolios, and agile governance. Public sector banks, despite significant post-2018 recovery due to the Insolvency and Bankruptcy Code (IBC) and recapitalisation, still lag in asset quality (5.0% gross NPA in 2022 23 vs. private banks 2.3%). The study highlights structural inefficiencies in public banks and underscores the role of governance, technology, and policy interventions in shaping NPA outcomes. Key lessons include the need for institutional reforms in public banks and adaptive risk frameworks to sustain financial stability.","container-title":"International Journal of Advanced Research","DOI":"10.21474/IJAR01/21166","ISSN":"23205407","issue":"06","journalAbbreviation":"IJAR","language":"en","page":"1039-1047","source":"DOI.org (Crossref)","title":"TRENDS AND PATTERNS OF NPAS IN PUBLIC AND PRIVATE SECTOR COMMERCIAL BANKS IN INDIA: A DECADAL ANALYSIS (2013 2023)","title-short":"TRENDS AND PATTERNS OF NPAS IN PUBLIC AND PRIVATE SECTOR COMMERCIAL BANKS IN INDIA","volume":"13","author":[{"family":"S. V Rajkumar","given":""},{"family":"Paul","given":"Deepa"},{"literal":"Associate Professor and Research Supervisor, Calicut University Research Centre at PG &amp; Research Department of Commerce and Management Studies, Sri C Achutha Menon Government College Thrissur, P O Kuttanellur."}],"issued":{"date-parts":[["2025"]]}}}],"schema":"https://github.com/citation-style-language/schema/raw/master/csl-citation.json"} </w:instrText>
      </w:r>
      <w:r w:rsidRPr="00476D71">
        <w:rPr>
          <w:rFonts w:ascii="Arial" w:hAnsi="Arial" w:cs="Arial"/>
          <w:b/>
          <w:sz w:val="20"/>
          <w:szCs w:val="20"/>
          <w:lang w:val="en-US"/>
        </w:rPr>
        <w:fldChar w:fldCharType="separate"/>
      </w:r>
      <w:r w:rsidR="00476D71" w:rsidRPr="00476D71">
        <w:rPr>
          <w:rFonts w:ascii="Arial" w:hAnsi="Arial" w:cs="Arial"/>
          <w:b/>
          <w:sz w:val="20"/>
          <w:szCs w:val="20"/>
        </w:rPr>
        <w:t>S. V Rajkumar et al., (2025)</w:t>
      </w:r>
      <w:r w:rsidRPr="00476D71">
        <w:rPr>
          <w:rFonts w:ascii="Arial" w:hAnsi="Arial" w:cs="Arial"/>
          <w:b/>
          <w:sz w:val="20"/>
          <w:szCs w:val="20"/>
          <w:lang w:val="en-US"/>
        </w:rPr>
        <w:fldChar w:fldCharType="end"/>
      </w:r>
      <w:r w:rsidR="00476D71" w:rsidRPr="00476D71">
        <w:rPr>
          <w:rFonts w:ascii="Arial" w:hAnsi="Arial" w:cs="Arial"/>
          <w:b/>
          <w:sz w:val="20"/>
          <w:szCs w:val="20"/>
          <w:vertAlign w:val="superscript"/>
          <w:lang w:val="en-US"/>
        </w:rPr>
        <w:t>3</w:t>
      </w:r>
      <w:r w:rsidR="00476D71" w:rsidRPr="00476D71">
        <w:rPr>
          <w:rFonts w:ascii="Arial" w:hAnsi="Arial" w:cs="Arial"/>
          <w:b/>
          <w:sz w:val="20"/>
          <w:szCs w:val="20"/>
          <w:lang w:val="en-US"/>
        </w:rPr>
        <w:t xml:space="preserve"> </w:t>
      </w:r>
      <w:r w:rsidR="00476D71" w:rsidRPr="00476D71">
        <w:rPr>
          <w:rFonts w:ascii="Arial" w:hAnsi="Arial" w:cs="Arial"/>
          <w:sz w:val="20"/>
          <w:szCs w:val="20"/>
          <w:lang w:val="en-US"/>
        </w:rPr>
        <w:t xml:space="preserve">examines the progression of asset quality amidst economic disruptions, regulatory changes, and the COVID-19 crisis. They found that private sector banks consistently reported lower </w:t>
      </w:r>
      <w:r w:rsidR="00975A58">
        <w:rPr>
          <w:rFonts w:ascii="Arial" w:hAnsi="Arial" w:cs="Arial"/>
          <w:sz w:val="20"/>
          <w:szCs w:val="20"/>
          <w:lang w:val="en-US"/>
        </w:rPr>
        <w:t>gross NPA ratios peaking at 5.5 per cent</w:t>
      </w:r>
      <w:r w:rsidR="00476D71" w:rsidRPr="00476D71">
        <w:rPr>
          <w:rFonts w:ascii="Arial" w:hAnsi="Arial" w:cs="Arial"/>
          <w:sz w:val="20"/>
          <w:szCs w:val="20"/>
          <w:lang w:val="en-US"/>
        </w:rPr>
        <w:t xml:space="preserve"> compared to public s</w:t>
      </w:r>
      <w:r w:rsidR="00975A58">
        <w:rPr>
          <w:rFonts w:ascii="Arial" w:hAnsi="Arial" w:cs="Arial"/>
          <w:sz w:val="20"/>
          <w:szCs w:val="20"/>
          <w:lang w:val="en-US"/>
        </w:rPr>
        <w:t>ector banks, which reached 14.6 per cent</w:t>
      </w:r>
      <w:r w:rsidR="00476D71" w:rsidRPr="00476D71">
        <w:rPr>
          <w:rFonts w:ascii="Arial" w:hAnsi="Arial" w:cs="Arial"/>
          <w:sz w:val="20"/>
          <w:szCs w:val="20"/>
          <w:lang w:val="en-US"/>
        </w:rPr>
        <w:t>, due to better risk management, diversified lending, and agile governance structures. Although public banks have shown improvement since 2018, aided by the Insolvency and Bankruptcy Code (IBC) and recapitalisation efforts, thei</w:t>
      </w:r>
      <w:r w:rsidR="00975A58">
        <w:rPr>
          <w:rFonts w:ascii="Arial" w:hAnsi="Arial" w:cs="Arial"/>
          <w:sz w:val="20"/>
          <w:szCs w:val="20"/>
          <w:lang w:val="en-US"/>
        </w:rPr>
        <w:t>r asset quality in 2022-23 (5.0 per cent</w:t>
      </w:r>
      <w:r w:rsidR="00476D71" w:rsidRPr="00476D71">
        <w:rPr>
          <w:rFonts w:ascii="Arial" w:hAnsi="Arial" w:cs="Arial"/>
          <w:sz w:val="20"/>
          <w:szCs w:val="20"/>
          <w:lang w:val="en-US"/>
        </w:rPr>
        <w:t xml:space="preserve"> gross NPA) still t</w:t>
      </w:r>
      <w:r w:rsidR="00975A58">
        <w:rPr>
          <w:rFonts w:ascii="Arial" w:hAnsi="Arial" w:cs="Arial"/>
          <w:sz w:val="20"/>
          <w:szCs w:val="20"/>
          <w:lang w:val="en-US"/>
        </w:rPr>
        <w:t>rails behind private banks (2.3 per cent</w:t>
      </w:r>
      <w:r w:rsidR="00476D71" w:rsidRPr="00476D71">
        <w:rPr>
          <w:rFonts w:ascii="Arial" w:hAnsi="Arial" w:cs="Arial"/>
          <w:sz w:val="20"/>
          <w:szCs w:val="20"/>
          <w:lang w:val="en-US"/>
        </w:rPr>
        <w:t>). The study identified persistent structural weaknesses in public banks and stresses the importance of governance, technology, and policy reforms. They concluded that institutional transformation and adaptable risk management systems are crucial for long-term financial resilience.</w:t>
      </w:r>
    </w:p>
    <w:p w:rsidR="00476D71" w:rsidRPr="00476D71" w:rsidRDefault="001C3F05"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00476D71" w:rsidRPr="00476D71">
        <w:rPr>
          <w:rFonts w:ascii="Arial" w:hAnsi="Arial" w:cs="Arial"/>
          <w:b/>
          <w:sz w:val="20"/>
          <w:szCs w:val="20"/>
          <w:lang w:val="en-US"/>
        </w:rPr>
        <w:instrText xml:space="preserve"> ADDIN ZOTERO_ITEM CSL_CITATION {"citationID":"JcwQ09uQ","properties":{"formattedCitation":"(Sridevi &amp; Dr Prakash Yalavatti, 2024)","plainCitation":"(Sridevi &amp; Dr Prakash Yalavatti, 2024)","noteIndex":0},"citationItems":[{"id":550,"uris":["http://zotero.org/users/10858153/items/P5SBLZFJ"],"itemData":{"id":550,"type":"article-journal","abstract":"The main source to develop the Indian economy is a banking sector. NPAs have affecting the stability and efficiency of the banking sector. NPA affects the performance of banks. A high level of NPAs suggests high probability of a large number of credit defaults that affect the profitability and net-worth of banks and erodes the value of the asset. NPAs affect the liquidity and profitability, in addition to posing threat on quality of asset and survival of banks. The problem of NPAs is not only affecting the banks but also the whole economy. In fact, high level of NPAs in Indian banks is nothing but a reflection of the state of health of the industry and trade. It is necessary to trim down NPAs to improve the financial health in the banking system. An attempt is made in this paper to understand NPA, the status and trend of NPAs in Indian Scheduled commercial banks, the Gross advances and Gross NPA Percentage and the Net Advances and Net NPA Percentage of public and private sector banks. This study suggest that Banks should concentrate, strengthen the evaluation process of loan approvals. It could able to better due diligence, risk profiling of borrowers and updated credit scoring models to minimize defaults.","container-title":"Journal of Emerging Technologies and Innovative Research","issue":"12","journalAbbreviation":"JETIR","language":"en","page":"604-612","source":"Zotero","title":"A Study on Non-Performing Assets of Scheduled Commercial Banks in India","volume":"11","author":[{"family":"Sridevi","given":""},{"family":"Dr Prakash Yalavatti","given":""}],"issued":{"date-parts":[["2024"]]}}}],"schema":"https://github.com/citation-style-language/schema/raw/master/csl-citation.json"} </w:instrText>
      </w:r>
      <w:r w:rsidRPr="00476D71">
        <w:rPr>
          <w:rFonts w:ascii="Arial" w:hAnsi="Arial" w:cs="Arial"/>
          <w:b/>
          <w:sz w:val="20"/>
          <w:szCs w:val="20"/>
          <w:lang w:val="en-US"/>
        </w:rPr>
        <w:fldChar w:fldCharType="separate"/>
      </w:r>
      <w:r w:rsidR="00476D71" w:rsidRPr="00476D71">
        <w:rPr>
          <w:rFonts w:ascii="Arial" w:hAnsi="Arial" w:cs="Arial"/>
          <w:b/>
          <w:sz w:val="20"/>
          <w:szCs w:val="20"/>
        </w:rPr>
        <w:t>Sridevi &amp; Dr Prakash Yalavatti (2024)</w:t>
      </w:r>
      <w:r w:rsidRPr="00476D71">
        <w:rPr>
          <w:rFonts w:ascii="Arial" w:hAnsi="Arial" w:cs="Arial"/>
          <w:b/>
          <w:sz w:val="20"/>
          <w:szCs w:val="20"/>
          <w:lang w:val="en-US"/>
        </w:rPr>
        <w:fldChar w:fldCharType="end"/>
      </w:r>
      <w:r w:rsidR="00975A58">
        <w:rPr>
          <w:rFonts w:ascii="Arial" w:hAnsi="Arial" w:cs="Arial"/>
          <w:b/>
          <w:sz w:val="20"/>
          <w:szCs w:val="20"/>
          <w:vertAlign w:val="superscript"/>
          <w:lang w:val="en-US"/>
        </w:rPr>
        <w:t>4</w:t>
      </w:r>
      <w:r w:rsidR="00476D71" w:rsidRPr="00476D71">
        <w:rPr>
          <w:rFonts w:ascii="Arial" w:hAnsi="Arial" w:cs="Arial"/>
          <w:b/>
          <w:sz w:val="20"/>
          <w:szCs w:val="20"/>
          <w:lang w:val="en-US"/>
        </w:rPr>
        <w:t xml:space="preserve"> </w:t>
      </w:r>
      <w:r w:rsidR="00476D71" w:rsidRPr="00476D71">
        <w:rPr>
          <w:rFonts w:ascii="Arial" w:hAnsi="Arial" w:cs="Arial"/>
          <w:sz w:val="20"/>
          <w:szCs w:val="20"/>
          <w:lang w:val="en-US"/>
        </w:rPr>
        <w:t>explains</w:t>
      </w:r>
      <w:r w:rsidR="00476D71" w:rsidRPr="00476D71">
        <w:rPr>
          <w:rFonts w:ascii="Arial" w:hAnsi="Arial" w:cs="Arial"/>
          <w:b/>
          <w:sz w:val="20"/>
          <w:szCs w:val="20"/>
          <w:lang w:val="en-US"/>
        </w:rPr>
        <w:t xml:space="preserve"> </w:t>
      </w:r>
      <w:r w:rsidR="00476D71" w:rsidRPr="00476D71">
        <w:rPr>
          <w:rFonts w:ascii="Arial" w:hAnsi="Arial" w:cs="Arial"/>
          <w:sz w:val="20"/>
          <w:szCs w:val="20"/>
          <w:lang w:val="en-US"/>
        </w:rPr>
        <w:t>the</w:t>
      </w:r>
      <w:r w:rsidR="00476D71" w:rsidRPr="00476D71">
        <w:rPr>
          <w:rFonts w:ascii="Arial" w:hAnsi="Arial" w:cs="Arial"/>
          <w:b/>
          <w:sz w:val="20"/>
          <w:szCs w:val="20"/>
          <w:lang w:val="en-US"/>
        </w:rPr>
        <w:t xml:space="preserve"> </w:t>
      </w:r>
      <w:r w:rsidR="00476D71" w:rsidRPr="00476D71">
        <w:rPr>
          <w:rFonts w:ascii="Arial" w:hAnsi="Arial" w:cs="Arial"/>
          <w:sz w:val="20"/>
          <w:szCs w:val="20"/>
          <w:lang w:val="en-US"/>
        </w:rPr>
        <w:t>presence of high NPAs indicates a strong likelihood of widespread credit defaults, which can significantly impact banks’ profitability and net worth, ultimately diminishing the value of their assets. NPAs not only reduce liquidity and profitability but also pose serious challenges to asset quality and the overall sustainability of banks. This issue extends beyond the banking sector, influencing the broader economy, as elevated NPA levels reflect underlying weaknesses in industry and trade. To enhance the financial stability of the banking system, reducing NPAs is essential. This paper</w:t>
      </w:r>
      <w:r w:rsidR="00975A58">
        <w:rPr>
          <w:rFonts w:ascii="Arial" w:hAnsi="Arial" w:cs="Arial"/>
          <w:sz w:val="20"/>
          <w:szCs w:val="20"/>
          <w:lang w:val="en-US"/>
        </w:rPr>
        <w:t xml:space="preserve"> identified the </w:t>
      </w:r>
      <w:r w:rsidR="00476D71" w:rsidRPr="00476D71">
        <w:rPr>
          <w:rFonts w:ascii="Arial" w:hAnsi="Arial" w:cs="Arial"/>
          <w:sz w:val="20"/>
          <w:szCs w:val="20"/>
          <w:lang w:val="en-US"/>
        </w:rPr>
        <w:t>current status, and trends of NPAs in Indian scheduled commercial banks, focusing on gross and net NPA ratios across public and private sector banks. The study recommends that banks should enhance their loan approval mechanisms through robust evaluation processes, improved due diligence, borrower risk assessment, and the use of modernized credit scoring systems to mitigate default risks.</w:t>
      </w:r>
    </w:p>
    <w:p w:rsidR="00476D71" w:rsidRPr="00476D71" w:rsidRDefault="001C3F05" w:rsidP="00476D71">
      <w:pPr>
        <w:spacing w:line="360" w:lineRule="auto"/>
        <w:jc w:val="both"/>
        <w:rPr>
          <w:rFonts w:ascii="Arial" w:hAnsi="Arial" w:cs="Arial"/>
          <w:sz w:val="20"/>
          <w:szCs w:val="20"/>
          <w:lang w:val="en-US"/>
        </w:rPr>
      </w:pPr>
      <w:r w:rsidRPr="00476D71">
        <w:rPr>
          <w:rFonts w:ascii="Arial" w:hAnsi="Arial" w:cs="Arial"/>
          <w:b/>
          <w:sz w:val="20"/>
          <w:szCs w:val="20"/>
          <w:lang w:val="en-US"/>
        </w:rPr>
        <w:fldChar w:fldCharType="begin"/>
      </w:r>
      <w:r w:rsidR="00476D71" w:rsidRPr="00476D71">
        <w:rPr>
          <w:rFonts w:ascii="Arial" w:hAnsi="Arial" w:cs="Arial"/>
          <w:b/>
          <w:sz w:val="20"/>
          <w:szCs w:val="20"/>
          <w:lang w:val="en-US"/>
        </w:rPr>
        <w:instrText xml:space="preserve"> ADDIN ZOTERO_ITEM CSL_CITATION {"citationID":"AT8hWjMH","properties":{"formattedCitation":"(Sakshi Mathur, 2022)","plainCitation":"(Sakshi Mathur, 2022)","noteIndex":0},"citationItems":[{"id":544,"uris":["http://zotero.org/users/10858153/items/RMYRNIE3"],"itemData":{"id":544,"type":"article-journal","abstract":"The banking and financial sector network of a nation is crucial to its economic development in the rapidly shifting global economy of today. By stimulating multiple economic activity across the nation, the banking industry contributes to the overall economy's strengthening. The free flow of capital in the economy, which serves as a source of fuel for economic expansion, is ensured by banks. Thus, the speed of economic development can be impacted by the effectiveness of a nation's financial system. As with any other economic organisation, efficiency of a bank is determined in part by profitability and asset quality. India is a social democratic nation, hence many of the national and state governments' policies are based on social beliefs. One of the main forces driving India's economic expansion is the banking sector. Even in the days when the rest of the globe was struggling with a financial catastrophe, the Indian banking system has made exceptional progress over the last few of years. Over the past two decades, the Indian banking system has changed as a result of India's profitable development and financial sector liberalisation. Non-performing assets are currently a problem for all banks, including Indian institutions. The study's goals were to compare the pre- and post-liberalization situation of nonperforming assets in Indian banks. The magazine, newspaper, Google, and other sources gathered the secondary data.","container-title":"International Journal of Financial Management and Economics","DOI":"10.33545/26179210.2022.v5.i2.198","ISSN":"26179210, 26179229","issue":"2","journalAbbreviation":"Int. J. Finance Manage. Econ.","language":"en","page":"137-141","source":"DOI.org (Crossref)","title":"NPA status of Indian banks in pre and post liberalization era","volume":"5","author":[{"family":"Sakshi Mathur","given":""}],"issued":{"date-parts":[["2022",7,1]]}}}],"schema":"https://github.com/citation-style-language/schema/raw/master/csl-citation.json"} </w:instrText>
      </w:r>
      <w:r w:rsidRPr="00476D71">
        <w:rPr>
          <w:rFonts w:ascii="Arial" w:hAnsi="Arial" w:cs="Arial"/>
          <w:b/>
          <w:sz w:val="20"/>
          <w:szCs w:val="20"/>
          <w:lang w:val="en-US"/>
        </w:rPr>
        <w:fldChar w:fldCharType="separate"/>
      </w:r>
      <w:r w:rsidR="00476D71" w:rsidRPr="00476D71">
        <w:rPr>
          <w:rFonts w:ascii="Arial" w:hAnsi="Arial" w:cs="Arial"/>
          <w:b/>
          <w:sz w:val="20"/>
          <w:szCs w:val="20"/>
        </w:rPr>
        <w:t>Sakshi Mathur (2022)</w:t>
      </w:r>
      <w:r w:rsidRPr="00476D71">
        <w:rPr>
          <w:rFonts w:ascii="Arial" w:hAnsi="Arial" w:cs="Arial"/>
          <w:b/>
          <w:sz w:val="20"/>
          <w:szCs w:val="20"/>
          <w:lang w:val="en-US"/>
        </w:rPr>
        <w:fldChar w:fldCharType="end"/>
      </w:r>
      <w:r w:rsidR="00975A58">
        <w:rPr>
          <w:rFonts w:ascii="Arial" w:hAnsi="Arial" w:cs="Arial"/>
          <w:b/>
          <w:sz w:val="20"/>
          <w:szCs w:val="20"/>
          <w:vertAlign w:val="superscript"/>
          <w:lang w:val="en-US"/>
        </w:rPr>
        <w:t>5</w:t>
      </w:r>
      <w:r w:rsidR="00476D71" w:rsidRPr="00476D71">
        <w:rPr>
          <w:rFonts w:ascii="Arial" w:hAnsi="Arial" w:cs="Arial"/>
          <w:b/>
          <w:sz w:val="20"/>
          <w:szCs w:val="20"/>
          <w:vertAlign w:val="superscript"/>
          <w:lang w:val="en-US"/>
        </w:rPr>
        <w:t xml:space="preserve"> </w:t>
      </w:r>
      <w:r w:rsidR="00476D71" w:rsidRPr="00476D71">
        <w:rPr>
          <w:rFonts w:ascii="Arial" w:hAnsi="Arial" w:cs="Arial"/>
          <w:sz w:val="20"/>
          <w:szCs w:val="20"/>
          <w:lang w:val="en-US"/>
        </w:rPr>
        <w:t>explores the evolution of non-performing assets (NPAs) in Indian banks, particularly in the context of economic liberalization post-1991. This study highlights how reforms like asset classification norms, provisioning standards, and initiatives such as Mudra loans have influenced NPA trends. Several studies cited indicate that rising NPAs have adversely affected liquidity, profitability, and financial stability. The review also emphasizes the role of political interference, economic downturns, and poor credit risk management in escalating NPAs, especially in public sector banks. This study sets the foundation for examining how policy shifts and governance reforms have impacted asset quality across time periods.</w:t>
      </w:r>
    </w:p>
    <w:p w:rsidR="00476D71" w:rsidRDefault="001C3F05" w:rsidP="00476D71">
      <w:pPr>
        <w:spacing w:line="360" w:lineRule="auto"/>
        <w:jc w:val="both"/>
        <w:rPr>
          <w:rFonts w:ascii="Arial" w:hAnsi="Arial" w:cs="Arial"/>
          <w:sz w:val="20"/>
          <w:szCs w:val="20"/>
        </w:rPr>
      </w:pPr>
      <w:r w:rsidRPr="00476D71">
        <w:rPr>
          <w:rFonts w:ascii="Arial" w:hAnsi="Arial" w:cs="Arial"/>
          <w:b/>
          <w:sz w:val="20"/>
          <w:szCs w:val="20"/>
        </w:rPr>
        <w:fldChar w:fldCharType="begin"/>
      </w:r>
      <w:r w:rsidR="00476D71" w:rsidRPr="00476D71">
        <w:rPr>
          <w:rFonts w:ascii="Arial" w:hAnsi="Arial" w:cs="Arial"/>
          <w:b/>
          <w:sz w:val="20"/>
          <w:szCs w:val="20"/>
        </w:rPr>
        <w:instrText xml:space="preserve"> ADDIN ZOTERO_ITEM CSL_CITATION {"citationID":"wymmVkwC","properties":{"formattedCitation":"(Dr Urmila Bharti et al., 2022)","plainCitation":"(Dr Urmila Bharti et al., 2022)","noteIndex":0},"citationItems":[{"id":549,"uris":["http://zotero.org/users/10858153/items/GDQIN7LK"],"itemData":{"id":549,"type":"article-journal","abstract":"The present study aims at analyzing the NPA’s of Scheduled Commercial Banks. It is a descriptive study based on analytical research design and secondary data. This study is based on facts and figures of nationalized banks in India for a period of 10 years from 2008-09 to 2017-18. In this paper, an attempt has been made to study the level of NPAs and its effect on the performance of different banking groups viz. public sector banks, private sector banks and foreign banks. The level of NPAs depend upon the number of defaulters so banks has to be very vigilant in identifying these defaulters. It will help the banks to reduce the incidences as well as the level of NPAs. Government along with regulators are required to initiate innovative and stringent policies in this regard.","container-title":"Indian Journal of Business Administration","issue":"1","journalAbbreviation":"IJBA","language":"en","page":"110-123","source":"Zotero","title":"Non-Performing Assets of Commercial Banks: A Trend Analysis","volume":"15","author":[{"family":"Dr Urmila Bharti","given":""},{"family":"Dr Surender Singh","given":""},{"family":"Dr Rakesh Kumar","given":""}],"issued":{"date-parts":[["2022"]]}}}],"schema":"https://github.com/citation-style-language/schema/raw/master/csl-citation.json"} </w:instrText>
      </w:r>
      <w:r w:rsidRPr="00476D71">
        <w:rPr>
          <w:rFonts w:ascii="Arial" w:hAnsi="Arial" w:cs="Arial"/>
          <w:b/>
          <w:sz w:val="20"/>
          <w:szCs w:val="20"/>
        </w:rPr>
        <w:fldChar w:fldCharType="separate"/>
      </w:r>
      <w:r w:rsidR="00476D71" w:rsidRPr="00476D71">
        <w:rPr>
          <w:rFonts w:ascii="Arial" w:hAnsi="Arial" w:cs="Arial"/>
          <w:b/>
          <w:sz w:val="20"/>
          <w:szCs w:val="20"/>
        </w:rPr>
        <w:t>Dr Urmila Bharti et al., (2022)</w:t>
      </w:r>
      <w:r w:rsidRPr="00476D71">
        <w:rPr>
          <w:rFonts w:ascii="Arial" w:hAnsi="Arial" w:cs="Arial"/>
          <w:b/>
          <w:sz w:val="20"/>
          <w:szCs w:val="20"/>
        </w:rPr>
        <w:fldChar w:fldCharType="end"/>
      </w:r>
      <w:r w:rsidR="00975A58">
        <w:rPr>
          <w:rFonts w:ascii="Arial" w:hAnsi="Arial" w:cs="Arial"/>
          <w:b/>
          <w:sz w:val="20"/>
          <w:szCs w:val="20"/>
          <w:vertAlign w:val="superscript"/>
        </w:rPr>
        <w:t>6</w:t>
      </w:r>
      <w:r w:rsidR="00476D71" w:rsidRPr="00476D71">
        <w:rPr>
          <w:rFonts w:ascii="Arial" w:hAnsi="Arial" w:cs="Arial"/>
          <w:b/>
          <w:sz w:val="20"/>
          <w:szCs w:val="20"/>
          <w:vertAlign w:val="superscript"/>
        </w:rPr>
        <w:t xml:space="preserve"> </w:t>
      </w:r>
      <w:r w:rsidR="00476D71" w:rsidRPr="00476D71">
        <w:rPr>
          <w:rFonts w:ascii="Arial" w:hAnsi="Arial" w:cs="Arial"/>
          <w:sz w:val="20"/>
          <w:szCs w:val="20"/>
        </w:rPr>
        <w:t xml:space="preserve">illustrates the decline in profitability due to the rise in non-performing assets (NPAs). Despite Indian banks making commendable efforts to meet global challenges, they continue to face difficulties in ensuring all assets remain productive. While the Government of India and banking regulators exercise close oversight, various factors have led to the failure of some assets to generate returns, ultimately turning into bad debts or NPAs. This </w:t>
      </w:r>
      <w:r w:rsidR="00476D71" w:rsidRPr="00476D71">
        <w:rPr>
          <w:rFonts w:ascii="Arial" w:hAnsi="Arial" w:cs="Arial"/>
          <w:sz w:val="20"/>
          <w:szCs w:val="20"/>
        </w:rPr>
        <w:lastRenderedPageBreak/>
        <w:t>descriptive, analytical study examines NPAs in Scheduled Commercial Banks using secondary data from 2008-09 to 2017-18. This study assesses the impact of NPAs on the performance of public, private, and foreign banks. This study emphasizes the importance of early detection of defaulters and calls for stricter, innovative policies by both the government and regulators to mitigate NPA levels.</w:t>
      </w:r>
    </w:p>
    <w:p w:rsidR="00422A2F" w:rsidRPr="00422A2F" w:rsidRDefault="00422A2F" w:rsidP="00422A2F">
      <w:pPr>
        <w:spacing w:line="360" w:lineRule="auto"/>
        <w:jc w:val="both"/>
        <w:rPr>
          <w:rFonts w:ascii="Arial" w:hAnsi="Arial" w:cs="Arial"/>
          <w:sz w:val="20"/>
          <w:szCs w:val="20"/>
        </w:rPr>
      </w:pPr>
      <w:r w:rsidRPr="00422A2F">
        <w:rPr>
          <w:rFonts w:ascii="Arial" w:hAnsi="Arial" w:cs="Arial"/>
          <w:b/>
          <w:sz w:val="20"/>
          <w:szCs w:val="20"/>
        </w:rPr>
        <w:t>Batra, V and Batra, N (2020)</w:t>
      </w:r>
      <w:r w:rsidRPr="00422A2F">
        <w:rPr>
          <w:rFonts w:ascii="Arial" w:hAnsi="Arial" w:cs="Arial"/>
          <w:b/>
          <w:sz w:val="20"/>
          <w:szCs w:val="20"/>
          <w:vertAlign w:val="superscript"/>
        </w:rPr>
        <w:t>7</w:t>
      </w:r>
      <w:r>
        <w:rPr>
          <w:rFonts w:ascii="Arial" w:hAnsi="Arial" w:cs="Arial"/>
          <w:sz w:val="20"/>
          <w:szCs w:val="20"/>
        </w:rPr>
        <w:t xml:space="preserve"> investigates</w:t>
      </w:r>
      <w:r w:rsidRPr="00422A2F">
        <w:rPr>
          <w:rFonts w:ascii="Arial" w:hAnsi="Arial" w:cs="Arial"/>
          <w:sz w:val="20"/>
          <w:szCs w:val="20"/>
        </w:rPr>
        <w:t xml:space="preserve"> the trends and differences in non-performing assets (NPAs) across public, private, and foreign banks in India during 2005–2018. Using secondary data and ANOVA analysis, the paper highlighted a sharp rise in NPAs after 2011, with public sector banks showing the highest levels and variability compared to private and foreign banks. Private banks consistently maintained lower NPAs, reflecting stronger efficiency and credit risk management practices. The findings underscore the urgent need for public sector banks to reform organizational structures, adopt private-sector practices, and strengthen credit appraisal mech</w:t>
      </w:r>
      <w:r>
        <w:rPr>
          <w:rFonts w:ascii="Arial" w:hAnsi="Arial" w:cs="Arial"/>
          <w:sz w:val="20"/>
          <w:szCs w:val="20"/>
        </w:rPr>
        <w:t>anisms to mitigate rising NPAs.</w:t>
      </w:r>
    </w:p>
    <w:p w:rsidR="00422A2F" w:rsidRPr="00422A2F" w:rsidRDefault="00422A2F" w:rsidP="00422A2F">
      <w:pPr>
        <w:spacing w:line="360" w:lineRule="auto"/>
        <w:jc w:val="both"/>
        <w:rPr>
          <w:rFonts w:ascii="Arial" w:hAnsi="Arial" w:cs="Arial"/>
          <w:sz w:val="20"/>
          <w:szCs w:val="20"/>
        </w:rPr>
      </w:pPr>
      <w:r w:rsidRPr="00422A2F">
        <w:rPr>
          <w:rFonts w:ascii="Arial" w:hAnsi="Arial" w:cs="Arial"/>
          <w:b/>
          <w:sz w:val="20"/>
          <w:szCs w:val="20"/>
        </w:rPr>
        <w:t>Amit Kumar Singh and Renuka Prasad (2018)</w:t>
      </w:r>
      <w:r>
        <w:rPr>
          <w:rFonts w:ascii="Arial" w:hAnsi="Arial" w:cs="Arial"/>
          <w:b/>
          <w:sz w:val="20"/>
          <w:szCs w:val="20"/>
          <w:vertAlign w:val="superscript"/>
        </w:rPr>
        <w:t>8</w:t>
      </w:r>
      <w:r w:rsidRPr="00422A2F">
        <w:rPr>
          <w:rFonts w:ascii="Arial" w:hAnsi="Arial" w:cs="Arial"/>
          <w:sz w:val="20"/>
          <w:szCs w:val="20"/>
        </w:rPr>
        <w:t xml:space="preserve"> examines the trends of Gross NPAs, advances, and asset quality across public, private, and foreign banks. Using secondary data from RBI, the study highlights that public sector banks faced severe deterioration, with asset quality peaking at 11.2% in 2018. SBI and PNB emerged as major NPA contributors among PSBs, while ICICI and Axis Bank led in private banks. ANOVA results confirmed significant differences in NPAs among bank groups. The paper concludes that preventive monitoring, IBC reforms, and technological interventions are crucial fo</w:t>
      </w:r>
      <w:r>
        <w:rPr>
          <w:rFonts w:ascii="Arial" w:hAnsi="Arial" w:cs="Arial"/>
          <w:sz w:val="20"/>
          <w:szCs w:val="20"/>
        </w:rPr>
        <w:t>r managing NPAs.</w:t>
      </w:r>
    </w:p>
    <w:p w:rsidR="00422A2F" w:rsidRPr="00422A2F" w:rsidRDefault="00422A2F" w:rsidP="00422A2F">
      <w:pPr>
        <w:spacing w:line="360" w:lineRule="auto"/>
        <w:jc w:val="both"/>
        <w:rPr>
          <w:rFonts w:ascii="Arial" w:hAnsi="Arial" w:cs="Arial"/>
          <w:sz w:val="20"/>
          <w:szCs w:val="20"/>
        </w:rPr>
      </w:pPr>
      <w:r w:rsidRPr="00422A2F">
        <w:rPr>
          <w:rFonts w:ascii="Arial" w:hAnsi="Arial" w:cs="Arial"/>
          <w:b/>
          <w:sz w:val="20"/>
          <w:szCs w:val="20"/>
        </w:rPr>
        <w:t>Sengupta, et.al. (2017)</w:t>
      </w:r>
      <w:r>
        <w:rPr>
          <w:rFonts w:ascii="Arial" w:hAnsi="Arial" w:cs="Arial"/>
          <w:b/>
          <w:sz w:val="20"/>
          <w:szCs w:val="20"/>
          <w:vertAlign w:val="superscript"/>
        </w:rPr>
        <w:t>9</w:t>
      </w:r>
      <w:r w:rsidRPr="00422A2F">
        <w:rPr>
          <w:rFonts w:ascii="Arial" w:hAnsi="Arial" w:cs="Arial"/>
          <w:sz w:val="20"/>
          <w:szCs w:val="20"/>
        </w:rPr>
        <w:t xml:space="preserve"> analyze India’s recurrent non-performing asset (NPA) crises </w:t>
      </w:r>
      <w:r>
        <w:rPr>
          <w:rFonts w:ascii="Arial" w:hAnsi="Arial" w:cs="Arial"/>
          <w:sz w:val="20"/>
          <w:szCs w:val="20"/>
        </w:rPr>
        <w:t xml:space="preserve">by comparing two major episodes, </w:t>
      </w:r>
      <w:r w:rsidRPr="00422A2F">
        <w:rPr>
          <w:rFonts w:ascii="Arial" w:hAnsi="Arial" w:cs="Arial"/>
          <w:sz w:val="20"/>
          <w:szCs w:val="20"/>
        </w:rPr>
        <w:t>the late 1990s crisis and the post-2008 crisis. The paper examines macroeconomic and banking conditions, the degree of stress, and policy responses in both periods. Findings reveal that while the 1990s crisis was resolved through economic recovery, the post-2008 crisis is deeper, prolonged, and structurally different due to excessive infrastructure lending, governance weaknesses, and global slowdown. The authors emphasize early recognition, recapitalization, and resolution through mechanisms like the Insolvency and Bankruptcy Code (IBC), alongside governance reforms in public sector banks.</w:t>
      </w:r>
    </w:p>
    <w:p w:rsidR="00476D71" w:rsidRPr="00476D71" w:rsidRDefault="00975A58" w:rsidP="00476D71">
      <w:pPr>
        <w:spacing w:line="360" w:lineRule="auto"/>
        <w:jc w:val="both"/>
        <w:rPr>
          <w:rFonts w:ascii="Arial" w:hAnsi="Arial" w:cs="Arial"/>
          <w:b/>
        </w:rPr>
      </w:pPr>
      <w:r>
        <w:rPr>
          <w:rFonts w:ascii="Arial" w:hAnsi="Arial" w:cs="Arial"/>
          <w:b/>
        </w:rPr>
        <w:t xml:space="preserve">3. </w:t>
      </w:r>
      <w:r w:rsidR="00476D71" w:rsidRPr="00476D71">
        <w:rPr>
          <w:rFonts w:ascii="Arial" w:hAnsi="Arial" w:cs="Arial"/>
          <w:b/>
        </w:rPr>
        <w:t>RESEARCH DESIGN</w:t>
      </w:r>
    </w:p>
    <w:p w:rsidR="00476D71" w:rsidRPr="00476D71" w:rsidRDefault="00975A58" w:rsidP="00476D71">
      <w:pPr>
        <w:spacing w:line="360" w:lineRule="auto"/>
        <w:jc w:val="both"/>
        <w:rPr>
          <w:rFonts w:ascii="Arial" w:hAnsi="Arial" w:cs="Arial"/>
          <w:b/>
          <w:sz w:val="20"/>
          <w:szCs w:val="20"/>
        </w:rPr>
      </w:pPr>
      <w:r>
        <w:rPr>
          <w:rFonts w:ascii="Arial" w:hAnsi="Arial" w:cs="Arial"/>
          <w:b/>
          <w:sz w:val="20"/>
          <w:szCs w:val="20"/>
        </w:rPr>
        <w:t xml:space="preserve">3.1 </w:t>
      </w:r>
      <w:r w:rsidR="00476D71" w:rsidRPr="00476D71">
        <w:rPr>
          <w:rFonts w:ascii="Arial" w:hAnsi="Arial" w:cs="Arial"/>
          <w:b/>
          <w:sz w:val="20"/>
          <w:szCs w:val="20"/>
        </w:rPr>
        <w:t>Objectives of the Study:</w:t>
      </w:r>
    </w:p>
    <w:p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The following are the specific objectives have been set for the present study of Non-Performing Assets in the select public and private sector banks in India.</w:t>
      </w:r>
    </w:p>
    <w:p w:rsidR="00476D71" w:rsidRPr="00476D71" w:rsidRDefault="00476D71" w:rsidP="00476D71">
      <w:pPr>
        <w:numPr>
          <w:ilvl w:val="0"/>
          <w:numId w:val="3"/>
        </w:numPr>
        <w:spacing w:line="360" w:lineRule="auto"/>
        <w:contextualSpacing/>
        <w:jc w:val="both"/>
        <w:rPr>
          <w:rFonts w:ascii="Arial" w:hAnsi="Arial" w:cs="Arial"/>
          <w:sz w:val="20"/>
          <w:szCs w:val="20"/>
        </w:rPr>
      </w:pPr>
      <w:r w:rsidRPr="00476D71">
        <w:rPr>
          <w:rFonts w:ascii="Arial" w:hAnsi="Arial" w:cs="Arial"/>
          <w:sz w:val="20"/>
          <w:szCs w:val="20"/>
        </w:rPr>
        <w:t>To assess the status of the Non-Performing Assets of select public and private sector banks in India.</w:t>
      </w:r>
    </w:p>
    <w:p w:rsidR="00476D71" w:rsidRPr="00476D71" w:rsidRDefault="00476D71" w:rsidP="00476D71">
      <w:pPr>
        <w:numPr>
          <w:ilvl w:val="0"/>
          <w:numId w:val="3"/>
        </w:numPr>
        <w:spacing w:line="360" w:lineRule="auto"/>
        <w:contextualSpacing/>
        <w:jc w:val="both"/>
        <w:rPr>
          <w:rFonts w:ascii="Arial" w:hAnsi="Arial" w:cs="Arial"/>
          <w:sz w:val="20"/>
          <w:szCs w:val="20"/>
        </w:rPr>
      </w:pPr>
      <w:r w:rsidRPr="00476D71">
        <w:rPr>
          <w:rFonts w:ascii="Arial" w:hAnsi="Arial" w:cs="Arial"/>
          <w:sz w:val="20"/>
          <w:szCs w:val="20"/>
        </w:rPr>
        <w:t xml:space="preserve">To analyze the trend of the Non-Performing Assets of select public and private sector banks in India. </w:t>
      </w:r>
    </w:p>
    <w:p w:rsidR="00422A2F" w:rsidRDefault="00422A2F" w:rsidP="00476D71">
      <w:pPr>
        <w:spacing w:line="360" w:lineRule="auto"/>
        <w:contextualSpacing/>
        <w:jc w:val="both"/>
        <w:rPr>
          <w:rFonts w:ascii="Arial" w:hAnsi="Arial" w:cs="Arial"/>
          <w:b/>
        </w:rPr>
      </w:pPr>
    </w:p>
    <w:p w:rsidR="00476D71" w:rsidRPr="00476D71" w:rsidRDefault="00975A58" w:rsidP="00476D71">
      <w:pPr>
        <w:spacing w:line="360" w:lineRule="auto"/>
        <w:contextualSpacing/>
        <w:jc w:val="both"/>
        <w:rPr>
          <w:rFonts w:ascii="Arial" w:hAnsi="Arial" w:cs="Arial"/>
          <w:b/>
        </w:rPr>
      </w:pPr>
      <w:r>
        <w:rPr>
          <w:rFonts w:ascii="Arial" w:hAnsi="Arial" w:cs="Arial"/>
          <w:b/>
        </w:rPr>
        <w:lastRenderedPageBreak/>
        <w:t xml:space="preserve">3.2 </w:t>
      </w:r>
      <w:r w:rsidR="00476D71" w:rsidRPr="00476D71">
        <w:rPr>
          <w:rFonts w:ascii="Arial" w:hAnsi="Arial" w:cs="Arial"/>
          <w:b/>
        </w:rPr>
        <w:t>Methodology:</w:t>
      </w:r>
    </w:p>
    <w:p w:rsidR="00476D71" w:rsidRPr="00476D71" w:rsidRDefault="00476D71" w:rsidP="00476D71">
      <w:pPr>
        <w:spacing w:line="360" w:lineRule="auto"/>
        <w:contextualSpacing/>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This article aims to delve into the Non-Performing Assets of select public and private sector banks in India. Currently, there are 12 Public Sector Banks and 21 Private Sector Banks operating in the country. For the purpose of this article, a total of six banks have been selected to assess their Non-Performing Assets during 2014-15 to 2023-24. The selection was ba</w:t>
      </w:r>
      <w:r w:rsidR="00BC4743">
        <w:rPr>
          <w:rFonts w:ascii="Arial" w:hAnsi="Arial" w:cs="Arial"/>
          <w:sz w:val="20"/>
          <w:szCs w:val="20"/>
        </w:rPr>
        <w:t>sed on</w:t>
      </w:r>
      <w:r w:rsidRPr="00476D71">
        <w:rPr>
          <w:rFonts w:ascii="Arial" w:hAnsi="Arial" w:cs="Arial"/>
          <w:sz w:val="20"/>
          <w:szCs w:val="20"/>
        </w:rPr>
        <w:t xml:space="preserve"> total loan amount disbursed, for which the banks were categorized into public and private. From each category, three banks were chosen using purposive sampling. Selected banks namely State Bank of India, Bank of Baroda, and Punjab National Bank from the Public Sector and HDFC Bank, ICICI Bank, and Axis Bank from the Private Sector. To evaluate financial health of these select banks, statistical tools such as mean, standard deviation, coefficient of variation and ANOVA are employed. The secondary data collected from respec</w:t>
      </w:r>
      <w:r w:rsidR="00975A58">
        <w:rPr>
          <w:rFonts w:ascii="Arial" w:hAnsi="Arial" w:cs="Arial"/>
          <w:sz w:val="20"/>
          <w:szCs w:val="20"/>
        </w:rPr>
        <w:t>tive banks’ annual reports</w:t>
      </w:r>
      <w:r w:rsidRPr="00476D71">
        <w:rPr>
          <w:rFonts w:ascii="Arial" w:hAnsi="Arial" w:cs="Arial"/>
          <w:sz w:val="20"/>
          <w:szCs w:val="20"/>
        </w:rPr>
        <w:t>, various journals, NSE,</w:t>
      </w:r>
      <w:r w:rsidR="00975A58">
        <w:rPr>
          <w:rFonts w:ascii="Arial" w:hAnsi="Arial" w:cs="Arial"/>
          <w:sz w:val="20"/>
          <w:szCs w:val="20"/>
        </w:rPr>
        <w:t xml:space="preserve"> RBI Bulletins</w:t>
      </w:r>
      <w:r w:rsidRPr="00476D71">
        <w:rPr>
          <w:rFonts w:ascii="Arial" w:hAnsi="Arial" w:cs="Arial"/>
          <w:sz w:val="20"/>
          <w:szCs w:val="20"/>
        </w:rPr>
        <w:t xml:space="preserve"> and other relevant sources are used in the present research investigation.</w:t>
      </w:r>
    </w:p>
    <w:p w:rsidR="00476D71" w:rsidRPr="00476D71" w:rsidRDefault="006B7D84" w:rsidP="00476D71">
      <w:pPr>
        <w:spacing w:line="360" w:lineRule="auto"/>
        <w:contextualSpacing/>
        <w:jc w:val="both"/>
        <w:rPr>
          <w:rFonts w:ascii="Arial" w:hAnsi="Arial" w:cs="Arial"/>
          <w:b/>
        </w:rPr>
      </w:pPr>
      <w:r>
        <w:rPr>
          <w:rFonts w:ascii="Arial" w:hAnsi="Arial" w:cs="Arial"/>
          <w:b/>
        </w:rPr>
        <w:t xml:space="preserve">4. </w:t>
      </w:r>
      <w:r w:rsidR="00476D71" w:rsidRPr="00476D71">
        <w:rPr>
          <w:rFonts w:ascii="Arial" w:hAnsi="Arial" w:cs="Arial"/>
          <w:b/>
        </w:rPr>
        <w:t>ANALYSIS AND INTERPRETATION:</w:t>
      </w:r>
    </w:p>
    <w:p w:rsidR="00476D71" w:rsidRPr="00476D71" w:rsidRDefault="006B7D84" w:rsidP="00476D71">
      <w:pPr>
        <w:spacing w:line="360" w:lineRule="auto"/>
        <w:contextualSpacing/>
        <w:jc w:val="both"/>
        <w:rPr>
          <w:rFonts w:ascii="Arial" w:hAnsi="Arial" w:cs="Arial"/>
          <w:b/>
        </w:rPr>
      </w:pPr>
      <w:r>
        <w:rPr>
          <w:rFonts w:ascii="Arial" w:hAnsi="Arial" w:cs="Arial"/>
          <w:b/>
        </w:rPr>
        <w:t xml:space="preserve">4.1 </w:t>
      </w:r>
      <w:r w:rsidR="00476D71" w:rsidRPr="00476D71">
        <w:rPr>
          <w:rFonts w:ascii="Arial" w:hAnsi="Arial" w:cs="Arial"/>
          <w:b/>
        </w:rPr>
        <w:t>Gross NPA Ratio</w:t>
      </w:r>
    </w:p>
    <w:p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Pr="00476D71">
        <w:rPr>
          <w:rFonts w:ascii="Arial" w:hAnsi="Arial" w:cs="Arial"/>
          <w:sz w:val="20"/>
          <w:szCs w:val="20"/>
        </w:rPr>
        <w:t>The Gross NPA to Gross Advances Ratio is a critical indicator of a bank’s asset quality and credit risk exposure. It shows what proportion of a bank’s total loans have become non-performing, i.e., loans where interest or principal repayments are overdue for a specific period (typically 90 days or more). A higher ratio implies that a larger portion of the bank's advances have turned into bad loans, reflecting inefficiencies in credit appraisal or recovery processes. This can adversely affect the bank’s profitability and solvency.</w:t>
      </w:r>
      <w:r w:rsidRPr="00476D71">
        <w:rPr>
          <w:rFonts w:ascii="Arial" w:hAnsi="Arial" w:cs="Arial"/>
          <w:sz w:val="20"/>
          <w:szCs w:val="20"/>
        </w:rPr>
        <w:tab/>
      </w:r>
    </w:p>
    <w:p w:rsidR="00476D71" w:rsidRPr="00476D71" w:rsidRDefault="00476D71" w:rsidP="00476D71">
      <w:pPr>
        <w:spacing w:after="0" w:line="240" w:lineRule="auto"/>
        <w:jc w:val="both"/>
        <w:rPr>
          <w:rFonts w:ascii="Arial" w:hAnsi="Arial" w:cs="Arial"/>
          <w:b/>
          <w:sz w:val="20"/>
          <w:szCs w:val="20"/>
        </w:rPr>
      </w:pPr>
      <w:r w:rsidRPr="00476D71">
        <w:rPr>
          <w:rFonts w:ascii="Arial" w:hAnsi="Arial" w:cs="Arial"/>
          <w:sz w:val="20"/>
          <w:szCs w:val="20"/>
        </w:rPr>
        <w:tab/>
      </w:r>
      <w:r w:rsidRPr="00476D71">
        <w:rPr>
          <w:rFonts w:ascii="Arial" w:hAnsi="Arial" w:cs="Arial"/>
          <w:sz w:val="20"/>
          <w:szCs w:val="20"/>
        </w:rPr>
        <w:tab/>
      </w:r>
      <w:r w:rsidRPr="00476D71">
        <w:rPr>
          <w:rFonts w:ascii="Arial" w:hAnsi="Arial" w:cs="Arial"/>
          <w:sz w:val="20"/>
          <w:szCs w:val="20"/>
        </w:rPr>
        <w:tab/>
      </w:r>
      <w:r w:rsidRPr="00476D71">
        <w:rPr>
          <w:rFonts w:ascii="Arial" w:hAnsi="Arial" w:cs="Arial"/>
          <w:b/>
          <w:sz w:val="20"/>
          <w:szCs w:val="20"/>
        </w:rPr>
        <w:t xml:space="preserve">                                       Gross NPAs</w:t>
      </w:r>
    </w:p>
    <w:p w:rsidR="00476D71" w:rsidRPr="00476D71" w:rsidRDefault="00476D71" w:rsidP="00476D71">
      <w:pPr>
        <w:spacing w:after="0" w:line="240" w:lineRule="auto"/>
        <w:jc w:val="center"/>
        <w:rPr>
          <w:rFonts w:ascii="Arial" w:hAnsi="Arial" w:cs="Arial"/>
          <w:b/>
          <w:sz w:val="20"/>
          <w:szCs w:val="20"/>
        </w:rPr>
      </w:pPr>
      <w:r w:rsidRPr="00476D71">
        <w:rPr>
          <w:rFonts w:ascii="Arial" w:hAnsi="Arial" w:cs="Arial"/>
          <w:b/>
          <w:sz w:val="20"/>
          <w:szCs w:val="20"/>
        </w:rPr>
        <w:t>Gross NPA Ratio = -------------------------- x 100</w:t>
      </w:r>
    </w:p>
    <w:p w:rsidR="00476D71" w:rsidRPr="00476D71" w:rsidRDefault="00476D71" w:rsidP="00476D71">
      <w:pPr>
        <w:spacing w:line="240" w:lineRule="auto"/>
        <w:jc w:val="both"/>
        <w:rPr>
          <w:rFonts w:ascii="Arial" w:hAnsi="Arial" w:cs="Arial"/>
          <w:sz w:val="20"/>
          <w:szCs w:val="20"/>
        </w:rPr>
      </w:pPr>
      <w:r w:rsidRPr="00476D71">
        <w:rPr>
          <w:rFonts w:ascii="Arial" w:hAnsi="Arial" w:cs="Arial"/>
          <w:b/>
          <w:sz w:val="20"/>
          <w:szCs w:val="20"/>
        </w:rPr>
        <w:tab/>
      </w:r>
      <w:r w:rsidRPr="00476D71">
        <w:rPr>
          <w:rFonts w:ascii="Arial" w:hAnsi="Arial" w:cs="Arial"/>
          <w:b/>
          <w:sz w:val="20"/>
          <w:szCs w:val="20"/>
        </w:rPr>
        <w:tab/>
      </w:r>
      <w:r w:rsidRPr="00476D71">
        <w:rPr>
          <w:rFonts w:ascii="Arial" w:hAnsi="Arial" w:cs="Arial"/>
          <w:b/>
          <w:sz w:val="20"/>
          <w:szCs w:val="20"/>
        </w:rPr>
        <w:tab/>
        <w:t xml:space="preserve">                                    Gross Advances</w:t>
      </w:r>
    </w:p>
    <w:p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Table – 1</w:t>
      </w:r>
    </w:p>
    <w:p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Gross NPA Ratio of select banks during 2014-15 to 2023-24.</w:t>
      </w:r>
    </w:p>
    <w:p w:rsidR="00476D71" w:rsidRPr="00476D71" w:rsidRDefault="00476D71" w:rsidP="00476D71">
      <w:pPr>
        <w:spacing w:after="0"/>
        <w:ind w:left="720" w:hanging="720"/>
        <w:jc w:val="right"/>
        <w:rPr>
          <w:rFonts w:ascii="Arial" w:hAnsi="Arial" w:cs="Arial"/>
          <w:sz w:val="20"/>
          <w:szCs w:val="20"/>
          <w:lang w:val="en-US"/>
        </w:rPr>
      </w:pPr>
      <w:r w:rsidRPr="00476D71">
        <w:rPr>
          <w:rFonts w:ascii="Arial" w:hAnsi="Arial" w:cs="Arial"/>
          <w:sz w:val="20"/>
          <w:szCs w:val="20"/>
          <w:lang w:val="en-US"/>
        </w:rPr>
        <w:t>(Percentages)</w:t>
      </w:r>
    </w:p>
    <w:tbl>
      <w:tblPr>
        <w:tblW w:w="5000" w:type="pct"/>
        <w:tblLook w:val="04A0" w:firstRow="1" w:lastRow="0" w:firstColumn="1" w:lastColumn="0" w:noHBand="0" w:noVBand="1"/>
      </w:tblPr>
      <w:tblGrid>
        <w:gridCol w:w="1351"/>
        <w:gridCol w:w="1224"/>
        <w:gridCol w:w="1224"/>
        <w:gridCol w:w="1225"/>
        <w:gridCol w:w="1225"/>
        <w:gridCol w:w="1225"/>
        <w:gridCol w:w="1223"/>
      </w:tblGrid>
      <w:tr w:rsidR="00476D71" w:rsidRPr="00476D71"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Year</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SBI</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BoB</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PNB</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HDFC</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ICICI</w:t>
            </w:r>
          </w:p>
        </w:tc>
        <w:tc>
          <w:tcPr>
            <w:tcW w:w="703"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AXIS</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2014-15</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4.25</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6.55</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0.93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3.78</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1.43</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2015-16</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6.50</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9.99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12.90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0.90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5.21</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1.75</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2016-17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9.11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10.46</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12.53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1.05</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7.89</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5.04</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2017-18</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10.91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12.26</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18.38</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8.84</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6.77</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2018-19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7.53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9.61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15.50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6.70</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5.26</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2019-20</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6.15</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9.40</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14.21</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1.26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5.53</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4.86</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2020-21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4.98</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8.87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14.10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1.32</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4.96</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3.70</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2021-22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3.97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6.61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11.78</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1.17</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3.60</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2.82</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2022-23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2.78</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3.79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8.74</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1.12</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2.81</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2.02</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2023-24</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2.24</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2.92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1.92</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2.16</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1.43</w:t>
            </w:r>
          </w:p>
        </w:tc>
      </w:tr>
      <w:tr w:rsidR="00476D71" w:rsidRPr="00476D71"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t>Mean</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5.84</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7.76</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12.04</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1.23</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5.15</w:t>
            </w:r>
          </w:p>
        </w:tc>
        <w:tc>
          <w:tcPr>
            <w:tcW w:w="703"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3.51</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t>SD</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2.77</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3.28</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3.99</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0.29</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2.17</w:t>
            </w:r>
          </w:p>
        </w:tc>
        <w:tc>
          <w:tcPr>
            <w:tcW w:w="703"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1.90</w:t>
            </w:r>
          </w:p>
        </w:tc>
      </w:tr>
      <w:tr w:rsidR="00476D71" w:rsidRPr="00476D71" w:rsidTr="00422A2F">
        <w:trPr>
          <w:trHeight w:val="340"/>
        </w:trPr>
        <w:tc>
          <w:tcPr>
            <w:tcW w:w="777" w:type="pct"/>
            <w:tcBorders>
              <w:top w:val="single" w:sz="4" w:space="0" w:color="auto"/>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hAnsi="Arial" w:cs="Arial"/>
                <w:b/>
                <w:bCs/>
                <w:color w:val="231F20"/>
                <w:sz w:val="20"/>
                <w:szCs w:val="20"/>
              </w:rPr>
              <w:lastRenderedPageBreak/>
              <w:t>CV</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47.35%</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42.24%</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33.10%</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23.47%</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42.16%</w:t>
            </w:r>
          </w:p>
        </w:tc>
        <w:tc>
          <w:tcPr>
            <w:tcW w:w="703"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b/>
                <w:color w:val="000000"/>
                <w:sz w:val="20"/>
                <w:szCs w:val="20"/>
                <w:lang w:eastAsia="en-IN"/>
              </w:rPr>
            </w:pPr>
            <w:r w:rsidRPr="00476D71">
              <w:rPr>
                <w:rFonts w:ascii="Arial" w:hAnsi="Arial" w:cs="Arial"/>
                <w:b/>
                <w:color w:val="000000"/>
                <w:sz w:val="20"/>
                <w:szCs w:val="20"/>
              </w:rPr>
              <w:t>54.03%</w:t>
            </w:r>
          </w:p>
        </w:tc>
      </w:tr>
    </w:tbl>
    <w:p w:rsidR="00476D71" w:rsidRDefault="00476D71" w:rsidP="00476D71">
      <w:pPr>
        <w:spacing w:line="360" w:lineRule="auto"/>
        <w:jc w:val="both"/>
        <w:rPr>
          <w:rFonts w:ascii="Arial" w:hAnsi="Arial" w:cs="Arial"/>
          <w:sz w:val="20"/>
          <w:szCs w:val="20"/>
        </w:rPr>
      </w:pPr>
      <w:r w:rsidRPr="00476D71">
        <w:rPr>
          <w:rFonts w:ascii="Arial" w:hAnsi="Arial" w:cs="Arial"/>
          <w:sz w:val="20"/>
          <w:szCs w:val="20"/>
        </w:rPr>
        <w:t>Source: Compiled from Annual Reports.</w:t>
      </w:r>
    </w:p>
    <w:p w:rsidR="00975A58" w:rsidRPr="00975A58" w:rsidRDefault="00975A58" w:rsidP="00975A58">
      <w:pPr>
        <w:spacing w:after="0" w:line="276" w:lineRule="auto"/>
        <w:jc w:val="center"/>
        <w:rPr>
          <w:rFonts w:ascii="Arial" w:hAnsi="Arial" w:cs="Arial"/>
          <w:b/>
          <w:sz w:val="20"/>
          <w:szCs w:val="20"/>
        </w:rPr>
      </w:pPr>
      <w:r w:rsidRPr="00975A58">
        <w:rPr>
          <w:rFonts w:ascii="Arial" w:hAnsi="Arial" w:cs="Arial"/>
          <w:b/>
          <w:sz w:val="20"/>
          <w:szCs w:val="20"/>
        </w:rPr>
        <w:t xml:space="preserve">Figure </w:t>
      </w:r>
      <w:r w:rsidR="001922E2">
        <w:rPr>
          <w:rFonts w:ascii="Arial" w:hAnsi="Arial" w:cs="Arial"/>
          <w:b/>
          <w:sz w:val="20"/>
          <w:szCs w:val="20"/>
        </w:rPr>
        <w:t>2</w:t>
      </w:r>
      <w:r w:rsidRPr="00975A58">
        <w:rPr>
          <w:rFonts w:ascii="Arial" w:hAnsi="Arial" w:cs="Arial"/>
          <w:b/>
          <w:sz w:val="20"/>
          <w:szCs w:val="20"/>
        </w:rPr>
        <w:t xml:space="preserve"> Gross NPA Ratio of select banks during the study period.</w:t>
      </w:r>
    </w:p>
    <w:p w:rsidR="00476D71" w:rsidRPr="00476D71" w:rsidRDefault="00476D71" w:rsidP="00476D71">
      <w:pPr>
        <w:spacing w:line="360" w:lineRule="auto"/>
        <w:jc w:val="both"/>
        <w:rPr>
          <w:rFonts w:ascii="Times New Roman" w:hAnsi="Times New Roman" w:cs="Times New Roman"/>
          <w:sz w:val="24"/>
          <w:szCs w:val="24"/>
        </w:rPr>
      </w:pPr>
      <w:r w:rsidRPr="00476D71">
        <w:rPr>
          <w:noProof/>
          <w:lang w:eastAsia="en-IN"/>
        </w:rPr>
        <w:drawing>
          <wp:inline distT="0" distB="0" distL="0" distR="0">
            <wp:extent cx="5684520" cy="3093720"/>
            <wp:effectExtent l="19050" t="1905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6D71" w:rsidRPr="00476D71" w:rsidRDefault="00476D71" w:rsidP="00476D71">
      <w:pPr>
        <w:spacing w:line="360" w:lineRule="auto"/>
        <w:jc w:val="both"/>
        <w:rPr>
          <w:rFonts w:ascii="Arial" w:hAnsi="Arial" w:cs="Arial"/>
          <w:sz w:val="20"/>
          <w:szCs w:val="20"/>
        </w:rPr>
      </w:pPr>
      <w:r w:rsidRPr="00476D71">
        <w:rPr>
          <w:rFonts w:ascii="Times New Roman" w:hAnsi="Times New Roman" w:cs="Times New Roman"/>
          <w:sz w:val="24"/>
          <w:szCs w:val="24"/>
        </w:rPr>
        <w:tab/>
      </w:r>
      <w:r w:rsidR="00975A58">
        <w:rPr>
          <w:rFonts w:ascii="Arial" w:hAnsi="Arial" w:cs="Arial"/>
          <w:sz w:val="20"/>
          <w:szCs w:val="20"/>
        </w:rPr>
        <w:t>Table 1 depicts</w:t>
      </w:r>
      <w:r w:rsidRPr="00476D71">
        <w:rPr>
          <w:rFonts w:ascii="Arial" w:hAnsi="Arial" w:cs="Arial"/>
          <w:sz w:val="20"/>
          <w:szCs w:val="20"/>
        </w:rPr>
        <w:t xml:space="preserve"> the Gross Non-Performing Assets (</w:t>
      </w:r>
      <w:r w:rsidR="00975A58">
        <w:rPr>
          <w:rFonts w:ascii="Arial" w:hAnsi="Arial" w:cs="Arial"/>
          <w:sz w:val="20"/>
          <w:szCs w:val="20"/>
        </w:rPr>
        <w:t>G</w:t>
      </w:r>
      <w:r w:rsidRPr="00476D71">
        <w:rPr>
          <w:rFonts w:ascii="Arial" w:hAnsi="Arial" w:cs="Arial"/>
          <w:sz w:val="20"/>
          <w:szCs w:val="20"/>
        </w:rPr>
        <w:t xml:space="preserve">NPAs) as a </w:t>
      </w:r>
      <w:r w:rsidR="00975A58">
        <w:rPr>
          <w:rFonts w:ascii="Arial" w:hAnsi="Arial" w:cs="Arial"/>
          <w:sz w:val="20"/>
          <w:szCs w:val="20"/>
        </w:rPr>
        <w:t>percentage of Gross Advances of select</w:t>
      </w:r>
      <w:r w:rsidRPr="00476D71">
        <w:rPr>
          <w:rFonts w:ascii="Arial" w:hAnsi="Arial" w:cs="Arial"/>
          <w:sz w:val="20"/>
          <w:szCs w:val="20"/>
        </w:rPr>
        <w:t xml:space="preserve"> public and private sector banks over a decade. The GNPA to GADV</w:t>
      </w:r>
      <w:r w:rsidR="00975A58">
        <w:rPr>
          <w:rFonts w:ascii="Arial" w:hAnsi="Arial" w:cs="Arial"/>
          <w:sz w:val="20"/>
          <w:szCs w:val="20"/>
        </w:rPr>
        <w:t xml:space="preserve"> ratio for SBI ranged from 2.24 per cent to 10.91 per cent, averaging 5.84 per cent</w:t>
      </w:r>
      <w:r w:rsidRPr="00476D71">
        <w:rPr>
          <w:rFonts w:ascii="Arial" w:hAnsi="Arial" w:cs="Arial"/>
          <w:sz w:val="20"/>
          <w:szCs w:val="20"/>
        </w:rPr>
        <w:t xml:space="preserve"> throughout the study period. This ratio showed an upward trend from 2014-15 to 2017-18, followed by a downward trend from 2017-18 to 2023-24. Bank of Baroda's GNPA to</w:t>
      </w:r>
      <w:r w:rsidR="00975A58">
        <w:rPr>
          <w:rFonts w:ascii="Arial" w:hAnsi="Arial" w:cs="Arial"/>
          <w:sz w:val="20"/>
          <w:szCs w:val="20"/>
        </w:rPr>
        <w:t xml:space="preserve"> GADV ratio varied between 2.92 per cent and 12.26 per cent, with an average of 7.76 per cent. PNB's ratio spanned from 5.73 per cent</w:t>
      </w:r>
      <w:r w:rsidRPr="00476D71">
        <w:rPr>
          <w:rFonts w:ascii="Arial" w:hAnsi="Arial" w:cs="Arial"/>
          <w:sz w:val="20"/>
          <w:szCs w:val="20"/>
        </w:rPr>
        <w:t xml:space="preserve"> to </w:t>
      </w:r>
      <w:r w:rsidR="00975A58">
        <w:rPr>
          <w:rFonts w:ascii="Arial" w:hAnsi="Arial" w:cs="Arial"/>
          <w:sz w:val="20"/>
          <w:szCs w:val="20"/>
        </w:rPr>
        <w:t>18.38%, averaging 12.04 per cent</w:t>
      </w:r>
      <w:r w:rsidRPr="00476D71">
        <w:rPr>
          <w:rFonts w:ascii="Arial" w:hAnsi="Arial" w:cs="Arial"/>
          <w:sz w:val="20"/>
          <w:szCs w:val="20"/>
        </w:rPr>
        <w:t xml:space="preserve">. HDFC's ratio remained relatively stable, with slight </w:t>
      </w:r>
      <w:r w:rsidR="00975A58">
        <w:rPr>
          <w:rFonts w:ascii="Arial" w:hAnsi="Arial" w:cs="Arial"/>
          <w:sz w:val="20"/>
          <w:szCs w:val="20"/>
        </w:rPr>
        <w:t>variations from 0.90 per cent in 2015-16 to 1.92 per cent in 2023-24, averaging 1.23 per cent</w:t>
      </w:r>
      <w:r w:rsidRPr="00476D71">
        <w:rPr>
          <w:rFonts w:ascii="Arial" w:hAnsi="Arial" w:cs="Arial"/>
          <w:sz w:val="20"/>
          <w:szCs w:val="20"/>
        </w:rPr>
        <w:t xml:space="preserve">. HDFC Bank's Gross NPA to Gross Advances ratio increased from 2014-15 to 2018-19, then began to decline from 2018-19 to 2023-24. ICICI Bank's ratio showed significant </w:t>
      </w:r>
      <w:r w:rsidR="00975A58">
        <w:rPr>
          <w:rFonts w:ascii="Arial" w:hAnsi="Arial" w:cs="Arial"/>
          <w:sz w:val="20"/>
          <w:szCs w:val="20"/>
        </w:rPr>
        <w:t>fluctuations, ranging from 2.16 per cent to 8.84 per cent, with a mean of 5.15 per cent</w:t>
      </w:r>
      <w:r w:rsidRPr="00476D71">
        <w:rPr>
          <w:rFonts w:ascii="Arial" w:hAnsi="Arial" w:cs="Arial"/>
          <w:sz w:val="20"/>
          <w:szCs w:val="20"/>
        </w:rPr>
        <w:t>. Axis Bank's GNPA</w:t>
      </w:r>
      <w:r w:rsidR="00975A58">
        <w:rPr>
          <w:rFonts w:ascii="Arial" w:hAnsi="Arial" w:cs="Arial"/>
          <w:sz w:val="20"/>
          <w:szCs w:val="20"/>
        </w:rPr>
        <w:t xml:space="preserve"> to GADV ratio ranged from 1.43 per cent to 6.77 per cent, averaging 3.51 per cent</w:t>
      </w:r>
      <w:r w:rsidRPr="00476D71">
        <w:rPr>
          <w:rFonts w:ascii="Arial" w:hAnsi="Arial" w:cs="Arial"/>
          <w:sz w:val="20"/>
          <w:szCs w:val="20"/>
        </w:rPr>
        <w:t xml:space="preserve"> over the study period, with an upward trend from 2014-15 to 2017-18, followed by a downward trend.</w:t>
      </w:r>
    </w:p>
    <w:p w:rsidR="00476D71" w:rsidRPr="00476D71" w:rsidRDefault="00476D71" w:rsidP="00476D71">
      <w:pPr>
        <w:spacing w:line="360" w:lineRule="auto"/>
        <w:jc w:val="both"/>
        <w:rPr>
          <w:rFonts w:ascii="Arial" w:hAnsi="Arial" w:cs="Arial"/>
          <w:b/>
          <w:sz w:val="20"/>
          <w:szCs w:val="20"/>
        </w:rPr>
      </w:pPr>
      <w:r w:rsidRPr="00476D71">
        <w:rPr>
          <w:rFonts w:ascii="Arial" w:hAnsi="Arial" w:cs="Arial"/>
          <w:b/>
          <w:sz w:val="20"/>
          <w:szCs w:val="20"/>
        </w:rPr>
        <w:t>Hypothesis Testing</w:t>
      </w:r>
    </w:p>
    <w:p w:rsidR="00476D71" w:rsidRPr="00476D71" w:rsidRDefault="00476D71" w:rsidP="00476D71">
      <w:pPr>
        <w:spacing w:line="360" w:lineRule="auto"/>
        <w:jc w:val="both"/>
        <w:rPr>
          <w:rFonts w:ascii="Arial" w:hAnsi="Arial" w:cs="Arial"/>
          <w:sz w:val="20"/>
          <w:szCs w:val="20"/>
        </w:rPr>
      </w:pPr>
      <w:r w:rsidRPr="00476D71">
        <w:rPr>
          <w:rFonts w:ascii="Arial" w:hAnsi="Arial" w:cs="Arial"/>
          <w:sz w:val="20"/>
          <w:szCs w:val="20"/>
        </w:rPr>
        <w:t>H</w:t>
      </w:r>
      <w:r w:rsidRPr="00476D71">
        <w:rPr>
          <w:rFonts w:ascii="Arial" w:hAnsi="Arial" w:cs="Arial"/>
          <w:sz w:val="20"/>
          <w:szCs w:val="20"/>
          <w:vertAlign w:val="subscript"/>
        </w:rPr>
        <w:t>0</w:t>
      </w:r>
      <w:r w:rsidRPr="00476D71">
        <w:rPr>
          <w:rFonts w:ascii="Arial" w:hAnsi="Arial" w:cs="Arial"/>
          <w:sz w:val="20"/>
          <w:szCs w:val="20"/>
        </w:rPr>
        <w:t xml:space="preserve">: There is no significant difference in the Gross NPA Ratio among the select public and private </w:t>
      </w:r>
      <w:r w:rsidR="00BC4743">
        <w:rPr>
          <w:rFonts w:ascii="Arial" w:hAnsi="Arial" w:cs="Arial"/>
          <w:sz w:val="20"/>
          <w:szCs w:val="20"/>
        </w:rPr>
        <w:br/>
        <w:t xml:space="preserve">      </w:t>
      </w:r>
      <w:r w:rsidRPr="00476D71">
        <w:rPr>
          <w:rFonts w:ascii="Arial" w:hAnsi="Arial" w:cs="Arial"/>
          <w:sz w:val="20"/>
          <w:szCs w:val="20"/>
        </w:rPr>
        <w:t>sector</w:t>
      </w:r>
      <w:r w:rsidR="00BC4743">
        <w:rPr>
          <w:rFonts w:ascii="Arial" w:hAnsi="Arial" w:cs="Arial"/>
          <w:sz w:val="20"/>
          <w:szCs w:val="20"/>
        </w:rPr>
        <w:t xml:space="preserve"> </w:t>
      </w:r>
      <w:r w:rsidRPr="00476D71">
        <w:rPr>
          <w:rFonts w:ascii="Arial" w:hAnsi="Arial" w:cs="Arial"/>
          <w:sz w:val="20"/>
          <w:szCs w:val="20"/>
        </w:rPr>
        <w:t>banks in India.</w:t>
      </w:r>
    </w:p>
    <w:p w:rsidR="00422A2F" w:rsidRDefault="00422A2F" w:rsidP="003A5DA5">
      <w:pPr>
        <w:spacing w:after="0" w:line="360" w:lineRule="auto"/>
        <w:jc w:val="center"/>
        <w:rPr>
          <w:rFonts w:ascii="Arial" w:hAnsi="Arial" w:cs="Arial"/>
          <w:b/>
          <w:sz w:val="20"/>
          <w:szCs w:val="20"/>
        </w:rPr>
      </w:pPr>
    </w:p>
    <w:p w:rsidR="00422A2F" w:rsidRDefault="00422A2F" w:rsidP="003A5DA5">
      <w:pPr>
        <w:spacing w:after="0" w:line="360" w:lineRule="auto"/>
        <w:jc w:val="center"/>
        <w:rPr>
          <w:rFonts w:ascii="Arial" w:hAnsi="Arial" w:cs="Arial"/>
          <w:b/>
          <w:sz w:val="20"/>
          <w:szCs w:val="20"/>
        </w:rPr>
      </w:pPr>
    </w:p>
    <w:p w:rsidR="00422A2F" w:rsidRDefault="00422A2F" w:rsidP="003A5DA5">
      <w:pPr>
        <w:spacing w:after="0" w:line="360" w:lineRule="auto"/>
        <w:jc w:val="center"/>
        <w:rPr>
          <w:rFonts w:ascii="Arial" w:hAnsi="Arial" w:cs="Arial"/>
          <w:b/>
          <w:sz w:val="20"/>
          <w:szCs w:val="20"/>
        </w:rPr>
      </w:pPr>
    </w:p>
    <w:p w:rsidR="00422A2F" w:rsidRDefault="00422A2F" w:rsidP="003A5DA5">
      <w:pPr>
        <w:spacing w:after="0" w:line="360" w:lineRule="auto"/>
        <w:jc w:val="center"/>
        <w:rPr>
          <w:rFonts w:ascii="Arial" w:hAnsi="Arial" w:cs="Arial"/>
          <w:b/>
          <w:sz w:val="20"/>
          <w:szCs w:val="20"/>
        </w:rPr>
      </w:pPr>
    </w:p>
    <w:p w:rsidR="00476D71" w:rsidRPr="00476D71" w:rsidRDefault="00476D71" w:rsidP="003A5DA5">
      <w:pPr>
        <w:spacing w:after="0" w:line="360" w:lineRule="auto"/>
        <w:jc w:val="center"/>
        <w:rPr>
          <w:rFonts w:ascii="Arial" w:hAnsi="Arial" w:cs="Arial"/>
          <w:b/>
          <w:sz w:val="20"/>
          <w:szCs w:val="20"/>
        </w:rPr>
      </w:pPr>
      <w:r w:rsidRPr="00476D71">
        <w:rPr>
          <w:rFonts w:ascii="Arial" w:hAnsi="Arial" w:cs="Arial"/>
          <w:b/>
          <w:sz w:val="20"/>
          <w:szCs w:val="20"/>
        </w:rPr>
        <w:lastRenderedPageBreak/>
        <w:t xml:space="preserve">Table </w:t>
      </w:r>
      <w:r w:rsidR="001922E2">
        <w:rPr>
          <w:rFonts w:ascii="Arial" w:hAnsi="Arial" w:cs="Arial"/>
          <w:b/>
          <w:sz w:val="20"/>
          <w:szCs w:val="20"/>
        </w:rPr>
        <w:t>2</w:t>
      </w:r>
      <w:r w:rsidRPr="00476D71">
        <w:rPr>
          <w:rFonts w:ascii="Arial" w:hAnsi="Arial" w:cs="Arial"/>
          <w:b/>
          <w:sz w:val="20"/>
          <w:szCs w:val="20"/>
        </w:rPr>
        <w:t xml:space="preserve"> ANOVA – Gross NPA Ratio</w:t>
      </w:r>
    </w:p>
    <w:tbl>
      <w:tblPr>
        <w:tblW w:w="5000" w:type="pct"/>
        <w:tblLook w:val="0000" w:firstRow="0" w:lastRow="0" w:firstColumn="0" w:lastColumn="0" w:noHBand="0" w:noVBand="0"/>
      </w:tblPr>
      <w:tblGrid>
        <w:gridCol w:w="2079"/>
        <w:gridCol w:w="939"/>
        <w:gridCol w:w="907"/>
        <w:gridCol w:w="909"/>
        <w:gridCol w:w="908"/>
        <w:gridCol w:w="912"/>
        <w:gridCol w:w="904"/>
        <w:gridCol w:w="1139"/>
      </w:tblGrid>
      <w:tr w:rsidR="00476D71" w:rsidRPr="00476D71" w:rsidTr="00975A58">
        <w:trPr>
          <w:trHeight w:val="338"/>
        </w:trPr>
        <w:tc>
          <w:tcPr>
            <w:tcW w:w="1203"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Source of Variation</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SS</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df</w:t>
            </w:r>
          </w:p>
        </w:tc>
        <w:tc>
          <w:tcPr>
            <w:tcW w:w="530"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MS</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P-value</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 crit</w:t>
            </w:r>
          </w:p>
        </w:tc>
        <w:tc>
          <w:tcPr>
            <w:tcW w:w="622"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Result</w:t>
            </w:r>
          </w:p>
        </w:tc>
      </w:tr>
      <w:tr w:rsidR="00476D71" w:rsidRPr="00476D71" w:rsidTr="00975A58">
        <w:trPr>
          <w:trHeight w:val="326"/>
        </w:trPr>
        <w:tc>
          <w:tcPr>
            <w:tcW w:w="1203" w:type="pct"/>
            <w:tcBorders>
              <w:top w:val="nil"/>
              <w:left w:val="nil"/>
              <w:bottom w:val="nil"/>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Between Groups</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692.60</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w:t>
            </w:r>
          </w:p>
        </w:tc>
        <w:tc>
          <w:tcPr>
            <w:tcW w:w="530"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138.52</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19.472</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&lt;0.001*</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2.386</w:t>
            </w:r>
          </w:p>
        </w:tc>
        <w:tc>
          <w:tcPr>
            <w:tcW w:w="622" w:type="pct"/>
            <w:tcBorders>
              <w:top w:val="nil"/>
              <w:left w:val="nil"/>
              <w:bottom w:val="nil"/>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Significant</w:t>
            </w:r>
          </w:p>
        </w:tc>
      </w:tr>
      <w:tr w:rsidR="00476D71" w:rsidRPr="00476D71" w:rsidTr="00975A58">
        <w:trPr>
          <w:trHeight w:val="326"/>
        </w:trPr>
        <w:tc>
          <w:tcPr>
            <w:tcW w:w="1203"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Within Groups</w:t>
            </w:r>
          </w:p>
        </w:tc>
        <w:tc>
          <w:tcPr>
            <w:tcW w:w="529"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384.15</w:t>
            </w:r>
          </w:p>
        </w:tc>
        <w:tc>
          <w:tcPr>
            <w:tcW w:w="529"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54</w:t>
            </w:r>
          </w:p>
        </w:tc>
        <w:tc>
          <w:tcPr>
            <w:tcW w:w="530"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7.11</w:t>
            </w:r>
          </w:p>
        </w:tc>
        <w:tc>
          <w:tcPr>
            <w:tcW w:w="529"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r w:rsidR="00476D71" w:rsidRPr="00476D71" w:rsidTr="00975A58">
        <w:trPr>
          <w:trHeight w:val="338"/>
        </w:trPr>
        <w:tc>
          <w:tcPr>
            <w:tcW w:w="1203"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Total</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1076.75</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59</w:t>
            </w:r>
          </w:p>
        </w:tc>
        <w:tc>
          <w:tcPr>
            <w:tcW w:w="530"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bl>
    <w:p w:rsidR="00476D71" w:rsidRPr="00476D71" w:rsidRDefault="00476D71" w:rsidP="00476D71">
      <w:pPr>
        <w:spacing w:line="360" w:lineRule="auto"/>
        <w:ind w:hanging="11"/>
        <w:rPr>
          <w:rFonts w:ascii="Arial" w:hAnsi="Arial" w:cs="Arial"/>
          <w:sz w:val="20"/>
          <w:szCs w:val="20"/>
          <w:lang w:val="en-US"/>
        </w:rPr>
      </w:pPr>
      <w:r w:rsidRPr="00476D71">
        <w:rPr>
          <w:rFonts w:ascii="Arial" w:hAnsi="Arial" w:cs="Arial"/>
          <w:b/>
          <w:sz w:val="20"/>
          <w:szCs w:val="20"/>
          <w:lang w:val="en-US"/>
        </w:rPr>
        <w:t xml:space="preserve">* </w:t>
      </w:r>
      <w:r w:rsidRPr="00476D71">
        <w:rPr>
          <w:rFonts w:ascii="Arial" w:hAnsi="Arial" w:cs="Arial"/>
          <w:sz w:val="20"/>
          <w:szCs w:val="20"/>
          <w:lang w:val="en-US"/>
        </w:rPr>
        <w:t>Significant at 5% Level.</w:t>
      </w:r>
    </w:p>
    <w:p w:rsidR="00476D71" w:rsidRPr="00476D71" w:rsidRDefault="00476D71" w:rsidP="00476D71">
      <w:pPr>
        <w:spacing w:line="360" w:lineRule="auto"/>
        <w:jc w:val="both"/>
        <w:rPr>
          <w:rFonts w:ascii="Arial" w:hAnsi="Arial" w:cs="Arial"/>
          <w:sz w:val="20"/>
          <w:szCs w:val="20"/>
          <w:lang w:val="en-US"/>
        </w:rPr>
      </w:pPr>
      <w:r w:rsidRPr="00476D71">
        <w:rPr>
          <w:rFonts w:ascii="Times New Roman" w:hAnsi="Times New Roman" w:cs="Times New Roman"/>
          <w:sz w:val="24"/>
          <w:szCs w:val="28"/>
          <w:lang w:val="en-US"/>
        </w:rPr>
        <w:tab/>
      </w:r>
      <w:r w:rsidRPr="00476D71">
        <w:rPr>
          <w:rFonts w:ascii="Arial" w:hAnsi="Arial" w:cs="Arial"/>
          <w:sz w:val="20"/>
          <w:szCs w:val="20"/>
          <w:lang w:val="en-US"/>
        </w:rPr>
        <w:t>Table 2 presents the ANOVA test results for the differences in Gross NPA ratio among the selected sample banks. The calculated F-value is 19.472, which exceeds the critical F-value of 2.386 at the 5% level of significance. Additionally, the P-value is less than 0.05. Therefore, the null hypothesis is rejected. This indicates that there is a significant difference in the Gross NPA ratio among the sample banks of the study.</w:t>
      </w:r>
    </w:p>
    <w:p w:rsidR="00476D71" w:rsidRPr="00476D71" w:rsidRDefault="006B7D84" w:rsidP="00476D71">
      <w:pPr>
        <w:spacing w:line="360" w:lineRule="auto"/>
        <w:jc w:val="both"/>
        <w:rPr>
          <w:rFonts w:ascii="Arial" w:hAnsi="Arial" w:cs="Arial"/>
          <w:b/>
          <w:sz w:val="20"/>
          <w:szCs w:val="20"/>
          <w:lang w:val="en-US"/>
        </w:rPr>
      </w:pPr>
      <w:r>
        <w:rPr>
          <w:rFonts w:ascii="Arial" w:hAnsi="Arial" w:cs="Arial"/>
          <w:b/>
          <w:sz w:val="20"/>
          <w:szCs w:val="20"/>
          <w:lang w:val="en-US"/>
        </w:rPr>
        <w:t xml:space="preserve">4.2 </w:t>
      </w:r>
      <w:r w:rsidR="00476D71" w:rsidRPr="00476D71">
        <w:rPr>
          <w:rFonts w:ascii="Arial" w:hAnsi="Arial" w:cs="Arial"/>
          <w:b/>
          <w:sz w:val="20"/>
          <w:szCs w:val="20"/>
          <w:lang w:val="en-US"/>
        </w:rPr>
        <w:t>Net NPA Ratio:</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ratio of Net NPAs to Net Advances serves as a crucial measure of a bank's asset quality and financial robustness. This ratio indicates the proportion of net non-performing assets (bad loans after accounting for provisions) compared to the total net advances (loans and advances minus provisions) that the bank has issued. The formula is:</w:t>
      </w:r>
    </w:p>
    <w:p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w:t>
      </w:r>
    </w:p>
    <w:p w:rsidR="00476D71" w:rsidRPr="00476D71" w:rsidRDefault="00476D71" w:rsidP="00476D71">
      <w:pPr>
        <w:spacing w:after="0" w:line="240" w:lineRule="auto"/>
        <w:jc w:val="center"/>
        <w:rPr>
          <w:rFonts w:ascii="Arial" w:hAnsi="Arial" w:cs="Arial"/>
          <w:b/>
          <w:sz w:val="20"/>
          <w:szCs w:val="20"/>
          <w:lang w:val="en-US"/>
        </w:rPr>
      </w:pPr>
    </w:p>
    <w:p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Net NPA</w:t>
      </w:r>
    </w:p>
    <w:p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Net NPA Ratio = -------------------------- X 100</w:t>
      </w:r>
    </w:p>
    <w:p w:rsidR="00476D71" w:rsidRPr="00476D71" w:rsidRDefault="00476D71" w:rsidP="00476D71">
      <w:pPr>
        <w:spacing w:after="0" w:line="240" w:lineRule="auto"/>
        <w:jc w:val="center"/>
        <w:rPr>
          <w:rFonts w:ascii="Arial" w:hAnsi="Arial" w:cs="Arial"/>
          <w:b/>
          <w:sz w:val="20"/>
          <w:szCs w:val="20"/>
          <w:lang w:val="en-US"/>
        </w:rPr>
      </w:pPr>
      <w:r w:rsidRPr="00476D71">
        <w:rPr>
          <w:rFonts w:ascii="Arial" w:hAnsi="Arial" w:cs="Arial"/>
          <w:b/>
          <w:sz w:val="20"/>
          <w:szCs w:val="20"/>
          <w:lang w:val="en-US"/>
        </w:rPr>
        <w:t xml:space="preserve">              Net Advances</w:t>
      </w:r>
    </w:p>
    <w:p w:rsidR="00476D71" w:rsidRPr="00476D71" w:rsidRDefault="00476D71" w:rsidP="00476D71">
      <w:pPr>
        <w:spacing w:after="0" w:line="240" w:lineRule="auto"/>
        <w:jc w:val="center"/>
        <w:rPr>
          <w:rFonts w:ascii="Arial" w:hAnsi="Arial" w:cs="Arial"/>
          <w:b/>
          <w:sz w:val="20"/>
          <w:szCs w:val="20"/>
          <w:lang w:val="en-US"/>
        </w:rPr>
      </w:pPr>
    </w:p>
    <w:p w:rsidR="00BC4743" w:rsidRDefault="00BC4743" w:rsidP="00476D71">
      <w:pPr>
        <w:spacing w:after="0"/>
        <w:ind w:left="720" w:hanging="720"/>
        <w:jc w:val="center"/>
        <w:rPr>
          <w:rFonts w:ascii="Arial" w:hAnsi="Arial" w:cs="Arial"/>
          <w:b/>
          <w:sz w:val="20"/>
          <w:szCs w:val="20"/>
          <w:lang w:val="en-US"/>
        </w:rPr>
      </w:pPr>
    </w:p>
    <w:p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Table – 3</w:t>
      </w:r>
    </w:p>
    <w:p w:rsidR="00476D71" w:rsidRPr="00476D71" w:rsidRDefault="00476D71" w:rsidP="00476D71">
      <w:pPr>
        <w:spacing w:after="0"/>
        <w:ind w:left="720" w:hanging="720"/>
        <w:jc w:val="center"/>
        <w:rPr>
          <w:rFonts w:ascii="Arial" w:hAnsi="Arial" w:cs="Arial"/>
          <w:b/>
          <w:sz w:val="20"/>
          <w:szCs w:val="20"/>
          <w:lang w:val="en-US"/>
        </w:rPr>
      </w:pPr>
      <w:r w:rsidRPr="00476D71">
        <w:rPr>
          <w:rFonts w:ascii="Arial" w:hAnsi="Arial" w:cs="Arial"/>
          <w:b/>
          <w:sz w:val="20"/>
          <w:szCs w:val="20"/>
          <w:lang w:val="en-US"/>
        </w:rPr>
        <w:t>Net NPA Ratio of select banks during 2014-15 to 2023-24.</w:t>
      </w:r>
    </w:p>
    <w:p w:rsidR="00476D71" w:rsidRPr="00476D71" w:rsidRDefault="00476D71" w:rsidP="00476D71">
      <w:pPr>
        <w:spacing w:after="0"/>
        <w:ind w:left="720" w:hanging="720"/>
        <w:jc w:val="right"/>
        <w:rPr>
          <w:rFonts w:ascii="Arial" w:hAnsi="Arial" w:cs="Arial"/>
          <w:sz w:val="20"/>
          <w:szCs w:val="20"/>
          <w:lang w:val="en-US"/>
        </w:rPr>
      </w:pPr>
      <w:r w:rsidRPr="00476D71">
        <w:rPr>
          <w:rFonts w:ascii="Arial" w:hAnsi="Arial" w:cs="Arial"/>
          <w:sz w:val="20"/>
          <w:szCs w:val="20"/>
          <w:lang w:val="en-US"/>
        </w:rPr>
        <w:t>(Percentages)</w:t>
      </w:r>
    </w:p>
    <w:tbl>
      <w:tblPr>
        <w:tblW w:w="5000" w:type="pct"/>
        <w:tblLook w:val="04A0" w:firstRow="1" w:lastRow="0" w:firstColumn="1" w:lastColumn="0" w:noHBand="0" w:noVBand="1"/>
      </w:tblPr>
      <w:tblGrid>
        <w:gridCol w:w="1351"/>
        <w:gridCol w:w="1224"/>
        <w:gridCol w:w="1224"/>
        <w:gridCol w:w="1225"/>
        <w:gridCol w:w="1225"/>
        <w:gridCol w:w="1225"/>
        <w:gridCol w:w="1223"/>
      </w:tblGrid>
      <w:tr w:rsidR="00476D71" w:rsidRPr="00476D71"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Year</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SBI</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BoB</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PNB</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HDFC</w:t>
            </w:r>
          </w:p>
        </w:tc>
        <w:tc>
          <w:tcPr>
            <w:tcW w:w="704"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ICICI</w:t>
            </w:r>
          </w:p>
        </w:tc>
        <w:tc>
          <w:tcPr>
            <w:tcW w:w="703" w:type="pct"/>
            <w:tcBorders>
              <w:top w:val="single" w:sz="4" w:space="0" w:color="auto"/>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AXIS</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2014-15</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1.87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4.06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0.26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1.61</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0.46</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2015-16</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3.81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5.06</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8.61</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2.67</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2016-17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5.19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4.72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7.81</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4.89</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2.11</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2017-18</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5.49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11.24</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4.77</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3.40</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2018-19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3.01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3.33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6.56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0.39</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2.06</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2.06</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2019-20</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2.23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3.13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5.78</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0.36</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1.41</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1.56</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2020-21</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1.50</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3.09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5.73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1.14</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1.05</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2021-22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1.02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1.72</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4.80</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0.32</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0.76</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2022-23</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0.89</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2.72</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0.27</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0.48</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0.39</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2023-24</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0.57</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0.68</w:t>
            </w:r>
          </w:p>
        </w:tc>
        <w:tc>
          <w:tcPr>
            <w:tcW w:w="704" w:type="pct"/>
            <w:tcBorders>
              <w:top w:val="nil"/>
              <w:left w:val="nil"/>
              <w:bottom w:val="single" w:sz="4" w:space="0" w:color="auto"/>
              <w:right w:val="single" w:sz="4" w:space="0" w:color="auto"/>
            </w:tcBorders>
            <w:noWrap/>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0.73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0.63</w:t>
            </w:r>
          </w:p>
        </w:tc>
        <w:tc>
          <w:tcPr>
            <w:tcW w:w="704"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0.42</w:t>
            </w:r>
          </w:p>
        </w:tc>
        <w:tc>
          <w:tcPr>
            <w:tcW w:w="703" w:type="pct"/>
            <w:tcBorders>
              <w:top w:val="nil"/>
              <w:left w:val="nil"/>
              <w:bottom w:val="single" w:sz="4" w:space="0" w:color="auto"/>
              <w:right w:val="single" w:sz="4" w:space="0" w:color="auto"/>
            </w:tcBorders>
            <w:vAlign w:val="center"/>
            <w:hideMark/>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eastAsia="Times New Roman" w:hAnsi="Arial" w:cs="Arial"/>
                <w:color w:val="000000"/>
                <w:sz w:val="20"/>
                <w:szCs w:val="20"/>
                <w:lang w:eastAsia="en-IN"/>
              </w:rPr>
              <w:t>0.31</w:t>
            </w:r>
          </w:p>
        </w:tc>
      </w:tr>
      <w:tr w:rsidR="00476D71" w:rsidRPr="00476D71" w:rsidTr="00476D71">
        <w:trPr>
          <w:trHeight w:val="340"/>
        </w:trPr>
        <w:tc>
          <w:tcPr>
            <w:tcW w:w="777" w:type="pct"/>
            <w:tcBorders>
              <w:top w:val="single" w:sz="4" w:space="0" w:color="auto"/>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Mean</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2.59</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w:t>
            </w:r>
          </w:p>
        </w:tc>
        <w:tc>
          <w:tcPr>
            <w:tcW w:w="704" w:type="pct"/>
            <w:tcBorders>
              <w:top w:val="single" w:sz="4" w:space="0" w:color="auto"/>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5.8</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0.36</w:t>
            </w:r>
          </w:p>
        </w:tc>
        <w:tc>
          <w:tcPr>
            <w:tcW w:w="704"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2.02</w:t>
            </w:r>
          </w:p>
        </w:tc>
        <w:tc>
          <w:tcPr>
            <w:tcW w:w="703" w:type="pct"/>
            <w:tcBorders>
              <w:top w:val="single" w:sz="4" w:space="0" w:color="auto"/>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1.28</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SD</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1.83</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1.71</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3.01</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0.12</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1.64</w:t>
            </w:r>
          </w:p>
        </w:tc>
        <w:tc>
          <w:tcPr>
            <w:tcW w:w="703"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1.00</w:t>
            </w:r>
          </w:p>
        </w:tc>
      </w:tr>
      <w:tr w:rsidR="00476D71" w:rsidRPr="00476D71" w:rsidTr="00476D71">
        <w:trPr>
          <w:trHeight w:val="340"/>
        </w:trPr>
        <w:tc>
          <w:tcPr>
            <w:tcW w:w="777" w:type="pct"/>
            <w:tcBorders>
              <w:top w:val="nil"/>
              <w:left w:val="single" w:sz="4" w:space="0" w:color="auto"/>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b/>
                <w:bCs/>
                <w:color w:val="000000"/>
                <w:sz w:val="20"/>
                <w:szCs w:val="20"/>
                <w:lang w:eastAsia="en-IN"/>
              </w:rPr>
            </w:pPr>
            <w:r w:rsidRPr="00476D71">
              <w:rPr>
                <w:rFonts w:ascii="Arial" w:eastAsia="Times New Roman" w:hAnsi="Arial" w:cs="Arial"/>
                <w:b/>
                <w:bCs/>
                <w:color w:val="000000"/>
                <w:sz w:val="20"/>
                <w:szCs w:val="20"/>
                <w:lang w:eastAsia="en-IN"/>
              </w:rPr>
              <w:t>CV</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70.66%</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57.00%</w:t>
            </w:r>
          </w:p>
        </w:tc>
        <w:tc>
          <w:tcPr>
            <w:tcW w:w="704" w:type="pct"/>
            <w:tcBorders>
              <w:top w:val="nil"/>
              <w:left w:val="nil"/>
              <w:bottom w:val="single" w:sz="4" w:space="0" w:color="auto"/>
              <w:right w:val="single" w:sz="4" w:space="0" w:color="auto"/>
            </w:tcBorders>
            <w:noWrap/>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51.90%</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33.33%</w:t>
            </w:r>
          </w:p>
        </w:tc>
        <w:tc>
          <w:tcPr>
            <w:tcW w:w="704"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81.19%</w:t>
            </w:r>
          </w:p>
        </w:tc>
        <w:tc>
          <w:tcPr>
            <w:tcW w:w="703" w:type="pct"/>
            <w:tcBorders>
              <w:top w:val="nil"/>
              <w:left w:val="nil"/>
              <w:bottom w:val="single" w:sz="4" w:space="0" w:color="auto"/>
              <w:right w:val="single" w:sz="4" w:space="0" w:color="auto"/>
            </w:tcBorders>
            <w:vAlign w:val="center"/>
          </w:tcPr>
          <w:p w:rsidR="00476D71" w:rsidRPr="00476D71" w:rsidRDefault="00476D71" w:rsidP="00476D71">
            <w:pPr>
              <w:spacing w:after="0" w:line="240" w:lineRule="auto"/>
              <w:jc w:val="center"/>
              <w:rPr>
                <w:rFonts w:ascii="Arial" w:eastAsia="Times New Roman" w:hAnsi="Arial" w:cs="Arial"/>
                <w:color w:val="000000"/>
                <w:sz w:val="20"/>
                <w:szCs w:val="20"/>
                <w:lang w:eastAsia="en-IN"/>
              </w:rPr>
            </w:pPr>
            <w:r w:rsidRPr="00476D71">
              <w:rPr>
                <w:rFonts w:ascii="Arial" w:hAnsi="Arial" w:cs="Arial"/>
                <w:b/>
                <w:color w:val="000000"/>
                <w:sz w:val="20"/>
                <w:szCs w:val="20"/>
              </w:rPr>
              <w:t>78.13%</w:t>
            </w:r>
          </w:p>
        </w:tc>
      </w:tr>
    </w:tbl>
    <w:p w:rsidR="00476D71" w:rsidRPr="00476D71" w:rsidRDefault="00476D71" w:rsidP="003A5DA5">
      <w:pPr>
        <w:spacing w:line="240" w:lineRule="auto"/>
        <w:rPr>
          <w:rFonts w:ascii="Arial" w:hAnsi="Arial" w:cs="Arial"/>
          <w:sz w:val="20"/>
          <w:szCs w:val="20"/>
          <w:lang w:val="en-US"/>
        </w:rPr>
      </w:pPr>
      <w:r w:rsidRPr="00476D71">
        <w:rPr>
          <w:rFonts w:ascii="Arial" w:hAnsi="Arial" w:cs="Arial"/>
          <w:sz w:val="20"/>
          <w:szCs w:val="20"/>
          <w:lang w:val="en-US"/>
        </w:rPr>
        <w:t>Source: Compiled from Annual Reports.</w:t>
      </w:r>
    </w:p>
    <w:p w:rsidR="003A5DA5" w:rsidRPr="00975A58" w:rsidRDefault="00476D71" w:rsidP="003A5DA5">
      <w:pPr>
        <w:spacing w:after="0" w:line="240" w:lineRule="auto"/>
        <w:jc w:val="center"/>
        <w:rPr>
          <w:rFonts w:ascii="Arial" w:hAnsi="Arial" w:cs="Arial"/>
          <w:b/>
          <w:sz w:val="20"/>
          <w:szCs w:val="20"/>
        </w:rPr>
      </w:pPr>
      <w:r w:rsidRPr="00476D71">
        <w:rPr>
          <w:rFonts w:ascii="Arial" w:hAnsi="Arial" w:cs="Arial"/>
          <w:sz w:val="20"/>
          <w:szCs w:val="20"/>
          <w:lang w:val="en-US"/>
        </w:rPr>
        <w:lastRenderedPageBreak/>
        <w:tab/>
      </w:r>
      <w:r w:rsidR="003A5DA5">
        <w:rPr>
          <w:rFonts w:ascii="Arial" w:hAnsi="Arial" w:cs="Arial"/>
          <w:b/>
          <w:sz w:val="20"/>
          <w:szCs w:val="20"/>
        </w:rPr>
        <w:t xml:space="preserve">Figure </w:t>
      </w:r>
      <w:r w:rsidR="001922E2">
        <w:rPr>
          <w:rFonts w:ascii="Arial" w:hAnsi="Arial" w:cs="Arial"/>
          <w:b/>
          <w:sz w:val="20"/>
          <w:szCs w:val="20"/>
        </w:rPr>
        <w:t>3</w:t>
      </w:r>
      <w:r w:rsidR="003A5DA5">
        <w:rPr>
          <w:rFonts w:ascii="Arial" w:hAnsi="Arial" w:cs="Arial"/>
          <w:b/>
          <w:sz w:val="20"/>
          <w:szCs w:val="20"/>
        </w:rPr>
        <w:t xml:space="preserve"> Net</w:t>
      </w:r>
      <w:r w:rsidR="003A5DA5" w:rsidRPr="00975A58">
        <w:rPr>
          <w:rFonts w:ascii="Arial" w:hAnsi="Arial" w:cs="Arial"/>
          <w:b/>
          <w:sz w:val="20"/>
          <w:szCs w:val="20"/>
        </w:rPr>
        <w:t xml:space="preserve"> NPA Ratio of select banks during the study period.</w:t>
      </w:r>
    </w:p>
    <w:p w:rsidR="00476D71" w:rsidRPr="00476D71" w:rsidRDefault="00476D71" w:rsidP="003A5DA5">
      <w:pPr>
        <w:spacing w:after="0" w:line="240" w:lineRule="auto"/>
        <w:jc w:val="both"/>
        <w:rPr>
          <w:rFonts w:ascii="Arial" w:hAnsi="Arial" w:cs="Arial"/>
          <w:sz w:val="20"/>
          <w:szCs w:val="20"/>
          <w:lang w:val="en-US"/>
        </w:rPr>
      </w:pPr>
      <w:r w:rsidRPr="00476D71">
        <w:rPr>
          <w:rFonts w:ascii="Arial" w:hAnsi="Arial" w:cs="Arial"/>
          <w:noProof/>
          <w:sz w:val="20"/>
          <w:szCs w:val="20"/>
          <w:lang w:eastAsia="en-IN"/>
        </w:rPr>
        <w:drawing>
          <wp:inline distT="0" distB="0" distL="0" distR="0">
            <wp:extent cx="5676900" cy="2743200"/>
            <wp:effectExtent l="19050" t="1905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6D71" w:rsidRPr="00476D71" w:rsidRDefault="00476D71" w:rsidP="00476D71">
      <w:pPr>
        <w:spacing w:after="0" w:line="240" w:lineRule="auto"/>
        <w:jc w:val="both"/>
        <w:rPr>
          <w:rFonts w:ascii="Arial" w:hAnsi="Arial" w:cs="Arial"/>
          <w:sz w:val="20"/>
          <w:szCs w:val="20"/>
          <w:lang w:val="en-US"/>
        </w:rPr>
      </w:pP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Table 3 illustrates the Net NPA ratio for six banks over the study period. The State Bank of India's Net NPA ratio fluctuated between a minimum of 0.57 per cent and a maximum of 5.73 per cent, averaging 2.59 per cent. This ratio exhibited both upward and downward trends throughout the study period. Bank of Baroda's Net NPA ratio ranged from a low of 0.68 per cent to a high of 5.49 per cent, with an average of 3 per cent. Punjab National Bank's Net NPA ratio varied from a low of 0.73 per cent to a high of 11.24 per cent, with an average of 5.8 per cent, and it recorded a low ratio in 2013-14. HDFC Bank's Net NPA ratio showed an overall upward trend from 2014-15 to 2017-18, followed by fluctuations in the subsequent years, ranging from 0.26 per cent to 0.63 per cent, with an average of 0.36 per cent. ICICI Bank's Net NPA ratio spanned from a low of 0.42 per cent to a high of 4.89 per cent, averaging 2.02 percent during the study period. Initially, the ratio increased from 1.61 percent to 4.89 per cent over the first three years, then decreased from 4.77 per cent to 0.42 per cent from 2017-18 to 2023-24. Axis Bank's Net NPA ratio varied between a low of 0.31 per cent and a high of 3.40 per cent, with an average of 1.28 per cent.</w:t>
      </w:r>
    </w:p>
    <w:p w:rsidR="00476D71" w:rsidRPr="00476D71" w:rsidRDefault="00476D71" w:rsidP="00476D71">
      <w:pPr>
        <w:spacing w:line="360" w:lineRule="auto"/>
        <w:jc w:val="both"/>
        <w:rPr>
          <w:rFonts w:ascii="Arial" w:hAnsi="Arial" w:cs="Arial"/>
          <w:b/>
          <w:sz w:val="20"/>
          <w:szCs w:val="20"/>
        </w:rPr>
      </w:pPr>
      <w:r w:rsidRPr="00476D71">
        <w:rPr>
          <w:rFonts w:ascii="Arial" w:hAnsi="Arial" w:cs="Arial"/>
          <w:b/>
          <w:sz w:val="20"/>
          <w:szCs w:val="20"/>
        </w:rPr>
        <w:t>Hypothesis Testing</w:t>
      </w:r>
    </w:p>
    <w:p w:rsidR="00422A2F" w:rsidRPr="00422A2F" w:rsidRDefault="00476D71" w:rsidP="00422A2F">
      <w:pPr>
        <w:spacing w:line="360" w:lineRule="auto"/>
        <w:jc w:val="both"/>
        <w:rPr>
          <w:rFonts w:ascii="Arial" w:hAnsi="Arial" w:cs="Arial"/>
          <w:sz w:val="20"/>
          <w:szCs w:val="20"/>
        </w:rPr>
      </w:pPr>
      <w:r w:rsidRPr="00476D71">
        <w:rPr>
          <w:rFonts w:ascii="Arial" w:hAnsi="Arial" w:cs="Arial"/>
          <w:sz w:val="20"/>
          <w:szCs w:val="20"/>
        </w:rPr>
        <w:t>H</w:t>
      </w:r>
      <w:r w:rsidRPr="00476D71">
        <w:rPr>
          <w:rFonts w:ascii="Arial" w:hAnsi="Arial" w:cs="Arial"/>
          <w:sz w:val="20"/>
          <w:szCs w:val="20"/>
          <w:vertAlign w:val="subscript"/>
        </w:rPr>
        <w:t>0</w:t>
      </w:r>
      <w:r w:rsidRPr="00476D71">
        <w:rPr>
          <w:rFonts w:ascii="Arial" w:hAnsi="Arial" w:cs="Arial"/>
          <w:sz w:val="20"/>
          <w:szCs w:val="20"/>
        </w:rPr>
        <w:t xml:space="preserve">: There is no significant difference in the Net NPA Ratio among the select public and private </w:t>
      </w:r>
      <w:r>
        <w:rPr>
          <w:rFonts w:ascii="Arial" w:hAnsi="Arial" w:cs="Arial"/>
          <w:sz w:val="20"/>
          <w:szCs w:val="20"/>
        </w:rPr>
        <w:br/>
        <w:t xml:space="preserve">       </w:t>
      </w:r>
      <w:r w:rsidRPr="00476D71">
        <w:rPr>
          <w:rFonts w:ascii="Arial" w:hAnsi="Arial" w:cs="Arial"/>
          <w:sz w:val="20"/>
          <w:szCs w:val="20"/>
        </w:rPr>
        <w:t>sector banks in India.</w:t>
      </w:r>
    </w:p>
    <w:p w:rsidR="00476D71" w:rsidRPr="00476D71" w:rsidRDefault="00476D71" w:rsidP="00476D71">
      <w:pPr>
        <w:spacing w:after="0" w:line="360" w:lineRule="auto"/>
        <w:ind w:hanging="11"/>
        <w:jc w:val="center"/>
        <w:rPr>
          <w:rFonts w:ascii="Arial" w:hAnsi="Arial" w:cs="Arial"/>
          <w:b/>
          <w:sz w:val="20"/>
          <w:szCs w:val="20"/>
          <w:lang w:val="en-US"/>
        </w:rPr>
      </w:pPr>
      <w:r w:rsidRPr="00476D71">
        <w:rPr>
          <w:rFonts w:ascii="Arial" w:hAnsi="Arial" w:cs="Arial"/>
          <w:b/>
          <w:sz w:val="20"/>
          <w:szCs w:val="20"/>
          <w:lang w:val="en-US"/>
        </w:rPr>
        <w:t>Table 4: ANOVA – Net NPA Ratio</w:t>
      </w:r>
    </w:p>
    <w:tbl>
      <w:tblPr>
        <w:tblW w:w="5000" w:type="pct"/>
        <w:tblLook w:val="0000" w:firstRow="0" w:lastRow="0" w:firstColumn="0" w:lastColumn="0" w:noHBand="0" w:noVBand="0"/>
      </w:tblPr>
      <w:tblGrid>
        <w:gridCol w:w="2084"/>
        <w:gridCol w:w="912"/>
        <w:gridCol w:w="912"/>
        <w:gridCol w:w="914"/>
        <w:gridCol w:w="912"/>
        <w:gridCol w:w="912"/>
        <w:gridCol w:w="912"/>
        <w:gridCol w:w="1139"/>
      </w:tblGrid>
      <w:tr w:rsidR="00476D71" w:rsidRPr="00476D71" w:rsidTr="00975A58">
        <w:trPr>
          <w:trHeight w:val="374"/>
        </w:trPr>
        <w:tc>
          <w:tcPr>
            <w:tcW w:w="1203"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Source of Variation</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SS</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df</w:t>
            </w:r>
          </w:p>
        </w:tc>
        <w:tc>
          <w:tcPr>
            <w:tcW w:w="530"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MS</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P-value</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F crit</w:t>
            </w:r>
          </w:p>
        </w:tc>
        <w:tc>
          <w:tcPr>
            <w:tcW w:w="622"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b/>
                <w:bCs/>
                <w:color w:val="000000"/>
                <w:sz w:val="20"/>
                <w:szCs w:val="20"/>
              </w:rPr>
            </w:pPr>
            <w:r w:rsidRPr="00476D71">
              <w:rPr>
                <w:rFonts w:ascii="Arial" w:hAnsi="Arial" w:cs="Arial"/>
                <w:b/>
                <w:bCs/>
                <w:color w:val="000000"/>
                <w:sz w:val="20"/>
                <w:szCs w:val="20"/>
              </w:rPr>
              <w:t>Result</w:t>
            </w:r>
          </w:p>
        </w:tc>
      </w:tr>
      <w:tr w:rsidR="00476D71" w:rsidRPr="00476D71" w:rsidTr="00975A58">
        <w:trPr>
          <w:trHeight w:val="326"/>
        </w:trPr>
        <w:tc>
          <w:tcPr>
            <w:tcW w:w="1203" w:type="pct"/>
            <w:tcBorders>
              <w:top w:val="nil"/>
              <w:left w:val="nil"/>
              <w:bottom w:val="nil"/>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Between Groups</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174.56</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w:t>
            </w:r>
          </w:p>
        </w:tc>
        <w:tc>
          <w:tcPr>
            <w:tcW w:w="530"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34.91</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11.040</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&lt;0.001*</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2.386</w:t>
            </w:r>
          </w:p>
        </w:tc>
        <w:tc>
          <w:tcPr>
            <w:tcW w:w="622" w:type="pct"/>
            <w:tcBorders>
              <w:top w:val="nil"/>
              <w:left w:val="nil"/>
              <w:bottom w:val="nil"/>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Significant</w:t>
            </w:r>
          </w:p>
        </w:tc>
      </w:tr>
      <w:tr w:rsidR="00476D71" w:rsidRPr="00476D71" w:rsidTr="00975A58">
        <w:trPr>
          <w:trHeight w:val="326"/>
        </w:trPr>
        <w:tc>
          <w:tcPr>
            <w:tcW w:w="1203" w:type="pct"/>
            <w:tcBorders>
              <w:top w:val="nil"/>
              <w:left w:val="nil"/>
              <w:bottom w:val="nil"/>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Within Groups</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170.77</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54</w:t>
            </w:r>
          </w:p>
        </w:tc>
        <w:tc>
          <w:tcPr>
            <w:tcW w:w="530"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3.16</w:t>
            </w: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nil"/>
              <w:left w:val="nil"/>
              <w:bottom w:val="nil"/>
              <w:right w:val="nil"/>
            </w:tcBorders>
          </w:tcPr>
          <w:p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r w:rsidR="00476D71" w:rsidRPr="00476D71" w:rsidTr="00975A58">
        <w:trPr>
          <w:trHeight w:val="338"/>
        </w:trPr>
        <w:tc>
          <w:tcPr>
            <w:tcW w:w="1203"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rPr>
                <w:rFonts w:ascii="Arial" w:hAnsi="Arial" w:cs="Arial"/>
                <w:color w:val="000000"/>
                <w:sz w:val="20"/>
                <w:szCs w:val="20"/>
              </w:rPr>
            </w:pPr>
            <w:r w:rsidRPr="00476D71">
              <w:rPr>
                <w:rFonts w:ascii="Arial" w:hAnsi="Arial" w:cs="Arial"/>
                <w:color w:val="000000"/>
                <w:sz w:val="20"/>
                <w:szCs w:val="20"/>
              </w:rPr>
              <w:t>Total</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345.32</w:t>
            </w: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r w:rsidRPr="00476D71">
              <w:rPr>
                <w:rFonts w:ascii="Arial" w:hAnsi="Arial" w:cs="Arial"/>
                <w:color w:val="000000"/>
                <w:sz w:val="20"/>
                <w:szCs w:val="20"/>
              </w:rPr>
              <w:t>59</w:t>
            </w:r>
          </w:p>
        </w:tc>
        <w:tc>
          <w:tcPr>
            <w:tcW w:w="530"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529"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center"/>
              <w:rPr>
                <w:rFonts w:ascii="Arial" w:hAnsi="Arial" w:cs="Arial"/>
                <w:color w:val="000000"/>
                <w:sz w:val="20"/>
                <w:szCs w:val="20"/>
              </w:rPr>
            </w:pPr>
          </w:p>
        </w:tc>
        <w:tc>
          <w:tcPr>
            <w:tcW w:w="622" w:type="pct"/>
            <w:tcBorders>
              <w:top w:val="single" w:sz="18" w:space="0" w:color="auto"/>
              <w:left w:val="nil"/>
              <w:bottom w:val="single" w:sz="18" w:space="0" w:color="auto"/>
              <w:right w:val="nil"/>
            </w:tcBorders>
          </w:tcPr>
          <w:p w:rsidR="00476D71" w:rsidRPr="00476D71" w:rsidRDefault="00476D71" w:rsidP="00476D71">
            <w:pPr>
              <w:autoSpaceDE w:val="0"/>
              <w:autoSpaceDN w:val="0"/>
              <w:adjustRightInd w:val="0"/>
              <w:spacing w:after="0" w:line="240" w:lineRule="auto"/>
              <w:jc w:val="right"/>
              <w:rPr>
                <w:rFonts w:ascii="Arial" w:hAnsi="Arial" w:cs="Arial"/>
                <w:color w:val="000000"/>
                <w:sz w:val="20"/>
                <w:szCs w:val="20"/>
              </w:rPr>
            </w:pPr>
          </w:p>
        </w:tc>
      </w:tr>
    </w:tbl>
    <w:p w:rsidR="00476D71" w:rsidRPr="00476D71" w:rsidRDefault="00476D71" w:rsidP="00476D71">
      <w:pPr>
        <w:spacing w:after="0" w:line="360" w:lineRule="auto"/>
        <w:ind w:hanging="11"/>
        <w:rPr>
          <w:rFonts w:ascii="Arial" w:hAnsi="Arial" w:cs="Arial"/>
          <w:sz w:val="20"/>
          <w:szCs w:val="20"/>
          <w:lang w:val="en-US"/>
        </w:rPr>
      </w:pPr>
      <w:r w:rsidRPr="00476D71">
        <w:rPr>
          <w:rFonts w:ascii="Arial" w:hAnsi="Arial" w:cs="Arial"/>
          <w:b/>
          <w:sz w:val="20"/>
          <w:szCs w:val="20"/>
          <w:lang w:val="en-US"/>
        </w:rPr>
        <w:t>*</w:t>
      </w:r>
      <w:r w:rsidRPr="00476D71">
        <w:rPr>
          <w:rFonts w:ascii="Arial" w:hAnsi="Arial" w:cs="Arial"/>
          <w:sz w:val="20"/>
          <w:szCs w:val="20"/>
          <w:lang w:val="en-US"/>
        </w:rPr>
        <w:t xml:space="preserve"> Significant at 5% Level.</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lastRenderedPageBreak/>
        <w:tab/>
        <w:t>Table 4 presents the ANOVA test results of the Net NPA ratio among the selected sample banks. The calculated F-value is 11.040 exceeds the critical F-value of 2.386 at the 5% level of significance. Additionally, the P-value is the less than 0.05. Therefore, the null hypothesis is rejected. This indicates that there is a significant difference in the Net NPA ratio among the select public and private sector banks during the study period.</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The reasons and impact of Non-Performing Assets was discussed briefly as follows:</w:t>
      </w:r>
    </w:p>
    <w:p w:rsidR="00476D71" w:rsidRPr="00476D71" w:rsidRDefault="006B7D84" w:rsidP="00476D71">
      <w:pPr>
        <w:spacing w:line="360" w:lineRule="auto"/>
        <w:jc w:val="both"/>
        <w:rPr>
          <w:rFonts w:ascii="Arial" w:hAnsi="Arial" w:cs="Arial"/>
          <w:b/>
          <w:szCs w:val="20"/>
          <w:lang w:val="en-US"/>
        </w:rPr>
      </w:pPr>
      <w:r>
        <w:rPr>
          <w:rFonts w:ascii="Arial" w:hAnsi="Arial" w:cs="Arial"/>
          <w:b/>
          <w:szCs w:val="20"/>
          <w:lang w:val="en-US"/>
        </w:rPr>
        <w:t xml:space="preserve">5. </w:t>
      </w:r>
      <w:r w:rsidR="00476D71" w:rsidRPr="00476D71">
        <w:rPr>
          <w:rFonts w:ascii="Arial" w:hAnsi="Arial" w:cs="Arial"/>
          <w:b/>
          <w:szCs w:val="20"/>
          <w:lang w:val="en-US"/>
        </w:rPr>
        <w:t>Reasons for Non-Performing Assets (NPAs)</w:t>
      </w:r>
    </w:p>
    <w:p w:rsidR="00476D71" w:rsidRP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The emergence of Non-Performing Assets in the Indian banking sector, particularly in Public Sector Banks (PSBs), can be attributed to a combination of institutional inefficiencies, borrower behavior, and external economic factors. Key reasons include:</w:t>
      </w:r>
    </w:p>
    <w:p w:rsidR="00476D71" w:rsidRPr="00476D71" w:rsidRDefault="00476D71" w:rsidP="00476D71">
      <w:pPr>
        <w:numPr>
          <w:ilvl w:val="0"/>
          <w:numId w:val="1"/>
        </w:numPr>
        <w:spacing w:line="360" w:lineRule="auto"/>
        <w:contextualSpacing/>
        <w:jc w:val="both"/>
        <w:rPr>
          <w:rFonts w:ascii="Arial" w:hAnsi="Arial" w:cs="Arial"/>
          <w:b/>
          <w:sz w:val="20"/>
          <w:szCs w:val="20"/>
          <w:lang w:val="en-US"/>
        </w:rPr>
      </w:pPr>
      <w:r w:rsidRPr="00476D71">
        <w:rPr>
          <w:rFonts w:ascii="Arial" w:hAnsi="Arial" w:cs="Arial"/>
          <w:b/>
          <w:sz w:val="20"/>
          <w:szCs w:val="20"/>
          <w:lang w:val="en-US"/>
        </w:rPr>
        <w:t xml:space="preserve">Defective Lending Process: </w:t>
      </w:r>
      <w:r w:rsidRPr="00476D71">
        <w:rPr>
          <w:rFonts w:ascii="Arial" w:hAnsi="Arial" w:cs="Arial"/>
          <w:sz w:val="20"/>
          <w:szCs w:val="20"/>
          <w:lang w:val="en-US"/>
        </w:rPr>
        <w:t>Inadequate due diligence during the credit appraisal process such as improper selection of borrowers, lack of robust assessment of creditworthiness, and failure to periodically review the financial status of borrowers can result in loan defaults. Such lapses are particularly prevalent in PSBs and contribute significantly to the accumulation of NPAs.</w:t>
      </w:r>
    </w:p>
    <w:p w:rsidR="00476D71" w:rsidRPr="00476D71" w:rsidRDefault="00476D71" w:rsidP="00476D71">
      <w:pPr>
        <w:numPr>
          <w:ilvl w:val="0"/>
          <w:numId w:val="1"/>
        </w:numPr>
        <w:spacing w:line="360" w:lineRule="auto"/>
        <w:contextualSpacing/>
        <w:jc w:val="both"/>
        <w:rPr>
          <w:rFonts w:ascii="Arial" w:hAnsi="Arial" w:cs="Arial"/>
          <w:b/>
          <w:sz w:val="20"/>
          <w:szCs w:val="20"/>
          <w:lang w:val="en-US"/>
        </w:rPr>
      </w:pPr>
      <w:r w:rsidRPr="00476D71">
        <w:rPr>
          <w:rFonts w:ascii="Arial" w:hAnsi="Arial" w:cs="Arial"/>
          <w:b/>
          <w:sz w:val="20"/>
          <w:szCs w:val="20"/>
          <w:lang w:val="en-US"/>
        </w:rPr>
        <w:t xml:space="preserve">Multiple Defaults Due to Lack of Coordination: </w:t>
      </w:r>
      <w:r w:rsidRPr="00476D71">
        <w:rPr>
          <w:rFonts w:ascii="Arial" w:hAnsi="Arial" w:cs="Arial"/>
          <w:sz w:val="20"/>
          <w:szCs w:val="20"/>
          <w:lang w:val="en-US"/>
        </w:rPr>
        <w:t>A lack of cooperation and information-sharing among financial institutions often leads to situations where borrowers default on loans from multiple banks. This increases the systemic risk within the banking sector.</w:t>
      </w:r>
    </w:p>
    <w:p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Willful Defaults: </w:t>
      </w:r>
      <w:r w:rsidRPr="00476D71">
        <w:rPr>
          <w:rFonts w:ascii="Arial" w:hAnsi="Arial" w:cs="Arial"/>
          <w:sz w:val="20"/>
          <w:szCs w:val="20"/>
          <w:lang w:val="en-US"/>
        </w:rPr>
        <w:t>There has been a rise in instances where borrowers, despite having sufficient funds or assets, intentionally avoid repaying their loans. Such willful defaulters contribute heavily to the NPA burden, particularly in high-value corporate lending.</w:t>
      </w:r>
    </w:p>
    <w:p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Industrial Sickness: </w:t>
      </w:r>
      <w:r w:rsidRPr="00476D71">
        <w:rPr>
          <w:rFonts w:ascii="Arial" w:hAnsi="Arial" w:cs="Arial"/>
          <w:sz w:val="20"/>
          <w:szCs w:val="20"/>
          <w:lang w:val="en-US"/>
        </w:rPr>
        <w:t>Industries suffering from poor management practices, inadequate financial and technical resources, and outdated technology often fail to sustain operations. Additionally, frequent changes in government policies can exacerbate industrial decline. Banks that finance these unviable units experience reduced loan recovery rates, thereby increasing their NPA levels.</w:t>
      </w:r>
    </w:p>
    <w:p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Regulatory Non-Compliance: </w:t>
      </w:r>
      <w:r w:rsidRPr="00476D71">
        <w:rPr>
          <w:rFonts w:ascii="Arial" w:hAnsi="Arial" w:cs="Arial"/>
          <w:sz w:val="20"/>
          <w:szCs w:val="20"/>
          <w:lang w:val="en-US"/>
        </w:rPr>
        <w:t>Deviations from Reserve Bank of India (RBI) guidelines and non-compliance with regulatory directives can create vulnerabilities in banking operations. In PSBs, such regulatory lapses may facilitate fraud or inefficiency, further contributing to the rise in NPAs.</w:t>
      </w:r>
    </w:p>
    <w:p w:rsidR="00476D71" w:rsidRPr="00476D71" w:rsidRDefault="00476D71" w:rsidP="00476D71">
      <w:pPr>
        <w:numPr>
          <w:ilvl w:val="0"/>
          <w:numId w:val="1"/>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 xml:space="preserve">Frauds by Bankers and Borrowers: </w:t>
      </w:r>
      <w:r w:rsidRPr="00476D71">
        <w:rPr>
          <w:rFonts w:ascii="Arial" w:hAnsi="Arial" w:cs="Arial"/>
          <w:sz w:val="20"/>
          <w:szCs w:val="20"/>
          <w:lang w:val="en-US"/>
        </w:rPr>
        <w:t>Incidences of fraud involving both banking personnel and borrowers have been on the rise. While the monetary value of such frauds remains relatively small in comparison to total NPAs, the number of reported cases is increasing significantly.</w:t>
      </w:r>
    </w:p>
    <w:p w:rsidR="00476D71" w:rsidRPr="00476D71" w:rsidRDefault="006B7D84" w:rsidP="00476D71">
      <w:pPr>
        <w:spacing w:after="0" w:line="360" w:lineRule="auto"/>
        <w:contextualSpacing/>
        <w:jc w:val="both"/>
        <w:rPr>
          <w:rFonts w:ascii="Arial" w:hAnsi="Arial" w:cs="Arial"/>
          <w:b/>
          <w:szCs w:val="20"/>
          <w:lang w:val="en-US"/>
        </w:rPr>
      </w:pPr>
      <w:r>
        <w:rPr>
          <w:rFonts w:ascii="Arial" w:hAnsi="Arial" w:cs="Arial"/>
          <w:b/>
          <w:szCs w:val="20"/>
          <w:lang w:val="en-US"/>
        </w:rPr>
        <w:t xml:space="preserve">6. </w:t>
      </w:r>
      <w:r w:rsidR="00476D71" w:rsidRPr="00476D71">
        <w:rPr>
          <w:rFonts w:ascii="Arial" w:hAnsi="Arial" w:cs="Arial"/>
          <w:b/>
          <w:szCs w:val="20"/>
          <w:lang w:val="en-US"/>
        </w:rPr>
        <w:t>Impact of Non-Performing Assets (NPAs)</w:t>
      </w:r>
    </w:p>
    <w:p w:rsidR="00476D71" w:rsidRPr="00476D71" w:rsidRDefault="00476D71" w:rsidP="00476D71">
      <w:pPr>
        <w:spacing w:line="360" w:lineRule="auto"/>
        <w:contextualSpacing/>
        <w:jc w:val="both"/>
        <w:rPr>
          <w:rFonts w:ascii="Arial" w:hAnsi="Arial" w:cs="Arial"/>
          <w:sz w:val="20"/>
          <w:szCs w:val="20"/>
          <w:lang w:val="en-US"/>
        </w:rPr>
      </w:pPr>
      <w:r w:rsidRPr="00476D71">
        <w:rPr>
          <w:rFonts w:ascii="Arial" w:hAnsi="Arial" w:cs="Arial"/>
          <w:sz w:val="20"/>
          <w:szCs w:val="20"/>
          <w:lang w:val="en-US"/>
        </w:rPr>
        <w:tab/>
        <w:t>The rising levels of Non-Performing Assets (NPAs) have far-reaching implications for the banking sector and the broader economy. Key areas affected include:</w:t>
      </w:r>
    </w:p>
    <w:p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lastRenderedPageBreak/>
        <w:t>Economic Growth:</w:t>
      </w:r>
      <w:r w:rsidRPr="00476D71">
        <w:rPr>
          <w:rFonts w:ascii="Arial" w:hAnsi="Arial" w:cs="Arial"/>
          <w:sz w:val="20"/>
          <w:szCs w:val="20"/>
          <w:lang w:val="en-US"/>
        </w:rPr>
        <w:t xml:space="preserve"> Elevated NPA levels restrict the lending capacity of banks, as a significant portion of their funds become locked in non-performing loans. This hampers the flow of credit to productive sectors, resulting in reduced investments, slowed industrial activity, and ultimately, a decline in economic growth. The reduced pace of economic activity may further contribute to lower employment generation and inflationary pressures.</w:t>
      </w:r>
    </w:p>
    <w:p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Higher Interest Rates:</w:t>
      </w:r>
      <w:r w:rsidRPr="00476D71">
        <w:rPr>
          <w:rFonts w:ascii="Arial" w:hAnsi="Arial" w:cs="Arial"/>
          <w:sz w:val="20"/>
          <w:szCs w:val="20"/>
          <w:lang w:val="en-US"/>
        </w:rPr>
        <w:t xml:space="preserve"> To offset the losses caused by NPAs, banks may increase interest rates on new loans. This raises the cost of borrowing for both individuals and businesses, discouraging credit uptake and further slowing economic expansion.</w:t>
      </w:r>
    </w:p>
    <w:p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Erosion of Public Trust:</w:t>
      </w:r>
      <w:r w:rsidRPr="00476D71">
        <w:rPr>
          <w:rFonts w:ascii="Arial" w:hAnsi="Arial" w:cs="Arial"/>
          <w:sz w:val="20"/>
          <w:szCs w:val="20"/>
          <w:lang w:val="en-US"/>
        </w:rPr>
        <w:t xml:space="preserve"> Persistent NPAs lead to reputational, operational, and business risks for banks. The financial instability arising from high NPA levels undermines public confidence in the banking system, potentially leading to reduced customer engagement and lower deposit mobilization.</w:t>
      </w:r>
    </w:p>
    <w:p w:rsidR="00476D71" w:rsidRPr="00476D71" w:rsidRDefault="00476D71" w:rsidP="00476D71">
      <w:pPr>
        <w:numPr>
          <w:ilvl w:val="0"/>
          <w:numId w:val="2"/>
        </w:numPr>
        <w:spacing w:line="360" w:lineRule="auto"/>
        <w:contextualSpacing/>
        <w:jc w:val="both"/>
        <w:rPr>
          <w:rFonts w:ascii="Arial" w:hAnsi="Arial" w:cs="Arial"/>
          <w:sz w:val="20"/>
          <w:szCs w:val="20"/>
          <w:lang w:val="en-US"/>
        </w:rPr>
      </w:pPr>
      <w:r w:rsidRPr="00476D71">
        <w:rPr>
          <w:rFonts w:ascii="Arial" w:hAnsi="Arial" w:cs="Arial"/>
          <w:b/>
          <w:sz w:val="20"/>
          <w:szCs w:val="20"/>
          <w:lang w:val="en-US"/>
        </w:rPr>
        <w:t>Judicial Pendency:</w:t>
      </w:r>
      <w:r w:rsidRPr="00476D71">
        <w:rPr>
          <w:rFonts w:ascii="Arial" w:hAnsi="Arial" w:cs="Arial"/>
          <w:sz w:val="20"/>
          <w:szCs w:val="20"/>
          <w:lang w:val="en-US"/>
        </w:rPr>
        <w:t xml:space="preserve"> The legal system is burdened with an increasing number of debt recovery cases. Existing tribunals and courts, such as Debt Recovery Tribunals (DRTs), lack the efficiency and manpower needed to handle the volume of NPA-related litigation. This results in prolonged case resolutions, delayed recoveries, and further deterioration of asset quality.</w:t>
      </w:r>
    </w:p>
    <w:p w:rsidR="00476D71" w:rsidRPr="00476D71" w:rsidRDefault="00476D71" w:rsidP="00476D71">
      <w:pPr>
        <w:numPr>
          <w:ilvl w:val="0"/>
          <w:numId w:val="2"/>
        </w:numPr>
        <w:spacing w:line="360" w:lineRule="auto"/>
        <w:ind w:left="714" w:hanging="357"/>
        <w:jc w:val="both"/>
        <w:rPr>
          <w:rFonts w:ascii="Arial" w:hAnsi="Arial" w:cs="Arial"/>
          <w:sz w:val="20"/>
          <w:szCs w:val="20"/>
          <w:lang w:val="en-US"/>
        </w:rPr>
      </w:pPr>
      <w:r w:rsidRPr="00476D71">
        <w:rPr>
          <w:rFonts w:ascii="Arial" w:hAnsi="Arial" w:cs="Arial"/>
          <w:b/>
          <w:sz w:val="20"/>
          <w:szCs w:val="20"/>
          <w:lang w:val="en-US"/>
        </w:rPr>
        <w:t>Capital Adequacy Challenges:</w:t>
      </w:r>
      <w:r w:rsidRPr="00476D71">
        <w:rPr>
          <w:rFonts w:ascii="Arial" w:hAnsi="Arial" w:cs="Arial"/>
          <w:sz w:val="20"/>
          <w:szCs w:val="20"/>
          <w:lang w:val="en-US"/>
        </w:rPr>
        <w:t xml:space="preserve"> NPAs diminish a bank’s capital base, as provisions must be made for potential loan losses. This impacts the bank’s ability to maintain required capital adequacy ratios under regulatory norms. In severe cases, it may necessitate capital infusion by the government or other stakeholders to maintain solvency and operational stability.</w:t>
      </w:r>
    </w:p>
    <w:p w:rsidR="00476D71" w:rsidRPr="00476D71" w:rsidRDefault="006B7D84" w:rsidP="00476D71">
      <w:pPr>
        <w:spacing w:line="360" w:lineRule="auto"/>
        <w:jc w:val="both"/>
        <w:rPr>
          <w:rFonts w:ascii="Arial" w:hAnsi="Arial" w:cs="Arial"/>
          <w:b/>
          <w:szCs w:val="20"/>
          <w:lang w:val="en-US"/>
        </w:rPr>
      </w:pPr>
      <w:r>
        <w:rPr>
          <w:rFonts w:ascii="Arial" w:hAnsi="Arial" w:cs="Arial"/>
          <w:b/>
          <w:szCs w:val="20"/>
          <w:lang w:val="en-US"/>
        </w:rPr>
        <w:t xml:space="preserve">7. </w:t>
      </w:r>
      <w:r w:rsidR="00476D71" w:rsidRPr="00476D71">
        <w:rPr>
          <w:rFonts w:ascii="Arial" w:hAnsi="Arial" w:cs="Arial"/>
          <w:b/>
          <w:szCs w:val="20"/>
          <w:lang w:val="en-US"/>
        </w:rPr>
        <w:t>CONCLUSION:</w:t>
      </w:r>
    </w:p>
    <w:p w:rsidR="00476D71" w:rsidRDefault="00476D71" w:rsidP="00476D71">
      <w:pPr>
        <w:spacing w:line="360" w:lineRule="auto"/>
        <w:jc w:val="both"/>
        <w:rPr>
          <w:rFonts w:ascii="Arial" w:hAnsi="Arial" w:cs="Arial"/>
          <w:sz w:val="20"/>
          <w:szCs w:val="20"/>
          <w:lang w:val="en-US"/>
        </w:rPr>
      </w:pPr>
      <w:r w:rsidRPr="00476D71">
        <w:rPr>
          <w:rFonts w:ascii="Arial" w:hAnsi="Arial" w:cs="Arial"/>
          <w:sz w:val="20"/>
          <w:szCs w:val="20"/>
          <w:lang w:val="en-US"/>
        </w:rPr>
        <w:tab/>
        <w:t xml:space="preserve">The analysis of Gross and Net NPA ratios across selected public and private sector banks from 2014-15 to 2023-24 reveals substantial variations in asset quality, credit risk exposure, and recovery efficiency. Public sector banks such as Punjab National Bank (PNB), Bank of Baroda (BoB), and State Bank of India (SBI) have exhibited higher Gross and Net NPA ratios compared to private sector counterparts like HDFC Bank, ICICI Bank, and Axis Bank. PNB recorded the highest average </w:t>
      </w:r>
      <w:r w:rsidR="003A5DA5">
        <w:rPr>
          <w:rFonts w:ascii="Arial" w:hAnsi="Arial" w:cs="Arial"/>
          <w:sz w:val="20"/>
          <w:szCs w:val="20"/>
          <w:lang w:val="en-US"/>
        </w:rPr>
        <w:t>Gross and Net NPA ratios (12.04 per cent and 5.8 per cent</w:t>
      </w:r>
      <w:r w:rsidRPr="00476D71">
        <w:rPr>
          <w:rFonts w:ascii="Arial" w:hAnsi="Arial" w:cs="Arial"/>
          <w:sz w:val="20"/>
          <w:szCs w:val="20"/>
          <w:lang w:val="en-US"/>
        </w:rPr>
        <w:t>, respectively), indicating prolonged stress in its asset quality and recovery mechanism. In contrast, HDFC Bank consistently maintained the lowest ratios throughout the period, reflecting sound credit appraisal practices and effective risk management strategies. ICICI and Axis Bank, though private, showed initial spikes in NPA levels followed by improvements, suggesting effective resolution strategies in the latter half of the decade. The results of ANOVA tests for both Gross and Net NPA ratios indicate significan</w:t>
      </w:r>
      <w:r w:rsidR="000A4B25">
        <w:rPr>
          <w:rFonts w:ascii="Arial" w:hAnsi="Arial" w:cs="Arial"/>
          <w:sz w:val="20"/>
          <w:szCs w:val="20"/>
          <w:lang w:val="en-US"/>
        </w:rPr>
        <w:t>t differences among the select</w:t>
      </w:r>
      <w:bookmarkStart w:id="1" w:name="_GoBack"/>
      <w:bookmarkEnd w:id="1"/>
      <w:r w:rsidRPr="00476D71">
        <w:rPr>
          <w:rFonts w:ascii="Arial" w:hAnsi="Arial" w:cs="Arial"/>
          <w:sz w:val="20"/>
          <w:szCs w:val="20"/>
          <w:lang w:val="en-US"/>
        </w:rPr>
        <w:t xml:space="preserve"> banks at a 5% significance level. The calculated F-values in both cases exceed the critical F-value, and the P-values are below 0.05, leading to the rejection of the null hypotheses. This statistically confirms that the NPA performance varies significantly between banks, emphasizing the disparities in </w:t>
      </w:r>
      <w:r w:rsidRPr="00476D71">
        <w:rPr>
          <w:rFonts w:ascii="Arial" w:hAnsi="Arial" w:cs="Arial"/>
          <w:sz w:val="20"/>
          <w:szCs w:val="20"/>
          <w:lang w:val="en-US"/>
        </w:rPr>
        <w:lastRenderedPageBreak/>
        <w:t>credit quality, recovery strategies, and provisioning norms. Overall, the findings highlight the importance of stringent credit assessment, proactive NPA management, and regulatory oversight in maintaining financial stability and protecting the health of the banking system.</w:t>
      </w:r>
    </w:p>
    <w:p w:rsidR="00654316" w:rsidRPr="00654316" w:rsidRDefault="00654316" w:rsidP="00654316">
      <w:pPr>
        <w:spacing w:after="200" w:line="276" w:lineRule="auto"/>
        <w:jc w:val="both"/>
        <w:outlineLvl w:val="0"/>
        <w:rPr>
          <w:rFonts w:ascii="Arial" w:eastAsia="Times New Roman" w:hAnsi="Arial" w:cs="Arial"/>
          <w:lang w:val="en-GB" w:eastAsia="en-GB"/>
        </w:rPr>
      </w:pPr>
      <w:r w:rsidRPr="00654316">
        <w:rPr>
          <w:rFonts w:ascii="Arial" w:eastAsia="Times New Roman" w:hAnsi="Arial" w:cs="Arial"/>
          <w:b/>
          <w:bCs/>
          <w:lang w:val="en-GB" w:eastAsia="en-GB"/>
        </w:rPr>
        <w:t>COMPETING INTERESTS DISCLAIMER:</w:t>
      </w:r>
    </w:p>
    <w:p w:rsidR="00654316" w:rsidRDefault="00654316" w:rsidP="00654316">
      <w:pPr>
        <w:spacing w:after="200" w:line="276" w:lineRule="auto"/>
        <w:rPr>
          <w:rFonts w:ascii="Calibri" w:eastAsia="Times New Roman" w:hAnsi="Calibri" w:cs="Times New Roman"/>
          <w:lang w:val="en-GB" w:eastAsia="en-GB"/>
        </w:rPr>
      </w:pPr>
      <w:r w:rsidRPr="0065431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281EDD" w:rsidRPr="00422A2F" w:rsidRDefault="00281EDD" w:rsidP="00281EDD">
      <w:pPr>
        <w:rPr>
          <w:rFonts w:ascii="Calibri" w:eastAsia="Calibri" w:hAnsi="Calibri" w:cs="Times New Roman"/>
          <w:kern w:val="2"/>
          <w:lang w:val="en-US"/>
        </w:rPr>
      </w:pPr>
      <w:bookmarkStart w:id="2" w:name="_Hlk204003461"/>
      <w:bookmarkStart w:id="3" w:name="_Hlk209007716"/>
      <w:r w:rsidRPr="00422A2F">
        <w:rPr>
          <w:rFonts w:ascii="Calibri" w:eastAsia="Calibri" w:hAnsi="Calibri" w:cs="Times New Roman"/>
          <w:kern w:val="2"/>
          <w:lang w:val="en-US"/>
        </w:rPr>
        <w:t>Disclaimer (Artificial intelligence)</w:t>
      </w:r>
    </w:p>
    <w:p w:rsidR="00281EDD" w:rsidRPr="00422A2F" w:rsidRDefault="00281EDD" w:rsidP="00281EDD">
      <w:pPr>
        <w:rPr>
          <w:rFonts w:ascii="Calibri" w:eastAsia="Calibri" w:hAnsi="Calibri" w:cs="Times New Roman"/>
          <w:kern w:val="2"/>
          <w:lang w:val="en-US"/>
        </w:rPr>
      </w:pPr>
      <w:r w:rsidRPr="00422A2F">
        <w:rPr>
          <w:rFonts w:ascii="Calibri" w:eastAsia="Calibri" w:hAnsi="Calibri" w:cs="Times New Roman"/>
          <w:kern w:val="2"/>
          <w:lang w:val="en-US"/>
        </w:rPr>
        <w:t>Option 1:</w:t>
      </w:r>
    </w:p>
    <w:p w:rsidR="00281EDD" w:rsidRDefault="00422A2F" w:rsidP="00281EDD">
      <w:pPr>
        <w:rPr>
          <w:rFonts w:ascii="Calibri" w:eastAsia="Calibri" w:hAnsi="Calibri" w:cs="Times New Roman"/>
          <w:kern w:val="2"/>
          <w:highlight w:val="yellow"/>
          <w:lang w:val="en-US"/>
        </w:rPr>
      </w:pPr>
      <w:r>
        <w:rPr>
          <w:rFonts w:ascii="Calibri" w:eastAsia="Calibri" w:hAnsi="Calibri" w:cs="Times New Roman"/>
          <w:kern w:val="2"/>
          <w:lang w:val="en-US"/>
        </w:rPr>
        <w:t>Author(s) hereby declaring</w:t>
      </w:r>
      <w:r w:rsidR="00281EDD" w:rsidRPr="00422A2F">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 </w:t>
      </w:r>
    </w:p>
    <w:bookmarkEnd w:id="2"/>
    <w:bookmarkEnd w:id="3"/>
    <w:p w:rsidR="00422A2F" w:rsidRDefault="00422A2F" w:rsidP="00476D71">
      <w:pPr>
        <w:spacing w:after="0" w:line="360" w:lineRule="auto"/>
        <w:jc w:val="both"/>
        <w:rPr>
          <w:rFonts w:ascii="Arial" w:hAnsi="Arial" w:cs="Arial"/>
          <w:b/>
          <w:szCs w:val="20"/>
          <w:lang w:val="en-US"/>
        </w:rPr>
      </w:pPr>
    </w:p>
    <w:p w:rsidR="00476D71" w:rsidRPr="00476D71" w:rsidRDefault="00476D71" w:rsidP="00476D71">
      <w:pPr>
        <w:spacing w:after="0" w:line="360" w:lineRule="auto"/>
        <w:jc w:val="both"/>
        <w:rPr>
          <w:rFonts w:ascii="Arial" w:hAnsi="Arial" w:cs="Arial"/>
          <w:b/>
          <w:szCs w:val="20"/>
          <w:lang w:val="en-US"/>
        </w:rPr>
      </w:pPr>
      <w:r w:rsidRPr="00476D71">
        <w:rPr>
          <w:rFonts w:ascii="Arial" w:hAnsi="Arial" w:cs="Arial"/>
          <w:b/>
          <w:szCs w:val="20"/>
          <w:lang w:val="en-US"/>
        </w:rPr>
        <w:t>REFERENCES:</w:t>
      </w:r>
    </w:p>
    <w:p w:rsidR="00476D71" w:rsidRDefault="00476D71" w:rsidP="009376D0">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Dr Babita Dubey, &amp; Amit Chaudhary. (2025). An Analytical Study on Non-Performing Assets (NPAs) in Canara Bank: Causes, Trends, and Impact on Profitability. </w:t>
      </w:r>
      <w:r w:rsidRPr="00476D71">
        <w:rPr>
          <w:rFonts w:ascii="Arial" w:eastAsia="Times New Roman" w:hAnsi="Arial" w:cs="Arial"/>
          <w:iCs/>
          <w:sz w:val="20"/>
          <w:szCs w:val="20"/>
          <w:lang w:eastAsia="en-IN"/>
        </w:rPr>
        <w:t>European Economic Letters</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15</w:t>
      </w:r>
      <w:r w:rsidRPr="00476D71">
        <w:rPr>
          <w:rFonts w:ascii="Arial" w:eastAsia="Times New Roman" w:hAnsi="Arial" w:cs="Arial"/>
          <w:sz w:val="20"/>
          <w:szCs w:val="20"/>
          <w:lang w:eastAsia="en-IN"/>
        </w:rPr>
        <w:t>(1), 3378–3381.</w:t>
      </w:r>
      <w:r w:rsidR="009376D0">
        <w:rPr>
          <w:rFonts w:ascii="Arial" w:eastAsia="Times New Roman" w:hAnsi="Arial" w:cs="Arial"/>
          <w:sz w:val="20"/>
          <w:szCs w:val="20"/>
          <w:lang w:eastAsia="en-IN"/>
        </w:rPr>
        <w:t xml:space="preserve"> </w:t>
      </w:r>
      <w:r w:rsidR="009376D0" w:rsidRPr="009376D0">
        <w:rPr>
          <w:rFonts w:ascii="Arial" w:eastAsia="Times New Roman" w:hAnsi="Arial" w:cs="Arial"/>
          <w:sz w:val="20"/>
          <w:szCs w:val="20"/>
          <w:lang w:eastAsia="en-IN"/>
        </w:rPr>
        <w:t xml:space="preserve">Retrieved from </w:t>
      </w:r>
      <w:hyperlink r:id="rId14" w:history="1">
        <w:r w:rsidR="009376D0" w:rsidRPr="007758AB">
          <w:rPr>
            <w:rStyle w:val="Hyperlink"/>
            <w:rFonts w:ascii="Arial" w:eastAsia="Times New Roman" w:hAnsi="Arial" w:cs="Arial"/>
            <w:sz w:val="20"/>
            <w:szCs w:val="20"/>
            <w:lang w:eastAsia="en-IN"/>
          </w:rPr>
          <w:t>https://www.eelet.org.uk/index.php/journal/article/view/2737</w:t>
        </w:r>
      </w:hyperlink>
    </w:p>
    <w:p w:rsidR="00476D71" w:rsidRPr="00476D71" w:rsidRDefault="00476D71" w:rsidP="009376D0">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Dr Sukanta Sarkar. (2025). CURRENT STATUS OF NON-PERFORMING ASSETS OF BANKING SECTOR OF INDIA WITH SPECIAL REFERENCES TO CAUSES AND GOVERNMENT INITIATIVES. </w:t>
      </w:r>
      <w:r w:rsidRPr="00476D71">
        <w:rPr>
          <w:rFonts w:ascii="Arial" w:eastAsia="Times New Roman" w:hAnsi="Arial" w:cs="Arial"/>
          <w:iCs/>
          <w:sz w:val="20"/>
          <w:szCs w:val="20"/>
          <w:lang w:eastAsia="en-IN"/>
        </w:rPr>
        <w:t>International Journal of Management, Public Policy and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4</w:t>
      </w:r>
      <w:r w:rsidRPr="00476D71">
        <w:rPr>
          <w:rFonts w:ascii="Arial" w:eastAsia="Times New Roman" w:hAnsi="Arial" w:cs="Arial"/>
          <w:sz w:val="20"/>
          <w:szCs w:val="20"/>
          <w:lang w:eastAsia="en-IN"/>
        </w:rPr>
        <w:t>(1), 8–19.</w:t>
      </w:r>
      <w:r w:rsidR="009376D0">
        <w:rPr>
          <w:rFonts w:ascii="Arial" w:eastAsia="Times New Roman" w:hAnsi="Arial" w:cs="Arial"/>
          <w:sz w:val="20"/>
          <w:szCs w:val="20"/>
          <w:lang w:eastAsia="en-IN"/>
        </w:rPr>
        <w:t xml:space="preserve"> </w:t>
      </w:r>
      <w:hyperlink r:id="rId15" w:history="1">
        <w:r w:rsidR="009376D0" w:rsidRPr="007758AB">
          <w:rPr>
            <w:rStyle w:val="Hyperlink"/>
            <w:rFonts w:ascii="Arial" w:eastAsia="Times New Roman" w:hAnsi="Arial" w:cs="Arial"/>
            <w:sz w:val="20"/>
            <w:szCs w:val="20"/>
            <w:lang w:eastAsia="en-IN"/>
          </w:rPr>
          <w:t>https://doi.org/10.55829/ijmpr.v4i1.261</w:t>
        </w:r>
      </w:hyperlink>
      <w:r w:rsidR="009376D0">
        <w:rPr>
          <w:rFonts w:ascii="Arial" w:eastAsia="Times New Roman" w:hAnsi="Arial" w:cs="Arial"/>
          <w:sz w:val="20"/>
          <w:szCs w:val="20"/>
          <w:lang w:eastAsia="en-IN"/>
        </w:rPr>
        <w:t xml:space="preserve"> </w:t>
      </w:r>
    </w:p>
    <w:p w:rsidR="00476D71" w:rsidRPr="00476D71" w:rsidRDefault="00476D71" w:rsidP="00476D71">
      <w:pPr>
        <w:numPr>
          <w:ilvl w:val="0"/>
          <w:numId w:val="4"/>
        </w:numPr>
        <w:spacing w:after="0" w:line="480" w:lineRule="auto"/>
        <w:contextualSpacing/>
        <w:jc w:val="both"/>
        <w:rPr>
          <w:rFonts w:ascii="Arial" w:eastAsia="Times New Roman" w:hAnsi="Arial" w:cs="Arial"/>
          <w:color w:val="0000FF"/>
          <w:sz w:val="20"/>
          <w:szCs w:val="20"/>
          <w:u w:val="single"/>
          <w:lang w:eastAsia="en-IN"/>
        </w:rPr>
      </w:pPr>
      <w:r w:rsidRPr="00476D71">
        <w:rPr>
          <w:rFonts w:ascii="Arial" w:eastAsia="Times New Roman" w:hAnsi="Arial" w:cs="Arial"/>
          <w:sz w:val="20"/>
          <w:szCs w:val="20"/>
          <w:lang w:eastAsia="en-IN"/>
        </w:rPr>
        <w:t xml:space="preserve">S. V Rajkumar, Paul, D., (2025). TRENDS AND PATTERNS OF NPAS IN PUBLIC AND PRIVATE SECTOR COMMERCIAL BANKS IN INDIA: A DECADAL ANALYSIS (2013 2023). </w:t>
      </w:r>
      <w:r w:rsidRPr="00476D71">
        <w:rPr>
          <w:rFonts w:ascii="Arial" w:eastAsia="Times New Roman" w:hAnsi="Arial" w:cs="Arial"/>
          <w:iCs/>
          <w:sz w:val="20"/>
          <w:szCs w:val="20"/>
          <w:lang w:eastAsia="en-IN"/>
        </w:rPr>
        <w:t>International Journal of Advanced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13</w:t>
      </w:r>
      <w:r w:rsidRPr="00476D71">
        <w:rPr>
          <w:rFonts w:ascii="Arial" w:eastAsia="Times New Roman" w:hAnsi="Arial" w:cs="Arial"/>
          <w:sz w:val="20"/>
          <w:szCs w:val="20"/>
          <w:lang w:eastAsia="en-IN"/>
        </w:rPr>
        <w:t xml:space="preserve">(06), 1039–1047. </w:t>
      </w:r>
      <w:hyperlink r:id="rId16" w:history="1">
        <w:r w:rsidRPr="00476D71">
          <w:rPr>
            <w:rFonts w:ascii="Arial" w:eastAsia="Times New Roman" w:hAnsi="Arial" w:cs="Arial"/>
            <w:color w:val="0000FF"/>
            <w:sz w:val="20"/>
            <w:szCs w:val="20"/>
            <w:u w:val="single"/>
            <w:lang w:eastAsia="en-IN"/>
          </w:rPr>
          <w:t>https://doi.org/10.21474/IJAR01/21166</w:t>
        </w:r>
      </w:hyperlink>
    </w:p>
    <w:p w:rsidR="00476D71" w:rsidRPr="00476D71" w:rsidRDefault="00476D71" w:rsidP="009376D0">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Sridevi, &amp; Dr Prakash Yalavatti. (2024). A Study on Non-Performing Assets of Scheduled Commercial Banks in India. </w:t>
      </w:r>
      <w:r w:rsidRPr="00476D71">
        <w:rPr>
          <w:rFonts w:ascii="Arial" w:eastAsia="Times New Roman" w:hAnsi="Arial" w:cs="Arial"/>
          <w:iCs/>
          <w:sz w:val="20"/>
          <w:szCs w:val="20"/>
          <w:lang w:eastAsia="en-IN"/>
        </w:rPr>
        <w:t>Journal of Emerging Technologies and Innovative Research</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11</w:t>
      </w:r>
      <w:r w:rsidRPr="00476D71">
        <w:rPr>
          <w:rFonts w:ascii="Arial" w:eastAsia="Times New Roman" w:hAnsi="Arial" w:cs="Arial"/>
          <w:sz w:val="20"/>
          <w:szCs w:val="20"/>
          <w:lang w:eastAsia="en-IN"/>
        </w:rPr>
        <w:t>(12), 604–612.</w:t>
      </w:r>
      <w:r w:rsidR="009376D0">
        <w:rPr>
          <w:rFonts w:ascii="Arial" w:eastAsia="Times New Roman" w:hAnsi="Arial" w:cs="Arial"/>
          <w:sz w:val="20"/>
          <w:szCs w:val="20"/>
          <w:lang w:eastAsia="en-IN"/>
        </w:rPr>
        <w:t xml:space="preserve"> </w:t>
      </w:r>
      <w:hyperlink r:id="rId17" w:history="1">
        <w:r w:rsidR="009376D0" w:rsidRPr="007758AB">
          <w:rPr>
            <w:rStyle w:val="Hyperlink"/>
            <w:rFonts w:ascii="Arial" w:eastAsia="Times New Roman" w:hAnsi="Arial" w:cs="Arial"/>
            <w:sz w:val="20"/>
            <w:szCs w:val="20"/>
            <w:lang w:eastAsia="en-IN"/>
          </w:rPr>
          <w:t>http://www.jetir.org/papers/JETIR2412771.pdf</w:t>
        </w:r>
      </w:hyperlink>
      <w:r w:rsidR="009376D0">
        <w:rPr>
          <w:rFonts w:ascii="Arial" w:eastAsia="Times New Roman" w:hAnsi="Arial" w:cs="Arial"/>
          <w:sz w:val="20"/>
          <w:szCs w:val="20"/>
          <w:lang w:eastAsia="en-IN"/>
        </w:rPr>
        <w:t xml:space="preserve"> </w:t>
      </w:r>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Sakshi Mathur. (2022). NPA status of Indian banks in pre and post liberalization era. </w:t>
      </w:r>
      <w:r w:rsidRPr="00476D71">
        <w:rPr>
          <w:rFonts w:ascii="Arial" w:eastAsia="Times New Roman" w:hAnsi="Arial" w:cs="Arial"/>
          <w:iCs/>
          <w:sz w:val="20"/>
          <w:szCs w:val="20"/>
          <w:lang w:eastAsia="en-IN"/>
        </w:rPr>
        <w:t>International Journal of Financial Management and Economics</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5</w:t>
      </w:r>
      <w:r w:rsidRPr="00476D71">
        <w:rPr>
          <w:rFonts w:ascii="Arial" w:eastAsia="Times New Roman" w:hAnsi="Arial" w:cs="Arial"/>
          <w:sz w:val="20"/>
          <w:szCs w:val="20"/>
          <w:lang w:eastAsia="en-IN"/>
        </w:rPr>
        <w:t xml:space="preserve">(2), 137–141. </w:t>
      </w:r>
      <w:hyperlink r:id="rId18" w:history="1">
        <w:r w:rsidRPr="00476D71">
          <w:rPr>
            <w:rFonts w:ascii="Arial" w:eastAsia="Times New Roman" w:hAnsi="Arial" w:cs="Arial"/>
            <w:color w:val="0000FF"/>
            <w:sz w:val="20"/>
            <w:szCs w:val="20"/>
            <w:u w:val="single"/>
            <w:lang w:eastAsia="en-IN"/>
          </w:rPr>
          <w:t>https://doi.org/10.33545/26179210.2022.v5.i2.198</w:t>
        </w:r>
      </w:hyperlink>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lastRenderedPageBreak/>
        <w:t xml:space="preserve">Dr Urmila Bharti, Dr Surender Singh, &amp; Dr Rakesh Kumar. (2022). Non-Performing Assets of Commercial Banks: A Trend Analysis. </w:t>
      </w:r>
      <w:r w:rsidRPr="00476D71">
        <w:rPr>
          <w:rFonts w:ascii="Arial" w:eastAsia="Times New Roman" w:hAnsi="Arial" w:cs="Arial"/>
          <w:iCs/>
          <w:sz w:val="20"/>
          <w:szCs w:val="20"/>
          <w:lang w:eastAsia="en-IN"/>
        </w:rPr>
        <w:t>Indian Journal of Business Administration</w:t>
      </w:r>
      <w:r w:rsidRPr="00476D71">
        <w:rPr>
          <w:rFonts w:ascii="Arial" w:eastAsia="Times New Roman" w:hAnsi="Arial" w:cs="Arial"/>
          <w:sz w:val="20"/>
          <w:szCs w:val="20"/>
          <w:lang w:eastAsia="en-IN"/>
        </w:rPr>
        <w:t xml:space="preserve">, </w:t>
      </w:r>
      <w:r w:rsidRPr="00476D71">
        <w:rPr>
          <w:rFonts w:ascii="Arial" w:eastAsia="Times New Roman" w:hAnsi="Arial" w:cs="Arial"/>
          <w:iCs/>
          <w:sz w:val="20"/>
          <w:szCs w:val="20"/>
          <w:lang w:eastAsia="en-IN"/>
        </w:rPr>
        <w:t>15</w:t>
      </w:r>
      <w:r w:rsidRPr="00476D71">
        <w:rPr>
          <w:rFonts w:ascii="Arial" w:eastAsia="Times New Roman" w:hAnsi="Arial" w:cs="Arial"/>
          <w:sz w:val="20"/>
          <w:szCs w:val="20"/>
          <w:lang w:eastAsia="en-IN"/>
        </w:rPr>
        <w:t>(1), 110–123.</w:t>
      </w:r>
    </w:p>
    <w:p w:rsidR="00422A2F" w:rsidRDefault="00422A2F" w:rsidP="00525395">
      <w:pPr>
        <w:numPr>
          <w:ilvl w:val="0"/>
          <w:numId w:val="4"/>
        </w:numPr>
        <w:spacing w:after="0" w:line="480" w:lineRule="auto"/>
        <w:contextualSpacing/>
        <w:jc w:val="both"/>
        <w:rPr>
          <w:rFonts w:ascii="Arial" w:eastAsia="Times New Roman" w:hAnsi="Arial" w:cs="Arial"/>
          <w:sz w:val="20"/>
          <w:szCs w:val="20"/>
          <w:lang w:eastAsia="en-IN"/>
        </w:rPr>
      </w:pPr>
      <w:r w:rsidRPr="00422A2F">
        <w:rPr>
          <w:rFonts w:ascii="Arial" w:eastAsia="Times New Roman" w:hAnsi="Arial" w:cs="Arial"/>
          <w:sz w:val="20"/>
          <w:szCs w:val="20"/>
          <w:lang w:eastAsia="en-IN"/>
        </w:rPr>
        <w:t>Batra, V. and Batra, N. (2020). Trends and Differences in NPAs across Bank Groups in India. Global Journal of Finance and Management, 12(1), 1-17.</w:t>
      </w:r>
      <w:r w:rsidR="00525395">
        <w:rPr>
          <w:rFonts w:ascii="Arial" w:eastAsia="Times New Roman" w:hAnsi="Arial" w:cs="Arial"/>
          <w:sz w:val="20"/>
          <w:szCs w:val="20"/>
          <w:lang w:eastAsia="en-IN"/>
        </w:rPr>
        <w:t xml:space="preserve"> </w:t>
      </w:r>
      <w:hyperlink r:id="rId19" w:history="1">
        <w:r w:rsidR="00525395" w:rsidRPr="007758AB">
          <w:rPr>
            <w:rStyle w:val="Hyperlink"/>
            <w:rFonts w:ascii="Arial" w:eastAsia="Times New Roman" w:hAnsi="Arial" w:cs="Arial"/>
            <w:sz w:val="20"/>
            <w:szCs w:val="20"/>
            <w:lang w:eastAsia="en-IN"/>
          </w:rPr>
          <w:t>https://www.ripublication.com/gjfm20/gjfmv12n1_01.pdf</w:t>
        </w:r>
      </w:hyperlink>
      <w:r w:rsidR="00525395">
        <w:rPr>
          <w:rFonts w:ascii="Arial" w:eastAsia="Times New Roman" w:hAnsi="Arial" w:cs="Arial"/>
          <w:sz w:val="20"/>
          <w:szCs w:val="20"/>
          <w:lang w:eastAsia="en-IN"/>
        </w:rPr>
        <w:t xml:space="preserve"> </w:t>
      </w:r>
    </w:p>
    <w:p w:rsidR="00422A2F" w:rsidRDefault="00422A2F" w:rsidP="00525395">
      <w:pPr>
        <w:numPr>
          <w:ilvl w:val="0"/>
          <w:numId w:val="4"/>
        </w:numPr>
        <w:spacing w:after="0" w:line="480" w:lineRule="auto"/>
        <w:contextualSpacing/>
        <w:jc w:val="both"/>
        <w:rPr>
          <w:rFonts w:ascii="Arial" w:eastAsia="Times New Roman" w:hAnsi="Arial" w:cs="Arial"/>
          <w:sz w:val="20"/>
          <w:szCs w:val="20"/>
          <w:lang w:eastAsia="en-IN"/>
        </w:rPr>
      </w:pPr>
      <w:r w:rsidRPr="00422A2F">
        <w:rPr>
          <w:rFonts w:ascii="Arial" w:eastAsia="Times New Roman" w:hAnsi="Arial" w:cs="Arial"/>
          <w:sz w:val="20"/>
          <w:szCs w:val="20"/>
          <w:lang w:eastAsia="en-IN"/>
        </w:rPr>
        <w:t>Singh, A.K. and Prasad, R. (2018). A Trend Analysis of NPAs of Banks in India for 2008-18. Business Analyst, 41(1), 2018, pp. 23-53, ISSN No. 0973-211X.</w:t>
      </w:r>
      <w:r w:rsidR="00525395">
        <w:rPr>
          <w:rFonts w:ascii="Arial" w:eastAsia="Times New Roman" w:hAnsi="Arial" w:cs="Arial"/>
          <w:sz w:val="20"/>
          <w:szCs w:val="20"/>
          <w:lang w:eastAsia="en-IN"/>
        </w:rPr>
        <w:t xml:space="preserve"> </w:t>
      </w:r>
      <w:hyperlink r:id="rId20" w:history="1">
        <w:r w:rsidR="00525395" w:rsidRPr="007758AB">
          <w:rPr>
            <w:rStyle w:val="Hyperlink"/>
            <w:rFonts w:ascii="Arial" w:eastAsia="Times New Roman" w:hAnsi="Arial" w:cs="Arial"/>
            <w:sz w:val="20"/>
            <w:szCs w:val="20"/>
            <w:lang w:eastAsia="en-IN"/>
          </w:rPr>
          <w:t>https://www.srcc.edu/system/files/Article-2-NPAs%20in%20Indian%20Banking%20System.pdf</w:t>
        </w:r>
      </w:hyperlink>
      <w:r w:rsidR="00525395">
        <w:rPr>
          <w:rFonts w:ascii="Arial" w:eastAsia="Times New Roman" w:hAnsi="Arial" w:cs="Arial"/>
          <w:sz w:val="20"/>
          <w:szCs w:val="20"/>
          <w:lang w:eastAsia="en-IN"/>
        </w:rPr>
        <w:t xml:space="preserve"> </w:t>
      </w:r>
    </w:p>
    <w:p w:rsidR="00422A2F" w:rsidRPr="00422A2F" w:rsidRDefault="00422A2F" w:rsidP="00422A2F">
      <w:pPr>
        <w:pStyle w:val="ListParagraph"/>
        <w:numPr>
          <w:ilvl w:val="0"/>
          <w:numId w:val="4"/>
        </w:numPr>
        <w:rPr>
          <w:rFonts w:ascii="Arial" w:eastAsia="Times New Roman" w:hAnsi="Arial" w:cs="Arial"/>
          <w:sz w:val="20"/>
          <w:szCs w:val="20"/>
          <w:lang w:eastAsia="en-IN"/>
        </w:rPr>
      </w:pPr>
      <w:r w:rsidRPr="00422A2F">
        <w:rPr>
          <w:rFonts w:ascii="Arial" w:eastAsia="Times New Roman" w:hAnsi="Arial" w:cs="Arial"/>
          <w:sz w:val="20"/>
          <w:szCs w:val="20"/>
          <w:lang w:eastAsia="en-IN"/>
        </w:rPr>
        <w:t>Sengupta, et.al. (2017). NPAs in Indian banks: This time it is different.  IGIDR, Mumbai</w:t>
      </w:r>
    </w:p>
    <w:p w:rsidR="00A343BC" w:rsidRDefault="00A343BC" w:rsidP="00024A84">
      <w:pPr>
        <w:numPr>
          <w:ilvl w:val="0"/>
          <w:numId w:val="4"/>
        </w:numPr>
        <w:spacing w:after="0" w:line="480" w:lineRule="auto"/>
        <w:contextualSpacing/>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Reserve Bank of India (n.d.). Classification of NPAs. Retrieved from </w:t>
      </w:r>
      <w:hyperlink r:id="rId21" w:history="1">
        <w:r w:rsidRPr="007758AB">
          <w:rPr>
            <w:rStyle w:val="Hyperlink"/>
            <w:rFonts w:ascii="Arial" w:eastAsia="Times New Roman" w:hAnsi="Arial" w:cs="Arial"/>
            <w:sz w:val="20"/>
            <w:szCs w:val="20"/>
            <w:lang w:eastAsia="en-IN"/>
          </w:rPr>
          <w:t>https://www.rbi.org.in/commonperson/English/scripts/Notification.aspx?Id=889#L3</w:t>
        </w:r>
      </w:hyperlink>
    </w:p>
    <w:p w:rsidR="00476D71" w:rsidRPr="00476D71" w:rsidRDefault="00476D71" w:rsidP="00024A84">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State Bank of India. (n.d.). Annual Reports. Retrieved from</w:t>
      </w:r>
      <w:r w:rsidR="00BC4743">
        <w:rPr>
          <w:rFonts w:ascii="Arial" w:eastAsia="Times New Roman" w:hAnsi="Arial" w:cs="Arial"/>
          <w:sz w:val="20"/>
          <w:szCs w:val="20"/>
          <w:lang w:eastAsia="en-IN"/>
        </w:rPr>
        <w:t xml:space="preserve"> </w:t>
      </w:r>
      <w:hyperlink r:id="rId22" w:history="1">
        <w:r w:rsidRPr="00476D71">
          <w:rPr>
            <w:rFonts w:ascii="Arial" w:eastAsia="Times New Roman" w:hAnsi="Arial" w:cs="Arial"/>
            <w:color w:val="0000FF"/>
            <w:sz w:val="20"/>
            <w:szCs w:val="20"/>
            <w:u w:val="single"/>
            <w:lang w:eastAsia="en-IN"/>
          </w:rPr>
          <w:t>https://sbi.co.in/web/corporate-governance/annual-report-</w:t>
        </w:r>
      </w:hyperlink>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Bank of Baroda. (n.d.). Annual Reports. Retrieved from </w:t>
      </w:r>
      <w:hyperlink r:id="rId23" w:history="1">
        <w:r w:rsidRPr="00476D71">
          <w:rPr>
            <w:rFonts w:ascii="Arial" w:eastAsia="Times New Roman" w:hAnsi="Arial" w:cs="Arial"/>
            <w:color w:val="0000FF"/>
            <w:sz w:val="20"/>
            <w:szCs w:val="20"/>
            <w:u w:val="single"/>
            <w:lang w:eastAsia="en-IN"/>
          </w:rPr>
          <w:t>https://www.bankofbaroda.in/shareholders-corner/annual-reports</w:t>
        </w:r>
      </w:hyperlink>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Punjab National Bank. (n.d.). Annual Reports. Retrieved from </w:t>
      </w:r>
      <w:hyperlink r:id="rId24" w:history="1">
        <w:r w:rsidRPr="00476D71">
          <w:rPr>
            <w:rFonts w:ascii="Arial" w:eastAsia="Times New Roman" w:hAnsi="Arial" w:cs="Arial"/>
            <w:color w:val="0000FF"/>
            <w:sz w:val="20"/>
            <w:szCs w:val="20"/>
            <w:u w:val="single"/>
            <w:lang w:eastAsia="en-IN"/>
          </w:rPr>
          <w:t>https://www.pnbindia.in/annual-reports.html</w:t>
        </w:r>
      </w:hyperlink>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HDFC Bank. (n.d.). Annual Reports. Retrieved from </w:t>
      </w:r>
      <w:hyperlink r:id="rId25" w:history="1">
        <w:r w:rsidRPr="00476D71">
          <w:rPr>
            <w:rFonts w:ascii="Arial" w:eastAsia="Times New Roman" w:hAnsi="Arial" w:cs="Arial"/>
            <w:color w:val="0000FF"/>
            <w:sz w:val="20"/>
            <w:szCs w:val="20"/>
            <w:u w:val="single"/>
            <w:lang w:eastAsia="en-IN"/>
          </w:rPr>
          <w:t>https://www.hdfcbank.com/personal/about-us/investor-relations/annual-reports</w:t>
        </w:r>
      </w:hyperlink>
    </w:p>
    <w:p w:rsidR="00476D71" w:rsidRPr="00476D71" w:rsidRDefault="009376D0" w:rsidP="00476D71">
      <w:pPr>
        <w:numPr>
          <w:ilvl w:val="0"/>
          <w:numId w:val="4"/>
        </w:numPr>
        <w:spacing w:after="0" w:line="480" w:lineRule="auto"/>
        <w:contextualSpacing/>
        <w:jc w:val="both"/>
        <w:rPr>
          <w:rFonts w:ascii="Arial" w:eastAsia="Times New Roman" w:hAnsi="Arial" w:cs="Arial"/>
          <w:sz w:val="20"/>
          <w:szCs w:val="20"/>
          <w:lang w:eastAsia="en-IN"/>
        </w:rPr>
      </w:pPr>
      <w:r>
        <w:rPr>
          <w:rFonts w:ascii="Arial" w:eastAsia="Times New Roman" w:hAnsi="Arial" w:cs="Arial"/>
          <w:sz w:val="20"/>
          <w:szCs w:val="20"/>
          <w:lang w:eastAsia="en-IN"/>
        </w:rPr>
        <w:t>ICICI</w:t>
      </w:r>
      <w:r w:rsidR="00476D71" w:rsidRPr="00476D71">
        <w:rPr>
          <w:rFonts w:ascii="Arial" w:eastAsia="Times New Roman" w:hAnsi="Arial" w:cs="Arial"/>
          <w:sz w:val="20"/>
          <w:szCs w:val="20"/>
          <w:lang w:eastAsia="en-IN"/>
        </w:rPr>
        <w:t xml:space="preserve"> Bank. (n.d.). Annual Reports. Retrieved from </w:t>
      </w:r>
      <w:hyperlink r:id="rId26" w:history="1">
        <w:r w:rsidR="00476D71" w:rsidRPr="00476D71">
          <w:rPr>
            <w:rFonts w:ascii="Arial" w:eastAsia="Times New Roman" w:hAnsi="Arial" w:cs="Arial"/>
            <w:color w:val="0000FF"/>
            <w:sz w:val="20"/>
            <w:szCs w:val="20"/>
            <w:u w:val="single"/>
            <w:lang w:eastAsia="en-IN"/>
          </w:rPr>
          <w:t>https://www.icicibank.com/about-us/annual</w:t>
        </w:r>
      </w:hyperlink>
    </w:p>
    <w:p w:rsidR="00476D71" w:rsidRPr="00476D71" w:rsidRDefault="00476D71" w:rsidP="00476D71">
      <w:pPr>
        <w:numPr>
          <w:ilvl w:val="0"/>
          <w:numId w:val="4"/>
        </w:numPr>
        <w:spacing w:after="0" w:line="480" w:lineRule="auto"/>
        <w:contextualSpacing/>
        <w:jc w:val="both"/>
        <w:rPr>
          <w:rFonts w:ascii="Arial" w:eastAsia="Times New Roman" w:hAnsi="Arial" w:cs="Arial"/>
          <w:sz w:val="20"/>
          <w:szCs w:val="20"/>
          <w:lang w:eastAsia="en-IN"/>
        </w:rPr>
      </w:pPr>
      <w:r w:rsidRPr="00476D71">
        <w:rPr>
          <w:rFonts w:ascii="Arial" w:eastAsia="Times New Roman" w:hAnsi="Arial" w:cs="Arial"/>
          <w:sz w:val="20"/>
          <w:szCs w:val="20"/>
          <w:lang w:eastAsia="en-IN"/>
        </w:rPr>
        <w:t xml:space="preserve">Axis Bank (n.d.). Annual Reports. Retrieved from </w:t>
      </w:r>
      <w:hyperlink r:id="rId27" w:history="1">
        <w:r w:rsidRPr="00476D71">
          <w:rPr>
            <w:rFonts w:ascii="Arial" w:eastAsia="Times New Roman" w:hAnsi="Arial" w:cs="Arial"/>
            <w:color w:val="0000FF"/>
            <w:sz w:val="20"/>
            <w:szCs w:val="20"/>
            <w:u w:val="single"/>
            <w:lang w:eastAsia="en-IN"/>
          </w:rPr>
          <w:t>https://www.axisbank.com/shareholders-corner/shareholders-information/annual-reports</w:t>
        </w:r>
      </w:hyperlink>
    </w:p>
    <w:p w:rsidR="00476D71" w:rsidRPr="00476D71" w:rsidRDefault="00476D71" w:rsidP="00476D71">
      <w:pPr>
        <w:spacing w:after="0" w:line="480" w:lineRule="auto"/>
        <w:ind w:left="720"/>
        <w:contextualSpacing/>
        <w:jc w:val="both"/>
        <w:rPr>
          <w:rFonts w:ascii="Times New Roman" w:eastAsia="Times New Roman" w:hAnsi="Times New Roman" w:cs="Times New Roman"/>
          <w:sz w:val="24"/>
          <w:szCs w:val="24"/>
          <w:lang w:eastAsia="en-IN"/>
        </w:rPr>
      </w:pPr>
    </w:p>
    <w:p w:rsidR="00476D71" w:rsidRPr="00476D71" w:rsidRDefault="00476D71" w:rsidP="00476D71">
      <w:pPr>
        <w:spacing w:after="0" w:line="480" w:lineRule="auto"/>
        <w:ind w:hanging="480"/>
        <w:jc w:val="both"/>
        <w:rPr>
          <w:rFonts w:ascii="Times New Roman" w:eastAsia="Times New Roman" w:hAnsi="Times New Roman" w:cs="Times New Roman"/>
          <w:sz w:val="24"/>
          <w:szCs w:val="24"/>
          <w:lang w:eastAsia="en-IN"/>
        </w:rPr>
      </w:pPr>
    </w:p>
    <w:p w:rsidR="004A76B2" w:rsidRPr="004A76B2" w:rsidRDefault="004A76B2" w:rsidP="00476D71">
      <w:pPr>
        <w:spacing w:line="360" w:lineRule="auto"/>
        <w:rPr>
          <w:b/>
        </w:rPr>
      </w:pPr>
    </w:p>
    <w:sectPr w:rsidR="004A76B2" w:rsidRPr="004A76B2" w:rsidSect="00B5584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BD2" w:rsidRDefault="00774BD2" w:rsidP="00BC4743">
      <w:pPr>
        <w:spacing w:after="0" w:line="240" w:lineRule="auto"/>
      </w:pPr>
      <w:r>
        <w:separator/>
      </w:r>
    </w:p>
  </w:endnote>
  <w:endnote w:type="continuationSeparator" w:id="0">
    <w:p w:rsidR="00774BD2" w:rsidRDefault="00774BD2" w:rsidP="00BC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25" w:rsidRDefault="000A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512269"/>
      <w:docPartObj>
        <w:docPartGallery w:val="Page Numbers (Bottom of Page)"/>
        <w:docPartUnique/>
      </w:docPartObj>
    </w:sdtPr>
    <w:sdtEndPr>
      <w:rPr>
        <w:noProof/>
      </w:rPr>
    </w:sdtEndPr>
    <w:sdtContent>
      <w:p w:rsidR="000A4B25" w:rsidRDefault="000A4B25">
        <w:pPr>
          <w:pStyle w:val="Footer"/>
          <w:jc w:val="right"/>
        </w:pPr>
        <w:r>
          <w:fldChar w:fldCharType="begin"/>
        </w:r>
        <w:r>
          <w:instrText xml:space="preserve"> PAGE   \* MERGEFORMAT </w:instrText>
        </w:r>
        <w:r>
          <w:fldChar w:fldCharType="separate"/>
        </w:r>
        <w:r w:rsidR="00630A3C">
          <w:rPr>
            <w:noProof/>
          </w:rPr>
          <w:t>12</w:t>
        </w:r>
        <w:r>
          <w:rPr>
            <w:noProof/>
          </w:rPr>
          <w:fldChar w:fldCharType="end"/>
        </w:r>
      </w:p>
    </w:sdtContent>
  </w:sdt>
  <w:p w:rsidR="000A4B25" w:rsidRDefault="000A4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25" w:rsidRPr="00503137" w:rsidRDefault="000A4B25" w:rsidP="0050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BD2" w:rsidRDefault="00774BD2" w:rsidP="00BC4743">
      <w:pPr>
        <w:spacing w:after="0" w:line="240" w:lineRule="auto"/>
      </w:pPr>
      <w:r>
        <w:separator/>
      </w:r>
    </w:p>
  </w:footnote>
  <w:footnote w:type="continuationSeparator" w:id="0">
    <w:p w:rsidR="00774BD2" w:rsidRDefault="00774BD2" w:rsidP="00BC4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25" w:rsidRDefault="000A4B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2" o:spid="_x0000_s2050" type="#_x0000_t136" style="position:absolute;margin-left:0;margin-top:0;width:503.4pt;height:9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25" w:rsidRDefault="000A4B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3" o:spid="_x0000_s2051" type="#_x0000_t136" style="position:absolute;margin-left:0;margin-top:0;width:503.4pt;height:9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25" w:rsidRDefault="000A4B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37921" o:spid="_x0000_s2049" type="#_x0000_t136" style="position:absolute;margin-left:0;margin-top:0;width:503.4pt;height:9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07D"/>
    <w:multiLevelType w:val="hybridMultilevel"/>
    <w:tmpl w:val="DB700D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96253D"/>
    <w:multiLevelType w:val="hybridMultilevel"/>
    <w:tmpl w:val="CCAEE130"/>
    <w:lvl w:ilvl="0" w:tplc="91C6EE0C">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4B60E4"/>
    <w:multiLevelType w:val="hybridMultilevel"/>
    <w:tmpl w:val="99AA9E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9D7816"/>
    <w:multiLevelType w:val="hybridMultilevel"/>
    <w:tmpl w:val="834C87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76B2"/>
    <w:rsid w:val="00024A84"/>
    <w:rsid w:val="000A4B25"/>
    <w:rsid w:val="001922E2"/>
    <w:rsid w:val="001C3F05"/>
    <w:rsid w:val="00254FAA"/>
    <w:rsid w:val="00281EDD"/>
    <w:rsid w:val="003A5DA5"/>
    <w:rsid w:val="00407A4B"/>
    <w:rsid w:val="00422A2F"/>
    <w:rsid w:val="004246F9"/>
    <w:rsid w:val="00476D71"/>
    <w:rsid w:val="004A76B2"/>
    <w:rsid w:val="00503137"/>
    <w:rsid w:val="00525395"/>
    <w:rsid w:val="005D7F7B"/>
    <w:rsid w:val="00630A3C"/>
    <w:rsid w:val="00654316"/>
    <w:rsid w:val="006B7D84"/>
    <w:rsid w:val="00774BD2"/>
    <w:rsid w:val="0079598D"/>
    <w:rsid w:val="00802080"/>
    <w:rsid w:val="00841337"/>
    <w:rsid w:val="00854112"/>
    <w:rsid w:val="009376D0"/>
    <w:rsid w:val="00963DCC"/>
    <w:rsid w:val="00975A58"/>
    <w:rsid w:val="00985AD2"/>
    <w:rsid w:val="00A343BC"/>
    <w:rsid w:val="00AB0E13"/>
    <w:rsid w:val="00B058A1"/>
    <w:rsid w:val="00B55840"/>
    <w:rsid w:val="00BC4743"/>
    <w:rsid w:val="00BC5FCD"/>
    <w:rsid w:val="00CE23D0"/>
    <w:rsid w:val="00E14678"/>
    <w:rsid w:val="00E3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4"/>
      </o:rules>
    </o:shapelayout>
  </w:shapeDefaults>
  <w:decimalSymbol w:val="."/>
  <w:listSeparator w:val=","/>
  <w14:docId w14:val="7CBA5C68"/>
  <w15:docId w15:val="{99874682-C3CB-4CAE-A66E-C172759F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A76B2"/>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A76B2"/>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4A76B2"/>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BC4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43"/>
  </w:style>
  <w:style w:type="paragraph" w:styleId="Footer">
    <w:name w:val="footer"/>
    <w:basedOn w:val="Normal"/>
    <w:link w:val="FooterChar"/>
    <w:uiPriority w:val="99"/>
    <w:unhideWhenUsed/>
    <w:rsid w:val="00BC4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43"/>
  </w:style>
  <w:style w:type="character" w:styleId="Hyperlink">
    <w:name w:val="Hyperlink"/>
    <w:basedOn w:val="DefaultParagraphFont"/>
    <w:uiPriority w:val="99"/>
    <w:unhideWhenUsed/>
    <w:rsid w:val="00503137"/>
    <w:rPr>
      <w:color w:val="0563C1" w:themeColor="hyperlink"/>
      <w:u w:val="single"/>
    </w:rPr>
  </w:style>
  <w:style w:type="character" w:customStyle="1" w:styleId="UnresolvedMention">
    <w:name w:val="Unresolved Mention"/>
    <w:basedOn w:val="DefaultParagraphFont"/>
    <w:uiPriority w:val="99"/>
    <w:semiHidden/>
    <w:unhideWhenUsed/>
    <w:rsid w:val="00503137"/>
    <w:rPr>
      <w:color w:val="605E5C"/>
      <w:shd w:val="clear" w:color="auto" w:fill="E1DFDD"/>
    </w:rPr>
  </w:style>
  <w:style w:type="paragraph" w:styleId="ListParagraph">
    <w:name w:val="List Paragraph"/>
    <w:basedOn w:val="Normal"/>
    <w:uiPriority w:val="34"/>
    <w:qFormat/>
    <w:rsid w:val="00422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33545/26179210.2022.v5.i2.198" TargetMode="External"/><Relationship Id="rId26" Type="http://schemas.openxmlformats.org/officeDocument/2006/relationships/hyperlink" Target="https://www.icicibank.com/about-us/annual" TargetMode="External"/><Relationship Id="rId3" Type="http://schemas.openxmlformats.org/officeDocument/2006/relationships/settings" Target="settings.xml"/><Relationship Id="rId21" Type="http://schemas.openxmlformats.org/officeDocument/2006/relationships/hyperlink" Target="https://www.rbi.org.in/commonperson/English/scripts/Notification.aspx?Id=889#L3" TargetMode="External"/><Relationship Id="rId34"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yperlink" Target="http://www.jetir.org/papers/JETIR2412771.pdf" TargetMode="External"/><Relationship Id="rId25" Type="http://schemas.openxmlformats.org/officeDocument/2006/relationships/hyperlink" Target="https://www.hdfcbank.com/personal/about-us/investor-relations/annual-report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1474/IJAR01/21166" TargetMode="External"/><Relationship Id="rId20" Type="http://schemas.openxmlformats.org/officeDocument/2006/relationships/hyperlink" Target="https://www.srcc.edu/system/files/Article-2-NPAs%20in%20Indian%20Banking%20System.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www.pnbindia.in/annual-reports.htm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5829/ijmpr.v4i1.261" TargetMode="External"/><Relationship Id="rId23" Type="http://schemas.openxmlformats.org/officeDocument/2006/relationships/hyperlink" Target="https://www.bankofbaroda.in/shareholders-corner/annual-reports" TargetMode="External"/><Relationship Id="rId28"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hyperlink" Target="https://www.ripublication.com/gjfm20/gjfmv12n1_01.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eelet.org.uk/index.php/journal/article/view/2737" TargetMode="External"/><Relationship Id="rId22" Type="http://schemas.openxmlformats.org/officeDocument/2006/relationships/hyperlink" Target="https://sbi.co.in/web/corporate-governance/annual-report-" TargetMode="External"/><Relationship Id="rId27" Type="http://schemas.openxmlformats.org/officeDocument/2006/relationships/hyperlink" Target="https://www.axisbank.com/shareholders-corner/shareholders-information/annual-repor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SBI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Sheet1!$B$2:$B$11</c:f>
              <c:numCache>
                <c:formatCode>General</c:formatCode>
                <c:ptCount val="10"/>
                <c:pt idx="0">
                  <c:v>4.25</c:v>
                </c:pt>
                <c:pt idx="1">
                  <c:v>6.5</c:v>
                </c:pt>
                <c:pt idx="2">
                  <c:v>9.11</c:v>
                </c:pt>
                <c:pt idx="3">
                  <c:v>10.91</c:v>
                </c:pt>
                <c:pt idx="4">
                  <c:v>7.53</c:v>
                </c:pt>
                <c:pt idx="5">
                  <c:v>6.1499999999999995</c:v>
                </c:pt>
                <c:pt idx="6">
                  <c:v>4.9800000000000004</c:v>
                </c:pt>
                <c:pt idx="7">
                  <c:v>3.9699999999999998</c:v>
                </c:pt>
                <c:pt idx="8">
                  <c:v>2.7800000000000002</c:v>
                </c:pt>
                <c:pt idx="9">
                  <c:v>2.2400000000000002</c:v>
                </c:pt>
              </c:numCache>
            </c:numRef>
          </c:val>
          <c:extLst>
            <c:ext xmlns:c16="http://schemas.microsoft.com/office/drawing/2014/chart" uri="{C3380CC4-5D6E-409C-BE32-E72D297353CC}">
              <c16:uniqueId val="{00000000-0512-4ECF-B4CE-A3A8A244B4EF}"/>
            </c:ext>
          </c:extLst>
        </c:ser>
        <c:ser>
          <c:idx val="1"/>
          <c:order val="1"/>
          <c:tx>
            <c:strRef>
              <c:f>Sheet1!$C$1</c:f>
              <c:strCache>
                <c:ptCount val="1"/>
                <c:pt idx="0">
                  <c:v>BoB</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Sheet1!$C$2:$C$11</c:f>
              <c:numCache>
                <c:formatCode>General</c:formatCode>
                <c:ptCount val="10"/>
                <c:pt idx="0">
                  <c:v>3.71</c:v>
                </c:pt>
                <c:pt idx="1">
                  <c:v>9.99</c:v>
                </c:pt>
                <c:pt idx="2">
                  <c:v>10.46</c:v>
                </c:pt>
                <c:pt idx="3">
                  <c:v>12.26</c:v>
                </c:pt>
                <c:pt idx="4">
                  <c:v>9.61</c:v>
                </c:pt>
                <c:pt idx="5">
                  <c:v>9.4</c:v>
                </c:pt>
                <c:pt idx="6">
                  <c:v>8.8700000000000028</c:v>
                </c:pt>
                <c:pt idx="7">
                  <c:v>6.6099999999999985</c:v>
                </c:pt>
                <c:pt idx="8">
                  <c:v>3.79</c:v>
                </c:pt>
                <c:pt idx="9">
                  <c:v>2.92</c:v>
                </c:pt>
              </c:numCache>
            </c:numRef>
          </c:val>
          <c:extLst>
            <c:ext xmlns:c16="http://schemas.microsoft.com/office/drawing/2014/chart" uri="{C3380CC4-5D6E-409C-BE32-E72D297353CC}">
              <c16:uniqueId val="{00000001-0512-4ECF-B4CE-A3A8A244B4EF}"/>
            </c:ext>
          </c:extLst>
        </c:ser>
        <c:ser>
          <c:idx val="2"/>
          <c:order val="2"/>
          <c:tx>
            <c:strRef>
              <c:f>Sheet1!$D$1</c:f>
              <c:strCache>
                <c:ptCount val="1"/>
                <c:pt idx="0">
                  <c:v>PNB</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Sheet1!$D$2:$D$11</c:f>
              <c:numCache>
                <c:formatCode>General</c:formatCode>
                <c:ptCount val="10"/>
                <c:pt idx="0">
                  <c:v>6.55</c:v>
                </c:pt>
                <c:pt idx="1">
                  <c:v>12.9</c:v>
                </c:pt>
                <c:pt idx="2">
                  <c:v>12.53</c:v>
                </c:pt>
                <c:pt idx="3">
                  <c:v>18.38</c:v>
                </c:pt>
                <c:pt idx="4">
                  <c:v>15.5</c:v>
                </c:pt>
                <c:pt idx="5">
                  <c:v>14.21</c:v>
                </c:pt>
                <c:pt idx="6">
                  <c:v>14.1</c:v>
                </c:pt>
                <c:pt idx="7">
                  <c:v>11.78</c:v>
                </c:pt>
                <c:pt idx="8">
                  <c:v>8.74</c:v>
                </c:pt>
                <c:pt idx="9">
                  <c:v>5.73</c:v>
                </c:pt>
              </c:numCache>
            </c:numRef>
          </c:val>
          <c:extLst>
            <c:ext xmlns:c16="http://schemas.microsoft.com/office/drawing/2014/chart" uri="{C3380CC4-5D6E-409C-BE32-E72D297353CC}">
              <c16:uniqueId val="{00000002-0512-4ECF-B4CE-A3A8A244B4EF}"/>
            </c:ext>
          </c:extLst>
        </c:ser>
        <c:ser>
          <c:idx val="3"/>
          <c:order val="3"/>
          <c:tx>
            <c:strRef>
              <c:f>Sheet1!$E$1</c:f>
              <c:strCache>
                <c:ptCount val="1"/>
                <c:pt idx="0">
                  <c:v>HDFC</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Sheet1!$E$2:$E$11</c:f>
              <c:numCache>
                <c:formatCode>General</c:formatCode>
                <c:ptCount val="10"/>
                <c:pt idx="0">
                  <c:v>0.93</c:v>
                </c:pt>
                <c:pt idx="1">
                  <c:v>0.9</c:v>
                </c:pt>
                <c:pt idx="2">
                  <c:v>1.05</c:v>
                </c:pt>
                <c:pt idx="3">
                  <c:v>1.3</c:v>
                </c:pt>
                <c:pt idx="4">
                  <c:v>1.36</c:v>
                </c:pt>
                <c:pt idx="5">
                  <c:v>1.26</c:v>
                </c:pt>
                <c:pt idx="6">
                  <c:v>1.32</c:v>
                </c:pt>
                <c:pt idx="7">
                  <c:v>1.1700000000000004</c:v>
                </c:pt>
                <c:pt idx="8">
                  <c:v>1.1200000000000001</c:v>
                </c:pt>
                <c:pt idx="9">
                  <c:v>1.9200000000000004</c:v>
                </c:pt>
              </c:numCache>
            </c:numRef>
          </c:val>
          <c:extLst>
            <c:ext xmlns:c16="http://schemas.microsoft.com/office/drawing/2014/chart" uri="{C3380CC4-5D6E-409C-BE32-E72D297353CC}">
              <c16:uniqueId val="{00000003-0512-4ECF-B4CE-A3A8A244B4EF}"/>
            </c:ext>
          </c:extLst>
        </c:ser>
        <c:ser>
          <c:idx val="4"/>
          <c:order val="4"/>
          <c:tx>
            <c:strRef>
              <c:f>Sheet1!$F$1</c:f>
              <c:strCache>
                <c:ptCount val="1"/>
                <c:pt idx="0">
                  <c:v>ICICI</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Sheet1!$F$2:$F$11</c:f>
              <c:numCache>
                <c:formatCode>General</c:formatCode>
                <c:ptCount val="10"/>
                <c:pt idx="0">
                  <c:v>3.7800000000000002</c:v>
                </c:pt>
                <c:pt idx="1">
                  <c:v>5.21</c:v>
                </c:pt>
                <c:pt idx="2">
                  <c:v>7.89</c:v>
                </c:pt>
                <c:pt idx="3">
                  <c:v>8.84</c:v>
                </c:pt>
                <c:pt idx="4">
                  <c:v>6.7</c:v>
                </c:pt>
                <c:pt idx="5">
                  <c:v>5.53</c:v>
                </c:pt>
                <c:pt idx="6">
                  <c:v>4.96</c:v>
                </c:pt>
                <c:pt idx="7">
                  <c:v>3.6</c:v>
                </c:pt>
                <c:pt idx="8">
                  <c:v>2.8099999999999992</c:v>
                </c:pt>
                <c:pt idx="9">
                  <c:v>2.16</c:v>
                </c:pt>
              </c:numCache>
            </c:numRef>
          </c:val>
          <c:extLst>
            <c:ext xmlns:c16="http://schemas.microsoft.com/office/drawing/2014/chart" uri="{C3380CC4-5D6E-409C-BE32-E72D297353CC}">
              <c16:uniqueId val="{00000004-0512-4ECF-B4CE-A3A8A244B4EF}"/>
            </c:ext>
          </c:extLst>
        </c:ser>
        <c:ser>
          <c:idx val="5"/>
          <c:order val="5"/>
          <c:tx>
            <c:strRef>
              <c:f>Sheet1!$G$1</c:f>
              <c:strCache>
                <c:ptCount val="1"/>
                <c:pt idx="0">
                  <c:v>AXIS</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Sheet1!$G$2:$G$11</c:f>
              <c:numCache>
                <c:formatCode>General</c:formatCode>
                <c:ptCount val="10"/>
                <c:pt idx="0">
                  <c:v>1.43</c:v>
                </c:pt>
                <c:pt idx="1">
                  <c:v>1.75</c:v>
                </c:pt>
                <c:pt idx="2">
                  <c:v>5.04</c:v>
                </c:pt>
                <c:pt idx="3">
                  <c:v>6.7700000000000014</c:v>
                </c:pt>
                <c:pt idx="4">
                  <c:v>5.26</c:v>
                </c:pt>
                <c:pt idx="5">
                  <c:v>4.8599999999999985</c:v>
                </c:pt>
                <c:pt idx="6">
                  <c:v>3.7</c:v>
                </c:pt>
                <c:pt idx="7">
                  <c:v>2.82</c:v>
                </c:pt>
                <c:pt idx="8">
                  <c:v>2.02</c:v>
                </c:pt>
                <c:pt idx="9">
                  <c:v>1.43</c:v>
                </c:pt>
              </c:numCache>
            </c:numRef>
          </c:val>
          <c:extLst>
            <c:ext xmlns:c16="http://schemas.microsoft.com/office/drawing/2014/chart" uri="{C3380CC4-5D6E-409C-BE32-E72D297353CC}">
              <c16:uniqueId val="{00000005-0512-4ECF-B4CE-A3A8A244B4EF}"/>
            </c:ext>
          </c:extLst>
        </c:ser>
        <c:dLbls>
          <c:showLegendKey val="0"/>
          <c:showVal val="0"/>
          <c:showCatName val="0"/>
          <c:showSerName val="0"/>
          <c:showPercent val="0"/>
          <c:showBubbleSize val="0"/>
        </c:dLbls>
        <c:gapWidth val="150"/>
        <c:axId val="190293888"/>
        <c:axId val="190295424"/>
      </c:barChart>
      <c:catAx>
        <c:axId val="190293888"/>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295424"/>
        <c:crosses val="autoZero"/>
        <c:auto val="1"/>
        <c:lblAlgn val="ctr"/>
        <c:lblOffset val="100"/>
        <c:noMultiLvlLbl val="0"/>
      </c:catAx>
      <c:valAx>
        <c:axId val="190295424"/>
        <c:scaling>
          <c:orientation val="minMax"/>
        </c:scaling>
        <c:delete val="0"/>
        <c:axPos val="l"/>
        <c:majorGridlines>
          <c:spPr>
            <a:ln>
              <a:solidFill>
                <a:schemeClr val="tx1">
                  <a:lumMod val="15000"/>
                  <a:lumOff val="85000"/>
                </a:schemeClr>
              </a:solidFill>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293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Sheet1!$B$14</c:f>
              <c:strCache>
                <c:ptCount val="1"/>
                <c:pt idx="0">
                  <c:v>SBI</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Sheet1!$B$15:$B$24</c:f>
              <c:numCache>
                <c:formatCode>General</c:formatCode>
                <c:ptCount val="10"/>
                <c:pt idx="0">
                  <c:v>2.12</c:v>
                </c:pt>
                <c:pt idx="1">
                  <c:v>3.8099999999999992</c:v>
                </c:pt>
                <c:pt idx="2">
                  <c:v>5.1899999999999995</c:v>
                </c:pt>
                <c:pt idx="3">
                  <c:v>5.73</c:v>
                </c:pt>
                <c:pt idx="4">
                  <c:v>3.01</c:v>
                </c:pt>
                <c:pt idx="5">
                  <c:v>2.23</c:v>
                </c:pt>
                <c:pt idx="6">
                  <c:v>1.5</c:v>
                </c:pt>
                <c:pt idx="7">
                  <c:v>1.02</c:v>
                </c:pt>
                <c:pt idx="8">
                  <c:v>0.67000000000000026</c:v>
                </c:pt>
                <c:pt idx="9">
                  <c:v>0.56999999999999995</c:v>
                </c:pt>
              </c:numCache>
            </c:numRef>
          </c:val>
          <c:smooth val="0"/>
          <c:extLst>
            <c:ext xmlns:c16="http://schemas.microsoft.com/office/drawing/2014/chart" uri="{C3380CC4-5D6E-409C-BE32-E72D297353CC}">
              <c16:uniqueId val="{00000000-549F-4810-AF3E-FD9EC98D7746}"/>
            </c:ext>
          </c:extLst>
        </c:ser>
        <c:ser>
          <c:idx val="1"/>
          <c:order val="1"/>
          <c:tx>
            <c:strRef>
              <c:f>Sheet1!$C$14</c:f>
              <c:strCache>
                <c:ptCount val="1"/>
                <c:pt idx="0">
                  <c:v>BoB</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Sheet1!$C$15:$C$24</c:f>
              <c:numCache>
                <c:formatCode>General</c:formatCode>
                <c:ptCount val="10"/>
                <c:pt idx="0">
                  <c:v>1.87</c:v>
                </c:pt>
                <c:pt idx="1">
                  <c:v>5.0599999999999996</c:v>
                </c:pt>
                <c:pt idx="2">
                  <c:v>4.72</c:v>
                </c:pt>
                <c:pt idx="3">
                  <c:v>5.49</c:v>
                </c:pt>
                <c:pt idx="4">
                  <c:v>3.3299999999999992</c:v>
                </c:pt>
                <c:pt idx="5">
                  <c:v>3.13</c:v>
                </c:pt>
                <c:pt idx="6">
                  <c:v>3.09</c:v>
                </c:pt>
                <c:pt idx="7">
                  <c:v>1.72</c:v>
                </c:pt>
                <c:pt idx="8">
                  <c:v>0.89</c:v>
                </c:pt>
                <c:pt idx="9">
                  <c:v>0.68</c:v>
                </c:pt>
              </c:numCache>
            </c:numRef>
          </c:val>
          <c:smooth val="0"/>
          <c:extLst>
            <c:ext xmlns:c16="http://schemas.microsoft.com/office/drawing/2014/chart" uri="{C3380CC4-5D6E-409C-BE32-E72D297353CC}">
              <c16:uniqueId val="{00000001-549F-4810-AF3E-FD9EC98D7746}"/>
            </c:ext>
          </c:extLst>
        </c:ser>
        <c:ser>
          <c:idx val="2"/>
          <c:order val="2"/>
          <c:tx>
            <c:strRef>
              <c:f>Sheet1!$D$14</c:f>
              <c:strCache>
                <c:ptCount val="1"/>
                <c:pt idx="0">
                  <c:v>PNB</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Sheet1!$D$15:$D$24</c:f>
              <c:numCache>
                <c:formatCode>General</c:formatCode>
                <c:ptCount val="10"/>
                <c:pt idx="0">
                  <c:v>4.0599999999999996</c:v>
                </c:pt>
                <c:pt idx="1">
                  <c:v>8.61</c:v>
                </c:pt>
                <c:pt idx="2">
                  <c:v>7.81</c:v>
                </c:pt>
                <c:pt idx="3">
                  <c:v>11.24</c:v>
                </c:pt>
                <c:pt idx="4">
                  <c:v>6.56</c:v>
                </c:pt>
                <c:pt idx="5">
                  <c:v>5.78</c:v>
                </c:pt>
                <c:pt idx="6">
                  <c:v>5.73</c:v>
                </c:pt>
                <c:pt idx="7">
                  <c:v>4.8</c:v>
                </c:pt>
                <c:pt idx="8">
                  <c:v>2.72</c:v>
                </c:pt>
                <c:pt idx="9">
                  <c:v>0.7300000000000002</c:v>
                </c:pt>
              </c:numCache>
            </c:numRef>
          </c:val>
          <c:smooth val="0"/>
          <c:extLst>
            <c:ext xmlns:c16="http://schemas.microsoft.com/office/drawing/2014/chart" uri="{C3380CC4-5D6E-409C-BE32-E72D297353CC}">
              <c16:uniqueId val="{00000002-549F-4810-AF3E-FD9EC98D7746}"/>
            </c:ext>
          </c:extLst>
        </c:ser>
        <c:ser>
          <c:idx val="3"/>
          <c:order val="3"/>
          <c:tx>
            <c:strRef>
              <c:f>Sheet1!$E$14</c:f>
              <c:strCache>
                <c:ptCount val="1"/>
                <c:pt idx="0">
                  <c:v>HDFC</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Sheet1!$E$15:$E$24</c:f>
              <c:numCache>
                <c:formatCode>General</c:formatCode>
                <c:ptCount val="10"/>
                <c:pt idx="0">
                  <c:v>0.26</c:v>
                </c:pt>
                <c:pt idx="1">
                  <c:v>0.3000000000000001</c:v>
                </c:pt>
                <c:pt idx="2">
                  <c:v>0.3000000000000001</c:v>
                </c:pt>
                <c:pt idx="3">
                  <c:v>0.4</c:v>
                </c:pt>
                <c:pt idx="4">
                  <c:v>0.39000000000000012</c:v>
                </c:pt>
                <c:pt idx="5">
                  <c:v>0.3600000000000001</c:v>
                </c:pt>
                <c:pt idx="6">
                  <c:v>0.4</c:v>
                </c:pt>
                <c:pt idx="7">
                  <c:v>0.32000000000000012</c:v>
                </c:pt>
                <c:pt idx="8">
                  <c:v>0.27</c:v>
                </c:pt>
                <c:pt idx="9">
                  <c:v>0.63000000000000023</c:v>
                </c:pt>
              </c:numCache>
            </c:numRef>
          </c:val>
          <c:smooth val="0"/>
          <c:extLst>
            <c:ext xmlns:c16="http://schemas.microsoft.com/office/drawing/2014/chart" uri="{C3380CC4-5D6E-409C-BE32-E72D297353CC}">
              <c16:uniqueId val="{00000003-549F-4810-AF3E-FD9EC98D7746}"/>
            </c:ext>
          </c:extLst>
        </c:ser>
        <c:ser>
          <c:idx val="4"/>
          <c:order val="4"/>
          <c:tx>
            <c:strRef>
              <c:f>Sheet1!$F$14</c:f>
              <c:strCache>
                <c:ptCount val="1"/>
                <c:pt idx="0">
                  <c:v>ICICI</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Sheet1!$F$15:$F$24</c:f>
              <c:numCache>
                <c:formatCode>General</c:formatCode>
                <c:ptCount val="10"/>
                <c:pt idx="0">
                  <c:v>1.61</c:v>
                </c:pt>
                <c:pt idx="1">
                  <c:v>2.67</c:v>
                </c:pt>
                <c:pt idx="2">
                  <c:v>4.8899999999999997</c:v>
                </c:pt>
                <c:pt idx="3">
                  <c:v>4.7699999999999996</c:v>
                </c:pt>
                <c:pt idx="4">
                  <c:v>2.06</c:v>
                </c:pt>
                <c:pt idx="5">
                  <c:v>1.41</c:v>
                </c:pt>
                <c:pt idx="6">
                  <c:v>1.1399999999999995</c:v>
                </c:pt>
                <c:pt idx="7">
                  <c:v>0.76000000000000023</c:v>
                </c:pt>
                <c:pt idx="8">
                  <c:v>0.48000000000000009</c:v>
                </c:pt>
                <c:pt idx="9">
                  <c:v>0.4200000000000001</c:v>
                </c:pt>
              </c:numCache>
            </c:numRef>
          </c:val>
          <c:smooth val="0"/>
          <c:extLst>
            <c:ext xmlns:c16="http://schemas.microsoft.com/office/drawing/2014/chart" uri="{C3380CC4-5D6E-409C-BE32-E72D297353CC}">
              <c16:uniqueId val="{00000004-549F-4810-AF3E-FD9EC98D7746}"/>
            </c:ext>
          </c:extLst>
        </c:ser>
        <c:ser>
          <c:idx val="5"/>
          <c:order val="5"/>
          <c:tx>
            <c:strRef>
              <c:f>Sheet1!$G$14</c:f>
              <c:strCache>
                <c:ptCount val="1"/>
                <c:pt idx="0">
                  <c:v>AXIS</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Sheet1!$A$15:$A$24</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Sheet1!$G$15:$G$24</c:f>
              <c:numCache>
                <c:formatCode>General</c:formatCode>
                <c:ptCount val="10"/>
                <c:pt idx="0">
                  <c:v>0.46</c:v>
                </c:pt>
                <c:pt idx="1">
                  <c:v>0.7300000000000002</c:v>
                </c:pt>
                <c:pt idx="2">
                  <c:v>2.11</c:v>
                </c:pt>
                <c:pt idx="3">
                  <c:v>3.4</c:v>
                </c:pt>
                <c:pt idx="4">
                  <c:v>2.06</c:v>
                </c:pt>
                <c:pt idx="5">
                  <c:v>1.56</c:v>
                </c:pt>
                <c:pt idx="6">
                  <c:v>1.05</c:v>
                </c:pt>
                <c:pt idx="7">
                  <c:v>0.7300000000000002</c:v>
                </c:pt>
                <c:pt idx="8">
                  <c:v>0.39000000000000012</c:v>
                </c:pt>
                <c:pt idx="9">
                  <c:v>0.31000000000000011</c:v>
                </c:pt>
              </c:numCache>
            </c:numRef>
          </c:val>
          <c:smooth val="0"/>
          <c:extLst>
            <c:ext xmlns:c16="http://schemas.microsoft.com/office/drawing/2014/chart" uri="{C3380CC4-5D6E-409C-BE32-E72D297353CC}">
              <c16:uniqueId val="{00000005-549F-4810-AF3E-FD9EC98D7746}"/>
            </c:ext>
          </c:extLst>
        </c:ser>
        <c:dLbls>
          <c:showLegendKey val="0"/>
          <c:showVal val="0"/>
          <c:showCatName val="0"/>
          <c:showSerName val="0"/>
          <c:showPercent val="0"/>
          <c:showBubbleSize val="0"/>
        </c:dLbls>
        <c:marker val="1"/>
        <c:smooth val="0"/>
        <c:axId val="190750720"/>
        <c:axId val="190752256"/>
      </c:lineChart>
      <c:catAx>
        <c:axId val="190750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0752256"/>
        <c:crosses val="autoZero"/>
        <c:auto val="1"/>
        <c:lblAlgn val="ctr"/>
        <c:lblOffset val="100"/>
        <c:noMultiLvlLbl val="0"/>
      </c:catAx>
      <c:valAx>
        <c:axId val="19075225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50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28575" cap="flat" cmpd="sng" algn="ctr">
      <a:solidFill>
        <a:schemeClr val="tx1"/>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A79101-28A1-40B2-AEA4-46EFD5F3D4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56F4604-88FA-4243-A3F0-289ADD58CE66}">
      <dgm:prSet phldrT="[Text]" custT="1"/>
      <dgm:spPr>
        <a:xfrm>
          <a:off x="1854592" y="145"/>
          <a:ext cx="1984223" cy="47897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Arial" panose="020B0604020202020204" pitchFamily="34" charset="0"/>
              <a:ea typeface="+mn-ea"/>
              <a:cs typeface="Arial" panose="020B0604020202020204" pitchFamily="34" charset="0"/>
            </a:rPr>
            <a:t>NPA </a:t>
          </a:r>
          <a:r>
            <a:rPr lang="en-US" sz="1400">
              <a:solidFill>
                <a:sysClr val="window" lastClr="FFFFFF"/>
              </a:solidFill>
              <a:latin typeface="Arial" panose="020B0604020202020204" pitchFamily="34" charset="0"/>
              <a:ea typeface="+mn-ea"/>
              <a:cs typeface="Arial" panose="020B0604020202020204" pitchFamily="34" charset="0"/>
            </a:rPr>
            <a:t>Classification</a:t>
          </a:r>
          <a:endParaRPr lang="en-US" sz="1600">
            <a:solidFill>
              <a:sysClr val="window" lastClr="FFFFFF"/>
            </a:solidFill>
            <a:latin typeface="Arial" panose="020B0604020202020204" pitchFamily="34" charset="0"/>
            <a:ea typeface="+mn-ea"/>
            <a:cs typeface="Arial" panose="020B0604020202020204" pitchFamily="34" charset="0"/>
          </a:endParaRPr>
        </a:p>
      </dgm:t>
    </dgm:pt>
    <dgm:pt modelId="{70FD9E92-BC5C-436E-8C08-D7E0FEFAADE7}" type="parTrans" cxnId="{0895859D-D04A-4C0B-B729-9F18B7E092E3}">
      <dgm:prSet/>
      <dgm:spPr/>
      <dgm:t>
        <a:bodyPr/>
        <a:lstStyle/>
        <a:p>
          <a:endParaRPr lang="en-US"/>
        </a:p>
      </dgm:t>
    </dgm:pt>
    <dgm:pt modelId="{86EA0519-46A4-418E-88F5-F14BBFF3EE5C}" type="sibTrans" cxnId="{0895859D-D04A-4C0B-B729-9F18B7E092E3}">
      <dgm:prSet/>
      <dgm:spPr/>
      <dgm:t>
        <a:bodyPr/>
        <a:lstStyle/>
        <a:p>
          <a:endParaRPr lang="en-US"/>
        </a:p>
      </dgm:t>
    </dgm:pt>
    <dgm:pt modelId="{CAE52796-D15A-4FCA-B5AE-F5895A45D5F4}">
      <dgm:prSet phldrT="[Text]" custT="1"/>
      <dgm:spPr>
        <a:xfrm>
          <a:off x="993251" y="662594"/>
          <a:ext cx="1160357" cy="43684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Sub Standard Assets</a:t>
          </a:r>
        </a:p>
      </dgm:t>
    </dgm:pt>
    <dgm:pt modelId="{2F75B193-65C5-4144-9F88-0A361E1CE8EA}" type="parTrans" cxnId="{B010E0BF-5D36-41F8-B3E8-3592D0C7A8E5}">
      <dgm:prSet/>
      <dgm:spPr>
        <a:xfrm>
          <a:off x="1573429" y="479121"/>
          <a:ext cx="1273274" cy="183473"/>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CA9610F-7B9C-45E6-AA6F-27E3C51BBB91}" type="sibTrans" cxnId="{B010E0BF-5D36-41F8-B3E8-3592D0C7A8E5}">
      <dgm:prSet/>
      <dgm:spPr/>
      <dgm:t>
        <a:bodyPr/>
        <a:lstStyle/>
        <a:p>
          <a:endParaRPr lang="en-US"/>
        </a:p>
      </dgm:t>
    </dgm:pt>
    <dgm:pt modelId="{E27C1F25-4FE8-4CE0-A492-32BD05126DEC}">
      <dgm:prSet phldrT="[Text]" custT="1"/>
      <dgm:spPr>
        <a:xfrm>
          <a:off x="2337082" y="662594"/>
          <a:ext cx="1074814" cy="43684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Doubtful Assets</a:t>
          </a:r>
        </a:p>
      </dgm:t>
    </dgm:pt>
    <dgm:pt modelId="{FD645A5F-176C-4631-A99D-9CC082DF25D0}" type="parTrans" cxnId="{71D40F3D-B55D-4A68-91F9-22CB3DB48857}">
      <dgm:prSet/>
      <dgm:spPr>
        <a:xfrm>
          <a:off x="2800984" y="479121"/>
          <a:ext cx="91440" cy="183473"/>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4B5B7E4C-C336-4C11-AAB1-EEB7B39628AE}" type="sibTrans" cxnId="{71D40F3D-B55D-4A68-91F9-22CB3DB48857}">
      <dgm:prSet/>
      <dgm:spPr/>
      <dgm:t>
        <a:bodyPr/>
        <a:lstStyle/>
        <a:p>
          <a:endParaRPr lang="en-US"/>
        </a:p>
      </dgm:t>
    </dgm:pt>
    <dgm:pt modelId="{9BDB3B19-14F8-4F80-BA22-3FE58CB1F140}">
      <dgm:prSet phldrT="[Text]" custT="1"/>
      <dgm:spPr>
        <a:xfrm>
          <a:off x="3596615" y="662594"/>
          <a:ext cx="1103541" cy="43684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Loss</a:t>
          </a:r>
          <a:r>
            <a:rPr lang="en-US" sz="1600">
              <a:solidFill>
                <a:sysClr val="window" lastClr="FFFFFF"/>
              </a:solidFill>
              <a:latin typeface="Times New Roman" panose="02020603050405020304" pitchFamily="18" charset="0"/>
              <a:ea typeface="+mn-ea"/>
              <a:cs typeface="Times New Roman" panose="02020603050405020304" pitchFamily="18" charset="0"/>
            </a:rPr>
            <a:t> </a:t>
          </a:r>
          <a:r>
            <a:rPr lang="en-US" sz="1200">
              <a:solidFill>
                <a:sysClr val="window" lastClr="FFFFFF"/>
              </a:solidFill>
              <a:latin typeface="Arial" panose="020B0604020202020204" pitchFamily="34" charset="0"/>
              <a:ea typeface="+mn-ea"/>
              <a:cs typeface="Arial" panose="020B0604020202020204" pitchFamily="34" charset="0"/>
            </a:rPr>
            <a:t>Assets</a:t>
          </a:r>
        </a:p>
      </dgm:t>
    </dgm:pt>
    <dgm:pt modelId="{17493A13-B2D8-4D94-A864-910FC84B5469}" type="parTrans" cxnId="{D6E5E209-AC67-4245-A410-EA6A69311893}">
      <dgm:prSet/>
      <dgm:spPr>
        <a:xfrm>
          <a:off x="2846704" y="479121"/>
          <a:ext cx="1301682" cy="183473"/>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6A6042D1-EE41-4116-9695-270D81717CF6}" type="sibTrans" cxnId="{D6E5E209-AC67-4245-A410-EA6A69311893}">
      <dgm:prSet/>
      <dgm:spPr/>
      <dgm:t>
        <a:bodyPr/>
        <a:lstStyle/>
        <a:p>
          <a:endParaRPr lang="en-US"/>
        </a:p>
      </dgm:t>
    </dgm:pt>
    <dgm:pt modelId="{12A45F66-1B85-4F1F-B442-41F54B5972FE}">
      <dgm:prSet custT="1"/>
      <dgm:spPr>
        <a:xfrm>
          <a:off x="1139877" y="1282910"/>
          <a:ext cx="867105" cy="180206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and Advances which have remained non-performing for a period of less than or equal 12 months</a:t>
          </a:r>
        </a:p>
      </dgm:t>
    </dgm:pt>
    <dgm:pt modelId="{4654162C-5A6A-46D9-B775-3F5B77987477}" type="parTrans" cxnId="{CF00BBEE-56EA-49F7-8714-3926937FD6F0}">
      <dgm:prSet/>
      <dgm:spPr>
        <a:xfrm>
          <a:off x="1527709" y="1099436"/>
          <a:ext cx="91440" cy="183473"/>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A88CA741-A208-48C2-9076-0828455CEBA1}" type="sibTrans" cxnId="{CF00BBEE-56EA-49F7-8714-3926937FD6F0}">
      <dgm:prSet/>
      <dgm:spPr/>
      <dgm:t>
        <a:bodyPr/>
        <a:lstStyle/>
        <a:p>
          <a:endParaRPr lang="en-US"/>
        </a:p>
      </dgm:t>
    </dgm:pt>
    <dgm:pt modelId="{CEC3E456-6704-42F9-A69E-F6F9784AAD8B}">
      <dgm:prSet custT="1"/>
      <dgm:spPr>
        <a:xfrm>
          <a:off x="2351078" y="1282910"/>
          <a:ext cx="1046822" cy="180304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that have remained in the substandard category for 12 months or more.</a:t>
          </a:r>
        </a:p>
      </dgm:t>
    </dgm:pt>
    <dgm:pt modelId="{434C9C4C-0573-4C79-B219-174C9FA7E7A4}" type="parTrans" cxnId="{D28A7AD1-0EF8-4F83-A071-B366A5FA9A72}">
      <dgm:prSet/>
      <dgm:spPr>
        <a:xfrm>
          <a:off x="2828769" y="1099436"/>
          <a:ext cx="91440" cy="183473"/>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BD549945-C517-41EF-B798-42CEB1952152}" type="sibTrans" cxnId="{D28A7AD1-0EF8-4F83-A071-B366A5FA9A72}">
      <dgm:prSet/>
      <dgm:spPr/>
      <dgm:t>
        <a:bodyPr/>
        <a:lstStyle/>
        <a:p>
          <a:endParaRPr lang="en-US"/>
        </a:p>
      </dgm:t>
    </dgm:pt>
    <dgm:pt modelId="{3A5EFACC-A5C0-4420-9F20-48C51BFC9D41}">
      <dgm:prSet custT="1"/>
      <dgm:spPr>
        <a:xfrm>
          <a:off x="3581374" y="1282910"/>
          <a:ext cx="1134024" cy="179374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Arial" panose="020B0604020202020204" pitchFamily="34" charset="0"/>
              <a:ea typeface="+mn-ea"/>
              <a:cs typeface="Arial" panose="020B0604020202020204" pitchFamily="34" charset="0"/>
            </a:rPr>
            <a:t>Loans had been identified by the bank's internal/external auditors or by RBI, but the amount involved is irrecoverable and of negligible value.</a:t>
          </a:r>
        </a:p>
      </dgm:t>
    </dgm:pt>
    <dgm:pt modelId="{C6BFAE74-6AA1-494D-8BCF-033CDF4B558D}" type="parTrans" cxnId="{0E2CC305-5D54-4FE9-8520-02D4351B6548}">
      <dgm:prSet/>
      <dgm:spPr>
        <a:xfrm>
          <a:off x="4102666" y="1099436"/>
          <a:ext cx="91440" cy="183473"/>
        </a:xfrm>
        <a:noFill/>
        <a:ln w="12700" cap="flat" cmpd="sng" algn="ctr">
          <a:solidFill>
            <a:srgbClr val="5B9BD5">
              <a:shade val="80000"/>
              <a:hueOff val="0"/>
              <a:satOff val="0"/>
              <a:lumOff val="0"/>
              <a:alphaOff val="0"/>
            </a:srgbClr>
          </a:solidFill>
          <a:prstDash val="solid"/>
          <a:miter lim="800000"/>
        </a:ln>
        <a:effectLst/>
      </dgm:spPr>
      <dgm:t>
        <a:bodyPr/>
        <a:lstStyle/>
        <a:p>
          <a:endParaRPr lang="en-US"/>
        </a:p>
      </dgm:t>
    </dgm:pt>
    <dgm:pt modelId="{3DBB322B-937A-4932-B60E-765C10BC23B6}" type="sibTrans" cxnId="{0E2CC305-5D54-4FE9-8520-02D4351B6548}">
      <dgm:prSet/>
      <dgm:spPr/>
      <dgm:t>
        <a:bodyPr/>
        <a:lstStyle/>
        <a:p>
          <a:endParaRPr lang="en-US"/>
        </a:p>
      </dgm:t>
    </dgm:pt>
    <dgm:pt modelId="{449886C0-12DA-4EBD-9170-AB01B6495CBD}" type="pres">
      <dgm:prSet presAssocID="{ABA79101-28A1-40B2-AEA4-46EFD5F3D470}" presName="hierChild1" presStyleCnt="0">
        <dgm:presLayoutVars>
          <dgm:orgChart val="1"/>
          <dgm:chPref val="1"/>
          <dgm:dir/>
          <dgm:animOne val="branch"/>
          <dgm:animLvl val="lvl"/>
          <dgm:resizeHandles/>
        </dgm:presLayoutVars>
      </dgm:prSet>
      <dgm:spPr/>
      <dgm:t>
        <a:bodyPr/>
        <a:lstStyle/>
        <a:p>
          <a:endParaRPr lang="en-US"/>
        </a:p>
      </dgm:t>
    </dgm:pt>
    <dgm:pt modelId="{494DBD2F-FFAE-4100-9CEE-5A1593B4AF4B}" type="pres">
      <dgm:prSet presAssocID="{356F4604-88FA-4243-A3F0-289ADD58CE66}" presName="hierRoot1" presStyleCnt="0">
        <dgm:presLayoutVars>
          <dgm:hierBranch val="init"/>
        </dgm:presLayoutVars>
      </dgm:prSet>
      <dgm:spPr/>
    </dgm:pt>
    <dgm:pt modelId="{1547DAE9-8B29-4A51-ACFE-075E4B10BDAE}" type="pres">
      <dgm:prSet presAssocID="{356F4604-88FA-4243-A3F0-289ADD58CE66}" presName="rootComposite1" presStyleCnt="0"/>
      <dgm:spPr/>
    </dgm:pt>
    <dgm:pt modelId="{80CE310D-532C-40FC-A88B-729C1BB78953}" type="pres">
      <dgm:prSet presAssocID="{356F4604-88FA-4243-A3F0-289ADD58CE66}" presName="rootText1" presStyleLbl="node0" presStyleIdx="0" presStyleCnt="1" custScaleX="227110" custScaleY="109645">
        <dgm:presLayoutVars>
          <dgm:chPref val="3"/>
        </dgm:presLayoutVars>
      </dgm:prSet>
      <dgm:spPr>
        <a:prstGeom prst="rect">
          <a:avLst/>
        </a:prstGeom>
      </dgm:spPr>
      <dgm:t>
        <a:bodyPr/>
        <a:lstStyle/>
        <a:p>
          <a:endParaRPr lang="en-US"/>
        </a:p>
      </dgm:t>
    </dgm:pt>
    <dgm:pt modelId="{7360D1C3-1A95-41C5-ABC7-045BBC09B217}" type="pres">
      <dgm:prSet presAssocID="{356F4604-88FA-4243-A3F0-289ADD58CE66}" presName="rootConnector1" presStyleLbl="node1" presStyleIdx="0" presStyleCnt="0"/>
      <dgm:spPr/>
      <dgm:t>
        <a:bodyPr/>
        <a:lstStyle/>
        <a:p>
          <a:endParaRPr lang="en-US"/>
        </a:p>
      </dgm:t>
    </dgm:pt>
    <dgm:pt modelId="{A4B9BAE0-9205-4C21-9C5B-E1A0195BB795}" type="pres">
      <dgm:prSet presAssocID="{356F4604-88FA-4243-A3F0-289ADD58CE66}" presName="hierChild2" presStyleCnt="0"/>
      <dgm:spPr/>
    </dgm:pt>
    <dgm:pt modelId="{2B1E8D3B-4370-4093-9952-292812F7BC27}" type="pres">
      <dgm:prSet presAssocID="{2F75B193-65C5-4144-9F88-0A361E1CE8EA}" presName="Name37" presStyleLbl="parChTrans1D2" presStyleIdx="0" presStyleCnt="3"/>
      <dgm:spPr>
        <a:custGeom>
          <a:avLst/>
          <a:gdLst/>
          <a:ahLst/>
          <a:cxnLst/>
          <a:rect l="0" t="0" r="0" b="0"/>
          <a:pathLst>
            <a:path>
              <a:moveTo>
                <a:pt x="1273274" y="0"/>
              </a:moveTo>
              <a:lnTo>
                <a:pt x="1273274" y="91736"/>
              </a:lnTo>
              <a:lnTo>
                <a:pt x="0" y="91736"/>
              </a:lnTo>
              <a:lnTo>
                <a:pt x="0" y="183473"/>
              </a:lnTo>
            </a:path>
          </a:pathLst>
        </a:custGeom>
      </dgm:spPr>
      <dgm:t>
        <a:bodyPr/>
        <a:lstStyle/>
        <a:p>
          <a:endParaRPr lang="en-US"/>
        </a:p>
      </dgm:t>
    </dgm:pt>
    <dgm:pt modelId="{D321BE65-C4B1-4A6D-91DD-2F1F2B2E16A5}" type="pres">
      <dgm:prSet presAssocID="{CAE52796-D15A-4FCA-B5AE-F5895A45D5F4}" presName="hierRoot2" presStyleCnt="0">
        <dgm:presLayoutVars>
          <dgm:hierBranch/>
        </dgm:presLayoutVars>
      </dgm:prSet>
      <dgm:spPr/>
    </dgm:pt>
    <dgm:pt modelId="{BD6A9EFE-6384-4F50-B819-AD47244B31FF}" type="pres">
      <dgm:prSet presAssocID="{CAE52796-D15A-4FCA-B5AE-F5895A45D5F4}" presName="rootComposite" presStyleCnt="0"/>
      <dgm:spPr/>
    </dgm:pt>
    <dgm:pt modelId="{5076DFE4-89A2-4FB0-9E4F-381EFE8FC978}" type="pres">
      <dgm:prSet presAssocID="{CAE52796-D15A-4FCA-B5AE-F5895A45D5F4}" presName="rootText" presStyleLbl="node2" presStyleIdx="0" presStyleCnt="3" custScaleX="132812">
        <dgm:presLayoutVars>
          <dgm:chPref val="3"/>
        </dgm:presLayoutVars>
      </dgm:prSet>
      <dgm:spPr>
        <a:prstGeom prst="rect">
          <a:avLst/>
        </a:prstGeom>
      </dgm:spPr>
      <dgm:t>
        <a:bodyPr/>
        <a:lstStyle/>
        <a:p>
          <a:endParaRPr lang="en-US"/>
        </a:p>
      </dgm:t>
    </dgm:pt>
    <dgm:pt modelId="{5BD4EF53-7444-445F-91BA-8BBF277D59A5}" type="pres">
      <dgm:prSet presAssocID="{CAE52796-D15A-4FCA-B5AE-F5895A45D5F4}" presName="rootConnector" presStyleLbl="node2" presStyleIdx="0" presStyleCnt="3"/>
      <dgm:spPr/>
      <dgm:t>
        <a:bodyPr/>
        <a:lstStyle/>
        <a:p>
          <a:endParaRPr lang="en-US"/>
        </a:p>
      </dgm:t>
    </dgm:pt>
    <dgm:pt modelId="{AF9DC8D3-D492-4C1D-9F21-B565BF6FCF77}" type="pres">
      <dgm:prSet presAssocID="{CAE52796-D15A-4FCA-B5AE-F5895A45D5F4}" presName="hierChild4" presStyleCnt="0"/>
      <dgm:spPr/>
    </dgm:pt>
    <dgm:pt modelId="{AAB2138F-F0C5-4A34-BF19-3DA431BF07B0}" type="pres">
      <dgm:prSet presAssocID="{4654162C-5A6A-46D9-B775-3F5B77987477}" presName="Name35" presStyleLbl="parChTrans1D3" presStyleIdx="0" presStyleCnt="3"/>
      <dgm:spPr>
        <a:custGeom>
          <a:avLst/>
          <a:gdLst/>
          <a:ahLst/>
          <a:cxnLst/>
          <a:rect l="0" t="0" r="0" b="0"/>
          <a:pathLst>
            <a:path>
              <a:moveTo>
                <a:pt x="45720" y="0"/>
              </a:moveTo>
              <a:lnTo>
                <a:pt x="45720" y="183473"/>
              </a:lnTo>
            </a:path>
          </a:pathLst>
        </a:custGeom>
      </dgm:spPr>
      <dgm:t>
        <a:bodyPr/>
        <a:lstStyle/>
        <a:p>
          <a:endParaRPr lang="en-US"/>
        </a:p>
      </dgm:t>
    </dgm:pt>
    <dgm:pt modelId="{7E9B83EE-B9AF-4752-8210-F28AFE3537D1}" type="pres">
      <dgm:prSet presAssocID="{12A45F66-1B85-4F1F-B442-41F54B5972FE}" presName="hierRoot2" presStyleCnt="0">
        <dgm:presLayoutVars>
          <dgm:hierBranch val="init"/>
        </dgm:presLayoutVars>
      </dgm:prSet>
      <dgm:spPr/>
    </dgm:pt>
    <dgm:pt modelId="{198ED0BD-3BCF-4A57-82F9-D9134E1B0221}" type="pres">
      <dgm:prSet presAssocID="{12A45F66-1B85-4F1F-B442-41F54B5972FE}" presName="rootComposite" presStyleCnt="0"/>
      <dgm:spPr/>
    </dgm:pt>
    <dgm:pt modelId="{80A8EAAB-8F79-464E-9EA7-644968670484}" type="pres">
      <dgm:prSet presAssocID="{12A45F66-1B85-4F1F-B442-41F54B5972FE}" presName="rootText" presStyleLbl="node3" presStyleIdx="0" presStyleCnt="3" custScaleX="131674" custScaleY="412522">
        <dgm:presLayoutVars>
          <dgm:chPref val="3"/>
        </dgm:presLayoutVars>
      </dgm:prSet>
      <dgm:spPr>
        <a:prstGeom prst="rect">
          <a:avLst/>
        </a:prstGeom>
      </dgm:spPr>
      <dgm:t>
        <a:bodyPr/>
        <a:lstStyle/>
        <a:p>
          <a:endParaRPr lang="en-US"/>
        </a:p>
      </dgm:t>
    </dgm:pt>
    <dgm:pt modelId="{88B4E378-D9FA-4543-814C-1D84AC768E1B}" type="pres">
      <dgm:prSet presAssocID="{12A45F66-1B85-4F1F-B442-41F54B5972FE}" presName="rootConnector" presStyleLbl="node3" presStyleIdx="0" presStyleCnt="3"/>
      <dgm:spPr/>
      <dgm:t>
        <a:bodyPr/>
        <a:lstStyle/>
        <a:p>
          <a:endParaRPr lang="en-US"/>
        </a:p>
      </dgm:t>
    </dgm:pt>
    <dgm:pt modelId="{4F7E0ABE-264C-45FF-BB33-3ED42C8F1276}" type="pres">
      <dgm:prSet presAssocID="{12A45F66-1B85-4F1F-B442-41F54B5972FE}" presName="hierChild4" presStyleCnt="0"/>
      <dgm:spPr/>
    </dgm:pt>
    <dgm:pt modelId="{49BEF45B-4C34-4C9B-82F1-4BF8E77BF87F}" type="pres">
      <dgm:prSet presAssocID="{12A45F66-1B85-4F1F-B442-41F54B5972FE}" presName="hierChild5" presStyleCnt="0"/>
      <dgm:spPr/>
    </dgm:pt>
    <dgm:pt modelId="{5AA44721-7BDB-4E12-B18C-F2170C6DBA16}" type="pres">
      <dgm:prSet presAssocID="{CAE52796-D15A-4FCA-B5AE-F5895A45D5F4}" presName="hierChild5" presStyleCnt="0"/>
      <dgm:spPr/>
    </dgm:pt>
    <dgm:pt modelId="{E2F1524B-DD91-4B0F-A6EE-FE2442737C30}" type="pres">
      <dgm:prSet presAssocID="{FD645A5F-176C-4631-A99D-9CC082DF25D0}" presName="Name37" presStyleLbl="parChTrans1D2" presStyleIdx="1" presStyleCnt="3"/>
      <dgm:spPr>
        <a:custGeom>
          <a:avLst/>
          <a:gdLst/>
          <a:ahLst/>
          <a:cxnLst/>
          <a:rect l="0" t="0" r="0" b="0"/>
          <a:pathLst>
            <a:path>
              <a:moveTo>
                <a:pt x="45720" y="0"/>
              </a:moveTo>
              <a:lnTo>
                <a:pt x="45720" y="91736"/>
              </a:lnTo>
              <a:lnTo>
                <a:pt x="73505" y="91736"/>
              </a:lnTo>
              <a:lnTo>
                <a:pt x="73505" y="183473"/>
              </a:lnTo>
            </a:path>
          </a:pathLst>
        </a:custGeom>
      </dgm:spPr>
      <dgm:t>
        <a:bodyPr/>
        <a:lstStyle/>
        <a:p>
          <a:endParaRPr lang="en-US"/>
        </a:p>
      </dgm:t>
    </dgm:pt>
    <dgm:pt modelId="{6E355487-3941-4233-8EB3-EE4566E55FD7}" type="pres">
      <dgm:prSet presAssocID="{E27C1F25-4FE8-4CE0-A492-32BD05126DEC}" presName="hierRoot2" presStyleCnt="0">
        <dgm:presLayoutVars>
          <dgm:hierBranch/>
        </dgm:presLayoutVars>
      </dgm:prSet>
      <dgm:spPr/>
    </dgm:pt>
    <dgm:pt modelId="{278B80F9-2046-44F9-984B-BD328D4D5792}" type="pres">
      <dgm:prSet presAssocID="{E27C1F25-4FE8-4CE0-A492-32BD05126DEC}" presName="rootComposite" presStyleCnt="0"/>
      <dgm:spPr/>
    </dgm:pt>
    <dgm:pt modelId="{2725020F-855B-4E13-AFC1-7B825D4F47B6}" type="pres">
      <dgm:prSet presAssocID="{E27C1F25-4FE8-4CE0-A492-32BD05126DEC}" presName="rootText" presStyleLbl="node2" presStyleIdx="1" presStyleCnt="3" custScaleX="123021">
        <dgm:presLayoutVars>
          <dgm:chPref val="3"/>
        </dgm:presLayoutVars>
      </dgm:prSet>
      <dgm:spPr>
        <a:prstGeom prst="rect">
          <a:avLst/>
        </a:prstGeom>
      </dgm:spPr>
      <dgm:t>
        <a:bodyPr/>
        <a:lstStyle/>
        <a:p>
          <a:endParaRPr lang="en-US"/>
        </a:p>
      </dgm:t>
    </dgm:pt>
    <dgm:pt modelId="{D34C77E8-D7CE-4018-82A6-0FC83759E2DF}" type="pres">
      <dgm:prSet presAssocID="{E27C1F25-4FE8-4CE0-A492-32BD05126DEC}" presName="rootConnector" presStyleLbl="node2" presStyleIdx="1" presStyleCnt="3"/>
      <dgm:spPr/>
      <dgm:t>
        <a:bodyPr/>
        <a:lstStyle/>
        <a:p>
          <a:endParaRPr lang="en-US"/>
        </a:p>
      </dgm:t>
    </dgm:pt>
    <dgm:pt modelId="{E5F3BC3E-C140-48A4-816F-9C8AAA4BAAC2}" type="pres">
      <dgm:prSet presAssocID="{E27C1F25-4FE8-4CE0-A492-32BD05126DEC}" presName="hierChild4" presStyleCnt="0"/>
      <dgm:spPr/>
    </dgm:pt>
    <dgm:pt modelId="{05D2A9B0-C7CF-471F-8564-61DDB1912809}" type="pres">
      <dgm:prSet presAssocID="{434C9C4C-0573-4C79-B219-174C9FA7E7A4}" presName="Name35" presStyleLbl="parChTrans1D3" presStyleIdx="1" presStyleCnt="3"/>
      <dgm:spPr>
        <a:custGeom>
          <a:avLst/>
          <a:gdLst/>
          <a:ahLst/>
          <a:cxnLst/>
          <a:rect l="0" t="0" r="0" b="0"/>
          <a:pathLst>
            <a:path>
              <a:moveTo>
                <a:pt x="45720" y="0"/>
              </a:moveTo>
              <a:lnTo>
                <a:pt x="45720" y="183473"/>
              </a:lnTo>
            </a:path>
          </a:pathLst>
        </a:custGeom>
      </dgm:spPr>
      <dgm:t>
        <a:bodyPr/>
        <a:lstStyle/>
        <a:p>
          <a:endParaRPr lang="en-US"/>
        </a:p>
      </dgm:t>
    </dgm:pt>
    <dgm:pt modelId="{EB4FD48B-5037-4F01-86E4-6C6BAD2F020D}" type="pres">
      <dgm:prSet presAssocID="{CEC3E456-6704-42F9-A69E-F6F9784AAD8B}" presName="hierRoot2" presStyleCnt="0">
        <dgm:presLayoutVars>
          <dgm:hierBranch val="init"/>
        </dgm:presLayoutVars>
      </dgm:prSet>
      <dgm:spPr/>
    </dgm:pt>
    <dgm:pt modelId="{C52978EA-09A6-4681-8B3F-DFA5ED8EC577}" type="pres">
      <dgm:prSet presAssocID="{CEC3E456-6704-42F9-A69E-F6F9784AAD8B}" presName="rootComposite" presStyleCnt="0"/>
      <dgm:spPr/>
    </dgm:pt>
    <dgm:pt modelId="{F45B4EE2-4119-475F-A334-A78DD34F2825}" type="pres">
      <dgm:prSet presAssocID="{CEC3E456-6704-42F9-A69E-F6F9784AAD8B}" presName="rootText" presStyleLbl="node3" presStyleIdx="1" presStyleCnt="3" custScaleX="119817" custScaleY="412745">
        <dgm:presLayoutVars>
          <dgm:chPref val="3"/>
        </dgm:presLayoutVars>
      </dgm:prSet>
      <dgm:spPr>
        <a:prstGeom prst="rect">
          <a:avLst/>
        </a:prstGeom>
      </dgm:spPr>
      <dgm:t>
        <a:bodyPr/>
        <a:lstStyle/>
        <a:p>
          <a:endParaRPr lang="en-US"/>
        </a:p>
      </dgm:t>
    </dgm:pt>
    <dgm:pt modelId="{81C34944-0688-4803-8381-522716B40AF3}" type="pres">
      <dgm:prSet presAssocID="{CEC3E456-6704-42F9-A69E-F6F9784AAD8B}" presName="rootConnector" presStyleLbl="node3" presStyleIdx="1" presStyleCnt="3"/>
      <dgm:spPr/>
      <dgm:t>
        <a:bodyPr/>
        <a:lstStyle/>
        <a:p>
          <a:endParaRPr lang="en-US"/>
        </a:p>
      </dgm:t>
    </dgm:pt>
    <dgm:pt modelId="{6E8B4B7A-FB5B-45F1-B66C-0371D2BFAD48}" type="pres">
      <dgm:prSet presAssocID="{CEC3E456-6704-42F9-A69E-F6F9784AAD8B}" presName="hierChild4" presStyleCnt="0"/>
      <dgm:spPr/>
    </dgm:pt>
    <dgm:pt modelId="{C6A526BB-FB9E-4CD4-B4D5-6CD41F09D53A}" type="pres">
      <dgm:prSet presAssocID="{CEC3E456-6704-42F9-A69E-F6F9784AAD8B}" presName="hierChild5" presStyleCnt="0"/>
      <dgm:spPr/>
    </dgm:pt>
    <dgm:pt modelId="{50932110-CA8B-4AF6-AAD0-727AC35D1C64}" type="pres">
      <dgm:prSet presAssocID="{E27C1F25-4FE8-4CE0-A492-32BD05126DEC}" presName="hierChild5" presStyleCnt="0"/>
      <dgm:spPr/>
    </dgm:pt>
    <dgm:pt modelId="{8C07209F-2DBB-4DB3-9067-E517A8660440}" type="pres">
      <dgm:prSet presAssocID="{17493A13-B2D8-4D94-A864-910FC84B5469}" presName="Name37" presStyleLbl="parChTrans1D2" presStyleIdx="2" presStyleCnt="3"/>
      <dgm:spPr>
        <a:custGeom>
          <a:avLst/>
          <a:gdLst/>
          <a:ahLst/>
          <a:cxnLst/>
          <a:rect l="0" t="0" r="0" b="0"/>
          <a:pathLst>
            <a:path>
              <a:moveTo>
                <a:pt x="0" y="0"/>
              </a:moveTo>
              <a:lnTo>
                <a:pt x="0" y="91736"/>
              </a:lnTo>
              <a:lnTo>
                <a:pt x="1301682" y="91736"/>
              </a:lnTo>
              <a:lnTo>
                <a:pt x="1301682" y="183473"/>
              </a:lnTo>
            </a:path>
          </a:pathLst>
        </a:custGeom>
      </dgm:spPr>
      <dgm:t>
        <a:bodyPr/>
        <a:lstStyle/>
        <a:p>
          <a:endParaRPr lang="en-US"/>
        </a:p>
      </dgm:t>
    </dgm:pt>
    <dgm:pt modelId="{0823DB1E-98AF-4653-BC0A-25766A818DAA}" type="pres">
      <dgm:prSet presAssocID="{9BDB3B19-14F8-4F80-BA22-3FE58CB1F140}" presName="hierRoot2" presStyleCnt="0">
        <dgm:presLayoutVars>
          <dgm:hierBranch/>
        </dgm:presLayoutVars>
      </dgm:prSet>
      <dgm:spPr/>
    </dgm:pt>
    <dgm:pt modelId="{F127F677-2C6D-489C-B7E5-02572CCD8E22}" type="pres">
      <dgm:prSet presAssocID="{9BDB3B19-14F8-4F80-BA22-3FE58CB1F140}" presName="rootComposite" presStyleCnt="0"/>
      <dgm:spPr/>
    </dgm:pt>
    <dgm:pt modelId="{C73F7A7F-7B63-4831-A5EA-BC2E361E53E0}" type="pres">
      <dgm:prSet presAssocID="{9BDB3B19-14F8-4F80-BA22-3FE58CB1F140}" presName="rootText" presStyleLbl="node2" presStyleIdx="2" presStyleCnt="3" custScaleX="126309">
        <dgm:presLayoutVars>
          <dgm:chPref val="3"/>
        </dgm:presLayoutVars>
      </dgm:prSet>
      <dgm:spPr>
        <a:prstGeom prst="rect">
          <a:avLst/>
        </a:prstGeom>
      </dgm:spPr>
      <dgm:t>
        <a:bodyPr/>
        <a:lstStyle/>
        <a:p>
          <a:endParaRPr lang="en-US"/>
        </a:p>
      </dgm:t>
    </dgm:pt>
    <dgm:pt modelId="{1CA239F9-B71F-40BE-8266-74324B9997AC}" type="pres">
      <dgm:prSet presAssocID="{9BDB3B19-14F8-4F80-BA22-3FE58CB1F140}" presName="rootConnector" presStyleLbl="node2" presStyleIdx="2" presStyleCnt="3"/>
      <dgm:spPr/>
      <dgm:t>
        <a:bodyPr/>
        <a:lstStyle/>
        <a:p>
          <a:endParaRPr lang="en-US"/>
        </a:p>
      </dgm:t>
    </dgm:pt>
    <dgm:pt modelId="{EE3A83DA-98FD-44D3-8BA3-C9A8A102DEDA}" type="pres">
      <dgm:prSet presAssocID="{9BDB3B19-14F8-4F80-BA22-3FE58CB1F140}" presName="hierChild4" presStyleCnt="0"/>
      <dgm:spPr/>
    </dgm:pt>
    <dgm:pt modelId="{961F3BC9-6211-4EEE-B1E8-2FD4C7AED16C}" type="pres">
      <dgm:prSet presAssocID="{C6BFAE74-6AA1-494D-8BCF-033CDF4B558D}" presName="Name35" presStyleLbl="parChTrans1D3" presStyleIdx="2" presStyleCnt="3"/>
      <dgm:spPr>
        <a:custGeom>
          <a:avLst/>
          <a:gdLst/>
          <a:ahLst/>
          <a:cxnLst/>
          <a:rect l="0" t="0" r="0" b="0"/>
          <a:pathLst>
            <a:path>
              <a:moveTo>
                <a:pt x="45720" y="0"/>
              </a:moveTo>
              <a:lnTo>
                <a:pt x="45720" y="183473"/>
              </a:lnTo>
            </a:path>
          </a:pathLst>
        </a:custGeom>
      </dgm:spPr>
      <dgm:t>
        <a:bodyPr/>
        <a:lstStyle/>
        <a:p>
          <a:endParaRPr lang="en-US"/>
        </a:p>
      </dgm:t>
    </dgm:pt>
    <dgm:pt modelId="{5DDF625E-2DCC-499A-9047-CD966AFB78F8}" type="pres">
      <dgm:prSet presAssocID="{3A5EFACC-A5C0-4420-9F20-48C51BFC9D41}" presName="hierRoot2" presStyleCnt="0">
        <dgm:presLayoutVars>
          <dgm:hierBranch val="init"/>
        </dgm:presLayoutVars>
      </dgm:prSet>
      <dgm:spPr/>
    </dgm:pt>
    <dgm:pt modelId="{97F0AD0C-A920-402C-83FA-22537E28F4F6}" type="pres">
      <dgm:prSet presAssocID="{3A5EFACC-A5C0-4420-9F20-48C51BFC9D41}" presName="rootComposite" presStyleCnt="0"/>
      <dgm:spPr/>
    </dgm:pt>
    <dgm:pt modelId="{B4152E48-8F78-4E35-9A42-07F7A21A960C}" type="pres">
      <dgm:prSet presAssocID="{3A5EFACC-A5C0-4420-9F20-48C51BFC9D41}" presName="rootText" presStyleLbl="node3" presStyleIdx="2" presStyleCnt="3" custScaleX="129798" custScaleY="410617">
        <dgm:presLayoutVars>
          <dgm:chPref val="3"/>
        </dgm:presLayoutVars>
      </dgm:prSet>
      <dgm:spPr>
        <a:prstGeom prst="rect">
          <a:avLst/>
        </a:prstGeom>
      </dgm:spPr>
      <dgm:t>
        <a:bodyPr/>
        <a:lstStyle/>
        <a:p>
          <a:endParaRPr lang="en-US"/>
        </a:p>
      </dgm:t>
    </dgm:pt>
    <dgm:pt modelId="{45C5779B-B3B8-43FD-8D56-D73534332449}" type="pres">
      <dgm:prSet presAssocID="{3A5EFACC-A5C0-4420-9F20-48C51BFC9D41}" presName="rootConnector" presStyleLbl="node3" presStyleIdx="2" presStyleCnt="3"/>
      <dgm:spPr/>
      <dgm:t>
        <a:bodyPr/>
        <a:lstStyle/>
        <a:p>
          <a:endParaRPr lang="en-US"/>
        </a:p>
      </dgm:t>
    </dgm:pt>
    <dgm:pt modelId="{688092E7-36C3-4259-8DC1-76DCEC461A75}" type="pres">
      <dgm:prSet presAssocID="{3A5EFACC-A5C0-4420-9F20-48C51BFC9D41}" presName="hierChild4" presStyleCnt="0"/>
      <dgm:spPr/>
    </dgm:pt>
    <dgm:pt modelId="{66FAC86F-D085-4D6A-9C68-5A668CDB5305}" type="pres">
      <dgm:prSet presAssocID="{3A5EFACC-A5C0-4420-9F20-48C51BFC9D41}" presName="hierChild5" presStyleCnt="0"/>
      <dgm:spPr/>
    </dgm:pt>
    <dgm:pt modelId="{87E9752D-7999-4E29-8C84-C3C767D6D1BE}" type="pres">
      <dgm:prSet presAssocID="{9BDB3B19-14F8-4F80-BA22-3FE58CB1F140}" presName="hierChild5" presStyleCnt="0"/>
      <dgm:spPr/>
    </dgm:pt>
    <dgm:pt modelId="{D4E6C26A-F25D-4ECE-AFB7-DFE8E57D650B}" type="pres">
      <dgm:prSet presAssocID="{356F4604-88FA-4243-A3F0-289ADD58CE66}" presName="hierChild3" presStyleCnt="0"/>
      <dgm:spPr/>
    </dgm:pt>
  </dgm:ptLst>
  <dgm:cxnLst>
    <dgm:cxn modelId="{24A3A9B0-0CFF-4500-8B9F-39D68E19987D}" type="presOf" srcId="{434C9C4C-0573-4C79-B219-174C9FA7E7A4}" destId="{05D2A9B0-C7CF-471F-8564-61DDB1912809}" srcOrd="0" destOrd="0" presId="urn:microsoft.com/office/officeart/2005/8/layout/orgChart1"/>
    <dgm:cxn modelId="{93B1438A-F1E6-4161-98AC-9FDB16B84F75}" type="presOf" srcId="{3A5EFACC-A5C0-4420-9F20-48C51BFC9D41}" destId="{45C5779B-B3B8-43FD-8D56-D73534332449}" srcOrd="1" destOrd="0" presId="urn:microsoft.com/office/officeart/2005/8/layout/orgChart1"/>
    <dgm:cxn modelId="{D6E5E209-AC67-4245-A410-EA6A69311893}" srcId="{356F4604-88FA-4243-A3F0-289ADD58CE66}" destId="{9BDB3B19-14F8-4F80-BA22-3FE58CB1F140}" srcOrd="2" destOrd="0" parTransId="{17493A13-B2D8-4D94-A864-910FC84B5469}" sibTransId="{6A6042D1-EE41-4116-9695-270D81717CF6}"/>
    <dgm:cxn modelId="{0B78F4A5-238B-4B0C-8E4E-2E68990EA9BF}" type="presOf" srcId="{356F4604-88FA-4243-A3F0-289ADD58CE66}" destId="{80CE310D-532C-40FC-A88B-729C1BB78953}" srcOrd="0" destOrd="0" presId="urn:microsoft.com/office/officeart/2005/8/layout/orgChart1"/>
    <dgm:cxn modelId="{365CED83-041F-4E8E-96B4-B140EA85381C}" type="presOf" srcId="{17493A13-B2D8-4D94-A864-910FC84B5469}" destId="{8C07209F-2DBB-4DB3-9067-E517A8660440}" srcOrd="0" destOrd="0" presId="urn:microsoft.com/office/officeart/2005/8/layout/orgChart1"/>
    <dgm:cxn modelId="{E39F2722-FF2B-4F97-A62C-E757D689A496}" type="presOf" srcId="{12A45F66-1B85-4F1F-B442-41F54B5972FE}" destId="{80A8EAAB-8F79-464E-9EA7-644968670484}" srcOrd="0" destOrd="0" presId="urn:microsoft.com/office/officeart/2005/8/layout/orgChart1"/>
    <dgm:cxn modelId="{D28A7AD1-0EF8-4F83-A071-B366A5FA9A72}" srcId="{E27C1F25-4FE8-4CE0-A492-32BD05126DEC}" destId="{CEC3E456-6704-42F9-A69E-F6F9784AAD8B}" srcOrd="0" destOrd="0" parTransId="{434C9C4C-0573-4C79-B219-174C9FA7E7A4}" sibTransId="{BD549945-C517-41EF-B798-42CEB1952152}"/>
    <dgm:cxn modelId="{1740E346-48F9-485B-BFE0-839E3FDF1065}" type="presOf" srcId="{CAE52796-D15A-4FCA-B5AE-F5895A45D5F4}" destId="{5076DFE4-89A2-4FB0-9E4F-381EFE8FC978}" srcOrd="0" destOrd="0" presId="urn:microsoft.com/office/officeart/2005/8/layout/orgChart1"/>
    <dgm:cxn modelId="{8BE37F01-C1B1-48A4-991E-77B40C28E32F}" type="presOf" srcId="{356F4604-88FA-4243-A3F0-289ADD58CE66}" destId="{7360D1C3-1A95-41C5-ABC7-045BBC09B217}" srcOrd="1" destOrd="0" presId="urn:microsoft.com/office/officeart/2005/8/layout/orgChart1"/>
    <dgm:cxn modelId="{0895859D-D04A-4C0B-B729-9F18B7E092E3}" srcId="{ABA79101-28A1-40B2-AEA4-46EFD5F3D470}" destId="{356F4604-88FA-4243-A3F0-289ADD58CE66}" srcOrd="0" destOrd="0" parTransId="{70FD9E92-BC5C-436E-8C08-D7E0FEFAADE7}" sibTransId="{86EA0519-46A4-418E-88F5-F14BBFF3EE5C}"/>
    <dgm:cxn modelId="{4A4CDFA0-C27D-4952-8392-9A63576AA912}" type="presOf" srcId="{9BDB3B19-14F8-4F80-BA22-3FE58CB1F140}" destId="{C73F7A7F-7B63-4831-A5EA-BC2E361E53E0}" srcOrd="0" destOrd="0" presId="urn:microsoft.com/office/officeart/2005/8/layout/orgChart1"/>
    <dgm:cxn modelId="{E4C4C431-39F7-42F0-8A1E-1A54ED6562E2}" type="presOf" srcId="{CAE52796-D15A-4FCA-B5AE-F5895A45D5F4}" destId="{5BD4EF53-7444-445F-91BA-8BBF277D59A5}" srcOrd="1" destOrd="0" presId="urn:microsoft.com/office/officeart/2005/8/layout/orgChart1"/>
    <dgm:cxn modelId="{073CEDA2-420E-4661-9635-47340093B46E}" type="presOf" srcId="{3A5EFACC-A5C0-4420-9F20-48C51BFC9D41}" destId="{B4152E48-8F78-4E35-9A42-07F7A21A960C}" srcOrd="0" destOrd="0" presId="urn:microsoft.com/office/officeart/2005/8/layout/orgChart1"/>
    <dgm:cxn modelId="{C5829062-FE37-4F28-A329-C2E6511CCBF1}" type="presOf" srcId="{2F75B193-65C5-4144-9F88-0A361E1CE8EA}" destId="{2B1E8D3B-4370-4093-9952-292812F7BC27}" srcOrd="0" destOrd="0" presId="urn:microsoft.com/office/officeart/2005/8/layout/orgChart1"/>
    <dgm:cxn modelId="{0E2CC305-5D54-4FE9-8520-02D4351B6548}" srcId="{9BDB3B19-14F8-4F80-BA22-3FE58CB1F140}" destId="{3A5EFACC-A5C0-4420-9F20-48C51BFC9D41}" srcOrd="0" destOrd="0" parTransId="{C6BFAE74-6AA1-494D-8BCF-033CDF4B558D}" sibTransId="{3DBB322B-937A-4932-B60E-765C10BC23B6}"/>
    <dgm:cxn modelId="{CF00BBEE-56EA-49F7-8714-3926937FD6F0}" srcId="{CAE52796-D15A-4FCA-B5AE-F5895A45D5F4}" destId="{12A45F66-1B85-4F1F-B442-41F54B5972FE}" srcOrd="0" destOrd="0" parTransId="{4654162C-5A6A-46D9-B775-3F5B77987477}" sibTransId="{A88CA741-A208-48C2-9076-0828455CEBA1}"/>
    <dgm:cxn modelId="{7FBDA134-4079-496A-A997-58EF78B7E9A8}" type="presOf" srcId="{C6BFAE74-6AA1-494D-8BCF-033CDF4B558D}" destId="{961F3BC9-6211-4EEE-B1E8-2FD4C7AED16C}" srcOrd="0" destOrd="0" presId="urn:microsoft.com/office/officeart/2005/8/layout/orgChart1"/>
    <dgm:cxn modelId="{D8460491-18C5-4038-9087-C19D92D1885F}" type="presOf" srcId="{CEC3E456-6704-42F9-A69E-F6F9784AAD8B}" destId="{81C34944-0688-4803-8381-522716B40AF3}" srcOrd="1" destOrd="0" presId="urn:microsoft.com/office/officeart/2005/8/layout/orgChart1"/>
    <dgm:cxn modelId="{80C10B05-62F7-4C78-B9FE-F7B37B15C6B2}" type="presOf" srcId="{ABA79101-28A1-40B2-AEA4-46EFD5F3D470}" destId="{449886C0-12DA-4EBD-9170-AB01B6495CBD}" srcOrd="0" destOrd="0" presId="urn:microsoft.com/office/officeart/2005/8/layout/orgChart1"/>
    <dgm:cxn modelId="{C4CD8A2C-4172-4227-B7CA-78D812C8D19B}" type="presOf" srcId="{E27C1F25-4FE8-4CE0-A492-32BD05126DEC}" destId="{D34C77E8-D7CE-4018-82A6-0FC83759E2DF}" srcOrd="1" destOrd="0" presId="urn:microsoft.com/office/officeart/2005/8/layout/orgChart1"/>
    <dgm:cxn modelId="{9980A77C-2BD2-4985-9E31-6DB744D6C888}" type="presOf" srcId="{FD645A5F-176C-4631-A99D-9CC082DF25D0}" destId="{E2F1524B-DD91-4B0F-A6EE-FE2442737C30}" srcOrd="0" destOrd="0" presId="urn:microsoft.com/office/officeart/2005/8/layout/orgChart1"/>
    <dgm:cxn modelId="{B010E0BF-5D36-41F8-B3E8-3592D0C7A8E5}" srcId="{356F4604-88FA-4243-A3F0-289ADD58CE66}" destId="{CAE52796-D15A-4FCA-B5AE-F5895A45D5F4}" srcOrd="0" destOrd="0" parTransId="{2F75B193-65C5-4144-9F88-0A361E1CE8EA}" sibTransId="{4CA9610F-7B9C-45E6-AA6F-27E3C51BBB91}"/>
    <dgm:cxn modelId="{6A3D8B09-0368-45D4-8EBC-062DB784BB4D}" type="presOf" srcId="{9BDB3B19-14F8-4F80-BA22-3FE58CB1F140}" destId="{1CA239F9-B71F-40BE-8266-74324B9997AC}" srcOrd="1" destOrd="0" presId="urn:microsoft.com/office/officeart/2005/8/layout/orgChart1"/>
    <dgm:cxn modelId="{E91B4920-8C79-48A6-9AAC-6CB17170A35C}" type="presOf" srcId="{E27C1F25-4FE8-4CE0-A492-32BD05126DEC}" destId="{2725020F-855B-4E13-AFC1-7B825D4F47B6}" srcOrd="0" destOrd="0" presId="urn:microsoft.com/office/officeart/2005/8/layout/orgChart1"/>
    <dgm:cxn modelId="{D81BEE3A-2C0A-48AE-AD0B-4BE6FEF78782}" type="presOf" srcId="{CEC3E456-6704-42F9-A69E-F6F9784AAD8B}" destId="{F45B4EE2-4119-475F-A334-A78DD34F2825}" srcOrd="0" destOrd="0" presId="urn:microsoft.com/office/officeart/2005/8/layout/orgChart1"/>
    <dgm:cxn modelId="{A150AF10-9E7E-46F8-ABA3-6EBD258CF00B}" type="presOf" srcId="{12A45F66-1B85-4F1F-B442-41F54B5972FE}" destId="{88B4E378-D9FA-4543-814C-1D84AC768E1B}" srcOrd="1" destOrd="0" presId="urn:microsoft.com/office/officeart/2005/8/layout/orgChart1"/>
    <dgm:cxn modelId="{71D40F3D-B55D-4A68-91F9-22CB3DB48857}" srcId="{356F4604-88FA-4243-A3F0-289ADD58CE66}" destId="{E27C1F25-4FE8-4CE0-A492-32BD05126DEC}" srcOrd="1" destOrd="0" parTransId="{FD645A5F-176C-4631-A99D-9CC082DF25D0}" sibTransId="{4B5B7E4C-C336-4C11-AAB1-EEB7B39628AE}"/>
    <dgm:cxn modelId="{F451933B-0937-49B7-96D8-177934CDA975}" type="presOf" srcId="{4654162C-5A6A-46D9-B775-3F5B77987477}" destId="{AAB2138F-F0C5-4A34-BF19-3DA431BF07B0}" srcOrd="0" destOrd="0" presId="urn:microsoft.com/office/officeart/2005/8/layout/orgChart1"/>
    <dgm:cxn modelId="{E69224A7-EC94-4F7C-99BE-F3DBEC6F82CD}" type="presParOf" srcId="{449886C0-12DA-4EBD-9170-AB01B6495CBD}" destId="{494DBD2F-FFAE-4100-9CEE-5A1593B4AF4B}" srcOrd="0" destOrd="0" presId="urn:microsoft.com/office/officeart/2005/8/layout/orgChart1"/>
    <dgm:cxn modelId="{D829B2E7-F5C1-4E18-A2D2-15743953776A}" type="presParOf" srcId="{494DBD2F-FFAE-4100-9CEE-5A1593B4AF4B}" destId="{1547DAE9-8B29-4A51-ACFE-075E4B10BDAE}" srcOrd="0" destOrd="0" presId="urn:microsoft.com/office/officeart/2005/8/layout/orgChart1"/>
    <dgm:cxn modelId="{26D858EA-6F63-4770-BF18-F71B28A4342B}" type="presParOf" srcId="{1547DAE9-8B29-4A51-ACFE-075E4B10BDAE}" destId="{80CE310D-532C-40FC-A88B-729C1BB78953}" srcOrd="0" destOrd="0" presId="urn:microsoft.com/office/officeart/2005/8/layout/orgChart1"/>
    <dgm:cxn modelId="{BDC7295D-1CC0-47DE-AE56-2D866FD970AC}" type="presParOf" srcId="{1547DAE9-8B29-4A51-ACFE-075E4B10BDAE}" destId="{7360D1C3-1A95-41C5-ABC7-045BBC09B217}" srcOrd="1" destOrd="0" presId="urn:microsoft.com/office/officeart/2005/8/layout/orgChart1"/>
    <dgm:cxn modelId="{932EEB08-4C6C-422D-A20B-378BA8C2B6D6}" type="presParOf" srcId="{494DBD2F-FFAE-4100-9CEE-5A1593B4AF4B}" destId="{A4B9BAE0-9205-4C21-9C5B-E1A0195BB795}" srcOrd="1" destOrd="0" presId="urn:microsoft.com/office/officeart/2005/8/layout/orgChart1"/>
    <dgm:cxn modelId="{9CCA4C23-5492-4676-964B-8CCA4E290160}" type="presParOf" srcId="{A4B9BAE0-9205-4C21-9C5B-E1A0195BB795}" destId="{2B1E8D3B-4370-4093-9952-292812F7BC27}" srcOrd="0" destOrd="0" presId="urn:microsoft.com/office/officeart/2005/8/layout/orgChart1"/>
    <dgm:cxn modelId="{73FC5284-4E48-483E-AC94-8985212B8778}" type="presParOf" srcId="{A4B9BAE0-9205-4C21-9C5B-E1A0195BB795}" destId="{D321BE65-C4B1-4A6D-91DD-2F1F2B2E16A5}" srcOrd="1" destOrd="0" presId="urn:microsoft.com/office/officeart/2005/8/layout/orgChart1"/>
    <dgm:cxn modelId="{7BD006A6-0539-4D67-A29E-907726B79754}" type="presParOf" srcId="{D321BE65-C4B1-4A6D-91DD-2F1F2B2E16A5}" destId="{BD6A9EFE-6384-4F50-B819-AD47244B31FF}" srcOrd="0" destOrd="0" presId="urn:microsoft.com/office/officeart/2005/8/layout/orgChart1"/>
    <dgm:cxn modelId="{308D4756-F832-4C85-8F47-CA071DAA2174}" type="presParOf" srcId="{BD6A9EFE-6384-4F50-B819-AD47244B31FF}" destId="{5076DFE4-89A2-4FB0-9E4F-381EFE8FC978}" srcOrd="0" destOrd="0" presId="urn:microsoft.com/office/officeart/2005/8/layout/orgChart1"/>
    <dgm:cxn modelId="{FB24F055-384F-442C-AEFF-16E002057B8B}" type="presParOf" srcId="{BD6A9EFE-6384-4F50-B819-AD47244B31FF}" destId="{5BD4EF53-7444-445F-91BA-8BBF277D59A5}" srcOrd="1" destOrd="0" presId="urn:microsoft.com/office/officeart/2005/8/layout/orgChart1"/>
    <dgm:cxn modelId="{200B0542-584C-48A2-907B-40D4BDFCABD7}" type="presParOf" srcId="{D321BE65-C4B1-4A6D-91DD-2F1F2B2E16A5}" destId="{AF9DC8D3-D492-4C1D-9F21-B565BF6FCF77}" srcOrd="1" destOrd="0" presId="urn:microsoft.com/office/officeart/2005/8/layout/orgChart1"/>
    <dgm:cxn modelId="{C8D58AA2-85E6-41CD-AEDF-B5B16A6238CF}" type="presParOf" srcId="{AF9DC8D3-D492-4C1D-9F21-B565BF6FCF77}" destId="{AAB2138F-F0C5-4A34-BF19-3DA431BF07B0}" srcOrd="0" destOrd="0" presId="urn:microsoft.com/office/officeart/2005/8/layout/orgChart1"/>
    <dgm:cxn modelId="{ED2F9DAD-95F9-4547-840C-473F4DD154DA}" type="presParOf" srcId="{AF9DC8D3-D492-4C1D-9F21-B565BF6FCF77}" destId="{7E9B83EE-B9AF-4752-8210-F28AFE3537D1}" srcOrd="1" destOrd="0" presId="urn:microsoft.com/office/officeart/2005/8/layout/orgChart1"/>
    <dgm:cxn modelId="{24D6ACF1-7537-40EE-AA73-EEFFB2004F00}" type="presParOf" srcId="{7E9B83EE-B9AF-4752-8210-F28AFE3537D1}" destId="{198ED0BD-3BCF-4A57-82F9-D9134E1B0221}" srcOrd="0" destOrd="0" presId="urn:microsoft.com/office/officeart/2005/8/layout/orgChart1"/>
    <dgm:cxn modelId="{FF3763B6-6D37-40F2-ABF0-ECA7C52F07B4}" type="presParOf" srcId="{198ED0BD-3BCF-4A57-82F9-D9134E1B0221}" destId="{80A8EAAB-8F79-464E-9EA7-644968670484}" srcOrd="0" destOrd="0" presId="urn:microsoft.com/office/officeart/2005/8/layout/orgChart1"/>
    <dgm:cxn modelId="{F4907697-1B8A-4801-847F-6E5FB91ED8EB}" type="presParOf" srcId="{198ED0BD-3BCF-4A57-82F9-D9134E1B0221}" destId="{88B4E378-D9FA-4543-814C-1D84AC768E1B}" srcOrd="1" destOrd="0" presId="urn:microsoft.com/office/officeart/2005/8/layout/orgChart1"/>
    <dgm:cxn modelId="{FB12F490-8E29-4BE2-92A8-34F3F77105E1}" type="presParOf" srcId="{7E9B83EE-B9AF-4752-8210-F28AFE3537D1}" destId="{4F7E0ABE-264C-45FF-BB33-3ED42C8F1276}" srcOrd="1" destOrd="0" presId="urn:microsoft.com/office/officeart/2005/8/layout/orgChart1"/>
    <dgm:cxn modelId="{D5324892-BEE7-4449-8292-8AEF2C0D1C89}" type="presParOf" srcId="{7E9B83EE-B9AF-4752-8210-F28AFE3537D1}" destId="{49BEF45B-4C34-4C9B-82F1-4BF8E77BF87F}" srcOrd="2" destOrd="0" presId="urn:microsoft.com/office/officeart/2005/8/layout/orgChart1"/>
    <dgm:cxn modelId="{446B537D-7539-4E95-9F39-AE1C3576DB81}" type="presParOf" srcId="{D321BE65-C4B1-4A6D-91DD-2F1F2B2E16A5}" destId="{5AA44721-7BDB-4E12-B18C-F2170C6DBA16}" srcOrd="2" destOrd="0" presId="urn:microsoft.com/office/officeart/2005/8/layout/orgChart1"/>
    <dgm:cxn modelId="{788BE21A-4461-4DAE-944C-59DCEAA12369}" type="presParOf" srcId="{A4B9BAE0-9205-4C21-9C5B-E1A0195BB795}" destId="{E2F1524B-DD91-4B0F-A6EE-FE2442737C30}" srcOrd="2" destOrd="0" presId="urn:microsoft.com/office/officeart/2005/8/layout/orgChart1"/>
    <dgm:cxn modelId="{F70E9CE3-6F1F-477C-A356-3D0ADB108759}" type="presParOf" srcId="{A4B9BAE0-9205-4C21-9C5B-E1A0195BB795}" destId="{6E355487-3941-4233-8EB3-EE4566E55FD7}" srcOrd="3" destOrd="0" presId="urn:microsoft.com/office/officeart/2005/8/layout/orgChart1"/>
    <dgm:cxn modelId="{9C89E8C8-D6F6-48F0-A480-8A9950C0E4F8}" type="presParOf" srcId="{6E355487-3941-4233-8EB3-EE4566E55FD7}" destId="{278B80F9-2046-44F9-984B-BD328D4D5792}" srcOrd="0" destOrd="0" presId="urn:microsoft.com/office/officeart/2005/8/layout/orgChart1"/>
    <dgm:cxn modelId="{C31A01D3-53FD-4685-BAB9-795711FBD8D5}" type="presParOf" srcId="{278B80F9-2046-44F9-984B-BD328D4D5792}" destId="{2725020F-855B-4E13-AFC1-7B825D4F47B6}" srcOrd="0" destOrd="0" presId="urn:microsoft.com/office/officeart/2005/8/layout/orgChart1"/>
    <dgm:cxn modelId="{882295CE-1758-4191-806C-E96ED491568C}" type="presParOf" srcId="{278B80F9-2046-44F9-984B-BD328D4D5792}" destId="{D34C77E8-D7CE-4018-82A6-0FC83759E2DF}" srcOrd="1" destOrd="0" presId="urn:microsoft.com/office/officeart/2005/8/layout/orgChart1"/>
    <dgm:cxn modelId="{C870786D-618B-41DD-98A6-CE629530ADEC}" type="presParOf" srcId="{6E355487-3941-4233-8EB3-EE4566E55FD7}" destId="{E5F3BC3E-C140-48A4-816F-9C8AAA4BAAC2}" srcOrd="1" destOrd="0" presId="urn:microsoft.com/office/officeart/2005/8/layout/orgChart1"/>
    <dgm:cxn modelId="{07892415-3539-4CCF-BA51-12D34A24C37C}" type="presParOf" srcId="{E5F3BC3E-C140-48A4-816F-9C8AAA4BAAC2}" destId="{05D2A9B0-C7CF-471F-8564-61DDB1912809}" srcOrd="0" destOrd="0" presId="urn:microsoft.com/office/officeart/2005/8/layout/orgChart1"/>
    <dgm:cxn modelId="{FB91D129-BDE7-4DBD-A7B8-66F6C143C836}" type="presParOf" srcId="{E5F3BC3E-C140-48A4-816F-9C8AAA4BAAC2}" destId="{EB4FD48B-5037-4F01-86E4-6C6BAD2F020D}" srcOrd="1" destOrd="0" presId="urn:microsoft.com/office/officeart/2005/8/layout/orgChart1"/>
    <dgm:cxn modelId="{13A3456D-66C5-4616-B2F3-4C4553E7D888}" type="presParOf" srcId="{EB4FD48B-5037-4F01-86E4-6C6BAD2F020D}" destId="{C52978EA-09A6-4681-8B3F-DFA5ED8EC577}" srcOrd="0" destOrd="0" presId="urn:microsoft.com/office/officeart/2005/8/layout/orgChart1"/>
    <dgm:cxn modelId="{1A57FBE7-A854-4562-B6CF-41C201400E4A}" type="presParOf" srcId="{C52978EA-09A6-4681-8B3F-DFA5ED8EC577}" destId="{F45B4EE2-4119-475F-A334-A78DD34F2825}" srcOrd="0" destOrd="0" presId="urn:microsoft.com/office/officeart/2005/8/layout/orgChart1"/>
    <dgm:cxn modelId="{254614FB-DEAA-42D4-89ED-3E9ADF7689F2}" type="presParOf" srcId="{C52978EA-09A6-4681-8B3F-DFA5ED8EC577}" destId="{81C34944-0688-4803-8381-522716B40AF3}" srcOrd="1" destOrd="0" presId="urn:microsoft.com/office/officeart/2005/8/layout/orgChart1"/>
    <dgm:cxn modelId="{B5FF747F-7FC4-43AF-867B-B8F8E9396DCD}" type="presParOf" srcId="{EB4FD48B-5037-4F01-86E4-6C6BAD2F020D}" destId="{6E8B4B7A-FB5B-45F1-B66C-0371D2BFAD48}" srcOrd="1" destOrd="0" presId="urn:microsoft.com/office/officeart/2005/8/layout/orgChart1"/>
    <dgm:cxn modelId="{86ADE8A3-2CA6-4FFD-94F8-A1A4A890BF43}" type="presParOf" srcId="{EB4FD48B-5037-4F01-86E4-6C6BAD2F020D}" destId="{C6A526BB-FB9E-4CD4-B4D5-6CD41F09D53A}" srcOrd="2" destOrd="0" presId="urn:microsoft.com/office/officeart/2005/8/layout/orgChart1"/>
    <dgm:cxn modelId="{DFEAA16C-97D8-42CC-8D1F-FB8273C742C6}" type="presParOf" srcId="{6E355487-3941-4233-8EB3-EE4566E55FD7}" destId="{50932110-CA8B-4AF6-AAD0-727AC35D1C64}" srcOrd="2" destOrd="0" presId="urn:microsoft.com/office/officeart/2005/8/layout/orgChart1"/>
    <dgm:cxn modelId="{A5DE910D-6495-4AF7-AF09-E113B089D206}" type="presParOf" srcId="{A4B9BAE0-9205-4C21-9C5B-E1A0195BB795}" destId="{8C07209F-2DBB-4DB3-9067-E517A8660440}" srcOrd="4" destOrd="0" presId="urn:microsoft.com/office/officeart/2005/8/layout/orgChart1"/>
    <dgm:cxn modelId="{832528CC-633D-4A0F-96DD-5A26C8195EA2}" type="presParOf" srcId="{A4B9BAE0-9205-4C21-9C5B-E1A0195BB795}" destId="{0823DB1E-98AF-4653-BC0A-25766A818DAA}" srcOrd="5" destOrd="0" presId="urn:microsoft.com/office/officeart/2005/8/layout/orgChart1"/>
    <dgm:cxn modelId="{6D39257F-2302-4E2C-A682-928A85B62FEC}" type="presParOf" srcId="{0823DB1E-98AF-4653-BC0A-25766A818DAA}" destId="{F127F677-2C6D-489C-B7E5-02572CCD8E22}" srcOrd="0" destOrd="0" presId="urn:microsoft.com/office/officeart/2005/8/layout/orgChart1"/>
    <dgm:cxn modelId="{0AF27DED-8E66-439F-90DA-C748E45E31AC}" type="presParOf" srcId="{F127F677-2C6D-489C-B7E5-02572CCD8E22}" destId="{C73F7A7F-7B63-4831-A5EA-BC2E361E53E0}" srcOrd="0" destOrd="0" presId="urn:microsoft.com/office/officeart/2005/8/layout/orgChart1"/>
    <dgm:cxn modelId="{9DA245EE-4809-42F5-99E0-E2E5E5248A6F}" type="presParOf" srcId="{F127F677-2C6D-489C-B7E5-02572CCD8E22}" destId="{1CA239F9-B71F-40BE-8266-74324B9997AC}" srcOrd="1" destOrd="0" presId="urn:microsoft.com/office/officeart/2005/8/layout/orgChart1"/>
    <dgm:cxn modelId="{EC5B8496-D15E-4B70-B37C-AAAF07794B5F}" type="presParOf" srcId="{0823DB1E-98AF-4653-BC0A-25766A818DAA}" destId="{EE3A83DA-98FD-44D3-8BA3-C9A8A102DEDA}" srcOrd="1" destOrd="0" presId="urn:microsoft.com/office/officeart/2005/8/layout/orgChart1"/>
    <dgm:cxn modelId="{61C5270A-49E1-4D23-AA6F-BCB74066806B}" type="presParOf" srcId="{EE3A83DA-98FD-44D3-8BA3-C9A8A102DEDA}" destId="{961F3BC9-6211-4EEE-B1E8-2FD4C7AED16C}" srcOrd="0" destOrd="0" presId="urn:microsoft.com/office/officeart/2005/8/layout/orgChart1"/>
    <dgm:cxn modelId="{60482313-41EA-4EFC-8095-5FB7C75A1004}" type="presParOf" srcId="{EE3A83DA-98FD-44D3-8BA3-C9A8A102DEDA}" destId="{5DDF625E-2DCC-499A-9047-CD966AFB78F8}" srcOrd="1" destOrd="0" presId="urn:microsoft.com/office/officeart/2005/8/layout/orgChart1"/>
    <dgm:cxn modelId="{50D08A4E-4F96-4C0B-9A6D-636F0ABA058D}" type="presParOf" srcId="{5DDF625E-2DCC-499A-9047-CD966AFB78F8}" destId="{97F0AD0C-A920-402C-83FA-22537E28F4F6}" srcOrd="0" destOrd="0" presId="urn:microsoft.com/office/officeart/2005/8/layout/orgChart1"/>
    <dgm:cxn modelId="{1A70B174-D6A0-442A-8DED-59FF5C29F708}" type="presParOf" srcId="{97F0AD0C-A920-402C-83FA-22537E28F4F6}" destId="{B4152E48-8F78-4E35-9A42-07F7A21A960C}" srcOrd="0" destOrd="0" presId="urn:microsoft.com/office/officeart/2005/8/layout/orgChart1"/>
    <dgm:cxn modelId="{50C62BA7-49BC-4D6A-8D9D-DDA309F12BDB}" type="presParOf" srcId="{97F0AD0C-A920-402C-83FA-22537E28F4F6}" destId="{45C5779B-B3B8-43FD-8D56-D73534332449}" srcOrd="1" destOrd="0" presId="urn:microsoft.com/office/officeart/2005/8/layout/orgChart1"/>
    <dgm:cxn modelId="{596AA663-9A38-4F51-B138-76A751E88EFA}" type="presParOf" srcId="{5DDF625E-2DCC-499A-9047-CD966AFB78F8}" destId="{688092E7-36C3-4259-8DC1-76DCEC461A75}" srcOrd="1" destOrd="0" presId="urn:microsoft.com/office/officeart/2005/8/layout/orgChart1"/>
    <dgm:cxn modelId="{6BFECA7B-4BD0-4BF9-8561-5F1CC4BFF088}" type="presParOf" srcId="{5DDF625E-2DCC-499A-9047-CD966AFB78F8}" destId="{66FAC86F-D085-4D6A-9C68-5A668CDB5305}" srcOrd="2" destOrd="0" presId="urn:microsoft.com/office/officeart/2005/8/layout/orgChart1"/>
    <dgm:cxn modelId="{2CE7230C-114E-4DF1-B354-B903A3C30740}" type="presParOf" srcId="{0823DB1E-98AF-4653-BC0A-25766A818DAA}" destId="{87E9752D-7999-4E29-8C84-C3C767D6D1BE}" srcOrd="2" destOrd="0" presId="urn:microsoft.com/office/officeart/2005/8/layout/orgChart1"/>
    <dgm:cxn modelId="{F51CF837-C435-416C-8072-3CAE2D49ECB0}" type="presParOf" srcId="{494DBD2F-FFAE-4100-9CEE-5A1593B4AF4B}" destId="{D4E6C26A-F25D-4ECE-AFB7-DFE8E57D650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1F3BC9-6211-4EEE-B1E8-2FD4C7AED16C}">
      <dsp:nvSpPr>
        <dsp:cNvPr id="0" name=""/>
        <dsp:cNvSpPr/>
      </dsp:nvSpPr>
      <dsp:spPr>
        <a:xfrm>
          <a:off x="4102666"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07209F-2DBB-4DB3-9067-E517A8660440}">
      <dsp:nvSpPr>
        <dsp:cNvPr id="0" name=""/>
        <dsp:cNvSpPr/>
      </dsp:nvSpPr>
      <dsp:spPr>
        <a:xfrm>
          <a:off x="2846704" y="479121"/>
          <a:ext cx="1301682" cy="183473"/>
        </a:xfrm>
        <a:custGeom>
          <a:avLst/>
          <a:gdLst/>
          <a:ahLst/>
          <a:cxnLst/>
          <a:rect l="0" t="0" r="0" b="0"/>
          <a:pathLst>
            <a:path>
              <a:moveTo>
                <a:pt x="0" y="0"/>
              </a:moveTo>
              <a:lnTo>
                <a:pt x="0" y="91736"/>
              </a:lnTo>
              <a:lnTo>
                <a:pt x="1301682" y="91736"/>
              </a:lnTo>
              <a:lnTo>
                <a:pt x="1301682"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D2A9B0-C7CF-471F-8564-61DDB1912809}">
      <dsp:nvSpPr>
        <dsp:cNvPr id="0" name=""/>
        <dsp:cNvSpPr/>
      </dsp:nvSpPr>
      <dsp:spPr>
        <a:xfrm>
          <a:off x="282876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F1524B-DD91-4B0F-A6EE-FE2442737C30}">
      <dsp:nvSpPr>
        <dsp:cNvPr id="0" name=""/>
        <dsp:cNvSpPr/>
      </dsp:nvSpPr>
      <dsp:spPr>
        <a:xfrm>
          <a:off x="2800984" y="479121"/>
          <a:ext cx="91440" cy="183473"/>
        </a:xfrm>
        <a:custGeom>
          <a:avLst/>
          <a:gdLst/>
          <a:ahLst/>
          <a:cxnLst/>
          <a:rect l="0" t="0" r="0" b="0"/>
          <a:pathLst>
            <a:path>
              <a:moveTo>
                <a:pt x="45720" y="0"/>
              </a:moveTo>
              <a:lnTo>
                <a:pt x="45720" y="91736"/>
              </a:lnTo>
              <a:lnTo>
                <a:pt x="73505" y="91736"/>
              </a:lnTo>
              <a:lnTo>
                <a:pt x="73505"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B2138F-F0C5-4A34-BF19-3DA431BF07B0}">
      <dsp:nvSpPr>
        <dsp:cNvPr id="0" name=""/>
        <dsp:cNvSpPr/>
      </dsp:nvSpPr>
      <dsp:spPr>
        <a:xfrm>
          <a:off x="1527709" y="1099436"/>
          <a:ext cx="91440" cy="183473"/>
        </a:xfrm>
        <a:custGeom>
          <a:avLst/>
          <a:gdLst/>
          <a:ahLst/>
          <a:cxnLst/>
          <a:rect l="0" t="0" r="0" b="0"/>
          <a:pathLst>
            <a:path>
              <a:moveTo>
                <a:pt x="45720" y="0"/>
              </a:moveTo>
              <a:lnTo>
                <a:pt x="45720" y="18347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1E8D3B-4370-4093-9952-292812F7BC27}">
      <dsp:nvSpPr>
        <dsp:cNvPr id="0" name=""/>
        <dsp:cNvSpPr/>
      </dsp:nvSpPr>
      <dsp:spPr>
        <a:xfrm>
          <a:off x="1573429" y="479121"/>
          <a:ext cx="1273274" cy="183473"/>
        </a:xfrm>
        <a:custGeom>
          <a:avLst/>
          <a:gdLst/>
          <a:ahLst/>
          <a:cxnLst/>
          <a:rect l="0" t="0" r="0" b="0"/>
          <a:pathLst>
            <a:path>
              <a:moveTo>
                <a:pt x="1273274" y="0"/>
              </a:moveTo>
              <a:lnTo>
                <a:pt x="1273274" y="91736"/>
              </a:lnTo>
              <a:lnTo>
                <a:pt x="0" y="91736"/>
              </a:lnTo>
              <a:lnTo>
                <a:pt x="0" y="18347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CE310D-532C-40FC-A88B-729C1BB78953}">
      <dsp:nvSpPr>
        <dsp:cNvPr id="0" name=""/>
        <dsp:cNvSpPr/>
      </dsp:nvSpPr>
      <dsp:spPr>
        <a:xfrm>
          <a:off x="1854592" y="145"/>
          <a:ext cx="1984223" cy="47897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solidFill>
                <a:sysClr val="window" lastClr="FFFFFF"/>
              </a:solidFill>
              <a:latin typeface="Arial" panose="020B0604020202020204" pitchFamily="34" charset="0"/>
              <a:ea typeface="+mn-ea"/>
              <a:cs typeface="Arial" panose="020B0604020202020204" pitchFamily="34" charset="0"/>
            </a:rPr>
            <a:t>NPA </a:t>
          </a:r>
          <a:r>
            <a:rPr lang="en-US" sz="1400" kern="1200">
              <a:solidFill>
                <a:sysClr val="window" lastClr="FFFFFF"/>
              </a:solidFill>
              <a:latin typeface="Arial" panose="020B0604020202020204" pitchFamily="34" charset="0"/>
              <a:ea typeface="+mn-ea"/>
              <a:cs typeface="Arial" panose="020B0604020202020204" pitchFamily="34" charset="0"/>
            </a:rPr>
            <a:t>Classification</a:t>
          </a:r>
          <a:endParaRPr lang="en-US" sz="1600" kern="1200">
            <a:solidFill>
              <a:sysClr val="window" lastClr="FFFFFF"/>
            </a:solidFill>
            <a:latin typeface="Arial" panose="020B0604020202020204" pitchFamily="34" charset="0"/>
            <a:ea typeface="+mn-ea"/>
            <a:cs typeface="Arial" panose="020B0604020202020204" pitchFamily="34" charset="0"/>
          </a:endParaRPr>
        </a:p>
      </dsp:txBody>
      <dsp:txXfrm>
        <a:off x="1854592" y="145"/>
        <a:ext cx="1984223" cy="478975"/>
      </dsp:txXfrm>
    </dsp:sp>
    <dsp:sp modelId="{5076DFE4-89A2-4FB0-9E4F-381EFE8FC978}">
      <dsp:nvSpPr>
        <dsp:cNvPr id="0" name=""/>
        <dsp:cNvSpPr/>
      </dsp:nvSpPr>
      <dsp:spPr>
        <a:xfrm>
          <a:off x="993251" y="662594"/>
          <a:ext cx="1160357"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Sub Standard Assets</a:t>
          </a:r>
        </a:p>
      </dsp:txBody>
      <dsp:txXfrm>
        <a:off x="993251" y="662594"/>
        <a:ext cx="1160357" cy="436842"/>
      </dsp:txXfrm>
    </dsp:sp>
    <dsp:sp modelId="{80A8EAAB-8F79-464E-9EA7-644968670484}">
      <dsp:nvSpPr>
        <dsp:cNvPr id="0" name=""/>
        <dsp:cNvSpPr/>
      </dsp:nvSpPr>
      <dsp:spPr>
        <a:xfrm>
          <a:off x="998222" y="1282910"/>
          <a:ext cx="1150414" cy="180206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Loans and Advances which have remained non-performing for a period of less than or equal 12 months</a:t>
          </a:r>
        </a:p>
      </dsp:txBody>
      <dsp:txXfrm>
        <a:off x="998222" y="1282910"/>
        <a:ext cx="1150414" cy="1802069"/>
      </dsp:txXfrm>
    </dsp:sp>
    <dsp:sp modelId="{2725020F-855B-4E13-AFC1-7B825D4F47B6}">
      <dsp:nvSpPr>
        <dsp:cNvPr id="0" name=""/>
        <dsp:cNvSpPr/>
      </dsp:nvSpPr>
      <dsp:spPr>
        <a:xfrm>
          <a:off x="2337082" y="662594"/>
          <a:ext cx="1074814"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Doubtful Assets</a:t>
          </a:r>
        </a:p>
      </dsp:txBody>
      <dsp:txXfrm>
        <a:off x="2337082" y="662594"/>
        <a:ext cx="1074814" cy="436842"/>
      </dsp:txXfrm>
    </dsp:sp>
    <dsp:sp modelId="{F45B4EE2-4119-475F-A334-A78DD34F2825}">
      <dsp:nvSpPr>
        <dsp:cNvPr id="0" name=""/>
        <dsp:cNvSpPr/>
      </dsp:nvSpPr>
      <dsp:spPr>
        <a:xfrm>
          <a:off x="2351078" y="1282910"/>
          <a:ext cx="1046822" cy="180304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Loans that have remained in the substandard category for 12 months or more.</a:t>
          </a:r>
        </a:p>
      </dsp:txBody>
      <dsp:txXfrm>
        <a:off x="2351078" y="1282910"/>
        <a:ext cx="1046822" cy="1803043"/>
      </dsp:txXfrm>
    </dsp:sp>
    <dsp:sp modelId="{C73F7A7F-7B63-4831-A5EA-BC2E361E53E0}">
      <dsp:nvSpPr>
        <dsp:cNvPr id="0" name=""/>
        <dsp:cNvSpPr/>
      </dsp:nvSpPr>
      <dsp:spPr>
        <a:xfrm>
          <a:off x="3596615" y="662594"/>
          <a:ext cx="1103541" cy="436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Loss</a:t>
          </a:r>
          <a:r>
            <a:rPr lang="en-US" sz="1600" kern="1200">
              <a:solidFill>
                <a:sysClr val="window" lastClr="FFFFFF"/>
              </a:solidFill>
              <a:latin typeface="Times New Roman" panose="02020603050405020304" pitchFamily="18" charset="0"/>
              <a:ea typeface="+mn-ea"/>
              <a:cs typeface="Times New Roman" panose="02020603050405020304" pitchFamily="18" charset="0"/>
            </a:rPr>
            <a:t> </a:t>
          </a:r>
          <a:r>
            <a:rPr lang="en-US" sz="1200" kern="1200">
              <a:solidFill>
                <a:sysClr val="window" lastClr="FFFFFF"/>
              </a:solidFill>
              <a:latin typeface="Arial" panose="020B0604020202020204" pitchFamily="34" charset="0"/>
              <a:ea typeface="+mn-ea"/>
              <a:cs typeface="Arial" panose="020B0604020202020204" pitchFamily="34" charset="0"/>
            </a:rPr>
            <a:t>Assets</a:t>
          </a:r>
        </a:p>
      </dsp:txBody>
      <dsp:txXfrm>
        <a:off x="3596615" y="662594"/>
        <a:ext cx="1103541" cy="436842"/>
      </dsp:txXfrm>
    </dsp:sp>
    <dsp:sp modelId="{B4152E48-8F78-4E35-9A42-07F7A21A960C}">
      <dsp:nvSpPr>
        <dsp:cNvPr id="0" name=""/>
        <dsp:cNvSpPr/>
      </dsp:nvSpPr>
      <dsp:spPr>
        <a:xfrm>
          <a:off x="3581374" y="1282910"/>
          <a:ext cx="1134024" cy="179374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Arial" panose="020B0604020202020204" pitchFamily="34" charset="0"/>
              <a:ea typeface="+mn-ea"/>
              <a:cs typeface="Arial" panose="020B0604020202020204" pitchFamily="34" charset="0"/>
            </a:rPr>
            <a:t>Loans had been identified by the bank's internal/external auditors or by RBI, but the amount involved is irrecoverable and of negligible value.</a:t>
          </a:r>
        </a:p>
      </dsp:txBody>
      <dsp:txXfrm>
        <a:off x="3581374" y="1282910"/>
        <a:ext cx="1134024" cy="17937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TotalTime>
  <Pages>1</Pages>
  <Words>6553</Words>
  <Characters>37354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2025-09-17T08:59:00Z</dcterms:created>
  <dcterms:modified xsi:type="dcterms:W3CDTF">2025-10-01T02:39:00Z</dcterms:modified>
</cp:coreProperties>
</file>