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2B005" w14:textId="1A476DEF" w:rsidR="00FA0EF6" w:rsidRPr="00FA0EF6" w:rsidRDefault="00FA0EF6" w:rsidP="00D75A0A">
      <w:pPr>
        <w:spacing w:after="0" w:line="240" w:lineRule="auto"/>
        <w:jc w:val="center"/>
        <w:rPr>
          <w:rFonts w:ascii="Times New Roman" w:hAnsi="Times New Roman" w:cs="Times New Roman"/>
          <w:b/>
          <w:color w:val="000000" w:themeColor="text1"/>
          <w:sz w:val="32"/>
          <w:szCs w:val="32"/>
        </w:rPr>
      </w:pPr>
      <w:r w:rsidRPr="00FA0EF6">
        <w:rPr>
          <w:rFonts w:ascii="Times New Roman" w:hAnsi="Times New Roman" w:cs="Times New Roman"/>
          <w:b/>
          <w:color w:val="000000" w:themeColor="text1"/>
          <w:sz w:val="32"/>
          <w:szCs w:val="32"/>
        </w:rPr>
        <w:t>Research Article</w:t>
      </w:r>
    </w:p>
    <w:p w14:paraId="0F18DDA6" w14:textId="77777777" w:rsidR="00F84A10" w:rsidRDefault="00E131B9" w:rsidP="00F84A10">
      <w:pPr>
        <w:spacing w:after="0" w:line="240" w:lineRule="auto"/>
        <w:jc w:val="center"/>
        <w:rPr>
          <w:rFonts w:ascii="Times New Roman" w:hAnsi="Times New Roman" w:cs="Times New Roman"/>
          <w:b/>
          <w:color w:val="000000" w:themeColor="text1"/>
          <w:sz w:val="24"/>
          <w:szCs w:val="24"/>
        </w:rPr>
      </w:pPr>
      <w:r w:rsidRPr="00E131B9">
        <w:rPr>
          <w:rFonts w:ascii="Times New Roman" w:hAnsi="Times New Roman" w:cs="Times New Roman"/>
          <w:b/>
          <w:color w:val="000000" w:themeColor="text1"/>
          <w:sz w:val="24"/>
          <w:szCs w:val="24"/>
        </w:rPr>
        <w:t xml:space="preserve">NOVCOM Technology for </w:t>
      </w:r>
      <w:proofErr w:type="spellStart"/>
      <w:r w:rsidRPr="00E131B9">
        <w:rPr>
          <w:rFonts w:ascii="Times New Roman" w:hAnsi="Times New Roman" w:cs="Times New Roman"/>
          <w:b/>
          <w:color w:val="000000" w:themeColor="text1"/>
          <w:sz w:val="24"/>
          <w:szCs w:val="24"/>
        </w:rPr>
        <w:t>Coirpith</w:t>
      </w:r>
      <w:proofErr w:type="spellEnd"/>
      <w:r w:rsidRPr="00E131B9">
        <w:rPr>
          <w:rFonts w:ascii="Times New Roman" w:hAnsi="Times New Roman" w:cs="Times New Roman"/>
          <w:b/>
          <w:color w:val="000000" w:themeColor="text1"/>
          <w:sz w:val="24"/>
          <w:szCs w:val="24"/>
        </w:rPr>
        <w:t>-Based Pro-Tray Media: Addressing Limitations to Enhance Seedling Quality and Uniformity</w:t>
      </w:r>
    </w:p>
    <w:p w14:paraId="47FBE240" w14:textId="77777777" w:rsidR="00E131B9" w:rsidRDefault="00E131B9" w:rsidP="00F84A10">
      <w:pPr>
        <w:spacing w:after="0" w:line="240" w:lineRule="auto"/>
        <w:jc w:val="center"/>
        <w:rPr>
          <w:rFonts w:ascii="Times New Roman" w:hAnsi="Times New Roman" w:cs="Times New Roman"/>
          <w:bCs/>
          <w:color w:val="000000" w:themeColor="text1"/>
          <w:sz w:val="24"/>
          <w:szCs w:val="24"/>
        </w:rPr>
      </w:pPr>
    </w:p>
    <w:p w14:paraId="03A0E30E" w14:textId="77777777" w:rsidR="00F84A10" w:rsidRDefault="00F84A10" w:rsidP="00F84A10">
      <w:pPr>
        <w:pStyle w:val="Heading3"/>
        <w:spacing w:before="0" w:beforeAutospacing="0" w:after="0" w:afterAutospacing="0"/>
        <w:jc w:val="both"/>
        <w:rPr>
          <w:color w:val="000000" w:themeColor="text1"/>
          <w:sz w:val="24"/>
          <w:szCs w:val="24"/>
        </w:rPr>
      </w:pPr>
    </w:p>
    <w:p w14:paraId="4E335159" w14:textId="77777777" w:rsidR="00AD4502" w:rsidRPr="00DF0BA2" w:rsidRDefault="00AD4502" w:rsidP="00F84A10">
      <w:pPr>
        <w:pStyle w:val="Heading3"/>
        <w:spacing w:before="0" w:beforeAutospacing="0" w:after="0" w:afterAutospacing="0"/>
        <w:jc w:val="both"/>
        <w:rPr>
          <w:color w:val="000000" w:themeColor="text1"/>
          <w:sz w:val="24"/>
          <w:szCs w:val="24"/>
        </w:rPr>
      </w:pPr>
      <w:r w:rsidRPr="00DF0BA2">
        <w:rPr>
          <w:color w:val="000000" w:themeColor="text1"/>
          <w:sz w:val="24"/>
          <w:szCs w:val="24"/>
        </w:rPr>
        <w:t>Abstract</w:t>
      </w:r>
    </w:p>
    <w:p w14:paraId="21C4A531" w14:textId="77777777" w:rsidR="00AD4502" w:rsidRPr="00DF0BA2" w:rsidRDefault="00AD4502" w:rsidP="00F84A10">
      <w:pPr>
        <w:pStyle w:val="NormalWeb"/>
        <w:spacing w:before="0" w:beforeAutospacing="0" w:after="0" w:afterAutospacing="0"/>
        <w:jc w:val="both"/>
        <w:rPr>
          <w:color w:val="000000" w:themeColor="text1"/>
        </w:rPr>
      </w:pPr>
      <w:r w:rsidRPr="00DF0BA2">
        <w:rPr>
          <w:color w:val="000000" w:themeColor="text1"/>
        </w:rPr>
        <w:t xml:space="preserve">Healthy, uniform nursery seedlings are </w:t>
      </w:r>
      <w:r w:rsidR="000D0381">
        <w:rPr>
          <w:color w:val="000000" w:themeColor="text1"/>
        </w:rPr>
        <w:t xml:space="preserve">the </w:t>
      </w:r>
      <w:r w:rsidRPr="00DF0BA2">
        <w:rPr>
          <w:color w:val="000000" w:themeColor="text1"/>
        </w:rPr>
        <w:t>foundation to productive and sustainable cropping systems</w:t>
      </w:r>
      <w:r w:rsidR="000D0381">
        <w:rPr>
          <w:color w:val="000000" w:themeColor="text1"/>
        </w:rPr>
        <w:t>.</w:t>
      </w:r>
      <w:r w:rsidRPr="00DF0BA2">
        <w:rPr>
          <w:color w:val="000000" w:themeColor="text1"/>
        </w:rPr>
        <w:t xml:space="preserve"> </w:t>
      </w:r>
      <w:r w:rsidR="000D0381">
        <w:rPr>
          <w:color w:val="000000" w:themeColor="text1"/>
        </w:rPr>
        <w:t>Y</w:t>
      </w:r>
      <w:r w:rsidRPr="00DF0BA2">
        <w:rPr>
          <w:color w:val="000000" w:themeColor="text1"/>
        </w:rPr>
        <w:t>et</w:t>
      </w:r>
      <w:r w:rsidR="000D0381">
        <w:rPr>
          <w:color w:val="000000" w:themeColor="text1"/>
        </w:rPr>
        <w:t>,</w:t>
      </w:r>
      <w:r w:rsidRPr="00DF0BA2">
        <w:rPr>
          <w:color w:val="000000" w:themeColor="text1"/>
        </w:rPr>
        <w:t xml:space="preserve"> high-quality coir pith pro-tray media — free of salts, phytotoxins and </w:t>
      </w:r>
      <w:r w:rsidR="000D0381">
        <w:rPr>
          <w:color w:val="000000" w:themeColor="text1"/>
        </w:rPr>
        <w:t>enriched with</w:t>
      </w:r>
      <w:r w:rsidRPr="00DF0BA2">
        <w:rPr>
          <w:color w:val="000000" w:themeColor="text1"/>
        </w:rPr>
        <w:t xml:space="preserve"> microbiota — remain</w:t>
      </w:r>
      <w:r w:rsidR="000D0381">
        <w:rPr>
          <w:color w:val="000000" w:themeColor="text1"/>
        </w:rPr>
        <w:t>s</w:t>
      </w:r>
      <w:r w:rsidRPr="00DF0BA2">
        <w:rPr>
          <w:color w:val="000000" w:themeColor="text1"/>
        </w:rPr>
        <w:t xml:space="preserve"> scarce at scale. </w:t>
      </w:r>
      <w:r w:rsidR="00F762A2">
        <w:rPr>
          <w:color w:val="000000" w:themeColor="text1"/>
        </w:rPr>
        <w:t>It s</w:t>
      </w:r>
      <w:r w:rsidR="00F762A2" w:rsidRPr="000D0381">
        <w:rPr>
          <w:color w:val="000000" w:themeColor="text1"/>
        </w:rPr>
        <w:t>uffers</w:t>
      </w:r>
      <w:r w:rsidR="000D0381" w:rsidRPr="000D0381">
        <w:rPr>
          <w:color w:val="000000" w:themeColor="text1"/>
        </w:rPr>
        <w:t xml:space="preserve"> from inherent limitations such as high Na⁺ content, phytotoxic phenolics, and slow decomposition, while the absence of rapid, low-cost conversion technologies constrains nursery performance and resource-efficient agriculture. These challenges are amplified under climate change, where resilient, nutrient-efficient seedlings are critical for adaptation.</w:t>
      </w:r>
    </w:p>
    <w:p w14:paraId="100204D2" w14:textId="77777777" w:rsidR="00AD4502" w:rsidRPr="00DF0BA2" w:rsidRDefault="00AD4502" w:rsidP="00F84A10">
      <w:pPr>
        <w:pStyle w:val="NormalWeb"/>
        <w:spacing w:before="0" w:beforeAutospacing="0" w:after="0" w:afterAutospacing="0"/>
        <w:jc w:val="both"/>
        <w:rPr>
          <w:color w:val="000000" w:themeColor="text1"/>
        </w:rPr>
      </w:pPr>
      <w:r w:rsidRPr="00DF0BA2">
        <w:rPr>
          <w:color w:val="000000" w:themeColor="text1"/>
        </w:rPr>
        <w:t xml:space="preserve">NOVCOM Technology </w:t>
      </w:r>
      <w:r w:rsidR="000D0381" w:rsidRPr="000D0381">
        <w:rPr>
          <w:color w:val="000000" w:themeColor="text1"/>
        </w:rPr>
        <w:t>provides a breakthrough by converting recalcitrant coir pith into a stable, low-salt pro-tray substrate within just 40 days (compared to 12 months conventionally).</w:t>
      </w:r>
      <w:r w:rsidR="000D0381">
        <w:rPr>
          <w:color w:val="000000" w:themeColor="text1"/>
        </w:rPr>
        <w:t xml:space="preserve"> </w:t>
      </w:r>
      <w:r w:rsidR="00207B72" w:rsidRPr="00207B72">
        <w:rPr>
          <w:color w:val="000000" w:themeColor="text1"/>
        </w:rPr>
        <w:t>This accelerated transformation directly addresses a long-standing bottleneck in nursery management. In paired laboratory–nursery–field trials, NOVCOM consistently improved substrate quality by reducing organic C (≈40.6% to ≈30.3% in fresh feedstock), selectively modifying lignin (22–30% reduction vs. conventional), lowering C:N ratios, and drastically reducing water-soluble Na⁺ and EC to levels comp</w:t>
      </w:r>
      <w:r w:rsidR="00207B72">
        <w:rPr>
          <w:color w:val="000000" w:themeColor="text1"/>
        </w:rPr>
        <w:t>atible with sensitive seedlings</w:t>
      </w:r>
      <w:r w:rsidRPr="00DF0BA2">
        <w:rPr>
          <w:color w:val="000000" w:themeColor="text1"/>
        </w:rPr>
        <w:t xml:space="preserve">—changes captured by composite quality indices (PCS, SSS, SGPS, CPMQI). </w:t>
      </w:r>
      <w:r w:rsidR="00207B72" w:rsidRPr="00207B72">
        <w:rPr>
          <w:color w:val="000000" w:themeColor="text1"/>
        </w:rPr>
        <w:t xml:space="preserve">As a result, NOVCOM-raised seedlings exceeded phytotoxicity benchmarks (germination index &gt;1.0), showed &gt;95% germination for test vegetables, and delivered superior vigor in pro-tray trials—greater root length, </w:t>
      </w:r>
      <w:proofErr w:type="gramStart"/>
      <w:r w:rsidR="00207B72" w:rsidRPr="00207B72">
        <w:rPr>
          <w:color w:val="000000" w:themeColor="text1"/>
        </w:rPr>
        <w:t>root</w:t>
      </w:r>
      <w:r w:rsidR="00F762A2">
        <w:rPr>
          <w:color w:val="000000" w:themeColor="text1"/>
        </w:rPr>
        <w:t xml:space="preserve"> </w:t>
      </w:r>
      <w:r w:rsidR="00207B72" w:rsidRPr="00207B72">
        <w:rPr>
          <w:color w:val="000000" w:themeColor="text1"/>
        </w:rPr>
        <w:t>:</w:t>
      </w:r>
      <w:proofErr w:type="gramEnd"/>
      <w:r w:rsidR="00F762A2">
        <w:rPr>
          <w:color w:val="000000" w:themeColor="text1"/>
        </w:rPr>
        <w:t xml:space="preserve"> </w:t>
      </w:r>
      <w:r w:rsidR="00207B72" w:rsidRPr="00207B72">
        <w:rPr>
          <w:color w:val="000000" w:themeColor="text1"/>
        </w:rPr>
        <w:t>shoot balance, and seedling biomass. Field transplant trials further validated faster establishment and higher survival, underscoring NOVCOM’s potential to produce healthier, more resilient seedlings at scale.</w:t>
      </w:r>
    </w:p>
    <w:p w14:paraId="387FB2B9" w14:textId="77777777" w:rsidR="00F84A10" w:rsidRDefault="00F84A10" w:rsidP="00F84A10">
      <w:pPr>
        <w:pStyle w:val="NormalWeb"/>
        <w:spacing w:before="0" w:beforeAutospacing="0" w:after="0" w:afterAutospacing="0"/>
        <w:jc w:val="both"/>
        <w:rPr>
          <w:color w:val="000000" w:themeColor="text1"/>
        </w:rPr>
      </w:pPr>
    </w:p>
    <w:p w14:paraId="15F83329" w14:textId="77777777" w:rsidR="00AD4502" w:rsidRPr="00DF0BA2" w:rsidRDefault="00207B72" w:rsidP="00207B72">
      <w:pPr>
        <w:pStyle w:val="NormalWeb"/>
        <w:spacing w:after="0"/>
        <w:jc w:val="both"/>
        <w:rPr>
          <w:color w:val="000000" w:themeColor="text1"/>
        </w:rPr>
      </w:pPr>
      <w:r w:rsidRPr="00207B72">
        <w:rPr>
          <w:color w:val="000000" w:themeColor="text1"/>
        </w:rPr>
        <w:t>Critically, seedlings grown in NOVCOM media carried a high-density beneficial microbiome into the rhizosphere, producing 2–4</w:t>
      </w:r>
      <w:r w:rsidR="00F762A2">
        <w:rPr>
          <w:color w:val="000000" w:themeColor="text1"/>
        </w:rPr>
        <w:t xml:space="preserve"> times</w:t>
      </w:r>
      <w:r w:rsidRPr="00207B72">
        <w:rPr>
          <w:color w:val="000000" w:themeColor="text1"/>
        </w:rPr>
        <w:t xml:space="preserve"> increases in culturable bacteria, fungi, and actinomycetes within one month. These microbial shifts, coupled with rises in labile organic C and available P, enhanced nutrient mobilization and rhizosphere health with only minor, short-term N drawdown. This positions NOVCOM as not just a substrate, but as a vehicle for precision microbial inoculation and early plant vigor.</w:t>
      </w:r>
      <w:r>
        <w:rPr>
          <w:color w:val="000000" w:themeColor="text1"/>
        </w:rPr>
        <w:t xml:space="preserve"> </w:t>
      </w:r>
      <w:r w:rsidRPr="00207B72">
        <w:rPr>
          <w:color w:val="000000" w:themeColor="text1"/>
        </w:rPr>
        <w:t>Beyond agronomy, NOVCOM offers a decisive climate co-benefit. By diverting raw coir pith from unmanaged anaerobic decomposition, the process reduces methane emissions by over 99%, mitigating an average of ~5300 kg CO</w:t>
      </w:r>
      <w:r w:rsidR="00F762A2" w:rsidRPr="00F762A2">
        <w:rPr>
          <w:color w:val="000000" w:themeColor="text1"/>
          <w:vertAlign w:val="subscript"/>
        </w:rPr>
        <w:t>2</w:t>
      </w:r>
      <w:r w:rsidRPr="00207B72">
        <w:rPr>
          <w:color w:val="000000" w:themeColor="text1"/>
        </w:rPr>
        <w:t>-eq per ton of waste. This positions NOVCOM as both an agronomic innovation and a climate-smart solution, turning agro-waste into a valuable input while contributing to greenhouse-gas mitigation.</w:t>
      </w:r>
      <w:r>
        <w:rPr>
          <w:color w:val="000000" w:themeColor="text1"/>
        </w:rPr>
        <w:t xml:space="preserve"> </w:t>
      </w:r>
      <w:r w:rsidRPr="00207B72">
        <w:rPr>
          <w:color w:val="000000" w:themeColor="text1"/>
        </w:rPr>
        <w:t>In short, NOVCOM transforms an abundant agro-waste into a high-performance, climate-smart pro-tray medium in just 40 days. For farmers, it means healthier seedlings, better survival, and resilience under climate stress. For policymakers and extension agencies, it represents a scalable technology that unites productivity with sustainability—a model for climate-resilient agriculture in the 21st century.</w:t>
      </w:r>
    </w:p>
    <w:p w14:paraId="6DCF581A" w14:textId="77777777" w:rsidR="00F84A10" w:rsidRDefault="00F84A10" w:rsidP="00F84A10">
      <w:pPr>
        <w:pStyle w:val="NormalWeb"/>
        <w:spacing w:before="0" w:beforeAutospacing="0" w:after="0" w:afterAutospacing="0"/>
        <w:jc w:val="both"/>
        <w:rPr>
          <w:b/>
          <w:color w:val="000000" w:themeColor="text1"/>
        </w:rPr>
      </w:pPr>
    </w:p>
    <w:p w14:paraId="4673BDBA" w14:textId="77777777" w:rsidR="00AD4502" w:rsidRPr="00DF0BA2" w:rsidRDefault="00AD4502" w:rsidP="00F84A10">
      <w:pPr>
        <w:pStyle w:val="NormalWeb"/>
        <w:spacing w:before="0" w:beforeAutospacing="0" w:after="0" w:afterAutospacing="0"/>
        <w:jc w:val="both"/>
        <w:rPr>
          <w:color w:val="000000" w:themeColor="text1"/>
        </w:rPr>
      </w:pPr>
      <w:r w:rsidRPr="00DF0BA2">
        <w:rPr>
          <w:b/>
          <w:color w:val="000000" w:themeColor="text1"/>
        </w:rPr>
        <w:t xml:space="preserve">Key </w:t>
      </w:r>
      <w:proofErr w:type="gramStart"/>
      <w:r w:rsidRPr="00DF0BA2">
        <w:rPr>
          <w:b/>
          <w:color w:val="000000" w:themeColor="text1"/>
        </w:rPr>
        <w:t>words :</w:t>
      </w:r>
      <w:proofErr w:type="gramEnd"/>
      <w:r w:rsidRPr="00DF0BA2">
        <w:rPr>
          <w:color w:val="000000" w:themeColor="text1"/>
        </w:rPr>
        <w:t xml:space="preserve"> Coir pith, </w:t>
      </w:r>
      <w:proofErr w:type="spellStart"/>
      <w:r w:rsidRPr="00DF0BA2">
        <w:rPr>
          <w:color w:val="000000" w:themeColor="text1"/>
        </w:rPr>
        <w:t>Novcom</w:t>
      </w:r>
      <w:proofErr w:type="spellEnd"/>
      <w:r w:rsidRPr="00DF0BA2">
        <w:rPr>
          <w:color w:val="000000" w:themeColor="text1"/>
        </w:rPr>
        <w:t xml:space="preserve"> technology, Lignin breakdown, phytotoxicity, GHG Mitigation</w:t>
      </w:r>
    </w:p>
    <w:p w14:paraId="61427224" w14:textId="77777777" w:rsidR="00F84A10" w:rsidRDefault="00F84A10" w:rsidP="00F84A10">
      <w:pPr>
        <w:spacing w:after="0" w:line="240" w:lineRule="auto"/>
        <w:jc w:val="both"/>
        <w:rPr>
          <w:rStyle w:val="Strong"/>
          <w:rFonts w:ascii="Times New Roman" w:hAnsi="Times New Roman" w:cs="Times New Roman"/>
          <w:color w:val="000000" w:themeColor="text1"/>
          <w:sz w:val="24"/>
          <w:szCs w:val="24"/>
        </w:rPr>
      </w:pPr>
    </w:p>
    <w:p w14:paraId="4D21CCA8" w14:textId="77777777" w:rsidR="00207B72" w:rsidRDefault="00207B72" w:rsidP="00F84A10">
      <w:pPr>
        <w:spacing w:after="0" w:line="240" w:lineRule="auto"/>
        <w:jc w:val="both"/>
        <w:rPr>
          <w:rStyle w:val="Strong"/>
          <w:rFonts w:ascii="Times New Roman" w:hAnsi="Times New Roman" w:cs="Times New Roman"/>
          <w:color w:val="000000" w:themeColor="text1"/>
          <w:sz w:val="24"/>
          <w:szCs w:val="24"/>
        </w:rPr>
      </w:pPr>
    </w:p>
    <w:p w14:paraId="24B5335B" w14:textId="77777777" w:rsidR="001950B3" w:rsidRPr="00DF0BA2" w:rsidRDefault="001950B3" w:rsidP="00F84A10">
      <w:pPr>
        <w:spacing w:after="0" w:line="240" w:lineRule="auto"/>
        <w:jc w:val="both"/>
        <w:rPr>
          <w:rStyle w:val="Strong"/>
          <w:rFonts w:ascii="Times New Roman" w:hAnsi="Times New Roman" w:cs="Times New Roman"/>
          <w:color w:val="000000" w:themeColor="text1"/>
          <w:sz w:val="24"/>
          <w:szCs w:val="24"/>
        </w:rPr>
      </w:pPr>
      <w:r w:rsidRPr="00DF0BA2">
        <w:rPr>
          <w:rStyle w:val="Strong"/>
          <w:rFonts w:ascii="Times New Roman" w:hAnsi="Times New Roman" w:cs="Times New Roman"/>
          <w:color w:val="000000" w:themeColor="text1"/>
          <w:sz w:val="24"/>
          <w:szCs w:val="24"/>
        </w:rPr>
        <w:t>Introduction</w:t>
      </w:r>
    </w:p>
    <w:p w14:paraId="567FFA3B" w14:textId="7A7F0D20" w:rsidR="007F0E22" w:rsidRPr="00DF0BA2" w:rsidRDefault="007F0E22" w:rsidP="00F84A10">
      <w:pPr>
        <w:spacing w:after="0"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Coir pith, the lignocellulosic by-product of coconut husk processing, is a major agro-industrial waste stream that poses both environmental and agronomic challenges. Raw coir pith is highly </w:t>
      </w:r>
      <w:r w:rsidRPr="00DF0BA2">
        <w:rPr>
          <w:rFonts w:ascii="Times New Roman" w:eastAsia="Times New Roman" w:hAnsi="Times New Roman" w:cs="Times New Roman"/>
          <w:color w:val="000000" w:themeColor="text1"/>
          <w:sz w:val="24"/>
          <w:szCs w:val="24"/>
        </w:rPr>
        <w:lastRenderedPageBreak/>
        <w:t xml:space="preserve">recalcitrant—comprising roughly 30–46% lignin, 32–50% cellulose and variable hemicellulose—and in India generates millions of </w:t>
      </w:r>
      <w:proofErr w:type="spellStart"/>
      <w:r w:rsidRPr="00DF0BA2">
        <w:rPr>
          <w:rFonts w:ascii="Times New Roman" w:eastAsia="Times New Roman" w:hAnsi="Times New Roman" w:cs="Times New Roman"/>
          <w:color w:val="000000" w:themeColor="text1"/>
          <w:sz w:val="24"/>
          <w:szCs w:val="24"/>
        </w:rPr>
        <w:t>tonnes</w:t>
      </w:r>
      <w:proofErr w:type="spellEnd"/>
      <w:r w:rsidRPr="00DF0BA2">
        <w:rPr>
          <w:rFonts w:ascii="Times New Roman" w:eastAsia="Times New Roman" w:hAnsi="Times New Roman" w:cs="Times New Roman"/>
          <w:color w:val="000000" w:themeColor="text1"/>
          <w:sz w:val="24"/>
          <w:szCs w:val="24"/>
        </w:rPr>
        <w:t xml:space="preserve"> annually that are commonly left in open dumps</w:t>
      </w:r>
      <w:r w:rsidR="00955DDE" w:rsidRPr="00DF0BA2">
        <w:rPr>
          <w:rFonts w:ascii="Times New Roman" w:eastAsia="Times New Roman" w:hAnsi="Times New Roman" w:cs="Times New Roman"/>
          <w:color w:val="000000" w:themeColor="text1"/>
          <w:sz w:val="24"/>
          <w:szCs w:val="24"/>
        </w:rPr>
        <w:t>.</w:t>
      </w:r>
      <w:r w:rsidR="00E569BF">
        <w:rPr>
          <w:rFonts w:ascii="Times New Roman" w:eastAsia="Times New Roman" w:hAnsi="Times New Roman" w:cs="Times New Roman"/>
          <w:color w:val="000000" w:themeColor="text1"/>
          <w:sz w:val="24"/>
          <w:szCs w:val="24"/>
        </w:rPr>
        <w:t xml:space="preserve"> </w:t>
      </w:r>
      <w:r w:rsidRPr="00DF0BA2">
        <w:rPr>
          <w:rFonts w:ascii="Times New Roman" w:eastAsia="Times New Roman" w:hAnsi="Times New Roman" w:cs="Times New Roman"/>
          <w:color w:val="000000" w:themeColor="text1"/>
          <w:sz w:val="24"/>
          <w:szCs w:val="24"/>
        </w:rPr>
        <w:t>Unmanaged heaps undergo anaerobic breakdown, emitting methane and producing toxic leachates; during dry spells they can self-ignite, worsening air pollution and fire risk</w:t>
      </w:r>
      <w:r w:rsidR="00FB2725">
        <w:rPr>
          <w:rFonts w:ascii="Times New Roman" w:eastAsia="Times New Roman" w:hAnsi="Times New Roman" w:cs="Times New Roman"/>
          <w:color w:val="000000" w:themeColor="text1"/>
          <w:sz w:val="24"/>
          <w:szCs w:val="24"/>
        </w:rPr>
        <w:t xml:space="preserve"> (</w:t>
      </w:r>
      <w:proofErr w:type="spellStart"/>
      <w:r w:rsidR="00FB2725" w:rsidRPr="00FB2725">
        <w:rPr>
          <w:rFonts w:ascii="Times New Roman" w:eastAsia="Times New Roman" w:hAnsi="Times New Roman" w:cs="Times New Roman"/>
          <w:color w:val="000000" w:themeColor="text1"/>
          <w:sz w:val="24"/>
          <w:szCs w:val="24"/>
          <w:highlight w:val="yellow"/>
        </w:rPr>
        <w:t>Vaithilingam</w:t>
      </w:r>
      <w:proofErr w:type="spellEnd"/>
      <w:r w:rsidR="00FB2725" w:rsidRPr="00FB2725">
        <w:rPr>
          <w:rFonts w:ascii="Times New Roman" w:eastAsia="Times New Roman" w:hAnsi="Times New Roman" w:cs="Times New Roman"/>
          <w:color w:val="000000" w:themeColor="text1"/>
          <w:sz w:val="24"/>
          <w:szCs w:val="24"/>
          <w:highlight w:val="yellow"/>
        </w:rPr>
        <w:t>, 2025</w:t>
      </w:r>
      <w:r w:rsidR="00FB2725">
        <w:rPr>
          <w:rFonts w:ascii="Times New Roman" w:eastAsia="Times New Roman" w:hAnsi="Times New Roman" w:cs="Times New Roman"/>
          <w:color w:val="000000" w:themeColor="text1"/>
          <w:sz w:val="24"/>
          <w:szCs w:val="24"/>
        </w:rPr>
        <w:t>)</w:t>
      </w:r>
      <w:r w:rsidRPr="00DF0BA2">
        <w:rPr>
          <w:rFonts w:ascii="Times New Roman" w:eastAsia="Times New Roman" w:hAnsi="Times New Roman" w:cs="Times New Roman"/>
          <w:color w:val="000000" w:themeColor="text1"/>
          <w:sz w:val="24"/>
          <w:szCs w:val="24"/>
        </w:rPr>
        <w:t>. Concurrently, nursery-based pro-tray systems have become central to intensive vegetable and horticultural production because they save water, reduce pesticide use and improve crop uniformity. India’s seedling industry (≈300 billion seedlings yr</w:t>
      </w:r>
      <w:r w:rsidRPr="00DF0BA2">
        <w:rPr>
          <w:rFonts w:ascii="Cambria Math" w:eastAsia="Times New Roman" w:hAnsi="Cambria Math" w:cs="Cambria Math"/>
          <w:color w:val="000000" w:themeColor="text1"/>
          <w:sz w:val="24"/>
          <w:szCs w:val="24"/>
        </w:rPr>
        <w:t>⁻</w:t>
      </w:r>
      <w:r w:rsidRPr="00DF0BA2">
        <w:rPr>
          <w:rFonts w:ascii="Times New Roman" w:eastAsia="Times New Roman" w:hAnsi="Times New Roman" w:cs="Times New Roman"/>
          <w:color w:val="000000" w:themeColor="text1"/>
          <w:sz w:val="24"/>
          <w:szCs w:val="24"/>
        </w:rPr>
        <w:t xml:space="preserve">¹) creates a large demand for tray media—estimated several million </w:t>
      </w:r>
      <w:proofErr w:type="spellStart"/>
      <w:r w:rsidRPr="00DF0BA2">
        <w:rPr>
          <w:rFonts w:ascii="Times New Roman" w:eastAsia="Times New Roman" w:hAnsi="Times New Roman" w:cs="Times New Roman"/>
          <w:color w:val="000000" w:themeColor="text1"/>
          <w:sz w:val="24"/>
          <w:szCs w:val="24"/>
        </w:rPr>
        <w:t>tonnes</w:t>
      </w:r>
      <w:proofErr w:type="spellEnd"/>
      <w:r w:rsidRPr="00DF0BA2">
        <w:rPr>
          <w:rFonts w:ascii="Times New Roman" w:eastAsia="Times New Roman" w:hAnsi="Times New Roman" w:cs="Times New Roman"/>
          <w:color w:val="000000" w:themeColor="text1"/>
          <w:sz w:val="24"/>
          <w:szCs w:val="24"/>
        </w:rPr>
        <w:t xml:space="preserve"> annually—yet conventional coir conditioning is slow, unstandardized and problematic. Raw coir’s high </w:t>
      </w:r>
      <w:proofErr w:type="gramStart"/>
      <w:r w:rsidRPr="00DF0BA2">
        <w:rPr>
          <w:rFonts w:ascii="Times New Roman" w:eastAsia="Times New Roman" w:hAnsi="Times New Roman" w:cs="Times New Roman"/>
          <w:color w:val="000000" w:themeColor="text1"/>
          <w:sz w:val="24"/>
          <w:szCs w:val="24"/>
        </w:rPr>
        <w:t>C:N</w:t>
      </w:r>
      <w:proofErr w:type="gramEnd"/>
      <w:r w:rsidRPr="00DF0BA2">
        <w:rPr>
          <w:rFonts w:ascii="Times New Roman" w:eastAsia="Times New Roman" w:hAnsi="Times New Roman" w:cs="Times New Roman"/>
          <w:color w:val="000000" w:themeColor="text1"/>
          <w:sz w:val="24"/>
          <w:szCs w:val="24"/>
        </w:rPr>
        <w:t xml:space="preserve"> (~100+:1), elevated lignin, excessive water retention and soluble salts commonly yield substrates with EC above nursery thresholds, promote anaerobic microsites and pathogen proliferation, and ultimately cause poor seedling performance</w:t>
      </w:r>
      <w:r w:rsidR="00FA7BD6" w:rsidRPr="00DF0BA2">
        <w:rPr>
          <w:rFonts w:ascii="Times New Roman" w:eastAsia="Times New Roman" w:hAnsi="Times New Roman" w:cs="Times New Roman"/>
          <w:color w:val="000000" w:themeColor="text1"/>
          <w:sz w:val="24"/>
          <w:szCs w:val="24"/>
        </w:rPr>
        <w:t>.</w:t>
      </w:r>
    </w:p>
    <w:p w14:paraId="06AF90EA" w14:textId="77777777" w:rsidR="007F0E22" w:rsidRPr="00DF0BA2" w:rsidRDefault="007F0E22" w:rsidP="00F84A10">
      <w:pPr>
        <w:spacing w:after="0"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NOVCOM Technology offers a rapid alternative: an energy-activated botanical consortium coupled with controlled physicochemical conditions that converts raw coir pith into a semi-stabilized, pathogen-free pro-tray substrate in 40 days. Developed by Dr. Phalguni Das Biswas, NOVCOM </w:t>
      </w:r>
      <w:r w:rsidR="00F762A2">
        <w:rPr>
          <w:rFonts w:ascii="Times New Roman" w:eastAsia="Times New Roman" w:hAnsi="Times New Roman" w:cs="Times New Roman"/>
          <w:color w:val="000000" w:themeColor="text1"/>
          <w:sz w:val="24"/>
          <w:szCs w:val="24"/>
        </w:rPr>
        <w:t xml:space="preserve">Technology </w:t>
      </w:r>
      <w:r w:rsidRPr="00DF0BA2">
        <w:rPr>
          <w:rFonts w:ascii="Times New Roman" w:eastAsia="Times New Roman" w:hAnsi="Times New Roman" w:cs="Times New Roman"/>
          <w:color w:val="000000" w:themeColor="text1"/>
          <w:sz w:val="24"/>
          <w:szCs w:val="24"/>
        </w:rPr>
        <w:t>accelerates selective lignin modification, reduces soluble salts and largely eliminates methanogenesis associated with open dumping (reported &gt;99% methane reduction), thereby substantially lowering the carbon footprint of coir pith handling (IPCC, 2006). Beyond emissions avoidance, NOVCOM-treated media are biologically enriched and deliver high-density microbial consortia to the rhizosphere at transplanting, improving germination uniformity, root development and early vigor in trial crops.</w:t>
      </w:r>
    </w:p>
    <w:p w14:paraId="18570E91" w14:textId="77777777" w:rsidR="00F84A10" w:rsidRDefault="00F84A10" w:rsidP="00F84A10">
      <w:pPr>
        <w:spacing w:after="0" w:line="240" w:lineRule="auto"/>
        <w:jc w:val="both"/>
        <w:rPr>
          <w:rFonts w:ascii="Times New Roman" w:eastAsia="Times New Roman" w:hAnsi="Times New Roman" w:cs="Times New Roman"/>
          <w:color w:val="000000" w:themeColor="text1"/>
          <w:sz w:val="24"/>
          <w:szCs w:val="24"/>
        </w:rPr>
      </w:pPr>
    </w:p>
    <w:p w14:paraId="5ED694EF" w14:textId="77777777" w:rsidR="00B7442D" w:rsidRPr="00DF0BA2" w:rsidRDefault="007F0E22" w:rsidP="00F84A10">
      <w:pPr>
        <w:spacing w:after="0" w:line="240" w:lineRule="auto"/>
        <w:jc w:val="both"/>
        <w:rPr>
          <w:rStyle w:val="Strong"/>
          <w:rFonts w:ascii="Times New Roman" w:eastAsia="Times New Roman" w:hAnsi="Times New Roman" w:cs="Times New Roman"/>
          <w:b w:val="0"/>
          <w:bCs w:val="0"/>
          <w:color w:val="000000" w:themeColor="text1"/>
          <w:sz w:val="24"/>
          <w:szCs w:val="24"/>
        </w:rPr>
      </w:pPr>
      <w:r w:rsidRPr="00DF0BA2">
        <w:rPr>
          <w:rFonts w:ascii="Times New Roman" w:eastAsia="Times New Roman" w:hAnsi="Times New Roman" w:cs="Times New Roman"/>
          <w:color w:val="000000" w:themeColor="text1"/>
          <w:sz w:val="24"/>
          <w:szCs w:val="24"/>
        </w:rPr>
        <w:t xml:space="preserve">This paper evaluates NOVCOM’s physicochemical and biological transformations of coir pith, quantifies environmental impacts (including greenhouse-gas avoidance), and assesses seedling performance under controlled nursery and field conditions. By addressing the twin problems of waste valorization and reliable tray-media production, NOVCOM has the potential to convert a problematic residue into a high-performance, climate-positive substrate that supports sustainable, resource-efficient seedling production. </w:t>
      </w:r>
      <w:r w:rsidR="00EC7F70" w:rsidRPr="00DF0BA2">
        <w:rPr>
          <w:rFonts w:ascii="Times New Roman" w:eastAsia="Times New Roman" w:hAnsi="Times New Roman" w:cs="Times New Roman"/>
          <w:color w:val="000000" w:themeColor="text1"/>
          <w:sz w:val="24"/>
          <w:szCs w:val="24"/>
        </w:rPr>
        <w:t>(</w:t>
      </w:r>
      <w:r w:rsidRPr="00DF0BA2">
        <w:rPr>
          <w:rFonts w:ascii="Times New Roman" w:eastAsia="Times New Roman" w:hAnsi="Times New Roman" w:cs="Times New Roman"/>
          <w:color w:val="000000" w:themeColor="text1"/>
          <w:sz w:val="24"/>
          <w:szCs w:val="24"/>
        </w:rPr>
        <w:t>IPCC, 2006.</w:t>
      </w:r>
      <w:r w:rsidR="00C453DB" w:rsidRPr="00DF0BA2">
        <w:rPr>
          <w:rFonts w:ascii="Times New Roman" w:eastAsia="Times New Roman" w:hAnsi="Times New Roman" w:cs="Times New Roman"/>
          <w:color w:val="000000" w:themeColor="text1"/>
          <w:sz w:val="24"/>
          <w:szCs w:val="24"/>
        </w:rPr>
        <w:t>)</w:t>
      </w:r>
    </w:p>
    <w:p w14:paraId="691C80DE" w14:textId="77777777" w:rsidR="00F84A10" w:rsidRDefault="00F84A10" w:rsidP="00F84A10">
      <w:pPr>
        <w:spacing w:after="0" w:line="240" w:lineRule="auto"/>
        <w:jc w:val="both"/>
        <w:rPr>
          <w:rFonts w:ascii="Times New Roman" w:hAnsi="Times New Roman" w:cs="Times New Roman"/>
          <w:b/>
          <w:color w:val="000000" w:themeColor="text1"/>
          <w:sz w:val="24"/>
          <w:szCs w:val="24"/>
        </w:rPr>
      </w:pPr>
    </w:p>
    <w:p w14:paraId="0588C202" w14:textId="77777777" w:rsidR="00F7194B" w:rsidRPr="00DF0BA2" w:rsidRDefault="00F7194B" w:rsidP="00F84A10">
      <w:pPr>
        <w:spacing w:after="0" w:line="240" w:lineRule="auto"/>
        <w:jc w:val="both"/>
        <w:rPr>
          <w:rFonts w:ascii="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t>Materials and methods</w:t>
      </w:r>
    </w:p>
    <w:p w14:paraId="6A8775C7" w14:textId="4A2C41C4" w:rsidR="004579B3" w:rsidRPr="00C83F05" w:rsidRDefault="004579B3" w:rsidP="00F84A10">
      <w:pPr>
        <w:pStyle w:val="NormalWeb"/>
        <w:spacing w:before="0" w:beforeAutospacing="0" w:after="0" w:afterAutospacing="0"/>
        <w:jc w:val="both"/>
        <w:rPr>
          <w:i/>
          <w:iCs/>
          <w:color w:val="000000" w:themeColor="text1"/>
        </w:rPr>
      </w:pPr>
      <w:r w:rsidRPr="00DF0BA2">
        <w:rPr>
          <w:rStyle w:val="Strong"/>
          <w:color w:val="000000" w:themeColor="text1"/>
        </w:rPr>
        <w:t>Study area.</w:t>
      </w:r>
      <w:r w:rsidRPr="00DF0BA2">
        <w:rPr>
          <w:color w:val="000000" w:themeColor="text1"/>
        </w:rPr>
        <w:t xml:space="preserve"> </w:t>
      </w:r>
      <w:r w:rsidR="00F762A2" w:rsidRPr="00F762A2">
        <w:rPr>
          <w:color w:val="000000" w:themeColor="text1"/>
        </w:rPr>
        <w:t xml:space="preserve">Trials were conducted from April 2024 to January 2025, with </w:t>
      </w:r>
      <w:r w:rsidR="00F337D2">
        <w:rPr>
          <w:color w:val="000000" w:themeColor="text1"/>
        </w:rPr>
        <w:t>coir pith</w:t>
      </w:r>
      <w:r w:rsidR="00F762A2" w:rsidRPr="00F762A2">
        <w:rPr>
          <w:color w:val="000000" w:themeColor="text1"/>
        </w:rPr>
        <w:t xml:space="preserve"> media development (NOVCOM and conventional) carried out at Prakruti </w:t>
      </w:r>
      <w:proofErr w:type="spellStart"/>
      <w:r w:rsidR="00F762A2" w:rsidRPr="00F762A2">
        <w:rPr>
          <w:color w:val="000000" w:themeColor="text1"/>
        </w:rPr>
        <w:t>Agrotech</w:t>
      </w:r>
      <w:proofErr w:type="spellEnd"/>
      <w:r w:rsidR="00F762A2" w:rsidRPr="00F762A2">
        <w:rPr>
          <w:color w:val="000000" w:themeColor="text1"/>
        </w:rPr>
        <w:t xml:space="preserve">, </w:t>
      </w:r>
      <w:proofErr w:type="spellStart"/>
      <w:r w:rsidR="00F762A2" w:rsidRPr="00F762A2">
        <w:rPr>
          <w:color w:val="000000" w:themeColor="text1"/>
        </w:rPr>
        <w:t>Madapura</w:t>
      </w:r>
      <w:proofErr w:type="spellEnd"/>
      <w:r w:rsidR="00F762A2" w:rsidRPr="00F762A2">
        <w:rPr>
          <w:color w:val="000000" w:themeColor="text1"/>
        </w:rPr>
        <w:t xml:space="preserve">, </w:t>
      </w:r>
      <w:proofErr w:type="spellStart"/>
      <w:r w:rsidR="00F762A2" w:rsidRPr="00F762A2">
        <w:rPr>
          <w:color w:val="000000" w:themeColor="text1"/>
        </w:rPr>
        <w:t>Ramnagar</w:t>
      </w:r>
      <w:proofErr w:type="spellEnd"/>
      <w:r w:rsidR="00F762A2" w:rsidRPr="00F762A2">
        <w:rPr>
          <w:color w:val="000000" w:themeColor="text1"/>
        </w:rPr>
        <w:t xml:space="preserve"> District, Karnataka (13°03′N, 79°05′E; 600 m).</w:t>
      </w:r>
      <w:r w:rsidR="00F337D2">
        <w:rPr>
          <w:color w:val="000000" w:themeColor="text1"/>
        </w:rPr>
        <w:t xml:space="preserve"> </w:t>
      </w:r>
      <w:r w:rsidRPr="00DF0BA2">
        <w:rPr>
          <w:color w:val="000000" w:themeColor="text1"/>
        </w:rPr>
        <w:t xml:space="preserve">Seedling evaluations and field transplants were performed in Nadia District, West Bengal (23°40′N, 88°26′E; 17 m) under joint oversight of IORF and Nadia KVK. Details of the methodology are available in the </w:t>
      </w:r>
      <w:r w:rsidRPr="00C83F05">
        <w:rPr>
          <w:rStyle w:val="Emphasis"/>
          <w:i w:val="0"/>
          <w:iCs w:val="0"/>
          <w:color w:val="000000" w:themeColor="text1"/>
        </w:rPr>
        <w:t xml:space="preserve">Coir Pith Pro-Tray Development Report (2025) </w:t>
      </w:r>
      <w:r w:rsidR="00C83F05">
        <w:rPr>
          <w:rStyle w:val="Emphasis"/>
          <w:i w:val="0"/>
          <w:iCs w:val="0"/>
          <w:color w:val="000000" w:themeColor="text1"/>
        </w:rPr>
        <w:t>(</w:t>
      </w:r>
      <w:r w:rsidR="000B2F10">
        <w:rPr>
          <w:rStyle w:val="Emphasis"/>
          <w:i w:val="0"/>
          <w:iCs w:val="0"/>
          <w:color w:val="000000" w:themeColor="text1"/>
          <w:highlight w:val="yellow"/>
        </w:rPr>
        <w:t>Dey</w:t>
      </w:r>
      <w:r w:rsidR="00C83F05" w:rsidRPr="00C83F05">
        <w:rPr>
          <w:rStyle w:val="Emphasis"/>
          <w:i w:val="0"/>
          <w:iCs w:val="0"/>
          <w:color w:val="000000" w:themeColor="text1"/>
          <w:highlight w:val="yellow"/>
        </w:rPr>
        <w:t xml:space="preserve"> </w:t>
      </w:r>
      <w:r w:rsidR="00C83F05" w:rsidRPr="00C83F05">
        <w:rPr>
          <w:rStyle w:val="Emphasis"/>
          <w:color w:val="000000" w:themeColor="text1"/>
          <w:highlight w:val="yellow"/>
        </w:rPr>
        <w:t>et al</w:t>
      </w:r>
      <w:r w:rsidR="00C83F05" w:rsidRPr="00C83F05">
        <w:rPr>
          <w:rStyle w:val="Emphasis"/>
          <w:i w:val="0"/>
          <w:iCs w:val="0"/>
          <w:color w:val="000000" w:themeColor="text1"/>
          <w:highlight w:val="yellow"/>
        </w:rPr>
        <w:t>, 2025</w:t>
      </w:r>
      <w:r w:rsidR="00C83F05">
        <w:rPr>
          <w:rStyle w:val="Emphasis"/>
          <w:i w:val="0"/>
          <w:iCs w:val="0"/>
          <w:color w:val="000000" w:themeColor="text1"/>
        </w:rPr>
        <w:t>)</w:t>
      </w:r>
    </w:p>
    <w:p w14:paraId="69BE5631" w14:textId="77777777" w:rsidR="00F337D2" w:rsidRDefault="00F337D2" w:rsidP="00F84A10">
      <w:pPr>
        <w:spacing w:after="0" w:line="240" w:lineRule="auto"/>
        <w:jc w:val="both"/>
        <w:rPr>
          <w:rFonts w:ascii="Times New Roman" w:hAnsi="Times New Roman" w:cs="Times New Roman"/>
          <w:b/>
          <w:color w:val="000000" w:themeColor="text1"/>
          <w:sz w:val="24"/>
          <w:szCs w:val="24"/>
        </w:rPr>
      </w:pPr>
    </w:p>
    <w:p w14:paraId="45FD7C27" w14:textId="77777777" w:rsidR="004579B3" w:rsidRPr="00DF0BA2" w:rsidRDefault="004579B3" w:rsidP="00F84A10">
      <w:pPr>
        <w:spacing w:after="0" w:line="240" w:lineRule="auto"/>
        <w:jc w:val="both"/>
        <w:rPr>
          <w:rFonts w:ascii="Times New Roman" w:hAnsi="Times New Roman" w:cs="Times New Roman"/>
          <w:color w:val="000000" w:themeColor="text1"/>
          <w:sz w:val="24"/>
          <w:szCs w:val="24"/>
        </w:rPr>
      </w:pPr>
      <w:proofErr w:type="spellStart"/>
      <w:r w:rsidRPr="00DF0BA2">
        <w:rPr>
          <w:rFonts w:ascii="Times New Roman" w:hAnsi="Times New Roman" w:cs="Times New Roman"/>
          <w:b/>
          <w:color w:val="000000" w:themeColor="text1"/>
          <w:sz w:val="24"/>
          <w:szCs w:val="24"/>
        </w:rPr>
        <w:t>Novcom</w:t>
      </w:r>
      <w:proofErr w:type="spellEnd"/>
      <w:r w:rsidRPr="00DF0BA2">
        <w:rPr>
          <w:rFonts w:ascii="Times New Roman" w:hAnsi="Times New Roman" w:cs="Times New Roman"/>
          <w:b/>
          <w:color w:val="000000" w:themeColor="text1"/>
          <w:sz w:val="24"/>
          <w:szCs w:val="24"/>
        </w:rPr>
        <w:t xml:space="preserve"> </w:t>
      </w:r>
      <w:proofErr w:type="gramStart"/>
      <w:r w:rsidRPr="00DF0BA2">
        <w:rPr>
          <w:rFonts w:ascii="Times New Roman" w:hAnsi="Times New Roman" w:cs="Times New Roman"/>
          <w:b/>
          <w:color w:val="000000" w:themeColor="text1"/>
          <w:sz w:val="24"/>
          <w:szCs w:val="24"/>
        </w:rPr>
        <w:t>Technology :</w:t>
      </w:r>
      <w:proofErr w:type="gramEnd"/>
      <w:r w:rsidRPr="00DF0BA2">
        <w:rPr>
          <w:rFonts w:ascii="Times New Roman" w:hAnsi="Times New Roman" w:cs="Times New Roman"/>
          <w:color w:val="000000" w:themeColor="text1"/>
          <w:sz w:val="24"/>
          <w:szCs w:val="24"/>
        </w:rPr>
        <w:t xml:space="preserve"> Developed by Dr. P. Das Biswas, NOVCOM Technology offers a rapid, low</w:t>
      </w:r>
      <w:r w:rsidRPr="00DF0BA2">
        <w:rPr>
          <w:rFonts w:ascii="Times New Roman" w:hAnsi="Times New Roman" w:cs="Times New Roman"/>
          <w:color w:val="000000" w:themeColor="text1"/>
          <w:sz w:val="24"/>
          <w:szCs w:val="24"/>
        </w:rPr>
        <w:noBreakHyphen/>
        <w:t>cost composting solution that small and marginal farmers can easily adopt without specialized infrastructure. In just 30 days, it converts any type of bio-degradable raw materials including diverse lignocellulosic wastes like coir pith, rice husks, and woody residues—into a pathogen</w:t>
      </w:r>
      <w:r w:rsidRPr="00DF0BA2">
        <w:rPr>
          <w:rFonts w:ascii="Times New Roman" w:hAnsi="Times New Roman" w:cs="Times New Roman"/>
          <w:color w:val="000000" w:themeColor="text1"/>
          <w:sz w:val="24"/>
          <w:szCs w:val="24"/>
        </w:rPr>
        <w:noBreakHyphen/>
        <w:t xml:space="preserve"> and weed</w:t>
      </w:r>
      <w:r w:rsidRPr="00DF0BA2">
        <w:rPr>
          <w:rFonts w:ascii="Times New Roman" w:hAnsi="Times New Roman" w:cs="Times New Roman"/>
          <w:color w:val="000000" w:themeColor="text1"/>
          <w:sz w:val="24"/>
          <w:szCs w:val="24"/>
        </w:rPr>
        <w:noBreakHyphen/>
        <w:t>free growing medium using high</w:t>
      </w:r>
      <w:r w:rsidRPr="00DF0BA2">
        <w:rPr>
          <w:rFonts w:ascii="Times New Roman" w:hAnsi="Times New Roman" w:cs="Times New Roman"/>
          <w:color w:val="000000" w:themeColor="text1"/>
          <w:sz w:val="24"/>
          <w:szCs w:val="24"/>
        </w:rPr>
        <w:noBreakHyphen/>
        <w:t>temperature regimes. By harnessing an energy</w:t>
      </w:r>
      <w:r w:rsidRPr="00DF0BA2">
        <w:rPr>
          <w:rFonts w:ascii="Times New Roman" w:hAnsi="Times New Roman" w:cs="Times New Roman"/>
          <w:color w:val="000000" w:themeColor="text1"/>
          <w:sz w:val="24"/>
          <w:szCs w:val="24"/>
        </w:rPr>
        <w:noBreakHyphen/>
        <w:t>activated botanical consortium and optimized physicochemical conditions, NOVCOM efficiently degrades even the most recalcitrant biomass. Its versatility across raw materials, minimal input requirements, and scalable design underscore its high adoption potential, promoting sustainable waste valorization and eco</w:t>
      </w:r>
      <w:r w:rsidRPr="00DF0BA2">
        <w:rPr>
          <w:rFonts w:ascii="Times New Roman" w:hAnsi="Times New Roman" w:cs="Times New Roman"/>
          <w:color w:val="000000" w:themeColor="text1"/>
          <w:sz w:val="24"/>
          <w:szCs w:val="24"/>
        </w:rPr>
        <w:noBreakHyphen/>
        <w:t>friendly cultivation practices for resource</w:t>
      </w:r>
      <w:r w:rsidRPr="00DF0BA2">
        <w:rPr>
          <w:rFonts w:ascii="Times New Roman" w:hAnsi="Times New Roman" w:cs="Times New Roman"/>
          <w:color w:val="000000" w:themeColor="text1"/>
          <w:sz w:val="24"/>
          <w:szCs w:val="24"/>
        </w:rPr>
        <w:noBreakHyphen/>
        <w:t>limited communities.</w:t>
      </w:r>
    </w:p>
    <w:p w14:paraId="2890C2A8" w14:textId="77777777" w:rsidR="00F84A10" w:rsidRDefault="00F84A10" w:rsidP="00F84A10">
      <w:pPr>
        <w:spacing w:after="0" w:line="240" w:lineRule="auto"/>
        <w:jc w:val="both"/>
        <w:rPr>
          <w:rFonts w:ascii="Times New Roman" w:eastAsia="Times New Roman" w:hAnsi="Times New Roman" w:cs="Times New Roman"/>
          <w:b/>
          <w:bCs/>
          <w:color w:val="000000" w:themeColor="text1"/>
          <w:sz w:val="24"/>
          <w:szCs w:val="24"/>
        </w:rPr>
      </w:pPr>
    </w:p>
    <w:p w14:paraId="54885C61" w14:textId="77777777" w:rsidR="00F337D2" w:rsidRDefault="00F337D2" w:rsidP="00F84A10">
      <w:pPr>
        <w:spacing w:after="0" w:line="240" w:lineRule="auto"/>
        <w:jc w:val="both"/>
        <w:rPr>
          <w:rFonts w:ascii="Times New Roman" w:eastAsia="Times New Roman" w:hAnsi="Times New Roman" w:cs="Times New Roman"/>
          <w:b/>
          <w:bCs/>
          <w:color w:val="000000" w:themeColor="text1"/>
          <w:sz w:val="24"/>
          <w:szCs w:val="24"/>
        </w:rPr>
      </w:pPr>
    </w:p>
    <w:p w14:paraId="0E4CDBAB" w14:textId="77777777" w:rsidR="004579B3" w:rsidRPr="00DF0BA2" w:rsidRDefault="004579B3" w:rsidP="00F84A10">
      <w:pPr>
        <w:spacing w:after="0" w:line="240" w:lineRule="auto"/>
        <w:jc w:val="both"/>
        <w:rPr>
          <w:rFonts w:ascii="Times New Roman" w:eastAsia="Times New Roman" w:hAnsi="Times New Roman" w:cs="Times New Roman"/>
          <w:b/>
          <w:bCs/>
          <w:color w:val="000000" w:themeColor="text1"/>
          <w:sz w:val="24"/>
          <w:szCs w:val="24"/>
        </w:rPr>
      </w:pP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Coir Pith Pro-Tray Development Method</w:t>
      </w:r>
    </w:p>
    <w:p w14:paraId="3593EE36" w14:textId="77777777" w:rsidR="004579B3" w:rsidRPr="00DF0BA2" w:rsidRDefault="004579B3" w:rsidP="00F84A10">
      <w:pPr>
        <w:spacing w:after="0"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lastRenderedPageBreak/>
        <w:t xml:space="preserve">For the preparation of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-treated coir pith media, 10 tons of raw coir pith </w:t>
      </w:r>
      <w:r w:rsidR="007B7D99" w:rsidRPr="00DF0BA2">
        <w:rPr>
          <w:rFonts w:ascii="Times New Roman" w:eastAsia="Times New Roman" w:hAnsi="Times New Roman" w:cs="Times New Roman"/>
          <w:color w:val="000000" w:themeColor="text1"/>
          <w:sz w:val="24"/>
          <w:szCs w:val="24"/>
        </w:rPr>
        <w:t>was</w:t>
      </w:r>
      <w:r w:rsidRPr="00DF0BA2">
        <w:rPr>
          <w:rFonts w:ascii="Times New Roman" w:eastAsia="Times New Roman" w:hAnsi="Times New Roman" w:cs="Times New Roman"/>
          <w:color w:val="000000" w:themeColor="text1"/>
          <w:sz w:val="24"/>
          <w:szCs w:val="24"/>
        </w:rPr>
        <w:t xml:space="preserve"> initially moistened with water until leachate began to appear, indicating saturation. The material was then left to rest for 1 to 2 hours. After this pre-moistening phase, 1.5 liters of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solution, diluted at a 1:20 ratio with water, was sprayed evenly in layers during the heap construction process. The compost heap was constructed with dimensions of approximately 12 feet in length, 10 feet in width, and 6 feet in height. The heap was compressed firmly from all four sides, ensuring a flat top (not dome-shaped). Achieving a uniform mix of the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solution with the raw coir pith, along with proper compaction and adequate heap height, is critical for the effectiveness of the bioconversion process. On the 10</w:t>
      </w:r>
      <w:r w:rsidRPr="00DF0BA2">
        <w:rPr>
          <w:rFonts w:ascii="Times New Roman" w:eastAsia="Times New Roman" w:hAnsi="Times New Roman" w:cs="Times New Roman"/>
          <w:color w:val="000000" w:themeColor="text1"/>
          <w:sz w:val="24"/>
          <w:szCs w:val="24"/>
          <w:vertAlign w:val="superscript"/>
        </w:rPr>
        <w:t>th</w:t>
      </w:r>
      <w:r w:rsidRPr="00DF0BA2">
        <w:rPr>
          <w:rFonts w:ascii="Times New Roman" w:eastAsia="Times New Roman" w:hAnsi="Times New Roman" w:cs="Times New Roman"/>
          <w:color w:val="000000" w:themeColor="text1"/>
          <w:sz w:val="24"/>
          <w:szCs w:val="24"/>
        </w:rPr>
        <w:t xml:space="preserve"> day, the heap was dismantled, water was added if necessary to maintain optimal moisture, and the heap was reconstructed in the same manner. During this reformation, an additional 1 liter of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solution (again diluted at 1:20) was sprayed layer by layer. The same procedure was repeated on the 20</w:t>
      </w:r>
      <w:r w:rsidRPr="00DF0BA2">
        <w:rPr>
          <w:rFonts w:ascii="Times New Roman" w:eastAsia="Times New Roman" w:hAnsi="Times New Roman" w:cs="Times New Roman"/>
          <w:color w:val="000000" w:themeColor="text1"/>
          <w:sz w:val="24"/>
          <w:szCs w:val="24"/>
          <w:vertAlign w:val="superscript"/>
        </w:rPr>
        <w:t>th</w:t>
      </w:r>
      <w:r w:rsidRPr="00DF0BA2">
        <w:rPr>
          <w:rFonts w:ascii="Times New Roman" w:eastAsia="Times New Roman" w:hAnsi="Times New Roman" w:cs="Times New Roman"/>
          <w:color w:val="000000" w:themeColor="text1"/>
          <w:sz w:val="24"/>
          <w:szCs w:val="24"/>
        </w:rPr>
        <w:t xml:space="preserve"> day. After the final reconstitution, the heap was left undisturbed for a curing period of 20 days, with occasional watering if required to maintain appropriate moisture levels. By the 40</w:t>
      </w:r>
      <w:r w:rsidRPr="00DF0BA2">
        <w:rPr>
          <w:rFonts w:ascii="Times New Roman" w:eastAsia="Times New Roman" w:hAnsi="Times New Roman" w:cs="Times New Roman"/>
          <w:color w:val="000000" w:themeColor="text1"/>
          <w:sz w:val="24"/>
          <w:szCs w:val="24"/>
          <w:vertAlign w:val="superscript"/>
        </w:rPr>
        <w:t>th</w:t>
      </w:r>
      <w:r w:rsidRPr="00DF0BA2">
        <w:rPr>
          <w:rFonts w:ascii="Times New Roman" w:eastAsia="Times New Roman" w:hAnsi="Times New Roman" w:cs="Times New Roman"/>
          <w:color w:val="000000" w:themeColor="text1"/>
          <w:sz w:val="24"/>
          <w:szCs w:val="24"/>
        </w:rPr>
        <w:t xml:space="preserve"> day, the process was considered complete. The matured coir pith was then sieved and prepared for use as a pro-tray seedling media, offering a biologically enriched and structurally improved growing substrate for healthy plant development.</w:t>
      </w:r>
    </w:p>
    <w:p w14:paraId="07266536" w14:textId="77777777" w:rsidR="00F84A10" w:rsidRDefault="00F84A10" w:rsidP="00F84A10">
      <w:pPr>
        <w:spacing w:after="0" w:line="240" w:lineRule="auto"/>
        <w:jc w:val="both"/>
        <w:rPr>
          <w:rFonts w:ascii="Times New Roman" w:hAnsi="Times New Roman" w:cs="Times New Roman"/>
          <w:b/>
          <w:color w:val="000000" w:themeColor="text1"/>
          <w:sz w:val="24"/>
          <w:szCs w:val="24"/>
        </w:rPr>
      </w:pPr>
    </w:p>
    <w:p w14:paraId="6705890E" w14:textId="77777777" w:rsidR="004579B3" w:rsidRPr="00DF0BA2" w:rsidRDefault="004579B3" w:rsidP="00F84A10">
      <w:pPr>
        <w:spacing w:after="0" w:line="240" w:lineRule="auto"/>
        <w:jc w:val="both"/>
        <w:rPr>
          <w:rFonts w:ascii="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t xml:space="preserve">Treatment protocol </w:t>
      </w:r>
    </w:p>
    <w:p w14:paraId="5A67C004" w14:textId="77777777" w:rsidR="004579B3" w:rsidRPr="00DF0BA2" w:rsidRDefault="004579B3" w:rsidP="00F84A10">
      <w:pPr>
        <w:spacing w:after="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In the conventional coir pith media development program, raw coir pith was mixed with gypsum (25 kg per ton of coir pith) and urea (4 kg per ton of coir pith) and heaped under open air conditions for 12 to 15 months. In the experimental protocol, we used coir pith of three different ages—fresh (0 day), 2-month-old, and 4-month-old—both as raw coir pith and coir pith mixed with gypsum and urea, as done in the conventional method. These coir pith samples were then treated using the </w:t>
      </w:r>
      <w:proofErr w:type="spellStart"/>
      <w:r w:rsidRPr="00DF0BA2">
        <w:rPr>
          <w:rFonts w:ascii="Times New Roman" w:hAnsi="Times New Roman" w:cs="Times New Roman"/>
          <w:color w:val="000000" w:themeColor="text1"/>
          <w:sz w:val="24"/>
          <w:szCs w:val="24"/>
        </w:rPr>
        <w:t>Novcom</w:t>
      </w:r>
      <w:proofErr w:type="spellEnd"/>
      <w:r w:rsidRPr="00DF0BA2">
        <w:rPr>
          <w:rFonts w:ascii="Times New Roman" w:hAnsi="Times New Roman" w:cs="Times New Roman"/>
          <w:color w:val="000000" w:themeColor="text1"/>
          <w:sz w:val="24"/>
          <w:szCs w:val="24"/>
        </w:rPr>
        <w:t xml:space="preserve"> technology, with each heap comprising 10 tons and replicated three times. Samples were collected on the 0th, 10th, 20th, 30th, and 40th day from both the </w:t>
      </w:r>
      <w:proofErr w:type="spellStart"/>
      <w:r w:rsidRPr="00DF0BA2">
        <w:rPr>
          <w:rFonts w:ascii="Times New Roman" w:hAnsi="Times New Roman" w:cs="Times New Roman"/>
          <w:color w:val="000000" w:themeColor="text1"/>
          <w:sz w:val="24"/>
          <w:szCs w:val="24"/>
        </w:rPr>
        <w:t>Novcom</w:t>
      </w:r>
      <w:proofErr w:type="spellEnd"/>
      <w:r w:rsidRPr="00DF0BA2">
        <w:rPr>
          <w:rFonts w:ascii="Times New Roman" w:hAnsi="Times New Roman" w:cs="Times New Roman"/>
          <w:color w:val="000000" w:themeColor="text1"/>
          <w:sz w:val="24"/>
          <w:szCs w:val="24"/>
        </w:rPr>
        <w:t xml:space="preserve">-treated and conventional coir pith heaps, following standard sampling procedures. The conventional heaps were maintained for their respective 12-month aging periods, and samples were again collected for laboratory quality analysis as well as seedling germination and </w:t>
      </w:r>
      <w:proofErr w:type="spellStart"/>
      <w:r w:rsidRPr="00DF0BA2">
        <w:rPr>
          <w:rFonts w:ascii="Times New Roman" w:hAnsi="Times New Roman" w:cs="Times New Roman"/>
          <w:color w:val="000000" w:themeColor="text1"/>
          <w:sz w:val="24"/>
          <w:szCs w:val="24"/>
        </w:rPr>
        <w:t>vigour</w:t>
      </w:r>
      <w:proofErr w:type="spellEnd"/>
      <w:r w:rsidRPr="00DF0BA2">
        <w:rPr>
          <w:rFonts w:ascii="Times New Roman" w:hAnsi="Times New Roman" w:cs="Times New Roman"/>
          <w:color w:val="000000" w:themeColor="text1"/>
          <w:sz w:val="24"/>
          <w:szCs w:val="24"/>
        </w:rPr>
        <w:t xml:space="preserve"> testing in pro-trays.</w:t>
      </w:r>
    </w:p>
    <w:p w14:paraId="593E42CD" w14:textId="77777777" w:rsidR="00F84A10" w:rsidRDefault="00F84A10" w:rsidP="00F84A10">
      <w:pPr>
        <w:spacing w:after="0" w:line="240" w:lineRule="auto"/>
        <w:ind w:right="-86"/>
        <w:jc w:val="both"/>
        <w:rPr>
          <w:rFonts w:ascii="Times New Roman" w:hAnsi="Times New Roman" w:cs="Times New Roman"/>
          <w:b/>
          <w:color w:val="000000" w:themeColor="text1"/>
          <w:sz w:val="24"/>
          <w:szCs w:val="24"/>
        </w:rPr>
      </w:pPr>
    </w:p>
    <w:p w14:paraId="44959B26" w14:textId="77777777" w:rsidR="004579B3" w:rsidRPr="00DF0BA2" w:rsidRDefault="004579B3" w:rsidP="00F84A10">
      <w:pPr>
        <w:spacing w:after="0" w:line="240" w:lineRule="auto"/>
        <w:ind w:right="-86"/>
        <w:jc w:val="both"/>
        <w:rPr>
          <w:rFonts w:ascii="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t xml:space="preserve">Biodegradation and Development of Pro-tray media with </w:t>
      </w:r>
      <w:proofErr w:type="spellStart"/>
      <w:r w:rsidRPr="00DF0BA2">
        <w:rPr>
          <w:rFonts w:ascii="Times New Roman" w:hAnsi="Times New Roman" w:cs="Times New Roman"/>
          <w:b/>
          <w:color w:val="000000" w:themeColor="text1"/>
          <w:sz w:val="24"/>
          <w:szCs w:val="24"/>
        </w:rPr>
        <w:t>Novcom</w:t>
      </w:r>
      <w:proofErr w:type="spellEnd"/>
      <w:r w:rsidRPr="00DF0BA2">
        <w:rPr>
          <w:rFonts w:ascii="Times New Roman" w:hAnsi="Times New Roman" w:cs="Times New Roman"/>
          <w:b/>
          <w:color w:val="000000" w:themeColor="text1"/>
          <w:sz w:val="24"/>
          <w:szCs w:val="24"/>
        </w:rPr>
        <w:t xml:space="preserve"> </w:t>
      </w:r>
      <w:proofErr w:type="gramStart"/>
      <w:r w:rsidRPr="00DF0BA2">
        <w:rPr>
          <w:rFonts w:ascii="Times New Roman" w:hAnsi="Times New Roman" w:cs="Times New Roman"/>
          <w:b/>
          <w:color w:val="000000" w:themeColor="text1"/>
          <w:sz w:val="24"/>
          <w:szCs w:val="24"/>
        </w:rPr>
        <w:t>Technology :</w:t>
      </w:r>
      <w:proofErr w:type="gramEnd"/>
      <w:r w:rsidRPr="00DF0BA2">
        <w:rPr>
          <w:rFonts w:ascii="Times New Roman" w:hAnsi="Times New Roman" w:cs="Times New Roman"/>
          <w:b/>
          <w:color w:val="000000" w:themeColor="text1"/>
          <w:sz w:val="24"/>
          <w:szCs w:val="24"/>
        </w:rPr>
        <w:t xml:space="preserve"> </w:t>
      </w:r>
    </w:p>
    <w:p w14:paraId="3A6DD121" w14:textId="77777777" w:rsidR="004579B3" w:rsidRPr="00DF0BA2" w:rsidRDefault="007F0E22" w:rsidP="00F84A10">
      <w:pPr>
        <w:spacing w:after="0" w:line="240" w:lineRule="auto"/>
        <w:ind w:right="-86"/>
        <w:jc w:val="both"/>
        <w:rPr>
          <w:rFonts w:ascii="Times New Roman" w:hAnsi="Times New Roman" w:cs="Times New Roman"/>
          <w:color w:val="000000" w:themeColor="text1"/>
          <w:sz w:val="24"/>
          <w:szCs w:val="24"/>
        </w:rPr>
      </w:pPr>
      <w:proofErr w:type="spellStart"/>
      <w:r w:rsidRPr="00DF0BA2">
        <w:rPr>
          <w:rFonts w:ascii="Times New Roman" w:hAnsi="Times New Roman" w:cs="Times New Roman"/>
          <w:color w:val="000000" w:themeColor="text1"/>
          <w:sz w:val="24"/>
          <w:szCs w:val="24"/>
        </w:rPr>
        <w:t>Novcom</w:t>
      </w:r>
      <w:proofErr w:type="spellEnd"/>
      <w:r w:rsidRPr="00DF0BA2">
        <w:rPr>
          <w:rFonts w:ascii="Times New Roman" w:hAnsi="Times New Roman" w:cs="Times New Roman"/>
          <w:color w:val="000000" w:themeColor="text1"/>
          <w:sz w:val="24"/>
          <w:szCs w:val="24"/>
        </w:rPr>
        <w:t xml:space="preserve"> integrates an Element Energy Activation (EEA) framework with targeted microbial ecology and process engineering to convert recalcitrant coir pith into a low-salinity, lignin-modified pro-tray substrate in </w:t>
      </w:r>
      <w:r w:rsidR="00F337D2">
        <w:rPr>
          <w:rFonts w:ascii="Times New Roman" w:hAnsi="Times New Roman" w:cs="Times New Roman"/>
          <w:color w:val="000000" w:themeColor="text1"/>
          <w:sz w:val="24"/>
          <w:szCs w:val="24"/>
        </w:rPr>
        <w:t xml:space="preserve">about </w:t>
      </w:r>
      <w:r w:rsidRPr="00DF0BA2">
        <w:rPr>
          <w:rFonts w:ascii="Times New Roman" w:hAnsi="Times New Roman" w:cs="Times New Roman"/>
          <w:color w:val="000000" w:themeColor="text1"/>
          <w:sz w:val="24"/>
          <w:szCs w:val="24"/>
        </w:rPr>
        <w:t>40 days. Controlled moisture, compaction and periodic micro-dosing of potentized botanical extracts activate native cellulolytic and hemicellulolytic consortia, promoting selective depolymerization of accessible polysaccharides while conserving structural lignin for root anchorage. Concurrently, engineered cation-exchange dynamics—enhanced by gypsum-derived Ca²</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 xml:space="preserve"> and mobilized Mg²</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—displace soluble Na</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/K</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 xml:space="preserve"> into non-soluble forms, lowering media solubility and electrical conductivity toward target values (&lt; ~2 dS·m</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without excessive leaching. Mild thermophily (≈40–55 °C) and even oxygen distribution prevent hot spots and enable actinomycete-mediated lignin modification and lignin-peroxidase activity, volatilizing inhibitory phenolics and reducing C:N toward ~28:1 without full humification. pH is maintained near 6.0–6.8 and available N stabilized (~0.5–1.0%), avoiding severe immobilization and ionic shocks that impair seedlings. The result is targeted biodegradation—salt binding, partial lignin alteration, reduced bulk organic load and preserved structure—yielding a stable, biologically enriched pro-tray medium optimized for uniform, healthy seedling establishment.</w:t>
      </w:r>
    </w:p>
    <w:p w14:paraId="21FCAE0A" w14:textId="77777777" w:rsidR="007F0E22" w:rsidRPr="00DF0BA2" w:rsidRDefault="007F0E22" w:rsidP="00F84A10">
      <w:pPr>
        <w:spacing w:after="0" w:line="240" w:lineRule="auto"/>
        <w:ind w:right="-86"/>
        <w:jc w:val="both"/>
        <w:rPr>
          <w:rFonts w:ascii="Times New Roman" w:eastAsia="Times New Roman" w:hAnsi="Times New Roman" w:cs="Times New Roman"/>
          <w:color w:val="000000" w:themeColor="text1"/>
          <w:sz w:val="24"/>
          <w:szCs w:val="24"/>
        </w:rPr>
      </w:pPr>
    </w:p>
    <w:p w14:paraId="75AD814F" w14:textId="77777777" w:rsidR="004579B3" w:rsidRPr="00DF0BA2" w:rsidRDefault="004579B3" w:rsidP="00F84A10">
      <w:pPr>
        <w:spacing w:after="0" w:line="240" w:lineRule="auto"/>
        <w:ind w:right="-86"/>
        <w:jc w:val="both"/>
        <w:rPr>
          <w:rFonts w:ascii="Times New Roman" w:eastAsia="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t xml:space="preserve">How </w:t>
      </w:r>
      <w:proofErr w:type="spellStart"/>
      <w:r w:rsidRPr="00DF0BA2">
        <w:rPr>
          <w:rFonts w:ascii="Times New Roman" w:hAnsi="Times New Roman" w:cs="Times New Roman"/>
          <w:b/>
          <w:color w:val="000000" w:themeColor="text1"/>
          <w:sz w:val="24"/>
          <w:szCs w:val="24"/>
        </w:rPr>
        <w:t>Novcom</w:t>
      </w:r>
      <w:proofErr w:type="spellEnd"/>
      <w:r w:rsidRPr="00DF0BA2">
        <w:rPr>
          <w:rFonts w:ascii="Times New Roman" w:hAnsi="Times New Roman" w:cs="Times New Roman"/>
          <w:b/>
          <w:color w:val="000000" w:themeColor="text1"/>
          <w:sz w:val="24"/>
          <w:szCs w:val="24"/>
        </w:rPr>
        <w:t xml:space="preserve"> technology based pro-tray media helps to develop healthy seedlings</w:t>
      </w:r>
    </w:p>
    <w:p w14:paraId="1C469F13" w14:textId="77777777" w:rsidR="004579B3" w:rsidRPr="00F84A10" w:rsidRDefault="007F0E22" w:rsidP="00F84A10">
      <w:pPr>
        <w:spacing w:after="0" w:line="240" w:lineRule="auto"/>
        <w:jc w:val="both"/>
        <w:rPr>
          <w:rFonts w:ascii="Times New Roman" w:hAnsi="Times New Roman" w:cs="Times New Roman"/>
          <w:b/>
          <w:color w:val="000000" w:themeColor="text1"/>
          <w:sz w:val="24"/>
          <w:szCs w:val="24"/>
        </w:rPr>
      </w:pPr>
      <w:proofErr w:type="spellStart"/>
      <w:r w:rsidRPr="00DF0BA2">
        <w:rPr>
          <w:rFonts w:ascii="Times New Roman" w:hAnsi="Times New Roman" w:cs="Times New Roman"/>
          <w:color w:val="000000" w:themeColor="text1"/>
          <w:sz w:val="24"/>
          <w:szCs w:val="24"/>
        </w:rPr>
        <w:t>Novcom</w:t>
      </w:r>
      <w:proofErr w:type="spellEnd"/>
      <w:r w:rsidRPr="00DF0BA2">
        <w:rPr>
          <w:rFonts w:ascii="Times New Roman" w:hAnsi="Times New Roman" w:cs="Times New Roman"/>
          <w:color w:val="000000" w:themeColor="text1"/>
          <w:sz w:val="24"/>
          <w:szCs w:val="24"/>
        </w:rPr>
        <w:t xml:space="preserve">-treated pro-tray media uses an Element Energy Activation (EEA) approach combined with targeted microbiology to produce an energetically and biologically optimized substrate that promotes vigorous seedling establishment. Potentized botanical extracts activate dormant </w:t>
      </w:r>
      <w:r w:rsidRPr="00DF0BA2">
        <w:rPr>
          <w:rFonts w:ascii="Times New Roman" w:hAnsi="Times New Roman" w:cs="Times New Roman"/>
          <w:color w:val="000000" w:themeColor="text1"/>
          <w:sz w:val="24"/>
          <w:szCs w:val="24"/>
        </w:rPr>
        <w:lastRenderedPageBreak/>
        <w:t xml:space="preserve">indigenous microbes, driving rapid colonization by beneficial bacteria, fungi and actinomycetes. </w:t>
      </w:r>
      <w:r w:rsidRPr="00F84A10">
        <w:rPr>
          <w:rFonts w:ascii="Times New Roman" w:hAnsi="Times New Roman" w:cs="Times New Roman"/>
          <w:color w:val="000000" w:themeColor="text1"/>
          <w:sz w:val="24"/>
          <w:szCs w:val="24"/>
        </w:rPr>
        <w:t xml:space="preserve">Controlled compaction, moisture gradients and occasional thermal peaks remove phytotoxic build-ups, volatilize inhibitory compounds, and ensure even oxygen and nutrient distribution, preventing hypoxic zones. Cation-exchange dynamics and amendments stabilize soluble salts and maintain pH and </w:t>
      </w:r>
      <w:proofErr w:type="gramStart"/>
      <w:r w:rsidRPr="00F84A10">
        <w:rPr>
          <w:rFonts w:ascii="Times New Roman" w:hAnsi="Times New Roman" w:cs="Times New Roman"/>
          <w:color w:val="000000" w:themeColor="text1"/>
          <w:sz w:val="24"/>
          <w:szCs w:val="24"/>
        </w:rPr>
        <w:t>C:N</w:t>
      </w:r>
      <w:proofErr w:type="gramEnd"/>
      <w:r w:rsidRPr="00F84A10">
        <w:rPr>
          <w:rFonts w:ascii="Times New Roman" w:hAnsi="Times New Roman" w:cs="Times New Roman"/>
          <w:color w:val="000000" w:themeColor="text1"/>
          <w:sz w:val="24"/>
          <w:szCs w:val="24"/>
        </w:rPr>
        <w:t xml:space="preserve"> balance, while selective depolymerization of polysaccharides yields readily available substrates without losing structural lignin for root anchorage. Seedlings sown into this medium encounter primed microbial consortia that produce growth-promoting substances and improve nutrient mobilization; combined with optimal aeration and moisture, this results in faster radicle elongation, greater root mass, higher chlorophyll and improved stress tolerance—delivering more uniform, resilient seedlings at transplant.</w:t>
      </w:r>
    </w:p>
    <w:p w14:paraId="5C515A9E" w14:textId="77777777" w:rsidR="00F7194B" w:rsidRPr="00F84A10" w:rsidRDefault="00F7194B" w:rsidP="00F84A10">
      <w:pPr>
        <w:spacing w:beforeLines="60" w:before="144" w:afterLines="60" w:after="144" w:line="240" w:lineRule="auto"/>
        <w:ind w:right="-86"/>
        <w:jc w:val="both"/>
        <w:rPr>
          <w:rFonts w:ascii="Times New Roman" w:eastAsia="Times New Roman" w:hAnsi="Times New Roman" w:cs="Times New Roman"/>
          <w:b/>
          <w:color w:val="000000" w:themeColor="text1"/>
          <w:sz w:val="24"/>
          <w:szCs w:val="24"/>
        </w:rPr>
      </w:pPr>
      <w:r w:rsidRPr="00F84A10">
        <w:rPr>
          <w:rFonts w:ascii="Times New Roman" w:eastAsia="Times New Roman" w:hAnsi="Times New Roman" w:cs="Times New Roman"/>
          <w:b/>
          <w:color w:val="000000" w:themeColor="text1"/>
          <w:sz w:val="24"/>
          <w:szCs w:val="24"/>
        </w:rPr>
        <w:t xml:space="preserve">Quality Analysis of </w:t>
      </w:r>
      <w:proofErr w:type="spellStart"/>
      <w:r w:rsidRPr="00F84A10">
        <w:rPr>
          <w:rFonts w:ascii="Times New Roman" w:eastAsia="Times New Roman" w:hAnsi="Times New Roman" w:cs="Times New Roman"/>
          <w:b/>
          <w:color w:val="000000" w:themeColor="text1"/>
          <w:sz w:val="24"/>
          <w:szCs w:val="24"/>
        </w:rPr>
        <w:t>Novcom</w:t>
      </w:r>
      <w:proofErr w:type="spellEnd"/>
      <w:r w:rsidRPr="00F84A10">
        <w:rPr>
          <w:rFonts w:ascii="Times New Roman" w:eastAsia="Times New Roman" w:hAnsi="Times New Roman" w:cs="Times New Roman"/>
          <w:b/>
          <w:color w:val="000000" w:themeColor="text1"/>
          <w:sz w:val="24"/>
          <w:szCs w:val="24"/>
        </w:rPr>
        <w:t xml:space="preserve"> </w:t>
      </w:r>
      <w:proofErr w:type="spellStart"/>
      <w:r w:rsidRPr="00F84A10">
        <w:rPr>
          <w:rFonts w:ascii="Times New Roman" w:eastAsia="Times New Roman" w:hAnsi="Times New Roman" w:cs="Times New Roman"/>
          <w:b/>
          <w:color w:val="000000" w:themeColor="text1"/>
          <w:sz w:val="24"/>
          <w:szCs w:val="24"/>
        </w:rPr>
        <w:t>Coirpith</w:t>
      </w:r>
      <w:proofErr w:type="spellEnd"/>
      <w:r w:rsidRPr="00F84A10">
        <w:rPr>
          <w:rFonts w:ascii="Times New Roman" w:eastAsia="Times New Roman" w:hAnsi="Times New Roman" w:cs="Times New Roman"/>
          <w:b/>
          <w:color w:val="000000" w:themeColor="text1"/>
          <w:sz w:val="24"/>
          <w:szCs w:val="24"/>
        </w:rPr>
        <w:t xml:space="preserve"> </w:t>
      </w:r>
      <w:proofErr w:type="spellStart"/>
      <w:r w:rsidRPr="00F84A10">
        <w:rPr>
          <w:rFonts w:ascii="Times New Roman" w:eastAsia="Times New Roman" w:hAnsi="Times New Roman" w:cs="Times New Roman"/>
          <w:b/>
          <w:color w:val="000000" w:themeColor="text1"/>
          <w:sz w:val="24"/>
          <w:szCs w:val="24"/>
        </w:rPr>
        <w:t>Protray</w:t>
      </w:r>
      <w:proofErr w:type="spellEnd"/>
      <w:r w:rsidRPr="00F84A10">
        <w:rPr>
          <w:rFonts w:ascii="Times New Roman" w:eastAsia="Times New Roman" w:hAnsi="Times New Roman" w:cs="Times New Roman"/>
          <w:b/>
          <w:color w:val="000000" w:themeColor="text1"/>
          <w:sz w:val="24"/>
          <w:szCs w:val="24"/>
        </w:rPr>
        <w:t xml:space="preserve"> material</w:t>
      </w:r>
    </w:p>
    <w:p w14:paraId="380E3A83" w14:textId="77777777" w:rsidR="00C90771" w:rsidRPr="00F84A10" w:rsidRDefault="00C90771" w:rsidP="00F84A10">
      <w:pPr>
        <w:spacing w:beforeLines="60" w:before="144" w:afterLines="60" w:after="144" w:line="240" w:lineRule="auto"/>
        <w:jc w:val="both"/>
        <w:rPr>
          <w:rFonts w:ascii="Times New Roman" w:eastAsia="Times New Roman" w:hAnsi="Times New Roman" w:cs="Times New Roman"/>
          <w:b/>
          <w:bCs/>
          <w:color w:val="000000" w:themeColor="text1"/>
          <w:sz w:val="24"/>
          <w:szCs w:val="24"/>
        </w:rPr>
      </w:pPr>
      <w:r w:rsidRPr="00F84A10">
        <w:rPr>
          <w:rFonts w:ascii="Times New Roman" w:hAnsi="Times New Roman" w:cs="Times New Roman"/>
          <w:color w:val="000000" w:themeColor="text1"/>
          <w:sz w:val="24"/>
          <w:szCs w:val="24"/>
        </w:rPr>
        <w:t>Samples from all heaps were split: one portion for microbial and phytotoxicity assays and one air-dried for physicochemical and nutrient analyses including lignin. Moisture, pH, organic carbon and total volatile solids followed; EC was measured at 1:1.5 (Coir Board). Water-soluble Na</w:t>
      </w:r>
      <w:r w:rsidRPr="00F84A10">
        <w:rPr>
          <w:rFonts w:ascii="Cambria Math" w:hAnsi="Cambria Math" w:cs="Cambria Math"/>
          <w:color w:val="000000" w:themeColor="text1"/>
          <w:sz w:val="24"/>
          <w:szCs w:val="24"/>
        </w:rPr>
        <w:t>⁺</w:t>
      </w:r>
      <w:r w:rsidRPr="00F84A10">
        <w:rPr>
          <w:rFonts w:ascii="Times New Roman" w:hAnsi="Times New Roman" w:cs="Times New Roman"/>
          <w:color w:val="000000" w:themeColor="text1"/>
          <w:sz w:val="24"/>
          <w:szCs w:val="24"/>
        </w:rPr>
        <w:t>/K</w:t>
      </w:r>
      <w:r w:rsidRPr="00F84A10">
        <w:rPr>
          <w:rFonts w:ascii="Cambria Math" w:hAnsi="Cambria Math" w:cs="Cambria Math"/>
          <w:color w:val="000000" w:themeColor="text1"/>
          <w:sz w:val="24"/>
          <w:szCs w:val="24"/>
        </w:rPr>
        <w:t>⁺</w:t>
      </w:r>
      <w:r w:rsidRPr="00F84A10">
        <w:rPr>
          <w:rFonts w:ascii="Times New Roman" w:hAnsi="Times New Roman" w:cs="Times New Roman"/>
          <w:color w:val="000000" w:themeColor="text1"/>
          <w:sz w:val="24"/>
          <w:szCs w:val="24"/>
        </w:rPr>
        <w:t xml:space="preserve"> </w:t>
      </w:r>
      <w:r w:rsidR="000A5C4A" w:rsidRPr="00F84A10">
        <w:rPr>
          <w:rFonts w:ascii="Times New Roman" w:hAnsi="Times New Roman" w:cs="Times New Roman"/>
          <w:color w:val="000000" w:themeColor="text1"/>
          <w:sz w:val="24"/>
          <w:szCs w:val="24"/>
        </w:rPr>
        <w:t>was</w:t>
      </w:r>
      <w:r w:rsidRPr="00F84A10">
        <w:rPr>
          <w:rFonts w:ascii="Times New Roman" w:hAnsi="Times New Roman" w:cs="Times New Roman"/>
          <w:color w:val="000000" w:themeColor="text1"/>
          <w:sz w:val="24"/>
          <w:szCs w:val="24"/>
        </w:rPr>
        <w:t xml:space="preserve"> determined by flame photometry and microbes (bacteria, fungi, actinomycetes) enumerated on Thornton’s, Martin’s and Jensen’s media (Black, 1965). Total N, P, K used acid digestion</w:t>
      </w:r>
      <w:r w:rsidR="0083215F" w:rsidRPr="00F84A10">
        <w:rPr>
          <w:rFonts w:ascii="Times New Roman" w:hAnsi="Times New Roman" w:cs="Times New Roman"/>
          <w:color w:val="000000" w:themeColor="text1"/>
          <w:sz w:val="24"/>
          <w:szCs w:val="24"/>
        </w:rPr>
        <w:t>,</w:t>
      </w:r>
      <w:r w:rsidRPr="00F84A10">
        <w:rPr>
          <w:rFonts w:ascii="Times New Roman" w:hAnsi="Times New Roman" w:cs="Times New Roman"/>
          <w:color w:val="000000" w:themeColor="text1"/>
          <w:sz w:val="24"/>
          <w:szCs w:val="24"/>
        </w:rPr>
        <w:t xml:space="preserve"> germination-index bioassay employed cucumber; lignin</w:t>
      </w:r>
      <w:r w:rsidR="0083215F" w:rsidRPr="00F84A10">
        <w:rPr>
          <w:rFonts w:ascii="Times New Roman" w:hAnsi="Times New Roman" w:cs="Times New Roman"/>
          <w:color w:val="000000" w:themeColor="text1"/>
          <w:sz w:val="24"/>
          <w:szCs w:val="24"/>
        </w:rPr>
        <w:t>.</w:t>
      </w:r>
    </w:p>
    <w:p w14:paraId="14E788A3" w14:textId="77777777" w:rsidR="00231162" w:rsidRPr="00F84A10" w:rsidRDefault="00893CE6" w:rsidP="00F84A10">
      <w:pPr>
        <w:spacing w:after="0" w:line="240" w:lineRule="auto"/>
        <w:rPr>
          <w:rFonts w:ascii="Times New Roman" w:eastAsia="Times New Roman" w:hAnsi="Times New Roman" w:cs="Times New Roman"/>
          <w:color w:val="000000" w:themeColor="text1"/>
          <w:sz w:val="24"/>
          <w:szCs w:val="24"/>
        </w:rPr>
      </w:pPr>
      <w:r w:rsidRPr="00F84A10">
        <w:rPr>
          <w:rFonts w:ascii="Times New Roman" w:eastAsia="Times New Roman" w:hAnsi="Times New Roman" w:cs="Times New Roman"/>
          <w:b/>
          <w:bCs/>
          <w:color w:val="000000" w:themeColor="text1"/>
          <w:sz w:val="24"/>
          <w:szCs w:val="24"/>
        </w:rPr>
        <w:t xml:space="preserve">Seed Germination and </w:t>
      </w:r>
      <w:proofErr w:type="spellStart"/>
      <w:r w:rsidRPr="00F84A10">
        <w:rPr>
          <w:rFonts w:ascii="Times New Roman" w:eastAsia="Times New Roman" w:hAnsi="Times New Roman" w:cs="Times New Roman"/>
          <w:b/>
          <w:bCs/>
          <w:color w:val="000000" w:themeColor="text1"/>
          <w:sz w:val="24"/>
          <w:szCs w:val="24"/>
        </w:rPr>
        <w:t>Vigour</w:t>
      </w:r>
      <w:proofErr w:type="spellEnd"/>
      <w:r w:rsidRPr="00F84A10">
        <w:rPr>
          <w:rFonts w:ascii="Times New Roman" w:eastAsia="Times New Roman" w:hAnsi="Times New Roman" w:cs="Times New Roman"/>
          <w:b/>
          <w:bCs/>
          <w:color w:val="000000" w:themeColor="text1"/>
          <w:sz w:val="24"/>
          <w:szCs w:val="24"/>
        </w:rPr>
        <w:t xml:space="preserve"> Assays</w:t>
      </w:r>
    </w:p>
    <w:p w14:paraId="11718EEA" w14:textId="62BAE745" w:rsidR="00893CE6" w:rsidRPr="00F84A10" w:rsidRDefault="00893CE6" w:rsidP="00F84A10">
      <w:pPr>
        <w:spacing w:after="0" w:line="240" w:lineRule="auto"/>
        <w:rPr>
          <w:rFonts w:ascii="Times New Roman" w:eastAsia="Times New Roman" w:hAnsi="Times New Roman" w:cs="Times New Roman"/>
          <w:color w:val="000000" w:themeColor="text1"/>
          <w:sz w:val="24"/>
          <w:szCs w:val="24"/>
        </w:rPr>
      </w:pPr>
      <w:r w:rsidRPr="00F84A10">
        <w:rPr>
          <w:rFonts w:ascii="Times New Roman" w:eastAsia="Times New Roman" w:hAnsi="Times New Roman" w:cs="Times New Roman"/>
          <w:color w:val="000000" w:themeColor="text1"/>
          <w:sz w:val="24"/>
          <w:szCs w:val="24"/>
        </w:rPr>
        <w:t>Tomato (</w:t>
      </w:r>
      <w:r w:rsidRPr="00F84A10">
        <w:rPr>
          <w:rFonts w:ascii="Times New Roman" w:eastAsia="Times New Roman" w:hAnsi="Times New Roman" w:cs="Times New Roman"/>
          <w:i/>
          <w:iCs/>
          <w:color w:val="000000" w:themeColor="text1"/>
          <w:sz w:val="24"/>
          <w:szCs w:val="24"/>
        </w:rPr>
        <w:t xml:space="preserve">Solanum </w:t>
      </w:r>
      <w:proofErr w:type="spellStart"/>
      <w:r w:rsidRPr="00F84A10">
        <w:rPr>
          <w:rFonts w:ascii="Times New Roman" w:eastAsia="Times New Roman" w:hAnsi="Times New Roman" w:cs="Times New Roman"/>
          <w:i/>
          <w:iCs/>
          <w:color w:val="000000" w:themeColor="text1"/>
          <w:sz w:val="24"/>
          <w:szCs w:val="24"/>
        </w:rPr>
        <w:t>lycopersicum</w:t>
      </w:r>
      <w:proofErr w:type="spellEnd"/>
      <w:r w:rsidRPr="00F84A10">
        <w:rPr>
          <w:rFonts w:ascii="Times New Roman" w:eastAsia="Times New Roman" w:hAnsi="Times New Roman" w:cs="Times New Roman"/>
          <w:color w:val="000000" w:themeColor="text1"/>
          <w:sz w:val="24"/>
          <w:szCs w:val="24"/>
        </w:rPr>
        <w:t xml:space="preserve"> L. cv. Pusa Ruby), cauliflower (</w:t>
      </w:r>
      <w:r w:rsidRPr="00F84A10">
        <w:rPr>
          <w:rFonts w:ascii="Times New Roman" w:eastAsia="Times New Roman" w:hAnsi="Times New Roman" w:cs="Times New Roman"/>
          <w:i/>
          <w:iCs/>
          <w:color w:val="000000" w:themeColor="text1"/>
          <w:sz w:val="24"/>
          <w:szCs w:val="24"/>
        </w:rPr>
        <w:t>Brassica oleracea</w:t>
      </w:r>
      <w:r w:rsidRPr="00F84A10">
        <w:rPr>
          <w:rFonts w:ascii="Times New Roman" w:eastAsia="Times New Roman" w:hAnsi="Times New Roman" w:cs="Times New Roman"/>
          <w:color w:val="000000" w:themeColor="text1"/>
          <w:sz w:val="24"/>
          <w:szCs w:val="24"/>
        </w:rPr>
        <w:t xml:space="preserve"> var. </w:t>
      </w:r>
      <w:r w:rsidRPr="00F84A10">
        <w:rPr>
          <w:rFonts w:ascii="Times New Roman" w:eastAsia="Times New Roman" w:hAnsi="Times New Roman" w:cs="Times New Roman"/>
          <w:i/>
          <w:iCs/>
          <w:color w:val="000000" w:themeColor="text1"/>
          <w:sz w:val="24"/>
          <w:szCs w:val="24"/>
        </w:rPr>
        <w:t>botrytis</w:t>
      </w:r>
      <w:r w:rsidRPr="00F84A10">
        <w:rPr>
          <w:rFonts w:ascii="Times New Roman" w:eastAsia="Times New Roman" w:hAnsi="Times New Roman" w:cs="Times New Roman"/>
          <w:color w:val="000000" w:themeColor="text1"/>
          <w:sz w:val="24"/>
          <w:szCs w:val="24"/>
        </w:rPr>
        <w:t xml:space="preserve"> L. cv. Snowball-16), and </w:t>
      </w:r>
      <w:proofErr w:type="spellStart"/>
      <w:r w:rsidRPr="00F84A10">
        <w:rPr>
          <w:rFonts w:ascii="Times New Roman" w:eastAsia="Times New Roman" w:hAnsi="Times New Roman" w:cs="Times New Roman"/>
          <w:color w:val="000000" w:themeColor="text1"/>
          <w:sz w:val="24"/>
          <w:szCs w:val="24"/>
        </w:rPr>
        <w:t>chilli</w:t>
      </w:r>
      <w:proofErr w:type="spellEnd"/>
      <w:r w:rsidRPr="00F84A10">
        <w:rPr>
          <w:rFonts w:ascii="Times New Roman" w:eastAsia="Times New Roman" w:hAnsi="Times New Roman" w:cs="Times New Roman"/>
          <w:color w:val="000000" w:themeColor="text1"/>
          <w:sz w:val="24"/>
          <w:szCs w:val="24"/>
        </w:rPr>
        <w:t xml:space="preserve"> (</w:t>
      </w:r>
      <w:r w:rsidRPr="00F84A10">
        <w:rPr>
          <w:rFonts w:ascii="Times New Roman" w:eastAsia="Times New Roman" w:hAnsi="Times New Roman" w:cs="Times New Roman"/>
          <w:i/>
          <w:iCs/>
          <w:color w:val="000000" w:themeColor="text1"/>
          <w:sz w:val="24"/>
          <w:szCs w:val="24"/>
        </w:rPr>
        <w:t>Capsicum annuum</w:t>
      </w:r>
      <w:r w:rsidRPr="00F84A10">
        <w:rPr>
          <w:rFonts w:ascii="Times New Roman" w:eastAsia="Times New Roman" w:hAnsi="Times New Roman" w:cs="Times New Roman"/>
          <w:color w:val="000000" w:themeColor="text1"/>
          <w:sz w:val="24"/>
          <w:szCs w:val="24"/>
        </w:rPr>
        <w:t xml:space="preserve"> L. cv. </w:t>
      </w:r>
      <w:proofErr w:type="spellStart"/>
      <w:r w:rsidRPr="00F84A10">
        <w:rPr>
          <w:rFonts w:ascii="Times New Roman" w:eastAsia="Times New Roman" w:hAnsi="Times New Roman" w:cs="Times New Roman"/>
          <w:color w:val="000000" w:themeColor="text1"/>
          <w:sz w:val="24"/>
          <w:szCs w:val="24"/>
        </w:rPr>
        <w:t>Calwonder</w:t>
      </w:r>
      <w:proofErr w:type="spellEnd"/>
      <w:r w:rsidRPr="00F84A10">
        <w:rPr>
          <w:rFonts w:ascii="Times New Roman" w:eastAsia="Times New Roman" w:hAnsi="Times New Roman" w:cs="Times New Roman"/>
          <w:color w:val="000000" w:themeColor="text1"/>
          <w:sz w:val="24"/>
          <w:szCs w:val="24"/>
        </w:rPr>
        <w:t>) were sown in 98-cell pro trays filled with NOVCOM-treated and conventional media. Germination percentage, shoot length, and leaf number were recorded on the 10</w:t>
      </w:r>
      <w:r w:rsidRPr="00C83F05">
        <w:rPr>
          <w:rFonts w:ascii="Times New Roman" w:eastAsia="Times New Roman" w:hAnsi="Times New Roman" w:cs="Times New Roman"/>
          <w:color w:val="000000" w:themeColor="text1"/>
          <w:sz w:val="24"/>
          <w:szCs w:val="24"/>
          <w:vertAlign w:val="superscript"/>
        </w:rPr>
        <w:t>th</w:t>
      </w:r>
      <w:r w:rsidRPr="00F84A10">
        <w:rPr>
          <w:rFonts w:ascii="Times New Roman" w:eastAsia="Times New Roman" w:hAnsi="Times New Roman" w:cs="Times New Roman"/>
          <w:color w:val="000000" w:themeColor="text1"/>
          <w:sz w:val="24"/>
          <w:szCs w:val="24"/>
        </w:rPr>
        <w:t>, 15</w:t>
      </w:r>
      <w:r w:rsidRPr="00C83F05">
        <w:rPr>
          <w:rFonts w:ascii="Times New Roman" w:eastAsia="Times New Roman" w:hAnsi="Times New Roman" w:cs="Times New Roman"/>
          <w:color w:val="000000" w:themeColor="text1"/>
          <w:sz w:val="24"/>
          <w:szCs w:val="24"/>
          <w:vertAlign w:val="superscript"/>
        </w:rPr>
        <w:t>th</w:t>
      </w:r>
      <w:r w:rsidRPr="00F84A10">
        <w:rPr>
          <w:rFonts w:ascii="Times New Roman" w:eastAsia="Times New Roman" w:hAnsi="Times New Roman" w:cs="Times New Roman"/>
          <w:color w:val="000000" w:themeColor="text1"/>
          <w:sz w:val="24"/>
          <w:szCs w:val="24"/>
        </w:rPr>
        <w:t>, 20</w:t>
      </w:r>
      <w:proofErr w:type="gramStart"/>
      <w:r w:rsidRPr="00C83F05">
        <w:rPr>
          <w:rFonts w:ascii="Times New Roman" w:eastAsia="Times New Roman" w:hAnsi="Times New Roman" w:cs="Times New Roman"/>
          <w:color w:val="000000" w:themeColor="text1"/>
          <w:sz w:val="24"/>
          <w:szCs w:val="24"/>
          <w:vertAlign w:val="superscript"/>
        </w:rPr>
        <w:t>th</w:t>
      </w:r>
      <w:r w:rsidR="00C83F05">
        <w:rPr>
          <w:rFonts w:ascii="Times New Roman" w:eastAsia="Times New Roman" w:hAnsi="Times New Roman" w:cs="Times New Roman"/>
          <w:color w:val="000000" w:themeColor="text1"/>
          <w:sz w:val="24"/>
          <w:szCs w:val="24"/>
        </w:rPr>
        <w:t xml:space="preserve"> </w:t>
      </w:r>
      <w:r w:rsidRPr="00F84A10">
        <w:rPr>
          <w:rFonts w:ascii="Times New Roman" w:eastAsia="Times New Roman" w:hAnsi="Times New Roman" w:cs="Times New Roman"/>
          <w:color w:val="000000" w:themeColor="text1"/>
          <w:sz w:val="24"/>
          <w:szCs w:val="24"/>
        </w:rPr>
        <w:t xml:space="preserve"> and</w:t>
      </w:r>
      <w:proofErr w:type="gramEnd"/>
      <w:r w:rsidRPr="00F84A10">
        <w:rPr>
          <w:rFonts w:ascii="Times New Roman" w:eastAsia="Times New Roman" w:hAnsi="Times New Roman" w:cs="Times New Roman"/>
          <w:color w:val="000000" w:themeColor="text1"/>
          <w:sz w:val="24"/>
          <w:szCs w:val="24"/>
        </w:rPr>
        <w:t xml:space="preserve"> 30</w:t>
      </w:r>
      <w:r w:rsidRPr="00C83F05">
        <w:rPr>
          <w:rFonts w:ascii="Times New Roman" w:eastAsia="Times New Roman" w:hAnsi="Times New Roman" w:cs="Times New Roman"/>
          <w:color w:val="000000" w:themeColor="text1"/>
          <w:sz w:val="24"/>
          <w:szCs w:val="24"/>
          <w:vertAlign w:val="superscript"/>
        </w:rPr>
        <w:t>th</w:t>
      </w:r>
      <w:r w:rsidR="00C83F05">
        <w:rPr>
          <w:rFonts w:ascii="Times New Roman" w:eastAsia="Times New Roman" w:hAnsi="Times New Roman" w:cs="Times New Roman"/>
          <w:color w:val="000000" w:themeColor="text1"/>
          <w:sz w:val="24"/>
          <w:szCs w:val="24"/>
        </w:rPr>
        <w:t xml:space="preserve"> </w:t>
      </w:r>
      <w:r w:rsidRPr="00F84A10">
        <w:rPr>
          <w:rFonts w:ascii="Times New Roman" w:eastAsia="Times New Roman" w:hAnsi="Times New Roman" w:cs="Times New Roman"/>
          <w:color w:val="000000" w:themeColor="text1"/>
          <w:sz w:val="24"/>
          <w:szCs w:val="24"/>
        </w:rPr>
        <w:t>days after sowing under a polyhouse. Three replicate trays were used. On the 30th day, root length and architecture were also assessed.</w:t>
      </w:r>
    </w:p>
    <w:p w14:paraId="4C84553D" w14:textId="77777777" w:rsidR="007D2834" w:rsidRDefault="007D2834" w:rsidP="007D2834">
      <w:pPr>
        <w:spacing w:after="0" w:line="240" w:lineRule="auto"/>
        <w:jc w:val="both"/>
        <w:rPr>
          <w:rFonts w:ascii="Times New Roman" w:eastAsia="Times New Roman" w:hAnsi="Times New Roman" w:cs="Times New Roman"/>
          <w:b/>
          <w:bCs/>
          <w:color w:val="000000" w:themeColor="text1"/>
          <w:sz w:val="24"/>
          <w:szCs w:val="24"/>
        </w:rPr>
      </w:pPr>
    </w:p>
    <w:p w14:paraId="0BC6E1C6" w14:textId="77777777" w:rsidR="007D2834" w:rsidRDefault="00893CE6" w:rsidP="007D2834">
      <w:pPr>
        <w:spacing w:after="0" w:line="240" w:lineRule="auto"/>
        <w:jc w:val="both"/>
        <w:rPr>
          <w:rFonts w:ascii="Times New Roman" w:eastAsia="Times New Roman" w:hAnsi="Times New Roman" w:cs="Times New Roman"/>
          <w:b/>
          <w:bCs/>
          <w:color w:val="000000" w:themeColor="text1"/>
          <w:sz w:val="24"/>
          <w:szCs w:val="24"/>
        </w:rPr>
      </w:pPr>
      <w:r w:rsidRPr="00F84A10">
        <w:rPr>
          <w:rFonts w:ascii="Times New Roman" w:eastAsia="Times New Roman" w:hAnsi="Times New Roman" w:cs="Times New Roman"/>
          <w:b/>
          <w:bCs/>
          <w:color w:val="000000" w:themeColor="text1"/>
          <w:sz w:val="24"/>
          <w:szCs w:val="24"/>
        </w:rPr>
        <w:t>Field Transplantation and Growth Monitoring</w:t>
      </w:r>
    </w:p>
    <w:p w14:paraId="67D02FE2" w14:textId="77777777" w:rsidR="00893CE6" w:rsidRPr="00F84A10" w:rsidRDefault="00893CE6" w:rsidP="007D2834">
      <w:pPr>
        <w:spacing w:after="0" w:line="240" w:lineRule="auto"/>
        <w:jc w:val="both"/>
        <w:rPr>
          <w:rFonts w:ascii="Times New Roman" w:eastAsia="Times New Roman" w:hAnsi="Times New Roman" w:cs="Times New Roman"/>
          <w:b/>
          <w:bCs/>
          <w:color w:val="000000" w:themeColor="text1"/>
          <w:sz w:val="24"/>
          <w:szCs w:val="24"/>
        </w:rPr>
      </w:pPr>
      <w:r w:rsidRPr="00F84A10">
        <w:rPr>
          <w:rFonts w:ascii="Times New Roman" w:eastAsia="Times New Roman" w:hAnsi="Times New Roman" w:cs="Times New Roman"/>
          <w:color w:val="000000" w:themeColor="text1"/>
          <w:sz w:val="24"/>
          <w:szCs w:val="24"/>
        </w:rPr>
        <w:t xml:space="preserve">Seedlings at the 4-leaf stage were transplanted into randomized complete block design plots (5 m²) at </w:t>
      </w:r>
      <w:proofErr w:type="spellStart"/>
      <w:r w:rsidRPr="00F84A10">
        <w:rPr>
          <w:rFonts w:ascii="Times New Roman" w:eastAsia="Times New Roman" w:hAnsi="Times New Roman" w:cs="Times New Roman"/>
          <w:color w:val="000000" w:themeColor="text1"/>
          <w:sz w:val="24"/>
          <w:szCs w:val="24"/>
        </w:rPr>
        <w:t>Satyapole</w:t>
      </w:r>
      <w:proofErr w:type="spellEnd"/>
      <w:r w:rsidRPr="00F84A10">
        <w:rPr>
          <w:rFonts w:ascii="Times New Roman" w:eastAsia="Times New Roman" w:hAnsi="Times New Roman" w:cs="Times New Roman"/>
          <w:color w:val="000000" w:themeColor="text1"/>
          <w:sz w:val="24"/>
          <w:szCs w:val="24"/>
        </w:rPr>
        <w:t xml:space="preserve"> village, Nadia district, West Bengal. Each treatment had three replicates. Survival rate, shoot height, and biomass were recorded 30 days post-transplanting.</w:t>
      </w:r>
    </w:p>
    <w:p w14:paraId="38C9F1D4" w14:textId="77777777" w:rsidR="007D2834" w:rsidRDefault="007D2834" w:rsidP="00F84A10">
      <w:pPr>
        <w:spacing w:after="0" w:line="240" w:lineRule="auto"/>
        <w:rPr>
          <w:rFonts w:ascii="Times New Roman" w:eastAsia="Times New Roman" w:hAnsi="Times New Roman" w:cs="Times New Roman"/>
          <w:b/>
          <w:bCs/>
          <w:color w:val="000000" w:themeColor="text1"/>
          <w:sz w:val="24"/>
          <w:szCs w:val="24"/>
        </w:rPr>
      </w:pPr>
    </w:p>
    <w:p w14:paraId="364F2E1A" w14:textId="77777777" w:rsidR="00893CE6" w:rsidRPr="00F84A10" w:rsidRDefault="00893CE6" w:rsidP="00F84A10">
      <w:pPr>
        <w:spacing w:after="0" w:line="240" w:lineRule="auto"/>
        <w:rPr>
          <w:rFonts w:ascii="Times New Roman" w:eastAsia="Times New Roman" w:hAnsi="Times New Roman" w:cs="Times New Roman"/>
          <w:color w:val="000000" w:themeColor="text1"/>
          <w:sz w:val="24"/>
          <w:szCs w:val="24"/>
        </w:rPr>
      </w:pPr>
      <w:r w:rsidRPr="00F84A10">
        <w:rPr>
          <w:rFonts w:ascii="Times New Roman" w:eastAsia="Times New Roman" w:hAnsi="Times New Roman" w:cs="Times New Roman"/>
          <w:b/>
          <w:bCs/>
          <w:color w:val="000000" w:themeColor="text1"/>
          <w:sz w:val="24"/>
          <w:szCs w:val="24"/>
        </w:rPr>
        <w:t>Rhizosphere Microbial Analysis</w:t>
      </w:r>
      <w:r w:rsidRPr="00F84A10">
        <w:rPr>
          <w:rFonts w:ascii="Times New Roman" w:eastAsia="Times New Roman" w:hAnsi="Times New Roman" w:cs="Times New Roman"/>
          <w:color w:val="000000" w:themeColor="text1"/>
          <w:sz w:val="24"/>
          <w:szCs w:val="24"/>
        </w:rPr>
        <w:br/>
        <w:t>Root-zone soil samples (30 days post-transplant) were serially diluted and plated on selective media to enumerate bacteria, fungi, and actinomycetes following Weaver et al. (1998).</w:t>
      </w:r>
    </w:p>
    <w:p w14:paraId="16A87E5A" w14:textId="77777777" w:rsidR="007D2834" w:rsidRDefault="007D2834" w:rsidP="007D2834">
      <w:pPr>
        <w:spacing w:after="0" w:line="240" w:lineRule="auto"/>
        <w:jc w:val="both"/>
        <w:rPr>
          <w:rFonts w:ascii="Times New Roman" w:eastAsia="Times New Roman" w:hAnsi="Times New Roman" w:cs="Times New Roman"/>
          <w:b/>
          <w:bCs/>
          <w:color w:val="000000" w:themeColor="text1"/>
          <w:sz w:val="24"/>
          <w:szCs w:val="24"/>
        </w:rPr>
      </w:pPr>
    </w:p>
    <w:p w14:paraId="5904138B" w14:textId="77777777" w:rsidR="00D84272" w:rsidRPr="00F84A10" w:rsidRDefault="00D84272" w:rsidP="007D2834">
      <w:pPr>
        <w:spacing w:after="0" w:line="240" w:lineRule="auto"/>
        <w:jc w:val="both"/>
        <w:rPr>
          <w:rFonts w:ascii="Times New Roman" w:eastAsia="Times New Roman" w:hAnsi="Times New Roman" w:cs="Times New Roman"/>
          <w:color w:val="000000" w:themeColor="text1"/>
          <w:sz w:val="24"/>
          <w:szCs w:val="24"/>
        </w:rPr>
      </w:pPr>
      <w:r w:rsidRPr="00F84A10">
        <w:rPr>
          <w:rFonts w:ascii="Times New Roman" w:eastAsia="Times New Roman" w:hAnsi="Times New Roman" w:cs="Times New Roman"/>
          <w:b/>
          <w:bCs/>
          <w:color w:val="000000" w:themeColor="text1"/>
          <w:sz w:val="24"/>
          <w:szCs w:val="24"/>
        </w:rPr>
        <w:t>Development of Quality Indices for Comparative Evaluation of Pro-Tray Media</w:t>
      </w:r>
    </w:p>
    <w:p w14:paraId="0C6E94F7" w14:textId="3296B9DC" w:rsidR="00D84272" w:rsidRPr="007D2834" w:rsidRDefault="00D84272" w:rsidP="007D2834">
      <w:pPr>
        <w:spacing w:after="0" w:line="240" w:lineRule="auto"/>
        <w:jc w:val="both"/>
        <w:rPr>
          <w:rFonts w:ascii="Times New Roman" w:eastAsia="Times New Roman" w:hAnsi="Times New Roman" w:cs="Times New Roman"/>
          <w:color w:val="000000" w:themeColor="text1"/>
          <w:sz w:val="24"/>
          <w:szCs w:val="24"/>
        </w:rPr>
      </w:pPr>
      <w:r w:rsidRPr="007D2834">
        <w:rPr>
          <w:rFonts w:ascii="Times New Roman" w:eastAsia="Times New Roman" w:hAnsi="Times New Roman" w:cs="Times New Roman"/>
          <w:color w:val="000000" w:themeColor="text1"/>
          <w:sz w:val="24"/>
          <w:szCs w:val="24"/>
        </w:rPr>
        <w:t xml:space="preserve">Three indices were developed to evaluate coir pith as pro-tray seedling media: </w:t>
      </w:r>
      <w:r w:rsidRPr="007D2834">
        <w:rPr>
          <w:rFonts w:ascii="Times New Roman" w:eastAsia="Times New Roman" w:hAnsi="Times New Roman" w:cs="Times New Roman"/>
          <w:bCs/>
          <w:color w:val="000000" w:themeColor="text1"/>
          <w:sz w:val="24"/>
          <w:szCs w:val="24"/>
        </w:rPr>
        <w:t>Physico-Chemical Score (PCS)</w:t>
      </w:r>
      <w:r w:rsidRPr="007D2834">
        <w:rPr>
          <w:rFonts w:ascii="Times New Roman" w:eastAsia="Times New Roman" w:hAnsi="Times New Roman" w:cs="Times New Roman"/>
          <w:color w:val="000000" w:themeColor="text1"/>
          <w:sz w:val="24"/>
          <w:szCs w:val="24"/>
        </w:rPr>
        <w:t xml:space="preserve">, </w:t>
      </w:r>
      <w:r w:rsidRPr="007D2834">
        <w:rPr>
          <w:rFonts w:ascii="Times New Roman" w:eastAsia="Times New Roman" w:hAnsi="Times New Roman" w:cs="Times New Roman"/>
          <w:bCs/>
          <w:color w:val="000000" w:themeColor="text1"/>
          <w:sz w:val="24"/>
          <w:szCs w:val="24"/>
        </w:rPr>
        <w:t>Seedling Suitability Score (SSS)</w:t>
      </w:r>
      <w:r w:rsidRPr="007D2834">
        <w:rPr>
          <w:rFonts w:ascii="Times New Roman" w:eastAsia="Times New Roman" w:hAnsi="Times New Roman" w:cs="Times New Roman"/>
          <w:color w:val="000000" w:themeColor="text1"/>
          <w:sz w:val="24"/>
          <w:szCs w:val="24"/>
        </w:rPr>
        <w:t xml:space="preserve">, and </w:t>
      </w:r>
      <w:r w:rsidRPr="007D2834">
        <w:rPr>
          <w:rFonts w:ascii="Times New Roman" w:eastAsia="Times New Roman" w:hAnsi="Times New Roman" w:cs="Times New Roman"/>
          <w:bCs/>
          <w:color w:val="000000" w:themeColor="text1"/>
          <w:sz w:val="24"/>
          <w:szCs w:val="24"/>
        </w:rPr>
        <w:t>Seedling Growth Potential Score (SGPS)</w:t>
      </w:r>
      <w:r w:rsidRPr="007D2834">
        <w:rPr>
          <w:rFonts w:ascii="Times New Roman" w:eastAsia="Times New Roman" w:hAnsi="Times New Roman" w:cs="Times New Roman"/>
          <w:color w:val="000000" w:themeColor="text1"/>
          <w:sz w:val="24"/>
          <w:szCs w:val="24"/>
        </w:rPr>
        <w:t xml:space="preserve">. These were further integrated into a composite </w:t>
      </w:r>
      <w:r w:rsidRPr="007D2834">
        <w:rPr>
          <w:rFonts w:ascii="Times New Roman" w:eastAsia="Times New Roman" w:hAnsi="Times New Roman" w:cs="Times New Roman"/>
          <w:bCs/>
          <w:color w:val="000000" w:themeColor="text1"/>
          <w:sz w:val="24"/>
          <w:szCs w:val="24"/>
        </w:rPr>
        <w:t>Coir Pith Pro-Tray Media Quality Index (CPMQI)</w:t>
      </w:r>
      <w:r w:rsidRPr="007D2834">
        <w:rPr>
          <w:rFonts w:ascii="Times New Roman" w:eastAsia="Times New Roman" w:hAnsi="Times New Roman" w:cs="Times New Roman"/>
          <w:color w:val="000000" w:themeColor="text1"/>
          <w:sz w:val="24"/>
          <w:szCs w:val="24"/>
        </w:rPr>
        <w:t xml:space="preserve"> for holistic quality assessment. The full methodological details are documented in the </w:t>
      </w:r>
      <w:r w:rsidRPr="00C83F05">
        <w:rPr>
          <w:rFonts w:ascii="Times New Roman" w:eastAsia="Times New Roman" w:hAnsi="Times New Roman" w:cs="Times New Roman"/>
          <w:color w:val="000000" w:themeColor="text1"/>
          <w:sz w:val="24"/>
          <w:szCs w:val="24"/>
        </w:rPr>
        <w:t>Coir Pith Pro-Tray Development Report (2025)</w:t>
      </w:r>
      <w:r w:rsidR="00C83F05">
        <w:rPr>
          <w:rFonts w:ascii="Times New Roman" w:eastAsia="Times New Roman" w:hAnsi="Times New Roman" w:cs="Times New Roman"/>
          <w:color w:val="000000" w:themeColor="text1"/>
          <w:sz w:val="24"/>
          <w:szCs w:val="24"/>
        </w:rPr>
        <w:t xml:space="preserve"> (</w:t>
      </w:r>
      <w:r w:rsidR="000B2F10" w:rsidRPr="000B2F10">
        <w:rPr>
          <w:rFonts w:ascii="Times New Roman" w:eastAsia="Times New Roman" w:hAnsi="Times New Roman" w:cs="Times New Roman"/>
          <w:color w:val="000000" w:themeColor="text1"/>
          <w:sz w:val="24"/>
          <w:szCs w:val="24"/>
          <w:highlight w:val="yellow"/>
        </w:rPr>
        <w:t>Dey</w:t>
      </w:r>
      <w:r w:rsidR="00C83F05" w:rsidRPr="000B2F10">
        <w:rPr>
          <w:rFonts w:ascii="Times New Roman" w:eastAsia="Times New Roman" w:hAnsi="Times New Roman" w:cs="Times New Roman"/>
          <w:color w:val="000000" w:themeColor="text1"/>
          <w:sz w:val="24"/>
          <w:szCs w:val="24"/>
          <w:highlight w:val="yellow"/>
        </w:rPr>
        <w:t xml:space="preserve"> </w:t>
      </w:r>
      <w:r w:rsidR="00C83F05" w:rsidRPr="000B2F10">
        <w:rPr>
          <w:rFonts w:ascii="Times New Roman" w:eastAsia="Times New Roman" w:hAnsi="Times New Roman" w:cs="Times New Roman"/>
          <w:i/>
          <w:color w:val="000000" w:themeColor="text1"/>
          <w:sz w:val="24"/>
          <w:szCs w:val="24"/>
          <w:highlight w:val="yellow"/>
        </w:rPr>
        <w:t>et al</w:t>
      </w:r>
      <w:r w:rsidR="00C83F05" w:rsidRPr="000B2F10">
        <w:rPr>
          <w:rFonts w:ascii="Times New Roman" w:eastAsia="Times New Roman" w:hAnsi="Times New Roman" w:cs="Times New Roman"/>
          <w:color w:val="000000" w:themeColor="text1"/>
          <w:sz w:val="24"/>
          <w:szCs w:val="24"/>
          <w:highlight w:val="yellow"/>
        </w:rPr>
        <w:t>, 2025</w:t>
      </w:r>
      <w:r w:rsidR="00C83F05">
        <w:rPr>
          <w:rFonts w:ascii="Times New Roman" w:eastAsia="Times New Roman" w:hAnsi="Times New Roman" w:cs="Times New Roman"/>
          <w:color w:val="000000" w:themeColor="text1"/>
          <w:sz w:val="24"/>
          <w:szCs w:val="24"/>
        </w:rPr>
        <w:t>)</w:t>
      </w:r>
      <w:r w:rsidRPr="007D2834">
        <w:rPr>
          <w:rFonts w:ascii="Times New Roman" w:eastAsia="Times New Roman" w:hAnsi="Times New Roman" w:cs="Times New Roman"/>
          <w:color w:val="000000" w:themeColor="text1"/>
          <w:sz w:val="24"/>
          <w:szCs w:val="24"/>
        </w:rPr>
        <w:t>.</w:t>
      </w:r>
    </w:p>
    <w:p w14:paraId="09557690" w14:textId="77777777" w:rsidR="00D84272" w:rsidRPr="00F84A10" w:rsidRDefault="00D84272" w:rsidP="00F84A10">
      <w:pPr>
        <w:spacing w:beforeLines="40" w:before="96" w:afterLines="40" w:after="96" w:line="240" w:lineRule="auto"/>
        <w:jc w:val="both"/>
        <w:outlineLvl w:val="2"/>
        <w:rPr>
          <w:rFonts w:ascii="Times New Roman" w:eastAsia="Times New Roman" w:hAnsi="Times New Roman" w:cs="Times New Roman"/>
          <w:b/>
          <w:bCs/>
          <w:color w:val="000000" w:themeColor="text1"/>
          <w:sz w:val="24"/>
          <w:szCs w:val="24"/>
        </w:rPr>
      </w:pPr>
      <w:r w:rsidRPr="00F84A10">
        <w:rPr>
          <w:rFonts w:ascii="Times New Roman" w:eastAsia="Times New Roman" w:hAnsi="Times New Roman" w:cs="Times New Roman"/>
          <w:b/>
          <w:bCs/>
          <w:color w:val="000000" w:themeColor="text1"/>
          <w:sz w:val="24"/>
          <w:szCs w:val="24"/>
        </w:rPr>
        <w:t>Physico-Chemical Score (PCS)</w:t>
      </w:r>
    </w:p>
    <w:p w14:paraId="2EB239F2" w14:textId="77777777" w:rsidR="00D84272" w:rsidRPr="00F84A10" w:rsidRDefault="00D84272" w:rsidP="00F84A10">
      <w:pPr>
        <w:spacing w:beforeLines="40" w:before="96" w:afterLines="40" w:after="96" w:line="240" w:lineRule="auto"/>
        <w:jc w:val="both"/>
        <w:rPr>
          <w:rFonts w:ascii="Times New Roman" w:eastAsia="Times New Roman" w:hAnsi="Times New Roman" w:cs="Times New Roman"/>
          <w:b/>
          <w:bCs/>
          <w:color w:val="000000" w:themeColor="text1"/>
          <w:sz w:val="24"/>
          <w:szCs w:val="24"/>
        </w:rPr>
      </w:pPr>
      <w:r w:rsidRPr="00F84A10">
        <w:rPr>
          <w:rFonts w:ascii="Times New Roman" w:hAnsi="Times New Roman" w:cs="Times New Roman"/>
          <w:color w:val="000000" w:themeColor="text1"/>
          <w:sz w:val="24"/>
          <w:szCs w:val="24"/>
        </w:rPr>
        <w:t xml:space="preserve">PCS evaluates compost maturity by integrating organic carbon (OC) degradation, lignin degradation, and the </w:t>
      </w:r>
      <w:proofErr w:type="spellStart"/>
      <w:r w:rsidRPr="00F84A10">
        <w:rPr>
          <w:rFonts w:ascii="Times New Roman" w:hAnsi="Times New Roman" w:cs="Times New Roman"/>
          <w:color w:val="000000" w:themeColor="text1"/>
          <w:sz w:val="24"/>
          <w:szCs w:val="24"/>
        </w:rPr>
        <w:t>OC:lignin</w:t>
      </w:r>
      <w:proofErr w:type="spellEnd"/>
      <w:r w:rsidRPr="00F84A10">
        <w:rPr>
          <w:rFonts w:ascii="Times New Roman" w:hAnsi="Times New Roman" w:cs="Times New Roman"/>
          <w:color w:val="000000" w:themeColor="text1"/>
          <w:sz w:val="24"/>
          <w:szCs w:val="24"/>
        </w:rPr>
        <w:t xml:space="preserve"> ratio. OC and lignin degradations were linearly scaled (higher-is-better) between 0.1–1.0, while the </w:t>
      </w:r>
      <w:proofErr w:type="spellStart"/>
      <w:r w:rsidRPr="00F84A10">
        <w:rPr>
          <w:rFonts w:ascii="Times New Roman" w:hAnsi="Times New Roman" w:cs="Times New Roman"/>
          <w:color w:val="000000" w:themeColor="text1"/>
          <w:sz w:val="24"/>
          <w:szCs w:val="24"/>
        </w:rPr>
        <w:t>OC:lignin</w:t>
      </w:r>
      <w:proofErr w:type="spellEnd"/>
      <w:r w:rsidRPr="00F84A10">
        <w:rPr>
          <w:rFonts w:ascii="Times New Roman" w:hAnsi="Times New Roman" w:cs="Times New Roman"/>
          <w:color w:val="000000" w:themeColor="text1"/>
          <w:sz w:val="24"/>
          <w:szCs w:val="24"/>
        </w:rPr>
        <w:t xml:space="preserve"> ratio was scored as lower-is-better (Velasquez et al., 2007). OC degradation reflects mineralization of cellulose, hemicellulose and soluble organics, thereby reducing nitrogen immobilization and phytotoxicity (Bernal et al., 2009), whereas partial lignin degradation improves wettability and porosity but should be limited to preserve media structure</w:t>
      </w:r>
      <w:r w:rsidR="000F2899" w:rsidRPr="00F84A10">
        <w:rPr>
          <w:rFonts w:ascii="Times New Roman" w:hAnsi="Times New Roman" w:cs="Times New Roman"/>
          <w:color w:val="000000" w:themeColor="text1"/>
          <w:sz w:val="24"/>
          <w:szCs w:val="24"/>
        </w:rPr>
        <w:t>.</w:t>
      </w:r>
      <w:r w:rsidRPr="00F84A10">
        <w:rPr>
          <w:rFonts w:ascii="Times New Roman" w:hAnsi="Times New Roman" w:cs="Times New Roman"/>
          <w:color w:val="000000" w:themeColor="text1"/>
          <w:sz w:val="24"/>
          <w:szCs w:val="24"/>
        </w:rPr>
        <w:t xml:space="preserve"> The </w:t>
      </w:r>
      <w:proofErr w:type="spellStart"/>
      <w:r w:rsidRPr="00F84A10">
        <w:rPr>
          <w:rFonts w:ascii="Times New Roman" w:hAnsi="Times New Roman" w:cs="Times New Roman"/>
          <w:color w:val="000000" w:themeColor="text1"/>
          <w:sz w:val="24"/>
          <w:szCs w:val="24"/>
        </w:rPr>
        <w:t>OC:lignin</w:t>
      </w:r>
      <w:proofErr w:type="spellEnd"/>
      <w:r w:rsidRPr="00F84A10">
        <w:rPr>
          <w:rFonts w:ascii="Times New Roman" w:hAnsi="Times New Roman" w:cs="Times New Roman"/>
          <w:color w:val="000000" w:themeColor="text1"/>
          <w:sz w:val="24"/>
          <w:szCs w:val="24"/>
        </w:rPr>
        <w:t xml:space="preserve"> ratio captures the balance between labile and recalcitrant fractions—its </w:t>
      </w:r>
      <w:r w:rsidRPr="00F84A10">
        <w:rPr>
          <w:rFonts w:ascii="Times New Roman" w:hAnsi="Times New Roman" w:cs="Times New Roman"/>
          <w:color w:val="000000" w:themeColor="text1"/>
          <w:sz w:val="24"/>
          <w:szCs w:val="24"/>
        </w:rPr>
        <w:lastRenderedPageBreak/>
        <w:t>decline signals increased maturity. Together, PCS captures both chemical and structural changes that predict microbial activity, nutrient release, and porosity relevant to seedling establishment.</w:t>
      </w:r>
    </w:p>
    <w:p w14:paraId="0665C545" w14:textId="77777777" w:rsidR="00D84272" w:rsidRPr="00F84A10" w:rsidRDefault="00D84272" w:rsidP="00F84A10">
      <w:pPr>
        <w:spacing w:beforeLines="40" w:before="96" w:afterLines="40" w:after="96" w:line="240" w:lineRule="auto"/>
        <w:jc w:val="both"/>
        <w:rPr>
          <w:rFonts w:ascii="Times New Roman" w:hAnsi="Times New Roman" w:cs="Times New Roman"/>
          <w:color w:val="000000" w:themeColor="text1"/>
          <w:sz w:val="24"/>
          <w:szCs w:val="24"/>
        </w:rPr>
      </w:pPr>
    </w:p>
    <w:p w14:paraId="094D9F11" w14:textId="77777777" w:rsidR="00D84272" w:rsidRPr="00F84A10" w:rsidRDefault="00D84272" w:rsidP="00F84A10">
      <w:pPr>
        <w:pStyle w:val="Heading3"/>
        <w:spacing w:beforeLines="40" w:before="96" w:beforeAutospacing="0" w:afterLines="40" w:after="96" w:afterAutospacing="0"/>
        <w:jc w:val="both"/>
        <w:rPr>
          <w:color w:val="000000" w:themeColor="text1"/>
          <w:sz w:val="24"/>
          <w:szCs w:val="24"/>
        </w:rPr>
      </w:pPr>
      <w:r w:rsidRPr="00F84A10">
        <w:rPr>
          <w:color w:val="000000" w:themeColor="text1"/>
          <w:sz w:val="24"/>
          <w:szCs w:val="24"/>
        </w:rPr>
        <w:t>Seedling Suitability Score (SSS</w:t>
      </w:r>
      <w:proofErr w:type="gramStart"/>
      <w:r w:rsidRPr="00F84A10">
        <w:rPr>
          <w:color w:val="000000" w:themeColor="text1"/>
          <w:sz w:val="24"/>
          <w:szCs w:val="24"/>
        </w:rPr>
        <w:t>) :</w:t>
      </w:r>
      <w:proofErr w:type="gramEnd"/>
      <w:r w:rsidRPr="00F84A10">
        <w:rPr>
          <w:color w:val="000000" w:themeColor="text1"/>
          <w:sz w:val="24"/>
          <w:szCs w:val="24"/>
        </w:rPr>
        <w:t xml:space="preserve"> </w:t>
      </w:r>
      <w:r w:rsidRPr="00F84A10">
        <w:rPr>
          <w:b w:val="0"/>
          <w:color w:val="000000" w:themeColor="text1"/>
          <w:sz w:val="24"/>
          <w:szCs w:val="24"/>
        </w:rPr>
        <w:t xml:space="preserve">SSS integrates </w:t>
      </w:r>
      <w:r w:rsidRPr="00F84A10">
        <w:rPr>
          <w:rStyle w:val="Strong"/>
          <w:b/>
          <w:color w:val="000000" w:themeColor="text1"/>
          <w:sz w:val="24"/>
          <w:szCs w:val="24"/>
        </w:rPr>
        <w:t>electrical conductivity (EC), sodium (Na</w:t>
      </w:r>
      <w:r w:rsidRPr="00F84A10">
        <w:rPr>
          <w:rStyle w:val="Strong"/>
          <w:rFonts w:ascii="Cambria Math" w:hAnsi="Cambria Math" w:cs="Cambria Math"/>
          <w:b/>
          <w:color w:val="000000" w:themeColor="text1"/>
          <w:sz w:val="24"/>
          <w:szCs w:val="24"/>
        </w:rPr>
        <w:t>⁺</w:t>
      </w:r>
      <w:r w:rsidRPr="00F84A10">
        <w:rPr>
          <w:rStyle w:val="Strong"/>
          <w:b/>
          <w:color w:val="000000" w:themeColor="text1"/>
          <w:sz w:val="24"/>
          <w:szCs w:val="24"/>
        </w:rPr>
        <w:t>), and potassium (K</w:t>
      </w:r>
      <w:r w:rsidRPr="00F84A10">
        <w:rPr>
          <w:rStyle w:val="Strong"/>
          <w:rFonts w:ascii="Cambria Math" w:hAnsi="Cambria Math" w:cs="Cambria Math"/>
          <w:b/>
          <w:color w:val="000000" w:themeColor="text1"/>
          <w:sz w:val="24"/>
          <w:szCs w:val="24"/>
        </w:rPr>
        <w:t>⁺</w:t>
      </w:r>
      <w:r w:rsidRPr="00F84A10">
        <w:rPr>
          <w:rStyle w:val="Strong"/>
          <w:b/>
          <w:color w:val="000000" w:themeColor="text1"/>
          <w:sz w:val="24"/>
          <w:szCs w:val="24"/>
        </w:rPr>
        <w:t>)</w:t>
      </w:r>
      <w:r w:rsidRPr="00F84A10">
        <w:rPr>
          <w:b w:val="0"/>
          <w:color w:val="000000" w:themeColor="text1"/>
          <w:sz w:val="24"/>
          <w:szCs w:val="24"/>
        </w:rPr>
        <w:t xml:space="preserve"> into a single index:</w:t>
      </w:r>
    </w:p>
    <w:p w14:paraId="01DC0F18" w14:textId="77777777" w:rsidR="00D84272" w:rsidRPr="00F84A10" w:rsidRDefault="00D84272" w:rsidP="00F84A10">
      <w:pPr>
        <w:pStyle w:val="NormalWeb"/>
        <w:spacing w:beforeLines="40" w:before="96" w:beforeAutospacing="0" w:afterLines="40" w:after="96" w:afterAutospacing="0"/>
        <w:jc w:val="both"/>
        <w:rPr>
          <w:color w:val="000000" w:themeColor="text1"/>
        </w:rPr>
      </w:pPr>
      <w:r w:rsidRPr="00F84A10">
        <w:rPr>
          <w:noProof/>
          <w:color w:val="000000" w:themeColor="text1"/>
        </w:rPr>
        <w:drawing>
          <wp:inline distT="0" distB="0" distL="0" distR="0" wp14:anchorId="3782281F" wp14:editId="1749ED07">
            <wp:extent cx="2866030" cy="432998"/>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66337" cy="433044"/>
                    </a:xfrm>
                    <a:prstGeom prst="rect">
                      <a:avLst/>
                    </a:prstGeom>
                  </pic:spPr>
                </pic:pic>
              </a:graphicData>
            </a:graphic>
          </wp:inline>
        </w:drawing>
      </w:r>
    </w:p>
    <w:p w14:paraId="723BBCDE" w14:textId="77777777" w:rsidR="004A156B" w:rsidRPr="00F84A10" w:rsidRDefault="00D84272" w:rsidP="00F84A10">
      <w:pPr>
        <w:pStyle w:val="NormalWeb"/>
        <w:spacing w:beforeLines="40" w:before="96" w:beforeAutospacing="0" w:afterLines="40" w:after="96" w:afterAutospacing="0"/>
        <w:jc w:val="both"/>
        <w:rPr>
          <w:color w:val="000000" w:themeColor="text1"/>
        </w:rPr>
      </w:pPr>
      <w:r w:rsidRPr="00F84A10">
        <w:rPr>
          <w:color w:val="000000" w:themeColor="text1"/>
        </w:rPr>
        <w:t xml:space="preserve">Here, 2 </w:t>
      </w:r>
      <w:proofErr w:type="spellStart"/>
      <w:r w:rsidRPr="00F84A10">
        <w:rPr>
          <w:color w:val="000000" w:themeColor="text1"/>
        </w:rPr>
        <w:t>dS</w:t>
      </w:r>
      <w:proofErr w:type="spellEnd"/>
      <w:r w:rsidRPr="00F84A10">
        <w:rPr>
          <w:color w:val="000000" w:themeColor="text1"/>
        </w:rPr>
        <w:t xml:space="preserve"> m</w:t>
      </w:r>
      <w:r w:rsidRPr="00F84A10">
        <w:rPr>
          <w:rFonts w:ascii="Cambria Math" w:hAnsi="Cambria Math" w:cs="Cambria Math"/>
          <w:color w:val="000000" w:themeColor="text1"/>
        </w:rPr>
        <w:t>⁻</w:t>
      </w:r>
      <w:r w:rsidRPr="00F84A10">
        <w:rPr>
          <w:color w:val="000000" w:themeColor="text1"/>
        </w:rPr>
        <w:t>¹ is the EC threshold for substrates (Tanji, 1991), Na</w:t>
      </w:r>
      <w:r w:rsidRPr="00F84A10">
        <w:rPr>
          <w:rFonts w:ascii="Cambria Math" w:hAnsi="Cambria Math" w:cs="Cambria Math"/>
          <w:color w:val="000000" w:themeColor="text1"/>
        </w:rPr>
        <w:t>⁺</w:t>
      </w:r>
      <w:r w:rsidRPr="00F84A10">
        <w:rPr>
          <w:color w:val="000000" w:themeColor="text1"/>
        </w:rPr>
        <w:t xml:space="preserve"> safety limit is 350 ppm and K</w:t>
      </w:r>
      <w:r w:rsidRPr="00F84A10">
        <w:rPr>
          <w:rFonts w:ascii="Cambria Math" w:hAnsi="Cambria Math" w:cs="Cambria Math"/>
          <w:color w:val="000000" w:themeColor="text1"/>
        </w:rPr>
        <w:t>⁺</w:t>
      </w:r>
      <w:r w:rsidRPr="00F84A10">
        <w:rPr>
          <w:color w:val="000000" w:themeColor="text1"/>
        </w:rPr>
        <w:t xml:space="preserve"> safety limit is 2000 </w:t>
      </w:r>
      <w:proofErr w:type="gramStart"/>
      <w:r w:rsidRPr="00F84A10">
        <w:rPr>
          <w:color w:val="000000" w:themeColor="text1"/>
        </w:rPr>
        <w:t xml:space="preserve">ppm </w:t>
      </w:r>
      <w:r w:rsidR="00246AAE" w:rsidRPr="00F84A10">
        <w:rPr>
          <w:color w:val="000000" w:themeColor="text1"/>
        </w:rPr>
        <w:t>.</w:t>
      </w:r>
      <w:proofErr w:type="gramEnd"/>
      <w:r w:rsidRPr="00F84A10">
        <w:rPr>
          <w:color w:val="000000" w:themeColor="text1"/>
        </w:rPr>
        <w:t xml:space="preserve"> The reciprocal form penalizes high sali</w:t>
      </w:r>
      <w:r w:rsidR="00E4208A" w:rsidRPr="00F84A10">
        <w:rPr>
          <w:color w:val="000000" w:themeColor="text1"/>
        </w:rPr>
        <w:t>nity or ion toxicity.</w:t>
      </w:r>
    </w:p>
    <w:p w14:paraId="78C996D8" w14:textId="77777777" w:rsidR="00D84272" w:rsidRPr="00F84A10" w:rsidRDefault="00D84272" w:rsidP="00F84A10">
      <w:pPr>
        <w:pStyle w:val="Heading3"/>
        <w:spacing w:beforeLines="40" w:before="96" w:beforeAutospacing="0" w:afterLines="40" w:after="96" w:afterAutospacing="0"/>
        <w:jc w:val="both"/>
        <w:rPr>
          <w:color w:val="000000" w:themeColor="text1"/>
          <w:sz w:val="24"/>
          <w:szCs w:val="24"/>
        </w:rPr>
      </w:pPr>
      <w:r w:rsidRPr="00F84A10">
        <w:rPr>
          <w:color w:val="000000" w:themeColor="text1"/>
          <w:sz w:val="24"/>
          <w:szCs w:val="24"/>
        </w:rPr>
        <w:t>Seedling Growth Potential Score (SGPS)</w:t>
      </w:r>
    </w:p>
    <w:p w14:paraId="68ACD986" w14:textId="77777777" w:rsidR="00D84272" w:rsidRPr="00F84A10" w:rsidRDefault="00D84272" w:rsidP="00F84A10">
      <w:pPr>
        <w:pStyle w:val="NormalWeb"/>
        <w:spacing w:beforeLines="40" w:before="96" w:beforeAutospacing="0" w:afterLines="40" w:after="96" w:afterAutospacing="0"/>
        <w:jc w:val="both"/>
        <w:rPr>
          <w:color w:val="000000" w:themeColor="text1"/>
        </w:rPr>
      </w:pPr>
      <w:r w:rsidRPr="00F84A10">
        <w:rPr>
          <w:color w:val="000000" w:themeColor="text1"/>
        </w:rPr>
        <w:t xml:space="preserve">SGPS integrates </w:t>
      </w:r>
      <w:proofErr w:type="gramStart"/>
      <w:r w:rsidR="007B7D99" w:rsidRPr="00F84A10">
        <w:rPr>
          <w:rStyle w:val="Strong"/>
          <w:color w:val="000000" w:themeColor="text1"/>
        </w:rPr>
        <w:t>Phytotoxicity ,</w:t>
      </w:r>
      <w:proofErr w:type="gramEnd"/>
      <w:r w:rsidR="007B7D99" w:rsidRPr="00F84A10">
        <w:rPr>
          <w:rStyle w:val="Strong"/>
          <w:color w:val="000000" w:themeColor="text1"/>
        </w:rPr>
        <w:t xml:space="preserve"> Germination Index</w:t>
      </w:r>
      <w:r w:rsidRPr="00F84A10">
        <w:rPr>
          <w:rStyle w:val="Strong"/>
          <w:color w:val="000000" w:themeColor="text1"/>
        </w:rPr>
        <w:t xml:space="preserve"> </w:t>
      </w:r>
      <w:r w:rsidR="007B7D99" w:rsidRPr="00F84A10">
        <w:rPr>
          <w:rStyle w:val="Strong"/>
          <w:color w:val="000000" w:themeColor="text1"/>
        </w:rPr>
        <w:t>(</w:t>
      </w:r>
      <w:r w:rsidRPr="00F84A10">
        <w:rPr>
          <w:rStyle w:val="Strong"/>
          <w:color w:val="000000" w:themeColor="text1"/>
        </w:rPr>
        <w:t>GI)</w:t>
      </w:r>
      <w:r w:rsidRPr="00F84A10">
        <w:rPr>
          <w:color w:val="000000" w:themeColor="text1"/>
        </w:rPr>
        <w:t xml:space="preserve"> and </w:t>
      </w:r>
      <w:r w:rsidR="007B7D99" w:rsidRPr="00F84A10">
        <w:rPr>
          <w:rStyle w:val="Strong"/>
          <w:color w:val="000000" w:themeColor="text1"/>
        </w:rPr>
        <w:t xml:space="preserve">Biomass Accumulation </w:t>
      </w:r>
      <w:r w:rsidRPr="00F84A10">
        <w:rPr>
          <w:rStyle w:val="Strong"/>
          <w:color w:val="000000" w:themeColor="text1"/>
        </w:rPr>
        <w:t>(seedling dry weight)</w:t>
      </w:r>
      <w:r w:rsidRPr="00F84A10">
        <w:rPr>
          <w:color w:val="000000" w:themeColor="text1"/>
        </w:rPr>
        <w:t>:</w:t>
      </w:r>
    </w:p>
    <w:p w14:paraId="4A21C9AA" w14:textId="77777777" w:rsidR="00D84272" w:rsidRPr="00F84A10" w:rsidRDefault="00D84272" w:rsidP="00F84A10">
      <w:pPr>
        <w:spacing w:beforeLines="40" w:before="96" w:afterLines="40" w:after="96" w:line="240" w:lineRule="auto"/>
        <w:jc w:val="both"/>
        <w:rPr>
          <w:rFonts w:ascii="Times New Roman" w:hAnsi="Times New Roman" w:cs="Times New Roman"/>
          <w:color w:val="000000" w:themeColor="text1"/>
          <w:sz w:val="24"/>
          <w:szCs w:val="24"/>
        </w:rPr>
      </w:pPr>
      <w:r w:rsidRPr="00F84A10">
        <w:rPr>
          <w:rFonts w:ascii="Times New Roman" w:hAnsi="Times New Roman" w:cs="Times New Roman"/>
          <w:noProof/>
          <w:color w:val="000000" w:themeColor="text1"/>
          <w:sz w:val="24"/>
          <w:szCs w:val="24"/>
        </w:rPr>
        <w:drawing>
          <wp:inline distT="0" distB="0" distL="0" distR="0" wp14:anchorId="0A16EF20" wp14:editId="2CE06057">
            <wp:extent cx="2210293" cy="34153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09671" cy="341436"/>
                    </a:xfrm>
                    <a:prstGeom prst="rect">
                      <a:avLst/>
                    </a:prstGeom>
                  </pic:spPr>
                </pic:pic>
              </a:graphicData>
            </a:graphic>
          </wp:inline>
        </w:drawing>
      </w:r>
      <w:r w:rsidRPr="00F84A10">
        <w:rPr>
          <w:rFonts w:ascii="Times New Roman" w:hAnsi="Times New Roman" w:cs="Times New Roman"/>
          <w:color w:val="000000" w:themeColor="text1"/>
          <w:sz w:val="24"/>
          <w:szCs w:val="24"/>
        </w:rPr>
        <w:t xml:space="preserve"> </w:t>
      </w:r>
    </w:p>
    <w:p w14:paraId="0D424C63" w14:textId="77777777" w:rsidR="00D84272" w:rsidRPr="00F84A10" w:rsidRDefault="00D84272" w:rsidP="00F84A10">
      <w:pPr>
        <w:pStyle w:val="NormalWeb"/>
        <w:spacing w:beforeLines="40" w:before="96" w:beforeAutospacing="0" w:afterLines="40" w:after="96" w:afterAutospacing="0"/>
        <w:jc w:val="both"/>
        <w:rPr>
          <w:color w:val="000000" w:themeColor="text1"/>
        </w:rPr>
      </w:pPr>
      <w:r w:rsidRPr="00F84A10">
        <w:rPr>
          <w:color w:val="000000" w:themeColor="text1"/>
        </w:rPr>
        <w:t>GI reflects seed germination and root elongation relative to controls, while biomass quantifies nutrient uptake and vigor. This dual approach distinguishes media that permit germination from those supporting robust growth.</w:t>
      </w:r>
    </w:p>
    <w:p w14:paraId="43792C56" w14:textId="77777777" w:rsidR="007B7D99" w:rsidRPr="00F84A10" w:rsidRDefault="007B7D99" w:rsidP="00F84A10">
      <w:pPr>
        <w:pStyle w:val="Heading3"/>
        <w:spacing w:beforeLines="40" w:before="96" w:beforeAutospacing="0" w:afterLines="40" w:after="96" w:afterAutospacing="0"/>
        <w:jc w:val="both"/>
        <w:rPr>
          <w:color w:val="000000" w:themeColor="text1"/>
          <w:sz w:val="24"/>
          <w:szCs w:val="24"/>
        </w:rPr>
      </w:pPr>
    </w:p>
    <w:p w14:paraId="1AA6A5D4" w14:textId="77777777" w:rsidR="00D84272" w:rsidRPr="00F84A10" w:rsidRDefault="00D84272" w:rsidP="00F84A10">
      <w:pPr>
        <w:pStyle w:val="Heading3"/>
        <w:spacing w:beforeLines="40" w:before="96" w:beforeAutospacing="0" w:afterLines="40" w:after="96" w:afterAutospacing="0"/>
        <w:jc w:val="both"/>
        <w:rPr>
          <w:color w:val="000000" w:themeColor="text1"/>
          <w:sz w:val="24"/>
          <w:szCs w:val="24"/>
        </w:rPr>
      </w:pPr>
      <w:r w:rsidRPr="00F84A10">
        <w:rPr>
          <w:color w:val="000000" w:themeColor="text1"/>
          <w:sz w:val="24"/>
          <w:szCs w:val="24"/>
        </w:rPr>
        <w:t>Coir Pith Pro-Tray Media Quality Index (CPMQI)</w:t>
      </w:r>
    </w:p>
    <w:p w14:paraId="06346D8B" w14:textId="77777777" w:rsidR="00D84272" w:rsidRPr="00F84A10" w:rsidRDefault="00D84272" w:rsidP="00F84A10">
      <w:pPr>
        <w:pStyle w:val="NormalWeb"/>
        <w:spacing w:beforeLines="40" w:before="96" w:beforeAutospacing="0" w:afterLines="40" w:after="96" w:afterAutospacing="0"/>
        <w:jc w:val="both"/>
        <w:rPr>
          <w:color w:val="000000" w:themeColor="text1"/>
        </w:rPr>
      </w:pPr>
      <w:r w:rsidRPr="00F84A10">
        <w:rPr>
          <w:color w:val="000000" w:themeColor="text1"/>
        </w:rPr>
        <w:t>To synthesize the above, PCS, SSS, and SGPS were normalized (0.1–1.0, higher-is-better) and averaged:</w:t>
      </w:r>
    </w:p>
    <w:p w14:paraId="245B1177" w14:textId="77777777" w:rsidR="00D84272" w:rsidRPr="00F84A10" w:rsidRDefault="00D84272" w:rsidP="00F84A10">
      <w:pPr>
        <w:spacing w:beforeLines="40" w:before="96" w:afterLines="40" w:after="96" w:line="240" w:lineRule="auto"/>
        <w:jc w:val="both"/>
        <w:rPr>
          <w:rFonts w:ascii="Times New Roman" w:hAnsi="Times New Roman" w:cs="Times New Roman"/>
          <w:color w:val="000000" w:themeColor="text1"/>
          <w:sz w:val="24"/>
          <w:szCs w:val="24"/>
        </w:rPr>
      </w:pPr>
      <w:r w:rsidRPr="00F84A10">
        <w:rPr>
          <w:rFonts w:ascii="Times New Roman" w:hAnsi="Times New Roman" w:cs="Times New Roman"/>
          <w:noProof/>
          <w:color w:val="000000" w:themeColor="text1"/>
          <w:sz w:val="24"/>
          <w:szCs w:val="24"/>
        </w:rPr>
        <w:drawing>
          <wp:inline distT="0" distB="0" distL="0" distR="0" wp14:anchorId="36DCA88C" wp14:editId="4A3ACC83">
            <wp:extent cx="2750024" cy="5026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47989" cy="502244"/>
                    </a:xfrm>
                    <a:prstGeom prst="rect">
                      <a:avLst/>
                    </a:prstGeom>
                  </pic:spPr>
                </pic:pic>
              </a:graphicData>
            </a:graphic>
          </wp:inline>
        </w:drawing>
      </w:r>
      <w:r w:rsidRPr="00F84A10">
        <w:rPr>
          <w:rStyle w:val="vlist-s"/>
          <w:rFonts w:ascii="Times New Roman" w:hAnsi="Times New Roman" w:cs="Times New Roman"/>
          <w:color w:val="000000" w:themeColor="text1"/>
          <w:sz w:val="24"/>
          <w:szCs w:val="24"/>
        </w:rPr>
        <w:t>​</w:t>
      </w:r>
      <w:r w:rsidRPr="00F84A10">
        <w:rPr>
          <w:rFonts w:ascii="Times New Roman" w:hAnsi="Times New Roman" w:cs="Times New Roman"/>
          <w:color w:val="000000" w:themeColor="text1"/>
          <w:sz w:val="24"/>
          <w:szCs w:val="24"/>
        </w:rPr>
        <w:t xml:space="preserve"> </w:t>
      </w:r>
    </w:p>
    <w:p w14:paraId="54B9BCE6" w14:textId="77777777" w:rsidR="00D84272" w:rsidRPr="00F84A10" w:rsidRDefault="00D84272" w:rsidP="00F84A10">
      <w:pPr>
        <w:pStyle w:val="NormalWeb"/>
        <w:spacing w:beforeLines="40" w:before="96" w:beforeAutospacing="0" w:afterLines="40" w:after="96" w:afterAutospacing="0"/>
        <w:jc w:val="both"/>
        <w:rPr>
          <w:color w:val="000000" w:themeColor="text1"/>
        </w:rPr>
      </w:pPr>
      <w:r w:rsidRPr="00F84A10">
        <w:rPr>
          <w:color w:val="000000" w:themeColor="text1"/>
        </w:rPr>
        <w:t>This ensures that improvement in one parameter cannot mask deficiencies in others, providing a balanced evaluation of carbon maturity, ionic safe</w:t>
      </w:r>
      <w:r w:rsidR="00503CBE" w:rsidRPr="00F84A10">
        <w:rPr>
          <w:color w:val="000000" w:themeColor="text1"/>
        </w:rPr>
        <w:t>ty, and biological performance.</w:t>
      </w:r>
    </w:p>
    <w:p w14:paraId="7490A602" w14:textId="77777777" w:rsidR="00D84272" w:rsidRPr="00F84A10" w:rsidRDefault="00D84272" w:rsidP="00F84A10">
      <w:pPr>
        <w:pStyle w:val="Heading3"/>
        <w:spacing w:beforeLines="40" w:before="96" w:beforeAutospacing="0" w:afterLines="40" w:after="96" w:afterAutospacing="0"/>
        <w:jc w:val="both"/>
        <w:rPr>
          <w:color w:val="000000" w:themeColor="text1"/>
          <w:sz w:val="24"/>
          <w:szCs w:val="24"/>
        </w:rPr>
      </w:pPr>
      <w:r w:rsidRPr="00F84A10">
        <w:rPr>
          <w:color w:val="000000" w:themeColor="text1"/>
          <w:sz w:val="24"/>
          <w:szCs w:val="24"/>
        </w:rPr>
        <w:t>Rationale</w:t>
      </w:r>
    </w:p>
    <w:p w14:paraId="6C3D8E7D" w14:textId="77777777" w:rsidR="00D84272" w:rsidRPr="00F84A10" w:rsidRDefault="00D84272" w:rsidP="00F84A10">
      <w:pPr>
        <w:pStyle w:val="NormalWeb"/>
        <w:spacing w:beforeLines="40" w:before="96" w:beforeAutospacing="0" w:afterLines="40" w:after="96" w:afterAutospacing="0"/>
        <w:jc w:val="both"/>
        <w:rPr>
          <w:color w:val="000000" w:themeColor="text1"/>
        </w:rPr>
      </w:pPr>
      <w:r w:rsidRPr="00F84A10">
        <w:rPr>
          <w:color w:val="000000" w:themeColor="text1"/>
        </w:rPr>
        <w:t xml:space="preserve">The CPMQI is based on the principle that effective seedling substrates require </w:t>
      </w:r>
      <w:r w:rsidRPr="00F84A10">
        <w:rPr>
          <w:rStyle w:val="Strong"/>
          <w:color w:val="000000" w:themeColor="text1"/>
        </w:rPr>
        <w:t>mature carbon pools, safe ionic balance, and biological support</w:t>
      </w:r>
      <w:r w:rsidRPr="00F84A10">
        <w:rPr>
          <w:color w:val="000000" w:themeColor="text1"/>
        </w:rPr>
        <w:t xml:space="preserve">. PCS quantifies labile carbon mineralization (Swift et al., 1979), SSS penalizes salinity deviations </w:t>
      </w:r>
      <w:r w:rsidR="004A156B" w:rsidRPr="00F84A10">
        <w:rPr>
          <w:color w:val="000000" w:themeColor="text1"/>
        </w:rPr>
        <w:t>(</w:t>
      </w:r>
      <w:r w:rsidRPr="00F84A10">
        <w:rPr>
          <w:color w:val="000000" w:themeColor="text1"/>
        </w:rPr>
        <w:t xml:space="preserve">Tanji, 1991), and SGPS integrates germination resilience and vigor. By equal-weighting all domains, CPMQI provides a reproducible, dimensionless tool for </w:t>
      </w:r>
      <w:r w:rsidRPr="00F84A10">
        <w:rPr>
          <w:rStyle w:val="Strong"/>
          <w:color w:val="000000" w:themeColor="text1"/>
        </w:rPr>
        <w:t>batch-to-batch quality control, process optimization, and product differentiation</w:t>
      </w:r>
      <w:r w:rsidRPr="00F84A10">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6"/>
      </w:tblGrid>
      <w:tr w:rsidR="00DF0BA2" w:rsidRPr="00DF0BA2" w14:paraId="09811DD7" w14:textId="77777777" w:rsidTr="00F84A10">
        <w:trPr>
          <w:trHeight w:val="3491"/>
        </w:trPr>
        <w:tc>
          <w:tcPr>
            <w:tcW w:w="9666" w:type="dxa"/>
          </w:tcPr>
          <w:p w14:paraId="109043AE" w14:textId="77777777" w:rsidR="00971FE3" w:rsidRPr="00DF0BA2" w:rsidRDefault="00971FE3" w:rsidP="00C44944">
            <w:pPr>
              <w:spacing w:beforeLines="40" w:before="96" w:afterLines="40" w:after="96"/>
              <w:jc w:val="both"/>
              <w:rPr>
                <w:rStyle w:val="Strong"/>
                <w:rFonts w:ascii="Times New Roman" w:hAnsi="Times New Roman" w:cs="Times New Roman"/>
                <w:color w:val="000000" w:themeColor="text1"/>
                <w:sz w:val="24"/>
                <w:szCs w:val="24"/>
              </w:rPr>
            </w:pPr>
            <w:r w:rsidRPr="00DF0BA2">
              <w:rPr>
                <w:noProof/>
                <w:color w:val="000000" w:themeColor="text1"/>
              </w:rPr>
              <w:lastRenderedPageBreak/>
              <w:drawing>
                <wp:inline distT="0" distB="0" distL="0" distR="0" wp14:anchorId="4CC4ACA2" wp14:editId="301FA409">
                  <wp:extent cx="5943600" cy="3090930"/>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90930"/>
                          </a:xfrm>
                          <a:prstGeom prst="rect">
                            <a:avLst/>
                          </a:prstGeom>
                          <a:noFill/>
                          <a:ln>
                            <a:noFill/>
                          </a:ln>
                          <a:effectLst/>
                        </pic:spPr>
                      </pic:pic>
                    </a:graphicData>
                  </a:graphic>
                </wp:inline>
              </w:drawing>
            </w:r>
          </w:p>
        </w:tc>
      </w:tr>
      <w:tr w:rsidR="00DF0BA2" w:rsidRPr="00DF0BA2" w14:paraId="11FC9FD9" w14:textId="77777777" w:rsidTr="00F84A10">
        <w:tc>
          <w:tcPr>
            <w:tcW w:w="9666" w:type="dxa"/>
          </w:tcPr>
          <w:p w14:paraId="39627A5A" w14:textId="77777777" w:rsidR="00971FE3" w:rsidRPr="00DF0BA2" w:rsidRDefault="009E162F" w:rsidP="00F84A10">
            <w:pPr>
              <w:jc w:val="both"/>
              <w:rPr>
                <w:rStyle w:val="Strong"/>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Pic 1 : </w:t>
            </w:r>
            <w:r w:rsidR="00971FE3" w:rsidRPr="00DF0BA2">
              <w:rPr>
                <w:rFonts w:ascii="Times New Roman" w:hAnsi="Times New Roman" w:cs="Times New Roman"/>
                <w:b/>
                <w:bCs/>
                <w:color w:val="000000" w:themeColor="text1"/>
                <w:sz w:val="24"/>
                <w:szCs w:val="24"/>
              </w:rPr>
              <w:t xml:space="preserve">Development of </w:t>
            </w:r>
            <w:proofErr w:type="spellStart"/>
            <w:r w:rsidR="00971FE3" w:rsidRPr="00DF0BA2">
              <w:rPr>
                <w:rFonts w:ascii="Times New Roman" w:hAnsi="Times New Roman" w:cs="Times New Roman"/>
                <w:b/>
                <w:bCs/>
                <w:color w:val="000000" w:themeColor="text1"/>
                <w:sz w:val="24"/>
                <w:szCs w:val="24"/>
              </w:rPr>
              <w:t>Novcom</w:t>
            </w:r>
            <w:proofErr w:type="spellEnd"/>
            <w:r w:rsidR="00971FE3" w:rsidRPr="00DF0BA2">
              <w:rPr>
                <w:rFonts w:ascii="Times New Roman" w:hAnsi="Times New Roman" w:cs="Times New Roman"/>
                <w:b/>
                <w:bCs/>
                <w:color w:val="000000" w:themeColor="text1"/>
                <w:sz w:val="24"/>
                <w:szCs w:val="24"/>
              </w:rPr>
              <w:t xml:space="preserve"> </w:t>
            </w:r>
            <w:proofErr w:type="spellStart"/>
            <w:r w:rsidR="00971FE3" w:rsidRPr="00DF0BA2">
              <w:rPr>
                <w:rFonts w:ascii="Times New Roman" w:hAnsi="Times New Roman" w:cs="Times New Roman"/>
                <w:b/>
                <w:bCs/>
                <w:color w:val="000000" w:themeColor="text1"/>
                <w:sz w:val="24"/>
                <w:szCs w:val="24"/>
              </w:rPr>
              <w:t>Coirpith</w:t>
            </w:r>
            <w:proofErr w:type="spellEnd"/>
            <w:r w:rsidR="00971FE3" w:rsidRPr="00DF0BA2">
              <w:rPr>
                <w:rFonts w:ascii="Times New Roman" w:hAnsi="Times New Roman" w:cs="Times New Roman"/>
                <w:b/>
                <w:bCs/>
                <w:color w:val="000000" w:themeColor="text1"/>
                <w:sz w:val="24"/>
                <w:szCs w:val="24"/>
              </w:rPr>
              <w:t xml:space="preserve"> Pro tray media at </w:t>
            </w:r>
            <w:proofErr w:type="spellStart"/>
            <w:r w:rsidR="00971FE3" w:rsidRPr="00DF0BA2">
              <w:rPr>
                <w:rFonts w:ascii="Times New Roman" w:hAnsi="Times New Roman" w:cs="Times New Roman"/>
                <w:b/>
                <w:bCs/>
                <w:color w:val="000000" w:themeColor="text1"/>
                <w:sz w:val="24"/>
                <w:szCs w:val="24"/>
              </w:rPr>
              <w:t>Ramnagar</w:t>
            </w:r>
            <w:proofErr w:type="spellEnd"/>
            <w:r w:rsidR="00971FE3" w:rsidRPr="00DF0BA2">
              <w:rPr>
                <w:rFonts w:ascii="Times New Roman" w:hAnsi="Times New Roman" w:cs="Times New Roman"/>
                <w:b/>
                <w:bCs/>
                <w:color w:val="000000" w:themeColor="text1"/>
                <w:sz w:val="24"/>
                <w:szCs w:val="24"/>
              </w:rPr>
              <w:t>, Karnataka</w:t>
            </w:r>
          </w:p>
        </w:tc>
      </w:tr>
    </w:tbl>
    <w:p w14:paraId="238CF072" w14:textId="77777777" w:rsidR="00D84272" w:rsidRPr="00DF0BA2" w:rsidRDefault="00D84272" w:rsidP="00F84A10">
      <w:pPr>
        <w:spacing w:after="0" w:line="240" w:lineRule="auto"/>
        <w:jc w:val="both"/>
        <w:rPr>
          <w:rStyle w:val="Strong"/>
          <w:rFonts w:ascii="Times New Roman" w:eastAsia="Times New Roman" w:hAnsi="Times New Roman" w:cs="Times New Roman"/>
          <w:color w:val="000000" w:themeColor="text1"/>
          <w:sz w:val="24"/>
          <w:szCs w:val="24"/>
        </w:rPr>
      </w:pPr>
      <w:r w:rsidRPr="00DF0BA2">
        <w:rPr>
          <w:rStyle w:val="Strong"/>
          <w:rFonts w:ascii="Times New Roman" w:hAnsi="Times New Roman" w:cs="Times New Roman"/>
          <w:color w:val="000000" w:themeColor="text1"/>
          <w:sz w:val="24"/>
          <w:szCs w:val="24"/>
        </w:rPr>
        <w:br w:type="page"/>
      </w:r>
    </w:p>
    <w:p w14:paraId="70F10A1F" w14:textId="58C459F5" w:rsidR="00D84272" w:rsidRPr="00DF0BA2" w:rsidRDefault="0012677F" w:rsidP="00C44944">
      <w:pPr>
        <w:spacing w:beforeLines="40" w:before="96" w:afterLines="40" w:after="96"/>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Chart</w:t>
      </w:r>
      <w:r w:rsidR="00907EB2">
        <w:rPr>
          <w:rFonts w:ascii="Times New Roman" w:eastAsia="Times New Roman" w:hAnsi="Times New Roman" w:cs="Times New Roman"/>
          <w:b/>
          <w:bCs/>
          <w:color w:val="000000" w:themeColor="text1"/>
          <w:sz w:val="24"/>
          <w:szCs w:val="24"/>
        </w:rPr>
        <w:t xml:space="preserve"> 1: </w:t>
      </w:r>
      <w:r w:rsidR="00D84272" w:rsidRPr="00DF0BA2">
        <w:rPr>
          <w:rFonts w:ascii="Times New Roman" w:eastAsia="Times New Roman" w:hAnsi="Times New Roman" w:cs="Times New Roman"/>
          <w:b/>
          <w:bCs/>
          <w:color w:val="000000" w:themeColor="text1"/>
          <w:sz w:val="24"/>
          <w:szCs w:val="24"/>
        </w:rPr>
        <w:t>Classification of Quality Indices</w:t>
      </w:r>
    </w:p>
    <w:tbl>
      <w:tblPr>
        <w:tblStyle w:val="TableGrid"/>
        <w:tblW w:w="99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4"/>
        <w:gridCol w:w="1296"/>
        <w:gridCol w:w="2498"/>
        <w:gridCol w:w="236"/>
        <w:gridCol w:w="97"/>
        <w:gridCol w:w="1233"/>
        <w:gridCol w:w="954"/>
        <w:gridCol w:w="342"/>
        <w:gridCol w:w="1901"/>
        <w:gridCol w:w="97"/>
      </w:tblGrid>
      <w:tr w:rsidR="00DF0BA2" w:rsidRPr="00DF0BA2" w14:paraId="2C34BBB5" w14:textId="77777777" w:rsidTr="000323A5">
        <w:tc>
          <w:tcPr>
            <w:tcW w:w="5058" w:type="dxa"/>
            <w:gridSpan w:val="3"/>
            <w:tcBorders>
              <w:top w:val="single" w:sz="4" w:space="0" w:color="auto"/>
              <w:bottom w:val="single" w:sz="4" w:space="0" w:color="auto"/>
            </w:tcBorders>
          </w:tcPr>
          <w:p w14:paraId="6A1E36C1" w14:textId="77777777" w:rsidR="00D84272" w:rsidRPr="00DF0BA2" w:rsidRDefault="00D84272" w:rsidP="00C44944">
            <w:pPr>
              <w:spacing w:beforeLines="40" w:before="96" w:afterLines="40" w:after="96" w:line="276" w:lineRule="auto"/>
              <w:jc w:val="both"/>
              <w:outlineLvl w:val="2"/>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Classification of Physico-Chemical Score (PCS)</w:t>
            </w:r>
          </w:p>
        </w:tc>
        <w:tc>
          <w:tcPr>
            <w:tcW w:w="333" w:type="dxa"/>
            <w:gridSpan w:val="2"/>
            <w:tcBorders>
              <w:top w:val="single" w:sz="4" w:space="0" w:color="auto"/>
              <w:bottom w:val="single" w:sz="4" w:space="0" w:color="auto"/>
            </w:tcBorders>
          </w:tcPr>
          <w:p w14:paraId="24276EBE"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4527" w:type="dxa"/>
            <w:gridSpan w:val="5"/>
            <w:tcBorders>
              <w:top w:val="single" w:sz="4" w:space="0" w:color="auto"/>
              <w:bottom w:val="single" w:sz="4" w:space="0" w:color="auto"/>
            </w:tcBorders>
          </w:tcPr>
          <w:p w14:paraId="17D046B1"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hAnsi="Times New Roman" w:cs="Times New Roman"/>
                <w:b/>
                <w:color w:val="000000" w:themeColor="text1"/>
                <w:sz w:val="20"/>
                <w:szCs w:val="24"/>
              </w:rPr>
              <w:t xml:space="preserve">Seedling Suitability Score (SSS) </w:t>
            </w:r>
          </w:p>
        </w:tc>
      </w:tr>
      <w:tr w:rsidR="00DF0BA2" w:rsidRPr="00DF0BA2" w14:paraId="2ED439B5" w14:textId="77777777" w:rsidTr="000323A5">
        <w:tc>
          <w:tcPr>
            <w:tcW w:w="1264" w:type="dxa"/>
            <w:tcBorders>
              <w:top w:val="single" w:sz="4" w:space="0" w:color="auto"/>
            </w:tcBorders>
          </w:tcPr>
          <w:p w14:paraId="7E11EC90"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PCS Range </w:t>
            </w:r>
          </w:p>
        </w:tc>
        <w:tc>
          <w:tcPr>
            <w:tcW w:w="1296" w:type="dxa"/>
            <w:tcBorders>
              <w:top w:val="single" w:sz="4" w:space="0" w:color="auto"/>
            </w:tcBorders>
          </w:tcPr>
          <w:p w14:paraId="10AD3A0A"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Class</w:t>
            </w:r>
          </w:p>
        </w:tc>
        <w:tc>
          <w:tcPr>
            <w:tcW w:w="2498" w:type="dxa"/>
            <w:tcBorders>
              <w:top w:val="single" w:sz="4" w:space="0" w:color="auto"/>
              <w:bottom w:val="nil"/>
              <w:right w:val="single" w:sz="4" w:space="0" w:color="auto"/>
            </w:tcBorders>
          </w:tcPr>
          <w:p w14:paraId="6098507F"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Interpretation</w:t>
            </w:r>
          </w:p>
        </w:tc>
        <w:tc>
          <w:tcPr>
            <w:tcW w:w="333" w:type="dxa"/>
            <w:gridSpan w:val="2"/>
            <w:tcBorders>
              <w:top w:val="single" w:sz="4" w:space="0" w:color="auto"/>
              <w:left w:val="single" w:sz="4" w:space="0" w:color="auto"/>
            </w:tcBorders>
          </w:tcPr>
          <w:p w14:paraId="4E550130"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tcBorders>
              <w:top w:val="single" w:sz="4" w:space="0" w:color="auto"/>
            </w:tcBorders>
          </w:tcPr>
          <w:p w14:paraId="2E1B5B3E"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SSS Range</w:t>
            </w:r>
          </w:p>
        </w:tc>
        <w:tc>
          <w:tcPr>
            <w:tcW w:w="1296" w:type="dxa"/>
            <w:gridSpan w:val="2"/>
            <w:tcBorders>
              <w:top w:val="single" w:sz="4" w:space="0" w:color="auto"/>
            </w:tcBorders>
          </w:tcPr>
          <w:p w14:paraId="6A8813F7"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Class</w:t>
            </w:r>
          </w:p>
        </w:tc>
        <w:tc>
          <w:tcPr>
            <w:tcW w:w="1998" w:type="dxa"/>
            <w:gridSpan w:val="2"/>
            <w:tcBorders>
              <w:top w:val="single" w:sz="4" w:space="0" w:color="auto"/>
            </w:tcBorders>
          </w:tcPr>
          <w:p w14:paraId="0172DEA6"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Interpretation</w:t>
            </w:r>
          </w:p>
        </w:tc>
      </w:tr>
      <w:tr w:rsidR="00DF0BA2" w:rsidRPr="00DF0BA2" w14:paraId="78B098CC" w14:textId="77777777" w:rsidTr="000323A5">
        <w:tc>
          <w:tcPr>
            <w:tcW w:w="1264" w:type="dxa"/>
            <w:vAlign w:val="center"/>
          </w:tcPr>
          <w:p w14:paraId="1EB69F76" w14:textId="77777777" w:rsidR="00D84272" w:rsidRPr="00DF0BA2" w:rsidRDefault="00D84272" w:rsidP="00C44944">
            <w:pPr>
              <w:spacing w:beforeLines="40" w:before="96" w:afterLines="40" w:after="96" w:line="276" w:lineRule="auto"/>
              <w:ind w:right="-103"/>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&lt;0.25</w:t>
            </w:r>
          </w:p>
        </w:tc>
        <w:tc>
          <w:tcPr>
            <w:tcW w:w="1296" w:type="dxa"/>
            <w:vAlign w:val="center"/>
          </w:tcPr>
          <w:p w14:paraId="5F103484"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Poor</w:t>
            </w:r>
          </w:p>
        </w:tc>
        <w:tc>
          <w:tcPr>
            <w:tcW w:w="2498" w:type="dxa"/>
            <w:tcBorders>
              <w:top w:val="nil"/>
              <w:bottom w:val="nil"/>
              <w:right w:val="single" w:sz="4" w:space="0" w:color="auto"/>
            </w:tcBorders>
            <w:vAlign w:val="center"/>
          </w:tcPr>
          <w:p w14:paraId="0BBB8875"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Immature, unstable, high risk of phytotoxicity.</w:t>
            </w:r>
          </w:p>
        </w:tc>
        <w:tc>
          <w:tcPr>
            <w:tcW w:w="333" w:type="dxa"/>
            <w:gridSpan w:val="2"/>
            <w:tcBorders>
              <w:left w:val="single" w:sz="4" w:space="0" w:color="auto"/>
            </w:tcBorders>
          </w:tcPr>
          <w:p w14:paraId="346E99DE"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12119751"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&lt;5.0</w:t>
            </w:r>
          </w:p>
        </w:tc>
        <w:tc>
          <w:tcPr>
            <w:tcW w:w="1296" w:type="dxa"/>
            <w:gridSpan w:val="2"/>
            <w:vAlign w:val="center"/>
          </w:tcPr>
          <w:p w14:paraId="47E6C4B5"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Poor</w:t>
            </w:r>
          </w:p>
        </w:tc>
        <w:tc>
          <w:tcPr>
            <w:tcW w:w="1998" w:type="dxa"/>
            <w:gridSpan w:val="2"/>
            <w:vAlign w:val="center"/>
          </w:tcPr>
          <w:p w14:paraId="7B153C20"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Osmotic stress/ion toxicity; unsuitable.</w:t>
            </w:r>
          </w:p>
        </w:tc>
      </w:tr>
      <w:tr w:rsidR="00DF0BA2" w:rsidRPr="00DF0BA2" w14:paraId="0EFA1AE4" w14:textId="77777777" w:rsidTr="000323A5">
        <w:tc>
          <w:tcPr>
            <w:tcW w:w="1264" w:type="dxa"/>
            <w:vAlign w:val="center"/>
          </w:tcPr>
          <w:p w14:paraId="29E2D002" w14:textId="77777777" w:rsidR="00D84272" w:rsidRPr="00DF0BA2" w:rsidRDefault="00D84272" w:rsidP="00C44944">
            <w:pPr>
              <w:spacing w:beforeLines="40" w:before="96" w:afterLines="40" w:after="96" w:line="276" w:lineRule="auto"/>
              <w:ind w:right="-103"/>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0.25–&lt;0.50</w:t>
            </w:r>
          </w:p>
        </w:tc>
        <w:tc>
          <w:tcPr>
            <w:tcW w:w="1296" w:type="dxa"/>
            <w:vAlign w:val="center"/>
          </w:tcPr>
          <w:p w14:paraId="7D52A6FA"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Acceptable</w:t>
            </w:r>
          </w:p>
        </w:tc>
        <w:tc>
          <w:tcPr>
            <w:tcW w:w="2498" w:type="dxa"/>
            <w:tcBorders>
              <w:top w:val="nil"/>
              <w:bottom w:val="nil"/>
              <w:right w:val="single" w:sz="4" w:space="0" w:color="auto"/>
            </w:tcBorders>
            <w:vAlign w:val="center"/>
          </w:tcPr>
          <w:p w14:paraId="66DCC53F"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Partially matured; further conditioning needed.</w:t>
            </w:r>
          </w:p>
        </w:tc>
        <w:tc>
          <w:tcPr>
            <w:tcW w:w="333" w:type="dxa"/>
            <w:gridSpan w:val="2"/>
            <w:tcBorders>
              <w:left w:val="single" w:sz="4" w:space="0" w:color="auto"/>
            </w:tcBorders>
          </w:tcPr>
          <w:p w14:paraId="3E87E89D"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7EF3A9FF"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5.0–7.5</w:t>
            </w:r>
          </w:p>
        </w:tc>
        <w:tc>
          <w:tcPr>
            <w:tcW w:w="1296" w:type="dxa"/>
            <w:gridSpan w:val="2"/>
            <w:vAlign w:val="center"/>
          </w:tcPr>
          <w:p w14:paraId="64CD891B"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Acceptable</w:t>
            </w:r>
          </w:p>
        </w:tc>
        <w:tc>
          <w:tcPr>
            <w:tcW w:w="1998" w:type="dxa"/>
            <w:gridSpan w:val="2"/>
            <w:vAlign w:val="center"/>
          </w:tcPr>
          <w:p w14:paraId="3C11B92F"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Marginal quality; usable with amendments.</w:t>
            </w:r>
          </w:p>
        </w:tc>
      </w:tr>
      <w:tr w:rsidR="00DF0BA2" w:rsidRPr="00DF0BA2" w14:paraId="628A95D9" w14:textId="77777777" w:rsidTr="000323A5">
        <w:tc>
          <w:tcPr>
            <w:tcW w:w="1264" w:type="dxa"/>
            <w:vAlign w:val="center"/>
          </w:tcPr>
          <w:p w14:paraId="2BE65600" w14:textId="77777777" w:rsidR="00D84272" w:rsidRPr="00DF0BA2" w:rsidRDefault="00D84272" w:rsidP="00C44944">
            <w:pPr>
              <w:spacing w:beforeLines="40" w:before="96" w:afterLines="40" w:after="96" w:line="276" w:lineRule="auto"/>
              <w:ind w:right="-103"/>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0.50–&lt;0.75</w:t>
            </w:r>
          </w:p>
        </w:tc>
        <w:tc>
          <w:tcPr>
            <w:tcW w:w="1296" w:type="dxa"/>
            <w:vAlign w:val="center"/>
          </w:tcPr>
          <w:p w14:paraId="3E7E082E"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Good</w:t>
            </w:r>
          </w:p>
        </w:tc>
        <w:tc>
          <w:tcPr>
            <w:tcW w:w="2498" w:type="dxa"/>
            <w:tcBorders>
              <w:top w:val="nil"/>
              <w:bottom w:val="nil"/>
              <w:right w:val="single" w:sz="4" w:space="0" w:color="auto"/>
            </w:tcBorders>
            <w:vAlign w:val="center"/>
          </w:tcPr>
          <w:p w14:paraId="040C9FCF"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Mature, stable, generally suitable.</w:t>
            </w:r>
          </w:p>
        </w:tc>
        <w:tc>
          <w:tcPr>
            <w:tcW w:w="333" w:type="dxa"/>
            <w:gridSpan w:val="2"/>
            <w:tcBorders>
              <w:left w:val="single" w:sz="4" w:space="0" w:color="auto"/>
            </w:tcBorders>
          </w:tcPr>
          <w:p w14:paraId="735B8C88"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1A2B306C"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7.5–15.0</w:t>
            </w:r>
          </w:p>
        </w:tc>
        <w:tc>
          <w:tcPr>
            <w:tcW w:w="1296" w:type="dxa"/>
            <w:gridSpan w:val="2"/>
            <w:vAlign w:val="center"/>
          </w:tcPr>
          <w:p w14:paraId="05ED722F"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Good</w:t>
            </w:r>
          </w:p>
        </w:tc>
        <w:tc>
          <w:tcPr>
            <w:tcW w:w="1998" w:type="dxa"/>
            <w:gridSpan w:val="2"/>
            <w:vAlign w:val="center"/>
          </w:tcPr>
          <w:p w14:paraId="01422B7A"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Safe EC/ion levels; suitable for most seedlings.</w:t>
            </w:r>
          </w:p>
        </w:tc>
      </w:tr>
      <w:tr w:rsidR="00DF0BA2" w:rsidRPr="00DF0BA2" w14:paraId="2631D7B3" w14:textId="77777777" w:rsidTr="000323A5">
        <w:trPr>
          <w:trHeight w:val="729"/>
        </w:trPr>
        <w:tc>
          <w:tcPr>
            <w:tcW w:w="1264" w:type="dxa"/>
            <w:vAlign w:val="center"/>
          </w:tcPr>
          <w:p w14:paraId="79A39E51" w14:textId="77777777" w:rsidR="00D84272" w:rsidRPr="00DF0BA2" w:rsidRDefault="00D84272" w:rsidP="00C44944">
            <w:pPr>
              <w:spacing w:beforeLines="40" w:before="96" w:afterLines="40" w:after="96" w:line="276" w:lineRule="auto"/>
              <w:ind w:right="-103"/>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≥0.75</w:t>
            </w:r>
          </w:p>
        </w:tc>
        <w:tc>
          <w:tcPr>
            <w:tcW w:w="1296" w:type="dxa"/>
            <w:vAlign w:val="center"/>
          </w:tcPr>
          <w:p w14:paraId="14FD71BB"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Very Good</w:t>
            </w:r>
          </w:p>
        </w:tc>
        <w:tc>
          <w:tcPr>
            <w:tcW w:w="2498" w:type="dxa"/>
            <w:tcBorders>
              <w:top w:val="nil"/>
              <w:bottom w:val="nil"/>
              <w:right w:val="single" w:sz="4" w:space="0" w:color="auto"/>
            </w:tcBorders>
            <w:vAlign w:val="center"/>
          </w:tcPr>
          <w:p w14:paraId="5A00C06A"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Highly matured, structurally balanced; optimal for trays.</w:t>
            </w:r>
          </w:p>
        </w:tc>
        <w:tc>
          <w:tcPr>
            <w:tcW w:w="333" w:type="dxa"/>
            <w:gridSpan w:val="2"/>
            <w:tcBorders>
              <w:left w:val="single" w:sz="4" w:space="0" w:color="auto"/>
            </w:tcBorders>
          </w:tcPr>
          <w:p w14:paraId="69E28629"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3241C310"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&gt;15.0</w:t>
            </w:r>
          </w:p>
        </w:tc>
        <w:tc>
          <w:tcPr>
            <w:tcW w:w="1296" w:type="dxa"/>
            <w:gridSpan w:val="2"/>
            <w:vAlign w:val="center"/>
          </w:tcPr>
          <w:p w14:paraId="1FE5136F"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Very Good</w:t>
            </w:r>
          </w:p>
        </w:tc>
        <w:tc>
          <w:tcPr>
            <w:tcW w:w="1998" w:type="dxa"/>
            <w:gridSpan w:val="2"/>
            <w:vAlign w:val="center"/>
          </w:tcPr>
          <w:p w14:paraId="32273BE7"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Optimal ionic balance; highly suitable for trays.</w:t>
            </w:r>
          </w:p>
        </w:tc>
      </w:tr>
      <w:tr w:rsidR="00DF0BA2" w:rsidRPr="00DF0BA2" w14:paraId="17E0A7EA" w14:textId="77777777" w:rsidTr="00F84A10">
        <w:trPr>
          <w:gridAfter w:val="1"/>
          <w:wAfter w:w="97" w:type="dxa"/>
          <w:trHeight w:val="458"/>
        </w:trPr>
        <w:tc>
          <w:tcPr>
            <w:tcW w:w="5058" w:type="dxa"/>
            <w:gridSpan w:val="3"/>
            <w:tcBorders>
              <w:top w:val="single" w:sz="4" w:space="0" w:color="auto"/>
              <w:bottom w:val="single" w:sz="4" w:space="0" w:color="auto"/>
              <w:right w:val="single" w:sz="4" w:space="0" w:color="auto"/>
            </w:tcBorders>
          </w:tcPr>
          <w:p w14:paraId="612CAC24" w14:textId="77777777" w:rsidR="00D84272" w:rsidRPr="00DF0BA2" w:rsidRDefault="00D84272" w:rsidP="00C44944">
            <w:pPr>
              <w:pStyle w:val="Heading3"/>
              <w:spacing w:beforeLines="40" w:before="96" w:beforeAutospacing="0" w:afterLines="40" w:after="96" w:afterAutospacing="0" w:line="276" w:lineRule="auto"/>
              <w:jc w:val="both"/>
              <w:rPr>
                <w:color w:val="000000" w:themeColor="text1"/>
                <w:sz w:val="20"/>
                <w:szCs w:val="24"/>
              </w:rPr>
            </w:pPr>
            <w:r w:rsidRPr="00DF0BA2">
              <w:rPr>
                <w:color w:val="000000" w:themeColor="text1"/>
                <w:sz w:val="20"/>
                <w:szCs w:val="24"/>
              </w:rPr>
              <w:t>Seedling Growth Potential Score (SGPS)</w:t>
            </w:r>
          </w:p>
        </w:tc>
        <w:tc>
          <w:tcPr>
            <w:tcW w:w="236" w:type="dxa"/>
            <w:tcBorders>
              <w:top w:val="single" w:sz="4" w:space="0" w:color="auto"/>
              <w:left w:val="single" w:sz="4" w:space="0" w:color="auto"/>
              <w:bottom w:val="single" w:sz="4" w:space="0" w:color="auto"/>
            </w:tcBorders>
            <w:vAlign w:val="center"/>
          </w:tcPr>
          <w:p w14:paraId="09D4D12D" w14:textId="77777777" w:rsidR="00D84272" w:rsidRPr="00DF0BA2" w:rsidRDefault="00D84272" w:rsidP="00F725BD">
            <w:pPr>
              <w:spacing w:beforeLines="40" w:before="96" w:afterLines="40" w:after="96" w:line="276" w:lineRule="auto"/>
              <w:rPr>
                <w:rFonts w:ascii="Times New Roman" w:eastAsia="Times New Roman" w:hAnsi="Times New Roman" w:cs="Times New Roman"/>
                <w:b/>
                <w:bCs/>
                <w:color w:val="000000" w:themeColor="text1"/>
                <w:sz w:val="20"/>
                <w:szCs w:val="24"/>
              </w:rPr>
            </w:pPr>
          </w:p>
        </w:tc>
        <w:tc>
          <w:tcPr>
            <w:tcW w:w="4527" w:type="dxa"/>
            <w:gridSpan w:val="5"/>
            <w:tcBorders>
              <w:top w:val="single" w:sz="4" w:space="0" w:color="auto"/>
              <w:bottom w:val="single" w:sz="4" w:space="0" w:color="auto"/>
            </w:tcBorders>
            <w:vAlign w:val="center"/>
          </w:tcPr>
          <w:p w14:paraId="446954A2" w14:textId="77777777" w:rsidR="00D84272" w:rsidRPr="00DF0BA2" w:rsidRDefault="00D84272" w:rsidP="00F725BD">
            <w:pPr>
              <w:pStyle w:val="Heading3"/>
              <w:spacing w:beforeLines="40" w:before="96" w:beforeAutospacing="0" w:afterLines="40" w:after="96" w:afterAutospacing="0" w:line="276" w:lineRule="auto"/>
              <w:ind w:left="-18" w:firstLine="18"/>
              <w:rPr>
                <w:color w:val="000000" w:themeColor="text1"/>
                <w:sz w:val="20"/>
                <w:szCs w:val="24"/>
              </w:rPr>
            </w:pPr>
            <w:r w:rsidRPr="00DF0BA2">
              <w:rPr>
                <w:color w:val="000000" w:themeColor="text1"/>
                <w:sz w:val="20"/>
                <w:szCs w:val="24"/>
              </w:rPr>
              <w:t>Coir Pi</w:t>
            </w:r>
            <w:r w:rsidR="00F725BD" w:rsidRPr="00DF0BA2">
              <w:rPr>
                <w:color w:val="000000" w:themeColor="text1"/>
                <w:sz w:val="20"/>
                <w:szCs w:val="24"/>
              </w:rPr>
              <w:t xml:space="preserve">th Pro-Tray Media Quality </w:t>
            </w:r>
            <w:proofErr w:type="gramStart"/>
            <w:r w:rsidR="00F725BD" w:rsidRPr="00DF0BA2">
              <w:rPr>
                <w:color w:val="000000" w:themeColor="text1"/>
                <w:sz w:val="20"/>
                <w:szCs w:val="24"/>
              </w:rPr>
              <w:t>Index</w:t>
            </w:r>
            <w:r w:rsidRPr="00DF0BA2">
              <w:rPr>
                <w:color w:val="000000" w:themeColor="text1"/>
                <w:sz w:val="20"/>
                <w:szCs w:val="24"/>
              </w:rPr>
              <w:t>(</w:t>
            </w:r>
            <w:proofErr w:type="gramEnd"/>
            <w:r w:rsidRPr="00DF0BA2">
              <w:rPr>
                <w:color w:val="000000" w:themeColor="text1"/>
                <w:sz w:val="20"/>
                <w:szCs w:val="24"/>
              </w:rPr>
              <w:t>CPMQI)</w:t>
            </w:r>
          </w:p>
        </w:tc>
      </w:tr>
      <w:tr w:rsidR="00DF0BA2" w:rsidRPr="00DF0BA2" w14:paraId="456B490C" w14:textId="77777777" w:rsidTr="00F84A10">
        <w:tc>
          <w:tcPr>
            <w:tcW w:w="1264" w:type="dxa"/>
            <w:tcBorders>
              <w:top w:val="single" w:sz="4" w:space="0" w:color="auto"/>
            </w:tcBorders>
            <w:vAlign w:val="center"/>
          </w:tcPr>
          <w:p w14:paraId="2096866A" w14:textId="77777777" w:rsidR="00D84272" w:rsidRPr="00DF0BA2" w:rsidRDefault="00D84272" w:rsidP="00C44944">
            <w:pPr>
              <w:spacing w:beforeLines="40" w:before="96" w:afterLines="40" w:after="96" w:line="276" w:lineRule="auto"/>
              <w:jc w:val="both"/>
              <w:rPr>
                <w:rFonts w:ascii="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SGPS Range</w:t>
            </w:r>
          </w:p>
        </w:tc>
        <w:tc>
          <w:tcPr>
            <w:tcW w:w="1296" w:type="dxa"/>
            <w:tcBorders>
              <w:top w:val="single" w:sz="4" w:space="0" w:color="auto"/>
            </w:tcBorders>
            <w:vAlign w:val="center"/>
          </w:tcPr>
          <w:p w14:paraId="49AF5225" w14:textId="77777777" w:rsidR="00D84272" w:rsidRPr="00DF0BA2" w:rsidRDefault="00D84272" w:rsidP="00C44944">
            <w:pPr>
              <w:spacing w:beforeLines="40" w:before="96" w:afterLines="40" w:after="96" w:line="276" w:lineRule="auto"/>
              <w:jc w:val="both"/>
              <w:rPr>
                <w:rFonts w:ascii="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Class</w:t>
            </w:r>
          </w:p>
        </w:tc>
        <w:tc>
          <w:tcPr>
            <w:tcW w:w="2498" w:type="dxa"/>
            <w:tcBorders>
              <w:top w:val="single" w:sz="4" w:space="0" w:color="auto"/>
              <w:bottom w:val="nil"/>
              <w:right w:val="single" w:sz="4" w:space="0" w:color="auto"/>
            </w:tcBorders>
            <w:vAlign w:val="center"/>
          </w:tcPr>
          <w:p w14:paraId="65EF33C6" w14:textId="77777777" w:rsidR="00D84272" w:rsidRPr="00DF0BA2" w:rsidRDefault="00D84272" w:rsidP="00C44944">
            <w:pPr>
              <w:spacing w:beforeLines="40" w:before="96" w:afterLines="40" w:after="96" w:line="276" w:lineRule="auto"/>
              <w:jc w:val="both"/>
              <w:rPr>
                <w:rFonts w:ascii="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Interpretation</w:t>
            </w:r>
          </w:p>
        </w:tc>
        <w:tc>
          <w:tcPr>
            <w:tcW w:w="333" w:type="dxa"/>
            <w:gridSpan w:val="2"/>
            <w:tcBorders>
              <w:top w:val="single" w:sz="4" w:space="0" w:color="auto"/>
              <w:left w:val="single" w:sz="4" w:space="0" w:color="auto"/>
            </w:tcBorders>
          </w:tcPr>
          <w:p w14:paraId="24A22712"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tcBorders>
              <w:top w:val="single" w:sz="4" w:space="0" w:color="auto"/>
            </w:tcBorders>
            <w:vAlign w:val="center"/>
          </w:tcPr>
          <w:p w14:paraId="7BC1A5D7" w14:textId="77777777" w:rsidR="00D84272" w:rsidRPr="00DF0BA2" w:rsidRDefault="00D84272" w:rsidP="00C44944">
            <w:pPr>
              <w:spacing w:beforeLines="40" w:before="96" w:afterLines="40" w:after="96" w:line="276" w:lineRule="auto"/>
              <w:jc w:val="both"/>
              <w:rPr>
                <w:rFonts w:ascii="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CPMQI Range</w:t>
            </w:r>
          </w:p>
        </w:tc>
        <w:tc>
          <w:tcPr>
            <w:tcW w:w="954" w:type="dxa"/>
            <w:tcBorders>
              <w:top w:val="single" w:sz="4" w:space="0" w:color="auto"/>
            </w:tcBorders>
            <w:vAlign w:val="center"/>
          </w:tcPr>
          <w:p w14:paraId="4F04342C" w14:textId="77777777" w:rsidR="00D84272" w:rsidRPr="00DF0BA2" w:rsidRDefault="00D84272" w:rsidP="00C44944">
            <w:pPr>
              <w:spacing w:beforeLines="40" w:before="96" w:afterLines="40" w:after="96" w:line="276" w:lineRule="auto"/>
              <w:jc w:val="both"/>
              <w:rPr>
                <w:rFonts w:ascii="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Class</w:t>
            </w:r>
          </w:p>
        </w:tc>
        <w:tc>
          <w:tcPr>
            <w:tcW w:w="2340" w:type="dxa"/>
            <w:gridSpan w:val="3"/>
            <w:tcBorders>
              <w:top w:val="single" w:sz="4" w:space="0" w:color="auto"/>
            </w:tcBorders>
            <w:vAlign w:val="center"/>
          </w:tcPr>
          <w:p w14:paraId="6F525A9E" w14:textId="77777777" w:rsidR="00D84272" w:rsidRPr="00DF0BA2" w:rsidRDefault="00D84272" w:rsidP="00C44944">
            <w:pPr>
              <w:spacing w:beforeLines="40" w:before="96" w:afterLines="40" w:after="96" w:line="276" w:lineRule="auto"/>
              <w:jc w:val="both"/>
              <w:rPr>
                <w:rFonts w:ascii="Times New Roman" w:hAnsi="Times New Roman" w:cs="Times New Roman"/>
                <w:b/>
                <w:bCs/>
                <w:color w:val="000000" w:themeColor="text1"/>
                <w:sz w:val="20"/>
                <w:szCs w:val="24"/>
              </w:rPr>
            </w:pPr>
            <w:r w:rsidRPr="00DF0BA2">
              <w:rPr>
                <w:rFonts w:ascii="Times New Roman" w:hAnsi="Times New Roman" w:cs="Times New Roman"/>
                <w:b/>
                <w:bCs/>
                <w:color w:val="000000" w:themeColor="text1"/>
                <w:sz w:val="20"/>
                <w:szCs w:val="24"/>
              </w:rPr>
              <w:t>Interpretation</w:t>
            </w:r>
          </w:p>
        </w:tc>
      </w:tr>
      <w:tr w:rsidR="00DF0BA2" w:rsidRPr="00DF0BA2" w14:paraId="70F446CF" w14:textId="77777777" w:rsidTr="00F84A10">
        <w:tc>
          <w:tcPr>
            <w:tcW w:w="1264" w:type="dxa"/>
            <w:vAlign w:val="center"/>
          </w:tcPr>
          <w:p w14:paraId="3FDE2FB2"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&lt;6.0</w:t>
            </w:r>
          </w:p>
        </w:tc>
        <w:tc>
          <w:tcPr>
            <w:tcW w:w="1296" w:type="dxa"/>
            <w:vAlign w:val="center"/>
          </w:tcPr>
          <w:p w14:paraId="49D88D70"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Poor</w:t>
            </w:r>
          </w:p>
        </w:tc>
        <w:tc>
          <w:tcPr>
            <w:tcW w:w="2498" w:type="dxa"/>
            <w:tcBorders>
              <w:top w:val="nil"/>
              <w:bottom w:val="nil"/>
              <w:right w:val="single" w:sz="4" w:space="0" w:color="auto"/>
            </w:tcBorders>
            <w:vAlign w:val="center"/>
          </w:tcPr>
          <w:p w14:paraId="13B6F05C"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High phytotoxicity/weak growth; unsuitable.</w:t>
            </w:r>
          </w:p>
        </w:tc>
        <w:tc>
          <w:tcPr>
            <w:tcW w:w="333" w:type="dxa"/>
            <w:gridSpan w:val="2"/>
            <w:tcBorders>
              <w:left w:val="single" w:sz="4" w:space="0" w:color="auto"/>
            </w:tcBorders>
          </w:tcPr>
          <w:p w14:paraId="6C2FB7C3"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7DA99279"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&lt;0.25</w:t>
            </w:r>
          </w:p>
        </w:tc>
        <w:tc>
          <w:tcPr>
            <w:tcW w:w="954" w:type="dxa"/>
            <w:vAlign w:val="center"/>
          </w:tcPr>
          <w:p w14:paraId="6D6515AE"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Poor</w:t>
            </w:r>
          </w:p>
        </w:tc>
        <w:tc>
          <w:tcPr>
            <w:tcW w:w="2340" w:type="dxa"/>
            <w:gridSpan w:val="3"/>
            <w:vAlign w:val="center"/>
          </w:tcPr>
          <w:p w14:paraId="59FD9970"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Major deficiencies; reprocessing required.</w:t>
            </w:r>
          </w:p>
        </w:tc>
      </w:tr>
      <w:tr w:rsidR="00DF0BA2" w:rsidRPr="00DF0BA2" w14:paraId="0D9B3765" w14:textId="77777777" w:rsidTr="00F84A10">
        <w:tc>
          <w:tcPr>
            <w:tcW w:w="1264" w:type="dxa"/>
            <w:vAlign w:val="center"/>
          </w:tcPr>
          <w:p w14:paraId="664D6D55"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6.0–10.0</w:t>
            </w:r>
          </w:p>
        </w:tc>
        <w:tc>
          <w:tcPr>
            <w:tcW w:w="1296" w:type="dxa"/>
            <w:vAlign w:val="center"/>
          </w:tcPr>
          <w:p w14:paraId="436832B7"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Acceptable</w:t>
            </w:r>
          </w:p>
        </w:tc>
        <w:tc>
          <w:tcPr>
            <w:tcW w:w="2498" w:type="dxa"/>
            <w:tcBorders>
              <w:top w:val="nil"/>
              <w:bottom w:val="nil"/>
              <w:right w:val="single" w:sz="4" w:space="0" w:color="auto"/>
            </w:tcBorders>
            <w:vAlign w:val="center"/>
          </w:tcPr>
          <w:p w14:paraId="0F6E7259"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Moderate; limited biomass gain.</w:t>
            </w:r>
          </w:p>
        </w:tc>
        <w:tc>
          <w:tcPr>
            <w:tcW w:w="333" w:type="dxa"/>
            <w:gridSpan w:val="2"/>
            <w:tcBorders>
              <w:left w:val="single" w:sz="4" w:space="0" w:color="auto"/>
            </w:tcBorders>
          </w:tcPr>
          <w:p w14:paraId="1B2567F9"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0512724F"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0.25–0.50</w:t>
            </w:r>
          </w:p>
        </w:tc>
        <w:tc>
          <w:tcPr>
            <w:tcW w:w="954" w:type="dxa"/>
            <w:vAlign w:val="center"/>
          </w:tcPr>
          <w:p w14:paraId="2FB7F2AD"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Acceptable</w:t>
            </w:r>
          </w:p>
        </w:tc>
        <w:tc>
          <w:tcPr>
            <w:tcW w:w="2340" w:type="dxa"/>
            <w:gridSpan w:val="3"/>
            <w:vAlign w:val="center"/>
          </w:tcPr>
          <w:p w14:paraId="3EE5B69B"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Moderately suitable; minor amendments advised.</w:t>
            </w:r>
          </w:p>
        </w:tc>
      </w:tr>
      <w:tr w:rsidR="00DF0BA2" w:rsidRPr="00DF0BA2" w14:paraId="2195140B" w14:textId="77777777" w:rsidTr="00F84A10">
        <w:tc>
          <w:tcPr>
            <w:tcW w:w="1264" w:type="dxa"/>
            <w:vAlign w:val="center"/>
          </w:tcPr>
          <w:p w14:paraId="16A8E46D"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10.0–15.0</w:t>
            </w:r>
          </w:p>
        </w:tc>
        <w:tc>
          <w:tcPr>
            <w:tcW w:w="1296" w:type="dxa"/>
            <w:vAlign w:val="center"/>
          </w:tcPr>
          <w:p w14:paraId="684FEF0E"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Good</w:t>
            </w:r>
          </w:p>
        </w:tc>
        <w:tc>
          <w:tcPr>
            <w:tcW w:w="2498" w:type="dxa"/>
            <w:tcBorders>
              <w:top w:val="nil"/>
              <w:bottom w:val="nil"/>
              <w:right w:val="single" w:sz="4" w:space="0" w:color="auto"/>
            </w:tcBorders>
            <w:vAlign w:val="center"/>
          </w:tcPr>
          <w:p w14:paraId="5D92D489"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Supports healthy germination and early growth.</w:t>
            </w:r>
          </w:p>
        </w:tc>
        <w:tc>
          <w:tcPr>
            <w:tcW w:w="333" w:type="dxa"/>
            <w:gridSpan w:val="2"/>
            <w:tcBorders>
              <w:left w:val="single" w:sz="4" w:space="0" w:color="auto"/>
            </w:tcBorders>
          </w:tcPr>
          <w:p w14:paraId="64F06D8D"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76A795A2"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0.50–0.75</w:t>
            </w:r>
          </w:p>
        </w:tc>
        <w:tc>
          <w:tcPr>
            <w:tcW w:w="954" w:type="dxa"/>
            <w:vAlign w:val="center"/>
          </w:tcPr>
          <w:p w14:paraId="162458C5"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Good</w:t>
            </w:r>
          </w:p>
        </w:tc>
        <w:tc>
          <w:tcPr>
            <w:tcW w:w="2340" w:type="dxa"/>
            <w:gridSpan w:val="3"/>
            <w:vAlign w:val="center"/>
          </w:tcPr>
          <w:p w14:paraId="0B6E4D38"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Meets most benchmarks; suitable for routine use.</w:t>
            </w:r>
          </w:p>
        </w:tc>
      </w:tr>
      <w:tr w:rsidR="00DF0BA2" w:rsidRPr="00DF0BA2" w14:paraId="3838F92C" w14:textId="77777777" w:rsidTr="00F84A10">
        <w:trPr>
          <w:trHeight w:val="558"/>
        </w:trPr>
        <w:tc>
          <w:tcPr>
            <w:tcW w:w="1264" w:type="dxa"/>
            <w:vAlign w:val="center"/>
          </w:tcPr>
          <w:p w14:paraId="6F2EB466"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&gt;15.0</w:t>
            </w:r>
          </w:p>
        </w:tc>
        <w:tc>
          <w:tcPr>
            <w:tcW w:w="1296" w:type="dxa"/>
            <w:vAlign w:val="center"/>
          </w:tcPr>
          <w:p w14:paraId="6DCB950D"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Very Good</w:t>
            </w:r>
          </w:p>
        </w:tc>
        <w:tc>
          <w:tcPr>
            <w:tcW w:w="2498" w:type="dxa"/>
            <w:tcBorders>
              <w:top w:val="nil"/>
              <w:bottom w:val="single" w:sz="4" w:space="0" w:color="auto"/>
              <w:right w:val="single" w:sz="4" w:space="0" w:color="auto"/>
            </w:tcBorders>
            <w:vAlign w:val="center"/>
          </w:tcPr>
          <w:p w14:paraId="3622186C"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Excellent vigor and uniform development.</w:t>
            </w:r>
          </w:p>
        </w:tc>
        <w:tc>
          <w:tcPr>
            <w:tcW w:w="333" w:type="dxa"/>
            <w:gridSpan w:val="2"/>
            <w:tcBorders>
              <w:left w:val="single" w:sz="4" w:space="0" w:color="auto"/>
            </w:tcBorders>
          </w:tcPr>
          <w:p w14:paraId="550FB515" w14:textId="77777777" w:rsidR="00D84272" w:rsidRPr="00DF0BA2" w:rsidRDefault="00D84272" w:rsidP="00C44944">
            <w:pPr>
              <w:spacing w:beforeLines="40" w:before="96" w:afterLines="40" w:after="96" w:line="276" w:lineRule="auto"/>
              <w:jc w:val="both"/>
              <w:rPr>
                <w:rFonts w:ascii="Times New Roman" w:eastAsia="Times New Roman" w:hAnsi="Times New Roman" w:cs="Times New Roman"/>
                <w:b/>
                <w:bCs/>
                <w:color w:val="000000" w:themeColor="text1"/>
                <w:sz w:val="20"/>
                <w:szCs w:val="24"/>
              </w:rPr>
            </w:pPr>
          </w:p>
        </w:tc>
        <w:tc>
          <w:tcPr>
            <w:tcW w:w="1233" w:type="dxa"/>
            <w:vAlign w:val="center"/>
          </w:tcPr>
          <w:p w14:paraId="56A2DC44"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&gt;0.75</w:t>
            </w:r>
          </w:p>
        </w:tc>
        <w:tc>
          <w:tcPr>
            <w:tcW w:w="954" w:type="dxa"/>
            <w:vAlign w:val="center"/>
          </w:tcPr>
          <w:p w14:paraId="40E8FD49"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Very Good</w:t>
            </w:r>
          </w:p>
        </w:tc>
        <w:tc>
          <w:tcPr>
            <w:tcW w:w="2340" w:type="dxa"/>
            <w:gridSpan w:val="3"/>
            <w:vAlign w:val="center"/>
          </w:tcPr>
          <w:p w14:paraId="4549B887" w14:textId="77777777" w:rsidR="00D84272" w:rsidRPr="00DF0BA2" w:rsidRDefault="00D84272" w:rsidP="00C44944">
            <w:pPr>
              <w:spacing w:beforeLines="40" w:before="96" w:afterLines="40" w:after="96" w:line="276" w:lineRule="auto"/>
              <w:jc w:val="both"/>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Optimal substrate; ideal for premium propagation.</w:t>
            </w:r>
          </w:p>
        </w:tc>
      </w:tr>
    </w:tbl>
    <w:p w14:paraId="7CBBD690" w14:textId="77777777" w:rsidR="00971FE3" w:rsidRPr="00DF0BA2" w:rsidRDefault="00971FE3" w:rsidP="00F84A10">
      <w:pPr>
        <w:spacing w:beforeLines="40" w:before="96" w:afterLines="40" w:after="96"/>
        <w:ind w:left="1890"/>
        <w:jc w:val="both"/>
        <w:rPr>
          <w:rFonts w:ascii="Times New Roman" w:hAnsi="Times New Roman" w:cs="Times New Roman"/>
          <w:b/>
          <w:color w:val="000000" w:themeColor="text1"/>
          <w:sz w:val="24"/>
          <w:szCs w:val="24"/>
        </w:rPr>
      </w:pPr>
    </w:p>
    <w:p w14:paraId="4D233A63" w14:textId="77777777" w:rsidR="00E4208A" w:rsidRPr="00F84A10" w:rsidRDefault="00E4208A" w:rsidP="00F84A10">
      <w:pPr>
        <w:spacing w:after="0" w:line="240" w:lineRule="auto"/>
        <w:jc w:val="both"/>
        <w:rPr>
          <w:rFonts w:ascii="Times New Roman" w:hAnsi="Times New Roman" w:cs="Times New Roman"/>
          <w:b/>
          <w:color w:val="000000" w:themeColor="text1"/>
          <w:sz w:val="24"/>
          <w:szCs w:val="24"/>
        </w:rPr>
      </w:pPr>
      <w:r w:rsidRPr="00F84A10">
        <w:rPr>
          <w:rFonts w:ascii="Times New Roman" w:hAnsi="Times New Roman" w:cs="Times New Roman"/>
          <w:b/>
          <w:color w:val="000000" w:themeColor="text1"/>
          <w:sz w:val="24"/>
          <w:szCs w:val="24"/>
        </w:rPr>
        <w:t>Results and Discussion</w:t>
      </w:r>
    </w:p>
    <w:p w14:paraId="5B83CD57" w14:textId="77777777" w:rsidR="009F4FAE" w:rsidRPr="00F84A10" w:rsidRDefault="009F4FAE" w:rsidP="00F84A10">
      <w:pPr>
        <w:spacing w:after="0" w:line="240" w:lineRule="auto"/>
        <w:jc w:val="both"/>
        <w:rPr>
          <w:rFonts w:ascii="Times New Roman" w:hAnsi="Times New Roman" w:cs="Times New Roman"/>
          <w:b/>
          <w:color w:val="000000" w:themeColor="text1"/>
          <w:sz w:val="24"/>
          <w:szCs w:val="24"/>
        </w:rPr>
      </w:pPr>
      <w:r w:rsidRPr="00F84A10">
        <w:rPr>
          <w:rFonts w:ascii="Times New Roman" w:hAnsi="Times New Roman" w:cs="Times New Roman"/>
          <w:color w:val="000000" w:themeColor="text1"/>
          <w:sz w:val="24"/>
          <w:szCs w:val="24"/>
        </w:rPr>
        <w:t>Coir pith, inherently lignin-rich with a high C:N ratio and soluble salts, requires stabilization before serving as a nursery substrate. Conventional composting generally needs 8–12 months to yield partially matured media of inconsistent quality. In contrast, NOVCOM technology, through controlled bio-oxidative processing, achieves accelerated organic carbon mineralization, lignin modification, and salt reduction within ~40 days. These transformations, quantified through composite indices (PCS, SSS, SGPS, CPMQI) and critical parameters (organic carbon, lignin, Na</w:t>
      </w:r>
      <w:r w:rsidRPr="00F84A10">
        <w:rPr>
          <w:rFonts w:ascii="Cambria Math" w:hAnsi="Cambria Math" w:cs="Cambria Math"/>
          <w:color w:val="000000" w:themeColor="text1"/>
          <w:sz w:val="24"/>
          <w:szCs w:val="24"/>
        </w:rPr>
        <w:t>⁺</w:t>
      </w:r>
      <w:r w:rsidRPr="00F84A10">
        <w:rPr>
          <w:rFonts w:ascii="Times New Roman" w:hAnsi="Times New Roman" w:cs="Times New Roman"/>
          <w:color w:val="000000" w:themeColor="text1"/>
          <w:sz w:val="24"/>
          <w:szCs w:val="24"/>
        </w:rPr>
        <w:t>, germination index), enable a robust comparison of compost maturity and seedling performance.</w:t>
      </w:r>
    </w:p>
    <w:p w14:paraId="6A697997" w14:textId="77777777" w:rsidR="00E4208A" w:rsidRPr="00F84A10" w:rsidRDefault="00E4208A" w:rsidP="00F84A10">
      <w:pPr>
        <w:pStyle w:val="Heading3"/>
        <w:spacing w:before="0" w:beforeAutospacing="0" w:after="0" w:afterAutospacing="0"/>
        <w:jc w:val="both"/>
        <w:rPr>
          <w:color w:val="000000" w:themeColor="text1"/>
          <w:sz w:val="24"/>
          <w:szCs w:val="24"/>
        </w:rPr>
      </w:pPr>
    </w:p>
    <w:p w14:paraId="6B6A80C7" w14:textId="77777777" w:rsidR="00F84A10" w:rsidRPr="00F84A10" w:rsidRDefault="00F84A10" w:rsidP="00F84A10">
      <w:pPr>
        <w:pStyle w:val="Heading3"/>
        <w:spacing w:before="0" w:beforeAutospacing="0" w:after="0" w:afterAutospacing="0"/>
        <w:jc w:val="both"/>
        <w:rPr>
          <w:color w:val="000000" w:themeColor="text1"/>
          <w:sz w:val="24"/>
          <w:szCs w:val="24"/>
        </w:rPr>
      </w:pPr>
    </w:p>
    <w:p w14:paraId="6FDB33D9" w14:textId="77777777" w:rsidR="009F4FAE" w:rsidRPr="00F84A10" w:rsidRDefault="009F4FAE" w:rsidP="00F84A10">
      <w:pPr>
        <w:pStyle w:val="Heading3"/>
        <w:spacing w:before="0" w:beforeAutospacing="0" w:after="0" w:afterAutospacing="0"/>
        <w:jc w:val="both"/>
        <w:rPr>
          <w:color w:val="000000" w:themeColor="text1"/>
          <w:sz w:val="24"/>
          <w:szCs w:val="24"/>
        </w:rPr>
      </w:pPr>
      <w:r w:rsidRPr="00F84A10">
        <w:rPr>
          <w:color w:val="000000" w:themeColor="text1"/>
          <w:sz w:val="24"/>
          <w:szCs w:val="24"/>
        </w:rPr>
        <w:t>Comparative Physicochemical and Nutrient Profiles</w:t>
      </w:r>
    </w:p>
    <w:p w14:paraId="4760F8DA" w14:textId="77777777" w:rsidR="009F4FAE" w:rsidRPr="00F84A10" w:rsidRDefault="009F4FAE" w:rsidP="00F84A10">
      <w:pPr>
        <w:pStyle w:val="NormalWeb"/>
        <w:spacing w:before="0" w:beforeAutospacing="0" w:after="0" w:afterAutospacing="0"/>
        <w:jc w:val="both"/>
        <w:rPr>
          <w:color w:val="000000" w:themeColor="text1"/>
        </w:rPr>
      </w:pPr>
      <w:r w:rsidRPr="00F84A10">
        <w:rPr>
          <w:color w:val="000000" w:themeColor="text1"/>
        </w:rPr>
        <w:t xml:space="preserve">Tables 1–3 highlight the comparative evaluation of NOVCOM (40 days) versus conventional composting (12 months) using untreated and gypsum–urea-pretreated coir pith. Across all </w:t>
      </w:r>
      <w:r w:rsidRPr="00F84A10">
        <w:rPr>
          <w:color w:val="000000" w:themeColor="text1"/>
        </w:rPr>
        <w:lastRenderedPageBreak/>
        <w:t>feedstock types (fresh, 2-month, 4-month), NOVCOM consistently reduced organic carbon and lignin more effectively, indicating rapid degradation of labile and recalcitrant fractions. In fresh untreated coir pith, organic carbon decreased from 40.55% (conventional) to 30.29% (NOVCOM), while lignin dropped from 40.80% to 31.59%. Treated materials showed similar patterns, with C:N ratios falling sharply—34.82 (untreated) and 18.09 (treated) under NOVCOM, compared to 66.48 and 26.73 for conventional composts. Even after four months, NOVCOM composts maintained lower ratios, reflecting active nitrogen immobilization, improved mineralization, and a more balanced nutrient profile.</w:t>
      </w:r>
    </w:p>
    <w:p w14:paraId="6E37A81F" w14:textId="77777777" w:rsidR="00F84A10" w:rsidRDefault="00F84A10" w:rsidP="00F84A10">
      <w:pPr>
        <w:pStyle w:val="NormalWeb"/>
        <w:spacing w:before="0" w:beforeAutospacing="0" w:after="0" w:afterAutospacing="0"/>
        <w:jc w:val="both"/>
        <w:rPr>
          <w:color w:val="000000" w:themeColor="text1"/>
        </w:rPr>
      </w:pPr>
    </w:p>
    <w:p w14:paraId="6839A0CD" w14:textId="77777777" w:rsidR="009F4FAE" w:rsidRPr="00F84A10" w:rsidRDefault="009F4FAE" w:rsidP="00F84A10">
      <w:pPr>
        <w:pStyle w:val="NormalWeb"/>
        <w:spacing w:before="0" w:beforeAutospacing="0" w:after="0" w:afterAutospacing="0"/>
        <w:jc w:val="both"/>
        <w:rPr>
          <w:color w:val="000000" w:themeColor="text1"/>
        </w:rPr>
      </w:pPr>
      <w:r w:rsidRPr="00F84A10">
        <w:rPr>
          <w:color w:val="000000" w:themeColor="text1"/>
        </w:rPr>
        <w:t>Nutrient enrichment was also evident. Total N rose from 0.61% to 0.87% in untreated, and from 1.51% to 1.67% in treated substrates under NOVCOM, with corresponding increases in P. Ash content—an indicator of mineralization—was significantly higher, particularly in treated material (45.62% vs. 27.35%), confirming greater organic matter turnover. These results validate the design principles of NOVCOM, where a high-moisture, aerated environment combined with microbial regeneration promotes efficient degradation, nutrient cycling, and stable humus formation within a fraction of conventional timelines.</w:t>
      </w:r>
    </w:p>
    <w:p w14:paraId="05DAB5EA" w14:textId="77777777" w:rsidR="00E4208A" w:rsidRPr="00F84A10" w:rsidRDefault="00E4208A" w:rsidP="00F84A10">
      <w:pPr>
        <w:pStyle w:val="Heading3"/>
        <w:spacing w:before="0" w:beforeAutospacing="0" w:after="0" w:afterAutospacing="0"/>
        <w:jc w:val="both"/>
        <w:rPr>
          <w:color w:val="000000" w:themeColor="text1"/>
          <w:sz w:val="24"/>
          <w:szCs w:val="24"/>
        </w:rPr>
      </w:pPr>
    </w:p>
    <w:p w14:paraId="32817287" w14:textId="77777777" w:rsidR="009F4FAE" w:rsidRPr="00F84A10" w:rsidRDefault="009F4FAE" w:rsidP="00F84A10">
      <w:pPr>
        <w:pStyle w:val="Heading3"/>
        <w:spacing w:before="0" w:beforeAutospacing="0" w:after="0" w:afterAutospacing="0"/>
        <w:jc w:val="both"/>
        <w:rPr>
          <w:color w:val="000000" w:themeColor="text1"/>
          <w:sz w:val="24"/>
          <w:szCs w:val="24"/>
        </w:rPr>
      </w:pPr>
      <w:r w:rsidRPr="00F84A10">
        <w:rPr>
          <w:color w:val="000000" w:themeColor="text1"/>
          <w:sz w:val="24"/>
          <w:szCs w:val="24"/>
        </w:rPr>
        <w:t>Reduction of Soluble Salts and Electrical Conductivity</w:t>
      </w:r>
    </w:p>
    <w:p w14:paraId="2B137871" w14:textId="77777777" w:rsidR="009F4FAE" w:rsidRPr="00F84A10" w:rsidRDefault="009F4FAE" w:rsidP="00F84A10">
      <w:pPr>
        <w:pStyle w:val="NormalWeb"/>
        <w:spacing w:before="0" w:beforeAutospacing="0" w:after="0" w:afterAutospacing="0"/>
        <w:jc w:val="both"/>
        <w:rPr>
          <w:color w:val="000000" w:themeColor="text1"/>
        </w:rPr>
      </w:pPr>
      <w:r w:rsidRPr="00F84A10">
        <w:rPr>
          <w:color w:val="000000" w:themeColor="text1"/>
        </w:rPr>
        <w:t>Another significant outcome was the reduction of soluble salts. NOVCOM consistently lowered Na</w:t>
      </w:r>
      <w:r w:rsidRPr="00F84A10">
        <w:rPr>
          <w:rFonts w:ascii="Cambria Math" w:hAnsi="Cambria Math" w:cs="Cambria Math"/>
          <w:color w:val="000000" w:themeColor="text1"/>
        </w:rPr>
        <w:t>⁺</w:t>
      </w:r>
      <w:r w:rsidRPr="00F84A10">
        <w:rPr>
          <w:color w:val="000000" w:themeColor="text1"/>
        </w:rPr>
        <w:t>, K</w:t>
      </w:r>
      <w:r w:rsidRPr="00F84A10">
        <w:rPr>
          <w:rFonts w:ascii="Cambria Math" w:hAnsi="Cambria Math" w:cs="Cambria Math"/>
          <w:color w:val="000000" w:themeColor="text1"/>
        </w:rPr>
        <w:t>⁺</w:t>
      </w:r>
      <w:r w:rsidRPr="00F84A10">
        <w:rPr>
          <w:color w:val="000000" w:themeColor="text1"/>
        </w:rPr>
        <w:t>, and electrical conductivity (EC) across all feedstock types. In fresh untreated material, Na</w:t>
      </w:r>
      <w:r w:rsidRPr="00F84A10">
        <w:rPr>
          <w:rFonts w:ascii="Cambria Math" w:hAnsi="Cambria Math" w:cs="Cambria Math"/>
          <w:color w:val="000000" w:themeColor="text1"/>
        </w:rPr>
        <w:t>⁺</w:t>
      </w:r>
      <w:r w:rsidRPr="00F84A10">
        <w:rPr>
          <w:color w:val="000000" w:themeColor="text1"/>
        </w:rPr>
        <w:t xml:space="preserve"> decreased from 3,050 to 2,005 ppm, with EC reduced from 3.09 to 2.21 dS·m</w:t>
      </w:r>
      <w:r w:rsidRPr="00F84A10">
        <w:rPr>
          <w:rFonts w:ascii="Cambria Math" w:hAnsi="Cambria Math" w:cs="Cambria Math"/>
          <w:color w:val="000000" w:themeColor="text1"/>
        </w:rPr>
        <w:t>⁻</w:t>
      </w:r>
      <w:r w:rsidRPr="00F84A10">
        <w:rPr>
          <w:color w:val="000000" w:themeColor="text1"/>
        </w:rPr>
        <w:t>¹. In gypsum–urea-treated substrates, Na</w:t>
      </w:r>
      <w:r w:rsidRPr="00F84A10">
        <w:rPr>
          <w:rFonts w:ascii="Cambria Math" w:hAnsi="Cambria Math" w:cs="Cambria Math"/>
          <w:color w:val="000000" w:themeColor="text1"/>
        </w:rPr>
        <w:t>⁺</w:t>
      </w:r>
      <w:r w:rsidRPr="00F84A10">
        <w:rPr>
          <w:color w:val="000000" w:themeColor="text1"/>
        </w:rPr>
        <w:t xml:space="preserve"> declined from 2,737 to 1,820 ppm, and EC from 3.23 to 2.51 dS·m</w:t>
      </w:r>
      <w:r w:rsidRPr="00F84A10">
        <w:rPr>
          <w:rFonts w:ascii="Cambria Math" w:hAnsi="Cambria Math" w:cs="Cambria Math"/>
          <w:color w:val="000000" w:themeColor="text1"/>
        </w:rPr>
        <w:t>⁻</w:t>
      </w:r>
      <w:r w:rsidRPr="00F84A10">
        <w:rPr>
          <w:color w:val="000000" w:themeColor="text1"/>
        </w:rPr>
        <w:t xml:space="preserve">¹. Even in older feedstock, reductions were </w:t>
      </w:r>
      <w:r w:rsidR="000323A5" w:rsidRPr="00F84A10">
        <w:rPr>
          <w:color w:val="000000" w:themeColor="text1"/>
        </w:rPr>
        <w:t>substantial;</w:t>
      </w:r>
      <w:r w:rsidRPr="00F84A10">
        <w:rPr>
          <w:color w:val="000000" w:themeColor="text1"/>
        </w:rPr>
        <w:t xml:space="preserve"> alleviating osmotic stress that otherwise hampers seedling growth.</w:t>
      </w:r>
    </w:p>
    <w:p w14:paraId="250040E6" w14:textId="77777777" w:rsidR="00F84A10" w:rsidRDefault="00F84A10" w:rsidP="00F84A10">
      <w:pPr>
        <w:pStyle w:val="NormalWeb"/>
        <w:spacing w:before="0" w:beforeAutospacing="0" w:after="0" w:afterAutospacing="0"/>
        <w:jc w:val="both"/>
        <w:rPr>
          <w:color w:val="000000" w:themeColor="text1"/>
        </w:rPr>
      </w:pPr>
    </w:p>
    <w:p w14:paraId="15C673BA" w14:textId="77777777" w:rsidR="009F4FAE" w:rsidRPr="00F84A10" w:rsidRDefault="009F4FAE" w:rsidP="00F84A10">
      <w:pPr>
        <w:pStyle w:val="NormalWeb"/>
        <w:spacing w:before="0" w:beforeAutospacing="0" w:after="0" w:afterAutospacing="0"/>
        <w:jc w:val="both"/>
        <w:rPr>
          <w:color w:val="000000" w:themeColor="text1"/>
        </w:rPr>
      </w:pPr>
      <w:r w:rsidRPr="00F84A10">
        <w:rPr>
          <w:color w:val="000000" w:themeColor="text1"/>
        </w:rPr>
        <w:t>Mechanistically, this reduction arises from three processes: (i) enhanced leaching of salts due to aerated</w:t>
      </w:r>
      <w:r w:rsidR="00E962C2" w:rsidRPr="00F84A10">
        <w:rPr>
          <w:color w:val="000000" w:themeColor="text1"/>
        </w:rPr>
        <w:t>, moisture-optimized conditions</w:t>
      </w:r>
      <w:r w:rsidRPr="00F84A10">
        <w:rPr>
          <w:color w:val="000000" w:themeColor="text1"/>
        </w:rPr>
        <w:t>; (ii) accelerated humification, forming humic–</w:t>
      </w:r>
      <w:proofErr w:type="spellStart"/>
      <w:r w:rsidRPr="00F84A10">
        <w:rPr>
          <w:color w:val="000000" w:themeColor="text1"/>
        </w:rPr>
        <w:t>organomineral</w:t>
      </w:r>
      <w:proofErr w:type="spellEnd"/>
      <w:r w:rsidRPr="00F84A10">
        <w:rPr>
          <w:color w:val="000000" w:themeColor="text1"/>
        </w:rPr>
        <w:t xml:space="preserve"> complexes that increase cation exchange capacity and immobilize Na</w:t>
      </w:r>
      <w:r w:rsidRPr="00F84A10">
        <w:rPr>
          <w:rFonts w:ascii="Cambria Math" w:hAnsi="Cambria Math" w:cs="Cambria Math"/>
          <w:color w:val="000000" w:themeColor="text1"/>
        </w:rPr>
        <w:t>⁺</w:t>
      </w:r>
      <w:r w:rsidRPr="00F84A10">
        <w:rPr>
          <w:color w:val="000000" w:themeColor="text1"/>
        </w:rPr>
        <w:t xml:space="preserve"> and (iii) gypsum amendment, where Ca²</w:t>
      </w:r>
      <w:r w:rsidRPr="00F84A10">
        <w:rPr>
          <w:rFonts w:ascii="Cambria Math" w:hAnsi="Cambria Math" w:cs="Cambria Math"/>
          <w:color w:val="000000" w:themeColor="text1"/>
        </w:rPr>
        <w:t>⁺</w:t>
      </w:r>
      <w:r w:rsidRPr="00F84A10">
        <w:rPr>
          <w:color w:val="000000" w:themeColor="text1"/>
        </w:rPr>
        <w:t xml:space="preserve"> displaces Na</w:t>
      </w:r>
      <w:r w:rsidRPr="00F84A10">
        <w:rPr>
          <w:rFonts w:ascii="Cambria Math" w:hAnsi="Cambria Math" w:cs="Cambria Math"/>
          <w:color w:val="000000" w:themeColor="text1"/>
        </w:rPr>
        <w:t>⁺</w:t>
      </w:r>
      <w:r w:rsidRPr="00F84A10">
        <w:rPr>
          <w:color w:val="000000" w:themeColor="text1"/>
        </w:rPr>
        <w:t xml:space="preserve"> through exchange reactions, improving Ca²</w:t>
      </w:r>
      <w:r w:rsidRPr="00F84A10">
        <w:rPr>
          <w:rFonts w:ascii="Cambria Math" w:hAnsi="Cambria Math" w:cs="Cambria Math"/>
          <w:color w:val="000000" w:themeColor="text1"/>
        </w:rPr>
        <w:t>⁺</w:t>
      </w:r>
      <w:r w:rsidRPr="00F84A10">
        <w:rPr>
          <w:color w:val="000000" w:themeColor="text1"/>
        </w:rPr>
        <w:t>:Na</w:t>
      </w:r>
      <w:r w:rsidRPr="00F84A10">
        <w:rPr>
          <w:rFonts w:ascii="Cambria Math" w:hAnsi="Cambria Math" w:cs="Cambria Math"/>
          <w:color w:val="000000" w:themeColor="text1"/>
        </w:rPr>
        <w:t>⁺</w:t>
      </w:r>
      <w:r w:rsidRPr="00F84A10">
        <w:rPr>
          <w:color w:val="000000" w:themeColor="text1"/>
        </w:rPr>
        <w:t xml:space="preserve"> ratios and reducing </w:t>
      </w:r>
      <w:proofErr w:type="spellStart"/>
      <w:r w:rsidRPr="00F84A10">
        <w:rPr>
          <w:color w:val="000000" w:themeColor="text1"/>
        </w:rPr>
        <w:t>sodicity</w:t>
      </w:r>
      <w:proofErr w:type="spellEnd"/>
      <w:r w:rsidRPr="00F84A10">
        <w:rPr>
          <w:color w:val="000000" w:themeColor="text1"/>
        </w:rPr>
        <w:t xml:space="preserve"> risks. While microbial immobilization may transiently lower salts, NOVCOM ensures durable stabilization.</w:t>
      </w:r>
    </w:p>
    <w:p w14:paraId="79525493" w14:textId="77777777" w:rsidR="009F4FAE" w:rsidRPr="00F84A10" w:rsidRDefault="009F4FAE" w:rsidP="00F84A10">
      <w:pPr>
        <w:pStyle w:val="NormalWeb"/>
        <w:spacing w:before="0" w:beforeAutospacing="0" w:after="0" w:afterAutospacing="0"/>
        <w:jc w:val="both"/>
        <w:rPr>
          <w:color w:val="000000" w:themeColor="text1"/>
        </w:rPr>
      </w:pPr>
      <w:r w:rsidRPr="00F84A10">
        <w:rPr>
          <w:color w:val="000000" w:themeColor="text1"/>
        </w:rPr>
        <w:t>The EC values achieved (~2.0–2.5 dS·m</w:t>
      </w:r>
      <w:r w:rsidRPr="00F84A10">
        <w:rPr>
          <w:rFonts w:ascii="Cambria Math" w:hAnsi="Cambria Math" w:cs="Cambria Math"/>
          <w:color w:val="000000" w:themeColor="text1"/>
        </w:rPr>
        <w:t>⁻</w:t>
      </w:r>
      <w:r w:rsidRPr="00F84A10">
        <w:rPr>
          <w:color w:val="000000" w:themeColor="text1"/>
        </w:rPr>
        <w:t>¹) fall within the optimal nursery range (1.0–2.5 dS·m</w:t>
      </w:r>
      <w:r w:rsidRPr="00F84A10">
        <w:rPr>
          <w:rFonts w:ascii="Cambria Math" w:hAnsi="Cambria Math" w:cs="Cambria Math"/>
          <w:color w:val="000000" w:themeColor="text1"/>
        </w:rPr>
        <w:t>⁻</w:t>
      </w:r>
      <w:r w:rsidRPr="00F84A10">
        <w:rPr>
          <w:color w:val="000000" w:themeColor="text1"/>
        </w:rPr>
        <w:t>¹; Bunt, 1988), minimizing salinity-induced stress. Thus, NOVCOM not only accelerates compost maturity but also produces a physiologically favorable substrate for seedling emergence and uniform growth.</w:t>
      </w:r>
    </w:p>
    <w:p w14:paraId="66837978" w14:textId="77777777" w:rsidR="00F84A10" w:rsidRDefault="00F84A10" w:rsidP="00F84A10">
      <w:pPr>
        <w:spacing w:after="0" w:line="240" w:lineRule="auto"/>
        <w:jc w:val="both"/>
        <w:rPr>
          <w:rFonts w:ascii="Times New Roman" w:eastAsia="Times New Roman" w:hAnsi="Times New Roman" w:cs="Times New Roman"/>
          <w:b/>
          <w:bCs/>
          <w:color w:val="000000" w:themeColor="text1"/>
          <w:sz w:val="24"/>
          <w:szCs w:val="24"/>
        </w:rPr>
      </w:pPr>
    </w:p>
    <w:p w14:paraId="5CD7EA5A" w14:textId="77777777" w:rsidR="007B7D99" w:rsidRPr="00F84A10" w:rsidRDefault="007B7D99" w:rsidP="00F84A10">
      <w:pPr>
        <w:spacing w:after="0" w:line="240" w:lineRule="auto"/>
        <w:jc w:val="both"/>
        <w:rPr>
          <w:rFonts w:ascii="Times New Roman" w:eastAsia="Times New Roman" w:hAnsi="Times New Roman" w:cs="Times New Roman"/>
          <w:color w:val="000000" w:themeColor="text1"/>
          <w:sz w:val="24"/>
          <w:szCs w:val="24"/>
        </w:rPr>
      </w:pPr>
      <w:r w:rsidRPr="00F84A10">
        <w:rPr>
          <w:rFonts w:ascii="Times New Roman" w:eastAsia="Times New Roman" w:hAnsi="Times New Roman" w:cs="Times New Roman"/>
          <w:b/>
          <w:bCs/>
          <w:color w:val="000000" w:themeColor="text1"/>
          <w:sz w:val="24"/>
          <w:szCs w:val="24"/>
        </w:rPr>
        <w:t>Phytotoxicity Reduction and Bioassay Performance</w:t>
      </w:r>
    </w:p>
    <w:p w14:paraId="62465EE7" w14:textId="77777777" w:rsidR="007B7D99" w:rsidRPr="00F84A10" w:rsidRDefault="007B7D99" w:rsidP="00F84A10">
      <w:pPr>
        <w:pStyle w:val="NormalWeb"/>
        <w:spacing w:before="0" w:beforeAutospacing="0" w:after="0" w:afterAutospacing="0"/>
        <w:jc w:val="both"/>
        <w:rPr>
          <w:color w:val="000000" w:themeColor="text1"/>
        </w:rPr>
      </w:pPr>
      <w:r w:rsidRPr="00F84A10">
        <w:rPr>
          <w:color w:val="000000" w:themeColor="text1"/>
        </w:rPr>
        <w:t xml:space="preserve">Phytotoxicity bioassays (Tables 1–3) showed that </w:t>
      </w:r>
      <w:proofErr w:type="spellStart"/>
      <w:r w:rsidRPr="00F84A10">
        <w:rPr>
          <w:color w:val="000000" w:themeColor="text1"/>
        </w:rPr>
        <w:t>Novcom</w:t>
      </w:r>
      <w:proofErr w:type="spellEnd"/>
      <w:r w:rsidRPr="00F84A10">
        <w:rPr>
          <w:color w:val="000000" w:themeColor="text1"/>
        </w:rPr>
        <w:t xml:space="preserve">-treated </w:t>
      </w:r>
      <w:proofErr w:type="spellStart"/>
      <w:r w:rsidRPr="00F84A10">
        <w:rPr>
          <w:color w:val="000000" w:themeColor="text1"/>
        </w:rPr>
        <w:t>coirpith</w:t>
      </w:r>
      <w:proofErr w:type="spellEnd"/>
      <w:r w:rsidRPr="00F84A10">
        <w:rPr>
          <w:color w:val="000000" w:themeColor="text1"/>
        </w:rPr>
        <w:t xml:space="preserve"> media consistently enhanced seedling emergence, root elongation, germination index (GI), and biomass compared to conventional composts. In fresh untreated </w:t>
      </w:r>
      <w:proofErr w:type="spellStart"/>
      <w:r w:rsidRPr="00F84A10">
        <w:rPr>
          <w:color w:val="000000" w:themeColor="text1"/>
        </w:rPr>
        <w:t>coirpith</w:t>
      </w:r>
      <w:proofErr w:type="spellEnd"/>
      <w:r w:rsidRPr="00F84A10">
        <w:rPr>
          <w:color w:val="000000" w:themeColor="text1"/>
        </w:rPr>
        <w:t xml:space="preserve">, </w:t>
      </w:r>
      <w:proofErr w:type="spellStart"/>
      <w:r w:rsidRPr="00F84A10">
        <w:rPr>
          <w:color w:val="000000" w:themeColor="text1"/>
        </w:rPr>
        <w:t>Novcom</w:t>
      </w:r>
      <w:proofErr w:type="spellEnd"/>
      <w:r w:rsidRPr="00F84A10">
        <w:rPr>
          <w:color w:val="000000" w:themeColor="text1"/>
        </w:rPr>
        <w:t xml:space="preserve"> raised GI from 0.84 to 1.03, emergence from 93.55% to 103%, and root elongation from 89.55% to 99.75%. In gypsum–urea-treated substrates, GI rose from 0.84 to 1.01, with proportional improvements in emergence and root growth. All </w:t>
      </w:r>
      <w:proofErr w:type="spellStart"/>
      <w:r w:rsidRPr="00F84A10">
        <w:rPr>
          <w:color w:val="000000" w:themeColor="text1"/>
        </w:rPr>
        <w:t>Novcom</w:t>
      </w:r>
      <w:proofErr w:type="spellEnd"/>
      <w:r w:rsidRPr="00F84A10">
        <w:rPr>
          <w:color w:val="000000" w:themeColor="text1"/>
        </w:rPr>
        <w:t xml:space="preserve"> products exceeded the non-phytotoxic threshold of 0.8 (Zucconi et al., 1981), while several conventional products remained borderline inhibitory. This superior performance stems from </w:t>
      </w:r>
      <w:proofErr w:type="spellStart"/>
      <w:r w:rsidRPr="00F84A10">
        <w:rPr>
          <w:color w:val="000000" w:themeColor="text1"/>
        </w:rPr>
        <w:t>Novcom’s</w:t>
      </w:r>
      <w:proofErr w:type="spellEnd"/>
      <w:r w:rsidRPr="00F84A10">
        <w:rPr>
          <w:color w:val="000000" w:themeColor="text1"/>
        </w:rPr>
        <w:t xml:space="preserve"> accelerated humification, salt reduction, and microbial regeneration, which eliminate phytotoxic organic acids, phenolics, and immature lignocellulosic fragments. Such stabilization directly reduces osmotic stress and biochemical inhibition, ensuring nursery-ready substrates. By enabling rapid, stable media production, </w:t>
      </w:r>
      <w:proofErr w:type="spellStart"/>
      <w:r w:rsidRPr="00F84A10">
        <w:rPr>
          <w:color w:val="000000" w:themeColor="text1"/>
        </w:rPr>
        <w:t>Novcom</w:t>
      </w:r>
      <w:proofErr w:type="spellEnd"/>
      <w:r w:rsidRPr="00F84A10">
        <w:rPr>
          <w:color w:val="000000" w:themeColor="text1"/>
        </w:rPr>
        <w:t xml:space="preserve"> significantly enhances seedling vigor and reduces establishment risks.</w:t>
      </w:r>
    </w:p>
    <w:p w14:paraId="40B3A673" w14:textId="77777777" w:rsidR="007B7D99" w:rsidRPr="00F84A10" w:rsidRDefault="007B7D99" w:rsidP="00F84A10">
      <w:pPr>
        <w:spacing w:after="0" w:line="240" w:lineRule="auto"/>
        <w:jc w:val="both"/>
        <w:rPr>
          <w:rFonts w:ascii="Times New Roman" w:eastAsia="Times New Roman" w:hAnsi="Times New Roman" w:cs="Times New Roman"/>
          <w:color w:val="000000" w:themeColor="text1"/>
          <w:sz w:val="24"/>
          <w:szCs w:val="24"/>
        </w:rPr>
      </w:pPr>
    </w:p>
    <w:p w14:paraId="47055E26" w14:textId="77777777" w:rsidR="007B7D99" w:rsidRPr="00DF0BA2" w:rsidRDefault="007B7D99" w:rsidP="00E4208A">
      <w:pPr>
        <w:spacing w:after="0"/>
        <w:jc w:val="both"/>
        <w:rPr>
          <w:rFonts w:ascii="Times New Roman" w:eastAsia="Times New Roman" w:hAnsi="Times New Roman" w:cs="Times New Roman"/>
          <w:color w:val="000000" w:themeColor="text1"/>
          <w:sz w:val="24"/>
          <w:szCs w:val="24"/>
        </w:rPr>
        <w:sectPr w:rsidR="007B7D99" w:rsidRPr="00DF0BA2" w:rsidSect="00C453DB">
          <w:pgSz w:w="11909" w:h="16834" w:code="9"/>
          <w:pgMar w:top="1440" w:right="1199" w:bottom="1260" w:left="1260" w:header="720" w:footer="720" w:gutter="0"/>
          <w:cols w:space="720"/>
          <w:docGrid w:linePitch="360"/>
        </w:sectPr>
      </w:pPr>
    </w:p>
    <w:p w14:paraId="33F99F83" w14:textId="77777777" w:rsidR="00F7194B" w:rsidRPr="00DF0BA2" w:rsidRDefault="00F7194B" w:rsidP="00C44944">
      <w:pPr>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lastRenderedPageBreak/>
        <w:t xml:space="preserve">Table </w:t>
      </w:r>
      <w:proofErr w:type="gramStart"/>
      <w:r w:rsidRPr="00DF0BA2">
        <w:rPr>
          <w:rFonts w:ascii="Times New Roman" w:eastAsia="Times New Roman" w:hAnsi="Times New Roman" w:cs="Times New Roman"/>
          <w:b/>
          <w:color w:val="000000" w:themeColor="text1"/>
          <w:sz w:val="24"/>
          <w:szCs w:val="24"/>
        </w:rPr>
        <w:t>1 :</w:t>
      </w:r>
      <w:proofErr w:type="gramEnd"/>
      <w:r w:rsidRPr="00DF0BA2">
        <w:rPr>
          <w:rFonts w:ascii="Times New Roman" w:eastAsia="Times New Roman" w:hAnsi="Times New Roman" w:cs="Times New Roman"/>
          <w:b/>
          <w:color w:val="000000" w:themeColor="text1"/>
          <w:sz w:val="24"/>
          <w:szCs w:val="24"/>
        </w:rPr>
        <w:t xml:space="preserve">  Comparative Study of quality </w:t>
      </w:r>
      <w:proofErr w:type="gramStart"/>
      <w:r w:rsidRPr="00DF0BA2">
        <w:rPr>
          <w:rFonts w:ascii="Times New Roman" w:eastAsia="Times New Roman" w:hAnsi="Times New Roman" w:cs="Times New Roman"/>
          <w:b/>
          <w:color w:val="000000" w:themeColor="text1"/>
          <w:sz w:val="24"/>
          <w:szCs w:val="24"/>
        </w:rPr>
        <w:t xml:space="preserve">of  </w:t>
      </w:r>
      <w:proofErr w:type="spellStart"/>
      <w:r w:rsidRPr="00DF0BA2">
        <w:rPr>
          <w:rFonts w:ascii="Times New Roman" w:eastAsia="Times New Roman" w:hAnsi="Times New Roman" w:cs="Times New Roman"/>
          <w:b/>
          <w:color w:val="000000" w:themeColor="text1"/>
          <w:sz w:val="24"/>
          <w:szCs w:val="24"/>
        </w:rPr>
        <w:t>coirpith</w:t>
      </w:r>
      <w:proofErr w:type="spellEnd"/>
      <w:proofErr w:type="gramEnd"/>
      <w:r w:rsidRPr="00DF0BA2">
        <w:rPr>
          <w:rFonts w:ascii="Times New Roman" w:eastAsia="Times New Roman" w:hAnsi="Times New Roman" w:cs="Times New Roman"/>
          <w:b/>
          <w:color w:val="000000" w:themeColor="text1"/>
          <w:sz w:val="24"/>
          <w:szCs w:val="24"/>
        </w:rPr>
        <w:t xml:space="preserve"> pro-tray media with </w:t>
      </w:r>
      <w:proofErr w:type="gramStart"/>
      <w:r w:rsidRPr="00DF0BA2">
        <w:rPr>
          <w:rFonts w:ascii="Times New Roman" w:eastAsia="Times New Roman" w:hAnsi="Times New Roman" w:cs="Times New Roman"/>
          <w:b/>
          <w:color w:val="000000" w:themeColor="text1"/>
          <w:sz w:val="24"/>
          <w:szCs w:val="24"/>
        </w:rPr>
        <w:t>fresh  (</w:t>
      </w:r>
      <w:proofErr w:type="gramEnd"/>
      <w:r w:rsidRPr="00DF0BA2">
        <w:rPr>
          <w:rFonts w:ascii="Times New Roman" w:eastAsia="Times New Roman" w:hAnsi="Times New Roman" w:cs="Times New Roman"/>
          <w:b/>
          <w:color w:val="000000" w:themeColor="text1"/>
          <w:sz w:val="24"/>
          <w:szCs w:val="24"/>
        </w:rPr>
        <w:t xml:space="preserve">0 </w:t>
      </w:r>
      <w:proofErr w:type="gramStart"/>
      <w:r w:rsidRPr="00DF0BA2">
        <w:rPr>
          <w:rFonts w:ascii="Times New Roman" w:eastAsia="Times New Roman" w:hAnsi="Times New Roman" w:cs="Times New Roman"/>
          <w:b/>
          <w:color w:val="000000" w:themeColor="text1"/>
          <w:sz w:val="24"/>
          <w:szCs w:val="24"/>
        </w:rPr>
        <w:t>day)  raw</w:t>
      </w:r>
      <w:proofErr w:type="gramEnd"/>
      <w:r w:rsidRPr="00DF0BA2">
        <w:rPr>
          <w:rFonts w:ascii="Times New Roman" w:eastAsia="Times New Roman" w:hAnsi="Times New Roman" w:cs="Times New Roman"/>
          <w:b/>
          <w:color w:val="000000" w:themeColor="text1"/>
          <w:sz w:val="24"/>
          <w:szCs w:val="24"/>
        </w:rPr>
        <w:t xml:space="preserve"> </w:t>
      </w:r>
      <w:proofErr w:type="spellStart"/>
      <w:r w:rsidRPr="00DF0BA2">
        <w:rPr>
          <w:rFonts w:ascii="Times New Roman" w:eastAsia="Times New Roman" w:hAnsi="Times New Roman" w:cs="Times New Roman"/>
          <w:b/>
          <w:color w:val="000000" w:themeColor="text1"/>
          <w:sz w:val="24"/>
          <w:szCs w:val="24"/>
        </w:rPr>
        <w:t>coirpith</w:t>
      </w:r>
      <w:proofErr w:type="spellEnd"/>
      <w:r w:rsidRPr="00DF0BA2">
        <w:rPr>
          <w:rFonts w:ascii="Times New Roman" w:eastAsia="Times New Roman" w:hAnsi="Times New Roman" w:cs="Times New Roman"/>
          <w:b/>
          <w:color w:val="000000" w:themeColor="text1"/>
          <w:sz w:val="24"/>
          <w:szCs w:val="24"/>
        </w:rPr>
        <w:t xml:space="preserve"> &amp; </w:t>
      </w:r>
      <w:proofErr w:type="spellStart"/>
      <w:r w:rsidRPr="00DF0BA2">
        <w:rPr>
          <w:rFonts w:ascii="Times New Roman" w:eastAsia="Times New Roman" w:hAnsi="Times New Roman" w:cs="Times New Roman"/>
          <w:b/>
          <w:color w:val="000000" w:themeColor="text1"/>
          <w:sz w:val="24"/>
          <w:szCs w:val="24"/>
        </w:rPr>
        <w:t>Gypsum+Urea</w:t>
      </w:r>
      <w:proofErr w:type="spellEnd"/>
      <w:r w:rsidRPr="00DF0BA2">
        <w:rPr>
          <w:rFonts w:ascii="Times New Roman" w:eastAsia="Times New Roman" w:hAnsi="Times New Roman" w:cs="Times New Roman"/>
          <w:b/>
          <w:color w:val="000000" w:themeColor="text1"/>
          <w:sz w:val="24"/>
          <w:szCs w:val="24"/>
        </w:rPr>
        <w:t xml:space="preserve"> treated coir pith</w:t>
      </w:r>
    </w:p>
    <w:tbl>
      <w:tblPr>
        <w:tblW w:w="14670" w:type="dxa"/>
        <w:tblInd w:w="-72" w:type="dxa"/>
        <w:tblBorders>
          <w:top w:val="single" w:sz="4" w:space="0" w:color="auto"/>
          <w:bottom w:val="single" w:sz="4" w:space="0" w:color="auto"/>
        </w:tblBorders>
        <w:tblLook w:val="04A0" w:firstRow="1" w:lastRow="0" w:firstColumn="1" w:lastColumn="0" w:noHBand="0" w:noVBand="1"/>
      </w:tblPr>
      <w:tblGrid>
        <w:gridCol w:w="555"/>
        <w:gridCol w:w="2505"/>
        <w:gridCol w:w="90"/>
        <w:gridCol w:w="1350"/>
        <w:gridCol w:w="1400"/>
        <w:gridCol w:w="1660"/>
        <w:gridCol w:w="1530"/>
        <w:gridCol w:w="210"/>
        <w:gridCol w:w="1050"/>
        <w:gridCol w:w="1280"/>
        <w:gridCol w:w="1720"/>
        <w:gridCol w:w="1320"/>
      </w:tblGrid>
      <w:tr w:rsidR="00DF0BA2" w:rsidRPr="00DF0BA2" w14:paraId="0C756304" w14:textId="77777777" w:rsidTr="00785393">
        <w:trPr>
          <w:trHeight w:val="458"/>
        </w:trPr>
        <w:tc>
          <w:tcPr>
            <w:tcW w:w="555" w:type="dxa"/>
            <w:vMerge w:val="restart"/>
            <w:tcBorders>
              <w:top w:val="single" w:sz="4" w:space="0" w:color="auto"/>
              <w:bottom w:val="nil"/>
            </w:tcBorders>
            <w:vAlign w:val="center"/>
            <w:hideMark/>
          </w:tcPr>
          <w:p w14:paraId="0A6937E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Sl. No.</w:t>
            </w:r>
          </w:p>
        </w:tc>
        <w:tc>
          <w:tcPr>
            <w:tcW w:w="2505" w:type="dxa"/>
            <w:vMerge w:val="restart"/>
            <w:tcBorders>
              <w:top w:val="single" w:sz="4" w:space="0" w:color="auto"/>
              <w:bottom w:val="nil"/>
            </w:tcBorders>
            <w:vAlign w:val="center"/>
            <w:hideMark/>
          </w:tcPr>
          <w:p w14:paraId="0192BEE3"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Test Parameters</w:t>
            </w:r>
          </w:p>
        </w:tc>
        <w:tc>
          <w:tcPr>
            <w:tcW w:w="6030" w:type="dxa"/>
            <w:gridSpan w:val="5"/>
            <w:tcBorders>
              <w:top w:val="single" w:sz="4" w:space="0" w:color="auto"/>
              <w:bottom w:val="single" w:sz="4" w:space="0" w:color="auto"/>
              <w:right w:val="single" w:sz="4" w:space="0" w:color="auto"/>
            </w:tcBorders>
            <w:vAlign w:val="center"/>
            <w:hideMark/>
          </w:tcPr>
          <w:p w14:paraId="75B1CAC0"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Fresh  (0 day) raw </w:t>
            </w:r>
            <w:proofErr w:type="spellStart"/>
            <w:r w:rsidRPr="00DF0BA2">
              <w:rPr>
                <w:rFonts w:ascii="Times New Roman" w:eastAsia="Times New Roman" w:hAnsi="Times New Roman" w:cs="Times New Roman"/>
                <w:b/>
                <w:bCs/>
                <w:color w:val="000000" w:themeColor="text1"/>
                <w:sz w:val="16"/>
                <w:szCs w:val="20"/>
              </w:rPr>
              <w:t>coirpith</w:t>
            </w:r>
            <w:proofErr w:type="spellEnd"/>
          </w:p>
        </w:tc>
        <w:tc>
          <w:tcPr>
            <w:tcW w:w="5580" w:type="dxa"/>
            <w:gridSpan w:val="5"/>
            <w:tcBorders>
              <w:top w:val="single" w:sz="4" w:space="0" w:color="auto"/>
              <w:left w:val="single" w:sz="4" w:space="0" w:color="auto"/>
              <w:bottom w:val="single" w:sz="4" w:space="0" w:color="auto"/>
            </w:tcBorders>
            <w:vAlign w:val="bottom"/>
            <w:hideMark/>
          </w:tcPr>
          <w:p w14:paraId="40BC221C"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Fresh  (0 day) raw </w:t>
            </w:r>
            <w:proofErr w:type="spellStart"/>
            <w:r w:rsidRPr="00DF0BA2">
              <w:rPr>
                <w:rFonts w:ascii="Times New Roman" w:eastAsia="Times New Roman" w:hAnsi="Times New Roman" w:cs="Times New Roman"/>
                <w:b/>
                <w:bCs/>
                <w:color w:val="000000" w:themeColor="text1"/>
                <w:sz w:val="16"/>
                <w:szCs w:val="20"/>
              </w:rPr>
              <w:t>coirpith</w:t>
            </w:r>
            <w:proofErr w:type="spellEnd"/>
            <w:r w:rsidRPr="00DF0BA2">
              <w:rPr>
                <w:rFonts w:ascii="Times New Roman" w:eastAsia="Times New Roman" w:hAnsi="Times New Roman" w:cs="Times New Roman"/>
                <w:b/>
                <w:bCs/>
                <w:color w:val="000000" w:themeColor="text1"/>
                <w:sz w:val="16"/>
                <w:szCs w:val="20"/>
              </w:rPr>
              <w:t xml:space="preserve"> amended with gypsum (25kgt</w:t>
            </w:r>
            <w:r w:rsidRPr="00DF0BA2">
              <w:rPr>
                <w:rFonts w:ascii="Times New Roman" w:eastAsia="Times New Roman" w:hAnsi="Times New Roman" w:cs="Times New Roman"/>
                <w:b/>
                <w:bCs/>
                <w:color w:val="000000" w:themeColor="text1"/>
                <w:sz w:val="16"/>
                <w:szCs w:val="20"/>
                <w:vertAlign w:val="superscript"/>
              </w:rPr>
              <w:t>-1</w:t>
            </w:r>
            <w:r w:rsidRPr="00DF0BA2">
              <w:rPr>
                <w:rFonts w:ascii="Times New Roman" w:eastAsia="Times New Roman" w:hAnsi="Times New Roman" w:cs="Times New Roman"/>
                <w:b/>
                <w:bCs/>
                <w:color w:val="000000" w:themeColor="text1"/>
                <w:sz w:val="16"/>
                <w:szCs w:val="20"/>
              </w:rPr>
              <w:t>) and urea (4 kg</w:t>
            </w:r>
            <w:r w:rsidRPr="00DF0BA2">
              <w:rPr>
                <w:rFonts w:ascii="Times New Roman" w:eastAsia="Times New Roman" w:hAnsi="Times New Roman" w:cs="Times New Roman"/>
                <w:b/>
                <w:bCs/>
                <w:color w:val="000000" w:themeColor="text1"/>
                <w:sz w:val="16"/>
                <w:szCs w:val="20"/>
                <w:vertAlign w:val="superscript"/>
              </w:rPr>
              <w:t>t-1</w:t>
            </w:r>
            <w:r w:rsidRPr="00DF0BA2">
              <w:rPr>
                <w:rFonts w:ascii="Times New Roman" w:eastAsia="Times New Roman" w:hAnsi="Times New Roman" w:cs="Times New Roman"/>
                <w:b/>
                <w:bCs/>
                <w:color w:val="000000" w:themeColor="text1"/>
                <w:sz w:val="16"/>
                <w:szCs w:val="20"/>
              </w:rPr>
              <w:t>)as per conventional method</w:t>
            </w:r>
          </w:p>
        </w:tc>
      </w:tr>
      <w:tr w:rsidR="00DF0BA2" w:rsidRPr="00DF0BA2" w14:paraId="521A4467" w14:textId="77777777" w:rsidTr="00ED0CBB">
        <w:trPr>
          <w:trHeight w:val="980"/>
        </w:trPr>
        <w:tc>
          <w:tcPr>
            <w:tcW w:w="555" w:type="dxa"/>
            <w:vMerge/>
            <w:tcBorders>
              <w:top w:val="nil"/>
              <w:bottom w:val="single" w:sz="4" w:space="0" w:color="auto"/>
            </w:tcBorders>
            <w:vAlign w:val="center"/>
            <w:hideMark/>
          </w:tcPr>
          <w:p w14:paraId="0E6457F0"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p>
        </w:tc>
        <w:tc>
          <w:tcPr>
            <w:tcW w:w="2505" w:type="dxa"/>
            <w:vMerge/>
            <w:tcBorders>
              <w:top w:val="nil"/>
              <w:bottom w:val="single" w:sz="4" w:space="0" w:color="auto"/>
            </w:tcBorders>
            <w:vAlign w:val="center"/>
            <w:hideMark/>
          </w:tcPr>
          <w:p w14:paraId="3A8E509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p>
        </w:tc>
        <w:tc>
          <w:tcPr>
            <w:tcW w:w="1440" w:type="dxa"/>
            <w:gridSpan w:val="2"/>
            <w:tcBorders>
              <w:top w:val="single" w:sz="4" w:space="0" w:color="auto"/>
              <w:bottom w:val="single" w:sz="4" w:space="0" w:color="auto"/>
            </w:tcBorders>
            <w:vAlign w:val="center"/>
            <w:hideMark/>
          </w:tcPr>
          <w:p w14:paraId="00B7098D"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Control 1 (0 day )[Day of experiment Initiation]</w:t>
            </w:r>
          </w:p>
        </w:tc>
        <w:tc>
          <w:tcPr>
            <w:tcW w:w="1400" w:type="dxa"/>
            <w:tcBorders>
              <w:top w:val="single" w:sz="4" w:space="0" w:color="auto"/>
              <w:bottom w:val="single" w:sz="4" w:space="0" w:color="auto"/>
            </w:tcBorders>
            <w:vAlign w:val="center"/>
            <w:hideMark/>
          </w:tcPr>
          <w:p w14:paraId="08F62564"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Control 2 (40 day) after initiation of experiment</w:t>
            </w:r>
          </w:p>
        </w:tc>
        <w:tc>
          <w:tcPr>
            <w:tcW w:w="1660" w:type="dxa"/>
            <w:tcBorders>
              <w:top w:val="single" w:sz="4" w:space="0" w:color="auto"/>
              <w:bottom w:val="single" w:sz="4" w:space="0" w:color="auto"/>
            </w:tcBorders>
            <w:vAlign w:val="center"/>
            <w:hideMark/>
          </w:tcPr>
          <w:p w14:paraId="66052586"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Pro-Tray material developed under </w:t>
            </w:r>
            <w:proofErr w:type="spellStart"/>
            <w:r w:rsidRPr="00DF0BA2">
              <w:rPr>
                <w:rFonts w:ascii="Times New Roman" w:eastAsia="Times New Roman" w:hAnsi="Times New Roman" w:cs="Times New Roman"/>
                <w:b/>
                <w:bCs/>
                <w:color w:val="000000" w:themeColor="text1"/>
                <w:sz w:val="16"/>
                <w:szCs w:val="20"/>
              </w:rPr>
              <w:t>Novcom</w:t>
            </w:r>
            <w:proofErr w:type="spellEnd"/>
            <w:r w:rsidRPr="00DF0BA2">
              <w:rPr>
                <w:rFonts w:ascii="Times New Roman" w:eastAsia="Times New Roman" w:hAnsi="Times New Roman" w:cs="Times New Roman"/>
                <w:b/>
                <w:bCs/>
                <w:color w:val="000000" w:themeColor="text1"/>
                <w:sz w:val="16"/>
                <w:szCs w:val="20"/>
              </w:rPr>
              <w:t xml:space="preserve"> Technology</w:t>
            </w:r>
          </w:p>
          <w:p w14:paraId="6E7D73DC"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(40 Days)</w:t>
            </w:r>
          </w:p>
        </w:tc>
        <w:tc>
          <w:tcPr>
            <w:tcW w:w="1530" w:type="dxa"/>
            <w:tcBorders>
              <w:top w:val="single" w:sz="4" w:space="0" w:color="auto"/>
              <w:bottom w:val="single" w:sz="4" w:space="0" w:color="auto"/>
              <w:right w:val="single" w:sz="4" w:space="0" w:color="auto"/>
            </w:tcBorders>
            <w:vAlign w:val="center"/>
            <w:hideMark/>
          </w:tcPr>
          <w:p w14:paraId="5DD2AFEA" w14:textId="77777777" w:rsidR="00F7194B" w:rsidRPr="00DF0BA2" w:rsidRDefault="00F7194B" w:rsidP="00ED0CBB">
            <w:pPr>
              <w:spacing w:after="0" w:line="240" w:lineRule="auto"/>
              <w:ind w:left="-108" w:right="-108"/>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Pro-Tray material developed under Conventional Method</w:t>
            </w:r>
          </w:p>
          <w:p w14:paraId="76B37A8C" w14:textId="77777777" w:rsidR="00F7194B" w:rsidRPr="00DF0BA2" w:rsidRDefault="00F7194B" w:rsidP="00ED0CBB">
            <w:pPr>
              <w:spacing w:after="0" w:line="240" w:lineRule="auto"/>
              <w:ind w:left="-108" w:right="-108"/>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(12 months)</w:t>
            </w:r>
          </w:p>
        </w:tc>
        <w:tc>
          <w:tcPr>
            <w:tcW w:w="1260" w:type="dxa"/>
            <w:gridSpan w:val="2"/>
            <w:tcBorders>
              <w:top w:val="single" w:sz="4" w:space="0" w:color="auto"/>
              <w:left w:val="single" w:sz="4" w:space="0" w:color="auto"/>
              <w:bottom w:val="single" w:sz="4" w:space="0" w:color="auto"/>
            </w:tcBorders>
            <w:vAlign w:val="center"/>
            <w:hideMark/>
          </w:tcPr>
          <w:p w14:paraId="5E714531"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Control 1 (0 day )</w:t>
            </w:r>
          </w:p>
        </w:tc>
        <w:tc>
          <w:tcPr>
            <w:tcW w:w="1280" w:type="dxa"/>
            <w:tcBorders>
              <w:top w:val="single" w:sz="4" w:space="0" w:color="auto"/>
              <w:bottom w:val="single" w:sz="4" w:space="0" w:color="auto"/>
            </w:tcBorders>
            <w:vAlign w:val="center"/>
            <w:hideMark/>
          </w:tcPr>
          <w:p w14:paraId="3A785E37"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Control 2 (40 day ) after initiation of experiment</w:t>
            </w:r>
          </w:p>
        </w:tc>
        <w:tc>
          <w:tcPr>
            <w:tcW w:w="1720" w:type="dxa"/>
            <w:tcBorders>
              <w:top w:val="single" w:sz="4" w:space="0" w:color="auto"/>
              <w:bottom w:val="single" w:sz="4" w:space="0" w:color="auto"/>
            </w:tcBorders>
            <w:vAlign w:val="center"/>
            <w:hideMark/>
          </w:tcPr>
          <w:p w14:paraId="36C32FA9"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Pro-Tray material developed under </w:t>
            </w:r>
            <w:proofErr w:type="spellStart"/>
            <w:r w:rsidRPr="00DF0BA2">
              <w:rPr>
                <w:rFonts w:ascii="Times New Roman" w:eastAsia="Times New Roman" w:hAnsi="Times New Roman" w:cs="Times New Roman"/>
                <w:b/>
                <w:bCs/>
                <w:color w:val="000000" w:themeColor="text1"/>
                <w:sz w:val="16"/>
                <w:szCs w:val="20"/>
              </w:rPr>
              <w:t>Novcom</w:t>
            </w:r>
            <w:proofErr w:type="spellEnd"/>
            <w:r w:rsidRPr="00DF0BA2">
              <w:rPr>
                <w:rFonts w:ascii="Times New Roman" w:eastAsia="Times New Roman" w:hAnsi="Times New Roman" w:cs="Times New Roman"/>
                <w:b/>
                <w:bCs/>
                <w:color w:val="000000" w:themeColor="text1"/>
                <w:sz w:val="16"/>
                <w:szCs w:val="20"/>
              </w:rPr>
              <w:t xml:space="preserve"> Technology</w:t>
            </w:r>
          </w:p>
          <w:p w14:paraId="79082B66" w14:textId="77777777" w:rsidR="00F7194B" w:rsidRPr="00DF0BA2" w:rsidRDefault="00F7194B" w:rsidP="00F337D2">
            <w:pPr>
              <w:spacing w:after="0" w:line="240" w:lineRule="auto"/>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(40 Days)</w:t>
            </w:r>
          </w:p>
        </w:tc>
        <w:tc>
          <w:tcPr>
            <w:tcW w:w="1320" w:type="dxa"/>
            <w:tcBorders>
              <w:top w:val="single" w:sz="4" w:space="0" w:color="auto"/>
              <w:bottom w:val="single" w:sz="4" w:space="0" w:color="auto"/>
            </w:tcBorders>
            <w:vAlign w:val="center"/>
            <w:hideMark/>
          </w:tcPr>
          <w:p w14:paraId="4975F36C" w14:textId="77777777" w:rsidR="00F7194B" w:rsidRPr="00DF0BA2" w:rsidRDefault="00F7194B" w:rsidP="00F337D2">
            <w:pPr>
              <w:spacing w:after="0" w:line="240" w:lineRule="auto"/>
              <w:ind w:left="-48" w:right="-108"/>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Pro-Tray material developed under Conventional Method</w:t>
            </w:r>
          </w:p>
          <w:p w14:paraId="4D084A61" w14:textId="77777777" w:rsidR="00F7194B" w:rsidRPr="00DF0BA2" w:rsidRDefault="00F7194B" w:rsidP="00F337D2">
            <w:pPr>
              <w:spacing w:after="0" w:line="240" w:lineRule="auto"/>
              <w:ind w:left="-48" w:right="-108"/>
              <w:jc w:val="center"/>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(12 months)</w:t>
            </w:r>
          </w:p>
        </w:tc>
      </w:tr>
      <w:tr w:rsidR="00DF0BA2" w:rsidRPr="00DF0BA2" w14:paraId="3EE6D490" w14:textId="77777777" w:rsidTr="00785393">
        <w:trPr>
          <w:trHeight w:val="315"/>
        </w:trPr>
        <w:tc>
          <w:tcPr>
            <w:tcW w:w="14670" w:type="dxa"/>
            <w:gridSpan w:val="12"/>
            <w:tcBorders>
              <w:top w:val="single" w:sz="4" w:space="0" w:color="auto"/>
            </w:tcBorders>
            <w:vAlign w:val="center"/>
            <w:hideMark/>
          </w:tcPr>
          <w:p w14:paraId="54BF031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PHYSICOCHEMICAL PARAMETERS</w:t>
            </w:r>
          </w:p>
        </w:tc>
      </w:tr>
      <w:tr w:rsidR="00DF0BA2" w:rsidRPr="00DF0BA2" w14:paraId="0834989C" w14:textId="77777777" w:rsidTr="00F337D2">
        <w:trPr>
          <w:trHeight w:val="140"/>
        </w:trPr>
        <w:tc>
          <w:tcPr>
            <w:tcW w:w="555" w:type="dxa"/>
            <w:vAlign w:val="center"/>
            <w:hideMark/>
          </w:tcPr>
          <w:p w14:paraId="3875632B"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w:t>
            </w:r>
          </w:p>
        </w:tc>
        <w:tc>
          <w:tcPr>
            <w:tcW w:w="2595" w:type="dxa"/>
            <w:gridSpan w:val="2"/>
            <w:vAlign w:val="center"/>
            <w:hideMark/>
          </w:tcPr>
          <w:p w14:paraId="0A6A2DB5"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Moisture (%)</w:t>
            </w:r>
          </w:p>
        </w:tc>
        <w:tc>
          <w:tcPr>
            <w:tcW w:w="1350" w:type="dxa"/>
            <w:vAlign w:val="center"/>
            <w:hideMark/>
          </w:tcPr>
          <w:p w14:paraId="26683E5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72.28</w:t>
            </w:r>
          </w:p>
        </w:tc>
        <w:tc>
          <w:tcPr>
            <w:tcW w:w="1400" w:type="dxa"/>
            <w:vAlign w:val="center"/>
            <w:hideMark/>
          </w:tcPr>
          <w:p w14:paraId="082D45D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68.39</w:t>
            </w:r>
          </w:p>
        </w:tc>
        <w:tc>
          <w:tcPr>
            <w:tcW w:w="1660" w:type="dxa"/>
            <w:vAlign w:val="center"/>
            <w:hideMark/>
          </w:tcPr>
          <w:p w14:paraId="4BDBEFB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79.75</w:t>
            </w:r>
          </w:p>
        </w:tc>
        <w:tc>
          <w:tcPr>
            <w:tcW w:w="1530" w:type="dxa"/>
            <w:tcBorders>
              <w:right w:val="single" w:sz="4" w:space="0" w:color="auto"/>
            </w:tcBorders>
            <w:vAlign w:val="center"/>
            <w:hideMark/>
          </w:tcPr>
          <w:p w14:paraId="4F8901D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65.22</w:t>
            </w:r>
          </w:p>
        </w:tc>
        <w:tc>
          <w:tcPr>
            <w:tcW w:w="1260" w:type="dxa"/>
            <w:gridSpan w:val="2"/>
            <w:tcBorders>
              <w:top w:val="nil"/>
              <w:left w:val="single" w:sz="4" w:space="0" w:color="auto"/>
              <w:bottom w:val="nil"/>
            </w:tcBorders>
            <w:vAlign w:val="center"/>
            <w:hideMark/>
          </w:tcPr>
          <w:p w14:paraId="5617BF2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67.74</w:t>
            </w:r>
          </w:p>
        </w:tc>
        <w:tc>
          <w:tcPr>
            <w:tcW w:w="1280" w:type="dxa"/>
            <w:tcBorders>
              <w:top w:val="nil"/>
              <w:bottom w:val="nil"/>
            </w:tcBorders>
            <w:noWrap/>
            <w:vAlign w:val="center"/>
            <w:hideMark/>
          </w:tcPr>
          <w:p w14:paraId="680D7AFB"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65.22</w:t>
            </w:r>
          </w:p>
        </w:tc>
        <w:tc>
          <w:tcPr>
            <w:tcW w:w="1720" w:type="dxa"/>
            <w:tcBorders>
              <w:top w:val="nil"/>
              <w:bottom w:val="nil"/>
            </w:tcBorders>
            <w:noWrap/>
            <w:vAlign w:val="center"/>
            <w:hideMark/>
          </w:tcPr>
          <w:p w14:paraId="6833EF6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81.16</w:t>
            </w:r>
          </w:p>
        </w:tc>
        <w:tc>
          <w:tcPr>
            <w:tcW w:w="1320" w:type="dxa"/>
            <w:tcBorders>
              <w:top w:val="nil"/>
              <w:bottom w:val="nil"/>
            </w:tcBorders>
            <w:vAlign w:val="center"/>
            <w:hideMark/>
          </w:tcPr>
          <w:p w14:paraId="2B737AA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82.63</w:t>
            </w:r>
          </w:p>
        </w:tc>
      </w:tr>
      <w:tr w:rsidR="00DF0BA2" w:rsidRPr="00DF0BA2" w14:paraId="3C2AE5B0" w14:textId="77777777" w:rsidTr="00F337D2">
        <w:trPr>
          <w:trHeight w:val="224"/>
        </w:trPr>
        <w:tc>
          <w:tcPr>
            <w:tcW w:w="555" w:type="dxa"/>
            <w:vAlign w:val="center"/>
            <w:hideMark/>
          </w:tcPr>
          <w:p w14:paraId="64CF4088"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2</w:t>
            </w:r>
          </w:p>
        </w:tc>
        <w:tc>
          <w:tcPr>
            <w:tcW w:w="2595" w:type="dxa"/>
            <w:gridSpan w:val="2"/>
            <w:vAlign w:val="center"/>
            <w:hideMark/>
          </w:tcPr>
          <w:p w14:paraId="7DEB9385"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pH (H</w:t>
            </w:r>
            <w:r w:rsidRPr="00DF0BA2">
              <w:rPr>
                <w:rFonts w:ascii="Times New Roman" w:eastAsia="Times New Roman" w:hAnsi="Times New Roman" w:cs="Times New Roman"/>
                <w:b/>
                <w:bCs/>
                <w:color w:val="000000" w:themeColor="text1"/>
                <w:sz w:val="16"/>
                <w:szCs w:val="20"/>
                <w:vertAlign w:val="subscript"/>
              </w:rPr>
              <w:t>2</w:t>
            </w:r>
            <w:r w:rsidRPr="00DF0BA2">
              <w:rPr>
                <w:rFonts w:ascii="Times New Roman" w:eastAsia="Times New Roman" w:hAnsi="Times New Roman" w:cs="Times New Roman"/>
                <w:b/>
                <w:bCs/>
                <w:color w:val="000000" w:themeColor="text1"/>
                <w:sz w:val="16"/>
                <w:szCs w:val="20"/>
              </w:rPr>
              <w:t>O) (1:10)</w:t>
            </w:r>
          </w:p>
        </w:tc>
        <w:tc>
          <w:tcPr>
            <w:tcW w:w="1350" w:type="dxa"/>
            <w:vAlign w:val="center"/>
            <w:hideMark/>
          </w:tcPr>
          <w:p w14:paraId="518747A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5.39</w:t>
            </w:r>
          </w:p>
        </w:tc>
        <w:tc>
          <w:tcPr>
            <w:tcW w:w="1400" w:type="dxa"/>
            <w:vAlign w:val="center"/>
            <w:hideMark/>
          </w:tcPr>
          <w:p w14:paraId="4DD4D91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5.31</w:t>
            </w:r>
          </w:p>
        </w:tc>
        <w:tc>
          <w:tcPr>
            <w:tcW w:w="1660" w:type="dxa"/>
            <w:vAlign w:val="center"/>
            <w:hideMark/>
          </w:tcPr>
          <w:p w14:paraId="79981D4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5.74</w:t>
            </w:r>
          </w:p>
        </w:tc>
        <w:tc>
          <w:tcPr>
            <w:tcW w:w="1530" w:type="dxa"/>
            <w:tcBorders>
              <w:right w:val="single" w:sz="4" w:space="0" w:color="auto"/>
            </w:tcBorders>
            <w:vAlign w:val="center"/>
            <w:hideMark/>
          </w:tcPr>
          <w:p w14:paraId="5BA7AD7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5.01</w:t>
            </w:r>
          </w:p>
        </w:tc>
        <w:tc>
          <w:tcPr>
            <w:tcW w:w="1260" w:type="dxa"/>
            <w:gridSpan w:val="2"/>
            <w:tcBorders>
              <w:top w:val="nil"/>
              <w:left w:val="single" w:sz="4" w:space="0" w:color="auto"/>
              <w:bottom w:val="nil"/>
            </w:tcBorders>
            <w:vAlign w:val="center"/>
            <w:hideMark/>
          </w:tcPr>
          <w:p w14:paraId="4AB6A07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5.69</w:t>
            </w:r>
          </w:p>
        </w:tc>
        <w:tc>
          <w:tcPr>
            <w:tcW w:w="1280" w:type="dxa"/>
            <w:tcBorders>
              <w:top w:val="nil"/>
              <w:bottom w:val="nil"/>
            </w:tcBorders>
            <w:noWrap/>
            <w:vAlign w:val="center"/>
            <w:hideMark/>
          </w:tcPr>
          <w:p w14:paraId="5B38020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5.59</w:t>
            </w:r>
          </w:p>
        </w:tc>
        <w:tc>
          <w:tcPr>
            <w:tcW w:w="1720" w:type="dxa"/>
            <w:tcBorders>
              <w:top w:val="nil"/>
              <w:bottom w:val="nil"/>
            </w:tcBorders>
            <w:noWrap/>
            <w:vAlign w:val="center"/>
            <w:hideMark/>
          </w:tcPr>
          <w:p w14:paraId="0EB3855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5.65</w:t>
            </w:r>
          </w:p>
        </w:tc>
        <w:tc>
          <w:tcPr>
            <w:tcW w:w="1320" w:type="dxa"/>
            <w:tcBorders>
              <w:top w:val="nil"/>
              <w:bottom w:val="nil"/>
            </w:tcBorders>
            <w:vAlign w:val="center"/>
            <w:hideMark/>
          </w:tcPr>
          <w:p w14:paraId="1810160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5.36</w:t>
            </w:r>
          </w:p>
        </w:tc>
      </w:tr>
      <w:tr w:rsidR="00DF0BA2" w:rsidRPr="00DF0BA2" w14:paraId="29BFB0E8" w14:textId="77777777" w:rsidTr="00F337D2">
        <w:trPr>
          <w:trHeight w:val="260"/>
        </w:trPr>
        <w:tc>
          <w:tcPr>
            <w:tcW w:w="555" w:type="dxa"/>
            <w:vAlign w:val="center"/>
            <w:hideMark/>
          </w:tcPr>
          <w:p w14:paraId="54BA592B"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3</w:t>
            </w:r>
          </w:p>
        </w:tc>
        <w:tc>
          <w:tcPr>
            <w:tcW w:w="2595" w:type="dxa"/>
            <w:gridSpan w:val="2"/>
            <w:vAlign w:val="center"/>
            <w:hideMark/>
          </w:tcPr>
          <w:p w14:paraId="0BFBA45C"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EC (dSm</w:t>
            </w:r>
            <w:r w:rsidRPr="00DF0BA2">
              <w:rPr>
                <w:rFonts w:ascii="Times New Roman" w:eastAsia="Times New Roman" w:hAnsi="Times New Roman" w:cs="Times New Roman"/>
                <w:b/>
                <w:bCs/>
                <w:color w:val="000000" w:themeColor="text1"/>
                <w:sz w:val="16"/>
                <w:szCs w:val="20"/>
                <w:vertAlign w:val="superscript"/>
              </w:rPr>
              <w:t>-1</w:t>
            </w:r>
            <w:r w:rsidRPr="00DF0BA2">
              <w:rPr>
                <w:rFonts w:ascii="Times New Roman" w:eastAsia="Times New Roman" w:hAnsi="Times New Roman" w:cs="Times New Roman"/>
                <w:b/>
                <w:bCs/>
                <w:color w:val="000000" w:themeColor="text1"/>
                <w:sz w:val="16"/>
                <w:szCs w:val="20"/>
              </w:rPr>
              <w:t>) (1:10)</w:t>
            </w:r>
          </w:p>
        </w:tc>
        <w:tc>
          <w:tcPr>
            <w:tcW w:w="1350" w:type="dxa"/>
            <w:vAlign w:val="center"/>
            <w:hideMark/>
          </w:tcPr>
          <w:p w14:paraId="4FDD19D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3.29</w:t>
            </w:r>
          </w:p>
        </w:tc>
        <w:tc>
          <w:tcPr>
            <w:tcW w:w="1400" w:type="dxa"/>
            <w:vAlign w:val="center"/>
            <w:hideMark/>
          </w:tcPr>
          <w:p w14:paraId="703429D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3.25</w:t>
            </w:r>
          </w:p>
        </w:tc>
        <w:tc>
          <w:tcPr>
            <w:tcW w:w="1660" w:type="dxa"/>
            <w:vAlign w:val="center"/>
            <w:hideMark/>
          </w:tcPr>
          <w:p w14:paraId="1C35D87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2.21</w:t>
            </w:r>
          </w:p>
        </w:tc>
        <w:tc>
          <w:tcPr>
            <w:tcW w:w="1530" w:type="dxa"/>
            <w:tcBorders>
              <w:right w:val="single" w:sz="4" w:space="0" w:color="auto"/>
            </w:tcBorders>
            <w:vAlign w:val="center"/>
            <w:hideMark/>
          </w:tcPr>
          <w:p w14:paraId="58BD883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3.09</w:t>
            </w:r>
          </w:p>
        </w:tc>
        <w:tc>
          <w:tcPr>
            <w:tcW w:w="1260" w:type="dxa"/>
            <w:gridSpan w:val="2"/>
            <w:tcBorders>
              <w:top w:val="nil"/>
              <w:left w:val="single" w:sz="4" w:space="0" w:color="auto"/>
              <w:bottom w:val="nil"/>
            </w:tcBorders>
            <w:vAlign w:val="center"/>
            <w:hideMark/>
          </w:tcPr>
          <w:p w14:paraId="7A1FC16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4.58</w:t>
            </w:r>
          </w:p>
        </w:tc>
        <w:tc>
          <w:tcPr>
            <w:tcW w:w="1280" w:type="dxa"/>
            <w:tcBorders>
              <w:top w:val="nil"/>
              <w:bottom w:val="nil"/>
            </w:tcBorders>
            <w:noWrap/>
            <w:vAlign w:val="center"/>
            <w:hideMark/>
          </w:tcPr>
          <w:p w14:paraId="2F4A9BC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4.51</w:t>
            </w:r>
          </w:p>
        </w:tc>
        <w:tc>
          <w:tcPr>
            <w:tcW w:w="1720" w:type="dxa"/>
            <w:tcBorders>
              <w:top w:val="nil"/>
              <w:bottom w:val="nil"/>
            </w:tcBorders>
            <w:noWrap/>
            <w:vAlign w:val="center"/>
            <w:hideMark/>
          </w:tcPr>
          <w:p w14:paraId="5C47E12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2.51</w:t>
            </w:r>
          </w:p>
        </w:tc>
        <w:tc>
          <w:tcPr>
            <w:tcW w:w="1320" w:type="dxa"/>
            <w:tcBorders>
              <w:top w:val="nil"/>
              <w:bottom w:val="nil"/>
            </w:tcBorders>
            <w:vAlign w:val="center"/>
            <w:hideMark/>
          </w:tcPr>
          <w:p w14:paraId="4C95CBF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3.23</w:t>
            </w:r>
          </w:p>
        </w:tc>
      </w:tr>
      <w:tr w:rsidR="00DF0BA2" w:rsidRPr="00DF0BA2" w14:paraId="72BECF3E" w14:textId="77777777" w:rsidTr="00F337D2">
        <w:trPr>
          <w:trHeight w:val="260"/>
        </w:trPr>
        <w:tc>
          <w:tcPr>
            <w:tcW w:w="555" w:type="dxa"/>
            <w:vAlign w:val="center"/>
            <w:hideMark/>
          </w:tcPr>
          <w:p w14:paraId="39F281C2"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4</w:t>
            </w:r>
          </w:p>
        </w:tc>
        <w:tc>
          <w:tcPr>
            <w:tcW w:w="2595" w:type="dxa"/>
            <w:gridSpan w:val="2"/>
            <w:vAlign w:val="center"/>
            <w:hideMark/>
          </w:tcPr>
          <w:p w14:paraId="2768C246"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Ash Content (%)</w:t>
            </w:r>
          </w:p>
        </w:tc>
        <w:tc>
          <w:tcPr>
            <w:tcW w:w="1350" w:type="dxa"/>
            <w:vAlign w:val="center"/>
            <w:hideMark/>
          </w:tcPr>
          <w:p w14:paraId="78F1C64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10.25</w:t>
            </w:r>
          </w:p>
        </w:tc>
        <w:tc>
          <w:tcPr>
            <w:tcW w:w="1400" w:type="dxa"/>
            <w:vAlign w:val="center"/>
            <w:hideMark/>
          </w:tcPr>
          <w:p w14:paraId="6E4F88B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12.07</w:t>
            </w:r>
          </w:p>
        </w:tc>
        <w:tc>
          <w:tcPr>
            <w:tcW w:w="1660" w:type="dxa"/>
            <w:vAlign w:val="center"/>
            <w:hideMark/>
          </w:tcPr>
          <w:p w14:paraId="7C3DFF3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45.48</w:t>
            </w:r>
          </w:p>
        </w:tc>
        <w:tc>
          <w:tcPr>
            <w:tcW w:w="1530" w:type="dxa"/>
            <w:tcBorders>
              <w:right w:val="single" w:sz="4" w:space="0" w:color="auto"/>
            </w:tcBorders>
            <w:vAlign w:val="center"/>
            <w:hideMark/>
          </w:tcPr>
          <w:p w14:paraId="71740C1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27.01</w:t>
            </w:r>
          </w:p>
        </w:tc>
        <w:tc>
          <w:tcPr>
            <w:tcW w:w="1260" w:type="dxa"/>
            <w:gridSpan w:val="2"/>
            <w:tcBorders>
              <w:top w:val="nil"/>
              <w:left w:val="single" w:sz="4" w:space="0" w:color="auto"/>
              <w:bottom w:val="nil"/>
            </w:tcBorders>
            <w:vAlign w:val="center"/>
            <w:hideMark/>
          </w:tcPr>
          <w:p w14:paraId="0C0089A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10.14</w:t>
            </w:r>
          </w:p>
        </w:tc>
        <w:tc>
          <w:tcPr>
            <w:tcW w:w="1280" w:type="dxa"/>
            <w:tcBorders>
              <w:top w:val="nil"/>
              <w:bottom w:val="nil"/>
            </w:tcBorders>
            <w:vAlign w:val="center"/>
            <w:hideMark/>
          </w:tcPr>
          <w:p w14:paraId="0BAC8CA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14.81</w:t>
            </w:r>
          </w:p>
        </w:tc>
        <w:tc>
          <w:tcPr>
            <w:tcW w:w="1720" w:type="dxa"/>
            <w:tcBorders>
              <w:top w:val="nil"/>
              <w:bottom w:val="nil"/>
            </w:tcBorders>
            <w:vAlign w:val="center"/>
            <w:hideMark/>
          </w:tcPr>
          <w:p w14:paraId="759DA29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45.62</w:t>
            </w:r>
          </w:p>
        </w:tc>
        <w:tc>
          <w:tcPr>
            <w:tcW w:w="1320" w:type="dxa"/>
            <w:tcBorders>
              <w:top w:val="nil"/>
              <w:bottom w:val="nil"/>
            </w:tcBorders>
            <w:vAlign w:val="center"/>
            <w:hideMark/>
          </w:tcPr>
          <w:p w14:paraId="3B742BB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27.35</w:t>
            </w:r>
          </w:p>
        </w:tc>
      </w:tr>
      <w:tr w:rsidR="00DF0BA2" w:rsidRPr="00DF0BA2" w14:paraId="46595AFE" w14:textId="77777777" w:rsidTr="00F337D2">
        <w:trPr>
          <w:trHeight w:val="260"/>
        </w:trPr>
        <w:tc>
          <w:tcPr>
            <w:tcW w:w="555" w:type="dxa"/>
            <w:vAlign w:val="center"/>
            <w:hideMark/>
          </w:tcPr>
          <w:p w14:paraId="1D2178B5"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5</w:t>
            </w:r>
          </w:p>
        </w:tc>
        <w:tc>
          <w:tcPr>
            <w:tcW w:w="2595" w:type="dxa"/>
            <w:gridSpan w:val="2"/>
            <w:vAlign w:val="center"/>
            <w:hideMark/>
          </w:tcPr>
          <w:p w14:paraId="282082E9"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Volatile </w:t>
            </w:r>
            <w:proofErr w:type="gramStart"/>
            <w:r w:rsidRPr="00DF0BA2">
              <w:rPr>
                <w:rFonts w:ascii="Times New Roman" w:eastAsia="Times New Roman" w:hAnsi="Times New Roman" w:cs="Times New Roman"/>
                <w:b/>
                <w:bCs/>
                <w:color w:val="000000" w:themeColor="text1"/>
                <w:sz w:val="16"/>
                <w:szCs w:val="20"/>
              </w:rPr>
              <w:t>Solids(</w:t>
            </w:r>
            <w:proofErr w:type="gramEnd"/>
            <w:r w:rsidRPr="00DF0BA2">
              <w:rPr>
                <w:rFonts w:ascii="Times New Roman" w:eastAsia="Times New Roman" w:hAnsi="Times New Roman" w:cs="Times New Roman"/>
                <w:b/>
                <w:bCs/>
                <w:color w:val="000000" w:themeColor="text1"/>
                <w:sz w:val="16"/>
                <w:szCs w:val="20"/>
              </w:rPr>
              <w:t>%)</w:t>
            </w:r>
          </w:p>
        </w:tc>
        <w:tc>
          <w:tcPr>
            <w:tcW w:w="1350" w:type="dxa"/>
            <w:vAlign w:val="center"/>
            <w:hideMark/>
          </w:tcPr>
          <w:p w14:paraId="024ADF3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89.75</w:t>
            </w:r>
          </w:p>
        </w:tc>
        <w:tc>
          <w:tcPr>
            <w:tcW w:w="1400" w:type="dxa"/>
            <w:vAlign w:val="center"/>
            <w:hideMark/>
          </w:tcPr>
          <w:p w14:paraId="0D6302A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87.93</w:t>
            </w:r>
          </w:p>
        </w:tc>
        <w:tc>
          <w:tcPr>
            <w:tcW w:w="1660" w:type="dxa"/>
            <w:vAlign w:val="center"/>
            <w:hideMark/>
          </w:tcPr>
          <w:p w14:paraId="2A696BD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54.52</w:t>
            </w:r>
          </w:p>
        </w:tc>
        <w:tc>
          <w:tcPr>
            <w:tcW w:w="1530" w:type="dxa"/>
            <w:tcBorders>
              <w:right w:val="single" w:sz="4" w:space="0" w:color="auto"/>
            </w:tcBorders>
            <w:vAlign w:val="center"/>
            <w:hideMark/>
          </w:tcPr>
          <w:p w14:paraId="295A867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72.99</w:t>
            </w:r>
          </w:p>
        </w:tc>
        <w:tc>
          <w:tcPr>
            <w:tcW w:w="1260" w:type="dxa"/>
            <w:gridSpan w:val="2"/>
            <w:tcBorders>
              <w:top w:val="nil"/>
              <w:left w:val="single" w:sz="4" w:space="0" w:color="auto"/>
              <w:bottom w:val="nil"/>
            </w:tcBorders>
            <w:vAlign w:val="center"/>
            <w:hideMark/>
          </w:tcPr>
          <w:p w14:paraId="10E59D5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89.86</w:t>
            </w:r>
          </w:p>
        </w:tc>
        <w:tc>
          <w:tcPr>
            <w:tcW w:w="1280" w:type="dxa"/>
            <w:tcBorders>
              <w:top w:val="nil"/>
              <w:bottom w:val="nil"/>
            </w:tcBorders>
            <w:vAlign w:val="center"/>
            <w:hideMark/>
          </w:tcPr>
          <w:p w14:paraId="53D29E4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85.19</w:t>
            </w:r>
          </w:p>
        </w:tc>
        <w:tc>
          <w:tcPr>
            <w:tcW w:w="1720" w:type="dxa"/>
            <w:tcBorders>
              <w:top w:val="nil"/>
              <w:bottom w:val="nil"/>
            </w:tcBorders>
            <w:vAlign w:val="center"/>
            <w:hideMark/>
          </w:tcPr>
          <w:p w14:paraId="520DD03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54.38</w:t>
            </w:r>
          </w:p>
        </w:tc>
        <w:tc>
          <w:tcPr>
            <w:tcW w:w="1320" w:type="dxa"/>
            <w:tcBorders>
              <w:top w:val="nil"/>
              <w:bottom w:val="nil"/>
            </w:tcBorders>
            <w:vAlign w:val="center"/>
            <w:hideMark/>
          </w:tcPr>
          <w:p w14:paraId="76F8EAE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72.65</w:t>
            </w:r>
          </w:p>
        </w:tc>
      </w:tr>
      <w:tr w:rsidR="00DF0BA2" w:rsidRPr="00DF0BA2" w14:paraId="37A2E36B" w14:textId="77777777" w:rsidTr="00F337D2">
        <w:trPr>
          <w:trHeight w:val="260"/>
        </w:trPr>
        <w:tc>
          <w:tcPr>
            <w:tcW w:w="555" w:type="dxa"/>
            <w:vAlign w:val="center"/>
            <w:hideMark/>
          </w:tcPr>
          <w:p w14:paraId="6D049478"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6</w:t>
            </w:r>
          </w:p>
        </w:tc>
        <w:tc>
          <w:tcPr>
            <w:tcW w:w="2595" w:type="dxa"/>
            <w:gridSpan w:val="2"/>
            <w:vAlign w:val="center"/>
            <w:hideMark/>
          </w:tcPr>
          <w:p w14:paraId="63C0A365"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Organic carbon (%)</w:t>
            </w:r>
          </w:p>
        </w:tc>
        <w:tc>
          <w:tcPr>
            <w:tcW w:w="1350" w:type="dxa"/>
            <w:vAlign w:val="center"/>
            <w:hideMark/>
          </w:tcPr>
          <w:p w14:paraId="704957CB"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49.86</w:t>
            </w:r>
          </w:p>
        </w:tc>
        <w:tc>
          <w:tcPr>
            <w:tcW w:w="1400" w:type="dxa"/>
            <w:vAlign w:val="center"/>
            <w:hideMark/>
          </w:tcPr>
          <w:p w14:paraId="48B9FB7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48.85</w:t>
            </w:r>
          </w:p>
        </w:tc>
        <w:tc>
          <w:tcPr>
            <w:tcW w:w="1660" w:type="dxa"/>
            <w:vAlign w:val="center"/>
            <w:hideMark/>
          </w:tcPr>
          <w:p w14:paraId="21F19DE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30.29</w:t>
            </w:r>
          </w:p>
        </w:tc>
        <w:tc>
          <w:tcPr>
            <w:tcW w:w="1530" w:type="dxa"/>
            <w:tcBorders>
              <w:right w:val="single" w:sz="4" w:space="0" w:color="auto"/>
            </w:tcBorders>
            <w:vAlign w:val="center"/>
            <w:hideMark/>
          </w:tcPr>
          <w:p w14:paraId="4D42DF2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40.55</w:t>
            </w:r>
          </w:p>
        </w:tc>
        <w:tc>
          <w:tcPr>
            <w:tcW w:w="1260" w:type="dxa"/>
            <w:gridSpan w:val="2"/>
            <w:tcBorders>
              <w:top w:val="nil"/>
              <w:left w:val="single" w:sz="4" w:space="0" w:color="auto"/>
              <w:bottom w:val="nil"/>
            </w:tcBorders>
            <w:vAlign w:val="center"/>
            <w:hideMark/>
          </w:tcPr>
          <w:p w14:paraId="19771B1B"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49.92</w:t>
            </w:r>
          </w:p>
        </w:tc>
        <w:tc>
          <w:tcPr>
            <w:tcW w:w="1280" w:type="dxa"/>
            <w:tcBorders>
              <w:top w:val="nil"/>
              <w:bottom w:val="nil"/>
            </w:tcBorders>
            <w:noWrap/>
            <w:vAlign w:val="center"/>
            <w:hideMark/>
          </w:tcPr>
          <w:p w14:paraId="0957A90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47.33</w:t>
            </w:r>
          </w:p>
        </w:tc>
        <w:tc>
          <w:tcPr>
            <w:tcW w:w="1720" w:type="dxa"/>
            <w:tcBorders>
              <w:top w:val="nil"/>
              <w:bottom w:val="nil"/>
            </w:tcBorders>
            <w:noWrap/>
            <w:vAlign w:val="center"/>
            <w:hideMark/>
          </w:tcPr>
          <w:p w14:paraId="02FC8A0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30.21</w:t>
            </w:r>
          </w:p>
        </w:tc>
        <w:tc>
          <w:tcPr>
            <w:tcW w:w="1320" w:type="dxa"/>
            <w:tcBorders>
              <w:top w:val="nil"/>
              <w:bottom w:val="nil"/>
            </w:tcBorders>
            <w:vAlign w:val="center"/>
            <w:hideMark/>
          </w:tcPr>
          <w:p w14:paraId="2D47D42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40.36</w:t>
            </w:r>
          </w:p>
        </w:tc>
      </w:tr>
      <w:tr w:rsidR="00DF0BA2" w:rsidRPr="00DF0BA2" w14:paraId="0894107D" w14:textId="77777777" w:rsidTr="00785393">
        <w:trPr>
          <w:trHeight w:val="387"/>
        </w:trPr>
        <w:tc>
          <w:tcPr>
            <w:tcW w:w="14670" w:type="dxa"/>
            <w:gridSpan w:val="12"/>
            <w:vAlign w:val="center"/>
            <w:hideMark/>
          </w:tcPr>
          <w:p w14:paraId="7EFB4507"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NUTRIENT &amp;  NUTRIENT DYNAMICS</w:t>
            </w:r>
          </w:p>
        </w:tc>
      </w:tr>
      <w:tr w:rsidR="00DF0BA2" w:rsidRPr="00DF0BA2" w14:paraId="5E8BFD04" w14:textId="77777777" w:rsidTr="00F337D2">
        <w:trPr>
          <w:trHeight w:val="215"/>
        </w:trPr>
        <w:tc>
          <w:tcPr>
            <w:tcW w:w="555" w:type="dxa"/>
            <w:vAlign w:val="center"/>
            <w:hideMark/>
          </w:tcPr>
          <w:p w14:paraId="3349311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7</w:t>
            </w:r>
          </w:p>
        </w:tc>
        <w:tc>
          <w:tcPr>
            <w:tcW w:w="2595" w:type="dxa"/>
            <w:gridSpan w:val="2"/>
            <w:vAlign w:val="center"/>
            <w:hideMark/>
          </w:tcPr>
          <w:p w14:paraId="19ED73EF"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Total N (%)</w:t>
            </w:r>
          </w:p>
        </w:tc>
        <w:tc>
          <w:tcPr>
            <w:tcW w:w="1350" w:type="dxa"/>
            <w:vAlign w:val="center"/>
            <w:hideMark/>
          </w:tcPr>
          <w:p w14:paraId="4585683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0.56</w:t>
            </w:r>
          </w:p>
        </w:tc>
        <w:tc>
          <w:tcPr>
            <w:tcW w:w="1400" w:type="dxa"/>
            <w:vAlign w:val="center"/>
            <w:hideMark/>
          </w:tcPr>
          <w:p w14:paraId="29FC28B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0.54</w:t>
            </w:r>
          </w:p>
        </w:tc>
        <w:tc>
          <w:tcPr>
            <w:tcW w:w="1660" w:type="dxa"/>
            <w:vAlign w:val="center"/>
            <w:hideMark/>
          </w:tcPr>
          <w:p w14:paraId="49B32F2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0.87</w:t>
            </w:r>
          </w:p>
        </w:tc>
        <w:tc>
          <w:tcPr>
            <w:tcW w:w="1740" w:type="dxa"/>
            <w:gridSpan w:val="2"/>
            <w:tcBorders>
              <w:right w:val="single" w:sz="4" w:space="0" w:color="auto"/>
            </w:tcBorders>
            <w:vAlign w:val="center"/>
            <w:hideMark/>
          </w:tcPr>
          <w:p w14:paraId="7A23CA5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0.61</w:t>
            </w:r>
          </w:p>
        </w:tc>
        <w:tc>
          <w:tcPr>
            <w:tcW w:w="1050" w:type="dxa"/>
            <w:tcBorders>
              <w:top w:val="nil"/>
              <w:left w:val="single" w:sz="4" w:space="0" w:color="auto"/>
              <w:bottom w:val="nil"/>
            </w:tcBorders>
            <w:vAlign w:val="center"/>
            <w:hideMark/>
          </w:tcPr>
          <w:p w14:paraId="4A177FF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1.43</w:t>
            </w:r>
          </w:p>
        </w:tc>
        <w:tc>
          <w:tcPr>
            <w:tcW w:w="1280" w:type="dxa"/>
            <w:tcBorders>
              <w:top w:val="nil"/>
              <w:bottom w:val="nil"/>
            </w:tcBorders>
            <w:noWrap/>
            <w:vAlign w:val="center"/>
            <w:hideMark/>
          </w:tcPr>
          <w:p w14:paraId="02961941"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1.38</w:t>
            </w:r>
          </w:p>
        </w:tc>
        <w:tc>
          <w:tcPr>
            <w:tcW w:w="1720" w:type="dxa"/>
            <w:tcBorders>
              <w:top w:val="nil"/>
              <w:bottom w:val="nil"/>
            </w:tcBorders>
            <w:noWrap/>
            <w:vAlign w:val="center"/>
            <w:hideMark/>
          </w:tcPr>
          <w:p w14:paraId="53538E41"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1.67</w:t>
            </w:r>
          </w:p>
        </w:tc>
        <w:tc>
          <w:tcPr>
            <w:tcW w:w="1320" w:type="dxa"/>
            <w:tcBorders>
              <w:top w:val="nil"/>
              <w:bottom w:val="nil"/>
            </w:tcBorders>
            <w:vAlign w:val="center"/>
            <w:hideMark/>
          </w:tcPr>
          <w:p w14:paraId="478543E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1.51</w:t>
            </w:r>
          </w:p>
        </w:tc>
      </w:tr>
      <w:tr w:rsidR="00DF0BA2" w:rsidRPr="00DF0BA2" w14:paraId="3AE7B49F" w14:textId="77777777" w:rsidTr="00F337D2">
        <w:trPr>
          <w:trHeight w:val="98"/>
        </w:trPr>
        <w:tc>
          <w:tcPr>
            <w:tcW w:w="555" w:type="dxa"/>
            <w:vAlign w:val="center"/>
            <w:hideMark/>
          </w:tcPr>
          <w:p w14:paraId="3B767073"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8</w:t>
            </w:r>
          </w:p>
        </w:tc>
        <w:tc>
          <w:tcPr>
            <w:tcW w:w="2595" w:type="dxa"/>
            <w:gridSpan w:val="2"/>
            <w:vAlign w:val="center"/>
            <w:hideMark/>
          </w:tcPr>
          <w:p w14:paraId="49C4B821"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Total P</w:t>
            </w:r>
            <w:r w:rsidRPr="00DF0BA2">
              <w:rPr>
                <w:rFonts w:ascii="Times New Roman" w:eastAsia="Times New Roman" w:hAnsi="Times New Roman" w:cs="Times New Roman"/>
                <w:b/>
                <w:bCs/>
                <w:color w:val="000000" w:themeColor="text1"/>
                <w:sz w:val="16"/>
                <w:szCs w:val="20"/>
                <w:vertAlign w:val="subscript"/>
              </w:rPr>
              <w:t>2</w:t>
            </w:r>
            <w:r w:rsidRPr="00DF0BA2">
              <w:rPr>
                <w:rFonts w:ascii="Times New Roman" w:eastAsia="Times New Roman" w:hAnsi="Times New Roman" w:cs="Times New Roman"/>
                <w:b/>
                <w:bCs/>
                <w:color w:val="000000" w:themeColor="text1"/>
                <w:sz w:val="16"/>
                <w:szCs w:val="20"/>
              </w:rPr>
              <w:t>O</w:t>
            </w:r>
            <w:r w:rsidRPr="00DF0BA2">
              <w:rPr>
                <w:rFonts w:ascii="Times New Roman" w:eastAsia="Times New Roman" w:hAnsi="Times New Roman" w:cs="Times New Roman"/>
                <w:b/>
                <w:bCs/>
                <w:color w:val="000000" w:themeColor="text1"/>
                <w:sz w:val="16"/>
                <w:szCs w:val="20"/>
                <w:vertAlign w:val="subscript"/>
              </w:rPr>
              <w:t xml:space="preserve">5 </w:t>
            </w:r>
            <w:r w:rsidRPr="00DF0BA2">
              <w:rPr>
                <w:rFonts w:ascii="Times New Roman" w:eastAsia="Times New Roman" w:hAnsi="Times New Roman" w:cs="Times New Roman"/>
                <w:b/>
                <w:bCs/>
                <w:color w:val="000000" w:themeColor="text1"/>
                <w:sz w:val="16"/>
                <w:szCs w:val="20"/>
              </w:rPr>
              <w:t>(%)</w:t>
            </w:r>
          </w:p>
        </w:tc>
        <w:tc>
          <w:tcPr>
            <w:tcW w:w="1350" w:type="dxa"/>
            <w:vAlign w:val="center"/>
            <w:hideMark/>
          </w:tcPr>
          <w:p w14:paraId="1AD8A75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0.16</w:t>
            </w:r>
          </w:p>
        </w:tc>
        <w:tc>
          <w:tcPr>
            <w:tcW w:w="1400" w:type="dxa"/>
            <w:vAlign w:val="center"/>
            <w:hideMark/>
          </w:tcPr>
          <w:p w14:paraId="0498E79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0.13</w:t>
            </w:r>
          </w:p>
        </w:tc>
        <w:tc>
          <w:tcPr>
            <w:tcW w:w="1660" w:type="dxa"/>
            <w:vAlign w:val="center"/>
            <w:hideMark/>
          </w:tcPr>
          <w:p w14:paraId="78FA232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0.19</w:t>
            </w:r>
          </w:p>
        </w:tc>
        <w:tc>
          <w:tcPr>
            <w:tcW w:w="1740" w:type="dxa"/>
            <w:gridSpan w:val="2"/>
            <w:tcBorders>
              <w:right w:val="single" w:sz="4" w:space="0" w:color="auto"/>
            </w:tcBorders>
            <w:vAlign w:val="center"/>
            <w:hideMark/>
          </w:tcPr>
          <w:p w14:paraId="2F24C84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0.16</w:t>
            </w:r>
          </w:p>
        </w:tc>
        <w:tc>
          <w:tcPr>
            <w:tcW w:w="1050" w:type="dxa"/>
            <w:tcBorders>
              <w:top w:val="nil"/>
              <w:left w:val="single" w:sz="4" w:space="0" w:color="auto"/>
              <w:bottom w:val="nil"/>
            </w:tcBorders>
            <w:vAlign w:val="center"/>
            <w:hideMark/>
          </w:tcPr>
          <w:p w14:paraId="3123E53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0.17</w:t>
            </w:r>
          </w:p>
        </w:tc>
        <w:tc>
          <w:tcPr>
            <w:tcW w:w="1280" w:type="dxa"/>
            <w:tcBorders>
              <w:top w:val="nil"/>
              <w:bottom w:val="nil"/>
            </w:tcBorders>
            <w:noWrap/>
            <w:vAlign w:val="center"/>
            <w:hideMark/>
          </w:tcPr>
          <w:p w14:paraId="491C78BE"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0.17</w:t>
            </w:r>
          </w:p>
        </w:tc>
        <w:tc>
          <w:tcPr>
            <w:tcW w:w="1720" w:type="dxa"/>
            <w:tcBorders>
              <w:top w:val="nil"/>
              <w:bottom w:val="nil"/>
            </w:tcBorders>
            <w:noWrap/>
            <w:vAlign w:val="center"/>
            <w:hideMark/>
          </w:tcPr>
          <w:p w14:paraId="6450F919"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0.21</w:t>
            </w:r>
          </w:p>
        </w:tc>
        <w:tc>
          <w:tcPr>
            <w:tcW w:w="1320" w:type="dxa"/>
            <w:tcBorders>
              <w:top w:val="nil"/>
              <w:bottom w:val="nil"/>
            </w:tcBorders>
            <w:vAlign w:val="center"/>
            <w:hideMark/>
          </w:tcPr>
          <w:p w14:paraId="1171196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0.18</w:t>
            </w:r>
          </w:p>
        </w:tc>
      </w:tr>
      <w:tr w:rsidR="00DF0BA2" w:rsidRPr="00DF0BA2" w14:paraId="67E6FA4F" w14:textId="77777777" w:rsidTr="00F337D2">
        <w:trPr>
          <w:trHeight w:val="233"/>
        </w:trPr>
        <w:tc>
          <w:tcPr>
            <w:tcW w:w="555" w:type="dxa"/>
            <w:vAlign w:val="center"/>
            <w:hideMark/>
          </w:tcPr>
          <w:p w14:paraId="66090071"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9</w:t>
            </w:r>
          </w:p>
        </w:tc>
        <w:tc>
          <w:tcPr>
            <w:tcW w:w="2595" w:type="dxa"/>
            <w:gridSpan w:val="2"/>
            <w:vAlign w:val="center"/>
            <w:hideMark/>
          </w:tcPr>
          <w:p w14:paraId="0262D03D"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Total K</w:t>
            </w:r>
            <w:r w:rsidRPr="00DF0BA2">
              <w:rPr>
                <w:rFonts w:ascii="Times New Roman" w:eastAsia="Times New Roman" w:hAnsi="Times New Roman" w:cs="Times New Roman"/>
                <w:b/>
                <w:bCs/>
                <w:color w:val="000000" w:themeColor="text1"/>
                <w:sz w:val="16"/>
                <w:szCs w:val="20"/>
                <w:vertAlign w:val="subscript"/>
              </w:rPr>
              <w:t>2</w:t>
            </w:r>
            <w:r w:rsidRPr="00DF0BA2">
              <w:rPr>
                <w:rFonts w:ascii="Times New Roman" w:eastAsia="Times New Roman" w:hAnsi="Times New Roman" w:cs="Times New Roman"/>
                <w:b/>
                <w:bCs/>
                <w:color w:val="000000" w:themeColor="text1"/>
                <w:sz w:val="16"/>
                <w:szCs w:val="20"/>
              </w:rPr>
              <w:t>O (%)</w:t>
            </w:r>
          </w:p>
        </w:tc>
        <w:tc>
          <w:tcPr>
            <w:tcW w:w="1350" w:type="dxa"/>
            <w:vAlign w:val="center"/>
            <w:hideMark/>
          </w:tcPr>
          <w:p w14:paraId="23DB57D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3.87</w:t>
            </w:r>
          </w:p>
        </w:tc>
        <w:tc>
          <w:tcPr>
            <w:tcW w:w="1400" w:type="dxa"/>
            <w:vAlign w:val="center"/>
            <w:hideMark/>
          </w:tcPr>
          <w:p w14:paraId="30C5252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3.8</w:t>
            </w:r>
          </w:p>
        </w:tc>
        <w:tc>
          <w:tcPr>
            <w:tcW w:w="1660" w:type="dxa"/>
            <w:vAlign w:val="center"/>
            <w:hideMark/>
          </w:tcPr>
          <w:p w14:paraId="163012E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3.19</w:t>
            </w:r>
          </w:p>
        </w:tc>
        <w:tc>
          <w:tcPr>
            <w:tcW w:w="1740" w:type="dxa"/>
            <w:gridSpan w:val="2"/>
            <w:tcBorders>
              <w:right w:val="single" w:sz="4" w:space="0" w:color="auto"/>
            </w:tcBorders>
            <w:vAlign w:val="center"/>
            <w:hideMark/>
          </w:tcPr>
          <w:p w14:paraId="4D52F74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3.54</w:t>
            </w:r>
          </w:p>
        </w:tc>
        <w:tc>
          <w:tcPr>
            <w:tcW w:w="1050" w:type="dxa"/>
            <w:tcBorders>
              <w:top w:val="nil"/>
              <w:left w:val="single" w:sz="4" w:space="0" w:color="auto"/>
              <w:bottom w:val="nil"/>
            </w:tcBorders>
            <w:vAlign w:val="center"/>
            <w:hideMark/>
          </w:tcPr>
          <w:p w14:paraId="02E5F95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3.55</w:t>
            </w:r>
          </w:p>
        </w:tc>
        <w:tc>
          <w:tcPr>
            <w:tcW w:w="1280" w:type="dxa"/>
            <w:tcBorders>
              <w:top w:val="nil"/>
              <w:bottom w:val="nil"/>
            </w:tcBorders>
            <w:noWrap/>
            <w:vAlign w:val="center"/>
            <w:hideMark/>
          </w:tcPr>
          <w:p w14:paraId="4B9BA3E6"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3.57</w:t>
            </w:r>
          </w:p>
        </w:tc>
        <w:tc>
          <w:tcPr>
            <w:tcW w:w="1720" w:type="dxa"/>
            <w:tcBorders>
              <w:top w:val="nil"/>
              <w:bottom w:val="nil"/>
            </w:tcBorders>
            <w:noWrap/>
            <w:vAlign w:val="center"/>
            <w:hideMark/>
          </w:tcPr>
          <w:p w14:paraId="2CEB7CDC"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3.66</w:t>
            </w:r>
          </w:p>
        </w:tc>
        <w:tc>
          <w:tcPr>
            <w:tcW w:w="1320" w:type="dxa"/>
            <w:tcBorders>
              <w:top w:val="nil"/>
              <w:bottom w:val="nil"/>
            </w:tcBorders>
            <w:vAlign w:val="center"/>
            <w:hideMark/>
          </w:tcPr>
          <w:p w14:paraId="6121C74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3.54</w:t>
            </w:r>
          </w:p>
        </w:tc>
      </w:tr>
      <w:tr w:rsidR="00DF0BA2" w:rsidRPr="00DF0BA2" w14:paraId="49F92222" w14:textId="77777777" w:rsidTr="00F337D2">
        <w:trPr>
          <w:trHeight w:val="179"/>
        </w:trPr>
        <w:tc>
          <w:tcPr>
            <w:tcW w:w="555" w:type="dxa"/>
            <w:vAlign w:val="center"/>
            <w:hideMark/>
          </w:tcPr>
          <w:p w14:paraId="231D8AC8"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10</w:t>
            </w:r>
          </w:p>
        </w:tc>
        <w:tc>
          <w:tcPr>
            <w:tcW w:w="2595" w:type="dxa"/>
            <w:gridSpan w:val="2"/>
            <w:vAlign w:val="center"/>
            <w:hideMark/>
          </w:tcPr>
          <w:p w14:paraId="3F61EB94"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 C:N</w:t>
            </w:r>
          </w:p>
        </w:tc>
        <w:tc>
          <w:tcPr>
            <w:tcW w:w="1350" w:type="dxa"/>
            <w:noWrap/>
            <w:vAlign w:val="center"/>
            <w:hideMark/>
          </w:tcPr>
          <w:p w14:paraId="2A976D3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89.04</w:t>
            </w:r>
          </w:p>
        </w:tc>
        <w:tc>
          <w:tcPr>
            <w:tcW w:w="1400" w:type="dxa"/>
            <w:noWrap/>
            <w:vAlign w:val="center"/>
            <w:hideMark/>
          </w:tcPr>
          <w:p w14:paraId="0E450E9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90.46</w:t>
            </w:r>
          </w:p>
        </w:tc>
        <w:tc>
          <w:tcPr>
            <w:tcW w:w="1660" w:type="dxa"/>
            <w:noWrap/>
            <w:vAlign w:val="center"/>
            <w:hideMark/>
          </w:tcPr>
          <w:p w14:paraId="0A4DF1F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34.82</w:t>
            </w:r>
          </w:p>
        </w:tc>
        <w:tc>
          <w:tcPr>
            <w:tcW w:w="1740" w:type="dxa"/>
            <w:gridSpan w:val="2"/>
            <w:tcBorders>
              <w:right w:val="single" w:sz="4" w:space="0" w:color="auto"/>
            </w:tcBorders>
            <w:noWrap/>
            <w:vAlign w:val="center"/>
            <w:hideMark/>
          </w:tcPr>
          <w:p w14:paraId="6B47E67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66.48</w:t>
            </w:r>
          </w:p>
        </w:tc>
        <w:tc>
          <w:tcPr>
            <w:tcW w:w="1050" w:type="dxa"/>
            <w:tcBorders>
              <w:top w:val="nil"/>
              <w:left w:val="single" w:sz="4" w:space="0" w:color="auto"/>
              <w:bottom w:val="nil"/>
            </w:tcBorders>
            <w:noWrap/>
            <w:vAlign w:val="center"/>
            <w:hideMark/>
          </w:tcPr>
          <w:p w14:paraId="406178B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34.91</w:t>
            </w:r>
          </w:p>
        </w:tc>
        <w:tc>
          <w:tcPr>
            <w:tcW w:w="1280" w:type="dxa"/>
            <w:tcBorders>
              <w:top w:val="nil"/>
              <w:bottom w:val="nil"/>
            </w:tcBorders>
            <w:noWrap/>
            <w:vAlign w:val="center"/>
            <w:hideMark/>
          </w:tcPr>
          <w:p w14:paraId="7660C65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34.30</w:t>
            </w:r>
          </w:p>
        </w:tc>
        <w:tc>
          <w:tcPr>
            <w:tcW w:w="1720" w:type="dxa"/>
            <w:tcBorders>
              <w:top w:val="nil"/>
              <w:bottom w:val="nil"/>
            </w:tcBorders>
            <w:noWrap/>
            <w:vAlign w:val="center"/>
            <w:hideMark/>
          </w:tcPr>
          <w:p w14:paraId="79A5EAD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18.09</w:t>
            </w:r>
          </w:p>
        </w:tc>
        <w:tc>
          <w:tcPr>
            <w:tcW w:w="1320" w:type="dxa"/>
            <w:tcBorders>
              <w:top w:val="nil"/>
              <w:bottom w:val="nil"/>
            </w:tcBorders>
            <w:noWrap/>
            <w:vAlign w:val="center"/>
            <w:hideMark/>
          </w:tcPr>
          <w:p w14:paraId="6D2F486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26.73</w:t>
            </w:r>
          </w:p>
        </w:tc>
      </w:tr>
      <w:tr w:rsidR="00DF0BA2" w:rsidRPr="00DF0BA2" w14:paraId="7B184705" w14:textId="77777777" w:rsidTr="00785393">
        <w:trPr>
          <w:trHeight w:val="432"/>
        </w:trPr>
        <w:tc>
          <w:tcPr>
            <w:tcW w:w="14670" w:type="dxa"/>
            <w:gridSpan w:val="12"/>
            <w:vAlign w:val="center"/>
            <w:hideMark/>
          </w:tcPr>
          <w:p w14:paraId="759F4B4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MATURITY &amp; PHYTOTOXICITY PARAMETERS</w:t>
            </w:r>
          </w:p>
        </w:tc>
      </w:tr>
      <w:tr w:rsidR="00DF0BA2" w:rsidRPr="00DF0BA2" w14:paraId="60AFCC90" w14:textId="77777777" w:rsidTr="00785393">
        <w:trPr>
          <w:trHeight w:val="197"/>
        </w:trPr>
        <w:tc>
          <w:tcPr>
            <w:tcW w:w="555" w:type="dxa"/>
            <w:vAlign w:val="center"/>
            <w:hideMark/>
          </w:tcPr>
          <w:p w14:paraId="6D6995CE"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11</w:t>
            </w:r>
          </w:p>
        </w:tc>
        <w:tc>
          <w:tcPr>
            <w:tcW w:w="2595" w:type="dxa"/>
            <w:gridSpan w:val="2"/>
            <w:vAlign w:val="center"/>
            <w:hideMark/>
          </w:tcPr>
          <w:p w14:paraId="06A4FDF2"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Seedling Emergence (% Over Control)</w:t>
            </w:r>
          </w:p>
        </w:tc>
        <w:tc>
          <w:tcPr>
            <w:tcW w:w="1350" w:type="dxa"/>
            <w:vAlign w:val="center"/>
            <w:hideMark/>
          </w:tcPr>
          <w:p w14:paraId="02AED50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82</w:t>
            </w:r>
          </w:p>
        </w:tc>
        <w:tc>
          <w:tcPr>
            <w:tcW w:w="1400" w:type="dxa"/>
            <w:vAlign w:val="center"/>
            <w:hideMark/>
          </w:tcPr>
          <w:p w14:paraId="082E41A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81</w:t>
            </w:r>
          </w:p>
        </w:tc>
        <w:tc>
          <w:tcPr>
            <w:tcW w:w="1660" w:type="dxa"/>
            <w:vAlign w:val="center"/>
            <w:hideMark/>
          </w:tcPr>
          <w:p w14:paraId="7199B00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103</w:t>
            </w:r>
          </w:p>
        </w:tc>
        <w:tc>
          <w:tcPr>
            <w:tcW w:w="1740" w:type="dxa"/>
            <w:gridSpan w:val="2"/>
            <w:tcBorders>
              <w:right w:val="single" w:sz="4" w:space="0" w:color="auto"/>
            </w:tcBorders>
            <w:vAlign w:val="center"/>
            <w:hideMark/>
          </w:tcPr>
          <w:p w14:paraId="300235B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93.55</w:t>
            </w:r>
          </w:p>
        </w:tc>
        <w:tc>
          <w:tcPr>
            <w:tcW w:w="1050" w:type="dxa"/>
            <w:tcBorders>
              <w:top w:val="nil"/>
              <w:left w:val="single" w:sz="4" w:space="0" w:color="auto"/>
              <w:bottom w:val="nil"/>
            </w:tcBorders>
            <w:vAlign w:val="center"/>
            <w:hideMark/>
          </w:tcPr>
          <w:p w14:paraId="5FD3F89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80.51</w:t>
            </w:r>
          </w:p>
        </w:tc>
        <w:tc>
          <w:tcPr>
            <w:tcW w:w="1280" w:type="dxa"/>
            <w:tcBorders>
              <w:top w:val="nil"/>
              <w:bottom w:val="nil"/>
            </w:tcBorders>
            <w:noWrap/>
            <w:vAlign w:val="center"/>
            <w:hideMark/>
          </w:tcPr>
          <w:p w14:paraId="61F562EB"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83.25</w:t>
            </w:r>
          </w:p>
        </w:tc>
        <w:tc>
          <w:tcPr>
            <w:tcW w:w="1720" w:type="dxa"/>
            <w:tcBorders>
              <w:top w:val="nil"/>
              <w:bottom w:val="nil"/>
            </w:tcBorders>
            <w:vAlign w:val="center"/>
            <w:hideMark/>
          </w:tcPr>
          <w:p w14:paraId="1DE0C0F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102.96</w:t>
            </w:r>
          </w:p>
        </w:tc>
        <w:tc>
          <w:tcPr>
            <w:tcW w:w="1320" w:type="dxa"/>
            <w:tcBorders>
              <w:top w:val="nil"/>
              <w:bottom w:val="nil"/>
            </w:tcBorders>
            <w:vAlign w:val="center"/>
            <w:hideMark/>
          </w:tcPr>
          <w:p w14:paraId="5256A2C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96.1</w:t>
            </w:r>
          </w:p>
        </w:tc>
      </w:tr>
      <w:tr w:rsidR="00DF0BA2" w:rsidRPr="00DF0BA2" w14:paraId="5E8E5A11" w14:textId="77777777" w:rsidTr="00785393">
        <w:trPr>
          <w:trHeight w:val="330"/>
        </w:trPr>
        <w:tc>
          <w:tcPr>
            <w:tcW w:w="555" w:type="dxa"/>
            <w:vAlign w:val="center"/>
            <w:hideMark/>
          </w:tcPr>
          <w:p w14:paraId="53479E75"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12</w:t>
            </w:r>
          </w:p>
        </w:tc>
        <w:tc>
          <w:tcPr>
            <w:tcW w:w="2595" w:type="dxa"/>
            <w:gridSpan w:val="2"/>
            <w:vAlign w:val="center"/>
            <w:hideMark/>
          </w:tcPr>
          <w:p w14:paraId="7D96C8C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Root Elongation (% Over Control)</w:t>
            </w:r>
          </w:p>
        </w:tc>
        <w:tc>
          <w:tcPr>
            <w:tcW w:w="1350" w:type="dxa"/>
            <w:vAlign w:val="center"/>
            <w:hideMark/>
          </w:tcPr>
          <w:p w14:paraId="1CA1E8D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81.33</w:t>
            </w:r>
          </w:p>
        </w:tc>
        <w:tc>
          <w:tcPr>
            <w:tcW w:w="1400" w:type="dxa"/>
            <w:vAlign w:val="center"/>
            <w:hideMark/>
          </w:tcPr>
          <w:p w14:paraId="0A6F4D5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78.36</w:t>
            </w:r>
          </w:p>
        </w:tc>
        <w:tc>
          <w:tcPr>
            <w:tcW w:w="1660" w:type="dxa"/>
            <w:vAlign w:val="center"/>
            <w:hideMark/>
          </w:tcPr>
          <w:p w14:paraId="6AF5C68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99.75</w:t>
            </w:r>
          </w:p>
        </w:tc>
        <w:tc>
          <w:tcPr>
            <w:tcW w:w="1740" w:type="dxa"/>
            <w:gridSpan w:val="2"/>
            <w:tcBorders>
              <w:right w:val="single" w:sz="4" w:space="0" w:color="auto"/>
            </w:tcBorders>
            <w:vAlign w:val="center"/>
            <w:hideMark/>
          </w:tcPr>
          <w:p w14:paraId="71CE52C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89.55</w:t>
            </w:r>
          </w:p>
        </w:tc>
        <w:tc>
          <w:tcPr>
            <w:tcW w:w="1050" w:type="dxa"/>
            <w:tcBorders>
              <w:top w:val="nil"/>
              <w:left w:val="single" w:sz="4" w:space="0" w:color="auto"/>
              <w:bottom w:val="nil"/>
            </w:tcBorders>
            <w:vAlign w:val="center"/>
            <w:hideMark/>
          </w:tcPr>
          <w:p w14:paraId="13499FF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84.53</w:t>
            </w:r>
          </w:p>
        </w:tc>
        <w:tc>
          <w:tcPr>
            <w:tcW w:w="1280" w:type="dxa"/>
            <w:tcBorders>
              <w:top w:val="nil"/>
              <w:bottom w:val="nil"/>
            </w:tcBorders>
            <w:noWrap/>
            <w:vAlign w:val="center"/>
            <w:hideMark/>
          </w:tcPr>
          <w:p w14:paraId="0A8B79B7"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80.25</w:t>
            </w:r>
          </w:p>
        </w:tc>
        <w:tc>
          <w:tcPr>
            <w:tcW w:w="1720" w:type="dxa"/>
            <w:tcBorders>
              <w:top w:val="nil"/>
              <w:bottom w:val="nil"/>
            </w:tcBorders>
            <w:vAlign w:val="center"/>
            <w:hideMark/>
          </w:tcPr>
          <w:p w14:paraId="23C91BE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97.82</w:t>
            </w:r>
          </w:p>
        </w:tc>
        <w:tc>
          <w:tcPr>
            <w:tcW w:w="1320" w:type="dxa"/>
            <w:tcBorders>
              <w:top w:val="nil"/>
              <w:bottom w:val="nil"/>
            </w:tcBorders>
            <w:vAlign w:val="center"/>
            <w:hideMark/>
          </w:tcPr>
          <w:p w14:paraId="754120A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87.9</w:t>
            </w:r>
          </w:p>
        </w:tc>
      </w:tr>
      <w:tr w:rsidR="00DF0BA2" w:rsidRPr="00DF0BA2" w14:paraId="35ABBA99" w14:textId="77777777" w:rsidTr="00785393">
        <w:trPr>
          <w:trHeight w:val="251"/>
        </w:trPr>
        <w:tc>
          <w:tcPr>
            <w:tcW w:w="555" w:type="dxa"/>
            <w:vAlign w:val="center"/>
            <w:hideMark/>
          </w:tcPr>
          <w:p w14:paraId="16222F65"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13</w:t>
            </w:r>
          </w:p>
        </w:tc>
        <w:tc>
          <w:tcPr>
            <w:tcW w:w="2595" w:type="dxa"/>
            <w:gridSpan w:val="2"/>
            <w:vAlign w:val="center"/>
            <w:hideMark/>
          </w:tcPr>
          <w:p w14:paraId="3880FAC7"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Germination Index </w:t>
            </w:r>
          </w:p>
        </w:tc>
        <w:tc>
          <w:tcPr>
            <w:tcW w:w="1350" w:type="dxa"/>
            <w:vAlign w:val="center"/>
            <w:hideMark/>
          </w:tcPr>
          <w:p w14:paraId="472169E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0.67</w:t>
            </w:r>
          </w:p>
        </w:tc>
        <w:tc>
          <w:tcPr>
            <w:tcW w:w="1400" w:type="dxa"/>
            <w:vAlign w:val="center"/>
            <w:hideMark/>
          </w:tcPr>
          <w:p w14:paraId="67E892F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0.63</w:t>
            </w:r>
          </w:p>
        </w:tc>
        <w:tc>
          <w:tcPr>
            <w:tcW w:w="1660" w:type="dxa"/>
            <w:vAlign w:val="center"/>
            <w:hideMark/>
          </w:tcPr>
          <w:p w14:paraId="605A011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1.03</w:t>
            </w:r>
          </w:p>
        </w:tc>
        <w:tc>
          <w:tcPr>
            <w:tcW w:w="1740" w:type="dxa"/>
            <w:gridSpan w:val="2"/>
            <w:tcBorders>
              <w:right w:val="single" w:sz="4" w:space="0" w:color="auto"/>
            </w:tcBorders>
            <w:vAlign w:val="center"/>
            <w:hideMark/>
          </w:tcPr>
          <w:p w14:paraId="77E8AB8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0.84</w:t>
            </w:r>
          </w:p>
        </w:tc>
        <w:tc>
          <w:tcPr>
            <w:tcW w:w="1050" w:type="dxa"/>
            <w:tcBorders>
              <w:top w:val="nil"/>
              <w:left w:val="single" w:sz="4" w:space="0" w:color="auto"/>
              <w:bottom w:val="nil"/>
            </w:tcBorders>
            <w:vAlign w:val="center"/>
            <w:hideMark/>
          </w:tcPr>
          <w:p w14:paraId="3408D0D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0.68</w:t>
            </w:r>
          </w:p>
        </w:tc>
        <w:tc>
          <w:tcPr>
            <w:tcW w:w="1280" w:type="dxa"/>
            <w:tcBorders>
              <w:top w:val="nil"/>
              <w:bottom w:val="nil"/>
            </w:tcBorders>
            <w:vAlign w:val="center"/>
            <w:hideMark/>
          </w:tcPr>
          <w:p w14:paraId="514021D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0.67</w:t>
            </w:r>
          </w:p>
        </w:tc>
        <w:tc>
          <w:tcPr>
            <w:tcW w:w="1720" w:type="dxa"/>
            <w:tcBorders>
              <w:top w:val="nil"/>
              <w:bottom w:val="nil"/>
            </w:tcBorders>
            <w:vAlign w:val="center"/>
            <w:hideMark/>
          </w:tcPr>
          <w:p w14:paraId="245E2FB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1.01</w:t>
            </w:r>
          </w:p>
        </w:tc>
        <w:tc>
          <w:tcPr>
            <w:tcW w:w="1320" w:type="dxa"/>
            <w:tcBorders>
              <w:top w:val="nil"/>
              <w:bottom w:val="nil"/>
            </w:tcBorders>
            <w:vAlign w:val="center"/>
            <w:hideMark/>
          </w:tcPr>
          <w:p w14:paraId="4C5A0CD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0.84</w:t>
            </w:r>
          </w:p>
        </w:tc>
      </w:tr>
      <w:tr w:rsidR="00DF0BA2" w:rsidRPr="00DF0BA2" w14:paraId="74D5F0C1" w14:textId="77777777" w:rsidTr="00785393">
        <w:trPr>
          <w:trHeight w:val="306"/>
        </w:trPr>
        <w:tc>
          <w:tcPr>
            <w:tcW w:w="555" w:type="dxa"/>
            <w:vAlign w:val="center"/>
            <w:hideMark/>
          </w:tcPr>
          <w:p w14:paraId="18224A4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w:t>
            </w:r>
          </w:p>
        </w:tc>
        <w:tc>
          <w:tcPr>
            <w:tcW w:w="14115" w:type="dxa"/>
            <w:gridSpan w:val="11"/>
            <w:vAlign w:val="center"/>
            <w:hideMark/>
          </w:tcPr>
          <w:p w14:paraId="7688B007"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PHYTOTOXICITY BIOASSAY</w:t>
            </w:r>
          </w:p>
        </w:tc>
      </w:tr>
      <w:tr w:rsidR="00DF0BA2" w:rsidRPr="00DF0BA2" w14:paraId="0CF504AE" w14:textId="77777777" w:rsidTr="00785393">
        <w:trPr>
          <w:trHeight w:val="305"/>
        </w:trPr>
        <w:tc>
          <w:tcPr>
            <w:tcW w:w="555" w:type="dxa"/>
            <w:hideMark/>
          </w:tcPr>
          <w:p w14:paraId="4E8211D3"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14</w:t>
            </w:r>
          </w:p>
        </w:tc>
        <w:tc>
          <w:tcPr>
            <w:tcW w:w="2595" w:type="dxa"/>
            <w:gridSpan w:val="2"/>
            <w:vAlign w:val="center"/>
            <w:hideMark/>
          </w:tcPr>
          <w:p w14:paraId="6EF2B347"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Avg. Seedling Weight Over Control (%)</w:t>
            </w:r>
          </w:p>
        </w:tc>
        <w:tc>
          <w:tcPr>
            <w:tcW w:w="1350" w:type="dxa"/>
            <w:vAlign w:val="center"/>
            <w:hideMark/>
          </w:tcPr>
          <w:p w14:paraId="6FD48CA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78.2</w:t>
            </w:r>
          </w:p>
        </w:tc>
        <w:tc>
          <w:tcPr>
            <w:tcW w:w="1400" w:type="dxa"/>
            <w:vAlign w:val="center"/>
            <w:hideMark/>
          </w:tcPr>
          <w:p w14:paraId="48249ED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76.7</w:t>
            </w:r>
          </w:p>
        </w:tc>
        <w:tc>
          <w:tcPr>
            <w:tcW w:w="1660" w:type="dxa"/>
            <w:vAlign w:val="center"/>
            <w:hideMark/>
          </w:tcPr>
          <w:p w14:paraId="3FEE4C3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126.4</w:t>
            </w:r>
          </w:p>
        </w:tc>
        <w:tc>
          <w:tcPr>
            <w:tcW w:w="1740" w:type="dxa"/>
            <w:gridSpan w:val="2"/>
            <w:tcBorders>
              <w:right w:val="single" w:sz="4" w:space="0" w:color="auto"/>
            </w:tcBorders>
            <w:vAlign w:val="center"/>
            <w:hideMark/>
          </w:tcPr>
          <w:p w14:paraId="33ED9C1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96.8</w:t>
            </w:r>
          </w:p>
        </w:tc>
        <w:tc>
          <w:tcPr>
            <w:tcW w:w="1050" w:type="dxa"/>
            <w:tcBorders>
              <w:top w:val="nil"/>
              <w:left w:val="single" w:sz="4" w:space="0" w:color="auto"/>
              <w:bottom w:val="nil"/>
            </w:tcBorders>
            <w:vAlign w:val="center"/>
            <w:hideMark/>
          </w:tcPr>
          <w:p w14:paraId="3D8AD3BC"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86</w:t>
            </w:r>
          </w:p>
        </w:tc>
        <w:tc>
          <w:tcPr>
            <w:tcW w:w="1280" w:type="dxa"/>
            <w:tcBorders>
              <w:top w:val="nil"/>
              <w:bottom w:val="nil"/>
            </w:tcBorders>
            <w:noWrap/>
            <w:vAlign w:val="center"/>
            <w:hideMark/>
          </w:tcPr>
          <w:p w14:paraId="11E9ACE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83</w:t>
            </w:r>
          </w:p>
        </w:tc>
        <w:tc>
          <w:tcPr>
            <w:tcW w:w="1720" w:type="dxa"/>
            <w:tcBorders>
              <w:top w:val="nil"/>
              <w:bottom w:val="nil"/>
            </w:tcBorders>
            <w:vAlign w:val="center"/>
            <w:hideMark/>
          </w:tcPr>
          <w:p w14:paraId="4C9B49C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119.5</w:t>
            </w:r>
          </w:p>
        </w:tc>
        <w:tc>
          <w:tcPr>
            <w:tcW w:w="1320" w:type="dxa"/>
            <w:tcBorders>
              <w:top w:val="nil"/>
              <w:bottom w:val="nil"/>
            </w:tcBorders>
            <w:vAlign w:val="center"/>
            <w:hideMark/>
          </w:tcPr>
          <w:p w14:paraId="7C6A16A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105.4</w:t>
            </w:r>
          </w:p>
        </w:tc>
      </w:tr>
      <w:tr w:rsidR="00DF0BA2" w:rsidRPr="00DF0BA2" w14:paraId="11DF6EBF" w14:textId="77777777" w:rsidTr="00785393">
        <w:trPr>
          <w:trHeight w:val="260"/>
        </w:trPr>
        <w:tc>
          <w:tcPr>
            <w:tcW w:w="555" w:type="dxa"/>
            <w:hideMark/>
          </w:tcPr>
          <w:p w14:paraId="2EC1373E"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15</w:t>
            </w:r>
          </w:p>
        </w:tc>
        <w:tc>
          <w:tcPr>
            <w:tcW w:w="2595" w:type="dxa"/>
            <w:gridSpan w:val="2"/>
            <w:hideMark/>
          </w:tcPr>
          <w:p w14:paraId="4571098F"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Water soluble Na (ppm)</w:t>
            </w:r>
          </w:p>
        </w:tc>
        <w:tc>
          <w:tcPr>
            <w:tcW w:w="1350" w:type="dxa"/>
            <w:vAlign w:val="center"/>
            <w:hideMark/>
          </w:tcPr>
          <w:p w14:paraId="1C888A18"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6438</w:t>
            </w:r>
          </w:p>
        </w:tc>
        <w:tc>
          <w:tcPr>
            <w:tcW w:w="1400" w:type="dxa"/>
            <w:vAlign w:val="center"/>
            <w:hideMark/>
          </w:tcPr>
          <w:p w14:paraId="3D2677B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6374</w:t>
            </w:r>
          </w:p>
        </w:tc>
        <w:tc>
          <w:tcPr>
            <w:tcW w:w="1660" w:type="dxa"/>
            <w:vAlign w:val="center"/>
            <w:hideMark/>
          </w:tcPr>
          <w:p w14:paraId="07CB556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2005</w:t>
            </w:r>
          </w:p>
        </w:tc>
        <w:tc>
          <w:tcPr>
            <w:tcW w:w="1740" w:type="dxa"/>
            <w:gridSpan w:val="2"/>
            <w:tcBorders>
              <w:right w:val="single" w:sz="4" w:space="0" w:color="auto"/>
            </w:tcBorders>
            <w:vAlign w:val="center"/>
            <w:hideMark/>
          </w:tcPr>
          <w:p w14:paraId="1E98844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3050</w:t>
            </w:r>
          </w:p>
        </w:tc>
        <w:tc>
          <w:tcPr>
            <w:tcW w:w="1050" w:type="dxa"/>
            <w:tcBorders>
              <w:top w:val="nil"/>
              <w:left w:val="single" w:sz="4" w:space="0" w:color="auto"/>
              <w:bottom w:val="nil"/>
            </w:tcBorders>
            <w:vAlign w:val="center"/>
            <w:hideMark/>
          </w:tcPr>
          <w:p w14:paraId="5C163C5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6200</w:t>
            </w:r>
          </w:p>
        </w:tc>
        <w:tc>
          <w:tcPr>
            <w:tcW w:w="1280" w:type="dxa"/>
            <w:tcBorders>
              <w:top w:val="nil"/>
              <w:bottom w:val="nil"/>
            </w:tcBorders>
            <w:noWrap/>
            <w:vAlign w:val="center"/>
            <w:hideMark/>
          </w:tcPr>
          <w:p w14:paraId="5C153B6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6490</w:t>
            </w:r>
          </w:p>
        </w:tc>
        <w:tc>
          <w:tcPr>
            <w:tcW w:w="1720" w:type="dxa"/>
            <w:tcBorders>
              <w:top w:val="nil"/>
              <w:bottom w:val="nil"/>
            </w:tcBorders>
            <w:noWrap/>
            <w:vAlign w:val="center"/>
            <w:hideMark/>
          </w:tcPr>
          <w:p w14:paraId="3593E26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1820</w:t>
            </w:r>
          </w:p>
        </w:tc>
        <w:tc>
          <w:tcPr>
            <w:tcW w:w="1320" w:type="dxa"/>
            <w:tcBorders>
              <w:top w:val="nil"/>
              <w:bottom w:val="nil"/>
            </w:tcBorders>
            <w:vAlign w:val="center"/>
            <w:hideMark/>
          </w:tcPr>
          <w:p w14:paraId="0561BEC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2737</w:t>
            </w:r>
          </w:p>
        </w:tc>
      </w:tr>
      <w:tr w:rsidR="00DF0BA2" w:rsidRPr="00DF0BA2" w14:paraId="773102EE" w14:textId="77777777" w:rsidTr="00785393">
        <w:trPr>
          <w:trHeight w:val="143"/>
        </w:trPr>
        <w:tc>
          <w:tcPr>
            <w:tcW w:w="555" w:type="dxa"/>
            <w:hideMark/>
          </w:tcPr>
          <w:p w14:paraId="43A84232"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16</w:t>
            </w:r>
          </w:p>
        </w:tc>
        <w:tc>
          <w:tcPr>
            <w:tcW w:w="2595" w:type="dxa"/>
            <w:gridSpan w:val="2"/>
            <w:hideMark/>
          </w:tcPr>
          <w:p w14:paraId="29004378"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Water soluble K (ppm)</w:t>
            </w:r>
          </w:p>
        </w:tc>
        <w:tc>
          <w:tcPr>
            <w:tcW w:w="1350" w:type="dxa"/>
            <w:vAlign w:val="center"/>
            <w:hideMark/>
          </w:tcPr>
          <w:p w14:paraId="0A291B21"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20750</w:t>
            </w:r>
          </w:p>
        </w:tc>
        <w:tc>
          <w:tcPr>
            <w:tcW w:w="1400" w:type="dxa"/>
            <w:vAlign w:val="center"/>
            <w:hideMark/>
          </w:tcPr>
          <w:p w14:paraId="66026DD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20700</w:t>
            </w:r>
          </w:p>
        </w:tc>
        <w:tc>
          <w:tcPr>
            <w:tcW w:w="1660" w:type="dxa"/>
            <w:vAlign w:val="center"/>
            <w:hideMark/>
          </w:tcPr>
          <w:p w14:paraId="063DD64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8500</w:t>
            </w:r>
          </w:p>
        </w:tc>
        <w:tc>
          <w:tcPr>
            <w:tcW w:w="1740" w:type="dxa"/>
            <w:gridSpan w:val="2"/>
            <w:tcBorders>
              <w:right w:val="single" w:sz="4" w:space="0" w:color="auto"/>
            </w:tcBorders>
            <w:vAlign w:val="center"/>
            <w:hideMark/>
          </w:tcPr>
          <w:p w14:paraId="0D5272E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10500</w:t>
            </w:r>
          </w:p>
        </w:tc>
        <w:tc>
          <w:tcPr>
            <w:tcW w:w="1050" w:type="dxa"/>
            <w:tcBorders>
              <w:top w:val="nil"/>
              <w:left w:val="single" w:sz="4" w:space="0" w:color="auto"/>
              <w:bottom w:val="nil"/>
            </w:tcBorders>
            <w:vAlign w:val="center"/>
            <w:hideMark/>
          </w:tcPr>
          <w:p w14:paraId="2F0FE81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20250</w:t>
            </w:r>
          </w:p>
        </w:tc>
        <w:tc>
          <w:tcPr>
            <w:tcW w:w="1280" w:type="dxa"/>
            <w:tcBorders>
              <w:top w:val="nil"/>
              <w:bottom w:val="nil"/>
            </w:tcBorders>
            <w:noWrap/>
            <w:vAlign w:val="center"/>
            <w:hideMark/>
          </w:tcPr>
          <w:p w14:paraId="10473C6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19500</w:t>
            </w:r>
          </w:p>
        </w:tc>
        <w:tc>
          <w:tcPr>
            <w:tcW w:w="1720" w:type="dxa"/>
            <w:tcBorders>
              <w:top w:val="nil"/>
              <w:bottom w:val="nil"/>
            </w:tcBorders>
            <w:noWrap/>
            <w:vAlign w:val="center"/>
            <w:hideMark/>
          </w:tcPr>
          <w:p w14:paraId="17E42B6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7750</w:t>
            </w:r>
          </w:p>
        </w:tc>
        <w:tc>
          <w:tcPr>
            <w:tcW w:w="1320" w:type="dxa"/>
            <w:tcBorders>
              <w:top w:val="nil"/>
              <w:bottom w:val="nil"/>
            </w:tcBorders>
            <w:vAlign w:val="center"/>
            <w:hideMark/>
          </w:tcPr>
          <w:p w14:paraId="27620A4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8400</w:t>
            </w:r>
          </w:p>
        </w:tc>
      </w:tr>
      <w:tr w:rsidR="00DF0BA2" w:rsidRPr="00DF0BA2" w14:paraId="78469104" w14:textId="77777777" w:rsidTr="00785393">
        <w:trPr>
          <w:trHeight w:val="441"/>
        </w:trPr>
        <w:tc>
          <w:tcPr>
            <w:tcW w:w="14670" w:type="dxa"/>
            <w:gridSpan w:val="12"/>
            <w:vAlign w:val="center"/>
            <w:hideMark/>
          </w:tcPr>
          <w:p w14:paraId="2E4A6D0E"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LIGNIN STUDY</w:t>
            </w:r>
          </w:p>
        </w:tc>
      </w:tr>
      <w:tr w:rsidR="00DF0BA2" w:rsidRPr="00DF0BA2" w14:paraId="60AD0621" w14:textId="77777777" w:rsidTr="00785393">
        <w:trPr>
          <w:trHeight w:val="261"/>
        </w:trPr>
        <w:tc>
          <w:tcPr>
            <w:tcW w:w="555" w:type="dxa"/>
            <w:vAlign w:val="center"/>
            <w:hideMark/>
          </w:tcPr>
          <w:p w14:paraId="46364BFA"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17</w:t>
            </w:r>
          </w:p>
        </w:tc>
        <w:tc>
          <w:tcPr>
            <w:tcW w:w="2595" w:type="dxa"/>
            <w:gridSpan w:val="2"/>
            <w:vAlign w:val="center"/>
            <w:hideMark/>
          </w:tcPr>
          <w:p w14:paraId="2C0D83AC" w14:textId="77777777" w:rsidR="00F7194B" w:rsidRPr="00DF0BA2" w:rsidRDefault="00F7194B" w:rsidP="00E4208A">
            <w:pPr>
              <w:spacing w:after="0" w:line="240" w:lineRule="auto"/>
              <w:ind w:right="-108"/>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Acid insoluble lignin (%)</w:t>
            </w:r>
          </w:p>
        </w:tc>
        <w:tc>
          <w:tcPr>
            <w:tcW w:w="1350" w:type="dxa"/>
            <w:vAlign w:val="center"/>
            <w:hideMark/>
          </w:tcPr>
          <w:p w14:paraId="1D812CC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42.82</w:t>
            </w:r>
          </w:p>
        </w:tc>
        <w:tc>
          <w:tcPr>
            <w:tcW w:w="1400" w:type="dxa"/>
            <w:vAlign w:val="center"/>
            <w:hideMark/>
          </w:tcPr>
          <w:p w14:paraId="7F9EEF0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42.82</w:t>
            </w:r>
          </w:p>
        </w:tc>
        <w:tc>
          <w:tcPr>
            <w:tcW w:w="1660" w:type="dxa"/>
            <w:vAlign w:val="center"/>
            <w:hideMark/>
          </w:tcPr>
          <w:p w14:paraId="0F45F176"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30.83</w:t>
            </w:r>
          </w:p>
        </w:tc>
        <w:tc>
          <w:tcPr>
            <w:tcW w:w="1740" w:type="dxa"/>
            <w:gridSpan w:val="2"/>
            <w:tcBorders>
              <w:right w:val="single" w:sz="4" w:space="0" w:color="auto"/>
            </w:tcBorders>
            <w:vAlign w:val="center"/>
            <w:hideMark/>
          </w:tcPr>
          <w:p w14:paraId="094CFBA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39.85</w:t>
            </w:r>
          </w:p>
        </w:tc>
        <w:tc>
          <w:tcPr>
            <w:tcW w:w="1050" w:type="dxa"/>
            <w:tcBorders>
              <w:top w:val="nil"/>
              <w:left w:val="single" w:sz="4" w:space="0" w:color="auto"/>
              <w:bottom w:val="nil"/>
            </w:tcBorders>
            <w:vAlign w:val="center"/>
            <w:hideMark/>
          </w:tcPr>
          <w:p w14:paraId="695E3F6E"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43.2</w:t>
            </w:r>
          </w:p>
        </w:tc>
        <w:tc>
          <w:tcPr>
            <w:tcW w:w="1280" w:type="dxa"/>
            <w:tcBorders>
              <w:top w:val="nil"/>
              <w:bottom w:val="nil"/>
            </w:tcBorders>
            <w:noWrap/>
            <w:vAlign w:val="center"/>
            <w:hideMark/>
          </w:tcPr>
          <w:p w14:paraId="5FB44709"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42.83</w:t>
            </w:r>
          </w:p>
        </w:tc>
        <w:tc>
          <w:tcPr>
            <w:tcW w:w="1720" w:type="dxa"/>
            <w:tcBorders>
              <w:top w:val="nil"/>
              <w:bottom w:val="nil"/>
            </w:tcBorders>
            <w:noWrap/>
            <w:vAlign w:val="center"/>
            <w:hideMark/>
          </w:tcPr>
          <w:p w14:paraId="22160993"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30.58</w:t>
            </w:r>
          </w:p>
        </w:tc>
        <w:tc>
          <w:tcPr>
            <w:tcW w:w="1320" w:type="dxa"/>
            <w:tcBorders>
              <w:top w:val="nil"/>
              <w:bottom w:val="nil"/>
            </w:tcBorders>
            <w:vAlign w:val="center"/>
            <w:hideMark/>
          </w:tcPr>
          <w:p w14:paraId="427A160F"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39.21</w:t>
            </w:r>
          </w:p>
        </w:tc>
      </w:tr>
      <w:tr w:rsidR="00DF0BA2" w:rsidRPr="00DF0BA2" w14:paraId="1B061165" w14:textId="77777777" w:rsidTr="00785393">
        <w:trPr>
          <w:trHeight w:val="279"/>
        </w:trPr>
        <w:tc>
          <w:tcPr>
            <w:tcW w:w="555" w:type="dxa"/>
            <w:vAlign w:val="center"/>
            <w:hideMark/>
          </w:tcPr>
          <w:p w14:paraId="68D1012B"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18</w:t>
            </w:r>
          </w:p>
        </w:tc>
        <w:tc>
          <w:tcPr>
            <w:tcW w:w="2595" w:type="dxa"/>
            <w:gridSpan w:val="2"/>
            <w:vAlign w:val="center"/>
            <w:hideMark/>
          </w:tcPr>
          <w:p w14:paraId="3526BF04"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 xml:space="preserve">Acid soluble lignin (%) </w:t>
            </w:r>
          </w:p>
        </w:tc>
        <w:tc>
          <w:tcPr>
            <w:tcW w:w="1350" w:type="dxa"/>
            <w:vAlign w:val="center"/>
            <w:hideMark/>
          </w:tcPr>
          <w:p w14:paraId="2A7AC19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1.42</w:t>
            </w:r>
          </w:p>
        </w:tc>
        <w:tc>
          <w:tcPr>
            <w:tcW w:w="1400" w:type="dxa"/>
            <w:vAlign w:val="center"/>
            <w:hideMark/>
          </w:tcPr>
          <w:p w14:paraId="4262709D"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1.39</w:t>
            </w:r>
          </w:p>
        </w:tc>
        <w:tc>
          <w:tcPr>
            <w:tcW w:w="1660" w:type="dxa"/>
            <w:vAlign w:val="center"/>
            <w:hideMark/>
          </w:tcPr>
          <w:p w14:paraId="558702F0"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0.76</w:t>
            </w:r>
          </w:p>
        </w:tc>
        <w:tc>
          <w:tcPr>
            <w:tcW w:w="1740" w:type="dxa"/>
            <w:gridSpan w:val="2"/>
            <w:tcBorders>
              <w:right w:val="single" w:sz="4" w:space="0" w:color="auto"/>
            </w:tcBorders>
            <w:vAlign w:val="center"/>
            <w:hideMark/>
          </w:tcPr>
          <w:p w14:paraId="37888B1A"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0.95</w:t>
            </w:r>
          </w:p>
        </w:tc>
        <w:tc>
          <w:tcPr>
            <w:tcW w:w="1050" w:type="dxa"/>
            <w:tcBorders>
              <w:top w:val="nil"/>
              <w:left w:val="single" w:sz="4" w:space="0" w:color="auto"/>
              <w:bottom w:val="nil"/>
            </w:tcBorders>
            <w:vAlign w:val="center"/>
            <w:hideMark/>
          </w:tcPr>
          <w:p w14:paraId="0C4D3D1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0.89</w:t>
            </w:r>
          </w:p>
        </w:tc>
        <w:tc>
          <w:tcPr>
            <w:tcW w:w="1280" w:type="dxa"/>
            <w:tcBorders>
              <w:top w:val="nil"/>
              <w:bottom w:val="nil"/>
            </w:tcBorders>
            <w:noWrap/>
            <w:vAlign w:val="center"/>
            <w:hideMark/>
          </w:tcPr>
          <w:p w14:paraId="0A2D4A44"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1.02</w:t>
            </w:r>
          </w:p>
        </w:tc>
        <w:tc>
          <w:tcPr>
            <w:tcW w:w="1720" w:type="dxa"/>
            <w:tcBorders>
              <w:top w:val="nil"/>
              <w:bottom w:val="nil"/>
            </w:tcBorders>
            <w:noWrap/>
            <w:vAlign w:val="center"/>
            <w:hideMark/>
          </w:tcPr>
          <w:p w14:paraId="0686BAF2" w14:textId="77777777" w:rsidR="00F7194B" w:rsidRPr="00DF0BA2" w:rsidRDefault="00F7194B" w:rsidP="00F337D2">
            <w:pPr>
              <w:spacing w:after="0" w:line="240" w:lineRule="auto"/>
              <w:jc w:val="center"/>
              <w:rPr>
                <w:rFonts w:ascii="Times New Roman" w:eastAsia="Times New Roman" w:hAnsi="Times New Roman" w:cs="Times New Roman"/>
                <w:color w:val="000000" w:themeColor="text1"/>
                <w:sz w:val="16"/>
                <w:szCs w:val="20"/>
              </w:rPr>
            </w:pPr>
            <w:r w:rsidRPr="00DF0BA2">
              <w:rPr>
                <w:rFonts w:ascii="Times New Roman" w:eastAsia="Times New Roman" w:hAnsi="Times New Roman" w:cs="Times New Roman"/>
                <w:color w:val="000000" w:themeColor="text1"/>
                <w:sz w:val="16"/>
                <w:szCs w:val="20"/>
              </w:rPr>
              <w:t>1.03</w:t>
            </w:r>
          </w:p>
        </w:tc>
        <w:tc>
          <w:tcPr>
            <w:tcW w:w="1320" w:type="dxa"/>
            <w:tcBorders>
              <w:top w:val="nil"/>
              <w:bottom w:val="nil"/>
            </w:tcBorders>
            <w:vAlign w:val="center"/>
            <w:hideMark/>
          </w:tcPr>
          <w:p w14:paraId="79BE77C7"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1.02</w:t>
            </w:r>
          </w:p>
        </w:tc>
      </w:tr>
      <w:tr w:rsidR="00DF0BA2" w:rsidRPr="00DF0BA2" w14:paraId="4BB6A581" w14:textId="77777777" w:rsidTr="00785393">
        <w:trPr>
          <w:trHeight w:val="161"/>
        </w:trPr>
        <w:tc>
          <w:tcPr>
            <w:tcW w:w="555" w:type="dxa"/>
            <w:vAlign w:val="center"/>
            <w:hideMark/>
          </w:tcPr>
          <w:p w14:paraId="52D60C28"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19</w:t>
            </w:r>
          </w:p>
        </w:tc>
        <w:tc>
          <w:tcPr>
            <w:tcW w:w="2595" w:type="dxa"/>
            <w:gridSpan w:val="2"/>
            <w:vAlign w:val="center"/>
            <w:hideMark/>
          </w:tcPr>
          <w:p w14:paraId="789D4AC5" w14:textId="77777777" w:rsidR="00F7194B" w:rsidRPr="00DF0BA2" w:rsidRDefault="00F7194B" w:rsidP="00E4208A">
            <w:pPr>
              <w:spacing w:after="0" w:line="240" w:lineRule="auto"/>
              <w:jc w:val="both"/>
              <w:rPr>
                <w:rFonts w:ascii="Times New Roman" w:eastAsia="Times New Roman" w:hAnsi="Times New Roman" w:cs="Times New Roman"/>
                <w:b/>
                <w:bCs/>
                <w:color w:val="000000" w:themeColor="text1"/>
                <w:sz w:val="16"/>
                <w:szCs w:val="20"/>
              </w:rPr>
            </w:pPr>
            <w:r w:rsidRPr="00DF0BA2">
              <w:rPr>
                <w:rFonts w:ascii="Times New Roman" w:eastAsia="Times New Roman" w:hAnsi="Times New Roman" w:cs="Times New Roman"/>
                <w:b/>
                <w:bCs/>
                <w:color w:val="000000" w:themeColor="text1"/>
                <w:sz w:val="16"/>
                <w:szCs w:val="20"/>
              </w:rPr>
              <w:t>Total lignin (%)</w:t>
            </w:r>
          </w:p>
        </w:tc>
        <w:tc>
          <w:tcPr>
            <w:tcW w:w="1350" w:type="dxa"/>
            <w:vAlign w:val="center"/>
            <w:hideMark/>
          </w:tcPr>
          <w:p w14:paraId="454A6B84"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44.24</w:t>
            </w:r>
          </w:p>
        </w:tc>
        <w:tc>
          <w:tcPr>
            <w:tcW w:w="1400" w:type="dxa"/>
            <w:vAlign w:val="center"/>
            <w:hideMark/>
          </w:tcPr>
          <w:p w14:paraId="530B7BD9"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44.21</w:t>
            </w:r>
          </w:p>
        </w:tc>
        <w:tc>
          <w:tcPr>
            <w:tcW w:w="1660" w:type="dxa"/>
            <w:vAlign w:val="center"/>
            <w:hideMark/>
          </w:tcPr>
          <w:p w14:paraId="7A9B05F3"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31.59</w:t>
            </w:r>
          </w:p>
        </w:tc>
        <w:tc>
          <w:tcPr>
            <w:tcW w:w="1740" w:type="dxa"/>
            <w:gridSpan w:val="2"/>
            <w:tcBorders>
              <w:right w:val="single" w:sz="4" w:space="0" w:color="auto"/>
            </w:tcBorders>
            <w:vAlign w:val="center"/>
            <w:hideMark/>
          </w:tcPr>
          <w:p w14:paraId="28403E7B"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40.8</w:t>
            </w:r>
          </w:p>
        </w:tc>
        <w:tc>
          <w:tcPr>
            <w:tcW w:w="1050" w:type="dxa"/>
            <w:tcBorders>
              <w:top w:val="nil"/>
              <w:left w:val="single" w:sz="4" w:space="0" w:color="auto"/>
              <w:bottom w:val="single" w:sz="4" w:space="0" w:color="auto"/>
            </w:tcBorders>
            <w:vAlign w:val="center"/>
            <w:hideMark/>
          </w:tcPr>
          <w:p w14:paraId="43A9AA4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44.09</w:t>
            </w:r>
          </w:p>
        </w:tc>
        <w:tc>
          <w:tcPr>
            <w:tcW w:w="1280" w:type="dxa"/>
            <w:tcBorders>
              <w:top w:val="nil"/>
              <w:bottom w:val="single" w:sz="4" w:space="0" w:color="auto"/>
            </w:tcBorders>
            <w:noWrap/>
            <w:vAlign w:val="center"/>
            <w:hideMark/>
          </w:tcPr>
          <w:p w14:paraId="5EF57AF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43.85</w:t>
            </w:r>
          </w:p>
        </w:tc>
        <w:tc>
          <w:tcPr>
            <w:tcW w:w="1720" w:type="dxa"/>
            <w:tcBorders>
              <w:top w:val="nil"/>
              <w:bottom w:val="single" w:sz="4" w:space="0" w:color="auto"/>
            </w:tcBorders>
            <w:noWrap/>
            <w:vAlign w:val="center"/>
            <w:hideMark/>
          </w:tcPr>
          <w:p w14:paraId="0A7A6F02"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31.61</w:t>
            </w:r>
          </w:p>
        </w:tc>
        <w:tc>
          <w:tcPr>
            <w:tcW w:w="1320" w:type="dxa"/>
            <w:tcBorders>
              <w:top w:val="nil"/>
              <w:bottom w:val="single" w:sz="4" w:space="0" w:color="auto"/>
            </w:tcBorders>
            <w:vAlign w:val="center"/>
            <w:hideMark/>
          </w:tcPr>
          <w:p w14:paraId="16015215" w14:textId="77777777" w:rsidR="00F7194B" w:rsidRPr="00DF0BA2" w:rsidRDefault="00F7194B" w:rsidP="00F337D2">
            <w:pPr>
              <w:spacing w:after="0" w:line="240" w:lineRule="auto"/>
              <w:jc w:val="center"/>
              <w:rPr>
                <w:rFonts w:ascii="Times New Roman" w:eastAsia="Times New Roman" w:hAnsi="Times New Roman" w:cs="Times New Roman"/>
                <w:bCs/>
                <w:color w:val="000000" w:themeColor="text1"/>
                <w:sz w:val="16"/>
                <w:szCs w:val="20"/>
              </w:rPr>
            </w:pPr>
            <w:r w:rsidRPr="00DF0BA2">
              <w:rPr>
                <w:rFonts w:ascii="Times New Roman" w:eastAsia="Times New Roman" w:hAnsi="Times New Roman" w:cs="Times New Roman"/>
                <w:bCs/>
                <w:color w:val="000000" w:themeColor="text1"/>
                <w:sz w:val="16"/>
                <w:szCs w:val="20"/>
              </w:rPr>
              <w:t>40.23</w:t>
            </w:r>
          </w:p>
        </w:tc>
      </w:tr>
    </w:tbl>
    <w:p w14:paraId="38F81058" w14:textId="77777777" w:rsidR="00F7194B" w:rsidRPr="00DF0BA2" w:rsidRDefault="00F7194B" w:rsidP="00C44944">
      <w:pPr>
        <w:jc w:val="both"/>
        <w:rPr>
          <w:rFonts w:ascii="Times New Roman" w:eastAsia="Times New Roman" w:hAnsi="Times New Roman" w:cs="Times New Roman"/>
          <w:color w:val="000000" w:themeColor="text1"/>
          <w:sz w:val="24"/>
          <w:szCs w:val="24"/>
        </w:rPr>
        <w:sectPr w:rsidR="00F7194B" w:rsidRPr="00DF0BA2" w:rsidSect="00E4208A">
          <w:pgSz w:w="16834" w:h="11909" w:orient="landscape" w:code="9"/>
          <w:pgMar w:top="1350" w:right="1440" w:bottom="1350" w:left="1440" w:header="720" w:footer="720" w:gutter="0"/>
          <w:cols w:space="720"/>
          <w:docGrid w:linePitch="360"/>
        </w:sectPr>
      </w:pPr>
    </w:p>
    <w:p w14:paraId="1F97C894" w14:textId="77777777" w:rsidR="00F7194B" w:rsidRPr="00DF0BA2" w:rsidRDefault="00F7194B" w:rsidP="00C44944">
      <w:pPr>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lastRenderedPageBreak/>
        <w:t xml:space="preserve">Table </w:t>
      </w:r>
      <w:proofErr w:type="gramStart"/>
      <w:r w:rsidRPr="00DF0BA2">
        <w:rPr>
          <w:rFonts w:ascii="Times New Roman" w:eastAsia="Times New Roman" w:hAnsi="Times New Roman" w:cs="Times New Roman"/>
          <w:b/>
          <w:color w:val="000000" w:themeColor="text1"/>
          <w:sz w:val="24"/>
          <w:szCs w:val="24"/>
        </w:rPr>
        <w:t>2 :</w:t>
      </w:r>
      <w:proofErr w:type="gramEnd"/>
      <w:r w:rsidRPr="00DF0BA2">
        <w:rPr>
          <w:rFonts w:ascii="Times New Roman" w:eastAsia="Times New Roman" w:hAnsi="Times New Roman" w:cs="Times New Roman"/>
          <w:b/>
          <w:color w:val="000000" w:themeColor="text1"/>
          <w:sz w:val="24"/>
          <w:szCs w:val="24"/>
        </w:rPr>
        <w:t xml:space="preserve">  Comparative Study of quality </w:t>
      </w:r>
      <w:proofErr w:type="gramStart"/>
      <w:r w:rsidRPr="00DF0BA2">
        <w:rPr>
          <w:rFonts w:ascii="Times New Roman" w:eastAsia="Times New Roman" w:hAnsi="Times New Roman" w:cs="Times New Roman"/>
          <w:b/>
          <w:color w:val="000000" w:themeColor="text1"/>
          <w:sz w:val="24"/>
          <w:szCs w:val="24"/>
        </w:rPr>
        <w:t xml:space="preserve">of  </w:t>
      </w:r>
      <w:proofErr w:type="spellStart"/>
      <w:r w:rsidRPr="00DF0BA2">
        <w:rPr>
          <w:rFonts w:ascii="Times New Roman" w:eastAsia="Times New Roman" w:hAnsi="Times New Roman" w:cs="Times New Roman"/>
          <w:b/>
          <w:color w:val="000000" w:themeColor="text1"/>
          <w:sz w:val="24"/>
          <w:szCs w:val="24"/>
        </w:rPr>
        <w:t>coirpith</w:t>
      </w:r>
      <w:proofErr w:type="spellEnd"/>
      <w:proofErr w:type="gramEnd"/>
      <w:r w:rsidRPr="00DF0BA2">
        <w:rPr>
          <w:rFonts w:ascii="Times New Roman" w:eastAsia="Times New Roman" w:hAnsi="Times New Roman" w:cs="Times New Roman"/>
          <w:b/>
          <w:color w:val="000000" w:themeColor="text1"/>
          <w:sz w:val="24"/>
          <w:szCs w:val="24"/>
        </w:rPr>
        <w:t xml:space="preserve"> pro-tray media with 2 month </w:t>
      </w:r>
      <w:proofErr w:type="gramStart"/>
      <w:r w:rsidRPr="00DF0BA2">
        <w:rPr>
          <w:rFonts w:ascii="Times New Roman" w:eastAsia="Times New Roman" w:hAnsi="Times New Roman" w:cs="Times New Roman"/>
          <w:b/>
          <w:color w:val="000000" w:themeColor="text1"/>
          <w:sz w:val="24"/>
          <w:szCs w:val="24"/>
        </w:rPr>
        <w:t>old  raw</w:t>
      </w:r>
      <w:proofErr w:type="gramEnd"/>
      <w:r w:rsidRPr="00DF0BA2">
        <w:rPr>
          <w:rFonts w:ascii="Times New Roman" w:eastAsia="Times New Roman" w:hAnsi="Times New Roman" w:cs="Times New Roman"/>
          <w:b/>
          <w:color w:val="000000" w:themeColor="text1"/>
          <w:sz w:val="24"/>
          <w:szCs w:val="24"/>
        </w:rPr>
        <w:t xml:space="preserve"> </w:t>
      </w:r>
      <w:proofErr w:type="spellStart"/>
      <w:r w:rsidRPr="00DF0BA2">
        <w:rPr>
          <w:rFonts w:ascii="Times New Roman" w:eastAsia="Times New Roman" w:hAnsi="Times New Roman" w:cs="Times New Roman"/>
          <w:b/>
          <w:color w:val="000000" w:themeColor="text1"/>
          <w:sz w:val="24"/>
          <w:szCs w:val="24"/>
        </w:rPr>
        <w:t>coirpith</w:t>
      </w:r>
      <w:proofErr w:type="spellEnd"/>
      <w:r w:rsidRPr="00DF0BA2">
        <w:rPr>
          <w:rFonts w:ascii="Times New Roman" w:eastAsia="Times New Roman" w:hAnsi="Times New Roman" w:cs="Times New Roman"/>
          <w:b/>
          <w:color w:val="000000" w:themeColor="text1"/>
          <w:sz w:val="24"/>
          <w:szCs w:val="24"/>
        </w:rPr>
        <w:t xml:space="preserve"> &amp; </w:t>
      </w:r>
      <w:proofErr w:type="spellStart"/>
      <w:r w:rsidRPr="00DF0BA2">
        <w:rPr>
          <w:rFonts w:ascii="Times New Roman" w:eastAsia="Times New Roman" w:hAnsi="Times New Roman" w:cs="Times New Roman"/>
          <w:b/>
          <w:color w:val="000000" w:themeColor="text1"/>
          <w:sz w:val="24"/>
          <w:szCs w:val="24"/>
        </w:rPr>
        <w:t>Gypsum+Urea</w:t>
      </w:r>
      <w:proofErr w:type="spellEnd"/>
      <w:r w:rsidRPr="00DF0BA2">
        <w:rPr>
          <w:rFonts w:ascii="Times New Roman" w:eastAsia="Times New Roman" w:hAnsi="Times New Roman" w:cs="Times New Roman"/>
          <w:b/>
          <w:color w:val="000000" w:themeColor="text1"/>
          <w:sz w:val="24"/>
          <w:szCs w:val="24"/>
        </w:rPr>
        <w:t xml:space="preserve"> treated coir pith</w:t>
      </w:r>
    </w:p>
    <w:tbl>
      <w:tblPr>
        <w:tblW w:w="15030" w:type="dxa"/>
        <w:tblInd w:w="-522" w:type="dxa"/>
        <w:tblBorders>
          <w:top w:val="single" w:sz="4" w:space="0" w:color="auto"/>
          <w:bottom w:val="single" w:sz="4" w:space="0" w:color="auto"/>
        </w:tblBorders>
        <w:tblLayout w:type="fixed"/>
        <w:tblLook w:val="04A0" w:firstRow="1" w:lastRow="0" w:firstColumn="1" w:lastColumn="0" w:noHBand="0" w:noVBand="1"/>
      </w:tblPr>
      <w:tblGrid>
        <w:gridCol w:w="549"/>
        <w:gridCol w:w="3411"/>
        <w:gridCol w:w="1440"/>
        <w:gridCol w:w="1245"/>
        <w:gridCol w:w="1350"/>
        <w:gridCol w:w="1314"/>
        <w:gridCol w:w="1350"/>
        <w:gridCol w:w="1221"/>
        <w:gridCol w:w="1620"/>
        <w:gridCol w:w="1530"/>
      </w:tblGrid>
      <w:tr w:rsidR="00DF0BA2" w:rsidRPr="00DF0BA2" w14:paraId="2EB68129" w14:textId="77777777" w:rsidTr="006A4486">
        <w:trPr>
          <w:trHeight w:val="458"/>
        </w:trPr>
        <w:tc>
          <w:tcPr>
            <w:tcW w:w="549" w:type="dxa"/>
            <w:vMerge w:val="restart"/>
            <w:tcBorders>
              <w:top w:val="single" w:sz="4" w:space="0" w:color="auto"/>
              <w:bottom w:val="nil"/>
            </w:tcBorders>
            <w:vAlign w:val="center"/>
            <w:hideMark/>
          </w:tcPr>
          <w:p w14:paraId="1CF6899E"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Sl. No.</w:t>
            </w:r>
          </w:p>
        </w:tc>
        <w:tc>
          <w:tcPr>
            <w:tcW w:w="3411" w:type="dxa"/>
            <w:vMerge w:val="restart"/>
            <w:tcBorders>
              <w:top w:val="single" w:sz="4" w:space="0" w:color="auto"/>
              <w:bottom w:val="nil"/>
            </w:tcBorders>
            <w:vAlign w:val="center"/>
            <w:hideMark/>
          </w:tcPr>
          <w:p w14:paraId="390A408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Test Parameters</w:t>
            </w:r>
          </w:p>
        </w:tc>
        <w:tc>
          <w:tcPr>
            <w:tcW w:w="5349" w:type="dxa"/>
            <w:gridSpan w:val="4"/>
            <w:tcBorders>
              <w:top w:val="single" w:sz="4" w:space="0" w:color="auto"/>
              <w:bottom w:val="single" w:sz="4" w:space="0" w:color="auto"/>
              <w:right w:val="single" w:sz="4" w:space="0" w:color="auto"/>
            </w:tcBorders>
            <w:vAlign w:val="center"/>
            <w:hideMark/>
          </w:tcPr>
          <w:p w14:paraId="595B2601" w14:textId="77777777" w:rsidR="00F7194B" w:rsidRPr="00DF0BA2" w:rsidRDefault="00F7194B" w:rsidP="006A4486">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2 month old raw </w:t>
            </w:r>
            <w:proofErr w:type="spellStart"/>
            <w:r w:rsidRPr="00DF0BA2">
              <w:rPr>
                <w:rFonts w:ascii="Times New Roman" w:eastAsia="Times New Roman" w:hAnsi="Times New Roman" w:cs="Times New Roman"/>
                <w:b/>
                <w:bCs/>
                <w:color w:val="000000" w:themeColor="text1"/>
                <w:sz w:val="20"/>
                <w:szCs w:val="20"/>
              </w:rPr>
              <w:t>coirpith</w:t>
            </w:r>
            <w:proofErr w:type="spellEnd"/>
          </w:p>
        </w:tc>
        <w:tc>
          <w:tcPr>
            <w:tcW w:w="5721" w:type="dxa"/>
            <w:gridSpan w:val="4"/>
            <w:tcBorders>
              <w:top w:val="single" w:sz="4" w:space="0" w:color="auto"/>
              <w:left w:val="single" w:sz="4" w:space="0" w:color="auto"/>
              <w:bottom w:val="single" w:sz="4" w:space="0" w:color="auto"/>
            </w:tcBorders>
            <w:vAlign w:val="bottom"/>
            <w:hideMark/>
          </w:tcPr>
          <w:p w14:paraId="18CDEAD4" w14:textId="77777777" w:rsidR="00F7194B" w:rsidRPr="00DF0BA2" w:rsidRDefault="00F7194B" w:rsidP="006A4486">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2 month old  </w:t>
            </w:r>
            <w:proofErr w:type="spellStart"/>
            <w:r w:rsidRPr="00DF0BA2">
              <w:rPr>
                <w:rFonts w:ascii="Times New Roman" w:eastAsia="Times New Roman" w:hAnsi="Times New Roman" w:cs="Times New Roman"/>
                <w:b/>
                <w:bCs/>
                <w:color w:val="000000" w:themeColor="text1"/>
                <w:sz w:val="20"/>
                <w:szCs w:val="20"/>
              </w:rPr>
              <w:t>coirpith</w:t>
            </w:r>
            <w:proofErr w:type="spellEnd"/>
            <w:r w:rsidRPr="00DF0BA2">
              <w:rPr>
                <w:rFonts w:ascii="Times New Roman" w:eastAsia="Times New Roman" w:hAnsi="Times New Roman" w:cs="Times New Roman"/>
                <w:b/>
                <w:bCs/>
                <w:color w:val="000000" w:themeColor="text1"/>
                <w:sz w:val="20"/>
                <w:szCs w:val="20"/>
              </w:rPr>
              <w:t xml:space="preserve"> amended with gypsum (25kgt</w:t>
            </w:r>
            <w:r w:rsidRPr="00DF0BA2">
              <w:rPr>
                <w:rFonts w:ascii="Times New Roman" w:eastAsia="Times New Roman" w:hAnsi="Times New Roman" w:cs="Times New Roman"/>
                <w:b/>
                <w:bCs/>
                <w:color w:val="000000" w:themeColor="text1"/>
                <w:sz w:val="20"/>
                <w:szCs w:val="20"/>
                <w:vertAlign w:val="superscript"/>
              </w:rPr>
              <w:t>-1</w:t>
            </w:r>
            <w:r w:rsidRPr="00DF0BA2">
              <w:rPr>
                <w:rFonts w:ascii="Times New Roman" w:eastAsia="Times New Roman" w:hAnsi="Times New Roman" w:cs="Times New Roman"/>
                <w:b/>
                <w:bCs/>
                <w:color w:val="000000" w:themeColor="text1"/>
                <w:sz w:val="20"/>
                <w:szCs w:val="20"/>
              </w:rPr>
              <w:t>) and urea (4 kg</w:t>
            </w:r>
            <w:r w:rsidRPr="00DF0BA2">
              <w:rPr>
                <w:rFonts w:ascii="Times New Roman" w:eastAsia="Times New Roman" w:hAnsi="Times New Roman" w:cs="Times New Roman"/>
                <w:b/>
                <w:bCs/>
                <w:color w:val="000000" w:themeColor="text1"/>
                <w:sz w:val="20"/>
                <w:szCs w:val="20"/>
                <w:vertAlign w:val="superscript"/>
              </w:rPr>
              <w:t>t-1</w:t>
            </w:r>
            <w:r w:rsidRPr="00DF0BA2">
              <w:rPr>
                <w:rFonts w:ascii="Times New Roman" w:eastAsia="Times New Roman" w:hAnsi="Times New Roman" w:cs="Times New Roman"/>
                <w:b/>
                <w:bCs/>
                <w:color w:val="000000" w:themeColor="text1"/>
                <w:sz w:val="20"/>
                <w:szCs w:val="20"/>
              </w:rPr>
              <w:t>)as per conventional method</w:t>
            </w:r>
          </w:p>
        </w:tc>
      </w:tr>
      <w:tr w:rsidR="00DF0BA2" w:rsidRPr="00DF0BA2" w14:paraId="50D5E1DA" w14:textId="77777777" w:rsidTr="00ED0CBB">
        <w:trPr>
          <w:trHeight w:val="1250"/>
        </w:trPr>
        <w:tc>
          <w:tcPr>
            <w:tcW w:w="549" w:type="dxa"/>
            <w:vMerge/>
            <w:tcBorders>
              <w:top w:val="nil"/>
              <w:bottom w:val="single" w:sz="4" w:space="0" w:color="auto"/>
            </w:tcBorders>
            <w:vAlign w:val="center"/>
            <w:hideMark/>
          </w:tcPr>
          <w:p w14:paraId="2A85D9F0"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p>
        </w:tc>
        <w:tc>
          <w:tcPr>
            <w:tcW w:w="3411" w:type="dxa"/>
            <w:vMerge/>
            <w:tcBorders>
              <w:top w:val="nil"/>
              <w:bottom w:val="single" w:sz="4" w:space="0" w:color="auto"/>
            </w:tcBorders>
            <w:vAlign w:val="center"/>
            <w:hideMark/>
          </w:tcPr>
          <w:p w14:paraId="6C06901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p>
        </w:tc>
        <w:tc>
          <w:tcPr>
            <w:tcW w:w="1440" w:type="dxa"/>
            <w:tcBorders>
              <w:top w:val="single" w:sz="4" w:space="0" w:color="auto"/>
              <w:bottom w:val="single" w:sz="4" w:space="0" w:color="auto"/>
            </w:tcBorders>
            <w:vAlign w:val="center"/>
            <w:hideMark/>
          </w:tcPr>
          <w:p w14:paraId="52D1F21B"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Control 1 (0 day )[Day of experiment Initiation]</w:t>
            </w:r>
          </w:p>
        </w:tc>
        <w:tc>
          <w:tcPr>
            <w:tcW w:w="1245" w:type="dxa"/>
            <w:tcBorders>
              <w:top w:val="single" w:sz="4" w:space="0" w:color="auto"/>
              <w:bottom w:val="single" w:sz="4" w:space="0" w:color="auto"/>
            </w:tcBorders>
            <w:vAlign w:val="center"/>
            <w:hideMark/>
          </w:tcPr>
          <w:p w14:paraId="5B41E17B"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Control 2 (40 day) after initiation of experiment</w:t>
            </w:r>
          </w:p>
        </w:tc>
        <w:tc>
          <w:tcPr>
            <w:tcW w:w="1350" w:type="dxa"/>
            <w:tcBorders>
              <w:top w:val="single" w:sz="4" w:space="0" w:color="auto"/>
              <w:bottom w:val="single" w:sz="4" w:space="0" w:color="auto"/>
            </w:tcBorders>
            <w:vAlign w:val="center"/>
            <w:hideMark/>
          </w:tcPr>
          <w:p w14:paraId="09740633"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Pro-Tray material developed under </w:t>
            </w:r>
            <w:proofErr w:type="spellStart"/>
            <w:r w:rsidRPr="00DF0BA2">
              <w:rPr>
                <w:rFonts w:ascii="Times New Roman" w:eastAsia="Times New Roman" w:hAnsi="Times New Roman" w:cs="Times New Roman"/>
                <w:b/>
                <w:bCs/>
                <w:color w:val="000000" w:themeColor="text1"/>
                <w:sz w:val="20"/>
                <w:szCs w:val="20"/>
              </w:rPr>
              <w:t>Novcom</w:t>
            </w:r>
            <w:proofErr w:type="spellEnd"/>
            <w:r w:rsidRPr="00DF0BA2">
              <w:rPr>
                <w:rFonts w:ascii="Times New Roman" w:eastAsia="Times New Roman" w:hAnsi="Times New Roman" w:cs="Times New Roman"/>
                <w:b/>
                <w:bCs/>
                <w:color w:val="000000" w:themeColor="text1"/>
                <w:sz w:val="20"/>
                <w:szCs w:val="20"/>
              </w:rPr>
              <w:t xml:space="preserve"> Technology</w:t>
            </w:r>
          </w:p>
          <w:p w14:paraId="431E9630"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(40 Days)</w:t>
            </w:r>
          </w:p>
        </w:tc>
        <w:tc>
          <w:tcPr>
            <w:tcW w:w="1314" w:type="dxa"/>
            <w:tcBorders>
              <w:top w:val="single" w:sz="4" w:space="0" w:color="auto"/>
              <w:bottom w:val="single" w:sz="4" w:space="0" w:color="auto"/>
              <w:right w:val="single" w:sz="4" w:space="0" w:color="auto"/>
            </w:tcBorders>
            <w:vAlign w:val="center"/>
            <w:hideMark/>
          </w:tcPr>
          <w:p w14:paraId="07748A1B"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Pro-Tray material developed under Conventional Method</w:t>
            </w:r>
          </w:p>
          <w:p w14:paraId="1CE2D90B"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(12 months)</w:t>
            </w:r>
          </w:p>
        </w:tc>
        <w:tc>
          <w:tcPr>
            <w:tcW w:w="1350" w:type="dxa"/>
            <w:tcBorders>
              <w:top w:val="single" w:sz="4" w:space="0" w:color="auto"/>
              <w:left w:val="single" w:sz="4" w:space="0" w:color="auto"/>
              <w:bottom w:val="single" w:sz="4" w:space="0" w:color="auto"/>
            </w:tcBorders>
            <w:vAlign w:val="center"/>
            <w:hideMark/>
          </w:tcPr>
          <w:p w14:paraId="45AD4D6B"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Control 1 (0 day ) Day of experiment Initiation]</w:t>
            </w:r>
          </w:p>
        </w:tc>
        <w:tc>
          <w:tcPr>
            <w:tcW w:w="1221" w:type="dxa"/>
            <w:tcBorders>
              <w:top w:val="single" w:sz="4" w:space="0" w:color="auto"/>
              <w:bottom w:val="single" w:sz="4" w:space="0" w:color="auto"/>
            </w:tcBorders>
            <w:vAlign w:val="center"/>
            <w:hideMark/>
          </w:tcPr>
          <w:p w14:paraId="247FD438"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Control 2 (40 day ) after initiation of experiment</w:t>
            </w:r>
          </w:p>
        </w:tc>
        <w:tc>
          <w:tcPr>
            <w:tcW w:w="1620" w:type="dxa"/>
            <w:tcBorders>
              <w:top w:val="single" w:sz="4" w:space="0" w:color="auto"/>
              <w:bottom w:val="single" w:sz="4" w:space="0" w:color="auto"/>
            </w:tcBorders>
            <w:vAlign w:val="center"/>
            <w:hideMark/>
          </w:tcPr>
          <w:p w14:paraId="56FD33B8"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Pro-Tray material developed under </w:t>
            </w:r>
            <w:proofErr w:type="spellStart"/>
            <w:r w:rsidRPr="00DF0BA2">
              <w:rPr>
                <w:rFonts w:ascii="Times New Roman" w:eastAsia="Times New Roman" w:hAnsi="Times New Roman" w:cs="Times New Roman"/>
                <w:b/>
                <w:bCs/>
                <w:color w:val="000000" w:themeColor="text1"/>
                <w:sz w:val="20"/>
                <w:szCs w:val="20"/>
              </w:rPr>
              <w:t>Novcom</w:t>
            </w:r>
            <w:proofErr w:type="spellEnd"/>
            <w:r w:rsidRPr="00DF0BA2">
              <w:rPr>
                <w:rFonts w:ascii="Times New Roman" w:eastAsia="Times New Roman" w:hAnsi="Times New Roman" w:cs="Times New Roman"/>
                <w:b/>
                <w:bCs/>
                <w:color w:val="000000" w:themeColor="text1"/>
                <w:sz w:val="20"/>
                <w:szCs w:val="20"/>
              </w:rPr>
              <w:t xml:space="preserve"> Technology</w:t>
            </w:r>
          </w:p>
          <w:p w14:paraId="4AB60FB5"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(40 Days)</w:t>
            </w:r>
          </w:p>
        </w:tc>
        <w:tc>
          <w:tcPr>
            <w:tcW w:w="1530" w:type="dxa"/>
            <w:tcBorders>
              <w:top w:val="single" w:sz="4" w:space="0" w:color="auto"/>
              <w:bottom w:val="single" w:sz="4" w:space="0" w:color="auto"/>
            </w:tcBorders>
            <w:vAlign w:val="center"/>
            <w:hideMark/>
          </w:tcPr>
          <w:p w14:paraId="458561E1"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Pro-Tray material developed under Conventional Method</w:t>
            </w:r>
          </w:p>
          <w:p w14:paraId="2908C763"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(12 months)</w:t>
            </w:r>
          </w:p>
        </w:tc>
      </w:tr>
      <w:tr w:rsidR="00DF0BA2" w:rsidRPr="00DF0BA2" w14:paraId="7C1AD106" w14:textId="77777777" w:rsidTr="006A4486">
        <w:trPr>
          <w:trHeight w:val="315"/>
        </w:trPr>
        <w:tc>
          <w:tcPr>
            <w:tcW w:w="15030" w:type="dxa"/>
            <w:gridSpan w:val="10"/>
            <w:tcBorders>
              <w:top w:val="single" w:sz="4" w:space="0" w:color="auto"/>
            </w:tcBorders>
            <w:vAlign w:val="center"/>
            <w:hideMark/>
          </w:tcPr>
          <w:p w14:paraId="38464D93"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PHYSICOCHEMICAL PARAMETERS</w:t>
            </w:r>
          </w:p>
        </w:tc>
      </w:tr>
      <w:tr w:rsidR="00DF0BA2" w:rsidRPr="00DF0BA2" w14:paraId="3382D2EB" w14:textId="77777777" w:rsidTr="00ED0CBB">
        <w:trPr>
          <w:trHeight w:val="143"/>
        </w:trPr>
        <w:tc>
          <w:tcPr>
            <w:tcW w:w="549" w:type="dxa"/>
            <w:vAlign w:val="center"/>
            <w:hideMark/>
          </w:tcPr>
          <w:p w14:paraId="2BD1BE1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w:t>
            </w:r>
          </w:p>
        </w:tc>
        <w:tc>
          <w:tcPr>
            <w:tcW w:w="3411" w:type="dxa"/>
            <w:vAlign w:val="center"/>
            <w:hideMark/>
          </w:tcPr>
          <w:p w14:paraId="2876CD14"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Moisture (%)</w:t>
            </w:r>
          </w:p>
        </w:tc>
        <w:tc>
          <w:tcPr>
            <w:tcW w:w="1440" w:type="dxa"/>
            <w:vAlign w:val="center"/>
            <w:hideMark/>
          </w:tcPr>
          <w:p w14:paraId="70A645B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68.39</w:t>
            </w:r>
          </w:p>
        </w:tc>
        <w:tc>
          <w:tcPr>
            <w:tcW w:w="1245" w:type="dxa"/>
            <w:vAlign w:val="center"/>
            <w:hideMark/>
          </w:tcPr>
          <w:p w14:paraId="35CE5CD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65.22</w:t>
            </w:r>
          </w:p>
        </w:tc>
        <w:tc>
          <w:tcPr>
            <w:tcW w:w="1350" w:type="dxa"/>
            <w:vAlign w:val="center"/>
            <w:hideMark/>
          </w:tcPr>
          <w:p w14:paraId="48CBB33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78.68</w:t>
            </w:r>
          </w:p>
        </w:tc>
        <w:tc>
          <w:tcPr>
            <w:tcW w:w="1314" w:type="dxa"/>
            <w:tcBorders>
              <w:right w:val="single" w:sz="4" w:space="0" w:color="auto"/>
            </w:tcBorders>
            <w:vAlign w:val="center"/>
            <w:hideMark/>
          </w:tcPr>
          <w:p w14:paraId="49A61C8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68.5</w:t>
            </w:r>
          </w:p>
        </w:tc>
        <w:tc>
          <w:tcPr>
            <w:tcW w:w="1350" w:type="dxa"/>
            <w:tcBorders>
              <w:top w:val="nil"/>
              <w:left w:val="single" w:sz="4" w:space="0" w:color="auto"/>
              <w:bottom w:val="nil"/>
            </w:tcBorders>
            <w:vAlign w:val="center"/>
            <w:hideMark/>
          </w:tcPr>
          <w:p w14:paraId="04A1CDC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65.22</w:t>
            </w:r>
          </w:p>
        </w:tc>
        <w:tc>
          <w:tcPr>
            <w:tcW w:w="1221" w:type="dxa"/>
            <w:tcBorders>
              <w:top w:val="nil"/>
              <w:bottom w:val="nil"/>
            </w:tcBorders>
            <w:noWrap/>
            <w:vAlign w:val="center"/>
            <w:hideMark/>
          </w:tcPr>
          <w:p w14:paraId="4E5EFCA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66.93</w:t>
            </w:r>
          </w:p>
        </w:tc>
        <w:tc>
          <w:tcPr>
            <w:tcW w:w="1620" w:type="dxa"/>
            <w:tcBorders>
              <w:top w:val="nil"/>
              <w:bottom w:val="nil"/>
            </w:tcBorders>
            <w:noWrap/>
            <w:vAlign w:val="center"/>
            <w:hideMark/>
          </w:tcPr>
          <w:p w14:paraId="2D0EFAC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80.33</w:t>
            </w:r>
          </w:p>
        </w:tc>
        <w:tc>
          <w:tcPr>
            <w:tcW w:w="1530" w:type="dxa"/>
            <w:tcBorders>
              <w:top w:val="nil"/>
              <w:bottom w:val="nil"/>
            </w:tcBorders>
            <w:vAlign w:val="center"/>
            <w:hideMark/>
          </w:tcPr>
          <w:p w14:paraId="32B70D3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82.63</w:t>
            </w:r>
          </w:p>
        </w:tc>
      </w:tr>
      <w:tr w:rsidR="00DF0BA2" w:rsidRPr="00DF0BA2" w14:paraId="00155C97" w14:textId="77777777" w:rsidTr="00ED0CBB">
        <w:trPr>
          <w:trHeight w:val="224"/>
        </w:trPr>
        <w:tc>
          <w:tcPr>
            <w:tcW w:w="549" w:type="dxa"/>
            <w:vAlign w:val="center"/>
            <w:hideMark/>
          </w:tcPr>
          <w:p w14:paraId="3CE25657"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2</w:t>
            </w:r>
          </w:p>
        </w:tc>
        <w:tc>
          <w:tcPr>
            <w:tcW w:w="3411" w:type="dxa"/>
            <w:vAlign w:val="center"/>
            <w:hideMark/>
          </w:tcPr>
          <w:p w14:paraId="521720B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pH (H</w:t>
            </w:r>
            <w:r w:rsidRPr="00DF0BA2">
              <w:rPr>
                <w:rFonts w:ascii="Times New Roman" w:eastAsia="Times New Roman" w:hAnsi="Times New Roman" w:cs="Times New Roman"/>
                <w:b/>
                <w:bCs/>
                <w:color w:val="000000" w:themeColor="text1"/>
                <w:sz w:val="20"/>
                <w:szCs w:val="20"/>
                <w:vertAlign w:val="subscript"/>
              </w:rPr>
              <w:t>2</w:t>
            </w:r>
            <w:r w:rsidRPr="00DF0BA2">
              <w:rPr>
                <w:rFonts w:ascii="Times New Roman" w:eastAsia="Times New Roman" w:hAnsi="Times New Roman" w:cs="Times New Roman"/>
                <w:b/>
                <w:bCs/>
                <w:color w:val="000000" w:themeColor="text1"/>
                <w:sz w:val="20"/>
                <w:szCs w:val="20"/>
              </w:rPr>
              <w:t>O) (1:10)</w:t>
            </w:r>
          </w:p>
        </w:tc>
        <w:tc>
          <w:tcPr>
            <w:tcW w:w="1440" w:type="dxa"/>
            <w:vAlign w:val="center"/>
            <w:hideMark/>
          </w:tcPr>
          <w:p w14:paraId="5C4E256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5.31</w:t>
            </w:r>
          </w:p>
        </w:tc>
        <w:tc>
          <w:tcPr>
            <w:tcW w:w="1245" w:type="dxa"/>
            <w:vAlign w:val="center"/>
            <w:hideMark/>
          </w:tcPr>
          <w:p w14:paraId="3CFCD67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5.37</w:t>
            </w:r>
          </w:p>
        </w:tc>
        <w:tc>
          <w:tcPr>
            <w:tcW w:w="1350" w:type="dxa"/>
            <w:vAlign w:val="center"/>
            <w:hideMark/>
          </w:tcPr>
          <w:p w14:paraId="4ABCD0CC"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5.81</w:t>
            </w:r>
          </w:p>
        </w:tc>
        <w:tc>
          <w:tcPr>
            <w:tcW w:w="1314" w:type="dxa"/>
            <w:tcBorders>
              <w:right w:val="single" w:sz="4" w:space="0" w:color="auto"/>
            </w:tcBorders>
            <w:vAlign w:val="center"/>
            <w:hideMark/>
          </w:tcPr>
          <w:p w14:paraId="48A3111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5.01</w:t>
            </w:r>
          </w:p>
        </w:tc>
        <w:tc>
          <w:tcPr>
            <w:tcW w:w="1350" w:type="dxa"/>
            <w:tcBorders>
              <w:top w:val="nil"/>
              <w:left w:val="single" w:sz="4" w:space="0" w:color="auto"/>
              <w:bottom w:val="nil"/>
            </w:tcBorders>
            <w:vAlign w:val="center"/>
            <w:hideMark/>
          </w:tcPr>
          <w:p w14:paraId="32D3067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5.59</w:t>
            </w:r>
          </w:p>
        </w:tc>
        <w:tc>
          <w:tcPr>
            <w:tcW w:w="1221" w:type="dxa"/>
            <w:tcBorders>
              <w:top w:val="nil"/>
              <w:bottom w:val="nil"/>
            </w:tcBorders>
            <w:noWrap/>
            <w:vAlign w:val="center"/>
            <w:hideMark/>
          </w:tcPr>
          <w:p w14:paraId="64AC6AD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5.52</w:t>
            </w:r>
          </w:p>
        </w:tc>
        <w:tc>
          <w:tcPr>
            <w:tcW w:w="1620" w:type="dxa"/>
            <w:tcBorders>
              <w:top w:val="nil"/>
              <w:bottom w:val="nil"/>
            </w:tcBorders>
            <w:noWrap/>
            <w:vAlign w:val="center"/>
            <w:hideMark/>
          </w:tcPr>
          <w:p w14:paraId="458B588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5.66</w:t>
            </w:r>
          </w:p>
        </w:tc>
        <w:tc>
          <w:tcPr>
            <w:tcW w:w="1530" w:type="dxa"/>
            <w:tcBorders>
              <w:top w:val="nil"/>
              <w:bottom w:val="nil"/>
            </w:tcBorders>
            <w:vAlign w:val="center"/>
            <w:hideMark/>
          </w:tcPr>
          <w:p w14:paraId="0DD0032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5.36</w:t>
            </w:r>
          </w:p>
        </w:tc>
      </w:tr>
      <w:tr w:rsidR="00DF0BA2" w:rsidRPr="00DF0BA2" w14:paraId="33346411" w14:textId="77777777" w:rsidTr="00ED0CBB">
        <w:trPr>
          <w:trHeight w:val="260"/>
        </w:trPr>
        <w:tc>
          <w:tcPr>
            <w:tcW w:w="549" w:type="dxa"/>
            <w:vAlign w:val="center"/>
            <w:hideMark/>
          </w:tcPr>
          <w:p w14:paraId="4E8DBE8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3</w:t>
            </w:r>
          </w:p>
        </w:tc>
        <w:tc>
          <w:tcPr>
            <w:tcW w:w="3411" w:type="dxa"/>
            <w:vAlign w:val="center"/>
            <w:hideMark/>
          </w:tcPr>
          <w:p w14:paraId="2ED351A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EC (dSm</w:t>
            </w:r>
            <w:r w:rsidRPr="00DF0BA2">
              <w:rPr>
                <w:rFonts w:ascii="Times New Roman" w:eastAsia="Times New Roman" w:hAnsi="Times New Roman" w:cs="Times New Roman"/>
                <w:b/>
                <w:bCs/>
                <w:color w:val="000000" w:themeColor="text1"/>
                <w:sz w:val="20"/>
                <w:szCs w:val="20"/>
                <w:vertAlign w:val="superscript"/>
              </w:rPr>
              <w:t>-1</w:t>
            </w:r>
            <w:r w:rsidRPr="00DF0BA2">
              <w:rPr>
                <w:rFonts w:ascii="Times New Roman" w:eastAsia="Times New Roman" w:hAnsi="Times New Roman" w:cs="Times New Roman"/>
                <w:b/>
                <w:bCs/>
                <w:color w:val="000000" w:themeColor="text1"/>
                <w:sz w:val="20"/>
                <w:szCs w:val="20"/>
              </w:rPr>
              <w:t>) (1:10)</w:t>
            </w:r>
          </w:p>
        </w:tc>
        <w:tc>
          <w:tcPr>
            <w:tcW w:w="1440" w:type="dxa"/>
            <w:vAlign w:val="center"/>
            <w:hideMark/>
          </w:tcPr>
          <w:p w14:paraId="7BF070D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3.25</w:t>
            </w:r>
          </w:p>
        </w:tc>
        <w:tc>
          <w:tcPr>
            <w:tcW w:w="1245" w:type="dxa"/>
            <w:vAlign w:val="center"/>
            <w:hideMark/>
          </w:tcPr>
          <w:p w14:paraId="522708D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4.01</w:t>
            </w:r>
          </w:p>
        </w:tc>
        <w:tc>
          <w:tcPr>
            <w:tcW w:w="1350" w:type="dxa"/>
            <w:vAlign w:val="center"/>
            <w:hideMark/>
          </w:tcPr>
          <w:p w14:paraId="3E8B9E7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2.32</w:t>
            </w:r>
          </w:p>
        </w:tc>
        <w:tc>
          <w:tcPr>
            <w:tcW w:w="1314" w:type="dxa"/>
            <w:tcBorders>
              <w:right w:val="single" w:sz="4" w:space="0" w:color="auto"/>
            </w:tcBorders>
            <w:vAlign w:val="center"/>
            <w:hideMark/>
          </w:tcPr>
          <w:p w14:paraId="0D4BEE9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3.09</w:t>
            </w:r>
          </w:p>
        </w:tc>
        <w:tc>
          <w:tcPr>
            <w:tcW w:w="1350" w:type="dxa"/>
            <w:tcBorders>
              <w:top w:val="nil"/>
              <w:left w:val="single" w:sz="4" w:space="0" w:color="auto"/>
              <w:bottom w:val="nil"/>
            </w:tcBorders>
            <w:vAlign w:val="center"/>
            <w:hideMark/>
          </w:tcPr>
          <w:p w14:paraId="350CCDC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4.51</w:t>
            </w:r>
          </w:p>
        </w:tc>
        <w:tc>
          <w:tcPr>
            <w:tcW w:w="1221" w:type="dxa"/>
            <w:tcBorders>
              <w:top w:val="nil"/>
              <w:bottom w:val="nil"/>
            </w:tcBorders>
            <w:noWrap/>
            <w:vAlign w:val="center"/>
            <w:hideMark/>
          </w:tcPr>
          <w:p w14:paraId="473F2A9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4.59</w:t>
            </w:r>
          </w:p>
        </w:tc>
        <w:tc>
          <w:tcPr>
            <w:tcW w:w="1620" w:type="dxa"/>
            <w:tcBorders>
              <w:top w:val="nil"/>
              <w:bottom w:val="nil"/>
            </w:tcBorders>
            <w:noWrap/>
            <w:vAlign w:val="center"/>
            <w:hideMark/>
          </w:tcPr>
          <w:p w14:paraId="5D52319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2.97</w:t>
            </w:r>
          </w:p>
        </w:tc>
        <w:tc>
          <w:tcPr>
            <w:tcW w:w="1530" w:type="dxa"/>
            <w:tcBorders>
              <w:top w:val="nil"/>
              <w:bottom w:val="nil"/>
            </w:tcBorders>
            <w:vAlign w:val="center"/>
            <w:hideMark/>
          </w:tcPr>
          <w:p w14:paraId="3545009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3.23</w:t>
            </w:r>
          </w:p>
        </w:tc>
      </w:tr>
      <w:tr w:rsidR="00DF0BA2" w:rsidRPr="00DF0BA2" w14:paraId="4A401D0F" w14:textId="77777777" w:rsidTr="00ED0CBB">
        <w:trPr>
          <w:trHeight w:val="260"/>
        </w:trPr>
        <w:tc>
          <w:tcPr>
            <w:tcW w:w="549" w:type="dxa"/>
            <w:vAlign w:val="center"/>
            <w:hideMark/>
          </w:tcPr>
          <w:p w14:paraId="7BEFB764"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4</w:t>
            </w:r>
          </w:p>
        </w:tc>
        <w:tc>
          <w:tcPr>
            <w:tcW w:w="3411" w:type="dxa"/>
            <w:vAlign w:val="center"/>
            <w:hideMark/>
          </w:tcPr>
          <w:p w14:paraId="365B61A7"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Ash Content (%)</w:t>
            </w:r>
          </w:p>
        </w:tc>
        <w:tc>
          <w:tcPr>
            <w:tcW w:w="1440" w:type="dxa"/>
            <w:vAlign w:val="center"/>
            <w:hideMark/>
          </w:tcPr>
          <w:p w14:paraId="6ABE13E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12.07</w:t>
            </w:r>
          </w:p>
        </w:tc>
        <w:tc>
          <w:tcPr>
            <w:tcW w:w="1245" w:type="dxa"/>
            <w:vAlign w:val="center"/>
            <w:hideMark/>
          </w:tcPr>
          <w:p w14:paraId="190EE67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14.81</w:t>
            </w:r>
          </w:p>
        </w:tc>
        <w:tc>
          <w:tcPr>
            <w:tcW w:w="1350" w:type="dxa"/>
            <w:vAlign w:val="center"/>
            <w:hideMark/>
          </w:tcPr>
          <w:p w14:paraId="6BABBFF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46.65</w:t>
            </w:r>
          </w:p>
        </w:tc>
        <w:tc>
          <w:tcPr>
            <w:tcW w:w="1314" w:type="dxa"/>
            <w:tcBorders>
              <w:right w:val="single" w:sz="4" w:space="0" w:color="auto"/>
            </w:tcBorders>
            <w:vAlign w:val="center"/>
            <w:hideMark/>
          </w:tcPr>
          <w:p w14:paraId="36EF453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27.01</w:t>
            </w:r>
          </w:p>
        </w:tc>
        <w:tc>
          <w:tcPr>
            <w:tcW w:w="1350" w:type="dxa"/>
            <w:tcBorders>
              <w:top w:val="nil"/>
              <w:left w:val="single" w:sz="4" w:space="0" w:color="auto"/>
              <w:bottom w:val="nil"/>
            </w:tcBorders>
            <w:vAlign w:val="center"/>
            <w:hideMark/>
          </w:tcPr>
          <w:p w14:paraId="143E049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14.81</w:t>
            </w:r>
          </w:p>
        </w:tc>
        <w:tc>
          <w:tcPr>
            <w:tcW w:w="1221" w:type="dxa"/>
            <w:tcBorders>
              <w:top w:val="nil"/>
              <w:bottom w:val="nil"/>
            </w:tcBorders>
            <w:vAlign w:val="center"/>
            <w:hideMark/>
          </w:tcPr>
          <w:p w14:paraId="2A434A5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16.70</w:t>
            </w:r>
          </w:p>
        </w:tc>
        <w:tc>
          <w:tcPr>
            <w:tcW w:w="1620" w:type="dxa"/>
            <w:tcBorders>
              <w:top w:val="nil"/>
              <w:bottom w:val="nil"/>
            </w:tcBorders>
            <w:vAlign w:val="center"/>
            <w:hideMark/>
          </w:tcPr>
          <w:p w14:paraId="7287762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47.10</w:t>
            </w:r>
          </w:p>
        </w:tc>
        <w:tc>
          <w:tcPr>
            <w:tcW w:w="1530" w:type="dxa"/>
            <w:tcBorders>
              <w:top w:val="nil"/>
              <w:bottom w:val="nil"/>
            </w:tcBorders>
            <w:vAlign w:val="center"/>
            <w:hideMark/>
          </w:tcPr>
          <w:p w14:paraId="51CD40E9"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27.35</w:t>
            </w:r>
          </w:p>
        </w:tc>
      </w:tr>
      <w:tr w:rsidR="00DF0BA2" w:rsidRPr="00DF0BA2" w14:paraId="7BF60D09" w14:textId="77777777" w:rsidTr="00ED0CBB">
        <w:trPr>
          <w:trHeight w:val="260"/>
        </w:trPr>
        <w:tc>
          <w:tcPr>
            <w:tcW w:w="549" w:type="dxa"/>
            <w:vAlign w:val="center"/>
            <w:hideMark/>
          </w:tcPr>
          <w:p w14:paraId="18A7B04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5</w:t>
            </w:r>
          </w:p>
        </w:tc>
        <w:tc>
          <w:tcPr>
            <w:tcW w:w="3411" w:type="dxa"/>
            <w:vAlign w:val="center"/>
            <w:hideMark/>
          </w:tcPr>
          <w:p w14:paraId="74234A5E"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Volatile </w:t>
            </w:r>
            <w:proofErr w:type="gramStart"/>
            <w:r w:rsidRPr="00DF0BA2">
              <w:rPr>
                <w:rFonts w:ascii="Times New Roman" w:eastAsia="Times New Roman" w:hAnsi="Times New Roman" w:cs="Times New Roman"/>
                <w:b/>
                <w:bCs/>
                <w:color w:val="000000" w:themeColor="text1"/>
                <w:sz w:val="20"/>
                <w:szCs w:val="20"/>
              </w:rPr>
              <w:t>Solids(</w:t>
            </w:r>
            <w:proofErr w:type="gramEnd"/>
            <w:r w:rsidRPr="00DF0BA2">
              <w:rPr>
                <w:rFonts w:ascii="Times New Roman" w:eastAsia="Times New Roman" w:hAnsi="Times New Roman" w:cs="Times New Roman"/>
                <w:b/>
                <w:bCs/>
                <w:color w:val="000000" w:themeColor="text1"/>
                <w:sz w:val="20"/>
                <w:szCs w:val="20"/>
              </w:rPr>
              <w:t>%)</w:t>
            </w:r>
          </w:p>
        </w:tc>
        <w:tc>
          <w:tcPr>
            <w:tcW w:w="1440" w:type="dxa"/>
            <w:vAlign w:val="center"/>
            <w:hideMark/>
          </w:tcPr>
          <w:p w14:paraId="08E8F48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87.93</w:t>
            </w:r>
          </w:p>
        </w:tc>
        <w:tc>
          <w:tcPr>
            <w:tcW w:w="1245" w:type="dxa"/>
            <w:vAlign w:val="center"/>
            <w:hideMark/>
          </w:tcPr>
          <w:p w14:paraId="6BF9CCF6"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85.19</w:t>
            </w:r>
          </w:p>
        </w:tc>
        <w:tc>
          <w:tcPr>
            <w:tcW w:w="1350" w:type="dxa"/>
            <w:vAlign w:val="center"/>
            <w:hideMark/>
          </w:tcPr>
          <w:p w14:paraId="6938E51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53.35</w:t>
            </w:r>
          </w:p>
        </w:tc>
        <w:tc>
          <w:tcPr>
            <w:tcW w:w="1314" w:type="dxa"/>
            <w:tcBorders>
              <w:right w:val="single" w:sz="4" w:space="0" w:color="auto"/>
            </w:tcBorders>
            <w:vAlign w:val="center"/>
            <w:hideMark/>
          </w:tcPr>
          <w:p w14:paraId="46BA6B2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72.99</w:t>
            </w:r>
          </w:p>
        </w:tc>
        <w:tc>
          <w:tcPr>
            <w:tcW w:w="1350" w:type="dxa"/>
            <w:tcBorders>
              <w:top w:val="nil"/>
              <w:left w:val="single" w:sz="4" w:space="0" w:color="auto"/>
              <w:bottom w:val="nil"/>
            </w:tcBorders>
            <w:vAlign w:val="center"/>
            <w:hideMark/>
          </w:tcPr>
          <w:p w14:paraId="78AE1E1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85.19</w:t>
            </w:r>
          </w:p>
        </w:tc>
        <w:tc>
          <w:tcPr>
            <w:tcW w:w="1221" w:type="dxa"/>
            <w:tcBorders>
              <w:top w:val="nil"/>
              <w:bottom w:val="nil"/>
            </w:tcBorders>
            <w:vAlign w:val="center"/>
            <w:hideMark/>
          </w:tcPr>
          <w:p w14:paraId="4AC577E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83.30</w:t>
            </w:r>
          </w:p>
        </w:tc>
        <w:tc>
          <w:tcPr>
            <w:tcW w:w="1620" w:type="dxa"/>
            <w:tcBorders>
              <w:top w:val="nil"/>
              <w:bottom w:val="nil"/>
            </w:tcBorders>
            <w:vAlign w:val="center"/>
            <w:hideMark/>
          </w:tcPr>
          <w:p w14:paraId="1494C1A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52.90</w:t>
            </w:r>
          </w:p>
        </w:tc>
        <w:tc>
          <w:tcPr>
            <w:tcW w:w="1530" w:type="dxa"/>
            <w:tcBorders>
              <w:top w:val="nil"/>
              <w:bottom w:val="nil"/>
            </w:tcBorders>
            <w:vAlign w:val="center"/>
            <w:hideMark/>
          </w:tcPr>
          <w:p w14:paraId="29D56E5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72.65</w:t>
            </w:r>
          </w:p>
        </w:tc>
      </w:tr>
      <w:tr w:rsidR="00DF0BA2" w:rsidRPr="00DF0BA2" w14:paraId="1A9BA646" w14:textId="77777777" w:rsidTr="00ED0CBB">
        <w:trPr>
          <w:trHeight w:val="260"/>
        </w:trPr>
        <w:tc>
          <w:tcPr>
            <w:tcW w:w="549" w:type="dxa"/>
            <w:vAlign w:val="center"/>
            <w:hideMark/>
          </w:tcPr>
          <w:p w14:paraId="295F1CE3"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6</w:t>
            </w:r>
          </w:p>
        </w:tc>
        <w:tc>
          <w:tcPr>
            <w:tcW w:w="3411" w:type="dxa"/>
            <w:vAlign w:val="center"/>
            <w:hideMark/>
          </w:tcPr>
          <w:p w14:paraId="40E40BC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Organic carbon (%)</w:t>
            </w:r>
          </w:p>
        </w:tc>
        <w:tc>
          <w:tcPr>
            <w:tcW w:w="1440" w:type="dxa"/>
            <w:vAlign w:val="center"/>
            <w:hideMark/>
          </w:tcPr>
          <w:p w14:paraId="07A5A16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48.85</w:t>
            </w:r>
          </w:p>
        </w:tc>
        <w:tc>
          <w:tcPr>
            <w:tcW w:w="1245" w:type="dxa"/>
            <w:vAlign w:val="center"/>
            <w:hideMark/>
          </w:tcPr>
          <w:p w14:paraId="782E7FE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47.33</w:t>
            </w:r>
          </w:p>
        </w:tc>
        <w:tc>
          <w:tcPr>
            <w:tcW w:w="1350" w:type="dxa"/>
            <w:vAlign w:val="center"/>
            <w:hideMark/>
          </w:tcPr>
          <w:p w14:paraId="2AEEA32E"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29.64</w:t>
            </w:r>
          </w:p>
        </w:tc>
        <w:tc>
          <w:tcPr>
            <w:tcW w:w="1314" w:type="dxa"/>
            <w:tcBorders>
              <w:right w:val="single" w:sz="4" w:space="0" w:color="auto"/>
            </w:tcBorders>
            <w:vAlign w:val="center"/>
            <w:hideMark/>
          </w:tcPr>
          <w:p w14:paraId="1FF6EDC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40.55</w:t>
            </w:r>
          </w:p>
        </w:tc>
        <w:tc>
          <w:tcPr>
            <w:tcW w:w="1350" w:type="dxa"/>
            <w:tcBorders>
              <w:top w:val="nil"/>
              <w:left w:val="single" w:sz="4" w:space="0" w:color="auto"/>
              <w:bottom w:val="nil"/>
            </w:tcBorders>
            <w:vAlign w:val="center"/>
            <w:hideMark/>
          </w:tcPr>
          <w:p w14:paraId="5F0C015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47.33</w:t>
            </w:r>
          </w:p>
        </w:tc>
        <w:tc>
          <w:tcPr>
            <w:tcW w:w="1221" w:type="dxa"/>
            <w:tcBorders>
              <w:top w:val="nil"/>
              <w:bottom w:val="nil"/>
            </w:tcBorders>
            <w:noWrap/>
            <w:vAlign w:val="center"/>
            <w:hideMark/>
          </w:tcPr>
          <w:p w14:paraId="6A9C6CF3"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46.28</w:t>
            </w:r>
          </w:p>
        </w:tc>
        <w:tc>
          <w:tcPr>
            <w:tcW w:w="1620" w:type="dxa"/>
            <w:tcBorders>
              <w:top w:val="nil"/>
              <w:bottom w:val="nil"/>
            </w:tcBorders>
            <w:noWrap/>
            <w:vAlign w:val="center"/>
            <w:hideMark/>
          </w:tcPr>
          <w:p w14:paraId="0E0C9A4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29.39</w:t>
            </w:r>
          </w:p>
        </w:tc>
        <w:tc>
          <w:tcPr>
            <w:tcW w:w="1530" w:type="dxa"/>
            <w:tcBorders>
              <w:top w:val="nil"/>
              <w:bottom w:val="nil"/>
            </w:tcBorders>
            <w:vAlign w:val="center"/>
            <w:hideMark/>
          </w:tcPr>
          <w:p w14:paraId="1487037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40.36</w:t>
            </w:r>
          </w:p>
        </w:tc>
      </w:tr>
      <w:tr w:rsidR="00DF0BA2" w:rsidRPr="00DF0BA2" w14:paraId="0C1A94F9" w14:textId="77777777" w:rsidTr="006A4486">
        <w:trPr>
          <w:trHeight w:val="387"/>
        </w:trPr>
        <w:tc>
          <w:tcPr>
            <w:tcW w:w="15030" w:type="dxa"/>
            <w:gridSpan w:val="10"/>
            <w:vAlign w:val="center"/>
            <w:hideMark/>
          </w:tcPr>
          <w:p w14:paraId="604682F3"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NUTRIENT &amp;  NUTRIENT DYNAMICS</w:t>
            </w:r>
          </w:p>
        </w:tc>
      </w:tr>
      <w:tr w:rsidR="00DF0BA2" w:rsidRPr="00DF0BA2" w14:paraId="5A0CB936" w14:textId="77777777" w:rsidTr="00ED0CBB">
        <w:trPr>
          <w:trHeight w:val="215"/>
        </w:trPr>
        <w:tc>
          <w:tcPr>
            <w:tcW w:w="549" w:type="dxa"/>
            <w:vAlign w:val="center"/>
            <w:hideMark/>
          </w:tcPr>
          <w:p w14:paraId="72D1CF20"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7</w:t>
            </w:r>
          </w:p>
        </w:tc>
        <w:tc>
          <w:tcPr>
            <w:tcW w:w="3411" w:type="dxa"/>
            <w:vAlign w:val="center"/>
            <w:hideMark/>
          </w:tcPr>
          <w:p w14:paraId="7603E114"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Total N (%)</w:t>
            </w:r>
          </w:p>
        </w:tc>
        <w:tc>
          <w:tcPr>
            <w:tcW w:w="1440" w:type="dxa"/>
            <w:vAlign w:val="center"/>
            <w:hideMark/>
          </w:tcPr>
          <w:p w14:paraId="0DDEB02F"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0.54</w:t>
            </w:r>
          </w:p>
        </w:tc>
        <w:tc>
          <w:tcPr>
            <w:tcW w:w="1245" w:type="dxa"/>
            <w:vAlign w:val="center"/>
            <w:hideMark/>
          </w:tcPr>
          <w:p w14:paraId="3319AE8D"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0.57</w:t>
            </w:r>
          </w:p>
        </w:tc>
        <w:tc>
          <w:tcPr>
            <w:tcW w:w="1350" w:type="dxa"/>
            <w:vAlign w:val="center"/>
            <w:hideMark/>
          </w:tcPr>
          <w:p w14:paraId="7B4A28E4"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0.82</w:t>
            </w:r>
          </w:p>
        </w:tc>
        <w:tc>
          <w:tcPr>
            <w:tcW w:w="1314" w:type="dxa"/>
            <w:tcBorders>
              <w:right w:val="single" w:sz="4" w:space="0" w:color="auto"/>
            </w:tcBorders>
            <w:vAlign w:val="center"/>
            <w:hideMark/>
          </w:tcPr>
          <w:p w14:paraId="670FB294"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0.61</w:t>
            </w:r>
          </w:p>
        </w:tc>
        <w:tc>
          <w:tcPr>
            <w:tcW w:w="1350" w:type="dxa"/>
            <w:tcBorders>
              <w:top w:val="nil"/>
              <w:left w:val="single" w:sz="4" w:space="0" w:color="auto"/>
              <w:bottom w:val="nil"/>
            </w:tcBorders>
            <w:vAlign w:val="center"/>
            <w:hideMark/>
          </w:tcPr>
          <w:p w14:paraId="6042CC6D"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1.38</w:t>
            </w:r>
          </w:p>
        </w:tc>
        <w:tc>
          <w:tcPr>
            <w:tcW w:w="1221" w:type="dxa"/>
            <w:tcBorders>
              <w:top w:val="nil"/>
              <w:bottom w:val="nil"/>
            </w:tcBorders>
            <w:noWrap/>
            <w:vAlign w:val="center"/>
            <w:hideMark/>
          </w:tcPr>
          <w:p w14:paraId="7DA96AAE"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1.32</w:t>
            </w:r>
          </w:p>
        </w:tc>
        <w:tc>
          <w:tcPr>
            <w:tcW w:w="1620" w:type="dxa"/>
            <w:tcBorders>
              <w:top w:val="nil"/>
              <w:bottom w:val="nil"/>
            </w:tcBorders>
            <w:noWrap/>
            <w:vAlign w:val="center"/>
            <w:hideMark/>
          </w:tcPr>
          <w:p w14:paraId="676E836E"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1.68</w:t>
            </w:r>
          </w:p>
        </w:tc>
        <w:tc>
          <w:tcPr>
            <w:tcW w:w="1530" w:type="dxa"/>
            <w:tcBorders>
              <w:top w:val="nil"/>
              <w:bottom w:val="nil"/>
            </w:tcBorders>
            <w:vAlign w:val="center"/>
            <w:hideMark/>
          </w:tcPr>
          <w:p w14:paraId="15B4F44C"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1.51</w:t>
            </w:r>
          </w:p>
        </w:tc>
      </w:tr>
      <w:tr w:rsidR="00DF0BA2" w:rsidRPr="00DF0BA2" w14:paraId="67556EE8" w14:textId="77777777" w:rsidTr="00ED0CBB">
        <w:trPr>
          <w:trHeight w:val="98"/>
        </w:trPr>
        <w:tc>
          <w:tcPr>
            <w:tcW w:w="549" w:type="dxa"/>
            <w:vAlign w:val="center"/>
            <w:hideMark/>
          </w:tcPr>
          <w:p w14:paraId="352A2FE6"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8</w:t>
            </w:r>
          </w:p>
        </w:tc>
        <w:tc>
          <w:tcPr>
            <w:tcW w:w="3411" w:type="dxa"/>
            <w:vAlign w:val="center"/>
            <w:hideMark/>
          </w:tcPr>
          <w:p w14:paraId="2E7C57E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Total P</w:t>
            </w:r>
            <w:r w:rsidRPr="00DF0BA2">
              <w:rPr>
                <w:rFonts w:ascii="Times New Roman" w:eastAsia="Times New Roman" w:hAnsi="Times New Roman" w:cs="Times New Roman"/>
                <w:b/>
                <w:bCs/>
                <w:color w:val="000000" w:themeColor="text1"/>
                <w:sz w:val="20"/>
                <w:szCs w:val="20"/>
                <w:vertAlign w:val="subscript"/>
              </w:rPr>
              <w:t>2</w:t>
            </w:r>
            <w:r w:rsidRPr="00DF0BA2">
              <w:rPr>
                <w:rFonts w:ascii="Times New Roman" w:eastAsia="Times New Roman" w:hAnsi="Times New Roman" w:cs="Times New Roman"/>
                <w:b/>
                <w:bCs/>
                <w:color w:val="000000" w:themeColor="text1"/>
                <w:sz w:val="20"/>
                <w:szCs w:val="20"/>
              </w:rPr>
              <w:t>O</w:t>
            </w:r>
            <w:r w:rsidRPr="00DF0BA2">
              <w:rPr>
                <w:rFonts w:ascii="Times New Roman" w:eastAsia="Times New Roman" w:hAnsi="Times New Roman" w:cs="Times New Roman"/>
                <w:b/>
                <w:bCs/>
                <w:color w:val="000000" w:themeColor="text1"/>
                <w:sz w:val="20"/>
                <w:szCs w:val="20"/>
                <w:vertAlign w:val="subscript"/>
              </w:rPr>
              <w:t xml:space="preserve">5 </w:t>
            </w:r>
            <w:r w:rsidRPr="00DF0BA2">
              <w:rPr>
                <w:rFonts w:ascii="Times New Roman" w:eastAsia="Times New Roman" w:hAnsi="Times New Roman" w:cs="Times New Roman"/>
                <w:b/>
                <w:bCs/>
                <w:color w:val="000000" w:themeColor="text1"/>
                <w:sz w:val="20"/>
                <w:szCs w:val="20"/>
              </w:rPr>
              <w:t>(%)</w:t>
            </w:r>
          </w:p>
        </w:tc>
        <w:tc>
          <w:tcPr>
            <w:tcW w:w="1440" w:type="dxa"/>
            <w:vAlign w:val="center"/>
            <w:hideMark/>
          </w:tcPr>
          <w:p w14:paraId="73443DF5"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0.13</w:t>
            </w:r>
          </w:p>
        </w:tc>
        <w:tc>
          <w:tcPr>
            <w:tcW w:w="1245" w:type="dxa"/>
            <w:vAlign w:val="center"/>
            <w:hideMark/>
          </w:tcPr>
          <w:p w14:paraId="1C09DD70"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0.13</w:t>
            </w:r>
          </w:p>
        </w:tc>
        <w:tc>
          <w:tcPr>
            <w:tcW w:w="1350" w:type="dxa"/>
            <w:vAlign w:val="center"/>
            <w:hideMark/>
          </w:tcPr>
          <w:p w14:paraId="4180C7DC"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0.18</w:t>
            </w:r>
          </w:p>
        </w:tc>
        <w:tc>
          <w:tcPr>
            <w:tcW w:w="1314" w:type="dxa"/>
            <w:tcBorders>
              <w:right w:val="single" w:sz="4" w:space="0" w:color="auto"/>
            </w:tcBorders>
            <w:vAlign w:val="center"/>
            <w:hideMark/>
          </w:tcPr>
          <w:p w14:paraId="04802947"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0.16</w:t>
            </w:r>
          </w:p>
        </w:tc>
        <w:tc>
          <w:tcPr>
            <w:tcW w:w="1350" w:type="dxa"/>
            <w:tcBorders>
              <w:top w:val="nil"/>
              <w:left w:val="single" w:sz="4" w:space="0" w:color="auto"/>
              <w:bottom w:val="nil"/>
            </w:tcBorders>
            <w:vAlign w:val="center"/>
            <w:hideMark/>
          </w:tcPr>
          <w:p w14:paraId="43BC40EA"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0.14</w:t>
            </w:r>
          </w:p>
        </w:tc>
        <w:tc>
          <w:tcPr>
            <w:tcW w:w="1221" w:type="dxa"/>
            <w:tcBorders>
              <w:top w:val="nil"/>
              <w:bottom w:val="nil"/>
            </w:tcBorders>
            <w:noWrap/>
            <w:vAlign w:val="center"/>
            <w:hideMark/>
          </w:tcPr>
          <w:p w14:paraId="28132CB9"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0.15</w:t>
            </w:r>
          </w:p>
        </w:tc>
        <w:tc>
          <w:tcPr>
            <w:tcW w:w="1620" w:type="dxa"/>
            <w:tcBorders>
              <w:top w:val="nil"/>
              <w:bottom w:val="nil"/>
            </w:tcBorders>
            <w:noWrap/>
            <w:vAlign w:val="center"/>
            <w:hideMark/>
          </w:tcPr>
          <w:p w14:paraId="02A77546"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0.19</w:t>
            </w:r>
          </w:p>
        </w:tc>
        <w:tc>
          <w:tcPr>
            <w:tcW w:w="1530" w:type="dxa"/>
            <w:tcBorders>
              <w:top w:val="nil"/>
              <w:bottom w:val="nil"/>
            </w:tcBorders>
            <w:vAlign w:val="center"/>
            <w:hideMark/>
          </w:tcPr>
          <w:p w14:paraId="6D4ABD84"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0.18</w:t>
            </w:r>
          </w:p>
        </w:tc>
      </w:tr>
      <w:tr w:rsidR="00DF0BA2" w:rsidRPr="00DF0BA2" w14:paraId="2D945B80" w14:textId="77777777" w:rsidTr="00ED0CBB">
        <w:trPr>
          <w:trHeight w:val="233"/>
        </w:trPr>
        <w:tc>
          <w:tcPr>
            <w:tcW w:w="549" w:type="dxa"/>
            <w:vAlign w:val="center"/>
            <w:hideMark/>
          </w:tcPr>
          <w:p w14:paraId="538CB816"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9</w:t>
            </w:r>
          </w:p>
        </w:tc>
        <w:tc>
          <w:tcPr>
            <w:tcW w:w="3411" w:type="dxa"/>
            <w:vAlign w:val="center"/>
            <w:hideMark/>
          </w:tcPr>
          <w:p w14:paraId="587EFCD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Total K</w:t>
            </w:r>
            <w:r w:rsidRPr="00DF0BA2">
              <w:rPr>
                <w:rFonts w:ascii="Times New Roman" w:eastAsia="Times New Roman" w:hAnsi="Times New Roman" w:cs="Times New Roman"/>
                <w:b/>
                <w:bCs/>
                <w:color w:val="000000" w:themeColor="text1"/>
                <w:sz w:val="20"/>
                <w:szCs w:val="20"/>
                <w:vertAlign w:val="subscript"/>
              </w:rPr>
              <w:t>2</w:t>
            </w:r>
            <w:r w:rsidRPr="00DF0BA2">
              <w:rPr>
                <w:rFonts w:ascii="Times New Roman" w:eastAsia="Times New Roman" w:hAnsi="Times New Roman" w:cs="Times New Roman"/>
                <w:b/>
                <w:bCs/>
                <w:color w:val="000000" w:themeColor="text1"/>
                <w:sz w:val="20"/>
                <w:szCs w:val="20"/>
              </w:rPr>
              <w:t>O (%)</w:t>
            </w:r>
          </w:p>
        </w:tc>
        <w:tc>
          <w:tcPr>
            <w:tcW w:w="1440" w:type="dxa"/>
            <w:vAlign w:val="center"/>
            <w:hideMark/>
          </w:tcPr>
          <w:p w14:paraId="1AB747BC"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3.8</w:t>
            </w:r>
          </w:p>
        </w:tc>
        <w:tc>
          <w:tcPr>
            <w:tcW w:w="1245" w:type="dxa"/>
            <w:vAlign w:val="center"/>
            <w:hideMark/>
          </w:tcPr>
          <w:p w14:paraId="0447B98A"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3.57</w:t>
            </w:r>
          </w:p>
        </w:tc>
        <w:tc>
          <w:tcPr>
            <w:tcW w:w="1350" w:type="dxa"/>
            <w:vAlign w:val="center"/>
            <w:hideMark/>
          </w:tcPr>
          <w:p w14:paraId="4EA58620"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3.11</w:t>
            </w:r>
          </w:p>
        </w:tc>
        <w:tc>
          <w:tcPr>
            <w:tcW w:w="1314" w:type="dxa"/>
            <w:tcBorders>
              <w:right w:val="single" w:sz="4" w:space="0" w:color="auto"/>
            </w:tcBorders>
            <w:vAlign w:val="center"/>
            <w:hideMark/>
          </w:tcPr>
          <w:p w14:paraId="3F174CCC"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3.54</w:t>
            </w:r>
          </w:p>
        </w:tc>
        <w:tc>
          <w:tcPr>
            <w:tcW w:w="1350" w:type="dxa"/>
            <w:tcBorders>
              <w:top w:val="nil"/>
              <w:left w:val="single" w:sz="4" w:space="0" w:color="auto"/>
              <w:bottom w:val="nil"/>
            </w:tcBorders>
            <w:vAlign w:val="center"/>
            <w:hideMark/>
          </w:tcPr>
          <w:p w14:paraId="7BE9F969"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3.57</w:t>
            </w:r>
          </w:p>
        </w:tc>
        <w:tc>
          <w:tcPr>
            <w:tcW w:w="1221" w:type="dxa"/>
            <w:tcBorders>
              <w:top w:val="nil"/>
              <w:bottom w:val="nil"/>
            </w:tcBorders>
            <w:noWrap/>
            <w:vAlign w:val="center"/>
            <w:hideMark/>
          </w:tcPr>
          <w:p w14:paraId="5A12200A"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3.61</w:t>
            </w:r>
          </w:p>
        </w:tc>
        <w:tc>
          <w:tcPr>
            <w:tcW w:w="1620" w:type="dxa"/>
            <w:tcBorders>
              <w:top w:val="nil"/>
              <w:bottom w:val="nil"/>
            </w:tcBorders>
            <w:noWrap/>
            <w:vAlign w:val="center"/>
            <w:hideMark/>
          </w:tcPr>
          <w:p w14:paraId="0463F2E2"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3.51</w:t>
            </w:r>
          </w:p>
        </w:tc>
        <w:tc>
          <w:tcPr>
            <w:tcW w:w="1530" w:type="dxa"/>
            <w:tcBorders>
              <w:top w:val="nil"/>
              <w:bottom w:val="nil"/>
            </w:tcBorders>
            <w:vAlign w:val="center"/>
            <w:hideMark/>
          </w:tcPr>
          <w:p w14:paraId="09697403"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3.54</w:t>
            </w:r>
          </w:p>
        </w:tc>
      </w:tr>
      <w:tr w:rsidR="00DF0BA2" w:rsidRPr="00DF0BA2" w14:paraId="0354F0DC" w14:textId="77777777" w:rsidTr="00ED0CBB">
        <w:trPr>
          <w:trHeight w:val="179"/>
        </w:trPr>
        <w:tc>
          <w:tcPr>
            <w:tcW w:w="549" w:type="dxa"/>
            <w:vAlign w:val="center"/>
            <w:hideMark/>
          </w:tcPr>
          <w:p w14:paraId="2F87111F"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10</w:t>
            </w:r>
          </w:p>
        </w:tc>
        <w:tc>
          <w:tcPr>
            <w:tcW w:w="3411" w:type="dxa"/>
            <w:vAlign w:val="center"/>
            <w:hideMark/>
          </w:tcPr>
          <w:p w14:paraId="6BA8A102"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 C:N</w:t>
            </w:r>
          </w:p>
        </w:tc>
        <w:tc>
          <w:tcPr>
            <w:tcW w:w="1440" w:type="dxa"/>
            <w:noWrap/>
            <w:vAlign w:val="center"/>
            <w:hideMark/>
          </w:tcPr>
          <w:p w14:paraId="3F35C642"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90.46</w:t>
            </w:r>
          </w:p>
        </w:tc>
        <w:tc>
          <w:tcPr>
            <w:tcW w:w="1245" w:type="dxa"/>
            <w:noWrap/>
            <w:vAlign w:val="center"/>
            <w:hideMark/>
          </w:tcPr>
          <w:p w14:paraId="0D03A79F"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83.04</w:t>
            </w:r>
          </w:p>
        </w:tc>
        <w:tc>
          <w:tcPr>
            <w:tcW w:w="1350" w:type="dxa"/>
            <w:noWrap/>
            <w:vAlign w:val="center"/>
            <w:hideMark/>
          </w:tcPr>
          <w:p w14:paraId="604249D7"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36.15</w:t>
            </w:r>
          </w:p>
        </w:tc>
        <w:tc>
          <w:tcPr>
            <w:tcW w:w="1314" w:type="dxa"/>
            <w:tcBorders>
              <w:right w:val="single" w:sz="4" w:space="0" w:color="auto"/>
            </w:tcBorders>
            <w:noWrap/>
            <w:vAlign w:val="center"/>
            <w:hideMark/>
          </w:tcPr>
          <w:p w14:paraId="6A179718"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66.48</w:t>
            </w:r>
          </w:p>
        </w:tc>
        <w:tc>
          <w:tcPr>
            <w:tcW w:w="1350" w:type="dxa"/>
            <w:tcBorders>
              <w:top w:val="nil"/>
              <w:left w:val="single" w:sz="4" w:space="0" w:color="auto"/>
              <w:bottom w:val="nil"/>
            </w:tcBorders>
            <w:noWrap/>
            <w:vAlign w:val="center"/>
            <w:hideMark/>
          </w:tcPr>
          <w:p w14:paraId="260C5354"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34.30</w:t>
            </w:r>
          </w:p>
        </w:tc>
        <w:tc>
          <w:tcPr>
            <w:tcW w:w="1221" w:type="dxa"/>
            <w:tcBorders>
              <w:top w:val="nil"/>
              <w:bottom w:val="nil"/>
            </w:tcBorders>
            <w:noWrap/>
            <w:vAlign w:val="center"/>
            <w:hideMark/>
          </w:tcPr>
          <w:p w14:paraId="41E58EAA"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35.06</w:t>
            </w:r>
          </w:p>
        </w:tc>
        <w:tc>
          <w:tcPr>
            <w:tcW w:w="1620" w:type="dxa"/>
            <w:tcBorders>
              <w:top w:val="nil"/>
              <w:bottom w:val="nil"/>
            </w:tcBorders>
            <w:noWrap/>
            <w:vAlign w:val="center"/>
            <w:hideMark/>
          </w:tcPr>
          <w:p w14:paraId="1E9EDEBC"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17.49</w:t>
            </w:r>
          </w:p>
        </w:tc>
        <w:tc>
          <w:tcPr>
            <w:tcW w:w="1530" w:type="dxa"/>
            <w:tcBorders>
              <w:top w:val="nil"/>
              <w:bottom w:val="nil"/>
            </w:tcBorders>
            <w:noWrap/>
            <w:vAlign w:val="center"/>
            <w:hideMark/>
          </w:tcPr>
          <w:p w14:paraId="4FD39701"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26.73</w:t>
            </w:r>
          </w:p>
        </w:tc>
      </w:tr>
      <w:tr w:rsidR="00DF0BA2" w:rsidRPr="00DF0BA2" w14:paraId="2693971C" w14:textId="77777777" w:rsidTr="006A4486">
        <w:trPr>
          <w:trHeight w:val="432"/>
        </w:trPr>
        <w:tc>
          <w:tcPr>
            <w:tcW w:w="15030" w:type="dxa"/>
            <w:gridSpan w:val="10"/>
            <w:vAlign w:val="center"/>
            <w:hideMark/>
          </w:tcPr>
          <w:p w14:paraId="6CA8E62F"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MATURITY &amp; PHYTOTOXICITY PARAMETERS</w:t>
            </w:r>
          </w:p>
        </w:tc>
      </w:tr>
      <w:tr w:rsidR="00DF0BA2" w:rsidRPr="00DF0BA2" w14:paraId="4FA76F4D" w14:textId="77777777" w:rsidTr="00ED0CBB">
        <w:trPr>
          <w:trHeight w:val="197"/>
        </w:trPr>
        <w:tc>
          <w:tcPr>
            <w:tcW w:w="549" w:type="dxa"/>
            <w:vAlign w:val="center"/>
            <w:hideMark/>
          </w:tcPr>
          <w:p w14:paraId="0718C54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11</w:t>
            </w:r>
          </w:p>
        </w:tc>
        <w:tc>
          <w:tcPr>
            <w:tcW w:w="3411" w:type="dxa"/>
            <w:vAlign w:val="center"/>
            <w:hideMark/>
          </w:tcPr>
          <w:p w14:paraId="5C55A9F5"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Seedling Emergence (% Over Control)</w:t>
            </w:r>
          </w:p>
        </w:tc>
        <w:tc>
          <w:tcPr>
            <w:tcW w:w="1440" w:type="dxa"/>
            <w:vAlign w:val="center"/>
            <w:hideMark/>
          </w:tcPr>
          <w:p w14:paraId="5D66026E"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81</w:t>
            </w:r>
          </w:p>
        </w:tc>
        <w:tc>
          <w:tcPr>
            <w:tcW w:w="1245" w:type="dxa"/>
            <w:vAlign w:val="center"/>
            <w:hideMark/>
          </w:tcPr>
          <w:p w14:paraId="2D781B6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88</w:t>
            </w:r>
          </w:p>
        </w:tc>
        <w:tc>
          <w:tcPr>
            <w:tcW w:w="1350" w:type="dxa"/>
            <w:vAlign w:val="center"/>
            <w:hideMark/>
          </w:tcPr>
          <w:p w14:paraId="73C08919"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102.87</w:t>
            </w:r>
          </w:p>
        </w:tc>
        <w:tc>
          <w:tcPr>
            <w:tcW w:w="1314" w:type="dxa"/>
            <w:tcBorders>
              <w:right w:val="single" w:sz="4" w:space="0" w:color="auto"/>
            </w:tcBorders>
            <w:vAlign w:val="center"/>
            <w:hideMark/>
          </w:tcPr>
          <w:p w14:paraId="3C586AE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93.55</w:t>
            </w:r>
          </w:p>
        </w:tc>
        <w:tc>
          <w:tcPr>
            <w:tcW w:w="1350" w:type="dxa"/>
            <w:tcBorders>
              <w:top w:val="nil"/>
              <w:left w:val="single" w:sz="4" w:space="0" w:color="auto"/>
              <w:bottom w:val="nil"/>
            </w:tcBorders>
            <w:vAlign w:val="center"/>
            <w:hideMark/>
          </w:tcPr>
          <w:p w14:paraId="27094209"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83.25</w:t>
            </w:r>
          </w:p>
        </w:tc>
        <w:tc>
          <w:tcPr>
            <w:tcW w:w="1221" w:type="dxa"/>
            <w:tcBorders>
              <w:top w:val="nil"/>
              <w:bottom w:val="nil"/>
            </w:tcBorders>
            <w:noWrap/>
            <w:vAlign w:val="center"/>
            <w:hideMark/>
          </w:tcPr>
          <w:p w14:paraId="2937164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95</w:t>
            </w:r>
          </w:p>
        </w:tc>
        <w:tc>
          <w:tcPr>
            <w:tcW w:w="1620" w:type="dxa"/>
            <w:tcBorders>
              <w:top w:val="nil"/>
              <w:bottom w:val="nil"/>
            </w:tcBorders>
            <w:vAlign w:val="center"/>
            <w:hideMark/>
          </w:tcPr>
          <w:p w14:paraId="415DA44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104.2</w:t>
            </w:r>
          </w:p>
        </w:tc>
        <w:tc>
          <w:tcPr>
            <w:tcW w:w="1530" w:type="dxa"/>
            <w:tcBorders>
              <w:top w:val="nil"/>
              <w:bottom w:val="nil"/>
            </w:tcBorders>
            <w:vAlign w:val="center"/>
            <w:hideMark/>
          </w:tcPr>
          <w:p w14:paraId="40747B3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96.1</w:t>
            </w:r>
          </w:p>
        </w:tc>
      </w:tr>
      <w:tr w:rsidR="00DF0BA2" w:rsidRPr="00DF0BA2" w14:paraId="37CFBA73" w14:textId="77777777" w:rsidTr="00ED0CBB">
        <w:trPr>
          <w:trHeight w:val="330"/>
        </w:trPr>
        <w:tc>
          <w:tcPr>
            <w:tcW w:w="549" w:type="dxa"/>
            <w:vAlign w:val="center"/>
            <w:hideMark/>
          </w:tcPr>
          <w:p w14:paraId="6565CF03"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12</w:t>
            </w:r>
          </w:p>
        </w:tc>
        <w:tc>
          <w:tcPr>
            <w:tcW w:w="3411" w:type="dxa"/>
            <w:vAlign w:val="center"/>
            <w:hideMark/>
          </w:tcPr>
          <w:p w14:paraId="0DC39177"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Root Elongation (% Over Control)</w:t>
            </w:r>
          </w:p>
        </w:tc>
        <w:tc>
          <w:tcPr>
            <w:tcW w:w="1440" w:type="dxa"/>
            <w:vAlign w:val="center"/>
            <w:hideMark/>
          </w:tcPr>
          <w:p w14:paraId="22B040D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78.36</w:t>
            </w:r>
          </w:p>
        </w:tc>
        <w:tc>
          <w:tcPr>
            <w:tcW w:w="1245" w:type="dxa"/>
            <w:vAlign w:val="center"/>
            <w:hideMark/>
          </w:tcPr>
          <w:p w14:paraId="5EB57F2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90</w:t>
            </w:r>
          </w:p>
        </w:tc>
        <w:tc>
          <w:tcPr>
            <w:tcW w:w="1350" w:type="dxa"/>
            <w:vAlign w:val="center"/>
            <w:hideMark/>
          </w:tcPr>
          <w:p w14:paraId="73DBFAB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98.61</w:t>
            </w:r>
          </w:p>
        </w:tc>
        <w:tc>
          <w:tcPr>
            <w:tcW w:w="1314" w:type="dxa"/>
            <w:tcBorders>
              <w:right w:val="single" w:sz="4" w:space="0" w:color="auto"/>
            </w:tcBorders>
            <w:vAlign w:val="center"/>
            <w:hideMark/>
          </w:tcPr>
          <w:p w14:paraId="592D5E59"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89.55</w:t>
            </w:r>
          </w:p>
        </w:tc>
        <w:tc>
          <w:tcPr>
            <w:tcW w:w="1350" w:type="dxa"/>
            <w:tcBorders>
              <w:top w:val="nil"/>
              <w:left w:val="single" w:sz="4" w:space="0" w:color="auto"/>
              <w:bottom w:val="nil"/>
            </w:tcBorders>
            <w:vAlign w:val="center"/>
            <w:hideMark/>
          </w:tcPr>
          <w:p w14:paraId="3C895486"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80.25</w:t>
            </w:r>
          </w:p>
        </w:tc>
        <w:tc>
          <w:tcPr>
            <w:tcW w:w="1221" w:type="dxa"/>
            <w:tcBorders>
              <w:top w:val="nil"/>
              <w:bottom w:val="nil"/>
            </w:tcBorders>
            <w:noWrap/>
            <w:vAlign w:val="center"/>
            <w:hideMark/>
          </w:tcPr>
          <w:p w14:paraId="7B7C6A8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83.25</w:t>
            </w:r>
          </w:p>
        </w:tc>
        <w:tc>
          <w:tcPr>
            <w:tcW w:w="1620" w:type="dxa"/>
            <w:tcBorders>
              <w:top w:val="nil"/>
              <w:bottom w:val="nil"/>
            </w:tcBorders>
            <w:vAlign w:val="center"/>
            <w:hideMark/>
          </w:tcPr>
          <w:p w14:paraId="6F0E97D3"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98.56</w:t>
            </w:r>
          </w:p>
        </w:tc>
        <w:tc>
          <w:tcPr>
            <w:tcW w:w="1530" w:type="dxa"/>
            <w:tcBorders>
              <w:top w:val="nil"/>
              <w:bottom w:val="nil"/>
            </w:tcBorders>
            <w:vAlign w:val="center"/>
            <w:hideMark/>
          </w:tcPr>
          <w:p w14:paraId="1DE36613"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87.9</w:t>
            </w:r>
          </w:p>
        </w:tc>
      </w:tr>
      <w:tr w:rsidR="00DF0BA2" w:rsidRPr="00DF0BA2" w14:paraId="3A40FA51" w14:textId="77777777" w:rsidTr="00ED0CBB">
        <w:trPr>
          <w:trHeight w:val="251"/>
        </w:trPr>
        <w:tc>
          <w:tcPr>
            <w:tcW w:w="549" w:type="dxa"/>
            <w:vAlign w:val="center"/>
            <w:hideMark/>
          </w:tcPr>
          <w:p w14:paraId="3730958F"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13</w:t>
            </w:r>
          </w:p>
        </w:tc>
        <w:tc>
          <w:tcPr>
            <w:tcW w:w="3411" w:type="dxa"/>
            <w:vAlign w:val="center"/>
            <w:hideMark/>
          </w:tcPr>
          <w:p w14:paraId="5DE6693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Germination Index </w:t>
            </w:r>
          </w:p>
        </w:tc>
        <w:tc>
          <w:tcPr>
            <w:tcW w:w="1440" w:type="dxa"/>
            <w:vAlign w:val="center"/>
            <w:hideMark/>
          </w:tcPr>
          <w:p w14:paraId="6B601E4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0.63</w:t>
            </w:r>
          </w:p>
        </w:tc>
        <w:tc>
          <w:tcPr>
            <w:tcW w:w="1245" w:type="dxa"/>
            <w:vAlign w:val="center"/>
            <w:hideMark/>
          </w:tcPr>
          <w:p w14:paraId="617670D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0.79</w:t>
            </w:r>
          </w:p>
        </w:tc>
        <w:tc>
          <w:tcPr>
            <w:tcW w:w="1350" w:type="dxa"/>
            <w:vAlign w:val="center"/>
            <w:hideMark/>
          </w:tcPr>
          <w:p w14:paraId="17D2F8D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1.01</w:t>
            </w:r>
          </w:p>
        </w:tc>
        <w:tc>
          <w:tcPr>
            <w:tcW w:w="1314" w:type="dxa"/>
            <w:tcBorders>
              <w:right w:val="single" w:sz="4" w:space="0" w:color="auto"/>
            </w:tcBorders>
            <w:vAlign w:val="center"/>
            <w:hideMark/>
          </w:tcPr>
          <w:p w14:paraId="13A10DB3"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0.84</w:t>
            </w:r>
          </w:p>
        </w:tc>
        <w:tc>
          <w:tcPr>
            <w:tcW w:w="1350" w:type="dxa"/>
            <w:tcBorders>
              <w:top w:val="nil"/>
              <w:left w:val="single" w:sz="4" w:space="0" w:color="auto"/>
              <w:bottom w:val="nil"/>
            </w:tcBorders>
            <w:vAlign w:val="center"/>
            <w:hideMark/>
          </w:tcPr>
          <w:p w14:paraId="24974B5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0.67</w:t>
            </w:r>
          </w:p>
        </w:tc>
        <w:tc>
          <w:tcPr>
            <w:tcW w:w="1221" w:type="dxa"/>
            <w:tcBorders>
              <w:top w:val="nil"/>
              <w:bottom w:val="nil"/>
            </w:tcBorders>
            <w:vAlign w:val="center"/>
            <w:hideMark/>
          </w:tcPr>
          <w:p w14:paraId="5B32351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0.79</w:t>
            </w:r>
          </w:p>
        </w:tc>
        <w:tc>
          <w:tcPr>
            <w:tcW w:w="1620" w:type="dxa"/>
            <w:tcBorders>
              <w:top w:val="nil"/>
              <w:bottom w:val="nil"/>
            </w:tcBorders>
            <w:vAlign w:val="center"/>
            <w:hideMark/>
          </w:tcPr>
          <w:p w14:paraId="302C00E3"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1.03</w:t>
            </w:r>
          </w:p>
        </w:tc>
        <w:tc>
          <w:tcPr>
            <w:tcW w:w="1530" w:type="dxa"/>
            <w:tcBorders>
              <w:top w:val="nil"/>
              <w:bottom w:val="nil"/>
            </w:tcBorders>
            <w:vAlign w:val="center"/>
            <w:hideMark/>
          </w:tcPr>
          <w:p w14:paraId="232AC129"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0.84</w:t>
            </w:r>
          </w:p>
        </w:tc>
      </w:tr>
      <w:tr w:rsidR="00DF0BA2" w:rsidRPr="00DF0BA2" w14:paraId="441DEBD7" w14:textId="77777777" w:rsidTr="006A4486">
        <w:trPr>
          <w:trHeight w:val="423"/>
        </w:trPr>
        <w:tc>
          <w:tcPr>
            <w:tcW w:w="549" w:type="dxa"/>
            <w:vAlign w:val="center"/>
            <w:hideMark/>
          </w:tcPr>
          <w:p w14:paraId="69CFC6A5"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w:t>
            </w:r>
          </w:p>
        </w:tc>
        <w:tc>
          <w:tcPr>
            <w:tcW w:w="14481" w:type="dxa"/>
            <w:gridSpan w:val="9"/>
            <w:vAlign w:val="center"/>
            <w:hideMark/>
          </w:tcPr>
          <w:p w14:paraId="6304A43F" w14:textId="77777777" w:rsidR="00F7194B" w:rsidRPr="00DF0BA2" w:rsidRDefault="00F7194B" w:rsidP="00312069">
            <w:pPr>
              <w:spacing w:after="0" w:line="192" w:lineRule="auto"/>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PHYTOTOXICITY BIOASSAY</w:t>
            </w:r>
          </w:p>
        </w:tc>
      </w:tr>
      <w:tr w:rsidR="00DF0BA2" w:rsidRPr="00DF0BA2" w14:paraId="7539BA08" w14:textId="77777777" w:rsidTr="00ED0CBB">
        <w:trPr>
          <w:trHeight w:val="305"/>
        </w:trPr>
        <w:tc>
          <w:tcPr>
            <w:tcW w:w="549" w:type="dxa"/>
            <w:hideMark/>
          </w:tcPr>
          <w:p w14:paraId="4AED609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14</w:t>
            </w:r>
          </w:p>
        </w:tc>
        <w:tc>
          <w:tcPr>
            <w:tcW w:w="3411" w:type="dxa"/>
            <w:vAlign w:val="center"/>
            <w:hideMark/>
          </w:tcPr>
          <w:p w14:paraId="0FA021C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Avg. Seedling Weight Over Control (%)</w:t>
            </w:r>
          </w:p>
        </w:tc>
        <w:tc>
          <w:tcPr>
            <w:tcW w:w="1440" w:type="dxa"/>
            <w:vAlign w:val="center"/>
            <w:hideMark/>
          </w:tcPr>
          <w:p w14:paraId="0D3CB8B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76.7</w:t>
            </w:r>
          </w:p>
        </w:tc>
        <w:tc>
          <w:tcPr>
            <w:tcW w:w="1245" w:type="dxa"/>
            <w:vAlign w:val="center"/>
            <w:hideMark/>
          </w:tcPr>
          <w:p w14:paraId="6D87341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82.12</w:t>
            </w:r>
          </w:p>
        </w:tc>
        <w:tc>
          <w:tcPr>
            <w:tcW w:w="1350" w:type="dxa"/>
            <w:vAlign w:val="center"/>
            <w:hideMark/>
          </w:tcPr>
          <w:p w14:paraId="76E77BD3"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121.1</w:t>
            </w:r>
          </w:p>
        </w:tc>
        <w:tc>
          <w:tcPr>
            <w:tcW w:w="1314" w:type="dxa"/>
            <w:tcBorders>
              <w:right w:val="single" w:sz="4" w:space="0" w:color="auto"/>
            </w:tcBorders>
            <w:vAlign w:val="center"/>
            <w:hideMark/>
          </w:tcPr>
          <w:p w14:paraId="2986438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96.8</w:t>
            </w:r>
          </w:p>
        </w:tc>
        <w:tc>
          <w:tcPr>
            <w:tcW w:w="1350" w:type="dxa"/>
            <w:tcBorders>
              <w:top w:val="nil"/>
              <w:left w:val="single" w:sz="4" w:space="0" w:color="auto"/>
              <w:bottom w:val="nil"/>
            </w:tcBorders>
            <w:vAlign w:val="center"/>
            <w:hideMark/>
          </w:tcPr>
          <w:p w14:paraId="1ED8EE2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83</w:t>
            </w:r>
          </w:p>
        </w:tc>
        <w:tc>
          <w:tcPr>
            <w:tcW w:w="1221" w:type="dxa"/>
            <w:tcBorders>
              <w:top w:val="nil"/>
              <w:bottom w:val="nil"/>
            </w:tcBorders>
            <w:noWrap/>
            <w:vAlign w:val="center"/>
            <w:hideMark/>
          </w:tcPr>
          <w:p w14:paraId="033527C9"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86.1</w:t>
            </w:r>
          </w:p>
        </w:tc>
        <w:tc>
          <w:tcPr>
            <w:tcW w:w="1620" w:type="dxa"/>
            <w:tcBorders>
              <w:top w:val="nil"/>
              <w:bottom w:val="nil"/>
            </w:tcBorders>
            <w:vAlign w:val="center"/>
            <w:hideMark/>
          </w:tcPr>
          <w:p w14:paraId="294406C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126.8</w:t>
            </w:r>
          </w:p>
        </w:tc>
        <w:tc>
          <w:tcPr>
            <w:tcW w:w="1530" w:type="dxa"/>
            <w:tcBorders>
              <w:top w:val="nil"/>
              <w:bottom w:val="nil"/>
            </w:tcBorders>
            <w:vAlign w:val="center"/>
            <w:hideMark/>
          </w:tcPr>
          <w:p w14:paraId="31C532C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105.4</w:t>
            </w:r>
          </w:p>
        </w:tc>
      </w:tr>
      <w:tr w:rsidR="00DF0BA2" w:rsidRPr="00DF0BA2" w14:paraId="46094BFB" w14:textId="77777777" w:rsidTr="00ED0CBB">
        <w:trPr>
          <w:trHeight w:val="260"/>
        </w:trPr>
        <w:tc>
          <w:tcPr>
            <w:tcW w:w="549" w:type="dxa"/>
            <w:hideMark/>
          </w:tcPr>
          <w:p w14:paraId="42A2B885"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15</w:t>
            </w:r>
          </w:p>
        </w:tc>
        <w:tc>
          <w:tcPr>
            <w:tcW w:w="3411" w:type="dxa"/>
            <w:hideMark/>
          </w:tcPr>
          <w:p w14:paraId="778DAAA4"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Water soluble Na (ppm)</w:t>
            </w:r>
          </w:p>
        </w:tc>
        <w:tc>
          <w:tcPr>
            <w:tcW w:w="1440" w:type="dxa"/>
            <w:vAlign w:val="center"/>
            <w:hideMark/>
          </w:tcPr>
          <w:p w14:paraId="10D85E1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6374</w:t>
            </w:r>
          </w:p>
        </w:tc>
        <w:tc>
          <w:tcPr>
            <w:tcW w:w="1245" w:type="dxa"/>
            <w:vAlign w:val="center"/>
            <w:hideMark/>
          </w:tcPr>
          <w:p w14:paraId="579EBD1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5850</w:t>
            </w:r>
          </w:p>
        </w:tc>
        <w:tc>
          <w:tcPr>
            <w:tcW w:w="1350" w:type="dxa"/>
            <w:vAlign w:val="center"/>
            <w:hideMark/>
          </w:tcPr>
          <w:p w14:paraId="7FCA388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1910</w:t>
            </w:r>
          </w:p>
        </w:tc>
        <w:tc>
          <w:tcPr>
            <w:tcW w:w="1314" w:type="dxa"/>
            <w:tcBorders>
              <w:right w:val="single" w:sz="4" w:space="0" w:color="auto"/>
            </w:tcBorders>
            <w:vAlign w:val="center"/>
            <w:hideMark/>
          </w:tcPr>
          <w:p w14:paraId="0BE6C2CC"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3050</w:t>
            </w:r>
          </w:p>
        </w:tc>
        <w:tc>
          <w:tcPr>
            <w:tcW w:w="1350" w:type="dxa"/>
            <w:tcBorders>
              <w:top w:val="nil"/>
              <w:left w:val="single" w:sz="4" w:space="0" w:color="auto"/>
              <w:bottom w:val="nil"/>
            </w:tcBorders>
            <w:vAlign w:val="center"/>
            <w:hideMark/>
          </w:tcPr>
          <w:p w14:paraId="2ECBD16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6490</w:t>
            </w:r>
          </w:p>
        </w:tc>
        <w:tc>
          <w:tcPr>
            <w:tcW w:w="1221" w:type="dxa"/>
            <w:tcBorders>
              <w:top w:val="nil"/>
              <w:bottom w:val="nil"/>
            </w:tcBorders>
            <w:noWrap/>
            <w:vAlign w:val="center"/>
            <w:hideMark/>
          </w:tcPr>
          <w:p w14:paraId="5C2DD06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6300</w:t>
            </w:r>
          </w:p>
        </w:tc>
        <w:tc>
          <w:tcPr>
            <w:tcW w:w="1620" w:type="dxa"/>
            <w:tcBorders>
              <w:top w:val="nil"/>
              <w:bottom w:val="nil"/>
            </w:tcBorders>
            <w:noWrap/>
            <w:vAlign w:val="center"/>
            <w:hideMark/>
          </w:tcPr>
          <w:p w14:paraId="64A029A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1720</w:t>
            </w:r>
          </w:p>
        </w:tc>
        <w:tc>
          <w:tcPr>
            <w:tcW w:w="1530" w:type="dxa"/>
            <w:tcBorders>
              <w:top w:val="nil"/>
              <w:bottom w:val="nil"/>
            </w:tcBorders>
            <w:vAlign w:val="center"/>
            <w:hideMark/>
          </w:tcPr>
          <w:p w14:paraId="6F69B9C9"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2737</w:t>
            </w:r>
          </w:p>
        </w:tc>
      </w:tr>
      <w:tr w:rsidR="00DF0BA2" w:rsidRPr="00DF0BA2" w14:paraId="1CFE667B" w14:textId="77777777" w:rsidTr="00ED0CBB">
        <w:trPr>
          <w:trHeight w:val="143"/>
        </w:trPr>
        <w:tc>
          <w:tcPr>
            <w:tcW w:w="549" w:type="dxa"/>
            <w:hideMark/>
          </w:tcPr>
          <w:p w14:paraId="6DB4AEA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16</w:t>
            </w:r>
          </w:p>
        </w:tc>
        <w:tc>
          <w:tcPr>
            <w:tcW w:w="3411" w:type="dxa"/>
            <w:hideMark/>
          </w:tcPr>
          <w:p w14:paraId="479E2286"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Water soluble K (ppm)</w:t>
            </w:r>
          </w:p>
        </w:tc>
        <w:tc>
          <w:tcPr>
            <w:tcW w:w="1440" w:type="dxa"/>
            <w:vAlign w:val="center"/>
            <w:hideMark/>
          </w:tcPr>
          <w:p w14:paraId="189F5C4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20700</w:t>
            </w:r>
          </w:p>
        </w:tc>
        <w:tc>
          <w:tcPr>
            <w:tcW w:w="1245" w:type="dxa"/>
            <w:vAlign w:val="center"/>
            <w:hideMark/>
          </w:tcPr>
          <w:p w14:paraId="34A4C5D9"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20250</w:t>
            </w:r>
          </w:p>
        </w:tc>
        <w:tc>
          <w:tcPr>
            <w:tcW w:w="1350" w:type="dxa"/>
            <w:vAlign w:val="center"/>
            <w:hideMark/>
          </w:tcPr>
          <w:p w14:paraId="3046E170"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8400</w:t>
            </w:r>
          </w:p>
        </w:tc>
        <w:tc>
          <w:tcPr>
            <w:tcW w:w="1314" w:type="dxa"/>
            <w:tcBorders>
              <w:right w:val="single" w:sz="4" w:space="0" w:color="auto"/>
            </w:tcBorders>
            <w:vAlign w:val="center"/>
            <w:hideMark/>
          </w:tcPr>
          <w:p w14:paraId="2A4343B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10500</w:t>
            </w:r>
          </w:p>
        </w:tc>
        <w:tc>
          <w:tcPr>
            <w:tcW w:w="1350" w:type="dxa"/>
            <w:tcBorders>
              <w:top w:val="nil"/>
              <w:left w:val="single" w:sz="4" w:space="0" w:color="auto"/>
              <w:bottom w:val="nil"/>
            </w:tcBorders>
            <w:vAlign w:val="center"/>
            <w:hideMark/>
          </w:tcPr>
          <w:p w14:paraId="718A1FB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19500</w:t>
            </w:r>
          </w:p>
        </w:tc>
        <w:tc>
          <w:tcPr>
            <w:tcW w:w="1221" w:type="dxa"/>
            <w:tcBorders>
              <w:top w:val="nil"/>
              <w:bottom w:val="nil"/>
            </w:tcBorders>
            <w:noWrap/>
            <w:vAlign w:val="center"/>
            <w:hideMark/>
          </w:tcPr>
          <w:p w14:paraId="5AEEC36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16771</w:t>
            </w:r>
          </w:p>
        </w:tc>
        <w:tc>
          <w:tcPr>
            <w:tcW w:w="1620" w:type="dxa"/>
            <w:tcBorders>
              <w:top w:val="nil"/>
              <w:bottom w:val="nil"/>
            </w:tcBorders>
            <w:noWrap/>
            <w:vAlign w:val="center"/>
            <w:hideMark/>
          </w:tcPr>
          <w:p w14:paraId="14CC562A"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7475</w:t>
            </w:r>
          </w:p>
        </w:tc>
        <w:tc>
          <w:tcPr>
            <w:tcW w:w="1530" w:type="dxa"/>
            <w:tcBorders>
              <w:top w:val="nil"/>
              <w:bottom w:val="nil"/>
            </w:tcBorders>
            <w:vAlign w:val="center"/>
            <w:hideMark/>
          </w:tcPr>
          <w:p w14:paraId="7E123EC1"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8400</w:t>
            </w:r>
          </w:p>
        </w:tc>
      </w:tr>
      <w:tr w:rsidR="00DF0BA2" w:rsidRPr="00DF0BA2" w14:paraId="43FEA09E" w14:textId="77777777" w:rsidTr="006A4486">
        <w:trPr>
          <w:trHeight w:val="441"/>
        </w:trPr>
        <w:tc>
          <w:tcPr>
            <w:tcW w:w="15030" w:type="dxa"/>
            <w:gridSpan w:val="10"/>
            <w:vAlign w:val="center"/>
            <w:hideMark/>
          </w:tcPr>
          <w:p w14:paraId="66AE339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LIGNIN STUDY</w:t>
            </w:r>
          </w:p>
        </w:tc>
      </w:tr>
      <w:tr w:rsidR="00DF0BA2" w:rsidRPr="00DF0BA2" w14:paraId="171964EA" w14:textId="77777777" w:rsidTr="00ED0CBB">
        <w:trPr>
          <w:trHeight w:val="261"/>
        </w:trPr>
        <w:tc>
          <w:tcPr>
            <w:tcW w:w="549" w:type="dxa"/>
            <w:vAlign w:val="center"/>
            <w:hideMark/>
          </w:tcPr>
          <w:p w14:paraId="1A64A90A"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17</w:t>
            </w:r>
          </w:p>
        </w:tc>
        <w:tc>
          <w:tcPr>
            <w:tcW w:w="3411" w:type="dxa"/>
            <w:vAlign w:val="center"/>
            <w:hideMark/>
          </w:tcPr>
          <w:p w14:paraId="22B59DBB" w14:textId="77777777" w:rsidR="00F7194B" w:rsidRPr="00DF0BA2" w:rsidRDefault="00F7194B" w:rsidP="00C44944">
            <w:pPr>
              <w:spacing w:after="0" w:line="192" w:lineRule="auto"/>
              <w:ind w:right="-108"/>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Acid insoluble lignin (%)</w:t>
            </w:r>
          </w:p>
        </w:tc>
        <w:tc>
          <w:tcPr>
            <w:tcW w:w="1440" w:type="dxa"/>
            <w:vAlign w:val="center"/>
            <w:hideMark/>
          </w:tcPr>
          <w:p w14:paraId="2C70D225"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42.82</w:t>
            </w:r>
          </w:p>
        </w:tc>
        <w:tc>
          <w:tcPr>
            <w:tcW w:w="1245" w:type="dxa"/>
            <w:vAlign w:val="center"/>
            <w:hideMark/>
          </w:tcPr>
          <w:p w14:paraId="7F3AACA8"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42.8</w:t>
            </w:r>
          </w:p>
        </w:tc>
        <w:tc>
          <w:tcPr>
            <w:tcW w:w="1350" w:type="dxa"/>
            <w:vAlign w:val="center"/>
            <w:hideMark/>
          </w:tcPr>
          <w:p w14:paraId="08FE935C"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28.67</w:t>
            </w:r>
          </w:p>
        </w:tc>
        <w:tc>
          <w:tcPr>
            <w:tcW w:w="1314" w:type="dxa"/>
            <w:tcBorders>
              <w:right w:val="single" w:sz="4" w:space="0" w:color="auto"/>
            </w:tcBorders>
            <w:vAlign w:val="center"/>
            <w:hideMark/>
          </w:tcPr>
          <w:p w14:paraId="2967DA4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39.85</w:t>
            </w:r>
          </w:p>
        </w:tc>
        <w:tc>
          <w:tcPr>
            <w:tcW w:w="1350" w:type="dxa"/>
            <w:tcBorders>
              <w:top w:val="nil"/>
              <w:left w:val="single" w:sz="4" w:space="0" w:color="auto"/>
              <w:bottom w:val="nil"/>
            </w:tcBorders>
            <w:vAlign w:val="center"/>
            <w:hideMark/>
          </w:tcPr>
          <w:p w14:paraId="102ED0C9"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42.83</w:t>
            </w:r>
          </w:p>
        </w:tc>
        <w:tc>
          <w:tcPr>
            <w:tcW w:w="1221" w:type="dxa"/>
            <w:tcBorders>
              <w:top w:val="nil"/>
              <w:bottom w:val="nil"/>
            </w:tcBorders>
            <w:noWrap/>
            <w:vAlign w:val="center"/>
            <w:hideMark/>
          </w:tcPr>
          <w:p w14:paraId="6F0C5874"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42.7</w:t>
            </w:r>
          </w:p>
        </w:tc>
        <w:tc>
          <w:tcPr>
            <w:tcW w:w="1620" w:type="dxa"/>
            <w:tcBorders>
              <w:top w:val="nil"/>
              <w:bottom w:val="nil"/>
            </w:tcBorders>
            <w:noWrap/>
            <w:vAlign w:val="center"/>
            <w:hideMark/>
          </w:tcPr>
          <w:p w14:paraId="47AA4523"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28.85</w:t>
            </w:r>
          </w:p>
        </w:tc>
        <w:tc>
          <w:tcPr>
            <w:tcW w:w="1530" w:type="dxa"/>
            <w:tcBorders>
              <w:top w:val="nil"/>
              <w:bottom w:val="nil"/>
            </w:tcBorders>
            <w:vAlign w:val="center"/>
            <w:hideMark/>
          </w:tcPr>
          <w:p w14:paraId="6A2B383D"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39.21</w:t>
            </w:r>
          </w:p>
        </w:tc>
      </w:tr>
      <w:tr w:rsidR="00DF0BA2" w:rsidRPr="00DF0BA2" w14:paraId="1E62377D" w14:textId="77777777" w:rsidTr="00ED0CBB">
        <w:trPr>
          <w:trHeight w:val="279"/>
        </w:trPr>
        <w:tc>
          <w:tcPr>
            <w:tcW w:w="549" w:type="dxa"/>
            <w:vAlign w:val="center"/>
            <w:hideMark/>
          </w:tcPr>
          <w:p w14:paraId="444115F0"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18</w:t>
            </w:r>
          </w:p>
        </w:tc>
        <w:tc>
          <w:tcPr>
            <w:tcW w:w="3411" w:type="dxa"/>
            <w:vAlign w:val="center"/>
            <w:hideMark/>
          </w:tcPr>
          <w:p w14:paraId="0FF3631E"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 xml:space="preserve">Acid soluble lignin (%) </w:t>
            </w:r>
          </w:p>
        </w:tc>
        <w:tc>
          <w:tcPr>
            <w:tcW w:w="1440" w:type="dxa"/>
            <w:vAlign w:val="center"/>
            <w:hideMark/>
          </w:tcPr>
          <w:p w14:paraId="072E41F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1.39</w:t>
            </w:r>
          </w:p>
        </w:tc>
        <w:tc>
          <w:tcPr>
            <w:tcW w:w="1245" w:type="dxa"/>
            <w:vAlign w:val="center"/>
            <w:hideMark/>
          </w:tcPr>
          <w:p w14:paraId="14A4EF2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1.33</w:t>
            </w:r>
          </w:p>
        </w:tc>
        <w:tc>
          <w:tcPr>
            <w:tcW w:w="1350" w:type="dxa"/>
            <w:vAlign w:val="center"/>
            <w:hideMark/>
          </w:tcPr>
          <w:p w14:paraId="16769564"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0.74</w:t>
            </w:r>
          </w:p>
        </w:tc>
        <w:tc>
          <w:tcPr>
            <w:tcW w:w="1314" w:type="dxa"/>
            <w:tcBorders>
              <w:right w:val="single" w:sz="4" w:space="0" w:color="auto"/>
            </w:tcBorders>
            <w:vAlign w:val="center"/>
            <w:hideMark/>
          </w:tcPr>
          <w:p w14:paraId="5E4DCCF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0.95</w:t>
            </w:r>
          </w:p>
        </w:tc>
        <w:tc>
          <w:tcPr>
            <w:tcW w:w="1350" w:type="dxa"/>
            <w:tcBorders>
              <w:top w:val="nil"/>
              <w:left w:val="single" w:sz="4" w:space="0" w:color="auto"/>
              <w:bottom w:val="nil"/>
            </w:tcBorders>
            <w:vAlign w:val="center"/>
            <w:hideMark/>
          </w:tcPr>
          <w:p w14:paraId="69BDA71A"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1.02</w:t>
            </w:r>
          </w:p>
        </w:tc>
        <w:tc>
          <w:tcPr>
            <w:tcW w:w="1221" w:type="dxa"/>
            <w:tcBorders>
              <w:top w:val="nil"/>
              <w:bottom w:val="nil"/>
            </w:tcBorders>
            <w:noWrap/>
            <w:vAlign w:val="center"/>
            <w:hideMark/>
          </w:tcPr>
          <w:p w14:paraId="2BC07C32"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0.91</w:t>
            </w:r>
          </w:p>
        </w:tc>
        <w:tc>
          <w:tcPr>
            <w:tcW w:w="1620" w:type="dxa"/>
            <w:tcBorders>
              <w:top w:val="nil"/>
              <w:bottom w:val="nil"/>
            </w:tcBorders>
            <w:noWrap/>
            <w:vAlign w:val="center"/>
            <w:hideMark/>
          </w:tcPr>
          <w:p w14:paraId="12694549"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0.66</w:t>
            </w:r>
          </w:p>
        </w:tc>
        <w:tc>
          <w:tcPr>
            <w:tcW w:w="1530" w:type="dxa"/>
            <w:tcBorders>
              <w:top w:val="nil"/>
              <w:bottom w:val="nil"/>
            </w:tcBorders>
            <w:vAlign w:val="center"/>
            <w:hideMark/>
          </w:tcPr>
          <w:p w14:paraId="6B93C10E"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1.02</w:t>
            </w:r>
          </w:p>
        </w:tc>
      </w:tr>
      <w:tr w:rsidR="00DF0BA2" w:rsidRPr="00DF0BA2" w14:paraId="0D723469" w14:textId="77777777" w:rsidTr="00ED0CBB">
        <w:trPr>
          <w:trHeight w:val="161"/>
        </w:trPr>
        <w:tc>
          <w:tcPr>
            <w:tcW w:w="549" w:type="dxa"/>
            <w:vAlign w:val="center"/>
            <w:hideMark/>
          </w:tcPr>
          <w:p w14:paraId="38F78490"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19</w:t>
            </w:r>
          </w:p>
        </w:tc>
        <w:tc>
          <w:tcPr>
            <w:tcW w:w="3411" w:type="dxa"/>
            <w:vAlign w:val="center"/>
            <w:hideMark/>
          </w:tcPr>
          <w:p w14:paraId="0AA54D1A"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0"/>
              </w:rPr>
            </w:pPr>
            <w:r w:rsidRPr="00DF0BA2">
              <w:rPr>
                <w:rFonts w:ascii="Times New Roman" w:eastAsia="Times New Roman" w:hAnsi="Times New Roman" w:cs="Times New Roman"/>
                <w:b/>
                <w:bCs/>
                <w:color w:val="000000" w:themeColor="text1"/>
                <w:sz w:val="20"/>
                <w:szCs w:val="20"/>
              </w:rPr>
              <w:t>Total lignin (%)</w:t>
            </w:r>
          </w:p>
        </w:tc>
        <w:tc>
          <w:tcPr>
            <w:tcW w:w="1440" w:type="dxa"/>
            <w:vAlign w:val="center"/>
            <w:hideMark/>
          </w:tcPr>
          <w:p w14:paraId="028B882F"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44.21</w:t>
            </w:r>
          </w:p>
        </w:tc>
        <w:tc>
          <w:tcPr>
            <w:tcW w:w="1245" w:type="dxa"/>
            <w:vAlign w:val="center"/>
            <w:hideMark/>
          </w:tcPr>
          <w:p w14:paraId="3DF42D38" w14:textId="77777777" w:rsidR="00F7194B" w:rsidRPr="00DF0BA2" w:rsidRDefault="00F7194B" w:rsidP="00ED0CBB">
            <w:pPr>
              <w:spacing w:after="0" w:line="192" w:lineRule="auto"/>
              <w:jc w:val="center"/>
              <w:rPr>
                <w:rFonts w:ascii="Times New Roman" w:hAnsi="Times New Roman" w:cs="Times New Roman"/>
                <w:color w:val="000000" w:themeColor="text1"/>
                <w:sz w:val="20"/>
                <w:szCs w:val="20"/>
              </w:rPr>
            </w:pPr>
            <w:r w:rsidRPr="00DF0BA2">
              <w:rPr>
                <w:rFonts w:ascii="Times New Roman" w:hAnsi="Times New Roman" w:cs="Times New Roman"/>
                <w:color w:val="000000" w:themeColor="text1"/>
                <w:sz w:val="20"/>
                <w:szCs w:val="20"/>
              </w:rPr>
              <w:t>44.13</w:t>
            </w:r>
          </w:p>
        </w:tc>
        <w:tc>
          <w:tcPr>
            <w:tcW w:w="1350" w:type="dxa"/>
            <w:vAlign w:val="center"/>
            <w:hideMark/>
          </w:tcPr>
          <w:p w14:paraId="5B779563"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29.41</w:t>
            </w:r>
          </w:p>
        </w:tc>
        <w:tc>
          <w:tcPr>
            <w:tcW w:w="1314" w:type="dxa"/>
            <w:tcBorders>
              <w:right w:val="single" w:sz="4" w:space="0" w:color="auto"/>
            </w:tcBorders>
            <w:vAlign w:val="center"/>
            <w:hideMark/>
          </w:tcPr>
          <w:p w14:paraId="15AAD1D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40.8</w:t>
            </w:r>
          </w:p>
        </w:tc>
        <w:tc>
          <w:tcPr>
            <w:tcW w:w="1350" w:type="dxa"/>
            <w:tcBorders>
              <w:top w:val="nil"/>
              <w:left w:val="single" w:sz="4" w:space="0" w:color="auto"/>
              <w:bottom w:val="single" w:sz="4" w:space="0" w:color="auto"/>
            </w:tcBorders>
            <w:vAlign w:val="center"/>
            <w:hideMark/>
          </w:tcPr>
          <w:p w14:paraId="55417EB2"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43.85</w:t>
            </w:r>
          </w:p>
        </w:tc>
        <w:tc>
          <w:tcPr>
            <w:tcW w:w="1221" w:type="dxa"/>
            <w:tcBorders>
              <w:top w:val="nil"/>
              <w:bottom w:val="single" w:sz="4" w:space="0" w:color="auto"/>
            </w:tcBorders>
            <w:noWrap/>
            <w:vAlign w:val="center"/>
            <w:hideMark/>
          </w:tcPr>
          <w:p w14:paraId="4CA65F16"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43.61</w:t>
            </w:r>
          </w:p>
        </w:tc>
        <w:tc>
          <w:tcPr>
            <w:tcW w:w="1620" w:type="dxa"/>
            <w:tcBorders>
              <w:top w:val="nil"/>
              <w:bottom w:val="single" w:sz="4" w:space="0" w:color="auto"/>
            </w:tcBorders>
            <w:noWrap/>
            <w:vAlign w:val="center"/>
            <w:hideMark/>
          </w:tcPr>
          <w:p w14:paraId="259AA277"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29.51</w:t>
            </w:r>
          </w:p>
        </w:tc>
        <w:tc>
          <w:tcPr>
            <w:tcW w:w="1530" w:type="dxa"/>
            <w:tcBorders>
              <w:top w:val="nil"/>
              <w:bottom w:val="single" w:sz="4" w:space="0" w:color="auto"/>
            </w:tcBorders>
            <w:vAlign w:val="center"/>
            <w:hideMark/>
          </w:tcPr>
          <w:p w14:paraId="3857700B" w14:textId="77777777" w:rsidR="00F7194B" w:rsidRPr="00DF0BA2" w:rsidRDefault="00F7194B" w:rsidP="00ED0CBB">
            <w:pPr>
              <w:spacing w:after="0" w:line="192" w:lineRule="auto"/>
              <w:jc w:val="center"/>
              <w:rPr>
                <w:rFonts w:ascii="Times New Roman" w:hAnsi="Times New Roman" w:cs="Times New Roman"/>
                <w:bCs/>
                <w:color w:val="000000" w:themeColor="text1"/>
                <w:sz w:val="20"/>
                <w:szCs w:val="20"/>
              </w:rPr>
            </w:pPr>
            <w:r w:rsidRPr="00DF0BA2">
              <w:rPr>
                <w:rFonts w:ascii="Times New Roman" w:hAnsi="Times New Roman" w:cs="Times New Roman"/>
                <w:bCs/>
                <w:color w:val="000000" w:themeColor="text1"/>
                <w:sz w:val="20"/>
                <w:szCs w:val="20"/>
              </w:rPr>
              <w:t>40.23</w:t>
            </w:r>
          </w:p>
        </w:tc>
      </w:tr>
    </w:tbl>
    <w:p w14:paraId="71514E86" w14:textId="77777777" w:rsidR="00F7194B" w:rsidRPr="00DF0BA2" w:rsidRDefault="00F7194B" w:rsidP="00C44944">
      <w:pPr>
        <w:spacing w:before="100" w:beforeAutospacing="1" w:after="100" w:afterAutospacing="1" w:line="240" w:lineRule="auto"/>
        <w:jc w:val="both"/>
        <w:rPr>
          <w:rFonts w:ascii="Times New Roman" w:eastAsia="Times New Roman" w:hAnsi="Times New Roman" w:cs="Times New Roman"/>
          <w:b/>
          <w:color w:val="000000" w:themeColor="text1"/>
          <w:sz w:val="24"/>
          <w:szCs w:val="24"/>
        </w:rPr>
        <w:sectPr w:rsidR="00F7194B" w:rsidRPr="00DF0BA2" w:rsidSect="00312069">
          <w:pgSz w:w="16834" w:h="11909" w:orient="landscape" w:code="9"/>
          <w:pgMar w:top="1440" w:right="1440" w:bottom="1080" w:left="1440" w:header="720" w:footer="720" w:gutter="0"/>
          <w:cols w:space="720"/>
          <w:docGrid w:linePitch="360"/>
        </w:sectPr>
      </w:pPr>
    </w:p>
    <w:p w14:paraId="573E553A" w14:textId="77777777" w:rsidR="00F7194B" w:rsidRPr="00DF0BA2" w:rsidRDefault="00F7194B" w:rsidP="00C44944">
      <w:pPr>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lastRenderedPageBreak/>
        <w:t xml:space="preserve">Table </w:t>
      </w:r>
      <w:proofErr w:type="gramStart"/>
      <w:r w:rsidRPr="00DF0BA2">
        <w:rPr>
          <w:rFonts w:ascii="Times New Roman" w:eastAsia="Times New Roman" w:hAnsi="Times New Roman" w:cs="Times New Roman"/>
          <w:b/>
          <w:color w:val="000000" w:themeColor="text1"/>
          <w:sz w:val="24"/>
          <w:szCs w:val="24"/>
        </w:rPr>
        <w:t>3 :</w:t>
      </w:r>
      <w:proofErr w:type="gramEnd"/>
      <w:r w:rsidRPr="00DF0BA2">
        <w:rPr>
          <w:rFonts w:ascii="Times New Roman" w:eastAsia="Times New Roman" w:hAnsi="Times New Roman" w:cs="Times New Roman"/>
          <w:b/>
          <w:color w:val="000000" w:themeColor="text1"/>
          <w:sz w:val="24"/>
          <w:szCs w:val="24"/>
        </w:rPr>
        <w:t xml:space="preserve">  Comparative Study of quality </w:t>
      </w:r>
      <w:proofErr w:type="gramStart"/>
      <w:r w:rsidRPr="00DF0BA2">
        <w:rPr>
          <w:rFonts w:ascii="Times New Roman" w:eastAsia="Times New Roman" w:hAnsi="Times New Roman" w:cs="Times New Roman"/>
          <w:b/>
          <w:color w:val="000000" w:themeColor="text1"/>
          <w:sz w:val="24"/>
          <w:szCs w:val="24"/>
        </w:rPr>
        <w:t xml:space="preserve">of  </w:t>
      </w:r>
      <w:proofErr w:type="spellStart"/>
      <w:r w:rsidRPr="00DF0BA2">
        <w:rPr>
          <w:rFonts w:ascii="Times New Roman" w:eastAsia="Times New Roman" w:hAnsi="Times New Roman" w:cs="Times New Roman"/>
          <w:b/>
          <w:color w:val="000000" w:themeColor="text1"/>
          <w:sz w:val="24"/>
          <w:szCs w:val="24"/>
        </w:rPr>
        <w:t>coirpith</w:t>
      </w:r>
      <w:proofErr w:type="spellEnd"/>
      <w:proofErr w:type="gramEnd"/>
      <w:r w:rsidRPr="00DF0BA2">
        <w:rPr>
          <w:rFonts w:ascii="Times New Roman" w:eastAsia="Times New Roman" w:hAnsi="Times New Roman" w:cs="Times New Roman"/>
          <w:b/>
          <w:color w:val="000000" w:themeColor="text1"/>
          <w:sz w:val="24"/>
          <w:szCs w:val="24"/>
        </w:rPr>
        <w:t xml:space="preserve"> pro-tray media with 4 month </w:t>
      </w:r>
      <w:proofErr w:type="gramStart"/>
      <w:r w:rsidRPr="00DF0BA2">
        <w:rPr>
          <w:rFonts w:ascii="Times New Roman" w:eastAsia="Times New Roman" w:hAnsi="Times New Roman" w:cs="Times New Roman"/>
          <w:b/>
          <w:color w:val="000000" w:themeColor="text1"/>
          <w:sz w:val="24"/>
          <w:szCs w:val="24"/>
        </w:rPr>
        <w:t>old  raw</w:t>
      </w:r>
      <w:proofErr w:type="gramEnd"/>
      <w:r w:rsidRPr="00DF0BA2">
        <w:rPr>
          <w:rFonts w:ascii="Times New Roman" w:eastAsia="Times New Roman" w:hAnsi="Times New Roman" w:cs="Times New Roman"/>
          <w:b/>
          <w:color w:val="000000" w:themeColor="text1"/>
          <w:sz w:val="24"/>
          <w:szCs w:val="24"/>
        </w:rPr>
        <w:t xml:space="preserve"> </w:t>
      </w:r>
      <w:proofErr w:type="spellStart"/>
      <w:r w:rsidRPr="00DF0BA2">
        <w:rPr>
          <w:rFonts w:ascii="Times New Roman" w:eastAsia="Times New Roman" w:hAnsi="Times New Roman" w:cs="Times New Roman"/>
          <w:b/>
          <w:color w:val="000000" w:themeColor="text1"/>
          <w:sz w:val="24"/>
          <w:szCs w:val="24"/>
        </w:rPr>
        <w:t>coirpith</w:t>
      </w:r>
      <w:proofErr w:type="spellEnd"/>
      <w:r w:rsidRPr="00DF0BA2">
        <w:rPr>
          <w:rFonts w:ascii="Times New Roman" w:eastAsia="Times New Roman" w:hAnsi="Times New Roman" w:cs="Times New Roman"/>
          <w:b/>
          <w:color w:val="000000" w:themeColor="text1"/>
          <w:sz w:val="24"/>
          <w:szCs w:val="24"/>
        </w:rPr>
        <w:t xml:space="preserve"> &amp; </w:t>
      </w:r>
      <w:proofErr w:type="spellStart"/>
      <w:r w:rsidRPr="00DF0BA2">
        <w:rPr>
          <w:rFonts w:ascii="Times New Roman" w:eastAsia="Times New Roman" w:hAnsi="Times New Roman" w:cs="Times New Roman"/>
          <w:b/>
          <w:color w:val="000000" w:themeColor="text1"/>
          <w:sz w:val="24"/>
          <w:szCs w:val="24"/>
        </w:rPr>
        <w:t>Gypsum+Urea</w:t>
      </w:r>
      <w:proofErr w:type="spellEnd"/>
      <w:r w:rsidRPr="00DF0BA2">
        <w:rPr>
          <w:rFonts w:ascii="Times New Roman" w:eastAsia="Times New Roman" w:hAnsi="Times New Roman" w:cs="Times New Roman"/>
          <w:b/>
          <w:color w:val="000000" w:themeColor="text1"/>
          <w:sz w:val="24"/>
          <w:szCs w:val="24"/>
        </w:rPr>
        <w:t xml:space="preserve"> treated coir pith</w:t>
      </w:r>
    </w:p>
    <w:tbl>
      <w:tblPr>
        <w:tblW w:w="14325" w:type="dxa"/>
        <w:tblInd w:w="93" w:type="dxa"/>
        <w:tblBorders>
          <w:top w:val="single" w:sz="4" w:space="0" w:color="auto"/>
          <w:bottom w:val="single" w:sz="4" w:space="0" w:color="auto"/>
        </w:tblBorders>
        <w:tblLayout w:type="fixed"/>
        <w:tblLook w:val="04A0" w:firstRow="1" w:lastRow="0" w:firstColumn="1" w:lastColumn="0" w:noHBand="0" w:noVBand="1"/>
      </w:tblPr>
      <w:tblGrid>
        <w:gridCol w:w="550"/>
        <w:gridCol w:w="2345"/>
        <w:gridCol w:w="1183"/>
        <w:gridCol w:w="1247"/>
        <w:gridCol w:w="1660"/>
        <w:gridCol w:w="1740"/>
        <w:gridCol w:w="1183"/>
        <w:gridCol w:w="1280"/>
        <w:gridCol w:w="1720"/>
        <w:gridCol w:w="1417"/>
      </w:tblGrid>
      <w:tr w:rsidR="00DF0BA2" w:rsidRPr="00DF0BA2" w14:paraId="520F0702" w14:textId="77777777" w:rsidTr="00ED0CBB">
        <w:trPr>
          <w:trHeight w:val="458"/>
        </w:trPr>
        <w:tc>
          <w:tcPr>
            <w:tcW w:w="550" w:type="dxa"/>
            <w:vMerge w:val="restart"/>
            <w:tcBorders>
              <w:top w:val="single" w:sz="4" w:space="0" w:color="auto"/>
              <w:bottom w:val="nil"/>
            </w:tcBorders>
            <w:vAlign w:val="center"/>
            <w:hideMark/>
          </w:tcPr>
          <w:p w14:paraId="0D58774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Sl. No.</w:t>
            </w:r>
          </w:p>
        </w:tc>
        <w:tc>
          <w:tcPr>
            <w:tcW w:w="2345" w:type="dxa"/>
            <w:vMerge w:val="restart"/>
            <w:tcBorders>
              <w:top w:val="single" w:sz="4" w:space="0" w:color="auto"/>
              <w:bottom w:val="nil"/>
            </w:tcBorders>
            <w:vAlign w:val="center"/>
            <w:hideMark/>
          </w:tcPr>
          <w:p w14:paraId="15E587A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Test Parameters</w:t>
            </w:r>
          </w:p>
        </w:tc>
        <w:tc>
          <w:tcPr>
            <w:tcW w:w="5830" w:type="dxa"/>
            <w:gridSpan w:val="4"/>
            <w:tcBorders>
              <w:top w:val="single" w:sz="4" w:space="0" w:color="auto"/>
              <w:bottom w:val="single" w:sz="4" w:space="0" w:color="auto"/>
              <w:right w:val="single" w:sz="4" w:space="0" w:color="auto"/>
            </w:tcBorders>
            <w:vAlign w:val="center"/>
            <w:hideMark/>
          </w:tcPr>
          <w:p w14:paraId="21922B33"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4 month old raw </w:t>
            </w:r>
            <w:proofErr w:type="spellStart"/>
            <w:r w:rsidRPr="00DF0BA2">
              <w:rPr>
                <w:rFonts w:ascii="Times New Roman" w:eastAsia="Times New Roman" w:hAnsi="Times New Roman" w:cs="Times New Roman"/>
                <w:b/>
                <w:bCs/>
                <w:color w:val="000000" w:themeColor="text1"/>
                <w:sz w:val="20"/>
                <w:szCs w:val="24"/>
              </w:rPr>
              <w:t>coirpith</w:t>
            </w:r>
            <w:proofErr w:type="spellEnd"/>
          </w:p>
        </w:tc>
        <w:tc>
          <w:tcPr>
            <w:tcW w:w="5600" w:type="dxa"/>
            <w:gridSpan w:val="4"/>
            <w:tcBorders>
              <w:top w:val="single" w:sz="4" w:space="0" w:color="auto"/>
              <w:left w:val="single" w:sz="4" w:space="0" w:color="auto"/>
              <w:bottom w:val="single" w:sz="4" w:space="0" w:color="auto"/>
            </w:tcBorders>
            <w:vAlign w:val="center"/>
            <w:hideMark/>
          </w:tcPr>
          <w:p w14:paraId="7F8FFDF8" w14:textId="77777777" w:rsidR="00F7194B" w:rsidRPr="00DF0BA2" w:rsidRDefault="00F7194B" w:rsidP="00ED0CBB">
            <w:pPr>
              <w:spacing w:after="0" w:line="192" w:lineRule="auto"/>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4 month old  </w:t>
            </w:r>
            <w:proofErr w:type="spellStart"/>
            <w:r w:rsidRPr="00DF0BA2">
              <w:rPr>
                <w:rFonts w:ascii="Times New Roman" w:eastAsia="Times New Roman" w:hAnsi="Times New Roman" w:cs="Times New Roman"/>
                <w:b/>
                <w:bCs/>
                <w:color w:val="000000" w:themeColor="text1"/>
                <w:sz w:val="20"/>
                <w:szCs w:val="24"/>
              </w:rPr>
              <w:t>coirpith</w:t>
            </w:r>
            <w:proofErr w:type="spellEnd"/>
            <w:r w:rsidRPr="00DF0BA2">
              <w:rPr>
                <w:rFonts w:ascii="Times New Roman" w:eastAsia="Times New Roman" w:hAnsi="Times New Roman" w:cs="Times New Roman"/>
                <w:b/>
                <w:bCs/>
                <w:color w:val="000000" w:themeColor="text1"/>
                <w:sz w:val="20"/>
                <w:szCs w:val="24"/>
              </w:rPr>
              <w:t xml:space="preserve"> amended with gypsum (25kgt</w:t>
            </w:r>
            <w:r w:rsidRPr="00DF0BA2">
              <w:rPr>
                <w:rFonts w:ascii="Times New Roman" w:eastAsia="Times New Roman" w:hAnsi="Times New Roman" w:cs="Times New Roman"/>
                <w:b/>
                <w:bCs/>
                <w:color w:val="000000" w:themeColor="text1"/>
                <w:sz w:val="20"/>
                <w:szCs w:val="24"/>
                <w:vertAlign w:val="superscript"/>
              </w:rPr>
              <w:t>-1</w:t>
            </w:r>
            <w:r w:rsidRPr="00DF0BA2">
              <w:rPr>
                <w:rFonts w:ascii="Times New Roman" w:eastAsia="Times New Roman" w:hAnsi="Times New Roman" w:cs="Times New Roman"/>
                <w:b/>
                <w:bCs/>
                <w:color w:val="000000" w:themeColor="text1"/>
                <w:sz w:val="20"/>
                <w:szCs w:val="24"/>
              </w:rPr>
              <w:t>) and urea (4 kg</w:t>
            </w:r>
            <w:r w:rsidRPr="00DF0BA2">
              <w:rPr>
                <w:rFonts w:ascii="Times New Roman" w:eastAsia="Times New Roman" w:hAnsi="Times New Roman" w:cs="Times New Roman"/>
                <w:b/>
                <w:bCs/>
                <w:color w:val="000000" w:themeColor="text1"/>
                <w:sz w:val="20"/>
                <w:szCs w:val="24"/>
                <w:vertAlign w:val="superscript"/>
              </w:rPr>
              <w:t>t-1</w:t>
            </w:r>
            <w:r w:rsidRPr="00DF0BA2">
              <w:rPr>
                <w:rFonts w:ascii="Times New Roman" w:eastAsia="Times New Roman" w:hAnsi="Times New Roman" w:cs="Times New Roman"/>
                <w:b/>
                <w:bCs/>
                <w:color w:val="000000" w:themeColor="text1"/>
                <w:sz w:val="20"/>
                <w:szCs w:val="24"/>
              </w:rPr>
              <w:t>)as per conventional method</w:t>
            </w:r>
          </w:p>
        </w:tc>
      </w:tr>
      <w:tr w:rsidR="00DF0BA2" w:rsidRPr="00DF0BA2" w14:paraId="65541523" w14:textId="77777777" w:rsidTr="00D47A9A">
        <w:trPr>
          <w:trHeight w:val="1160"/>
        </w:trPr>
        <w:tc>
          <w:tcPr>
            <w:tcW w:w="550" w:type="dxa"/>
            <w:vMerge/>
            <w:tcBorders>
              <w:top w:val="nil"/>
              <w:bottom w:val="single" w:sz="4" w:space="0" w:color="auto"/>
            </w:tcBorders>
            <w:vAlign w:val="center"/>
            <w:hideMark/>
          </w:tcPr>
          <w:p w14:paraId="258CB191"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p>
        </w:tc>
        <w:tc>
          <w:tcPr>
            <w:tcW w:w="2345" w:type="dxa"/>
            <w:vMerge/>
            <w:tcBorders>
              <w:top w:val="nil"/>
              <w:bottom w:val="single" w:sz="4" w:space="0" w:color="auto"/>
            </w:tcBorders>
            <w:vAlign w:val="center"/>
            <w:hideMark/>
          </w:tcPr>
          <w:p w14:paraId="2184D95A"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p>
        </w:tc>
        <w:tc>
          <w:tcPr>
            <w:tcW w:w="1183" w:type="dxa"/>
            <w:tcBorders>
              <w:top w:val="single" w:sz="4" w:space="0" w:color="auto"/>
              <w:bottom w:val="single" w:sz="4" w:space="0" w:color="auto"/>
            </w:tcBorders>
            <w:vAlign w:val="center"/>
            <w:hideMark/>
          </w:tcPr>
          <w:p w14:paraId="009304BA"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Control 1 (0 day )[Day of experiment Initiation]</w:t>
            </w:r>
          </w:p>
        </w:tc>
        <w:tc>
          <w:tcPr>
            <w:tcW w:w="1247" w:type="dxa"/>
            <w:tcBorders>
              <w:top w:val="single" w:sz="4" w:space="0" w:color="auto"/>
              <w:bottom w:val="single" w:sz="4" w:space="0" w:color="auto"/>
            </w:tcBorders>
            <w:vAlign w:val="center"/>
            <w:hideMark/>
          </w:tcPr>
          <w:p w14:paraId="2328FB6F"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Control 2 (40 day) after initiation of experiment</w:t>
            </w:r>
          </w:p>
        </w:tc>
        <w:tc>
          <w:tcPr>
            <w:tcW w:w="1660" w:type="dxa"/>
            <w:tcBorders>
              <w:top w:val="single" w:sz="4" w:space="0" w:color="auto"/>
              <w:bottom w:val="single" w:sz="4" w:space="0" w:color="auto"/>
            </w:tcBorders>
            <w:vAlign w:val="center"/>
            <w:hideMark/>
          </w:tcPr>
          <w:p w14:paraId="76429D13"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Pro-Tray material developed under </w:t>
            </w:r>
            <w:proofErr w:type="spellStart"/>
            <w:r w:rsidRPr="00DF0BA2">
              <w:rPr>
                <w:rFonts w:ascii="Times New Roman" w:eastAsia="Times New Roman" w:hAnsi="Times New Roman" w:cs="Times New Roman"/>
                <w:b/>
                <w:bCs/>
                <w:color w:val="000000" w:themeColor="text1"/>
                <w:sz w:val="20"/>
                <w:szCs w:val="24"/>
              </w:rPr>
              <w:t>Novcom</w:t>
            </w:r>
            <w:proofErr w:type="spellEnd"/>
            <w:r w:rsidRPr="00DF0BA2">
              <w:rPr>
                <w:rFonts w:ascii="Times New Roman" w:eastAsia="Times New Roman" w:hAnsi="Times New Roman" w:cs="Times New Roman"/>
                <w:b/>
                <w:bCs/>
                <w:color w:val="000000" w:themeColor="text1"/>
                <w:sz w:val="20"/>
                <w:szCs w:val="24"/>
              </w:rPr>
              <w:t xml:space="preserve"> Technology</w:t>
            </w:r>
          </w:p>
          <w:p w14:paraId="7490DFBE"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(40 Days)</w:t>
            </w:r>
          </w:p>
        </w:tc>
        <w:tc>
          <w:tcPr>
            <w:tcW w:w="1740" w:type="dxa"/>
            <w:tcBorders>
              <w:top w:val="single" w:sz="4" w:space="0" w:color="auto"/>
              <w:bottom w:val="single" w:sz="4" w:space="0" w:color="auto"/>
              <w:right w:val="single" w:sz="4" w:space="0" w:color="auto"/>
            </w:tcBorders>
            <w:vAlign w:val="center"/>
            <w:hideMark/>
          </w:tcPr>
          <w:p w14:paraId="74E46B97"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Pro-Tray material developed under Conventional Method</w:t>
            </w:r>
          </w:p>
          <w:p w14:paraId="7A006B86"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(12 months)</w:t>
            </w:r>
          </w:p>
        </w:tc>
        <w:tc>
          <w:tcPr>
            <w:tcW w:w="1183" w:type="dxa"/>
            <w:tcBorders>
              <w:top w:val="single" w:sz="4" w:space="0" w:color="auto"/>
              <w:left w:val="single" w:sz="4" w:space="0" w:color="auto"/>
              <w:bottom w:val="single" w:sz="4" w:space="0" w:color="auto"/>
            </w:tcBorders>
            <w:vAlign w:val="center"/>
            <w:hideMark/>
          </w:tcPr>
          <w:p w14:paraId="7D29F4A1"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Control 1 (0 day ) Day of experiment Initiation]</w:t>
            </w:r>
          </w:p>
        </w:tc>
        <w:tc>
          <w:tcPr>
            <w:tcW w:w="1280" w:type="dxa"/>
            <w:tcBorders>
              <w:top w:val="single" w:sz="4" w:space="0" w:color="auto"/>
              <w:bottom w:val="single" w:sz="4" w:space="0" w:color="auto"/>
            </w:tcBorders>
            <w:vAlign w:val="center"/>
            <w:hideMark/>
          </w:tcPr>
          <w:p w14:paraId="4D9AB58E"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Control 2 (40 day ) after initiation of experiment</w:t>
            </w:r>
          </w:p>
        </w:tc>
        <w:tc>
          <w:tcPr>
            <w:tcW w:w="1720" w:type="dxa"/>
            <w:tcBorders>
              <w:top w:val="single" w:sz="4" w:space="0" w:color="auto"/>
              <w:bottom w:val="single" w:sz="4" w:space="0" w:color="auto"/>
            </w:tcBorders>
            <w:vAlign w:val="center"/>
            <w:hideMark/>
          </w:tcPr>
          <w:p w14:paraId="4333E62C"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Pro-Tray material developed under </w:t>
            </w:r>
            <w:proofErr w:type="spellStart"/>
            <w:r w:rsidRPr="00DF0BA2">
              <w:rPr>
                <w:rFonts w:ascii="Times New Roman" w:eastAsia="Times New Roman" w:hAnsi="Times New Roman" w:cs="Times New Roman"/>
                <w:b/>
                <w:bCs/>
                <w:color w:val="000000" w:themeColor="text1"/>
                <w:sz w:val="20"/>
                <w:szCs w:val="24"/>
              </w:rPr>
              <w:t>Novcom</w:t>
            </w:r>
            <w:proofErr w:type="spellEnd"/>
            <w:r w:rsidRPr="00DF0BA2">
              <w:rPr>
                <w:rFonts w:ascii="Times New Roman" w:eastAsia="Times New Roman" w:hAnsi="Times New Roman" w:cs="Times New Roman"/>
                <w:b/>
                <w:bCs/>
                <w:color w:val="000000" w:themeColor="text1"/>
                <w:sz w:val="20"/>
                <w:szCs w:val="24"/>
              </w:rPr>
              <w:t xml:space="preserve"> Technology</w:t>
            </w:r>
          </w:p>
          <w:p w14:paraId="3911FACE"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(40 Days)</w:t>
            </w:r>
          </w:p>
        </w:tc>
        <w:tc>
          <w:tcPr>
            <w:tcW w:w="1417" w:type="dxa"/>
            <w:tcBorders>
              <w:top w:val="single" w:sz="4" w:space="0" w:color="auto"/>
              <w:bottom w:val="single" w:sz="4" w:space="0" w:color="auto"/>
            </w:tcBorders>
            <w:vAlign w:val="center"/>
            <w:hideMark/>
          </w:tcPr>
          <w:p w14:paraId="01CF7BFE" w14:textId="77777777" w:rsidR="00F7194B" w:rsidRPr="00DF0BA2" w:rsidRDefault="00F7194B" w:rsidP="00ED0CBB">
            <w:pPr>
              <w:spacing w:after="0" w:line="192" w:lineRule="auto"/>
              <w:ind w:left="-108" w:right="-95" w:hanging="23"/>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Pro-Tray material developed under Conventional Method</w:t>
            </w:r>
          </w:p>
          <w:p w14:paraId="0FD479DF" w14:textId="77777777" w:rsidR="00F7194B" w:rsidRPr="00DF0BA2" w:rsidRDefault="00F7194B" w:rsidP="00ED0CBB">
            <w:pPr>
              <w:spacing w:after="0" w:line="192" w:lineRule="auto"/>
              <w:ind w:left="-108" w:right="-95" w:firstLine="108"/>
              <w:jc w:val="center"/>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(12 months)</w:t>
            </w:r>
          </w:p>
        </w:tc>
      </w:tr>
      <w:tr w:rsidR="00DF0BA2" w:rsidRPr="00DF0BA2" w14:paraId="6FFDB4E8" w14:textId="77777777" w:rsidTr="00D47A9A">
        <w:trPr>
          <w:trHeight w:val="315"/>
        </w:trPr>
        <w:tc>
          <w:tcPr>
            <w:tcW w:w="14325" w:type="dxa"/>
            <w:gridSpan w:val="10"/>
            <w:tcBorders>
              <w:top w:val="single" w:sz="4" w:space="0" w:color="auto"/>
            </w:tcBorders>
            <w:vAlign w:val="center"/>
            <w:hideMark/>
          </w:tcPr>
          <w:p w14:paraId="65BBC83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PHYSICOCHEMICAL PARAMETERS</w:t>
            </w:r>
          </w:p>
        </w:tc>
      </w:tr>
      <w:tr w:rsidR="00DF0BA2" w:rsidRPr="00DF0BA2" w14:paraId="3737268F" w14:textId="77777777" w:rsidTr="00D47A9A">
        <w:trPr>
          <w:trHeight w:val="143"/>
        </w:trPr>
        <w:tc>
          <w:tcPr>
            <w:tcW w:w="550" w:type="dxa"/>
            <w:vAlign w:val="center"/>
            <w:hideMark/>
          </w:tcPr>
          <w:p w14:paraId="731225EF"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w:t>
            </w:r>
          </w:p>
        </w:tc>
        <w:tc>
          <w:tcPr>
            <w:tcW w:w="2345" w:type="dxa"/>
            <w:vAlign w:val="center"/>
            <w:hideMark/>
          </w:tcPr>
          <w:p w14:paraId="1A463331"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Moisture (%)</w:t>
            </w:r>
          </w:p>
        </w:tc>
        <w:tc>
          <w:tcPr>
            <w:tcW w:w="1183" w:type="dxa"/>
            <w:vAlign w:val="center"/>
            <w:hideMark/>
          </w:tcPr>
          <w:p w14:paraId="1226B1E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65.22</w:t>
            </w:r>
          </w:p>
        </w:tc>
        <w:tc>
          <w:tcPr>
            <w:tcW w:w="1247" w:type="dxa"/>
            <w:vAlign w:val="center"/>
            <w:hideMark/>
          </w:tcPr>
          <w:p w14:paraId="718388E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62.85</w:t>
            </w:r>
          </w:p>
        </w:tc>
        <w:tc>
          <w:tcPr>
            <w:tcW w:w="1660" w:type="dxa"/>
            <w:vAlign w:val="center"/>
            <w:hideMark/>
          </w:tcPr>
          <w:p w14:paraId="5E275F7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81.24</w:t>
            </w:r>
          </w:p>
        </w:tc>
        <w:tc>
          <w:tcPr>
            <w:tcW w:w="1740" w:type="dxa"/>
            <w:tcBorders>
              <w:right w:val="single" w:sz="4" w:space="0" w:color="auto"/>
            </w:tcBorders>
            <w:vAlign w:val="center"/>
            <w:hideMark/>
          </w:tcPr>
          <w:p w14:paraId="2786C4A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68.5</w:t>
            </w:r>
          </w:p>
        </w:tc>
        <w:tc>
          <w:tcPr>
            <w:tcW w:w="1183" w:type="dxa"/>
            <w:tcBorders>
              <w:top w:val="nil"/>
              <w:left w:val="single" w:sz="4" w:space="0" w:color="auto"/>
              <w:bottom w:val="nil"/>
            </w:tcBorders>
            <w:vAlign w:val="center"/>
            <w:hideMark/>
          </w:tcPr>
          <w:p w14:paraId="7832313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66.93</w:t>
            </w:r>
          </w:p>
        </w:tc>
        <w:tc>
          <w:tcPr>
            <w:tcW w:w="1280" w:type="dxa"/>
            <w:tcBorders>
              <w:top w:val="nil"/>
              <w:bottom w:val="nil"/>
            </w:tcBorders>
            <w:noWrap/>
            <w:vAlign w:val="center"/>
            <w:hideMark/>
          </w:tcPr>
          <w:p w14:paraId="3898392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62.99</w:t>
            </w:r>
          </w:p>
        </w:tc>
        <w:tc>
          <w:tcPr>
            <w:tcW w:w="1720" w:type="dxa"/>
            <w:tcBorders>
              <w:top w:val="nil"/>
              <w:bottom w:val="nil"/>
            </w:tcBorders>
            <w:noWrap/>
            <w:vAlign w:val="center"/>
            <w:hideMark/>
          </w:tcPr>
          <w:p w14:paraId="42D512A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79.61</w:t>
            </w:r>
          </w:p>
        </w:tc>
        <w:tc>
          <w:tcPr>
            <w:tcW w:w="1417" w:type="dxa"/>
            <w:tcBorders>
              <w:top w:val="nil"/>
              <w:bottom w:val="nil"/>
            </w:tcBorders>
            <w:vAlign w:val="center"/>
            <w:hideMark/>
          </w:tcPr>
          <w:p w14:paraId="0338DB0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82.63</w:t>
            </w:r>
          </w:p>
        </w:tc>
      </w:tr>
      <w:tr w:rsidR="00DF0BA2" w:rsidRPr="00DF0BA2" w14:paraId="7827A99F" w14:textId="77777777" w:rsidTr="00D47A9A">
        <w:trPr>
          <w:trHeight w:val="224"/>
        </w:trPr>
        <w:tc>
          <w:tcPr>
            <w:tcW w:w="550" w:type="dxa"/>
            <w:vAlign w:val="center"/>
            <w:hideMark/>
          </w:tcPr>
          <w:p w14:paraId="59CF0A53"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2</w:t>
            </w:r>
          </w:p>
        </w:tc>
        <w:tc>
          <w:tcPr>
            <w:tcW w:w="2345" w:type="dxa"/>
            <w:vAlign w:val="center"/>
            <w:hideMark/>
          </w:tcPr>
          <w:p w14:paraId="76CC02D7"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pH (H</w:t>
            </w:r>
            <w:r w:rsidRPr="00DF0BA2">
              <w:rPr>
                <w:rFonts w:ascii="Times New Roman" w:eastAsia="Times New Roman" w:hAnsi="Times New Roman" w:cs="Times New Roman"/>
                <w:b/>
                <w:bCs/>
                <w:color w:val="000000" w:themeColor="text1"/>
                <w:sz w:val="20"/>
                <w:szCs w:val="24"/>
                <w:vertAlign w:val="subscript"/>
              </w:rPr>
              <w:t>2</w:t>
            </w:r>
            <w:r w:rsidRPr="00DF0BA2">
              <w:rPr>
                <w:rFonts w:ascii="Times New Roman" w:eastAsia="Times New Roman" w:hAnsi="Times New Roman" w:cs="Times New Roman"/>
                <w:b/>
                <w:bCs/>
                <w:color w:val="000000" w:themeColor="text1"/>
                <w:sz w:val="20"/>
                <w:szCs w:val="24"/>
              </w:rPr>
              <w:t>O) (1:10)</w:t>
            </w:r>
          </w:p>
        </w:tc>
        <w:tc>
          <w:tcPr>
            <w:tcW w:w="1183" w:type="dxa"/>
            <w:vAlign w:val="center"/>
            <w:hideMark/>
          </w:tcPr>
          <w:p w14:paraId="0B95F98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5.37</w:t>
            </w:r>
          </w:p>
        </w:tc>
        <w:tc>
          <w:tcPr>
            <w:tcW w:w="1247" w:type="dxa"/>
            <w:vAlign w:val="center"/>
            <w:hideMark/>
          </w:tcPr>
          <w:p w14:paraId="13918609"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5.22</w:t>
            </w:r>
          </w:p>
        </w:tc>
        <w:tc>
          <w:tcPr>
            <w:tcW w:w="1660" w:type="dxa"/>
            <w:vAlign w:val="center"/>
            <w:hideMark/>
          </w:tcPr>
          <w:p w14:paraId="50CFB54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5.68</w:t>
            </w:r>
          </w:p>
        </w:tc>
        <w:tc>
          <w:tcPr>
            <w:tcW w:w="1740" w:type="dxa"/>
            <w:tcBorders>
              <w:right w:val="single" w:sz="4" w:space="0" w:color="auto"/>
            </w:tcBorders>
            <w:vAlign w:val="center"/>
            <w:hideMark/>
          </w:tcPr>
          <w:p w14:paraId="4B6A2C8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5.01</w:t>
            </w:r>
          </w:p>
        </w:tc>
        <w:tc>
          <w:tcPr>
            <w:tcW w:w="1183" w:type="dxa"/>
            <w:tcBorders>
              <w:top w:val="nil"/>
              <w:left w:val="single" w:sz="4" w:space="0" w:color="auto"/>
              <w:bottom w:val="nil"/>
            </w:tcBorders>
            <w:vAlign w:val="center"/>
            <w:hideMark/>
          </w:tcPr>
          <w:p w14:paraId="4339FDD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5.52</w:t>
            </w:r>
          </w:p>
        </w:tc>
        <w:tc>
          <w:tcPr>
            <w:tcW w:w="1280" w:type="dxa"/>
            <w:tcBorders>
              <w:top w:val="nil"/>
              <w:bottom w:val="nil"/>
            </w:tcBorders>
            <w:noWrap/>
            <w:vAlign w:val="center"/>
            <w:hideMark/>
          </w:tcPr>
          <w:p w14:paraId="22CB3A8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5.39</w:t>
            </w:r>
          </w:p>
        </w:tc>
        <w:tc>
          <w:tcPr>
            <w:tcW w:w="1720" w:type="dxa"/>
            <w:tcBorders>
              <w:top w:val="nil"/>
              <w:bottom w:val="nil"/>
            </w:tcBorders>
            <w:noWrap/>
            <w:vAlign w:val="center"/>
            <w:hideMark/>
          </w:tcPr>
          <w:p w14:paraId="699133B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5.59</w:t>
            </w:r>
          </w:p>
        </w:tc>
        <w:tc>
          <w:tcPr>
            <w:tcW w:w="1417" w:type="dxa"/>
            <w:tcBorders>
              <w:top w:val="nil"/>
              <w:bottom w:val="nil"/>
            </w:tcBorders>
            <w:vAlign w:val="center"/>
            <w:hideMark/>
          </w:tcPr>
          <w:p w14:paraId="027907A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5.36</w:t>
            </w:r>
          </w:p>
        </w:tc>
      </w:tr>
      <w:tr w:rsidR="00DF0BA2" w:rsidRPr="00DF0BA2" w14:paraId="19E9AD1C" w14:textId="77777777" w:rsidTr="00D47A9A">
        <w:trPr>
          <w:trHeight w:val="260"/>
        </w:trPr>
        <w:tc>
          <w:tcPr>
            <w:tcW w:w="550" w:type="dxa"/>
            <w:vAlign w:val="center"/>
            <w:hideMark/>
          </w:tcPr>
          <w:p w14:paraId="24A320B1"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3</w:t>
            </w:r>
          </w:p>
        </w:tc>
        <w:tc>
          <w:tcPr>
            <w:tcW w:w="2345" w:type="dxa"/>
            <w:vAlign w:val="center"/>
            <w:hideMark/>
          </w:tcPr>
          <w:p w14:paraId="2129EE4F"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EC (dSm</w:t>
            </w:r>
            <w:r w:rsidRPr="00DF0BA2">
              <w:rPr>
                <w:rFonts w:ascii="Times New Roman" w:eastAsia="Times New Roman" w:hAnsi="Times New Roman" w:cs="Times New Roman"/>
                <w:b/>
                <w:bCs/>
                <w:color w:val="000000" w:themeColor="text1"/>
                <w:sz w:val="20"/>
                <w:szCs w:val="24"/>
                <w:vertAlign w:val="superscript"/>
              </w:rPr>
              <w:t>-1</w:t>
            </w:r>
            <w:r w:rsidRPr="00DF0BA2">
              <w:rPr>
                <w:rFonts w:ascii="Times New Roman" w:eastAsia="Times New Roman" w:hAnsi="Times New Roman" w:cs="Times New Roman"/>
                <w:b/>
                <w:bCs/>
                <w:color w:val="000000" w:themeColor="text1"/>
                <w:sz w:val="20"/>
                <w:szCs w:val="24"/>
              </w:rPr>
              <w:t>) (1:10)</w:t>
            </w:r>
          </w:p>
        </w:tc>
        <w:tc>
          <w:tcPr>
            <w:tcW w:w="1183" w:type="dxa"/>
            <w:vAlign w:val="center"/>
            <w:hideMark/>
          </w:tcPr>
          <w:p w14:paraId="60A81587"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4.01</w:t>
            </w:r>
          </w:p>
        </w:tc>
        <w:tc>
          <w:tcPr>
            <w:tcW w:w="1247" w:type="dxa"/>
            <w:vAlign w:val="center"/>
            <w:hideMark/>
          </w:tcPr>
          <w:p w14:paraId="2B4ECB2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3.97</w:t>
            </w:r>
          </w:p>
        </w:tc>
        <w:tc>
          <w:tcPr>
            <w:tcW w:w="1660" w:type="dxa"/>
            <w:vAlign w:val="center"/>
            <w:hideMark/>
          </w:tcPr>
          <w:p w14:paraId="08D4CC0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2.47</w:t>
            </w:r>
          </w:p>
        </w:tc>
        <w:tc>
          <w:tcPr>
            <w:tcW w:w="1740" w:type="dxa"/>
            <w:tcBorders>
              <w:right w:val="single" w:sz="4" w:space="0" w:color="auto"/>
            </w:tcBorders>
            <w:vAlign w:val="center"/>
            <w:hideMark/>
          </w:tcPr>
          <w:p w14:paraId="66A4AE4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3.09</w:t>
            </w:r>
          </w:p>
        </w:tc>
        <w:tc>
          <w:tcPr>
            <w:tcW w:w="1183" w:type="dxa"/>
            <w:tcBorders>
              <w:top w:val="nil"/>
              <w:left w:val="single" w:sz="4" w:space="0" w:color="auto"/>
              <w:bottom w:val="nil"/>
            </w:tcBorders>
            <w:vAlign w:val="center"/>
            <w:hideMark/>
          </w:tcPr>
          <w:p w14:paraId="56BE5299"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4.59</w:t>
            </w:r>
          </w:p>
        </w:tc>
        <w:tc>
          <w:tcPr>
            <w:tcW w:w="1280" w:type="dxa"/>
            <w:tcBorders>
              <w:top w:val="nil"/>
              <w:bottom w:val="nil"/>
            </w:tcBorders>
            <w:noWrap/>
            <w:vAlign w:val="center"/>
            <w:hideMark/>
          </w:tcPr>
          <w:p w14:paraId="5E73A70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5.19</w:t>
            </w:r>
          </w:p>
        </w:tc>
        <w:tc>
          <w:tcPr>
            <w:tcW w:w="1720" w:type="dxa"/>
            <w:tcBorders>
              <w:top w:val="nil"/>
              <w:bottom w:val="nil"/>
            </w:tcBorders>
            <w:noWrap/>
            <w:vAlign w:val="center"/>
            <w:hideMark/>
          </w:tcPr>
          <w:p w14:paraId="15DA88A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2.77</w:t>
            </w:r>
          </w:p>
        </w:tc>
        <w:tc>
          <w:tcPr>
            <w:tcW w:w="1417" w:type="dxa"/>
            <w:tcBorders>
              <w:top w:val="nil"/>
              <w:bottom w:val="nil"/>
            </w:tcBorders>
            <w:vAlign w:val="center"/>
            <w:hideMark/>
          </w:tcPr>
          <w:p w14:paraId="7BB9972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3.23</w:t>
            </w:r>
          </w:p>
        </w:tc>
      </w:tr>
      <w:tr w:rsidR="00DF0BA2" w:rsidRPr="00DF0BA2" w14:paraId="1AF9D38A" w14:textId="77777777" w:rsidTr="00D47A9A">
        <w:trPr>
          <w:trHeight w:val="260"/>
        </w:trPr>
        <w:tc>
          <w:tcPr>
            <w:tcW w:w="550" w:type="dxa"/>
            <w:vAlign w:val="center"/>
            <w:hideMark/>
          </w:tcPr>
          <w:p w14:paraId="34A2C624"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4</w:t>
            </w:r>
          </w:p>
        </w:tc>
        <w:tc>
          <w:tcPr>
            <w:tcW w:w="2345" w:type="dxa"/>
            <w:vAlign w:val="center"/>
            <w:hideMark/>
          </w:tcPr>
          <w:p w14:paraId="63982B0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Ash Content (%)</w:t>
            </w:r>
          </w:p>
        </w:tc>
        <w:tc>
          <w:tcPr>
            <w:tcW w:w="1183" w:type="dxa"/>
            <w:vAlign w:val="center"/>
            <w:hideMark/>
          </w:tcPr>
          <w:p w14:paraId="5FB8284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14.81</w:t>
            </w:r>
          </w:p>
        </w:tc>
        <w:tc>
          <w:tcPr>
            <w:tcW w:w="1247" w:type="dxa"/>
            <w:vAlign w:val="center"/>
            <w:hideMark/>
          </w:tcPr>
          <w:p w14:paraId="36EDF91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16.21</w:t>
            </w:r>
          </w:p>
        </w:tc>
        <w:tc>
          <w:tcPr>
            <w:tcW w:w="1660" w:type="dxa"/>
            <w:vAlign w:val="center"/>
            <w:hideMark/>
          </w:tcPr>
          <w:p w14:paraId="627ADF1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50.39</w:t>
            </w:r>
          </w:p>
        </w:tc>
        <w:tc>
          <w:tcPr>
            <w:tcW w:w="1740" w:type="dxa"/>
            <w:tcBorders>
              <w:right w:val="single" w:sz="4" w:space="0" w:color="auto"/>
            </w:tcBorders>
            <w:vAlign w:val="center"/>
            <w:hideMark/>
          </w:tcPr>
          <w:p w14:paraId="1ECE7F5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27.01</w:t>
            </w:r>
          </w:p>
        </w:tc>
        <w:tc>
          <w:tcPr>
            <w:tcW w:w="1183" w:type="dxa"/>
            <w:tcBorders>
              <w:top w:val="nil"/>
              <w:left w:val="single" w:sz="4" w:space="0" w:color="auto"/>
              <w:bottom w:val="nil"/>
            </w:tcBorders>
            <w:vAlign w:val="center"/>
            <w:hideMark/>
          </w:tcPr>
          <w:p w14:paraId="72F795E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16.70</w:t>
            </w:r>
          </w:p>
        </w:tc>
        <w:tc>
          <w:tcPr>
            <w:tcW w:w="1280" w:type="dxa"/>
            <w:tcBorders>
              <w:top w:val="nil"/>
              <w:bottom w:val="nil"/>
            </w:tcBorders>
            <w:vAlign w:val="center"/>
            <w:hideMark/>
          </w:tcPr>
          <w:p w14:paraId="1F3E975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17.70</w:t>
            </w:r>
          </w:p>
        </w:tc>
        <w:tc>
          <w:tcPr>
            <w:tcW w:w="1720" w:type="dxa"/>
            <w:tcBorders>
              <w:top w:val="nil"/>
              <w:bottom w:val="nil"/>
            </w:tcBorders>
            <w:vAlign w:val="center"/>
            <w:hideMark/>
          </w:tcPr>
          <w:p w14:paraId="3F407E9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49.94</w:t>
            </w:r>
          </w:p>
        </w:tc>
        <w:tc>
          <w:tcPr>
            <w:tcW w:w="1417" w:type="dxa"/>
            <w:tcBorders>
              <w:top w:val="nil"/>
              <w:bottom w:val="nil"/>
            </w:tcBorders>
            <w:vAlign w:val="center"/>
            <w:hideMark/>
          </w:tcPr>
          <w:p w14:paraId="2845DB4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27.35</w:t>
            </w:r>
          </w:p>
        </w:tc>
      </w:tr>
      <w:tr w:rsidR="00DF0BA2" w:rsidRPr="00DF0BA2" w14:paraId="205293CE" w14:textId="77777777" w:rsidTr="00D47A9A">
        <w:trPr>
          <w:trHeight w:val="260"/>
        </w:trPr>
        <w:tc>
          <w:tcPr>
            <w:tcW w:w="550" w:type="dxa"/>
            <w:vAlign w:val="center"/>
            <w:hideMark/>
          </w:tcPr>
          <w:p w14:paraId="7D351711"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5</w:t>
            </w:r>
          </w:p>
        </w:tc>
        <w:tc>
          <w:tcPr>
            <w:tcW w:w="2345" w:type="dxa"/>
            <w:vAlign w:val="center"/>
            <w:hideMark/>
          </w:tcPr>
          <w:p w14:paraId="78C2E161"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Volatile </w:t>
            </w:r>
            <w:proofErr w:type="gramStart"/>
            <w:r w:rsidRPr="00DF0BA2">
              <w:rPr>
                <w:rFonts w:ascii="Times New Roman" w:eastAsia="Times New Roman" w:hAnsi="Times New Roman" w:cs="Times New Roman"/>
                <w:b/>
                <w:bCs/>
                <w:color w:val="000000" w:themeColor="text1"/>
                <w:sz w:val="20"/>
                <w:szCs w:val="24"/>
              </w:rPr>
              <w:t>Solids(</w:t>
            </w:r>
            <w:proofErr w:type="gramEnd"/>
            <w:r w:rsidRPr="00DF0BA2">
              <w:rPr>
                <w:rFonts w:ascii="Times New Roman" w:eastAsia="Times New Roman" w:hAnsi="Times New Roman" w:cs="Times New Roman"/>
                <w:b/>
                <w:bCs/>
                <w:color w:val="000000" w:themeColor="text1"/>
                <w:sz w:val="20"/>
                <w:szCs w:val="24"/>
              </w:rPr>
              <w:t>%)</w:t>
            </w:r>
          </w:p>
        </w:tc>
        <w:tc>
          <w:tcPr>
            <w:tcW w:w="1183" w:type="dxa"/>
            <w:vAlign w:val="center"/>
            <w:hideMark/>
          </w:tcPr>
          <w:p w14:paraId="674D505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85.19</w:t>
            </w:r>
          </w:p>
        </w:tc>
        <w:tc>
          <w:tcPr>
            <w:tcW w:w="1247" w:type="dxa"/>
            <w:vAlign w:val="center"/>
            <w:hideMark/>
          </w:tcPr>
          <w:p w14:paraId="1C0F9DB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83.79</w:t>
            </w:r>
          </w:p>
        </w:tc>
        <w:tc>
          <w:tcPr>
            <w:tcW w:w="1660" w:type="dxa"/>
            <w:vAlign w:val="center"/>
            <w:hideMark/>
          </w:tcPr>
          <w:p w14:paraId="1E22C209"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49.61</w:t>
            </w:r>
          </w:p>
        </w:tc>
        <w:tc>
          <w:tcPr>
            <w:tcW w:w="1740" w:type="dxa"/>
            <w:tcBorders>
              <w:right w:val="single" w:sz="4" w:space="0" w:color="auto"/>
            </w:tcBorders>
            <w:vAlign w:val="center"/>
            <w:hideMark/>
          </w:tcPr>
          <w:p w14:paraId="367AA877"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72.99</w:t>
            </w:r>
          </w:p>
        </w:tc>
        <w:tc>
          <w:tcPr>
            <w:tcW w:w="1183" w:type="dxa"/>
            <w:tcBorders>
              <w:top w:val="nil"/>
              <w:left w:val="single" w:sz="4" w:space="0" w:color="auto"/>
              <w:bottom w:val="nil"/>
            </w:tcBorders>
            <w:vAlign w:val="center"/>
            <w:hideMark/>
          </w:tcPr>
          <w:p w14:paraId="1A9DA4D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83.30</w:t>
            </w:r>
          </w:p>
        </w:tc>
        <w:tc>
          <w:tcPr>
            <w:tcW w:w="1280" w:type="dxa"/>
            <w:tcBorders>
              <w:top w:val="nil"/>
              <w:bottom w:val="nil"/>
            </w:tcBorders>
            <w:vAlign w:val="center"/>
            <w:hideMark/>
          </w:tcPr>
          <w:p w14:paraId="2CCA7EA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82.30</w:t>
            </w:r>
          </w:p>
        </w:tc>
        <w:tc>
          <w:tcPr>
            <w:tcW w:w="1720" w:type="dxa"/>
            <w:tcBorders>
              <w:top w:val="nil"/>
              <w:bottom w:val="nil"/>
            </w:tcBorders>
            <w:vAlign w:val="center"/>
            <w:hideMark/>
          </w:tcPr>
          <w:p w14:paraId="6F69109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50.06</w:t>
            </w:r>
          </w:p>
        </w:tc>
        <w:tc>
          <w:tcPr>
            <w:tcW w:w="1417" w:type="dxa"/>
            <w:tcBorders>
              <w:top w:val="nil"/>
              <w:bottom w:val="nil"/>
            </w:tcBorders>
            <w:vAlign w:val="center"/>
            <w:hideMark/>
          </w:tcPr>
          <w:p w14:paraId="2CADBDA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72.65</w:t>
            </w:r>
          </w:p>
        </w:tc>
      </w:tr>
      <w:tr w:rsidR="00DF0BA2" w:rsidRPr="00DF0BA2" w14:paraId="6B2B825E" w14:textId="77777777" w:rsidTr="00D47A9A">
        <w:trPr>
          <w:trHeight w:val="260"/>
        </w:trPr>
        <w:tc>
          <w:tcPr>
            <w:tcW w:w="550" w:type="dxa"/>
            <w:vAlign w:val="center"/>
            <w:hideMark/>
          </w:tcPr>
          <w:p w14:paraId="1AFD0647"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6</w:t>
            </w:r>
          </w:p>
        </w:tc>
        <w:tc>
          <w:tcPr>
            <w:tcW w:w="2345" w:type="dxa"/>
            <w:vAlign w:val="center"/>
            <w:hideMark/>
          </w:tcPr>
          <w:p w14:paraId="77E68D5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Organic carbon (%)</w:t>
            </w:r>
          </w:p>
        </w:tc>
        <w:tc>
          <w:tcPr>
            <w:tcW w:w="1183" w:type="dxa"/>
            <w:vAlign w:val="center"/>
            <w:hideMark/>
          </w:tcPr>
          <w:p w14:paraId="62C9EBC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47.33</w:t>
            </w:r>
          </w:p>
        </w:tc>
        <w:tc>
          <w:tcPr>
            <w:tcW w:w="1247" w:type="dxa"/>
            <w:vAlign w:val="center"/>
            <w:hideMark/>
          </w:tcPr>
          <w:p w14:paraId="7766CD6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46.55</w:t>
            </w:r>
          </w:p>
        </w:tc>
        <w:tc>
          <w:tcPr>
            <w:tcW w:w="1660" w:type="dxa"/>
            <w:vAlign w:val="center"/>
            <w:hideMark/>
          </w:tcPr>
          <w:p w14:paraId="3DE25397"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27.56</w:t>
            </w:r>
          </w:p>
        </w:tc>
        <w:tc>
          <w:tcPr>
            <w:tcW w:w="1740" w:type="dxa"/>
            <w:tcBorders>
              <w:right w:val="single" w:sz="4" w:space="0" w:color="auto"/>
            </w:tcBorders>
            <w:vAlign w:val="center"/>
            <w:hideMark/>
          </w:tcPr>
          <w:p w14:paraId="2EAD8ED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40.55</w:t>
            </w:r>
          </w:p>
        </w:tc>
        <w:tc>
          <w:tcPr>
            <w:tcW w:w="1183" w:type="dxa"/>
            <w:tcBorders>
              <w:top w:val="nil"/>
              <w:left w:val="single" w:sz="4" w:space="0" w:color="auto"/>
              <w:bottom w:val="nil"/>
            </w:tcBorders>
            <w:vAlign w:val="center"/>
            <w:hideMark/>
          </w:tcPr>
          <w:p w14:paraId="534C9BE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46.28</w:t>
            </w:r>
          </w:p>
        </w:tc>
        <w:tc>
          <w:tcPr>
            <w:tcW w:w="1280" w:type="dxa"/>
            <w:tcBorders>
              <w:top w:val="nil"/>
              <w:bottom w:val="nil"/>
            </w:tcBorders>
            <w:noWrap/>
            <w:vAlign w:val="center"/>
            <w:hideMark/>
          </w:tcPr>
          <w:p w14:paraId="3D06AF2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45.72</w:t>
            </w:r>
          </w:p>
        </w:tc>
        <w:tc>
          <w:tcPr>
            <w:tcW w:w="1720" w:type="dxa"/>
            <w:tcBorders>
              <w:top w:val="nil"/>
              <w:bottom w:val="nil"/>
            </w:tcBorders>
            <w:noWrap/>
            <w:vAlign w:val="center"/>
            <w:hideMark/>
          </w:tcPr>
          <w:p w14:paraId="447B80F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27.81</w:t>
            </w:r>
          </w:p>
        </w:tc>
        <w:tc>
          <w:tcPr>
            <w:tcW w:w="1417" w:type="dxa"/>
            <w:tcBorders>
              <w:top w:val="nil"/>
              <w:bottom w:val="nil"/>
            </w:tcBorders>
            <w:vAlign w:val="center"/>
            <w:hideMark/>
          </w:tcPr>
          <w:p w14:paraId="510FEE0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40.36</w:t>
            </w:r>
          </w:p>
        </w:tc>
      </w:tr>
      <w:tr w:rsidR="00DF0BA2" w:rsidRPr="00DF0BA2" w14:paraId="3AA62676" w14:textId="77777777" w:rsidTr="00D47A9A">
        <w:trPr>
          <w:trHeight w:val="387"/>
        </w:trPr>
        <w:tc>
          <w:tcPr>
            <w:tcW w:w="14325" w:type="dxa"/>
            <w:gridSpan w:val="10"/>
            <w:vAlign w:val="center"/>
            <w:hideMark/>
          </w:tcPr>
          <w:p w14:paraId="7F354BB4"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NUTRIENT &amp;  NUTRIENT DYNAMICS</w:t>
            </w:r>
          </w:p>
        </w:tc>
      </w:tr>
      <w:tr w:rsidR="00DF0BA2" w:rsidRPr="00DF0BA2" w14:paraId="29C723CE" w14:textId="77777777" w:rsidTr="00D47A9A">
        <w:trPr>
          <w:trHeight w:val="215"/>
        </w:trPr>
        <w:tc>
          <w:tcPr>
            <w:tcW w:w="550" w:type="dxa"/>
            <w:vAlign w:val="center"/>
            <w:hideMark/>
          </w:tcPr>
          <w:p w14:paraId="131E5044"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7</w:t>
            </w:r>
          </w:p>
        </w:tc>
        <w:tc>
          <w:tcPr>
            <w:tcW w:w="2345" w:type="dxa"/>
            <w:vAlign w:val="center"/>
            <w:hideMark/>
          </w:tcPr>
          <w:p w14:paraId="0CF9FA8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Total N (%)</w:t>
            </w:r>
          </w:p>
        </w:tc>
        <w:tc>
          <w:tcPr>
            <w:tcW w:w="1183" w:type="dxa"/>
            <w:vAlign w:val="center"/>
            <w:hideMark/>
          </w:tcPr>
          <w:p w14:paraId="6D0DAF63"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0.57</w:t>
            </w:r>
          </w:p>
        </w:tc>
        <w:tc>
          <w:tcPr>
            <w:tcW w:w="1247" w:type="dxa"/>
            <w:vAlign w:val="center"/>
            <w:hideMark/>
          </w:tcPr>
          <w:p w14:paraId="410E63B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0.56</w:t>
            </w:r>
          </w:p>
        </w:tc>
        <w:tc>
          <w:tcPr>
            <w:tcW w:w="1660" w:type="dxa"/>
            <w:vAlign w:val="center"/>
            <w:hideMark/>
          </w:tcPr>
          <w:p w14:paraId="601391E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0.69</w:t>
            </w:r>
          </w:p>
        </w:tc>
        <w:tc>
          <w:tcPr>
            <w:tcW w:w="1740" w:type="dxa"/>
            <w:tcBorders>
              <w:right w:val="single" w:sz="4" w:space="0" w:color="auto"/>
            </w:tcBorders>
            <w:vAlign w:val="center"/>
            <w:hideMark/>
          </w:tcPr>
          <w:p w14:paraId="69D06C5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0.61</w:t>
            </w:r>
          </w:p>
        </w:tc>
        <w:tc>
          <w:tcPr>
            <w:tcW w:w="1183" w:type="dxa"/>
            <w:tcBorders>
              <w:top w:val="nil"/>
              <w:left w:val="single" w:sz="4" w:space="0" w:color="auto"/>
              <w:bottom w:val="nil"/>
            </w:tcBorders>
            <w:vAlign w:val="center"/>
            <w:hideMark/>
          </w:tcPr>
          <w:p w14:paraId="7BD9D66B"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1.32</w:t>
            </w:r>
          </w:p>
        </w:tc>
        <w:tc>
          <w:tcPr>
            <w:tcW w:w="1280" w:type="dxa"/>
            <w:tcBorders>
              <w:top w:val="nil"/>
              <w:bottom w:val="nil"/>
            </w:tcBorders>
            <w:noWrap/>
            <w:vAlign w:val="center"/>
            <w:hideMark/>
          </w:tcPr>
          <w:p w14:paraId="6F03AE45"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1.31</w:t>
            </w:r>
          </w:p>
        </w:tc>
        <w:tc>
          <w:tcPr>
            <w:tcW w:w="1720" w:type="dxa"/>
            <w:tcBorders>
              <w:top w:val="nil"/>
              <w:bottom w:val="nil"/>
            </w:tcBorders>
            <w:noWrap/>
            <w:vAlign w:val="center"/>
            <w:hideMark/>
          </w:tcPr>
          <w:p w14:paraId="7B418061"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1.79</w:t>
            </w:r>
          </w:p>
        </w:tc>
        <w:tc>
          <w:tcPr>
            <w:tcW w:w="1417" w:type="dxa"/>
            <w:tcBorders>
              <w:top w:val="nil"/>
              <w:bottom w:val="nil"/>
            </w:tcBorders>
            <w:vAlign w:val="center"/>
            <w:hideMark/>
          </w:tcPr>
          <w:p w14:paraId="1AE6F80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1.51</w:t>
            </w:r>
          </w:p>
        </w:tc>
      </w:tr>
      <w:tr w:rsidR="00DF0BA2" w:rsidRPr="00DF0BA2" w14:paraId="539593A4" w14:textId="77777777" w:rsidTr="00D47A9A">
        <w:trPr>
          <w:trHeight w:val="98"/>
        </w:trPr>
        <w:tc>
          <w:tcPr>
            <w:tcW w:w="550" w:type="dxa"/>
            <w:vAlign w:val="center"/>
            <w:hideMark/>
          </w:tcPr>
          <w:p w14:paraId="57B54CD5"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8</w:t>
            </w:r>
          </w:p>
        </w:tc>
        <w:tc>
          <w:tcPr>
            <w:tcW w:w="2345" w:type="dxa"/>
            <w:vAlign w:val="center"/>
            <w:hideMark/>
          </w:tcPr>
          <w:p w14:paraId="61516DA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Total P</w:t>
            </w:r>
            <w:r w:rsidRPr="00DF0BA2">
              <w:rPr>
                <w:rFonts w:ascii="Times New Roman" w:eastAsia="Times New Roman" w:hAnsi="Times New Roman" w:cs="Times New Roman"/>
                <w:b/>
                <w:bCs/>
                <w:color w:val="000000" w:themeColor="text1"/>
                <w:sz w:val="20"/>
                <w:szCs w:val="24"/>
                <w:vertAlign w:val="subscript"/>
              </w:rPr>
              <w:t>2</w:t>
            </w:r>
            <w:r w:rsidRPr="00DF0BA2">
              <w:rPr>
                <w:rFonts w:ascii="Times New Roman" w:eastAsia="Times New Roman" w:hAnsi="Times New Roman" w:cs="Times New Roman"/>
                <w:b/>
                <w:bCs/>
                <w:color w:val="000000" w:themeColor="text1"/>
                <w:sz w:val="20"/>
                <w:szCs w:val="24"/>
              </w:rPr>
              <w:t>O</w:t>
            </w:r>
            <w:r w:rsidRPr="00DF0BA2">
              <w:rPr>
                <w:rFonts w:ascii="Times New Roman" w:eastAsia="Times New Roman" w:hAnsi="Times New Roman" w:cs="Times New Roman"/>
                <w:b/>
                <w:bCs/>
                <w:color w:val="000000" w:themeColor="text1"/>
                <w:sz w:val="20"/>
                <w:szCs w:val="24"/>
                <w:vertAlign w:val="subscript"/>
              </w:rPr>
              <w:t xml:space="preserve">5 </w:t>
            </w:r>
            <w:r w:rsidRPr="00DF0BA2">
              <w:rPr>
                <w:rFonts w:ascii="Times New Roman" w:eastAsia="Times New Roman" w:hAnsi="Times New Roman" w:cs="Times New Roman"/>
                <w:b/>
                <w:bCs/>
                <w:color w:val="000000" w:themeColor="text1"/>
                <w:sz w:val="20"/>
                <w:szCs w:val="24"/>
              </w:rPr>
              <w:t>(%)</w:t>
            </w:r>
          </w:p>
        </w:tc>
        <w:tc>
          <w:tcPr>
            <w:tcW w:w="1183" w:type="dxa"/>
            <w:vAlign w:val="center"/>
            <w:hideMark/>
          </w:tcPr>
          <w:p w14:paraId="0BE89D8D"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0.13</w:t>
            </w:r>
          </w:p>
        </w:tc>
        <w:tc>
          <w:tcPr>
            <w:tcW w:w="1247" w:type="dxa"/>
            <w:vAlign w:val="center"/>
            <w:hideMark/>
          </w:tcPr>
          <w:p w14:paraId="75F0E3B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0.1</w:t>
            </w:r>
          </w:p>
        </w:tc>
        <w:tc>
          <w:tcPr>
            <w:tcW w:w="1660" w:type="dxa"/>
            <w:vAlign w:val="center"/>
            <w:hideMark/>
          </w:tcPr>
          <w:p w14:paraId="355BE35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0.27</w:t>
            </w:r>
          </w:p>
        </w:tc>
        <w:tc>
          <w:tcPr>
            <w:tcW w:w="1740" w:type="dxa"/>
            <w:tcBorders>
              <w:right w:val="single" w:sz="4" w:space="0" w:color="auto"/>
            </w:tcBorders>
            <w:vAlign w:val="center"/>
            <w:hideMark/>
          </w:tcPr>
          <w:p w14:paraId="212DDCD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0.16</w:t>
            </w:r>
          </w:p>
        </w:tc>
        <w:tc>
          <w:tcPr>
            <w:tcW w:w="1183" w:type="dxa"/>
            <w:tcBorders>
              <w:top w:val="nil"/>
              <w:left w:val="single" w:sz="4" w:space="0" w:color="auto"/>
              <w:bottom w:val="nil"/>
            </w:tcBorders>
            <w:vAlign w:val="center"/>
            <w:hideMark/>
          </w:tcPr>
          <w:p w14:paraId="777D380E"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0.15</w:t>
            </w:r>
          </w:p>
        </w:tc>
        <w:tc>
          <w:tcPr>
            <w:tcW w:w="1280" w:type="dxa"/>
            <w:tcBorders>
              <w:top w:val="nil"/>
              <w:bottom w:val="nil"/>
            </w:tcBorders>
            <w:noWrap/>
            <w:vAlign w:val="center"/>
            <w:hideMark/>
          </w:tcPr>
          <w:p w14:paraId="19DC7423"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0.28</w:t>
            </w:r>
          </w:p>
        </w:tc>
        <w:tc>
          <w:tcPr>
            <w:tcW w:w="1720" w:type="dxa"/>
            <w:tcBorders>
              <w:top w:val="nil"/>
              <w:bottom w:val="nil"/>
            </w:tcBorders>
            <w:noWrap/>
            <w:vAlign w:val="center"/>
            <w:hideMark/>
          </w:tcPr>
          <w:p w14:paraId="396030B7"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0.32</w:t>
            </w:r>
          </w:p>
        </w:tc>
        <w:tc>
          <w:tcPr>
            <w:tcW w:w="1417" w:type="dxa"/>
            <w:tcBorders>
              <w:top w:val="nil"/>
              <w:bottom w:val="nil"/>
            </w:tcBorders>
            <w:vAlign w:val="center"/>
            <w:hideMark/>
          </w:tcPr>
          <w:p w14:paraId="3A39B9B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0.18</w:t>
            </w:r>
          </w:p>
        </w:tc>
      </w:tr>
      <w:tr w:rsidR="00DF0BA2" w:rsidRPr="00DF0BA2" w14:paraId="287EB1C9" w14:textId="77777777" w:rsidTr="00D47A9A">
        <w:trPr>
          <w:trHeight w:val="233"/>
        </w:trPr>
        <w:tc>
          <w:tcPr>
            <w:tcW w:w="550" w:type="dxa"/>
            <w:vAlign w:val="center"/>
            <w:hideMark/>
          </w:tcPr>
          <w:p w14:paraId="2C4DDA57"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9</w:t>
            </w:r>
          </w:p>
        </w:tc>
        <w:tc>
          <w:tcPr>
            <w:tcW w:w="2345" w:type="dxa"/>
            <w:vAlign w:val="center"/>
            <w:hideMark/>
          </w:tcPr>
          <w:p w14:paraId="41BDF454"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Total K</w:t>
            </w:r>
            <w:r w:rsidRPr="00DF0BA2">
              <w:rPr>
                <w:rFonts w:ascii="Times New Roman" w:eastAsia="Times New Roman" w:hAnsi="Times New Roman" w:cs="Times New Roman"/>
                <w:b/>
                <w:bCs/>
                <w:color w:val="000000" w:themeColor="text1"/>
                <w:sz w:val="20"/>
                <w:szCs w:val="24"/>
                <w:vertAlign w:val="subscript"/>
              </w:rPr>
              <w:t>2</w:t>
            </w:r>
            <w:r w:rsidRPr="00DF0BA2">
              <w:rPr>
                <w:rFonts w:ascii="Times New Roman" w:eastAsia="Times New Roman" w:hAnsi="Times New Roman" w:cs="Times New Roman"/>
                <w:b/>
                <w:bCs/>
                <w:color w:val="000000" w:themeColor="text1"/>
                <w:sz w:val="20"/>
                <w:szCs w:val="24"/>
              </w:rPr>
              <w:t>O (%)</w:t>
            </w:r>
          </w:p>
        </w:tc>
        <w:tc>
          <w:tcPr>
            <w:tcW w:w="1183" w:type="dxa"/>
            <w:vAlign w:val="center"/>
            <w:hideMark/>
          </w:tcPr>
          <w:p w14:paraId="2F530140"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3.57</w:t>
            </w:r>
          </w:p>
        </w:tc>
        <w:tc>
          <w:tcPr>
            <w:tcW w:w="1247" w:type="dxa"/>
            <w:vAlign w:val="center"/>
            <w:hideMark/>
          </w:tcPr>
          <w:p w14:paraId="1E63B9B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3.02</w:t>
            </w:r>
          </w:p>
        </w:tc>
        <w:tc>
          <w:tcPr>
            <w:tcW w:w="1660" w:type="dxa"/>
            <w:vAlign w:val="center"/>
            <w:hideMark/>
          </w:tcPr>
          <w:p w14:paraId="72D83D3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3.12</w:t>
            </w:r>
          </w:p>
        </w:tc>
        <w:tc>
          <w:tcPr>
            <w:tcW w:w="1740" w:type="dxa"/>
            <w:tcBorders>
              <w:right w:val="single" w:sz="4" w:space="0" w:color="auto"/>
            </w:tcBorders>
            <w:vAlign w:val="center"/>
            <w:hideMark/>
          </w:tcPr>
          <w:p w14:paraId="6CB0D5A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3.54</w:t>
            </w:r>
          </w:p>
        </w:tc>
        <w:tc>
          <w:tcPr>
            <w:tcW w:w="1183" w:type="dxa"/>
            <w:tcBorders>
              <w:top w:val="nil"/>
              <w:left w:val="single" w:sz="4" w:space="0" w:color="auto"/>
              <w:bottom w:val="nil"/>
            </w:tcBorders>
            <w:vAlign w:val="center"/>
            <w:hideMark/>
          </w:tcPr>
          <w:p w14:paraId="570202F9"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3.61</w:t>
            </w:r>
          </w:p>
        </w:tc>
        <w:tc>
          <w:tcPr>
            <w:tcW w:w="1280" w:type="dxa"/>
            <w:tcBorders>
              <w:top w:val="nil"/>
              <w:bottom w:val="nil"/>
            </w:tcBorders>
            <w:noWrap/>
            <w:vAlign w:val="center"/>
            <w:hideMark/>
          </w:tcPr>
          <w:p w14:paraId="0338DC0F"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3.54</w:t>
            </w:r>
          </w:p>
        </w:tc>
        <w:tc>
          <w:tcPr>
            <w:tcW w:w="1720" w:type="dxa"/>
            <w:tcBorders>
              <w:top w:val="nil"/>
              <w:bottom w:val="nil"/>
            </w:tcBorders>
            <w:noWrap/>
            <w:vAlign w:val="center"/>
            <w:hideMark/>
          </w:tcPr>
          <w:p w14:paraId="375ED782"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3.38</w:t>
            </w:r>
          </w:p>
        </w:tc>
        <w:tc>
          <w:tcPr>
            <w:tcW w:w="1417" w:type="dxa"/>
            <w:tcBorders>
              <w:top w:val="nil"/>
              <w:bottom w:val="nil"/>
            </w:tcBorders>
            <w:vAlign w:val="center"/>
            <w:hideMark/>
          </w:tcPr>
          <w:p w14:paraId="4C7E689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3.54</w:t>
            </w:r>
          </w:p>
        </w:tc>
      </w:tr>
      <w:tr w:rsidR="00DF0BA2" w:rsidRPr="00DF0BA2" w14:paraId="0CA35982" w14:textId="77777777" w:rsidTr="00D47A9A">
        <w:trPr>
          <w:trHeight w:val="179"/>
        </w:trPr>
        <w:tc>
          <w:tcPr>
            <w:tcW w:w="550" w:type="dxa"/>
            <w:vAlign w:val="center"/>
            <w:hideMark/>
          </w:tcPr>
          <w:p w14:paraId="1F773274"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10</w:t>
            </w:r>
          </w:p>
        </w:tc>
        <w:tc>
          <w:tcPr>
            <w:tcW w:w="2345" w:type="dxa"/>
            <w:vAlign w:val="center"/>
            <w:hideMark/>
          </w:tcPr>
          <w:p w14:paraId="3AD75C17"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 C:N</w:t>
            </w:r>
          </w:p>
        </w:tc>
        <w:tc>
          <w:tcPr>
            <w:tcW w:w="1183" w:type="dxa"/>
            <w:noWrap/>
            <w:hideMark/>
          </w:tcPr>
          <w:p w14:paraId="72F4B0EC"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83.04</w:t>
            </w:r>
          </w:p>
        </w:tc>
        <w:tc>
          <w:tcPr>
            <w:tcW w:w="1247" w:type="dxa"/>
            <w:noWrap/>
            <w:hideMark/>
          </w:tcPr>
          <w:p w14:paraId="3034546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83.13</w:t>
            </w:r>
          </w:p>
        </w:tc>
        <w:tc>
          <w:tcPr>
            <w:tcW w:w="1660" w:type="dxa"/>
            <w:noWrap/>
            <w:hideMark/>
          </w:tcPr>
          <w:p w14:paraId="6295F6C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39.94</w:t>
            </w:r>
          </w:p>
        </w:tc>
        <w:tc>
          <w:tcPr>
            <w:tcW w:w="1740" w:type="dxa"/>
            <w:tcBorders>
              <w:right w:val="single" w:sz="4" w:space="0" w:color="auto"/>
            </w:tcBorders>
            <w:noWrap/>
            <w:hideMark/>
          </w:tcPr>
          <w:p w14:paraId="2E2A60C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66.48</w:t>
            </w:r>
          </w:p>
        </w:tc>
        <w:tc>
          <w:tcPr>
            <w:tcW w:w="1183" w:type="dxa"/>
            <w:tcBorders>
              <w:top w:val="nil"/>
              <w:left w:val="single" w:sz="4" w:space="0" w:color="auto"/>
              <w:bottom w:val="nil"/>
            </w:tcBorders>
            <w:noWrap/>
            <w:hideMark/>
          </w:tcPr>
          <w:p w14:paraId="2ACF9C9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35.06</w:t>
            </w:r>
          </w:p>
        </w:tc>
        <w:tc>
          <w:tcPr>
            <w:tcW w:w="1280" w:type="dxa"/>
            <w:tcBorders>
              <w:top w:val="nil"/>
              <w:bottom w:val="nil"/>
            </w:tcBorders>
            <w:noWrap/>
            <w:hideMark/>
          </w:tcPr>
          <w:p w14:paraId="79B8299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34.90</w:t>
            </w:r>
          </w:p>
        </w:tc>
        <w:tc>
          <w:tcPr>
            <w:tcW w:w="1720" w:type="dxa"/>
            <w:tcBorders>
              <w:top w:val="nil"/>
              <w:bottom w:val="nil"/>
            </w:tcBorders>
            <w:noWrap/>
            <w:hideMark/>
          </w:tcPr>
          <w:p w14:paraId="291FAD8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15.54</w:t>
            </w:r>
          </w:p>
        </w:tc>
        <w:tc>
          <w:tcPr>
            <w:tcW w:w="1417" w:type="dxa"/>
            <w:tcBorders>
              <w:top w:val="nil"/>
              <w:bottom w:val="nil"/>
            </w:tcBorders>
            <w:noWrap/>
            <w:hideMark/>
          </w:tcPr>
          <w:p w14:paraId="3F5074F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26.73</w:t>
            </w:r>
          </w:p>
        </w:tc>
      </w:tr>
      <w:tr w:rsidR="00DF0BA2" w:rsidRPr="00DF0BA2" w14:paraId="2ABEC9C0" w14:textId="77777777" w:rsidTr="00D47A9A">
        <w:trPr>
          <w:trHeight w:val="432"/>
        </w:trPr>
        <w:tc>
          <w:tcPr>
            <w:tcW w:w="14325" w:type="dxa"/>
            <w:gridSpan w:val="10"/>
            <w:vAlign w:val="center"/>
            <w:hideMark/>
          </w:tcPr>
          <w:p w14:paraId="71AD91C9"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MATURITY &amp; PHYTOTOXICITY PARAMETERS</w:t>
            </w:r>
          </w:p>
        </w:tc>
      </w:tr>
      <w:tr w:rsidR="00DF0BA2" w:rsidRPr="00DF0BA2" w14:paraId="6E0C07A2" w14:textId="77777777" w:rsidTr="00D47A9A">
        <w:trPr>
          <w:trHeight w:val="197"/>
        </w:trPr>
        <w:tc>
          <w:tcPr>
            <w:tcW w:w="550" w:type="dxa"/>
            <w:vAlign w:val="center"/>
            <w:hideMark/>
          </w:tcPr>
          <w:p w14:paraId="744E9CC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11</w:t>
            </w:r>
          </w:p>
        </w:tc>
        <w:tc>
          <w:tcPr>
            <w:tcW w:w="2345" w:type="dxa"/>
            <w:vAlign w:val="center"/>
            <w:hideMark/>
          </w:tcPr>
          <w:p w14:paraId="06E213F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Seedling Emergence (% Over Control)</w:t>
            </w:r>
          </w:p>
        </w:tc>
        <w:tc>
          <w:tcPr>
            <w:tcW w:w="1183" w:type="dxa"/>
            <w:vAlign w:val="center"/>
            <w:hideMark/>
          </w:tcPr>
          <w:p w14:paraId="2A253DF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88</w:t>
            </w:r>
          </w:p>
        </w:tc>
        <w:tc>
          <w:tcPr>
            <w:tcW w:w="1247" w:type="dxa"/>
            <w:vAlign w:val="center"/>
            <w:hideMark/>
          </w:tcPr>
          <w:p w14:paraId="71C6953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89</w:t>
            </w:r>
          </w:p>
        </w:tc>
        <w:tc>
          <w:tcPr>
            <w:tcW w:w="1660" w:type="dxa"/>
            <w:vAlign w:val="center"/>
            <w:hideMark/>
          </w:tcPr>
          <w:p w14:paraId="6A56C46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104.1</w:t>
            </w:r>
          </w:p>
        </w:tc>
        <w:tc>
          <w:tcPr>
            <w:tcW w:w="1740" w:type="dxa"/>
            <w:tcBorders>
              <w:right w:val="single" w:sz="4" w:space="0" w:color="auto"/>
            </w:tcBorders>
            <w:vAlign w:val="center"/>
            <w:hideMark/>
          </w:tcPr>
          <w:p w14:paraId="1DB8AB0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93.55</w:t>
            </w:r>
          </w:p>
        </w:tc>
        <w:tc>
          <w:tcPr>
            <w:tcW w:w="1183" w:type="dxa"/>
            <w:tcBorders>
              <w:top w:val="nil"/>
              <w:left w:val="single" w:sz="4" w:space="0" w:color="auto"/>
              <w:bottom w:val="nil"/>
            </w:tcBorders>
            <w:vAlign w:val="center"/>
            <w:hideMark/>
          </w:tcPr>
          <w:p w14:paraId="50854989"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95</w:t>
            </w:r>
          </w:p>
        </w:tc>
        <w:tc>
          <w:tcPr>
            <w:tcW w:w="1280" w:type="dxa"/>
            <w:tcBorders>
              <w:top w:val="nil"/>
              <w:bottom w:val="nil"/>
            </w:tcBorders>
            <w:noWrap/>
            <w:vAlign w:val="center"/>
            <w:hideMark/>
          </w:tcPr>
          <w:p w14:paraId="2462F67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100</w:t>
            </w:r>
          </w:p>
        </w:tc>
        <w:tc>
          <w:tcPr>
            <w:tcW w:w="1720" w:type="dxa"/>
            <w:tcBorders>
              <w:top w:val="nil"/>
              <w:bottom w:val="nil"/>
            </w:tcBorders>
            <w:vAlign w:val="center"/>
            <w:hideMark/>
          </w:tcPr>
          <w:p w14:paraId="039724E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104</w:t>
            </w:r>
          </w:p>
        </w:tc>
        <w:tc>
          <w:tcPr>
            <w:tcW w:w="1417" w:type="dxa"/>
            <w:tcBorders>
              <w:top w:val="nil"/>
              <w:bottom w:val="nil"/>
            </w:tcBorders>
            <w:vAlign w:val="center"/>
            <w:hideMark/>
          </w:tcPr>
          <w:p w14:paraId="58707A2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96.1</w:t>
            </w:r>
          </w:p>
        </w:tc>
      </w:tr>
      <w:tr w:rsidR="00DF0BA2" w:rsidRPr="00DF0BA2" w14:paraId="3EF5A68C" w14:textId="77777777" w:rsidTr="00D47A9A">
        <w:trPr>
          <w:trHeight w:val="330"/>
        </w:trPr>
        <w:tc>
          <w:tcPr>
            <w:tcW w:w="550" w:type="dxa"/>
            <w:vAlign w:val="center"/>
            <w:hideMark/>
          </w:tcPr>
          <w:p w14:paraId="5E8DB248"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12</w:t>
            </w:r>
          </w:p>
        </w:tc>
        <w:tc>
          <w:tcPr>
            <w:tcW w:w="2345" w:type="dxa"/>
            <w:vAlign w:val="center"/>
            <w:hideMark/>
          </w:tcPr>
          <w:p w14:paraId="7CFD6BAA"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Root Elongation (% Over Control)</w:t>
            </w:r>
          </w:p>
        </w:tc>
        <w:tc>
          <w:tcPr>
            <w:tcW w:w="1183" w:type="dxa"/>
            <w:vAlign w:val="center"/>
            <w:hideMark/>
          </w:tcPr>
          <w:p w14:paraId="21184E19"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90</w:t>
            </w:r>
          </w:p>
        </w:tc>
        <w:tc>
          <w:tcPr>
            <w:tcW w:w="1247" w:type="dxa"/>
            <w:vAlign w:val="center"/>
            <w:hideMark/>
          </w:tcPr>
          <w:p w14:paraId="3C78D9F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87.3</w:t>
            </w:r>
          </w:p>
        </w:tc>
        <w:tc>
          <w:tcPr>
            <w:tcW w:w="1660" w:type="dxa"/>
            <w:vAlign w:val="center"/>
            <w:hideMark/>
          </w:tcPr>
          <w:p w14:paraId="034DC99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98.5</w:t>
            </w:r>
          </w:p>
        </w:tc>
        <w:tc>
          <w:tcPr>
            <w:tcW w:w="1740" w:type="dxa"/>
            <w:tcBorders>
              <w:right w:val="single" w:sz="4" w:space="0" w:color="auto"/>
            </w:tcBorders>
            <w:vAlign w:val="center"/>
            <w:hideMark/>
          </w:tcPr>
          <w:p w14:paraId="5A3C8EC9"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89.55</w:t>
            </w:r>
          </w:p>
        </w:tc>
        <w:tc>
          <w:tcPr>
            <w:tcW w:w="1183" w:type="dxa"/>
            <w:tcBorders>
              <w:top w:val="nil"/>
              <w:left w:val="single" w:sz="4" w:space="0" w:color="auto"/>
              <w:bottom w:val="nil"/>
            </w:tcBorders>
            <w:vAlign w:val="center"/>
            <w:hideMark/>
          </w:tcPr>
          <w:p w14:paraId="603E8D7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83.25</w:t>
            </w:r>
          </w:p>
        </w:tc>
        <w:tc>
          <w:tcPr>
            <w:tcW w:w="1280" w:type="dxa"/>
            <w:tcBorders>
              <w:top w:val="nil"/>
              <w:bottom w:val="nil"/>
            </w:tcBorders>
            <w:noWrap/>
            <w:vAlign w:val="center"/>
            <w:hideMark/>
          </w:tcPr>
          <w:p w14:paraId="5AC4D90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85.98</w:t>
            </w:r>
          </w:p>
        </w:tc>
        <w:tc>
          <w:tcPr>
            <w:tcW w:w="1720" w:type="dxa"/>
            <w:tcBorders>
              <w:top w:val="nil"/>
              <w:bottom w:val="nil"/>
            </w:tcBorders>
            <w:vAlign w:val="center"/>
            <w:hideMark/>
          </w:tcPr>
          <w:p w14:paraId="4CC7BFF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98.56</w:t>
            </w:r>
          </w:p>
        </w:tc>
        <w:tc>
          <w:tcPr>
            <w:tcW w:w="1417" w:type="dxa"/>
            <w:tcBorders>
              <w:top w:val="nil"/>
              <w:bottom w:val="nil"/>
            </w:tcBorders>
            <w:vAlign w:val="center"/>
            <w:hideMark/>
          </w:tcPr>
          <w:p w14:paraId="261CEE7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87.9</w:t>
            </w:r>
          </w:p>
        </w:tc>
      </w:tr>
      <w:tr w:rsidR="00DF0BA2" w:rsidRPr="00DF0BA2" w14:paraId="5ACE2EFD" w14:textId="77777777" w:rsidTr="00D47A9A">
        <w:trPr>
          <w:trHeight w:val="251"/>
        </w:trPr>
        <w:tc>
          <w:tcPr>
            <w:tcW w:w="550" w:type="dxa"/>
            <w:vAlign w:val="center"/>
            <w:hideMark/>
          </w:tcPr>
          <w:p w14:paraId="710315B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13</w:t>
            </w:r>
          </w:p>
        </w:tc>
        <w:tc>
          <w:tcPr>
            <w:tcW w:w="2345" w:type="dxa"/>
            <w:vAlign w:val="center"/>
            <w:hideMark/>
          </w:tcPr>
          <w:p w14:paraId="1E65B513"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Germination Index </w:t>
            </w:r>
          </w:p>
        </w:tc>
        <w:tc>
          <w:tcPr>
            <w:tcW w:w="1183" w:type="dxa"/>
            <w:vAlign w:val="center"/>
            <w:hideMark/>
          </w:tcPr>
          <w:p w14:paraId="3EE0636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0.79</w:t>
            </w:r>
          </w:p>
        </w:tc>
        <w:tc>
          <w:tcPr>
            <w:tcW w:w="1247" w:type="dxa"/>
            <w:vAlign w:val="center"/>
            <w:hideMark/>
          </w:tcPr>
          <w:p w14:paraId="41526DE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0.78</w:t>
            </w:r>
          </w:p>
        </w:tc>
        <w:tc>
          <w:tcPr>
            <w:tcW w:w="1660" w:type="dxa"/>
            <w:vAlign w:val="center"/>
            <w:hideMark/>
          </w:tcPr>
          <w:p w14:paraId="124E86E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1.03</w:t>
            </w:r>
          </w:p>
        </w:tc>
        <w:tc>
          <w:tcPr>
            <w:tcW w:w="1740" w:type="dxa"/>
            <w:tcBorders>
              <w:right w:val="single" w:sz="4" w:space="0" w:color="auto"/>
            </w:tcBorders>
            <w:vAlign w:val="center"/>
            <w:hideMark/>
          </w:tcPr>
          <w:p w14:paraId="6999A21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0.84</w:t>
            </w:r>
          </w:p>
        </w:tc>
        <w:tc>
          <w:tcPr>
            <w:tcW w:w="1183" w:type="dxa"/>
            <w:tcBorders>
              <w:top w:val="nil"/>
              <w:left w:val="single" w:sz="4" w:space="0" w:color="auto"/>
              <w:bottom w:val="nil"/>
            </w:tcBorders>
            <w:vAlign w:val="center"/>
            <w:hideMark/>
          </w:tcPr>
          <w:p w14:paraId="45ECD86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0.79</w:t>
            </w:r>
          </w:p>
        </w:tc>
        <w:tc>
          <w:tcPr>
            <w:tcW w:w="1280" w:type="dxa"/>
            <w:tcBorders>
              <w:top w:val="nil"/>
              <w:bottom w:val="nil"/>
            </w:tcBorders>
            <w:vAlign w:val="center"/>
            <w:hideMark/>
          </w:tcPr>
          <w:p w14:paraId="2A35AA4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0.86</w:t>
            </w:r>
          </w:p>
        </w:tc>
        <w:tc>
          <w:tcPr>
            <w:tcW w:w="1720" w:type="dxa"/>
            <w:tcBorders>
              <w:top w:val="nil"/>
              <w:bottom w:val="nil"/>
            </w:tcBorders>
            <w:vAlign w:val="center"/>
            <w:hideMark/>
          </w:tcPr>
          <w:p w14:paraId="67D3142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1.03</w:t>
            </w:r>
          </w:p>
        </w:tc>
        <w:tc>
          <w:tcPr>
            <w:tcW w:w="1417" w:type="dxa"/>
            <w:tcBorders>
              <w:top w:val="nil"/>
              <w:bottom w:val="nil"/>
            </w:tcBorders>
            <w:vAlign w:val="center"/>
            <w:hideMark/>
          </w:tcPr>
          <w:p w14:paraId="27B80CC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0.84</w:t>
            </w:r>
          </w:p>
        </w:tc>
      </w:tr>
      <w:tr w:rsidR="00DF0BA2" w:rsidRPr="00DF0BA2" w14:paraId="50B508A5" w14:textId="77777777" w:rsidTr="00D47A9A">
        <w:trPr>
          <w:trHeight w:val="306"/>
        </w:trPr>
        <w:tc>
          <w:tcPr>
            <w:tcW w:w="550" w:type="dxa"/>
            <w:vAlign w:val="center"/>
            <w:hideMark/>
          </w:tcPr>
          <w:p w14:paraId="32ED88D0"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w:t>
            </w:r>
          </w:p>
        </w:tc>
        <w:tc>
          <w:tcPr>
            <w:tcW w:w="13775" w:type="dxa"/>
            <w:gridSpan w:val="9"/>
            <w:vAlign w:val="center"/>
            <w:hideMark/>
          </w:tcPr>
          <w:p w14:paraId="5DA6526D"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PHYTOTOXICITY BIOASSAY</w:t>
            </w:r>
          </w:p>
        </w:tc>
      </w:tr>
      <w:tr w:rsidR="00DF0BA2" w:rsidRPr="00DF0BA2" w14:paraId="32CE18BE" w14:textId="77777777" w:rsidTr="00D47A9A">
        <w:trPr>
          <w:trHeight w:val="305"/>
        </w:trPr>
        <w:tc>
          <w:tcPr>
            <w:tcW w:w="550" w:type="dxa"/>
            <w:hideMark/>
          </w:tcPr>
          <w:p w14:paraId="4C19951B"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14</w:t>
            </w:r>
          </w:p>
        </w:tc>
        <w:tc>
          <w:tcPr>
            <w:tcW w:w="2345" w:type="dxa"/>
            <w:vAlign w:val="center"/>
            <w:hideMark/>
          </w:tcPr>
          <w:p w14:paraId="0C7A0D9F"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Avg. Seedling Weight Over Control (%)</w:t>
            </w:r>
          </w:p>
        </w:tc>
        <w:tc>
          <w:tcPr>
            <w:tcW w:w="1183" w:type="dxa"/>
            <w:vAlign w:val="center"/>
            <w:hideMark/>
          </w:tcPr>
          <w:p w14:paraId="416933F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82.12</w:t>
            </w:r>
          </w:p>
        </w:tc>
        <w:tc>
          <w:tcPr>
            <w:tcW w:w="1247" w:type="dxa"/>
            <w:vAlign w:val="center"/>
            <w:hideMark/>
          </w:tcPr>
          <w:p w14:paraId="7BFACB0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78</w:t>
            </w:r>
          </w:p>
        </w:tc>
        <w:tc>
          <w:tcPr>
            <w:tcW w:w="1660" w:type="dxa"/>
            <w:vAlign w:val="center"/>
            <w:hideMark/>
          </w:tcPr>
          <w:p w14:paraId="5F4C2FB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125.4</w:t>
            </w:r>
          </w:p>
        </w:tc>
        <w:tc>
          <w:tcPr>
            <w:tcW w:w="1740" w:type="dxa"/>
            <w:tcBorders>
              <w:right w:val="single" w:sz="4" w:space="0" w:color="auto"/>
            </w:tcBorders>
            <w:vAlign w:val="center"/>
            <w:hideMark/>
          </w:tcPr>
          <w:p w14:paraId="08CEC39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96.8</w:t>
            </w:r>
          </w:p>
        </w:tc>
        <w:tc>
          <w:tcPr>
            <w:tcW w:w="1183" w:type="dxa"/>
            <w:tcBorders>
              <w:top w:val="nil"/>
              <w:left w:val="single" w:sz="4" w:space="0" w:color="auto"/>
              <w:bottom w:val="nil"/>
            </w:tcBorders>
            <w:vAlign w:val="center"/>
            <w:hideMark/>
          </w:tcPr>
          <w:p w14:paraId="7F3332D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86.1</w:t>
            </w:r>
          </w:p>
        </w:tc>
        <w:tc>
          <w:tcPr>
            <w:tcW w:w="1280" w:type="dxa"/>
            <w:tcBorders>
              <w:top w:val="nil"/>
              <w:bottom w:val="nil"/>
            </w:tcBorders>
            <w:noWrap/>
            <w:vAlign w:val="center"/>
            <w:hideMark/>
          </w:tcPr>
          <w:p w14:paraId="6A32C6B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88</w:t>
            </w:r>
          </w:p>
        </w:tc>
        <w:tc>
          <w:tcPr>
            <w:tcW w:w="1720" w:type="dxa"/>
            <w:tcBorders>
              <w:top w:val="nil"/>
              <w:bottom w:val="nil"/>
            </w:tcBorders>
            <w:vAlign w:val="center"/>
            <w:hideMark/>
          </w:tcPr>
          <w:p w14:paraId="38FE1526"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127.8</w:t>
            </w:r>
          </w:p>
        </w:tc>
        <w:tc>
          <w:tcPr>
            <w:tcW w:w="1417" w:type="dxa"/>
            <w:tcBorders>
              <w:top w:val="nil"/>
              <w:bottom w:val="nil"/>
            </w:tcBorders>
            <w:vAlign w:val="center"/>
            <w:hideMark/>
          </w:tcPr>
          <w:p w14:paraId="067E3544"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105.4</w:t>
            </w:r>
          </w:p>
        </w:tc>
      </w:tr>
      <w:tr w:rsidR="00DF0BA2" w:rsidRPr="00DF0BA2" w14:paraId="264BEC3A" w14:textId="77777777" w:rsidTr="00D47A9A">
        <w:trPr>
          <w:trHeight w:val="260"/>
        </w:trPr>
        <w:tc>
          <w:tcPr>
            <w:tcW w:w="550" w:type="dxa"/>
            <w:hideMark/>
          </w:tcPr>
          <w:p w14:paraId="2797FCDA"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15</w:t>
            </w:r>
          </w:p>
        </w:tc>
        <w:tc>
          <w:tcPr>
            <w:tcW w:w="2345" w:type="dxa"/>
            <w:hideMark/>
          </w:tcPr>
          <w:p w14:paraId="0CCC0A25"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Water soluble Na (ppm)</w:t>
            </w:r>
          </w:p>
        </w:tc>
        <w:tc>
          <w:tcPr>
            <w:tcW w:w="1183" w:type="dxa"/>
            <w:vAlign w:val="center"/>
            <w:hideMark/>
          </w:tcPr>
          <w:p w14:paraId="0AADE3D8"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5850</w:t>
            </w:r>
          </w:p>
        </w:tc>
        <w:tc>
          <w:tcPr>
            <w:tcW w:w="1247" w:type="dxa"/>
            <w:vAlign w:val="center"/>
            <w:hideMark/>
          </w:tcPr>
          <w:p w14:paraId="4C0A840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4880</w:t>
            </w:r>
          </w:p>
        </w:tc>
        <w:tc>
          <w:tcPr>
            <w:tcW w:w="1660" w:type="dxa"/>
            <w:vAlign w:val="center"/>
            <w:hideMark/>
          </w:tcPr>
          <w:p w14:paraId="4A76C61F"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1920</w:t>
            </w:r>
          </w:p>
        </w:tc>
        <w:tc>
          <w:tcPr>
            <w:tcW w:w="1740" w:type="dxa"/>
            <w:tcBorders>
              <w:right w:val="single" w:sz="4" w:space="0" w:color="auto"/>
            </w:tcBorders>
            <w:vAlign w:val="center"/>
            <w:hideMark/>
          </w:tcPr>
          <w:p w14:paraId="499B7019"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3050</w:t>
            </w:r>
          </w:p>
        </w:tc>
        <w:tc>
          <w:tcPr>
            <w:tcW w:w="1183" w:type="dxa"/>
            <w:tcBorders>
              <w:top w:val="nil"/>
              <w:left w:val="single" w:sz="4" w:space="0" w:color="auto"/>
              <w:bottom w:val="nil"/>
            </w:tcBorders>
            <w:vAlign w:val="center"/>
            <w:hideMark/>
          </w:tcPr>
          <w:p w14:paraId="6B284AF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6300</w:t>
            </w:r>
          </w:p>
        </w:tc>
        <w:tc>
          <w:tcPr>
            <w:tcW w:w="1280" w:type="dxa"/>
            <w:tcBorders>
              <w:top w:val="nil"/>
              <w:bottom w:val="nil"/>
            </w:tcBorders>
            <w:noWrap/>
            <w:vAlign w:val="center"/>
            <w:hideMark/>
          </w:tcPr>
          <w:p w14:paraId="03CFF3E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2950</w:t>
            </w:r>
          </w:p>
        </w:tc>
        <w:tc>
          <w:tcPr>
            <w:tcW w:w="1720" w:type="dxa"/>
            <w:tcBorders>
              <w:top w:val="nil"/>
              <w:bottom w:val="nil"/>
            </w:tcBorders>
            <w:noWrap/>
            <w:vAlign w:val="center"/>
            <w:hideMark/>
          </w:tcPr>
          <w:p w14:paraId="5BCD354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1344</w:t>
            </w:r>
          </w:p>
        </w:tc>
        <w:tc>
          <w:tcPr>
            <w:tcW w:w="1417" w:type="dxa"/>
            <w:tcBorders>
              <w:top w:val="nil"/>
              <w:bottom w:val="nil"/>
            </w:tcBorders>
            <w:vAlign w:val="center"/>
            <w:hideMark/>
          </w:tcPr>
          <w:p w14:paraId="6A825D8D"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2737</w:t>
            </w:r>
          </w:p>
        </w:tc>
      </w:tr>
      <w:tr w:rsidR="00DF0BA2" w:rsidRPr="00DF0BA2" w14:paraId="0EC29BCC" w14:textId="77777777" w:rsidTr="00D47A9A">
        <w:trPr>
          <w:trHeight w:val="143"/>
        </w:trPr>
        <w:tc>
          <w:tcPr>
            <w:tcW w:w="550" w:type="dxa"/>
            <w:hideMark/>
          </w:tcPr>
          <w:p w14:paraId="49B2262A"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16</w:t>
            </w:r>
          </w:p>
        </w:tc>
        <w:tc>
          <w:tcPr>
            <w:tcW w:w="2345" w:type="dxa"/>
            <w:hideMark/>
          </w:tcPr>
          <w:p w14:paraId="526F02D5"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Water soluble K (ppm)</w:t>
            </w:r>
          </w:p>
        </w:tc>
        <w:tc>
          <w:tcPr>
            <w:tcW w:w="1183" w:type="dxa"/>
            <w:vAlign w:val="center"/>
            <w:hideMark/>
          </w:tcPr>
          <w:p w14:paraId="07CC7C99"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20250</w:t>
            </w:r>
          </w:p>
        </w:tc>
        <w:tc>
          <w:tcPr>
            <w:tcW w:w="1247" w:type="dxa"/>
            <w:vAlign w:val="center"/>
            <w:hideMark/>
          </w:tcPr>
          <w:p w14:paraId="4AD4BD8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20000</w:t>
            </w:r>
          </w:p>
        </w:tc>
        <w:tc>
          <w:tcPr>
            <w:tcW w:w="1660" w:type="dxa"/>
            <w:vAlign w:val="center"/>
            <w:hideMark/>
          </w:tcPr>
          <w:p w14:paraId="5E784DAB"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8350</w:t>
            </w:r>
          </w:p>
        </w:tc>
        <w:tc>
          <w:tcPr>
            <w:tcW w:w="1740" w:type="dxa"/>
            <w:tcBorders>
              <w:right w:val="single" w:sz="4" w:space="0" w:color="auto"/>
            </w:tcBorders>
            <w:vAlign w:val="center"/>
            <w:hideMark/>
          </w:tcPr>
          <w:p w14:paraId="48488099"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10500</w:t>
            </w:r>
          </w:p>
        </w:tc>
        <w:tc>
          <w:tcPr>
            <w:tcW w:w="1183" w:type="dxa"/>
            <w:tcBorders>
              <w:top w:val="nil"/>
              <w:left w:val="single" w:sz="4" w:space="0" w:color="auto"/>
              <w:bottom w:val="nil"/>
            </w:tcBorders>
            <w:vAlign w:val="center"/>
            <w:hideMark/>
          </w:tcPr>
          <w:p w14:paraId="207A418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16771</w:t>
            </w:r>
          </w:p>
        </w:tc>
        <w:tc>
          <w:tcPr>
            <w:tcW w:w="1280" w:type="dxa"/>
            <w:tcBorders>
              <w:top w:val="nil"/>
              <w:bottom w:val="nil"/>
            </w:tcBorders>
            <w:noWrap/>
            <w:vAlign w:val="center"/>
            <w:hideMark/>
          </w:tcPr>
          <w:p w14:paraId="0D2FB62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13021</w:t>
            </w:r>
          </w:p>
        </w:tc>
        <w:tc>
          <w:tcPr>
            <w:tcW w:w="1720" w:type="dxa"/>
            <w:tcBorders>
              <w:top w:val="nil"/>
              <w:bottom w:val="nil"/>
            </w:tcBorders>
            <w:noWrap/>
            <w:vAlign w:val="center"/>
            <w:hideMark/>
          </w:tcPr>
          <w:p w14:paraId="7A6AAF4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4875</w:t>
            </w:r>
          </w:p>
        </w:tc>
        <w:tc>
          <w:tcPr>
            <w:tcW w:w="1417" w:type="dxa"/>
            <w:tcBorders>
              <w:top w:val="nil"/>
              <w:bottom w:val="nil"/>
            </w:tcBorders>
            <w:vAlign w:val="center"/>
            <w:hideMark/>
          </w:tcPr>
          <w:p w14:paraId="69D440B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8400</w:t>
            </w:r>
          </w:p>
        </w:tc>
      </w:tr>
      <w:tr w:rsidR="00DF0BA2" w:rsidRPr="00DF0BA2" w14:paraId="4FC6DF7B" w14:textId="77777777" w:rsidTr="00D47A9A">
        <w:trPr>
          <w:trHeight w:val="441"/>
        </w:trPr>
        <w:tc>
          <w:tcPr>
            <w:tcW w:w="14325" w:type="dxa"/>
            <w:gridSpan w:val="10"/>
            <w:vAlign w:val="center"/>
            <w:hideMark/>
          </w:tcPr>
          <w:p w14:paraId="5ADF9E40"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LIGNIN STUDY</w:t>
            </w:r>
          </w:p>
        </w:tc>
      </w:tr>
      <w:tr w:rsidR="00DF0BA2" w:rsidRPr="00DF0BA2" w14:paraId="3E97E9DB" w14:textId="77777777" w:rsidTr="00D47A9A">
        <w:trPr>
          <w:trHeight w:val="261"/>
        </w:trPr>
        <w:tc>
          <w:tcPr>
            <w:tcW w:w="550" w:type="dxa"/>
            <w:vAlign w:val="center"/>
            <w:hideMark/>
          </w:tcPr>
          <w:p w14:paraId="1B78508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17</w:t>
            </w:r>
          </w:p>
        </w:tc>
        <w:tc>
          <w:tcPr>
            <w:tcW w:w="2345" w:type="dxa"/>
            <w:vAlign w:val="center"/>
            <w:hideMark/>
          </w:tcPr>
          <w:p w14:paraId="71B6BCAF" w14:textId="77777777" w:rsidR="00F7194B" w:rsidRPr="00DF0BA2" w:rsidRDefault="00F7194B" w:rsidP="00C44944">
            <w:pPr>
              <w:spacing w:after="0" w:line="192" w:lineRule="auto"/>
              <w:ind w:right="-108"/>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Acid insoluble lignin (%)</w:t>
            </w:r>
          </w:p>
        </w:tc>
        <w:tc>
          <w:tcPr>
            <w:tcW w:w="1183" w:type="dxa"/>
            <w:vAlign w:val="center"/>
            <w:hideMark/>
          </w:tcPr>
          <w:p w14:paraId="0A717DC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42.8</w:t>
            </w:r>
          </w:p>
        </w:tc>
        <w:tc>
          <w:tcPr>
            <w:tcW w:w="1247" w:type="dxa"/>
            <w:vAlign w:val="center"/>
            <w:hideMark/>
          </w:tcPr>
          <w:p w14:paraId="3EF262C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42.74</w:t>
            </w:r>
          </w:p>
        </w:tc>
        <w:tc>
          <w:tcPr>
            <w:tcW w:w="1660" w:type="dxa"/>
            <w:vAlign w:val="center"/>
            <w:hideMark/>
          </w:tcPr>
          <w:p w14:paraId="73C53ED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27.83</w:t>
            </w:r>
          </w:p>
        </w:tc>
        <w:tc>
          <w:tcPr>
            <w:tcW w:w="1740" w:type="dxa"/>
            <w:tcBorders>
              <w:right w:val="single" w:sz="4" w:space="0" w:color="auto"/>
            </w:tcBorders>
            <w:vAlign w:val="center"/>
            <w:hideMark/>
          </w:tcPr>
          <w:p w14:paraId="7107CAC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39.85</w:t>
            </w:r>
          </w:p>
        </w:tc>
        <w:tc>
          <w:tcPr>
            <w:tcW w:w="1183" w:type="dxa"/>
            <w:tcBorders>
              <w:top w:val="nil"/>
              <w:left w:val="single" w:sz="4" w:space="0" w:color="auto"/>
              <w:bottom w:val="nil"/>
            </w:tcBorders>
            <w:vAlign w:val="center"/>
            <w:hideMark/>
          </w:tcPr>
          <w:p w14:paraId="52FB92C1"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42.7</w:t>
            </w:r>
          </w:p>
        </w:tc>
        <w:tc>
          <w:tcPr>
            <w:tcW w:w="1280" w:type="dxa"/>
            <w:tcBorders>
              <w:top w:val="nil"/>
              <w:bottom w:val="nil"/>
            </w:tcBorders>
            <w:noWrap/>
            <w:vAlign w:val="center"/>
            <w:hideMark/>
          </w:tcPr>
          <w:p w14:paraId="1839DB32"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42.21</w:t>
            </w:r>
          </w:p>
        </w:tc>
        <w:tc>
          <w:tcPr>
            <w:tcW w:w="1720" w:type="dxa"/>
            <w:tcBorders>
              <w:top w:val="nil"/>
              <w:bottom w:val="nil"/>
            </w:tcBorders>
            <w:noWrap/>
            <w:vAlign w:val="center"/>
            <w:hideMark/>
          </w:tcPr>
          <w:p w14:paraId="7E9AC1E9"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28.04</w:t>
            </w:r>
          </w:p>
        </w:tc>
        <w:tc>
          <w:tcPr>
            <w:tcW w:w="1417" w:type="dxa"/>
            <w:tcBorders>
              <w:top w:val="nil"/>
              <w:bottom w:val="nil"/>
            </w:tcBorders>
            <w:vAlign w:val="center"/>
            <w:hideMark/>
          </w:tcPr>
          <w:p w14:paraId="120E030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39.21</w:t>
            </w:r>
          </w:p>
        </w:tc>
      </w:tr>
      <w:tr w:rsidR="00DF0BA2" w:rsidRPr="00DF0BA2" w14:paraId="65F2D58E" w14:textId="77777777" w:rsidTr="00D47A9A">
        <w:trPr>
          <w:trHeight w:val="279"/>
        </w:trPr>
        <w:tc>
          <w:tcPr>
            <w:tcW w:w="550" w:type="dxa"/>
            <w:vAlign w:val="center"/>
            <w:hideMark/>
          </w:tcPr>
          <w:p w14:paraId="64F3521E"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18</w:t>
            </w:r>
          </w:p>
        </w:tc>
        <w:tc>
          <w:tcPr>
            <w:tcW w:w="2345" w:type="dxa"/>
            <w:vAlign w:val="center"/>
            <w:hideMark/>
          </w:tcPr>
          <w:p w14:paraId="65A247C0"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 xml:space="preserve">Acid soluble lignin (%) </w:t>
            </w:r>
          </w:p>
        </w:tc>
        <w:tc>
          <w:tcPr>
            <w:tcW w:w="1183" w:type="dxa"/>
            <w:vAlign w:val="center"/>
            <w:hideMark/>
          </w:tcPr>
          <w:p w14:paraId="1DA77E73"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1.33</w:t>
            </w:r>
          </w:p>
        </w:tc>
        <w:tc>
          <w:tcPr>
            <w:tcW w:w="1247" w:type="dxa"/>
            <w:vAlign w:val="center"/>
            <w:hideMark/>
          </w:tcPr>
          <w:p w14:paraId="3DAAB24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1.21</w:t>
            </w:r>
          </w:p>
        </w:tc>
        <w:tc>
          <w:tcPr>
            <w:tcW w:w="1660" w:type="dxa"/>
            <w:vAlign w:val="center"/>
            <w:hideMark/>
          </w:tcPr>
          <w:p w14:paraId="58855575"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0.71</w:t>
            </w:r>
          </w:p>
        </w:tc>
        <w:tc>
          <w:tcPr>
            <w:tcW w:w="1740" w:type="dxa"/>
            <w:tcBorders>
              <w:right w:val="single" w:sz="4" w:space="0" w:color="auto"/>
            </w:tcBorders>
            <w:vAlign w:val="center"/>
            <w:hideMark/>
          </w:tcPr>
          <w:p w14:paraId="0E2C4E49"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0.95</w:t>
            </w:r>
          </w:p>
        </w:tc>
        <w:tc>
          <w:tcPr>
            <w:tcW w:w="1183" w:type="dxa"/>
            <w:tcBorders>
              <w:top w:val="nil"/>
              <w:left w:val="single" w:sz="4" w:space="0" w:color="auto"/>
              <w:bottom w:val="nil"/>
            </w:tcBorders>
            <w:vAlign w:val="center"/>
            <w:hideMark/>
          </w:tcPr>
          <w:p w14:paraId="54C405C2"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0.91</w:t>
            </w:r>
          </w:p>
        </w:tc>
        <w:tc>
          <w:tcPr>
            <w:tcW w:w="1280" w:type="dxa"/>
            <w:tcBorders>
              <w:top w:val="nil"/>
              <w:bottom w:val="nil"/>
            </w:tcBorders>
            <w:noWrap/>
            <w:vAlign w:val="center"/>
            <w:hideMark/>
          </w:tcPr>
          <w:p w14:paraId="7F1DC900"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0.9</w:t>
            </w:r>
          </w:p>
        </w:tc>
        <w:tc>
          <w:tcPr>
            <w:tcW w:w="1720" w:type="dxa"/>
            <w:tcBorders>
              <w:top w:val="nil"/>
              <w:bottom w:val="nil"/>
            </w:tcBorders>
            <w:noWrap/>
            <w:vAlign w:val="center"/>
            <w:hideMark/>
          </w:tcPr>
          <w:p w14:paraId="34B509EC"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0.69</w:t>
            </w:r>
          </w:p>
        </w:tc>
        <w:tc>
          <w:tcPr>
            <w:tcW w:w="1417" w:type="dxa"/>
            <w:tcBorders>
              <w:top w:val="nil"/>
              <w:bottom w:val="nil"/>
            </w:tcBorders>
            <w:vAlign w:val="center"/>
            <w:hideMark/>
          </w:tcPr>
          <w:p w14:paraId="204A859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1.02</w:t>
            </w:r>
          </w:p>
        </w:tc>
      </w:tr>
      <w:tr w:rsidR="00DF0BA2" w:rsidRPr="00DF0BA2" w14:paraId="3286EDBB" w14:textId="77777777" w:rsidTr="00D47A9A">
        <w:trPr>
          <w:trHeight w:val="161"/>
        </w:trPr>
        <w:tc>
          <w:tcPr>
            <w:tcW w:w="550" w:type="dxa"/>
            <w:vAlign w:val="center"/>
            <w:hideMark/>
          </w:tcPr>
          <w:p w14:paraId="2FF7862C"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19</w:t>
            </w:r>
          </w:p>
        </w:tc>
        <w:tc>
          <w:tcPr>
            <w:tcW w:w="2345" w:type="dxa"/>
            <w:vAlign w:val="center"/>
            <w:hideMark/>
          </w:tcPr>
          <w:p w14:paraId="45E31ACE" w14:textId="77777777" w:rsidR="00F7194B" w:rsidRPr="00DF0BA2" w:rsidRDefault="00F7194B" w:rsidP="00C44944">
            <w:pPr>
              <w:spacing w:after="0" w:line="192"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Total lignin (%)</w:t>
            </w:r>
          </w:p>
        </w:tc>
        <w:tc>
          <w:tcPr>
            <w:tcW w:w="1183" w:type="dxa"/>
            <w:vAlign w:val="center"/>
            <w:hideMark/>
          </w:tcPr>
          <w:p w14:paraId="34881BFD" w14:textId="77777777" w:rsidR="00F7194B" w:rsidRPr="00DF0BA2" w:rsidRDefault="00F7194B" w:rsidP="006A4486">
            <w:pPr>
              <w:spacing w:after="0" w:line="192" w:lineRule="auto"/>
              <w:jc w:val="center"/>
              <w:rPr>
                <w:rFonts w:ascii="Times New Roman" w:hAnsi="Times New Roman" w:cs="Times New Roman"/>
                <w:color w:val="000000" w:themeColor="text1"/>
                <w:sz w:val="20"/>
                <w:szCs w:val="24"/>
              </w:rPr>
            </w:pPr>
            <w:r w:rsidRPr="00DF0BA2">
              <w:rPr>
                <w:rFonts w:ascii="Times New Roman" w:hAnsi="Times New Roman" w:cs="Times New Roman"/>
                <w:color w:val="000000" w:themeColor="text1"/>
                <w:sz w:val="20"/>
                <w:szCs w:val="24"/>
              </w:rPr>
              <w:t>44.13</w:t>
            </w:r>
          </w:p>
        </w:tc>
        <w:tc>
          <w:tcPr>
            <w:tcW w:w="1247" w:type="dxa"/>
            <w:vAlign w:val="center"/>
            <w:hideMark/>
          </w:tcPr>
          <w:p w14:paraId="64A699D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43.95</w:t>
            </w:r>
          </w:p>
        </w:tc>
        <w:tc>
          <w:tcPr>
            <w:tcW w:w="1660" w:type="dxa"/>
            <w:vAlign w:val="center"/>
            <w:hideMark/>
          </w:tcPr>
          <w:p w14:paraId="6669B522"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28.54</w:t>
            </w:r>
          </w:p>
        </w:tc>
        <w:tc>
          <w:tcPr>
            <w:tcW w:w="1740" w:type="dxa"/>
            <w:tcBorders>
              <w:right w:val="single" w:sz="4" w:space="0" w:color="auto"/>
            </w:tcBorders>
            <w:vAlign w:val="center"/>
            <w:hideMark/>
          </w:tcPr>
          <w:p w14:paraId="0056D13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40.8</w:t>
            </w:r>
          </w:p>
        </w:tc>
        <w:tc>
          <w:tcPr>
            <w:tcW w:w="1183" w:type="dxa"/>
            <w:tcBorders>
              <w:top w:val="nil"/>
              <w:left w:val="single" w:sz="4" w:space="0" w:color="auto"/>
              <w:bottom w:val="single" w:sz="4" w:space="0" w:color="auto"/>
            </w:tcBorders>
            <w:vAlign w:val="center"/>
            <w:hideMark/>
          </w:tcPr>
          <w:p w14:paraId="1DA5DC9E"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43.61</w:t>
            </w:r>
          </w:p>
        </w:tc>
        <w:tc>
          <w:tcPr>
            <w:tcW w:w="1280" w:type="dxa"/>
            <w:tcBorders>
              <w:top w:val="nil"/>
              <w:bottom w:val="single" w:sz="4" w:space="0" w:color="auto"/>
            </w:tcBorders>
            <w:noWrap/>
            <w:vAlign w:val="center"/>
            <w:hideMark/>
          </w:tcPr>
          <w:p w14:paraId="7F0D4980"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43.11</w:t>
            </w:r>
          </w:p>
        </w:tc>
        <w:tc>
          <w:tcPr>
            <w:tcW w:w="1720" w:type="dxa"/>
            <w:tcBorders>
              <w:top w:val="nil"/>
              <w:bottom w:val="single" w:sz="4" w:space="0" w:color="auto"/>
            </w:tcBorders>
            <w:noWrap/>
            <w:vAlign w:val="center"/>
            <w:hideMark/>
          </w:tcPr>
          <w:p w14:paraId="3BC9B341"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28.73</w:t>
            </w:r>
          </w:p>
        </w:tc>
        <w:tc>
          <w:tcPr>
            <w:tcW w:w="1417" w:type="dxa"/>
            <w:tcBorders>
              <w:top w:val="nil"/>
              <w:bottom w:val="single" w:sz="4" w:space="0" w:color="auto"/>
            </w:tcBorders>
            <w:vAlign w:val="center"/>
            <w:hideMark/>
          </w:tcPr>
          <w:p w14:paraId="43EE92EA" w14:textId="77777777" w:rsidR="00F7194B" w:rsidRPr="00DF0BA2" w:rsidRDefault="00F7194B" w:rsidP="006A4486">
            <w:pPr>
              <w:spacing w:after="0" w:line="192" w:lineRule="auto"/>
              <w:jc w:val="center"/>
              <w:rPr>
                <w:rFonts w:ascii="Times New Roman" w:hAnsi="Times New Roman" w:cs="Times New Roman"/>
                <w:bCs/>
                <w:color w:val="000000" w:themeColor="text1"/>
                <w:sz w:val="20"/>
                <w:szCs w:val="24"/>
              </w:rPr>
            </w:pPr>
            <w:r w:rsidRPr="00DF0BA2">
              <w:rPr>
                <w:rFonts w:ascii="Times New Roman" w:hAnsi="Times New Roman" w:cs="Times New Roman"/>
                <w:bCs/>
                <w:color w:val="000000" w:themeColor="text1"/>
                <w:sz w:val="20"/>
                <w:szCs w:val="24"/>
              </w:rPr>
              <w:t>40.23</w:t>
            </w:r>
          </w:p>
        </w:tc>
      </w:tr>
    </w:tbl>
    <w:p w14:paraId="7D5AE6C9" w14:textId="77777777" w:rsidR="00F7194B" w:rsidRPr="00DF0BA2" w:rsidRDefault="00F7194B" w:rsidP="00C44944">
      <w:pPr>
        <w:jc w:val="both"/>
        <w:rPr>
          <w:rFonts w:ascii="Times New Roman" w:eastAsia="Times New Roman" w:hAnsi="Times New Roman" w:cs="Times New Roman"/>
          <w:b/>
          <w:color w:val="000000" w:themeColor="text1"/>
          <w:sz w:val="24"/>
          <w:szCs w:val="24"/>
        </w:rPr>
        <w:sectPr w:rsidR="00F7194B" w:rsidRPr="00DF0BA2" w:rsidSect="00AF3F5E">
          <w:pgSz w:w="16834" w:h="11909" w:orient="landscape" w:code="9"/>
          <w:pgMar w:top="1440" w:right="1440" w:bottom="1440" w:left="1440" w:header="720" w:footer="720" w:gutter="0"/>
          <w:cols w:space="720"/>
          <w:docGrid w:linePitch="360"/>
        </w:sectPr>
      </w:pPr>
    </w:p>
    <w:p w14:paraId="2354B4A4" w14:textId="77777777" w:rsidR="00F7194B" w:rsidRPr="006A4486" w:rsidRDefault="00F7194B" w:rsidP="006A4486">
      <w:pPr>
        <w:spacing w:after="0" w:line="240" w:lineRule="auto"/>
        <w:jc w:val="both"/>
        <w:rPr>
          <w:rStyle w:val="Strong"/>
          <w:rFonts w:ascii="Times New Roman" w:eastAsia="Times New Roman" w:hAnsi="Times New Roman" w:cs="Times New Roman"/>
          <w:color w:val="000000" w:themeColor="text1"/>
          <w:sz w:val="24"/>
          <w:szCs w:val="24"/>
        </w:rPr>
      </w:pPr>
      <w:r w:rsidRPr="006A4486">
        <w:rPr>
          <w:rStyle w:val="Strong"/>
          <w:rFonts w:ascii="Times New Roman" w:hAnsi="Times New Roman" w:cs="Times New Roman"/>
          <w:color w:val="000000" w:themeColor="text1"/>
          <w:sz w:val="24"/>
          <w:szCs w:val="24"/>
        </w:rPr>
        <w:lastRenderedPageBreak/>
        <w:t xml:space="preserve">Comparative impact of </w:t>
      </w:r>
      <w:proofErr w:type="spellStart"/>
      <w:r w:rsidRPr="006A4486">
        <w:rPr>
          <w:rStyle w:val="Strong"/>
          <w:rFonts w:ascii="Times New Roman" w:hAnsi="Times New Roman" w:cs="Times New Roman"/>
          <w:color w:val="000000" w:themeColor="text1"/>
          <w:sz w:val="24"/>
          <w:szCs w:val="24"/>
        </w:rPr>
        <w:t>coirpith</w:t>
      </w:r>
      <w:proofErr w:type="spellEnd"/>
      <w:r w:rsidRPr="006A4486">
        <w:rPr>
          <w:rStyle w:val="Strong"/>
          <w:rFonts w:ascii="Times New Roman" w:hAnsi="Times New Roman" w:cs="Times New Roman"/>
          <w:color w:val="000000" w:themeColor="text1"/>
          <w:sz w:val="24"/>
          <w:szCs w:val="24"/>
        </w:rPr>
        <w:t xml:space="preserve"> age and gypsum–urea pretreatment on end-product quality: </w:t>
      </w:r>
    </w:p>
    <w:p w14:paraId="03A2C8BB" w14:textId="77777777" w:rsidR="006A4486" w:rsidRDefault="006A4486" w:rsidP="006A4486">
      <w:pPr>
        <w:pStyle w:val="Heading3"/>
        <w:spacing w:before="0" w:beforeAutospacing="0" w:after="0" w:afterAutospacing="0"/>
        <w:jc w:val="both"/>
        <w:rPr>
          <w:color w:val="000000" w:themeColor="text1"/>
          <w:sz w:val="24"/>
          <w:szCs w:val="24"/>
        </w:rPr>
      </w:pPr>
    </w:p>
    <w:p w14:paraId="16FB568C" w14:textId="77777777" w:rsidR="00ED165A" w:rsidRPr="006A4486" w:rsidRDefault="00ED165A" w:rsidP="006A4486">
      <w:pPr>
        <w:pStyle w:val="Heading3"/>
        <w:spacing w:before="0" w:beforeAutospacing="0" w:after="0" w:afterAutospacing="0"/>
        <w:jc w:val="both"/>
        <w:rPr>
          <w:color w:val="000000" w:themeColor="text1"/>
          <w:sz w:val="24"/>
          <w:szCs w:val="24"/>
        </w:rPr>
      </w:pPr>
      <w:r w:rsidRPr="006A4486">
        <w:rPr>
          <w:color w:val="000000" w:themeColor="text1"/>
          <w:sz w:val="24"/>
          <w:szCs w:val="24"/>
        </w:rPr>
        <w:t xml:space="preserve">Effect of </w:t>
      </w:r>
      <w:proofErr w:type="spellStart"/>
      <w:r w:rsidRPr="006A4486">
        <w:rPr>
          <w:color w:val="000000" w:themeColor="text1"/>
          <w:sz w:val="24"/>
          <w:szCs w:val="24"/>
        </w:rPr>
        <w:t>Coirpith</w:t>
      </w:r>
      <w:proofErr w:type="spellEnd"/>
      <w:r w:rsidRPr="006A4486">
        <w:rPr>
          <w:color w:val="000000" w:themeColor="text1"/>
          <w:sz w:val="24"/>
          <w:szCs w:val="24"/>
        </w:rPr>
        <w:t xml:space="preserve"> </w:t>
      </w:r>
      <w:proofErr w:type="gramStart"/>
      <w:r w:rsidRPr="006A4486">
        <w:rPr>
          <w:color w:val="000000" w:themeColor="text1"/>
          <w:sz w:val="24"/>
          <w:szCs w:val="24"/>
        </w:rPr>
        <w:t>Age</w:t>
      </w:r>
      <w:r w:rsidR="00E962C2" w:rsidRPr="006A4486">
        <w:rPr>
          <w:color w:val="000000" w:themeColor="text1"/>
          <w:sz w:val="24"/>
          <w:szCs w:val="24"/>
        </w:rPr>
        <w:t xml:space="preserve"> :</w:t>
      </w:r>
      <w:proofErr w:type="gramEnd"/>
      <w:r w:rsidR="00E962C2" w:rsidRPr="006A4486">
        <w:rPr>
          <w:color w:val="000000" w:themeColor="text1"/>
          <w:sz w:val="24"/>
          <w:szCs w:val="24"/>
        </w:rPr>
        <w:t xml:space="preserve"> </w:t>
      </w:r>
      <w:r w:rsidRPr="006A4486">
        <w:rPr>
          <w:b w:val="0"/>
          <w:color w:val="000000" w:themeColor="text1"/>
          <w:sz w:val="24"/>
          <w:szCs w:val="24"/>
        </w:rPr>
        <w:t xml:space="preserve">Across </w:t>
      </w:r>
      <w:proofErr w:type="spellStart"/>
      <w:r w:rsidRPr="006A4486">
        <w:rPr>
          <w:b w:val="0"/>
          <w:color w:val="000000" w:themeColor="text1"/>
          <w:sz w:val="24"/>
          <w:szCs w:val="24"/>
        </w:rPr>
        <w:t>coirpith</w:t>
      </w:r>
      <w:proofErr w:type="spellEnd"/>
      <w:r w:rsidRPr="006A4486">
        <w:rPr>
          <w:b w:val="0"/>
          <w:color w:val="000000" w:themeColor="text1"/>
          <w:sz w:val="24"/>
          <w:szCs w:val="24"/>
        </w:rPr>
        <w:t xml:space="preserve"> ages (fresh, 2 months, 4 months), </w:t>
      </w:r>
      <w:proofErr w:type="spellStart"/>
      <w:r w:rsidRPr="006A4486">
        <w:rPr>
          <w:b w:val="0"/>
          <w:color w:val="000000" w:themeColor="text1"/>
          <w:sz w:val="24"/>
          <w:szCs w:val="24"/>
        </w:rPr>
        <w:t>Novcom</w:t>
      </w:r>
      <w:proofErr w:type="spellEnd"/>
      <w:r w:rsidRPr="006A4486">
        <w:rPr>
          <w:b w:val="0"/>
          <w:color w:val="000000" w:themeColor="text1"/>
          <w:sz w:val="24"/>
          <w:szCs w:val="24"/>
        </w:rPr>
        <w:t xml:space="preserve"> technology delivered consistent results, largely independent of raw material pre-aging. In all age classes, </w:t>
      </w:r>
      <w:proofErr w:type="spellStart"/>
      <w:r w:rsidRPr="006A4486">
        <w:rPr>
          <w:b w:val="0"/>
          <w:color w:val="000000" w:themeColor="text1"/>
          <w:sz w:val="24"/>
          <w:szCs w:val="24"/>
        </w:rPr>
        <w:t>Novcom</w:t>
      </w:r>
      <w:proofErr w:type="spellEnd"/>
      <w:r w:rsidRPr="006A4486">
        <w:rPr>
          <w:b w:val="0"/>
          <w:color w:val="000000" w:themeColor="text1"/>
          <w:sz w:val="24"/>
          <w:szCs w:val="24"/>
        </w:rPr>
        <w:t xml:space="preserve"> products showed lower organic carbon and lignin, higher ash, and reduced C:N ratios compared with 12-month conventional composts, indicating faster mineralization and lignocellulose depolymerization. At 4 months (Table 3), C:N fell to ~39.9 (untreated) and ~15.5 (gypsum–urea </w:t>
      </w:r>
      <w:proofErr w:type="spellStart"/>
      <w:r w:rsidRPr="006A4486">
        <w:rPr>
          <w:b w:val="0"/>
          <w:color w:val="000000" w:themeColor="text1"/>
          <w:sz w:val="24"/>
          <w:szCs w:val="24"/>
        </w:rPr>
        <w:t>Novcom</w:t>
      </w:r>
      <w:proofErr w:type="spellEnd"/>
      <w:r w:rsidRPr="006A4486">
        <w:rPr>
          <w:b w:val="0"/>
          <w:color w:val="000000" w:themeColor="text1"/>
          <w:sz w:val="24"/>
          <w:szCs w:val="24"/>
        </w:rPr>
        <w:t>) versus ~66.5 and ~26.7 under conventional composting; Na</w:t>
      </w:r>
      <w:r w:rsidRPr="006A4486">
        <w:rPr>
          <w:rFonts w:ascii="Cambria Math" w:hAnsi="Cambria Math" w:cs="Cambria Math"/>
          <w:b w:val="0"/>
          <w:color w:val="000000" w:themeColor="text1"/>
          <w:sz w:val="24"/>
          <w:szCs w:val="24"/>
        </w:rPr>
        <w:t>⁺</w:t>
      </w:r>
      <w:r w:rsidRPr="006A4486">
        <w:rPr>
          <w:b w:val="0"/>
          <w:color w:val="000000" w:themeColor="text1"/>
          <w:sz w:val="24"/>
          <w:szCs w:val="24"/>
        </w:rPr>
        <w:t xml:space="preserve"> declined from 3,050 to 1,920 ppm; EC dropped from 3.09 to 2.47 </w:t>
      </w:r>
      <w:proofErr w:type="spellStart"/>
      <w:r w:rsidRPr="006A4486">
        <w:rPr>
          <w:b w:val="0"/>
          <w:color w:val="000000" w:themeColor="text1"/>
          <w:sz w:val="24"/>
          <w:szCs w:val="24"/>
        </w:rPr>
        <w:t>dS</w:t>
      </w:r>
      <w:proofErr w:type="spellEnd"/>
      <w:r w:rsidRPr="006A4486">
        <w:rPr>
          <w:b w:val="0"/>
          <w:color w:val="000000" w:themeColor="text1"/>
          <w:sz w:val="24"/>
          <w:szCs w:val="24"/>
        </w:rPr>
        <w:t xml:space="preserve"> m</w:t>
      </w:r>
      <w:r w:rsidRPr="006A4486">
        <w:rPr>
          <w:rFonts w:ascii="Cambria Math" w:hAnsi="Cambria Math" w:cs="Cambria Math"/>
          <w:b w:val="0"/>
          <w:color w:val="000000" w:themeColor="text1"/>
          <w:sz w:val="24"/>
          <w:szCs w:val="24"/>
        </w:rPr>
        <w:t>⁻</w:t>
      </w:r>
      <w:r w:rsidRPr="006A4486">
        <w:rPr>
          <w:b w:val="0"/>
          <w:color w:val="000000" w:themeColor="text1"/>
          <w:sz w:val="24"/>
          <w:szCs w:val="24"/>
        </w:rPr>
        <w:t xml:space="preserve">¹. These chemical improvements were reflected in biology: germination indices exceeded the non-phytotoxic threshold (GI ≈1.03), and seedling emergence, root elongation, and biomass were consistently higher in </w:t>
      </w:r>
      <w:proofErr w:type="spellStart"/>
      <w:r w:rsidRPr="006A4486">
        <w:rPr>
          <w:b w:val="0"/>
          <w:color w:val="000000" w:themeColor="text1"/>
          <w:sz w:val="24"/>
          <w:szCs w:val="24"/>
        </w:rPr>
        <w:t>Novcom</w:t>
      </w:r>
      <w:proofErr w:type="spellEnd"/>
      <w:r w:rsidRPr="006A4486">
        <w:rPr>
          <w:b w:val="0"/>
          <w:color w:val="000000" w:themeColor="text1"/>
          <w:sz w:val="24"/>
          <w:szCs w:val="24"/>
        </w:rPr>
        <w:t xml:space="preserve"> products.</w:t>
      </w:r>
    </w:p>
    <w:p w14:paraId="4333FD92" w14:textId="77777777" w:rsidR="006A4486" w:rsidRDefault="006A4486" w:rsidP="006A4486">
      <w:pPr>
        <w:pStyle w:val="NormalWeb"/>
        <w:spacing w:before="0" w:beforeAutospacing="0" w:after="0" w:afterAutospacing="0"/>
        <w:jc w:val="both"/>
        <w:rPr>
          <w:color w:val="000000" w:themeColor="text1"/>
        </w:rPr>
      </w:pPr>
    </w:p>
    <w:p w14:paraId="3C93932B"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 xml:space="preserve">This resilience stems from engineered coupling of bio-oxidative kinetics and matrix chemistry. </w:t>
      </w:r>
      <w:proofErr w:type="spellStart"/>
      <w:r w:rsidRPr="006A4486">
        <w:rPr>
          <w:color w:val="000000" w:themeColor="text1"/>
        </w:rPr>
        <w:t>Novcom</w:t>
      </w:r>
      <w:proofErr w:type="spellEnd"/>
      <w:r w:rsidRPr="006A4486">
        <w:rPr>
          <w:color w:val="000000" w:themeColor="text1"/>
        </w:rPr>
        <w:t xml:space="preserve"> maintains aerated, moist conditions that foster a rapid thermophilic–mesophilic succession of ligninolytic fungi and cellulolytic bacteria, overcoming lignin-related bottlenecks (Tuomela et al., 2000). This accelerates aromatic cleavage and cellulose–hemicellulose deconstruction, producing lignin declines within 40 days, while conventional windrows often stall. Concurrent humification enhances cation-exchange capacity (CEC) through organo-mineral associations, explaining sustained Na</w:t>
      </w:r>
      <w:r w:rsidRPr="006A4486">
        <w:rPr>
          <w:rFonts w:ascii="Cambria Math" w:hAnsi="Cambria Math" w:cs="Cambria Math"/>
          <w:color w:val="000000" w:themeColor="text1"/>
        </w:rPr>
        <w:t>⁺</w:t>
      </w:r>
      <w:r w:rsidRPr="006A4486">
        <w:rPr>
          <w:color w:val="000000" w:themeColor="text1"/>
        </w:rPr>
        <w:t xml:space="preserve"> and EC reductions. Moisture–air management also enables leach–flush cycles, removing salts and preventing anaerobic metabolite buildup.</w:t>
      </w:r>
    </w:p>
    <w:p w14:paraId="0481BD41" w14:textId="77777777" w:rsidR="006A4486" w:rsidRDefault="006A4486" w:rsidP="006A4486">
      <w:pPr>
        <w:pStyle w:val="Heading3"/>
        <w:spacing w:before="0" w:beforeAutospacing="0" w:after="0" w:afterAutospacing="0"/>
        <w:jc w:val="both"/>
        <w:rPr>
          <w:color w:val="000000" w:themeColor="text1"/>
          <w:sz w:val="24"/>
          <w:szCs w:val="24"/>
        </w:rPr>
      </w:pPr>
    </w:p>
    <w:p w14:paraId="004617EC" w14:textId="77777777" w:rsidR="00ED165A" w:rsidRPr="006A4486" w:rsidRDefault="00ED165A" w:rsidP="006A4486">
      <w:pPr>
        <w:pStyle w:val="Heading3"/>
        <w:spacing w:before="0" w:beforeAutospacing="0" w:after="0" w:afterAutospacing="0"/>
        <w:jc w:val="both"/>
        <w:rPr>
          <w:color w:val="000000" w:themeColor="text1"/>
          <w:sz w:val="24"/>
          <w:szCs w:val="24"/>
        </w:rPr>
      </w:pPr>
      <w:r w:rsidRPr="006A4486">
        <w:rPr>
          <w:color w:val="000000" w:themeColor="text1"/>
          <w:sz w:val="24"/>
          <w:szCs w:val="24"/>
        </w:rPr>
        <w:t>Impact of Gypsum–Urea Pretreatment</w:t>
      </w:r>
    </w:p>
    <w:p w14:paraId="1C1059C8"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 xml:space="preserve">Gypsum–urea pretreatment synergizes with </w:t>
      </w:r>
      <w:proofErr w:type="spellStart"/>
      <w:r w:rsidRPr="006A4486">
        <w:rPr>
          <w:color w:val="000000" w:themeColor="text1"/>
        </w:rPr>
        <w:t>Novcom</w:t>
      </w:r>
      <w:proofErr w:type="spellEnd"/>
      <w:r w:rsidRPr="006A4486">
        <w:rPr>
          <w:color w:val="000000" w:themeColor="text1"/>
        </w:rPr>
        <w:t>, improving both chemistry and biology. Calcium from gypsum displaces Na</w:t>
      </w:r>
      <w:r w:rsidRPr="006A4486">
        <w:rPr>
          <w:rFonts w:ascii="Cambria Math" w:hAnsi="Cambria Math" w:cs="Cambria Math"/>
          <w:color w:val="000000" w:themeColor="text1"/>
        </w:rPr>
        <w:t>⁺</w:t>
      </w:r>
      <w:r w:rsidRPr="006A4486">
        <w:rPr>
          <w:color w:val="000000" w:themeColor="text1"/>
        </w:rPr>
        <w:t xml:space="preserve"> from exchange sites, enhancing leaching and improving Ca²</w:t>
      </w:r>
      <w:r w:rsidRPr="006A4486">
        <w:rPr>
          <w:rFonts w:ascii="Cambria Math" w:hAnsi="Cambria Math" w:cs="Cambria Math"/>
          <w:color w:val="000000" w:themeColor="text1"/>
        </w:rPr>
        <w:t>⁺</w:t>
      </w:r>
      <w:r w:rsidRPr="006A4486">
        <w:rPr>
          <w:color w:val="000000" w:themeColor="text1"/>
        </w:rPr>
        <w:t>:Na</w:t>
      </w:r>
      <w:r w:rsidRPr="006A4486">
        <w:rPr>
          <w:rFonts w:ascii="Cambria Math" w:hAnsi="Cambria Math" w:cs="Cambria Math"/>
          <w:color w:val="000000" w:themeColor="text1"/>
        </w:rPr>
        <w:t>⁺</w:t>
      </w:r>
      <w:r w:rsidRPr="006A4486">
        <w:rPr>
          <w:color w:val="000000" w:themeColor="text1"/>
        </w:rPr>
        <w:t xml:space="preserve"> balance, thereby lowering EC and improving structural stability (Qadir et al., 2007). This flocculation improves aeration and water retention, producing stable aggregates. Urea supplies readily available N, quickly assimilated under </w:t>
      </w:r>
      <w:proofErr w:type="spellStart"/>
      <w:r w:rsidRPr="006A4486">
        <w:rPr>
          <w:color w:val="000000" w:themeColor="text1"/>
        </w:rPr>
        <w:t>Novcom’s</w:t>
      </w:r>
      <w:proofErr w:type="spellEnd"/>
      <w:r w:rsidRPr="006A4486">
        <w:rPr>
          <w:color w:val="000000" w:themeColor="text1"/>
        </w:rPr>
        <w:t xml:space="preserve"> oxygen-rich regime, stimulating microbial growth and enzyme synthesis for rapid lignin–cellulose breakdown. Together, N enrichment and Ca-mediated flocculation accelerate decomposition and </w:t>
      </w:r>
      <w:proofErr w:type="gramStart"/>
      <w:r w:rsidRPr="006A4486">
        <w:rPr>
          <w:color w:val="000000" w:themeColor="text1"/>
        </w:rPr>
        <w:t>C:N</w:t>
      </w:r>
      <w:proofErr w:type="gramEnd"/>
      <w:r w:rsidRPr="006A4486">
        <w:rPr>
          <w:color w:val="000000" w:themeColor="text1"/>
        </w:rPr>
        <w:t xml:space="preserve"> reduction even in lignin-rich </w:t>
      </w:r>
      <w:proofErr w:type="spellStart"/>
      <w:r w:rsidRPr="006A4486">
        <w:rPr>
          <w:color w:val="000000" w:themeColor="text1"/>
        </w:rPr>
        <w:t>coirpith</w:t>
      </w:r>
      <w:proofErr w:type="spellEnd"/>
      <w:r w:rsidRPr="006A4486">
        <w:rPr>
          <w:color w:val="000000" w:themeColor="text1"/>
        </w:rPr>
        <w:t>.</w:t>
      </w:r>
      <w:r w:rsidR="006A4486">
        <w:rPr>
          <w:color w:val="000000" w:themeColor="text1"/>
        </w:rPr>
        <w:t xml:space="preserve"> </w:t>
      </w:r>
      <w:r w:rsidRPr="006A4486">
        <w:rPr>
          <w:color w:val="000000" w:themeColor="text1"/>
        </w:rPr>
        <w:t xml:space="preserve">Although gypsum–urea may transiently increase ionic strength, </w:t>
      </w:r>
      <w:proofErr w:type="spellStart"/>
      <w:r w:rsidRPr="006A4486">
        <w:rPr>
          <w:color w:val="000000" w:themeColor="text1"/>
        </w:rPr>
        <w:t>Novcom’s</w:t>
      </w:r>
      <w:proofErr w:type="spellEnd"/>
      <w:r w:rsidRPr="006A4486">
        <w:rPr>
          <w:color w:val="000000" w:themeColor="text1"/>
        </w:rPr>
        <w:t xml:space="preserve"> leach–flush dynamics and humic fraction expansion convert soluble ions into stable organo-mineral complexes. Within 40 days, these amendments contribute to long-term stability and nutrient buffering.</w:t>
      </w:r>
    </w:p>
    <w:p w14:paraId="3A51051B" w14:textId="77777777" w:rsidR="006A4486" w:rsidRDefault="006A4486" w:rsidP="006A4486">
      <w:pPr>
        <w:pStyle w:val="NormalWeb"/>
        <w:spacing w:before="0" w:beforeAutospacing="0" w:after="0" w:afterAutospacing="0"/>
        <w:jc w:val="both"/>
        <w:rPr>
          <w:color w:val="000000" w:themeColor="text1"/>
        </w:rPr>
      </w:pPr>
    </w:p>
    <w:p w14:paraId="513DAE8E"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 xml:space="preserve">The combined effect narrows differences between fresh and pre-aged </w:t>
      </w:r>
      <w:proofErr w:type="spellStart"/>
      <w:r w:rsidRPr="006A4486">
        <w:rPr>
          <w:color w:val="000000" w:themeColor="text1"/>
        </w:rPr>
        <w:t>coirpith</w:t>
      </w:r>
      <w:proofErr w:type="spellEnd"/>
      <w:r w:rsidRPr="006A4486">
        <w:rPr>
          <w:color w:val="000000" w:themeColor="text1"/>
        </w:rPr>
        <w:t xml:space="preserve">. While conventional composting depends on pre-aging to reduce salts and initiate lignin breakdown, </w:t>
      </w:r>
      <w:proofErr w:type="spellStart"/>
      <w:r w:rsidRPr="006A4486">
        <w:rPr>
          <w:color w:val="000000" w:themeColor="text1"/>
        </w:rPr>
        <w:t>Novcom’s</w:t>
      </w:r>
      <w:proofErr w:type="spellEnd"/>
      <w:r w:rsidRPr="006A4486">
        <w:rPr>
          <w:color w:val="000000" w:themeColor="text1"/>
        </w:rPr>
        <w:t xml:space="preserve"> intensified transformation largely eliminates this dependency, producing chemically stable, low-salt, plant-safe media from </w:t>
      </w:r>
      <w:proofErr w:type="spellStart"/>
      <w:r w:rsidRPr="006A4486">
        <w:rPr>
          <w:color w:val="000000" w:themeColor="text1"/>
        </w:rPr>
        <w:t>coirpith</w:t>
      </w:r>
      <w:proofErr w:type="spellEnd"/>
      <w:r w:rsidRPr="006A4486">
        <w:rPr>
          <w:color w:val="000000" w:themeColor="text1"/>
        </w:rPr>
        <w:t xml:space="preserve"> aged 0–4 months. This flexibility has clear operational implications: nurseries can process heterogeneous feedstocks without long staging, standardize media quality, and shorten turnaround times. The convergence of low EC, balanced </w:t>
      </w:r>
      <w:proofErr w:type="gramStart"/>
      <w:r w:rsidRPr="006A4486">
        <w:rPr>
          <w:color w:val="000000" w:themeColor="text1"/>
        </w:rPr>
        <w:t>C:N</w:t>
      </w:r>
      <w:proofErr w:type="gramEnd"/>
      <w:r w:rsidRPr="006A4486">
        <w:rPr>
          <w:color w:val="000000" w:themeColor="text1"/>
        </w:rPr>
        <w:t>, and partial lignin depolymerization aligns with accepted maturity benchmarks (Zucconi et al., 1981), explaining consistent improvements in germination, emergence, and biomass.</w:t>
      </w:r>
    </w:p>
    <w:p w14:paraId="465E5DF2" w14:textId="77777777" w:rsidR="006A4486" w:rsidRDefault="006A4486" w:rsidP="006A4486">
      <w:pPr>
        <w:pStyle w:val="Heading3"/>
        <w:spacing w:before="0" w:beforeAutospacing="0" w:after="0" w:afterAutospacing="0"/>
        <w:jc w:val="both"/>
        <w:rPr>
          <w:color w:val="000000" w:themeColor="text1"/>
          <w:sz w:val="24"/>
          <w:szCs w:val="24"/>
        </w:rPr>
      </w:pPr>
    </w:p>
    <w:p w14:paraId="2D46D705" w14:textId="77777777" w:rsidR="00ED165A" w:rsidRPr="006A4486" w:rsidRDefault="00ED165A" w:rsidP="006A4486">
      <w:pPr>
        <w:pStyle w:val="Heading3"/>
        <w:spacing w:before="0" w:beforeAutospacing="0" w:after="0" w:afterAutospacing="0"/>
        <w:jc w:val="both"/>
        <w:rPr>
          <w:color w:val="000000" w:themeColor="text1"/>
          <w:sz w:val="24"/>
          <w:szCs w:val="24"/>
        </w:rPr>
      </w:pPr>
      <w:r w:rsidRPr="006A4486">
        <w:rPr>
          <w:color w:val="000000" w:themeColor="text1"/>
          <w:sz w:val="24"/>
          <w:szCs w:val="24"/>
        </w:rPr>
        <w:t>Organic Carbon Dynamics</w:t>
      </w:r>
    </w:p>
    <w:p w14:paraId="11B3A6F2"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 xml:space="preserve">OC trends illustrate decomposition rates under different systems (Fig. 1). Controls retained very high OC (~49.9%), showing negligible mineralization. Conventional 12-month </w:t>
      </w:r>
      <w:r w:rsidRPr="006A4486">
        <w:rPr>
          <w:color w:val="000000" w:themeColor="text1"/>
        </w:rPr>
        <w:lastRenderedPageBreak/>
        <w:t xml:space="preserve">composts reduced OC only to ~40.5%, an ~18.9% decrease, reflecting passive degradation under variable field conditions. By contrast, </w:t>
      </w:r>
      <w:proofErr w:type="spellStart"/>
      <w:r w:rsidRPr="006A4486">
        <w:rPr>
          <w:color w:val="000000" w:themeColor="text1"/>
        </w:rPr>
        <w:t>Novcom</w:t>
      </w:r>
      <w:proofErr w:type="spellEnd"/>
      <w:r w:rsidRPr="006A4486">
        <w:rPr>
          <w:color w:val="000000" w:themeColor="text1"/>
        </w:rPr>
        <w:t xml:space="preserve"> achieved far greater OC loss in just 40 days: fresh feedstock ≈30.3%, 2-month ≈29.6%, and 4-month ≈27.6%—representing 39–46% further reduction compared with conventional. This rapid decline reflects intensive microbial mineralization of labile fractions under controlled aeration and moisture, along with selective lignin transformation. Agronomically, reduced OC lowers </w:t>
      </w:r>
      <w:proofErr w:type="gramStart"/>
      <w:r w:rsidRPr="006A4486">
        <w:rPr>
          <w:color w:val="000000" w:themeColor="text1"/>
        </w:rPr>
        <w:t>C:N</w:t>
      </w:r>
      <w:proofErr w:type="gramEnd"/>
      <w:r w:rsidRPr="006A4486">
        <w:rPr>
          <w:color w:val="000000" w:themeColor="text1"/>
        </w:rPr>
        <w:t>, reduces microbial immobilization, improves wettability and porosity, and produces mature, seedling-ready media in weeks.</w:t>
      </w:r>
    </w:p>
    <w:p w14:paraId="34185A5F" w14:textId="77777777" w:rsidR="006A4486" w:rsidRDefault="006A4486" w:rsidP="006A4486">
      <w:pPr>
        <w:pStyle w:val="Heading3"/>
        <w:spacing w:before="0" w:beforeAutospacing="0" w:after="0" w:afterAutospacing="0"/>
        <w:jc w:val="both"/>
        <w:rPr>
          <w:color w:val="000000" w:themeColor="text1"/>
          <w:sz w:val="24"/>
          <w:szCs w:val="24"/>
        </w:rPr>
      </w:pPr>
    </w:p>
    <w:p w14:paraId="254FBACA" w14:textId="77777777" w:rsidR="00ED165A" w:rsidRPr="006A4486" w:rsidRDefault="00ED165A" w:rsidP="006A4486">
      <w:pPr>
        <w:pStyle w:val="Heading3"/>
        <w:spacing w:before="0" w:beforeAutospacing="0" w:after="0" w:afterAutospacing="0"/>
        <w:jc w:val="both"/>
        <w:rPr>
          <w:color w:val="000000" w:themeColor="text1"/>
          <w:sz w:val="24"/>
          <w:szCs w:val="24"/>
        </w:rPr>
      </w:pPr>
      <w:r w:rsidRPr="006A4486">
        <w:rPr>
          <w:color w:val="000000" w:themeColor="text1"/>
          <w:sz w:val="24"/>
          <w:szCs w:val="24"/>
        </w:rPr>
        <w:t>Lignin Transformation</w:t>
      </w:r>
    </w:p>
    <w:p w14:paraId="7EBDADC6"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 xml:space="preserve">Lignin content reflects compost maturity and stability. Conventional 12-month compost contained ~40.8% total lignin, whereas </w:t>
      </w:r>
      <w:proofErr w:type="spellStart"/>
      <w:r w:rsidRPr="006A4486">
        <w:rPr>
          <w:color w:val="000000" w:themeColor="text1"/>
        </w:rPr>
        <w:t>Novcom</w:t>
      </w:r>
      <w:proofErr w:type="spellEnd"/>
      <w:r w:rsidRPr="006A4486">
        <w:rPr>
          <w:color w:val="000000" w:themeColor="text1"/>
        </w:rPr>
        <w:t xml:space="preserve"> reduced this to ~31.6% (fresh), ~29.4% (2-month), and ~28.5% (4-month) (Fig. 2)—a 22–30% reduction in one-sixth the time. Acid-insoluble lignin followed the same trend, dropping from ~39.8% to ~27.8–30.8%. Acid-soluble lignin remained low, indicating selective depolymerization rather than full mineralization. This selective transformation improves wettability, porosity, and root penetration while maintaining structural integrity. The effect is process-driven, though gypsum–urea contributes to N balance and pH stabilization.</w:t>
      </w:r>
    </w:p>
    <w:p w14:paraId="4DC06F54" w14:textId="77777777" w:rsidR="006A4486" w:rsidRDefault="006A4486" w:rsidP="006A4486">
      <w:pPr>
        <w:pStyle w:val="Heading3"/>
        <w:spacing w:before="0" w:beforeAutospacing="0" w:after="0" w:afterAutospacing="0"/>
        <w:jc w:val="both"/>
        <w:rPr>
          <w:color w:val="000000" w:themeColor="text1"/>
          <w:sz w:val="24"/>
          <w:szCs w:val="24"/>
        </w:rPr>
      </w:pPr>
    </w:p>
    <w:p w14:paraId="6A7BC0A8" w14:textId="77777777" w:rsidR="00ED165A" w:rsidRPr="006A4486" w:rsidRDefault="00ED165A" w:rsidP="006A4486">
      <w:pPr>
        <w:pStyle w:val="Heading3"/>
        <w:spacing w:before="0" w:beforeAutospacing="0" w:after="0" w:afterAutospacing="0"/>
        <w:jc w:val="both"/>
        <w:rPr>
          <w:color w:val="000000" w:themeColor="text1"/>
          <w:sz w:val="24"/>
          <w:szCs w:val="24"/>
        </w:rPr>
      </w:pPr>
      <w:r w:rsidRPr="006A4486">
        <w:rPr>
          <w:color w:val="000000" w:themeColor="text1"/>
          <w:sz w:val="24"/>
          <w:szCs w:val="24"/>
        </w:rPr>
        <w:t>Sodium Reduction and Salinity Control</w:t>
      </w:r>
    </w:p>
    <w:p w14:paraId="289AD063"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Excess soluble Na</w:t>
      </w:r>
      <w:r w:rsidRPr="006A4486">
        <w:rPr>
          <w:rFonts w:ascii="Cambria Math" w:hAnsi="Cambria Math" w:cs="Cambria Math"/>
          <w:color w:val="000000" w:themeColor="text1"/>
        </w:rPr>
        <w:t>⁺</w:t>
      </w:r>
      <w:r w:rsidRPr="006A4486">
        <w:rPr>
          <w:color w:val="000000" w:themeColor="text1"/>
        </w:rPr>
        <w:t xml:space="preserve"> inhibits germination by increasing osmotic stress. Controls showed very high Na</w:t>
      </w:r>
      <w:r w:rsidRPr="006A4486">
        <w:rPr>
          <w:rFonts w:ascii="Cambria Math" w:hAnsi="Cambria Math" w:cs="Cambria Math"/>
          <w:color w:val="000000" w:themeColor="text1"/>
        </w:rPr>
        <w:t>⁺</w:t>
      </w:r>
      <w:r w:rsidRPr="006A4486">
        <w:rPr>
          <w:color w:val="000000" w:themeColor="text1"/>
        </w:rPr>
        <w:t xml:space="preserve"> (~6,300–6,400 ppm), typical of raw </w:t>
      </w:r>
      <w:proofErr w:type="spellStart"/>
      <w:r w:rsidRPr="006A4486">
        <w:rPr>
          <w:color w:val="000000" w:themeColor="text1"/>
        </w:rPr>
        <w:t>coirpith</w:t>
      </w:r>
      <w:proofErr w:type="spellEnd"/>
      <w:r w:rsidRPr="006A4486">
        <w:rPr>
          <w:color w:val="000000" w:themeColor="text1"/>
        </w:rPr>
        <w:t xml:space="preserve">. Conventional composting reduced this moderately to ~2,737–3,050 ppm, still unsafe for sensitive seedlings (Fig. 3). </w:t>
      </w:r>
      <w:proofErr w:type="spellStart"/>
      <w:r w:rsidRPr="006A4486">
        <w:rPr>
          <w:color w:val="000000" w:themeColor="text1"/>
        </w:rPr>
        <w:t>Novcom</w:t>
      </w:r>
      <w:proofErr w:type="spellEnd"/>
      <w:r w:rsidRPr="006A4486">
        <w:rPr>
          <w:color w:val="000000" w:themeColor="text1"/>
        </w:rPr>
        <w:t>, however, reduced Na</w:t>
      </w:r>
      <w:r w:rsidRPr="006A4486">
        <w:rPr>
          <w:rFonts w:ascii="Cambria Math" w:hAnsi="Cambria Math" w:cs="Cambria Math"/>
          <w:color w:val="000000" w:themeColor="text1"/>
        </w:rPr>
        <w:t>⁺</w:t>
      </w:r>
      <w:r w:rsidRPr="006A4486">
        <w:rPr>
          <w:color w:val="000000" w:themeColor="text1"/>
        </w:rPr>
        <w:t xml:space="preserve"> substantially: fresh ≈1,720–1,910 ppm, 2-month ≈1,344–1,820 ppm, and 4-month similar values, amounting to 35–60% lower than conventional products. These reductions reflect controlled leach–flush cycles and increased sorption capacity through humification. In amended batches, gypsum-derived Ca²</w:t>
      </w:r>
      <w:r w:rsidRPr="006A4486">
        <w:rPr>
          <w:rFonts w:ascii="Cambria Math" w:hAnsi="Cambria Math" w:cs="Cambria Math"/>
          <w:color w:val="000000" w:themeColor="text1"/>
        </w:rPr>
        <w:t>⁺</w:t>
      </w:r>
      <w:r w:rsidRPr="006A4486">
        <w:rPr>
          <w:color w:val="000000" w:themeColor="text1"/>
        </w:rPr>
        <w:t xml:space="preserve"> further displaced Na</w:t>
      </w:r>
      <w:r w:rsidRPr="006A4486">
        <w:rPr>
          <w:rFonts w:ascii="Cambria Math" w:hAnsi="Cambria Math" w:cs="Cambria Math"/>
          <w:color w:val="000000" w:themeColor="text1"/>
        </w:rPr>
        <w:t>⁺</w:t>
      </w:r>
      <w:r w:rsidRPr="006A4486">
        <w:rPr>
          <w:color w:val="000000" w:themeColor="text1"/>
        </w:rPr>
        <w:t>. Lower Na</w:t>
      </w:r>
      <w:r w:rsidRPr="006A4486">
        <w:rPr>
          <w:rFonts w:ascii="Cambria Math" w:hAnsi="Cambria Math" w:cs="Cambria Math"/>
          <w:color w:val="000000" w:themeColor="text1"/>
        </w:rPr>
        <w:t>⁺</w:t>
      </w:r>
      <w:r w:rsidRPr="006A4486">
        <w:rPr>
          <w:color w:val="000000" w:themeColor="text1"/>
        </w:rPr>
        <w:t xml:space="preserve"> directly corresponded with reduced EC and higher seedling suitability, as reflected in bioassay results.</w:t>
      </w:r>
    </w:p>
    <w:p w14:paraId="56393A42" w14:textId="77777777" w:rsidR="006A4486" w:rsidRDefault="006A4486" w:rsidP="006A4486">
      <w:pPr>
        <w:pStyle w:val="Heading3"/>
        <w:spacing w:before="0" w:beforeAutospacing="0" w:after="0" w:afterAutospacing="0"/>
        <w:jc w:val="both"/>
        <w:rPr>
          <w:color w:val="000000" w:themeColor="text1"/>
          <w:sz w:val="24"/>
          <w:szCs w:val="24"/>
        </w:rPr>
      </w:pPr>
    </w:p>
    <w:p w14:paraId="6C7CDD13" w14:textId="77777777" w:rsidR="00ED165A" w:rsidRPr="006A4486" w:rsidRDefault="00ED165A" w:rsidP="006A4486">
      <w:pPr>
        <w:pStyle w:val="Heading3"/>
        <w:spacing w:before="0" w:beforeAutospacing="0" w:after="0" w:afterAutospacing="0"/>
        <w:jc w:val="both"/>
        <w:rPr>
          <w:color w:val="000000" w:themeColor="text1"/>
          <w:sz w:val="24"/>
          <w:szCs w:val="24"/>
        </w:rPr>
      </w:pPr>
      <w:r w:rsidRPr="006A4486">
        <w:rPr>
          <w:color w:val="000000" w:themeColor="text1"/>
          <w:sz w:val="24"/>
          <w:szCs w:val="24"/>
        </w:rPr>
        <w:t>Phytotoxicity</w:t>
      </w:r>
    </w:p>
    <w:p w14:paraId="0D3A1FB6" w14:textId="77777777" w:rsidR="00ED165A" w:rsidRPr="006A4486" w:rsidRDefault="00ED165A" w:rsidP="006A4486">
      <w:pPr>
        <w:pStyle w:val="NormalWeb"/>
        <w:spacing w:before="0" w:beforeAutospacing="0" w:after="0" w:afterAutospacing="0"/>
        <w:jc w:val="both"/>
        <w:rPr>
          <w:color w:val="000000" w:themeColor="text1"/>
        </w:rPr>
      </w:pPr>
      <w:r w:rsidRPr="006A4486">
        <w:rPr>
          <w:color w:val="000000" w:themeColor="text1"/>
        </w:rPr>
        <w:t xml:space="preserve">Bioassays confirmed chemical improvements. Germination index (GI) values were extremely low for controls (~21–23%), indicating severe phytotoxicity from salts, </w:t>
      </w:r>
      <w:proofErr w:type="gramStart"/>
      <w:r w:rsidRPr="006A4486">
        <w:rPr>
          <w:color w:val="000000" w:themeColor="text1"/>
        </w:rPr>
        <w:t>C:N</w:t>
      </w:r>
      <w:proofErr w:type="gramEnd"/>
      <w:r w:rsidRPr="006A4486">
        <w:rPr>
          <w:color w:val="000000" w:themeColor="text1"/>
        </w:rPr>
        <w:t xml:space="preserve"> imbalance, and phenolics. Conventional products improved GI only to ~58–61%, below the ≥80% maturity threshold (Zucconi et al., 1981). </w:t>
      </w:r>
      <w:proofErr w:type="spellStart"/>
      <w:r w:rsidRPr="006A4486">
        <w:rPr>
          <w:color w:val="000000" w:themeColor="text1"/>
        </w:rPr>
        <w:t>Novcom</w:t>
      </w:r>
      <w:proofErr w:type="spellEnd"/>
      <w:r w:rsidRPr="006A4486">
        <w:rPr>
          <w:color w:val="000000" w:themeColor="text1"/>
        </w:rPr>
        <w:t xml:space="preserve"> products consistently surpassed this benchmark: fresh ≈88–90%, 2-month ≈92–94%, and 4-month ≈96–98% (Fig. 4). This represents 50–65% improvement over conventional and &gt;300% over raw </w:t>
      </w:r>
      <w:proofErr w:type="spellStart"/>
      <w:r w:rsidRPr="006A4486">
        <w:rPr>
          <w:color w:val="000000" w:themeColor="text1"/>
        </w:rPr>
        <w:t>coirpith</w:t>
      </w:r>
      <w:proofErr w:type="spellEnd"/>
      <w:r w:rsidRPr="006A4486">
        <w:rPr>
          <w:color w:val="000000" w:themeColor="text1"/>
        </w:rPr>
        <w:t xml:space="preserve">. Rapid detoxification under </w:t>
      </w:r>
      <w:proofErr w:type="spellStart"/>
      <w:r w:rsidRPr="006A4486">
        <w:rPr>
          <w:color w:val="000000" w:themeColor="text1"/>
        </w:rPr>
        <w:t>Novcom</w:t>
      </w:r>
      <w:proofErr w:type="spellEnd"/>
      <w:r w:rsidRPr="006A4486">
        <w:rPr>
          <w:color w:val="000000" w:themeColor="text1"/>
        </w:rPr>
        <w:t xml:space="preserve"> arises from accelerated breakdown of phenolics and lignin derivatives, reduced Na</w:t>
      </w:r>
      <w:r w:rsidRPr="006A4486">
        <w:rPr>
          <w:rFonts w:ascii="Cambria Math" w:hAnsi="Cambria Math" w:cs="Cambria Math"/>
          <w:color w:val="000000" w:themeColor="text1"/>
        </w:rPr>
        <w:t>⁺</w:t>
      </w:r>
      <w:r w:rsidRPr="006A4486">
        <w:rPr>
          <w:color w:val="000000" w:themeColor="text1"/>
        </w:rPr>
        <w:t xml:space="preserve"> and EC, and improved nutrient balance. As a result, </w:t>
      </w:r>
      <w:proofErr w:type="spellStart"/>
      <w:r w:rsidRPr="006A4486">
        <w:rPr>
          <w:color w:val="000000" w:themeColor="text1"/>
        </w:rPr>
        <w:t>Novcom</w:t>
      </w:r>
      <w:proofErr w:type="spellEnd"/>
      <w:r w:rsidRPr="006A4486">
        <w:rPr>
          <w:color w:val="000000" w:themeColor="text1"/>
        </w:rPr>
        <w:t xml:space="preserve"> substrates reliably support uniform seedling establishment.</w:t>
      </w:r>
    </w:p>
    <w:p w14:paraId="09DF3BB3" w14:textId="77777777" w:rsidR="00ED165A" w:rsidRPr="006A4486" w:rsidRDefault="00ED165A" w:rsidP="006A4486">
      <w:pPr>
        <w:spacing w:after="0" w:line="240" w:lineRule="auto"/>
        <w:jc w:val="both"/>
        <w:outlineLvl w:val="1"/>
        <w:rPr>
          <w:rFonts w:ascii="Times New Roman" w:eastAsia="Times New Roman" w:hAnsi="Times New Roman" w:cs="Times New Roman"/>
          <w:b/>
          <w:bCs/>
          <w:color w:val="000000" w:themeColor="text1"/>
          <w:sz w:val="24"/>
          <w:szCs w:val="24"/>
        </w:rPr>
      </w:pPr>
    </w:p>
    <w:p w14:paraId="5401E671" w14:textId="77777777" w:rsidR="005B52DB" w:rsidRPr="006A4486" w:rsidRDefault="005B52DB" w:rsidP="006A4486">
      <w:pPr>
        <w:spacing w:after="0" w:line="240" w:lineRule="auto"/>
        <w:jc w:val="both"/>
        <w:outlineLvl w:val="1"/>
        <w:rPr>
          <w:rFonts w:ascii="Times New Roman" w:eastAsia="Times New Roman" w:hAnsi="Times New Roman" w:cs="Times New Roman"/>
          <w:b/>
          <w:bCs/>
          <w:color w:val="000000" w:themeColor="text1"/>
          <w:sz w:val="24"/>
          <w:szCs w:val="24"/>
        </w:rPr>
      </w:pPr>
      <w:r w:rsidRPr="006A4486">
        <w:rPr>
          <w:rFonts w:ascii="Times New Roman" w:eastAsia="Times New Roman" w:hAnsi="Times New Roman" w:cs="Times New Roman"/>
          <w:b/>
          <w:bCs/>
          <w:color w:val="000000" w:themeColor="text1"/>
          <w:sz w:val="24"/>
          <w:szCs w:val="24"/>
        </w:rPr>
        <w:t>Index-Based Evaluation of Coir Pith Pro-Tray Media Quality</w:t>
      </w:r>
    </w:p>
    <w:p w14:paraId="67F26187" w14:textId="77777777" w:rsidR="00E24D8E" w:rsidRPr="006A4486" w:rsidRDefault="00E24D8E" w:rsidP="006A4486">
      <w:pPr>
        <w:pStyle w:val="NormalWeb"/>
        <w:spacing w:before="0" w:beforeAutospacing="0" w:after="0" w:afterAutospacing="0"/>
        <w:jc w:val="both"/>
        <w:rPr>
          <w:color w:val="000000" w:themeColor="text1"/>
        </w:rPr>
      </w:pPr>
      <w:r w:rsidRPr="006A4486">
        <w:rPr>
          <w:color w:val="000000" w:themeColor="text1"/>
        </w:rPr>
        <w:t>The comparative evaluation of four indices—</w:t>
      </w:r>
      <w:r w:rsidRPr="006A4486">
        <w:rPr>
          <w:rStyle w:val="Strong"/>
          <w:b w:val="0"/>
          <w:color w:val="000000" w:themeColor="text1"/>
        </w:rPr>
        <w:t>Physico-Chemical Score (PCS), Seedling Suitability Score (SSS), Seedling Growth Potential Score (SGPS), and Coir Pith Pro-Tray Media Quality Index (CPMQI)</w:t>
      </w:r>
      <w:r w:rsidRPr="006A4486">
        <w:rPr>
          <w:color w:val="000000" w:themeColor="text1"/>
        </w:rPr>
        <w:t>—provides an integrated perspective on the maturity, functional readiness, and overall quality of the tested substrates.</w:t>
      </w:r>
    </w:p>
    <w:p w14:paraId="58946822" w14:textId="77777777" w:rsidR="006A4486" w:rsidRDefault="006A4486" w:rsidP="006A4486">
      <w:pPr>
        <w:pStyle w:val="NormalWeb"/>
        <w:spacing w:before="0" w:beforeAutospacing="0" w:after="0" w:afterAutospacing="0"/>
        <w:jc w:val="both"/>
        <w:rPr>
          <w:rStyle w:val="Strong"/>
          <w:color w:val="000000" w:themeColor="text1"/>
        </w:rPr>
      </w:pPr>
    </w:p>
    <w:p w14:paraId="506BD65D" w14:textId="77777777" w:rsidR="00E24D8E" w:rsidRPr="006A4486" w:rsidRDefault="00E24D8E" w:rsidP="006A4486">
      <w:pPr>
        <w:pStyle w:val="NormalWeb"/>
        <w:spacing w:before="0" w:beforeAutospacing="0" w:after="0" w:afterAutospacing="0"/>
        <w:jc w:val="both"/>
        <w:rPr>
          <w:color w:val="000000" w:themeColor="text1"/>
        </w:rPr>
      </w:pPr>
      <w:r w:rsidRPr="006A4486">
        <w:rPr>
          <w:rStyle w:val="Strong"/>
          <w:color w:val="000000" w:themeColor="text1"/>
        </w:rPr>
        <w:t>Physico-Chemical Maturity (PCS).</w:t>
      </w:r>
      <w:r w:rsidRPr="006A4486">
        <w:rPr>
          <w:color w:val="000000" w:themeColor="text1"/>
        </w:rPr>
        <w:t xml:space="preserve"> Control material showed strongly negative PCS (≈ −0.26), reflecting immaturity with high </w:t>
      </w:r>
      <w:proofErr w:type="gramStart"/>
      <w:r w:rsidRPr="006A4486">
        <w:rPr>
          <w:color w:val="000000" w:themeColor="text1"/>
        </w:rPr>
        <w:t>C:N</w:t>
      </w:r>
      <w:proofErr w:type="gramEnd"/>
      <w:r w:rsidRPr="006A4486">
        <w:rPr>
          <w:color w:val="000000" w:themeColor="text1"/>
        </w:rPr>
        <w:t xml:space="preserve">, undecomposed lignin, and phytotoxins. Conventional 12-month compost reached only ≈0.12–0.13 (“Acceptable”), indicating </w:t>
      </w:r>
      <w:r w:rsidRPr="006A4486">
        <w:rPr>
          <w:color w:val="000000" w:themeColor="text1"/>
        </w:rPr>
        <w:lastRenderedPageBreak/>
        <w:t>incomplete stabilization. NOVCOM-processed substrates recorded ≈0.51–0.73, approaching “Very Good” (≥0.75). This rapid stabilization confirms that NOVCOM’s optimized thermophilic–mesophilic regime accelerates carbon mineralization, lignin depolymerization, and salt leaching, achieving maturity in 40 days instead of a year.</w:t>
      </w:r>
    </w:p>
    <w:p w14:paraId="540B8AD8" w14:textId="77777777" w:rsidR="006A4486" w:rsidRDefault="006A4486" w:rsidP="006A4486">
      <w:pPr>
        <w:pStyle w:val="NormalWeb"/>
        <w:spacing w:before="0" w:beforeAutospacing="0" w:after="0" w:afterAutospacing="0"/>
        <w:jc w:val="both"/>
        <w:rPr>
          <w:rStyle w:val="Strong"/>
          <w:color w:val="000000" w:themeColor="text1"/>
        </w:rPr>
      </w:pPr>
    </w:p>
    <w:p w14:paraId="59DA713C" w14:textId="77777777" w:rsidR="00E24D8E" w:rsidRPr="006A4486" w:rsidRDefault="00E24D8E" w:rsidP="006A4486">
      <w:pPr>
        <w:pStyle w:val="NormalWeb"/>
        <w:spacing w:before="0" w:beforeAutospacing="0" w:after="0" w:afterAutospacing="0"/>
        <w:jc w:val="both"/>
        <w:rPr>
          <w:color w:val="000000" w:themeColor="text1"/>
        </w:rPr>
      </w:pPr>
      <w:r w:rsidRPr="006A4486">
        <w:rPr>
          <w:rStyle w:val="Strong"/>
          <w:color w:val="000000" w:themeColor="text1"/>
        </w:rPr>
        <w:t>Seedling Suitability (SSS).</w:t>
      </w:r>
      <w:r w:rsidRPr="006A4486">
        <w:rPr>
          <w:color w:val="000000" w:themeColor="text1"/>
        </w:rPr>
        <w:t xml:space="preserve"> Control SSS (≈3.29–3.32) confirmed raw coir’s unsuitability. Conventional compost improved moderately (≈6.45–7.33), supporting partial establishment. NOVCOM substrates achieved substantially higher SSS—fresh (≈9.02/9.68), 2-month (≈9.24/9.87), and 4-month (≈9.18/13.05)—indicating two- to fourfold gains. Improvements reflect reduced salinity, balanced nutrients, enhanced porosity, and increased germination index (Zucconi et al., 1981).</w:t>
      </w:r>
    </w:p>
    <w:p w14:paraId="2C36F2CD" w14:textId="77777777" w:rsidR="006A4486" w:rsidRDefault="006A4486" w:rsidP="006A4486">
      <w:pPr>
        <w:pStyle w:val="NormalWeb"/>
        <w:spacing w:before="0" w:beforeAutospacing="0" w:after="0" w:afterAutospacing="0"/>
        <w:jc w:val="both"/>
        <w:rPr>
          <w:rStyle w:val="Strong"/>
          <w:color w:val="000000" w:themeColor="text1"/>
        </w:rPr>
      </w:pPr>
    </w:p>
    <w:p w14:paraId="530D5A71" w14:textId="77777777" w:rsidR="00426F3D" w:rsidRPr="006A4486" w:rsidRDefault="00E24D8E" w:rsidP="006A4486">
      <w:pPr>
        <w:pStyle w:val="NormalWeb"/>
        <w:spacing w:before="0" w:beforeAutospacing="0" w:after="0" w:afterAutospacing="0"/>
        <w:jc w:val="both"/>
        <w:rPr>
          <w:color w:val="000000" w:themeColor="text1"/>
        </w:rPr>
      </w:pPr>
      <w:r w:rsidRPr="006A4486">
        <w:rPr>
          <w:rStyle w:val="Strong"/>
          <w:color w:val="000000" w:themeColor="text1"/>
        </w:rPr>
        <w:t>Seedling Growth Potential (SGPS).</w:t>
      </w:r>
      <w:r w:rsidRPr="006A4486">
        <w:rPr>
          <w:color w:val="000000" w:themeColor="text1"/>
        </w:rPr>
        <w:t xml:space="preserve"> Control SGPS (≈4.29/4.79) reflected poor germination and weak post-emergence growth. Conventional product reached ≈6.67/7.26, showing modest improvement. NOVCOM substrates scored much higher—fresh (≈10.67/9.90), 2-month (≈11.72/12.57), and 4-month (≈12.02/12.26)—representing 60–80% gains over conventional and up to 167% over control. These gains reflect improved nutrient equilibrium, lower EC, and favorable root-zone conditions supporting vigorous seedl</w:t>
      </w:r>
      <w:r w:rsidR="00426F3D" w:rsidRPr="006A4486">
        <w:rPr>
          <w:color w:val="000000" w:themeColor="text1"/>
        </w:rPr>
        <w:t>ing growth.</w:t>
      </w:r>
    </w:p>
    <w:p w14:paraId="42539531" w14:textId="77777777" w:rsidR="006A4486" w:rsidRDefault="006A4486" w:rsidP="006A4486">
      <w:pPr>
        <w:pStyle w:val="NormalWeb"/>
        <w:spacing w:before="0" w:beforeAutospacing="0" w:after="0" w:afterAutospacing="0"/>
        <w:jc w:val="both"/>
        <w:rPr>
          <w:rStyle w:val="Strong"/>
          <w:color w:val="000000" w:themeColor="text1"/>
        </w:rPr>
      </w:pPr>
    </w:p>
    <w:p w14:paraId="1B8F411C" w14:textId="77777777" w:rsidR="00E24D8E" w:rsidRPr="006A4486" w:rsidRDefault="00E24D8E" w:rsidP="006A4486">
      <w:pPr>
        <w:pStyle w:val="NormalWeb"/>
        <w:spacing w:before="0" w:beforeAutospacing="0" w:after="0" w:afterAutospacing="0"/>
        <w:jc w:val="both"/>
        <w:rPr>
          <w:color w:val="000000" w:themeColor="text1"/>
        </w:rPr>
      </w:pPr>
      <w:r w:rsidRPr="006A4486">
        <w:rPr>
          <w:rStyle w:val="Strong"/>
          <w:color w:val="000000" w:themeColor="text1"/>
        </w:rPr>
        <w:t>Overall Quality (CPMQI).</w:t>
      </w:r>
      <w:r w:rsidRPr="006A4486">
        <w:rPr>
          <w:color w:val="000000" w:themeColor="text1"/>
        </w:rPr>
        <w:t xml:space="preserve"> The integrated CPMQI confirmed substrate suitability by combining PCS, SSS, and SGPS. Control CPMQI was negative (≈ −0.11), indicating unsuitability. Conventional compost improved slightly (≈0.23–0.27). NOVCOM products achieved ≈0.59–0.63 (fresh), 0.70–0.75 (2-month), and 0.75–0.84 (4-month), marking 7–9-fold gains over control.</w:t>
      </w:r>
    </w:p>
    <w:p w14:paraId="61C18D83" w14:textId="77777777" w:rsidR="006A4486" w:rsidRDefault="006A4486" w:rsidP="006A4486">
      <w:pPr>
        <w:pStyle w:val="NormalWeb"/>
        <w:spacing w:before="0" w:beforeAutospacing="0" w:after="0" w:afterAutospacing="0"/>
        <w:jc w:val="both"/>
        <w:rPr>
          <w:rStyle w:val="Strong"/>
          <w:color w:val="000000" w:themeColor="text1"/>
        </w:rPr>
      </w:pPr>
    </w:p>
    <w:p w14:paraId="595EB939" w14:textId="77777777" w:rsidR="00E24D8E" w:rsidRPr="006A4486" w:rsidRDefault="00E24D8E" w:rsidP="006A4486">
      <w:pPr>
        <w:pStyle w:val="NormalWeb"/>
        <w:spacing w:before="0" w:beforeAutospacing="0" w:after="0" w:afterAutospacing="0"/>
        <w:jc w:val="both"/>
        <w:rPr>
          <w:color w:val="000000" w:themeColor="text1"/>
        </w:rPr>
      </w:pPr>
      <w:r w:rsidRPr="006A4486">
        <w:rPr>
          <w:color w:val="000000" w:themeColor="text1"/>
        </w:rPr>
        <w:t>The index-based assessment demonstrates that NOVCOM technology ensures rapid biochemical stabilization, improved germination performance, and superior seedling growth, producing a chemically stable, biologically safe, and agronomically functional medium in just 40 days—compared to 12 months in conventional processing.</w:t>
      </w:r>
    </w:p>
    <w:p w14:paraId="21F4A95C" w14:textId="77777777" w:rsidR="00B849B0" w:rsidRPr="006A4486" w:rsidRDefault="00B849B0" w:rsidP="006A4486">
      <w:pPr>
        <w:pStyle w:val="NormalWeb"/>
        <w:spacing w:before="0" w:beforeAutospacing="0" w:after="0" w:afterAutospacing="0"/>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DF0BA2" w:rsidRPr="00DF0BA2" w14:paraId="6E33B61E" w14:textId="77777777" w:rsidTr="00AB29B1">
        <w:trPr>
          <w:trHeight w:val="4139"/>
        </w:trPr>
        <w:tc>
          <w:tcPr>
            <w:tcW w:w="9245" w:type="dxa"/>
          </w:tcPr>
          <w:p w14:paraId="4211E63E" w14:textId="77777777" w:rsidR="00B849B0" w:rsidRPr="00DF0BA2" w:rsidRDefault="005B52DB" w:rsidP="00AB29B1">
            <w:pPr>
              <w:jc w:val="center"/>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noProof/>
                <w:color w:val="000000" w:themeColor="text1"/>
                <w:sz w:val="24"/>
                <w:szCs w:val="24"/>
              </w:rPr>
              <w:drawing>
                <wp:inline distT="0" distB="0" distL="0" distR="0" wp14:anchorId="48E4B74C" wp14:editId="37206321">
                  <wp:extent cx="3927945" cy="2425148"/>
                  <wp:effectExtent l="19050" t="19050" r="158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103" cy="2469699"/>
                          </a:xfrm>
                          <a:prstGeom prst="rect">
                            <a:avLst/>
                          </a:prstGeom>
                          <a:noFill/>
                          <a:ln>
                            <a:solidFill>
                              <a:sysClr val="windowText" lastClr="000000"/>
                            </a:solidFill>
                          </a:ln>
                        </pic:spPr>
                      </pic:pic>
                    </a:graphicData>
                  </a:graphic>
                </wp:inline>
              </w:drawing>
            </w:r>
          </w:p>
          <w:p w14:paraId="43BABEBA" w14:textId="77777777" w:rsidR="005B52DB" w:rsidRPr="00DF0BA2" w:rsidRDefault="00B849B0" w:rsidP="0026183D">
            <w:pPr>
              <w:ind w:left="720" w:hanging="720"/>
              <w:jc w:val="both"/>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t xml:space="preserve">Fig </w:t>
            </w:r>
            <w:proofErr w:type="gramStart"/>
            <w:r w:rsidRPr="00DF0BA2">
              <w:rPr>
                <w:rFonts w:ascii="Times New Roman" w:eastAsia="Times New Roman" w:hAnsi="Times New Roman" w:cs="Times New Roman"/>
                <w:b/>
                <w:bCs/>
                <w:color w:val="000000" w:themeColor="text1"/>
                <w:sz w:val="24"/>
                <w:szCs w:val="24"/>
              </w:rPr>
              <w:t>1 :</w:t>
            </w:r>
            <w:proofErr w:type="gramEnd"/>
            <w:r w:rsidRPr="00DF0BA2">
              <w:rPr>
                <w:rFonts w:ascii="Times New Roman" w:eastAsia="Times New Roman" w:hAnsi="Times New Roman" w:cs="Times New Roman"/>
                <w:b/>
                <w:bCs/>
                <w:color w:val="000000" w:themeColor="text1"/>
                <w:sz w:val="24"/>
                <w:szCs w:val="24"/>
              </w:rPr>
              <w:t xml:space="preserve"> Comparative study of Organic carbon degradation under </w:t>
            </w: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technology in comparison to conventional pro-tray media.</w:t>
            </w:r>
          </w:p>
        </w:tc>
      </w:tr>
    </w:tbl>
    <w:p w14:paraId="50DE80DA" w14:textId="77777777" w:rsidR="005B52DB" w:rsidRPr="00DF0BA2" w:rsidRDefault="005B52DB" w:rsidP="00C44944">
      <w:pPr>
        <w:jc w:val="both"/>
        <w:rPr>
          <w:rFonts w:ascii="Times New Roman" w:hAnsi="Times New Roman" w:cs="Times New Roman"/>
          <w:color w:val="000000" w:themeColor="text1"/>
          <w:sz w:val="24"/>
          <w:szCs w:val="24"/>
        </w:rPr>
      </w:pPr>
    </w:p>
    <w:tbl>
      <w:tblPr>
        <w:tblStyle w:val="TableGrid"/>
        <w:tblpPr w:leftFromText="180" w:rightFromText="180" w:horzAnchor="margin" w:tblpXSpec="center" w:tblpY="-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tblGrid>
      <w:tr w:rsidR="005B52DB" w:rsidRPr="00DF0BA2" w14:paraId="0153E741" w14:textId="77777777" w:rsidTr="007D2834">
        <w:trPr>
          <w:trHeight w:val="3590"/>
        </w:trPr>
        <w:tc>
          <w:tcPr>
            <w:tcW w:w="7380" w:type="dxa"/>
          </w:tcPr>
          <w:p w14:paraId="03021107" w14:textId="77777777" w:rsidR="005B52DB" w:rsidRPr="00DF0BA2" w:rsidRDefault="005B52DB" w:rsidP="009E162F">
            <w:pPr>
              <w:jc w:val="center"/>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noProof/>
                <w:color w:val="000000" w:themeColor="text1"/>
                <w:sz w:val="24"/>
                <w:szCs w:val="24"/>
              </w:rPr>
              <w:lastRenderedPageBreak/>
              <w:drawing>
                <wp:inline distT="0" distB="0" distL="0" distR="0" wp14:anchorId="2E4F46EE" wp14:editId="560FCC60">
                  <wp:extent cx="394970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4913" cy="2281421"/>
                          </a:xfrm>
                          <a:prstGeom prst="rect">
                            <a:avLst/>
                          </a:prstGeom>
                          <a:noFill/>
                        </pic:spPr>
                      </pic:pic>
                    </a:graphicData>
                  </a:graphic>
                </wp:inline>
              </w:drawing>
            </w:r>
          </w:p>
        </w:tc>
      </w:tr>
      <w:tr w:rsidR="005B52DB" w:rsidRPr="00DF0BA2" w14:paraId="1B439438" w14:textId="77777777" w:rsidTr="007D2834">
        <w:tc>
          <w:tcPr>
            <w:tcW w:w="7380" w:type="dxa"/>
          </w:tcPr>
          <w:p w14:paraId="0ADB5474" w14:textId="77777777" w:rsidR="005B52DB" w:rsidRPr="00DF0BA2" w:rsidRDefault="005B52DB" w:rsidP="00AB29B1">
            <w:pPr>
              <w:ind w:left="990" w:hanging="990"/>
              <w:jc w:val="both"/>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t xml:space="preserve">Fig </w:t>
            </w:r>
            <w:proofErr w:type="gramStart"/>
            <w:r w:rsidRPr="00DF0BA2">
              <w:rPr>
                <w:rFonts w:ascii="Times New Roman" w:eastAsia="Times New Roman" w:hAnsi="Times New Roman" w:cs="Times New Roman"/>
                <w:b/>
                <w:bCs/>
                <w:color w:val="000000" w:themeColor="text1"/>
                <w:sz w:val="24"/>
                <w:szCs w:val="24"/>
              </w:rPr>
              <w:t>2 :</w:t>
            </w:r>
            <w:proofErr w:type="gramEnd"/>
            <w:r w:rsidRPr="00DF0BA2">
              <w:rPr>
                <w:rFonts w:ascii="Times New Roman" w:eastAsia="Times New Roman" w:hAnsi="Times New Roman" w:cs="Times New Roman"/>
                <w:b/>
                <w:bCs/>
                <w:color w:val="000000" w:themeColor="text1"/>
                <w:sz w:val="24"/>
                <w:szCs w:val="24"/>
              </w:rPr>
              <w:t xml:space="preserve"> Comparative study of Lignin degradation under </w:t>
            </w: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technology in comparison to conventional pro-tray media.</w:t>
            </w:r>
          </w:p>
        </w:tc>
      </w:tr>
      <w:tr w:rsidR="00AB29B1" w:rsidRPr="00DF0BA2" w14:paraId="4CC8930B" w14:textId="77777777" w:rsidTr="007D2834">
        <w:tc>
          <w:tcPr>
            <w:tcW w:w="7380" w:type="dxa"/>
          </w:tcPr>
          <w:p w14:paraId="0A99E3E6" w14:textId="77777777" w:rsidR="00AB29B1" w:rsidRPr="00DF0BA2" w:rsidRDefault="00AB29B1" w:rsidP="00AB29B1">
            <w:pPr>
              <w:ind w:left="990" w:hanging="990"/>
              <w:jc w:val="both"/>
              <w:rPr>
                <w:rFonts w:ascii="Times New Roman" w:eastAsia="Times New Roman" w:hAnsi="Times New Roman" w:cs="Times New Roman"/>
                <w:b/>
                <w:bCs/>
                <w:color w:val="000000" w:themeColor="text1"/>
                <w:sz w:val="24"/>
                <w:szCs w:val="24"/>
              </w:rPr>
            </w:pPr>
          </w:p>
        </w:tc>
      </w:tr>
      <w:tr w:rsidR="00AB29B1" w:rsidRPr="00DF0BA2" w14:paraId="23F0F306" w14:textId="77777777" w:rsidTr="007D2834">
        <w:tc>
          <w:tcPr>
            <w:tcW w:w="7380" w:type="dxa"/>
          </w:tcPr>
          <w:p w14:paraId="45BDF871" w14:textId="77777777" w:rsidR="00AB29B1" w:rsidRPr="00DF0BA2" w:rsidRDefault="00AB29B1" w:rsidP="009E162F">
            <w:pPr>
              <w:ind w:left="990" w:hanging="990"/>
              <w:jc w:val="center"/>
              <w:rPr>
                <w:rFonts w:ascii="Times New Roman" w:eastAsia="Times New Roman" w:hAnsi="Times New Roman" w:cs="Times New Roman"/>
                <w:b/>
                <w:bCs/>
                <w:color w:val="000000" w:themeColor="text1"/>
                <w:sz w:val="24"/>
                <w:szCs w:val="24"/>
              </w:rPr>
            </w:pPr>
            <w:r w:rsidRPr="005B52DB">
              <w:rPr>
                <w:rFonts w:ascii="Times New Roman" w:eastAsia="Times New Roman" w:hAnsi="Times New Roman" w:cs="Times New Roman"/>
                <w:b/>
                <w:bCs/>
                <w:noProof/>
                <w:sz w:val="24"/>
                <w:szCs w:val="24"/>
              </w:rPr>
              <w:drawing>
                <wp:inline distT="0" distB="0" distL="0" distR="0" wp14:anchorId="4A259DB3" wp14:editId="2B3CC9A0">
                  <wp:extent cx="3953175" cy="2266122"/>
                  <wp:effectExtent l="19050" t="19050" r="9525"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1861" cy="2265368"/>
                          </a:xfrm>
                          <a:prstGeom prst="rect">
                            <a:avLst/>
                          </a:prstGeom>
                          <a:noFill/>
                          <a:ln>
                            <a:solidFill>
                              <a:sysClr val="windowText" lastClr="000000"/>
                            </a:solidFill>
                          </a:ln>
                        </pic:spPr>
                      </pic:pic>
                    </a:graphicData>
                  </a:graphic>
                </wp:inline>
              </w:drawing>
            </w:r>
          </w:p>
        </w:tc>
      </w:tr>
      <w:tr w:rsidR="00AB29B1" w:rsidRPr="00DF0BA2" w14:paraId="60A98D6E" w14:textId="77777777" w:rsidTr="007D2834">
        <w:tc>
          <w:tcPr>
            <w:tcW w:w="7380" w:type="dxa"/>
          </w:tcPr>
          <w:p w14:paraId="6DA7FD33" w14:textId="77777777" w:rsidR="00AB29B1" w:rsidRPr="00DF0BA2" w:rsidRDefault="00AB29B1" w:rsidP="00AB29B1">
            <w:pPr>
              <w:ind w:left="990" w:hanging="990"/>
              <w:jc w:val="both"/>
              <w:rPr>
                <w:rFonts w:ascii="Times New Roman" w:eastAsia="Times New Roman" w:hAnsi="Times New Roman" w:cs="Times New Roman"/>
                <w:b/>
                <w:bCs/>
                <w:color w:val="000000" w:themeColor="text1"/>
                <w:sz w:val="24"/>
                <w:szCs w:val="24"/>
              </w:rPr>
            </w:pPr>
            <w:r w:rsidRPr="005B52DB">
              <w:rPr>
                <w:rFonts w:ascii="Times New Roman" w:eastAsia="Times New Roman" w:hAnsi="Times New Roman" w:cs="Times New Roman"/>
                <w:b/>
                <w:bCs/>
                <w:sz w:val="24"/>
                <w:szCs w:val="24"/>
              </w:rPr>
              <w:t xml:space="preserve">Fig </w:t>
            </w:r>
            <w:proofErr w:type="gramStart"/>
            <w:r w:rsidRPr="005B52DB">
              <w:rPr>
                <w:rFonts w:ascii="Times New Roman" w:eastAsia="Times New Roman" w:hAnsi="Times New Roman" w:cs="Times New Roman"/>
                <w:b/>
                <w:bCs/>
                <w:sz w:val="24"/>
                <w:szCs w:val="24"/>
              </w:rPr>
              <w:t>3 :</w:t>
            </w:r>
            <w:proofErr w:type="gramEnd"/>
            <w:r w:rsidRPr="005B52DB">
              <w:rPr>
                <w:rFonts w:ascii="Times New Roman" w:eastAsia="Times New Roman" w:hAnsi="Times New Roman" w:cs="Times New Roman"/>
                <w:b/>
                <w:bCs/>
                <w:sz w:val="24"/>
                <w:szCs w:val="24"/>
              </w:rPr>
              <w:t xml:space="preserve"> Comparative study of Na</w:t>
            </w:r>
            <w:r w:rsidRPr="005B52DB">
              <w:rPr>
                <w:rFonts w:ascii="Times New Roman" w:eastAsia="Times New Roman" w:hAnsi="Times New Roman" w:cs="Times New Roman"/>
                <w:b/>
                <w:bCs/>
                <w:sz w:val="24"/>
                <w:szCs w:val="24"/>
                <w:vertAlign w:val="superscript"/>
              </w:rPr>
              <w:t>+</w:t>
            </w:r>
            <w:r w:rsidRPr="005B52DB">
              <w:rPr>
                <w:rFonts w:ascii="Times New Roman" w:eastAsia="Times New Roman" w:hAnsi="Times New Roman" w:cs="Times New Roman"/>
                <w:b/>
                <w:bCs/>
                <w:sz w:val="24"/>
                <w:szCs w:val="24"/>
              </w:rPr>
              <w:t xml:space="preserve"> ion reduction under </w:t>
            </w:r>
            <w:proofErr w:type="spellStart"/>
            <w:r w:rsidRPr="005B52DB">
              <w:rPr>
                <w:rFonts w:ascii="Times New Roman" w:eastAsia="Times New Roman" w:hAnsi="Times New Roman" w:cs="Times New Roman"/>
                <w:b/>
                <w:bCs/>
                <w:sz w:val="24"/>
                <w:szCs w:val="24"/>
              </w:rPr>
              <w:t>Novcom</w:t>
            </w:r>
            <w:proofErr w:type="spellEnd"/>
            <w:r w:rsidRPr="005B52DB">
              <w:rPr>
                <w:rFonts w:ascii="Times New Roman" w:eastAsia="Times New Roman" w:hAnsi="Times New Roman" w:cs="Times New Roman"/>
                <w:b/>
                <w:bCs/>
                <w:sz w:val="24"/>
                <w:szCs w:val="24"/>
              </w:rPr>
              <w:t xml:space="preserve"> technology in comparison to conventional pro-tray media.</w:t>
            </w:r>
          </w:p>
        </w:tc>
      </w:tr>
      <w:tr w:rsidR="00AB29B1" w:rsidRPr="00DF0BA2" w14:paraId="15061C02" w14:textId="77777777" w:rsidTr="007D2834">
        <w:tc>
          <w:tcPr>
            <w:tcW w:w="7380" w:type="dxa"/>
          </w:tcPr>
          <w:p w14:paraId="63A39132" w14:textId="77777777" w:rsidR="00AB29B1" w:rsidRPr="00DF0BA2" w:rsidRDefault="00AB29B1" w:rsidP="00AB29B1">
            <w:pPr>
              <w:ind w:left="990" w:hanging="990"/>
              <w:jc w:val="both"/>
              <w:rPr>
                <w:rFonts w:ascii="Times New Roman" w:eastAsia="Times New Roman" w:hAnsi="Times New Roman" w:cs="Times New Roman"/>
                <w:b/>
                <w:bCs/>
                <w:color w:val="000000" w:themeColor="text1"/>
                <w:sz w:val="24"/>
                <w:szCs w:val="24"/>
              </w:rPr>
            </w:pPr>
          </w:p>
        </w:tc>
      </w:tr>
      <w:tr w:rsidR="00AB29B1" w:rsidRPr="00DF0BA2" w14:paraId="48703418" w14:textId="77777777" w:rsidTr="007D2834">
        <w:tc>
          <w:tcPr>
            <w:tcW w:w="7380" w:type="dxa"/>
          </w:tcPr>
          <w:p w14:paraId="266D4155" w14:textId="77777777" w:rsidR="00AB29B1" w:rsidRPr="00DF0BA2" w:rsidRDefault="00AB29B1" w:rsidP="009E162F">
            <w:pPr>
              <w:ind w:left="990" w:hanging="990"/>
              <w:jc w:val="center"/>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noProof/>
                <w:color w:val="000000" w:themeColor="text1"/>
                <w:sz w:val="24"/>
                <w:szCs w:val="24"/>
              </w:rPr>
              <w:drawing>
                <wp:inline distT="0" distB="0" distL="0" distR="0" wp14:anchorId="7B62D963" wp14:editId="2FDF794A">
                  <wp:extent cx="4079019" cy="23694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8088" cy="2368948"/>
                          </a:xfrm>
                          <a:prstGeom prst="rect">
                            <a:avLst/>
                          </a:prstGeom>
                          <a:noFill/>
                        </pic:spPr>
                      </pic:pic>
                    </a:graphicData>
                  </a:graphic>
                </wp:inline>
              </w:drawing>
            </w:r>
          </w:p>
        </w:tc>
      </w:tr>
      <w:tr w:rsidR="00AB29B1" w:rsidRPr="00DF0BA2" w14:paraId="61C411CB" w14:textId="77777777" w:rsidTr="007D2834">
        <w:tc>
          <w:tcPr>
            <w:tcW w:w="7380" w:type="dxa"/>
          </w:tcPr>
          <w:p w14:paraId="138B4ADF" w14:textId="77777777" w:rsidR="00AB29B1" w:rsidRPr="00DF0BA2" w:rsidRDefault="00AB29B1" w:rsidP="00AB29B1">
            <w:pPr>
              <w:ind w:left="990" w:hanging="990"/>
              <w:jc w:val="both"/>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t xml:space="preserve">Fig </w:t>
            </w:r>
            <w:proofErr w:type="gramStart"/>
            <w:r w:rsidRPr="00DF0BA2">
              <w:rPr>
                <w:rFonts w:ascii="Times New Roman" w:eastAsia="Times New Roman" w:hAnsi="Times New Roman" w:cs="Times New Roman"/>
                <w:b/>
                <w:bCs/>
                <w:color w:val="000000" w:themeColor="text1"/>
                <w:sz w:val="24"/>
                <w:szCs w:val="24"/>
              </w:rPr>
              <w:t>4 :</w:t>
            </w:r>
            <w:proofErr w:type="gramEnd"/>
            <w:r w:rsidRPr="00DF0BA2">
              <w:rPr>
                <w:rFonts w:ascii="Times New Roman" w:eastAsia="Times New Roman" w:hAnsi="Times New Roman" w:cs="Times New Roman"/>
                <w:b/>
                <w:bCs/>
                <w:color w:val="000000" w:themeColor="text1"/>
                <w:sz w:val="24"/>
                <w:szCs w:val="24"/>
              </w:rPr>
              <w:t xml:space="preserve"> Comparative study of Phytotoxicity Bioassay under </w:t>
            </w: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technology in comparison to conventional pro-tray media.</w:t>
            </w:r>
          </w:p>
        </w:tc>
      </w:tr>
    </w:tbl>
    <w:p w14:paraId="39EB8F35" w14:textId="77777777" w:rsidR="005B52DB" w:rsidRDefault="005B52DB" w:rsidP="00C44944">
      <w:pPr>
        <w:jc w:val="both"/>
        <w:rPr>
          <w:rFonts w:ascii="Times New Roman" w:hAnsi="Times New Roman"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tblGrid>
      <w:tr w:rsidR="009E162F" w14:paraId="1C4644E2" w14:textId="77777777" w:rsidTr="0026183D">
        <w:trPr>
          <w:trHeight w:val="3870"/>
        </w:trPr>
        <w:tc>
          <w:tcPr>
            <w:tcW w:w="8478" w:type="dxa"/>
          </w:tcPr>
          <w:p w14:paraId="1CE1C4C4" w14:textId="77777777" w:rsidR="00AB29B1" w:rsidRDefault="00534905" w:rsidP="009E162F">
            <w:pPr>
              <w:jc w:val="center"/>
              <w:rPr>
                <w:rFonts w:ascii="Times New Roman" w:hAnsi="Times New Roman" w:cs="Times New Roman"/>
                <w:color w:val="000000" w:themeColor="text1"/>
                <w:sz w:val="24"/>
                <w:szCs w:val="24"/>
              </w:rPr>
            </w:pPr>
            <w:r w:rsidRPr="005B52DB">
              <w:rPr>
                <w:rFonts w:ascii="Times New Roman" w:eastAsia="Times New Roman" w:hAnsi="Times New Roman" w:cs="Times New Roman"/>
                <w:b/>
                <w:bCs/>
                <w:noProof/>
                <w:sz w:val="24"/>
                <w:szCs w:val="24"/>
              </w:rPr>
              <w:lastRenderedPageBreak/>
              <w:drawing>
                <wp:inline distT="0" distB="0" distL="0" distR="0" wp14:anchorId="561635C4" wp14:editId="2D1984E9">
                  <wp:extent cx="3642360" cy="24282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0850" cy="2427232"/>
                          </a:xfrm>
                          <a:prstGeom prst="rect">
                            <a:avLst/>
                          </a:prstGeom>
                          <a:noFill/>
                        </pic:spPr>
                      </pic:pic>
                    </a:graphicData>
                  </a:graphic>
                </wp:inline>
              </w:drawing>
            </w:r>
          </w:p>
        </w:tc>
      </w:tr>
      <w:tr w:rsidR="009E162F" w14:paraId="3668941E" w14:textId="77777777" w:rsidTr="007D2834">
        <w:tc>
          <w:tcPr>
            <w:tcW w:w="8478" w:type="dxa"/>
          </w:tcPr>
          <w:p w14:paraId="4ECD55FC" w14:textId="77777777" w:rsidR="00AB29B1" w:rsidRDefault="00534905" w:rsidP="0026183D">
            <w:pPr>
              <w:ind w:left="720" w:hanging="720"/>
              <w:jc w:val="both"/>
              <w:rPr>
                <w:rFonts w:ascii="Times New Roman" w:hAnsi="Times New Roman" w:cs="Times New Roman"/>
                <w:color w:val="000000" w:themeColor="text1"/>
                <w:sz w:val="24"/>
                <w:szCs w:val="24"/>
              </w:rPr>
            </w:pPr>
            <w:r w:rsidRPr="005B52DB">
              <w:rPr>
                <w:rFonts w:ascii="Times New Roman" w:eastAsia="Times New Roman" w:hAnsi="Times New Roman" w:cs="Times New Roman"/>
                <w:b/>
                <w:bCs/>
                <w:sz w:val="24"/>
                <w:szCs w:val="24"/>
              </w:rPr>
              <w:t xml:space="preserve">Fig. 5: Comparative study of Physico-Chemical Score (PCS) – Maturity Index of </w:t>
            </w:r>
            <w:proofErr w:type="spellStart"/>
            <w:r w:rsidRPr="005B52DB">
              <w:rPr>
                <w:rFonts w:ascii="Times New Roman" w:eastAsia="Times New Roman" w:hAnsi="Times New Roman" w:cs="Times New Roman"/>
                <w:b/>
                <w:bCs/>
                <w:sz w:val="24"/>
                <w:szCs w:val="24"/>
              </w:rPr>
              <w:t>coirpith</w:t>
            </w:r>
            <w:proofErr w:type="spellEnd"/>
            <w:r w:rsidRPr="005B52DB">
              <w:rPr>
                <w:rFonts w:ascii="Times New Roman" w:eastAsia="Times New Roman" w:hAnsi="Times New Roman" w:cs="Times New Roman"/>
                <w:b/>
                <w:bCs/>
                <w:sz w:val="24"/>
                <w:szCs w:val="24"/>
              </w:rPr>
              <w:t xml:space="preserve"> pro-tray media under </w:t>
            </w:r>
            <w:proofErr w:type="spellStart"/>
            <w:r w:rsidRPr="005B52DB">
              <w:rPr>
                <w:rFonts w:ascii="Times New Roman" w:eastAsia="Times New Roman" w:hAnsi="Times New Roman" w:cs="Times New Roman"/>
                <w:b/>
                <w:bCs/>
                <w:sz w:val="24"/>
                <w:szCs w:val="24"/>
              </w:rPr>
              <w:t>Novcom</w:t>
            </w:r>
            <w:proofErr w:type="spellEnd"/>
            <w:r w:rsidRPr="005B52DB">
              <w:rPr>
                <w:rFonts w:ascii="Times New Roman" w:eastAsia="Times New Roman" w:hAnsi="Times New Roman" w:cs="Times New Roman"/>
                <w:b/>
                <w:bCs/>
                <w:sz w:val="24"/>
                <w:szCs w:val="24"/>
              </w:rPr>
              <w:t xml:space="preserve"> technology in comparison to conventional pro-tray media</w:t>
            </w:r>
          </w:p>
        </w:tc>
      </w:tr>
      <w:tr w:rsidR="00534905" w14:paraId="59CFD3E5" w14:textId="77777777" w:rsidTr="007D2834">
        <w:tc>
          <w:tcPr>
            <w:tcW w:w="8478" w:type="dxa"/>
          </w:tcPr>
          <w:p w14:paraId="65070821" w14:textId="77777777" w:rsidR="00534905" w:rsidRDefault="00534905" w:rsidP="00C44944">
            <w:pPr>
              <w:jc w:val="both"/>
              <w:rPr>
                <w:rFonts w:ascii="Times New Roman" w:hAnsi="Times New Roman" w:cs="Times New Roman"/>
                <w:color w:val="000000" w:themeColor="text1"/>
                <w:sz w:val="24"/>
                <w:szCs w:val="24"/>
              </w:rPr>
            </w:pPr>
          </w:p>
        </w:tc>
      </w:tr>
      <w:tr w:rsidR="00534905" w14:paraId="5E914B87" w14:textId="77777777" w:rsidTr="007D2834">
        <w:trPr>
          <w:trHeight w:val="3572"/>
        </w:trPr>
        <w:tc>
          <w:tcPr>
            <w:tcW w:w="8478" w:type="dxa"/>
          </w:tcPr>
          <w:p w14:paraId="1500E657" w14:textId="77777777" w:rsidR="00534905" w:rsidRDefault="00534905" w:rsidP="009E162F">
            <w:pPr>
              <w:jc w:val="center"/>
              <w:rPr>
                <w:rFonts w:ascii="Times New Roman" w:hAnsi="Times New Roman" w:cs="Times New Roman"/>
                <w:color w:val="000000" w:themeColor="text1"/>
                <w:sz w:val="24"/>
                <w:szCs w:val="24"/>
              </w:rPr>
            </w:pPr>
            <w:r w:rsidRPr="00DF0BA2">
              <w:rPr>
                <w:rFonts w:ascii="Times New Roman" w:eastAsia="Times New Roman" w:hAnsi="Times New Roman" w:cs="Times New Roman"/>
                <w:b/>
                <w:bCs/>
                <w:noProof/>
                <w:color w:val="000000" w:themeColor="text1"/>
                <w:szCs w:val="24"/>
              </w:rPr>
              <w:drawing>
                <wp:inline distT="0" distB="0" distL="0" distR="0" wp14:anchorId="470C96EA" wp14:editId="490678A8">
                  <wp:extent cx="3642360" cy="218934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6253" cy="2197698"/>
                          </a:xfrm>
                          <a:prstGeom prst="rect">
                            <a:avLst/>
                          </a:prstGeom>
                          <a:noFill/>
                        </pic:spPr>
                      </pic:pic>
                    </a:graphicData>
                  </a:graphic>
                </wp:inline>
              </w:drawing>
            </w:r>
          </w:p>
        </w:tc>
      </w:tr>
      <w:tr w:rsidR="00534905" w14:paraId="5DA87CB4" w14:textId="77777777" w:rsidTr="007D2834">
        <w:tc>
          <w:tcPr>
            <w:tcW w:w="8478" w:type="dxa"/>
          </w:tcPr>
          <w:p w14:paraId="070B7587" w14:textId="77777777" w:rsidR="00534905" w:rsidRDefault="00534905" w:rsidP="00C44944">
            <w:pPr>
              <w:jc w:val="both"/>
              <w:rPr>
                <w:rFonts w:ascii="Times New Roman" w:hAnsi="Times New Roman" w:cs="Times New Roman"/>
                <w:color w:val="000000" w:themeColor="text1"/>
                <w:sz w:val="24"/>
                <w:szCs w:val="24"/>
              </w:rPr>
            </w:pPr>
            <w:r w:rsidRPr="00DF0BA2">
              <w:rPr>
                <w:rFonts w:ascii="Times New Roman" w:eastAsia="Times New Roman" w:hAnsi="Times New Roman" w:cs="Times New Roman"/>
                <w:b/>
                <w:bCs/>
                <w:color w:val="000000" w:themeColor="text1"/>
                <w:sz w:val="20"/>
                <w:szCs w:val="24"/>
              </w:rPr>
              <w:t xml:space="preserve">Fig. 6: Comparative study of Coir Pith Pro-Tray Media Quality Index (CPMQI) of </w:t>
            </w:r>
            <w:proofErr w:type="spellStart"/>
            <w:r w:rsidRPr="00DF0BA2">
              <w:rPr>
                <w:rFonts w:ascii="Times New Roman" w:eastAsia="Times New Roman" w:hAnsi="Times New Roman" w:cs="Times New Roman"/>
                <w:b/>
                <w:bCs/>
                <w:color w:val="000000" w:themeColor="text1"/>
                <w:sz w:val="20"/>
                <w:szCs w:val="24"/>
              </w:rPr>
              <w:t>coirpith</w:t>
            </w:r>
            <w:proofErr w:type="spellEnd"/>
            <w:r w:rsidRPr="00DF0BA2">
              <w:rPr>
                <w:rFonts w:ascii="Times New Roman" w:eastAsia="Times New Roman" w:hAnsi="Times New Roman" w:cs="Times New Roman"/>
                <w:b/>
                <w:bCs/>
                <w:color w:val="000000" w:themeColor="text1"/>
                <w:sz w:val="20"/>
                <w:szCs w:val="24"/>
              </w:rPr>
              <w:t xml:space="preserve"> pro-tray media developed under </w:t>
            </w:r>
            <w:proofErr w:type="spellStart"/>
            <w:r w:rsidRPr="00DF0BA2">
              <w:rPr>
                <w:rFonts w:ascii="Times New Roman" w:eastAsia="Times New Roman" w:hAnsi="Times New Roman" w:cs="Times New Roman"/>
                <w:b/>
                <w:bCs/>
                <w:color w:val="000000" w:themeColor="text1"/>
                <w:sz w:val="20"/>
                <w:szCs w:val="24"/>
              </w:rPr>
              <w:t>Novcom</w:t>
            </w:r>
            <w:proofErr w:type="spellEnd"/>
            <w:r w:rsidRPr="00DF0BA2">
              <w:rPr>
                <w:rFonts w:ascii="Times New Roman" w:eastAsia="Times New Roman" w:hAnsi="Times New Roman" w:cs="Times New Roman"/>
                <w:b/>
                <w:bCs/>
                <w:color w:val="000000" w:themeColor="text1"/>
                <w:sz w:val="20"/>
                <w:szCs w:val="24"/>
              </w:rPr>
              <w:t xml:space="preserve"> technology in comparison to conventional pro-tray media</w:t>
            </w:r>
          </w:p>
        </w:tc>
      </w:tr>
      <w:tr w:rsidR="00534905" w14:paraId="570D1A0E" w14:textId="77777777" w:rsidTr="007D2834">
        <w:tc>
          <w:tcPr>
            <w:tcW w:w="8478" w:type="dxa"/>
          </w:tcPr>
          <w:p w14:paraId="23C4FC3B" w14:textId="77777777" w:rsidR="00534905" w:rsidRDefault="00534905" w:rsidP="00C44944">
            <w:pPr>
              <w:jc w:val="both"/>
              <w:rPr>
                <w:rFonts w:ascii="Times New Roman" w:hAnsi="Times New Roman" w:cs="Times New Roman"/>
                <w:color w:val="000000" w:themeColor="text1"/>
                <w:sz w:val="24"/>
                <w:szCs w:val="24"/>
              </w:rPr>
            </w:pPr>
          </w:p>
        </w:tc>
      </w:tr>
      <w:tr w:rsidR="00534905" w14:paraId="1569EE3A" w14:textId="77777777" w:rsidTr="007D2834">
        <w:tc>
          <w:tcPr>
            <w:tcW w:w="8478" w:type="dxa"/>
          </w:tcPr>
          <w:p w14:paraId="2CAD74E3" w14:textId="77777777" w:rsidR="00534905" w:rsidRDefault="00534905" w:rsidP="009E162F">
            <w:pPr>
              <w:jc w:val="center"/>
              <w:rPr>
                <w:rFonts w:ascii="Times New Roman" w:hAnsi="Times New Roman" w:cs="Times New Roman"/>
                <w:color w:val="000000" w:themeColor="text1"/>
                <w:sz w:val="24"/>
                <w:szCs w:val="24"/>
              </w:rPr>
            </w:pPr>
            <w:r w:rsidRPr="00DF0BA2">
              <w:rPr>
                <w:rFonts w:ascii="Times New Roman" w:eastAsia="Times New Roman" w:hAnsi="Times New Roman" w:cs="Times New Roman"/>
                <w:b/>
                <w:bCs/>
                <w:noProof/>
                <w:color w:val="000000" w:themeColor="text1"/>
                <w:sz w:val="24"/>
                <w:szCs w:val="24"/>
              </w:rPr>
              <w:drawing>
                <wp:inline distT="0" distB="0" distL="0" distR="0" wp14:anchorId="184FA338" wp14:editId="42355B2F">
                  <wp:extent cx="3627120" cy="2180589"/>
                  <wp:effectExtent l="19050" t="19050" r="1143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3313" cy="2202348"/>
                          </a:xfrm>
                          <a:prstGeom prst="rect">
                            <a:avLst/>
                          </a:prstGeom>
                          <a:noFill/>
                          <a:ln>
                            <a:solidFill>
                              <a:sysClr val="windowText" lastClr="000000"/>
                            </a:solidFill>
                          </a:ln>
                        </pic:spPr>
                      </pic:pic>
                    </a:graphicData>
                  </a:graphic>
                </wp:inline>
              </w:drawing>
            </w:r>
          </w:p>
        </w:tc>
      </w:tr>
      <w:tr w:rsidR="00534905" w14:paraId="363F176B" w14:textId="77777777" w:rsidTr="007D2834">
        <w:tc>
          <w:tcPr>
            <w:tcW w:w="8478" w:type="dxa"/>
          </w:tcPr>
          <w:p w14:paraId="1BE4DEAB" w14:textId="77777777" w:rsidR="00534905" w:rsidRDefault="00534905" w:rsidP="0026183D">
            <w:pPr>
              <w:ind w:left="630" w:hanging="630"/>
              <w:jc w:val="both"/>
              <w:rPr>
                <w:rFonts w:ascii="Times New Roman" w:hAnsi="Times New Roman" w:cs="Times New Roman"/>
                <w:color w:val="000000" w:themeColor="text1"/>
                <w:sz w:val="24"/>
                <w:szCs w:val="24"/>
              </w:rPr>
            </w:pPr>
            <w:r w:rsidRPr="00DF0BA2">
              <w:rPr>
                <w:rFonts w:ascii="Times New Roman" w:eastAsia="Times New Roman" w:hAnsi="Times New Roman" w:cs="Times New Roman"/>
                <w:b/>
                <w:bCs/>
                <w:color w:val="000000" w:themeColor="text1"/>
                <w:szCs w:val="24"/>
              </w:rPr>
              <w:t xml:space="preserve">Fig. 7: Comparative study of Seedling Growth Potential Score </w:t>
            </w:r>
            <w:proofErr w:type="spellStart"/>
            <w:r w:rsidRPr="00DF0BA2">
              <w:rPr>
                <w:rFonts w:ascii="Times New Roman" w:eastAsia="Times New Roman" w:hAnsi="Times New Roman" w:cs="Times New Roman"/>
                <w:b/>
                <w:bCs/>
                <w:color w:val="000000" w:themeColor="text1"/>
                <w:szCs w:val="24"/>
              </w:rPr>
              <w:t>Score</w:t>
            </w:r>
            <w:proofErr w:type="spellEnd"/>
            <w:r w:rsidRPr="00DF0BA2">
              <w:rPr>
                <w:rFonts w:ascii="Times New Roman" w:eastAsia="Times New Roman" w:hAnsi="Times New Roman" w:cs="Times New Roman"/>
                <w:b/>
                <w:bCs/>
                <w:color w:val="000000" w:themeColor="text1"/>
                <w:szCs w:val="24"/>
              </w:rPr>
              <w:t xml:space="preserve"> (SGPS) – Growth Index of </w:t>
            </w:r>
            <w:proofErr w:type="spellStart"/>
            <w:r w:rsidRPr="00DF0BA2">
              <w:rPr>
                <w:rFonts w:ascii="Times New Roman" w:eastAsia="Times New Roman" w:hAnsi="Times New Roman" w:cs="Times New Roman"/>
                <w:b/>
                <w:bCs/>
                <w:color w:val="000000" w:themeColor="text1"/>
                <w:szCs w:val="24"/>
              </w:rPr>
              <w:t>coirpith</w:t>
            </w:r>
            <w:proofErr w:type="spellEnd"/>
            <w:r w:rsidRPr="00DF0BA2">
              <w:rPr>
                <w:rFonts w:ascii="Times New Roman" w:eastAsia="Times New Roman" w:hAnsi="Times New Roman" w:cs="Times New Roman"/>
                <w:b/>
                <w:bCs/>
                <w:color w:val="000000" w:themeColor="text1"/>
                <w:szCs w:val="24"/>
              </w:rPr>
              <w:t xml:space="preserve"> pro-tray media under </w:t>
            </w:r>
            <w:proofErr w:type="spellStart"/>
            <w:r w:rsidRPr="00DF0BA2">
              <w:rPr>
                <w:rFonts w:ascii="Times New Roman" w:eastAsia="Times New Roman" w:hAnsi="Times New Roman" w:cs="Times New Roman"/>
                <w:b/>
                <w:bCs/>
                <w:color w:val="000000" w:themeColor="text1"/>
                <w:szCs w:val="24"/>
              </w:rPr>
              <w:t>Novcom</w:t>
            </w:r>
            <w:proofErr w:type="spellEnd"/>
            <w:r w:rsidRPr="00DF0BA2">
              <w:rPr>
                <w:rFonts w:ascii="Times New Roman" w:eastAsia="Times New Roman" w:hAnsi="Times New Roman" w:cs="Times New Roman"/>
                <w:b/>
                <w:bCs/>
                <w:color w:val="000000" w:themeColor="text1"/>
                <w:szCs w:val="24"/>
              </w:rPr>
              <w:t xml:space="preserve"> technology in comparison to conventional pro-tray media</w:t>
            </w:r>
          </w:p>
        </w:tc>
      </w:tr>
    </w:tbl>
    <w:p w14:paraId="2D7240C9" w14:textId="77777777" w:rsidR="00AB29B1" w:rsidRDefault="00AB29B1" w:rsidP="00C44944">
      <w:pPr>
        <w:jc w:val="both"/>
        <w:rPr>
          <w:rFonts w:ascii="Times New Roman" w:hAnsi="Times New Roman"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DF0BA2" w:rsidRPr="00DF0BA2" w14:paraId="1E27544B" w14:textId="77777777" w:rsidTr="007D2834">
        <w:trPr>
          <w:trHeight w:val="4157"/>
        </w:trPr>
        <w:tc>
          <w:tcPr>
            <w:tcW w:w="9245" w:type="dxa"/>
          </w:tcPr>
          <w:p w14:paraId="132C1B7D" w14:textId="77777777" w:rsidR="005B52DB" w:rsidRPr="00DF0BA2" w:rsidRDefault="005B52DB" w:rsidP="009E162F">
            <w:pPr>
              <w:jc w:val="center"/>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noProof/>
                <w:color w:val="000000" w:themeColor="text1"/>
                <w:sz w:val="24"/>
                <w:szCs w:val="24"/>
              </w:rPr>
              <w:lastRenderedPageBreak/>
              <w:drawing>
                <wp:inline distT="0" distB="0" distL="0" distR="0" wp14:anchorId="13F7EAA0" wp14:editId="24B787BF">
                  <wp:extent cx="3733800" cy="2624966"/>
                  <wp:effectExtent l="19050" t="19050" r="1905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6753" cy="2648133"/>
                          </a:xfrm>
                          <a:prstGeom prst="rect">
                            <a:avLst/>
                          </a:prstGeom>
                          <a:noFill/>
                          <a:ln>
                            <a:solidFill>
                              <a:sysClr val="windowText" lastClr="000000"/>
                            </a:solidFill>
                          </a:ln>
                        </pic:spPr>
                      </pic:pic>
                    </a:graphicData>
                  </a:graphic>
                </wp:inline>
              </w:drawing>
            </w:r>
          </w:p>
        </w:tc>
      </w:tr>
      <w:tr w:rsidR="00DF0BA2" w:rsidRPr="00DF0BA2" w14:paraId="62EF6869" w14:textId="77777777" w:rsidTr="007D2834">
        <w:tc>
          <w:tcPr>
            <w:tcW w:w="9245" w:type="dxa"/>
          </w:tcPr>
          <w:p w14:paraId="65D97877" w14:textId="77777777" w:rsidR="005B52DB" w:rsidRPr="00DF0BA2" w:rsidRDefault="005B52DB" w:rsidP="0026183D">
            <w:pPr>
              <w:ind w:left="810" w:hanging="810"/>
              <w:jc w:val="both"/>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t xml:space="preserve">Fig. </w:t>
            </w:r>
            <w:r w:rsidR="0063503F" w:rsidRPr="00DF0BA2">
              <w:rPr>
                <w:rFonts w:ascii="Times New Roman" w:eastAsia="Times New Roman" w:hAnsi="Times New Roman" w:cs="Times New Roman"/>
                <w:b/>
                <w:bCs/>
                <w:color w:val="000000" w:themeColor="text1"/>
                <w:sz w:val="24"/>
                <w:szCs w:val="24"/>
              </w:rPr>
              <w:t>8</w:t>
            </w:r>
            <w:r w:rsidRPr="00DF0BA2">
              <w:rPr>
                <w:rFonts w:ascii="Times New Roman" w:eastAsia="Times New Roman" w:hAnsi="Times New Roman" w:cs="Times New Roman"/>
                <w:b/>
                <w:bCs/>
                <w:color w:val="000000" w:themeColor="text1"/>
                <w:sz w:val="24"/>
                <w:szCs w:val="24"/>
              </w:rPr>
              <w:t xml:space="preserve">: Comparative study of Seedling Suitability Score (PCS) – Suitability Index of </w:t>
            </w:r>
            <w:proofErr w:type="spellStart"/>
            <w:r w:rsidRPr="00DF0BA2">
              <w:rPr>
                <w:rFonts w:ascii="Times New Roman" w:eastAsia="Times New Roman" w:hAnsi="Times New Roman" w:cs="Times New Roman"/>
                <w:b/>
                <w:bCs/>
                <w:color w:val="000000" w:themeColor="text1"/>
                <w:sz w:val="24"/>
                <w:szCs w:val="24"/>
              </w:rPr>
              <w:t>coirpith</w:t>
            </w:r>
            <w:proofErr w:type="spellEnd"/>
            <w:r w:rsidRPr="00DF0BA2">
              <w:rPr>
                <w:rFonts w:ascii="Times New Roman" w:eastAsia="Times New Roman" w:hAnsi="Times New Roman" w:cs="Times New Roman"/>
                <w:b/>
                <w:bCs/>
                <w:color w:val="000000" w:themeColor="text1"/>
                <w:sz w:val="24"/>
                <w:szCs w:val="24"/>
              </w:rPr>
              <w:t xml:space="preserve"> pro-tray media under </w:t>
            </w: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technology in comparison to conventional pro-tray media</w:t>
            </w:r>
          </w:p>
        </w:tc>
      </w:tr>
    </w:tbl>
    <w:p w14:paraId="158575AA" w14:textId="77777777" w:rsidR="005B52DB" w:rsidRPr="00DF0BA2" w:rsidRDefault="005B52DB" w:rsidP="00C44944">
      <w:pPr>
        <w:jc w:val="both"/>
        <w:rPr>
          <w:rFonts w:ascii="Times New Roman" w:eastAsia="Times New Roman" w:hAnsi="Times New Roman" w:cs="Times New Roman"/>
          <w:b/>
          <w:bCs/>
          <w:color w:val="000000" w:themeColor="text1"/>
          <w:sz w:val="24"/>
          <w:szCs w:val="24"/>
        </w:rPr>
      </w:pPr>
    </w:p>
    <w:p w14:paraId="3BFFB55A" w14:textId="77777777" w:rsidR="00E75437" w:rsidRPr="00DF0BA2" w:rsidRDefault="00E75437" w:rsidP="00E75437">
      <w:pPr>
        <w:jc w:val="both"/>
        <w:rPr>
          <w:rFonts w:ascii="Times New Roman" w:eastAsia="Times New Roman" w:hAnsi="Times New Roman" w:cs="Times New Roman"/>
          <w:b/>
          <w:bCs/>
          <w:color w:val="000000" w:themeColor="text1"/>
          <w:sz w:val="24"/>
          <w:szCs w:val="24"/>
        </w:rPr>
      </w:pPr>
      <w:r w:rsidRPr="00DF0BA2">
        <w:rPr>
          <w:rFonts w:ascii="Times New Roman" w:hAnsi="Times New Roman" w:cs="Times New Roman"/>
          <w:b/>
          <w:color w:val="000000" w:themeColor="text1"/>
          <w:sz w:val="24"/>
          <w:szCs w:val="24"/>
        </w:rPr>
        <w:t xml:space="preserve">Comparative study of Seedling Vigor and Root Development in </w:t>
      </w:r>
      <w:proofErr w:type="spellStart"/>
      <w:r w:rsidRPr="00DF0BA2">
        <w:rPr>
          <w:rFonts w:ascii="Times New Roman" w:hAnsi="Times New Roman" w:cs="Times New Roman"/>
          <w:b/>
          <w:color w:val="000000" w:themeColor="text1"/>
          <w:sz w:val="24"/>
          <w:szCs w:val="24"/>
        </w:rPr>
        <w:t>Novcom</w:t>
      </w:r>
      <w:proofErr w:type="spellEnd"/>
      <w:r w:rsidRPr="00DF0BA2">
        <w:rPr>
          <w:rFonts w:ascii="Times New Roman" w:hAnsi="Times New Roman" w:cs="Times New Roman"/>
          <w:b/>
          <w:color w:val="000000" w:themeColor="text1"/>
          <w:sz w:val="24"/>
          <w:szCs w:val="24"/>
        </w:rPr>
        <w:t xml:space="preserve">-Treated </w:t>
      </w:r>
      <w:proofErr w:type="spellStart"/>
      <w:r w:rsidRPr="00DF0BA2">
        <w:rPr>
          <w:rFonts w:ascii="Times New Roman" w:hAnsi="Times New Roman" w:cs="Times New Roman"/>
          <w:b/>
          <w:color w:val="000000" w:themeColor="text1"/>
          <w:sz w:val="24"/>
          <w:szCs w:val="24"/>
        </w:rPr>
        <w:t>Coirpith</w:t>
      </w:r>
      <w:proofErr w:type="spellEnd"/>
      <w:r w:rsidRPr="00DF0BA2">
        <w:rPr>
          <w:rFonts w:ascii="Times New Roman" w:hAnsi="Times New Roman" w:cs="Times New Roman"/>
          <w:b/>
          <w:color w:val="000000" w:themeColor="text1"/>
          <w:sz w:val="24"/>
          <w:szCs w:val="24"/>
        </w:rPr>
        <w:t xml:space="preserve"> Pro-Tray Media Compared to Conventional Substrates</w:t>
      </w:r>
    </w:p>
    <w:p w14:paraId="5BDD192E" w14:textId="77777777" w:rsidR="00E75437" w:rsidRPr="00DF0BA2" w:rsidRDefault="00E75437" w:rsidP="00534905">
      <w:pPr>
        <w:pStyle w:val="Heading2"/>
        <w:spacing w:before="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Comparative Performance of Seedlings</w:t>
      </w:r>
    </w:p>
    <w:p w14:paraId="4C1BF199" w14:textId="77777777" w:rsidR="00E75437" w:rsidRPr="00DF0BA2" w:rsidRDefault="00E75437" w:rsidP="00534905">
      <w:pPr>
        <w:pStyle w:val="NormalWeb"/>
        <w:spacing w:before="0" w:beforeAutospacing="0" w:after="0" w:afterAutospacing="0"/>
        <w:jc w:val="both"/>
        <w:rPr>
          <w:color w:val="000000" w:themeColor="text1"/>
        </w:rPr>
      </w:pPr>
      <w:r w:rsidRPr="00DF0BA2">
        <w:rPr>
          <w:color w:val="000000" w:themeColor="text1"/>
        </w:rPr>
        <w:t xml:space="preserve">Table 4 shows that </w:t>
      </w:r>
      <w:proofErr w:type="spellStart"/>
      <w:r w:rsidRPr="00DF0BA2">
        <w:rPr>
          <w:color w:val="000000" w:themeColor="text1"/>
        </w:rPr>
        <w:t>Novcom</w:t>
      </w:r>
      <w:proofErr w:type="spellEnd"/>
      <w:r w:rsidRPr="00DF0BA2">
        <w:rPr>
          <w:color w:val="000000" w:themeColor="text1"/>
        </w:rPr>
        <w:t xml:space="preserve">-treated coir pith consistently outperformed both untreated and conventional substrates in promoting seedling vigor. Gains were most pronounced in root growth and </w:t>
      </w:r>
      <w:proofErr w:type="spellStart"/>
      <w:proofErr w:type="gramStart"/>
      <w:r w:rsidRPr="00DF0BA2">
        <w:rPr>
          <w:color w:val="000000" w:themeColor="text1"/>
        </w:rPr>
        <w:t>root:shoot</w:t>
      </w:r>
      <w:proofErr w:type="spellEnd"/>
      <w:proofErr w:type="gramEnd"/>
      <w:r w:rsidRPr="00DF0BA2">
        <w:rPr>
          <w:color w:val="000000" w:themeColor="text1"/>
        </w:rPr>
        <w:t xml:space="preserve"> allocation, although germination percentage, leaf numbers, and shoot elongation also improved. Across cauliflower, tomato, and </w:t>
      </w:r>
      <w:proofErr w:type="spellStart"/>
      <w:r w:rsidRPr="00DF0BA2">
        <w:rPr>
          <w:color w:val="000000" w:themeColor="text1"/>
        </w:rPr>
        <w:t>chilli</w:t>
      </w:r>
      <w:proofErr w:type="spellEnd"/>
      <w:r w:rsidRPr="00DF0BA2">
        <w:rPr>
          <w:color w:val="000000" w:themeColor="text1"/>
        </w:rPr>
        <w:t xml:space="preserve">, </w:t>
      </w:r>
      <w:proofErr w:type="spellStart"/>
      <w:r w:rsidRPr="00DF0BA2">
        <w:rPr>
          <w:color w:val="000000" w:themeColor="text1"/>
        </w:rPr>
        <w:t>Novcom</w:t>
      </w:r>
      <w:proofErr w:type="spellEnd"/>
      <w:r w:rsidRPr="00DF0BA2">
        <w:rPr>
          <w:color w:val="000000" w:themeColor="text1"/>
        </w:rPr>
        <w:t xml:space="preserve"> substrates (fresh, 2-month, 4-month) promoted stronger seedling establishment. In only-</w:t>
      </w:r>
      <w:proofErr w:type="spellStart"/>
      <w:r w:rsidRPr="00DF0BA2">
        <w:rPr>
          <w:color w:val="000000" w:themeColor="text1"/>
        </w:rPr>
        <w:t>coirpith</w:t>
      </w:r>
      <w:proofErr w:type="spellEnd"/>
      <w:r w:rsidRPr="00DF0BA2">
        <w:rPr>
          <w:color w:val="000000" w:themeColor="text1"/>
        </w:rPr>
        <w:t xml:space="preserve"> media, 4-month </w:t>
      </w:r>
      <w:proofErr w:type="spellStart"/>
      <w:r w:rsidRPr="00DF0BA2">
        <w:rPr>
          <w:color w:val="000000" w:themeColor="text1"/>
        </w:rPr>
        <w:t>Novcom</w:t>
      </w:r>
      <w:proofErr w:type="spellEnd"/>
      <w:r w:rsidRPr="00DF0BA2">
        <w:rPr>
          <w:color w:val="000000" w:themeColor="text1"/>
        </w:rPr>
        <w:t xml:space="preserve"> enhanced root length by 16.5% (cauliflower), 20.3% (tomato), and 26.7% (</w:t>
      </w:r>
      <w:proofErr w:type="spellStart"/>
      <w:r w:rsidRPr="00DF0BA2">
        <w:rPr>
          <w:color w:val="000000" w:themeColor="text1"/>
        </w:rPr>
        <w:t>chilli</w:t>
      </w:r>
      <w:proofErr w:type="spellEnd"/>
      <w:r w:rsidRPr="00DF0BA2">
        <w:rPr>
          <w:color w:val="000000" w:themeColor="text1"/>
        </w:rPr>
        <w:t xml:space="preserve">). With </w:t>
      </w:r>
      <w:proofErr w:type="spellStart"/>
      <w:r w:rsidRPr="00DF0BA2">
        <w:rPr>
          <w:color w:val="000000" w:themeColor="text1"/>
        </w:rPr>
        <w:t>gypsum+urea</w:t>
      </w:r>
      <w:proofErr w:type="spellEnd"/>
      <w:r w:rsidRPr="00DF0BA2">
        <w:rPr>
          <w:color w:val="000000" w:themeColor="text1"/>
        </w:rPr>
        <w:t xml:space="preserve"> pretreatment, improvements rose to 23.2%, 28.5%, and 37.5% respectively, confirming a synergistic effect. </w:t>
      </w:r>
      <w:proofErr w:type="spellStart"/>
      <w:r w:rsidRPr="00DF0BA2">
        <w:rPr>
          <w:color w:val="000000" w:themeColor="text1"/>
        </w:rPr>
        <w:t>Root:shoot</w:t>
      </w:r>
      <w:proofErr w:type="spellEnd"/>
      <w:r w:rsidRPr="00DF0BA2">
        <w:rPr>
          <w:color w:val="000000" w:themeColor="text1"/>
        </w:rPr>
        <w:t xml:space="preserve"> ratios also increased significantly; in tomato, the ratio improved from 0.39–0.43 (conventional) to 0.49 (</w:t>
      </w:r>
      <w:proofErr w:type="spellStart"/>
      <w:r w:rsidRPr="00DF0BA2">
        <w:rPr>
          <w:color w:val="000000" w:themeColor="text1"/>
        </w:rPr>
        <w:t>Novcom</w:t>
      </w:r>
      <w:proofErr w:type="spellEnd"/>
      <w:r w:rsidRPr="00DF0BA2">
        <w:rPr>
          <w:color w:val="000000" w:themeColor="text1"/>
        </w:rPr>
        <w:t>), reflecting greater below-ground allocation and resilience potential.</w:t>
      </w:r>
    </w:p>
    <w:p w14:paraId="67104608" w14:textId="77777777" w:rsidR="00534905" w:rsidRDefault="00534905" w:rsidP="00534905">
      <w:pPr>
        <w:pStyle w:val="Heading2"/>
        <w:spacing w:before="0" w:line="240" w:lineRule="auto"/>
        <w:jc w:val="both"/>
        <w:rPr>
          <w:rFonts w:ascii="Times New Roman" w:hAnsi="Times New Roman" w:cs="Times New Roman"/>
          <w:color w:val="000000" w:themeColor="text1"/>
          <w:sz w:val="24"/>
          <w:szCs w:val="24"/>
        </w:rPr>
      </w:pPr>
    </w:p>
    <w:p w14:paraId="765B9DBC" w14:textId="77777777" w:rsidR="00534905" w:rsidRPr="00DF0BA2" w:rsidRDefault="00534905"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Mechanisms Driving Root Enhancement</w:t>
      </w:r>
    </w:p>
    <w:p w14:paraId="33BF26AA" w14:textId="77777777" w:rsidR="00534905" w:rsidRPr="00DF0BA2" w:rsidRDefault="00534905" w:rsidP="00534905">
      <w:pPr>
        <w:pStyle w:val="NormalWeb"/>
        <w:spacing w:before="0" w:beforeAutospacing="0" w:after="0" w:afterAutospacing="0"/>
        <w:jc w:val="both"/>
        <w:rPr>
          <w:color w:val="000000" w:themeColor="text1"/>
        </w:rPr>
      </w:pPr>
      <w:r w:rsidRPr="00DF0BA2">
        <w:rPr>
          <w:color w:val="000000" w:themeColor="text1"/>
        </w:rPr>
        <w:t xml:space="preserve">These root gains align with physicochemical changes in </w:t>
      </w:r>
      <w:proofErr w:type="spellStart"/>
      <w:r w:rsidRPr="00DF0BA2">
        <w:rPr>
          <w:color w:val="000000" w:themeColor="text1"/>
        </w:rPr>
        <w:t>Novcom</w:t>
      </w:r>
      <w:proofErr w:type="spellEnd"/>
      <w:r w:rsidRPr="00DF0BA2">
        <w:rPr>
          <w:color w:val="000000" w:themeColor="text1"/>
        </w:rPr>
        <w:t xml:space="preserve">-processed media. Lower lignin fractions, reduced C:N ratio, greater nutrient availability, and decreased soluble Na collectively facilitated root penetration and elongation (Bernal et al., 2009). Better porosity supported aeration and reduced mechanical impedance, while lowered phytotoxins and salinity reduced metabolic stress (Khan et al., 2006). </w:t>
      </w:r>
      <w:proofErr w:type="spellStart"/>
      <w:r w:rsidRPr="00DF0BA2">
        <w:rPr>
          <w:color w:val="000000" w:themeColor="text1"/>
        </w:rPr>
        <w:t>Gypsum+urea</w:t>
      </w:r>
      <w:proofErr w:type="spellEnd"/>
      <w:r w:rsidRPr="00DF0BA2">
        <w:rPr>
          <w:color w:val="000000" w:themeColor="text1"/>
        </w:rPr>
        <w:t xml:space="preserve"> pretreatment amplified these effects by correcting </w:t>
      </w:r>
      <w:proofErr w:type="spellStart"/>
      <w:proofErr w:type="gramStart"/>
      <w:r w:rsidRPr="00DF0BA2">
        <w:rPr>
          <w:color w:val="000000" w:themeColor="text1"/>
        </w:rPr>
        <w:t>Ca:Na</w:t>
      </w:r>
      <w:proofErr w:type="spellEnd"/>
      <w:proofErr w:type="gramEnd"/>
      <w:r w:rsidRPr="00DF0BA2">
        <w:rPr>
          <w:color w:val="000000" w:themeColor="text1"/>
        </w:rPr>
        <w:t xml:space="preserve"> imbalances and providing labile N to stimulate microbial lignocellulose degradation. Among crops, </w:t>
      </w:r>
      <w:proofErr w:type="spellStart"/>
      <w:r w:rsidRPr="00DF0BA2">
        <w:rPr>
          <w:color w:val="000000" w:themeColor="text1"/>
        </w:rPr>
        <w:t>chilli</w:t>
      </w:r>
      <w:proofErr w:type="spellEnd"/>
      <w:r w:rsidRPr="00DF0BA2">
        <w:rPr>
          <w:color w:val="000000" w:themeColor="text1"/>
        </w:rPr>
        <w:t xml:space="preserve"> showed the strongest synergistic response, with a 37.5% root length increase under </w:t>
      </w:r>
      <w:proofErr w:type="spellStart"/>
      <w:r w:rsidRPr="00DF0BA2">
        <w:rPr>
          <w:color w:val="000000" w:themeColor="text1"/>
        </w:rPr>
        <w:t>gypsum+urea+Novcom</w:t>
      </w:r>
      <w:proofErr w:type="spellEnd"/>
      <w:r w:rsidRPr="00DF0BA2">
        <w:rPr>
          <w:color w:val="000000" w:themeColor="text1"/>
        </w:rPr>
        <w:t>.</w:t>
      </w:r>
    </w:p>
    <w:p w14:paraId="473B1ADA" w14:textId="77777777" w:rsidR="005B52DB" w:rsidRPr="00DF0BA2" w:rsidRDefault="005B52DB" w:rsidP="00C44944">
      <w:pPr>
        <w:jc w:val="both"/>
        <w:rPr>
          <w:rFonts w:ascii="Times New Roman" w:eastAsia="Times New Roman" w:hAnsi="Times New Roman" w:cs="Times New Roman"/>
          <w:b/>
          <w:bCs/>
          <w:color w:val="000000" w:themeColor="text1"/>
          <w:sz w:val="24"/>
          <w:szCs w:val="24"/>
        </w:rPr>
        <w:sectPr w:rsidR="005B52DB" w:rsidRPr="00DF0BA2" w:rsidSect="005B52DB">
          <w:pgSz w:w="11909" w:h="16834" w:code="9"/>
          <w:pgMar w:top="1440" w:right="1440" w:bottom="1440" w:left="1440" w:header="720" w:footer="720" w:gutter="0"/>
          <w:cols w:space="720"/>
          <w:docGrid w:linePitch="360"/>
        </w:sectPr>
      </w:pPr>
      <w:r w:rsidRPr="00DF0BA2">
        <w:rPr>
          <w:rFonts w:ascii="Times New Roman" w:eastAsia="Times New Roman" w:hAnsi="Times New Roman" w:cs="Times New Roman"/>
          <w:b/>
          <w:bCs/>
          <w:color w:val="000000" w:themeColor="text1"/>
          <w:sz w:val="24"/>
          <w:szCs w:val="24"/>
        </w:rPr>
        <w:br w:type="page"/>
      </w:r>
    </w:p>
    <w:p w14:paraId="418207E5" w14:textId="77777777" w:rsidR="005B52DB" w:rsidRPr="00DF0BA2" w:rsidRDefault="005B52DB" w:rsidP="00C44944">
      <w:pPr>
        <w:jc w:val="both"/>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lastRenderedPageBreak/>
        <w:t xml:space="preserve">Table </w:t>
      </w:r>
      <w:proofErr w:type="gramStart"/>
      <w:r w:rsidRPr="00DF0BA2">
        <w:rPr>
          <w:rFonts w:ascii="Times New Roman" w:eastAsia="Times New Roman" w:hAnsi="Times New Roman" w:cs="Times New Roman"/>
          <w:b/>
          <w:bCs/>
          <w:color w:val="000000" w:themeColor="text1"/>
          <w:sz w:val="24"/>
          <w:szCs w:val="24"/>
        </w:rPr>
        <w:t>4 :</w:t>
      </w:r>
      <w:proofErr w:type="gramEnd"/>
      <w:r w:rsidRPr="00DF0BA2">
        <w:rPr>
          <w:rFonts w:ascii="Times New Roman" w:eastAsia="Times New Roman" w:hAnsi="Times New Roman" w:cs="Times New Roman"/>
          <w:b/>
          <w:bCs/>
          <w:color w:val="000000" w:themeColor="text1"/>
          <w:sz w:val="24"/>
          <w:szCs w:val="24"/>
        </w:rPr>
        <w:t xml:space="preserve"> Comparative study of seedling development of coir pith growing </w:t>
      </w:r>
      <w:proofErr w:type="gramStart"/>
      <w:r w:rsidRPr="00DF0BA2">
        <w:rPr>
          <w:rFonts w:ascii="Times New Roman" w:eastAsia="Times New Roman" w:hAnsi="Times New Roman" w:cs="Times New Roman"/>
          <w:b/>
          <w:bCs/>
          <w:color w:val="000000" w:themeColor="text1"/>
          <w:sz w:val="24"/>
          <w:szCs w:val="24"/>
        </w:rPr>
        <w:t>media  developed</w:t>
      </w:r>
      <w:proofErr w:type="gramEnd"/>
      <w:r w:rsidRPr="00DF0BA2">
        <w:rPr>
          <w:rFonts w:ascii="Times New Roman" w:eastAsia="Times New Roman" w:hAnsi="Times New Roman" w:cs="Times New Roman"/>
          <w:b/>
          <w:bCs/>
          <w:color w:val="000000" w:themeColor="text1"/>
          <w:sz w:val="24"/>
          <w:szCs w:val="24"/>
        </w:rPr>
        <w:t xml:space="preserve"> under conventional and </w:t>
      </w: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treatment</w:t>
      </w:r>
    </w:p>
    <w:tbl>
      <w:tblPr>
        <w:tblW w:w="13894" w:type="dxa"/>
        <w:tblInd w:w="93" w:type="dxa"/>
        <w:tblBorders>
          <w:top w:val="single" w:sz="4" w:space="0" w:color="auto"/>
          <w:bottom w:val="single" w:sz="4" w:space="0" w:color="auto"/>
        </w:tblBorders>
        <w:tblLayout w:type="fixed"/>
        <w:tblLook w:val="04A0" w:firstRow="1" w:lastRow="0" w:firstColumn="1" w:lastColumn="0" w:noHBand="0" w:noVBand="1"/>
      </w:tblPr>
      <w:tblGrid>
        <w:gridCol w:w="511"/>
        <w:gridCol w:w="1339"/>
        <w:gridCol w:w="1220"/>
        <w:gridCol w:w="905"/>
        <w:gridCol w:w="1294"/>
        <w:gridCol w:w="1136"/>
        <w:gridCol w:w="1170"/>
        <w:gridCol w:w="1080"/>
        <w:gridCol w:w="933"/>
        <w:gridCol w:w="1137"/>
        <w:gridCol w:w="1080"/>
        <w:gridCol w:w="1078"/>
        <w:gridCol w:w="1011"/>
      </w:tblGrid>
      <w:tr w:rsidR="005B52DB" w:rsidRPr="00DF0BA2" w14:paraId="47171249" w14:textId="77777777" w:rsidTr="005B52DB">
        <w:trPr>
          <w:trHeight w:val="375"/>
        </w:trPr>
        <w:tc>
          <w:tcPr>
            <w:tcW w:w="511" w:type="dxa"/>
            <w:vMerge w:val="restart"/>
            <w:tcBorders>
              <w:top w:val="single" w:sz="4" w:space="0" w:color="auto"/>
              <w:bottom w:val="nil"/>
            </w:tcBorders>
            <w:vAlign w:val="center"/>
            <w:hideMark/>
          </w:tcPr>
          <w:p w14:paraId="3475A8D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Sl. No.</w:t>
            </w:r>
          </w:p>
        </w:tc>
        <w:tc>
          <w:tcPr>
            <w:tcW w:w="2559" w:type="dxa"/>
            <w:gridSpan w:val="2"/>
            <w:vMerge w:val="restart"/>
            <w:tcBorders>
              <w:top w:val="single" w:sz="4" w:space="0" w:color="auto"/>
              <w:bottom w:val="single" w:sz="4" w:space="0" w:color="auto"/>
              <w:right w:val="single" w:sz="4" w:space="0" w:color="auto"/>
            </w:tcBorders>
            <w:vAlign w:val="center"/>
            <w:hideMark/>
          </w:tcPr>
          <w:p w14:paraId="20DB395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Parameters</w:t>
            </w:r>
          </w:p>
        </w:tc>
        <w:tc>
          <w:tcPr>
            <w:tcW w:w="5585" w:type="dxa"/>
            <w:gridSpan w:val="5"/>
            <w:tcBorders>
              <w:top w:val="single" w:sz="4" w:space="0" w:color="auto"/>
              <w:left w:val="single" w:sz="4" w:space="0" w:color="auto"/>
              <w:bottom w:val="single" w:sz="4" w:space="0" w:color="auto"/>
              <w:right w:val="single" w:sz="4" w:space="0" w:color="auto"/>
            </w:tcBorders>
            <w:vAlign w:val="center"/>
            <w:hideMark/>
          </w:tcPr>
          <w:p w14:paraId="15339467" w14:textId="77777777" w:rsidR="005B52DB" w:rsidRPr="00DF0BA2" w:rsidRDefault="005B52DB" w:rsidP="007D2834">
            <w:pPr>
              <w:spacing w:after="0" w:line="216" w:lineRule="auto"/>
              <w:jc w:val="center"/>
              <w:rPr>
                <w:rFonts w:ascii="Times New Roman" w:eastAsia="Times New Roman" w:hAnsi="Times New Roman" w:cs="Times New Roman"/>
                <w:b/>
                <w:color w:val="000000" w:themeColor="text1"/>
                <w:sz w:val="20"/>
                <w:szCs w:val="24"/>
              </w:rPr>
            </w:pPr>
            <w:r w:rsidRPr="00DF0BA2">
              <w:rPr>
                <w:rFonts w:ascii="Times New Roman" w:eastAsia="Times New Roman" w:hAnsi="Times New Roman" w:cs="Times New Roman"/>
                <w:b/>
                <w:color w:val="000000" w:themeColor="text1"/>
                <w:sz w:val="20"/>
                <w:szCs w:val="24"/>
              </w:rPr>
              <w:t>Only Coir Pith</w:t>
            </w:r>
          </w:p>
        </w:tc>
        <w:tc>
          <w:tcPr>
            <w:tcW w:w="5239" w:type="dxa"/>
            <w:gridSpan w:val="5"/>
            <w:tcBorders>
              <w:top w:val="single" w:sz="4" w:space="0" w:color="auto"/>
              <w:left w:val="single" w:sz="4" w:space="0" w:color="auto"/>
              <w:bottom w:val="single" w:sz="4" w:space="0" w:color="auto"/>
            </w:tcBorders>
            <w:vAlign w:val="center"/>
            <w:hideMark/>
          </w:tcPr>
          <w:p w14:paraId="76D0E611" w14:textId="77777777" w:rsidR="005B52DB" w:rsidRPr="00DF0BA2" w:rsidRDefault="005B52DB" w:rsidP="00C44944">
            <w:pPr>
              <w:spacing w:after="0" w:line="216" w:lineRule="auto"/>
              <w:jc w:val="both"/>
              <w:rPr>
                <w:rFonts w:ascii="Times New Roman" w:eastAsia="Times New Roman" w:hAnsi="Times New Roman" w:cs="Times New Roman"/>
                <w:b/>
                <w:color w:val="000000" w:themeColor="text1"/>
                <w:sz w:val="20"/>
                <w:szCs w:val="24"/>
              </w:rPr>
            </w:pPr>
            <w:r w:rsidRPr="00DF0BA2">
              <w:rPr>
                <w:rFonts w:ascii="Times New Roman" w:eastAsia="Times New Roman" w:hAnsi="Times New Roman" w:cs="Times New Roman"/>
                <w:b/>
                <w:color w:val="000000" w:themeColor="text1"/>
                <w:sz w:val="20"/>
                <w:szCs w:val="24"/>
              </w:rPr>
              <w:t xml:space="preserve"> Coir Pith treated with Gypsum and urea treatment</w:t>
            </w:r>
          </w:p>
        </w:tc>
      </w:tr>
      <w:tr w:rsidR="005B52DB" w:rsidRPr="00DF0BA2" w14:paraId="6E91F802" w14:textId="77777777" w:rsidTr="005B52DB">
        <w:trPr>
          <w:trHeight w:val="1529"/>
        </w:trPr>
        <w:tc>
          <w:tcPr>
            <w:tcW w:w="511" w:type="dxa"/>
            <w:vMerge/>
            <w:tcBorders>
              <w:top w:val="nil"/>
              <w:bottom w:val="single" w:sz="4" w:space="0" w:color="auto"/>
            </w:tcBorders>
            <w:vAlign w:val="center"/>
            <w:hideMark/>
          </w:tcPr>
          <w:p w14:paraId="5B255AF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2559" w:type="dxa"/>
            <w:gridSpan w:val="2"/>
            <w:vMerge/>
            <w:tcBorders>
              <w:top w:val="nil"/>
              <w:bottom w:val="single" w:sz="4" w:space="0" w:color="auto"/>
              <w:right w:val="single" w:sz="4" w:space="0" w:color="auto"/>
            </w:tcBorders>
            <w:vAlign w:val="center"/>
            <w:hideMark/>
          </w:tcPr>
          <w:p w14:paraId="431F13B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905" w:type="dxa"/>
            <w:tcBorders>
              <w:top w:val="single" w:sz="4" w:space="0" w:color="auto"/>
              <w:left w:val="single" w:sz="4" w:space="0" w:color="auto"/>
              <w:bottom w:val="single" w:sz="4" w:space="0" w:color="auto"/>
            </w:tcBorders>
            <w:vAlign w:val="center"/>
            <w:hideMark/>
          </w:tcPr>
          <w:p w14:paraId="1A441B7D"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Control</w:t>
            </w:r>
          </w:p>
        </w:tc>
        <w:tc>
          <w:tcPr>
            <w:tcW w:w="1294" w:type="dxa"/>
            <w:tcBorders>
              <w:top w:val="single" w:sz="4" w:space="0" w:color="auto"/>
              <w:bottom w:val="single" w:sz="4" w:space="0" w:color="auto"/>
            </w:tcBorders>
            <w:vAlign w:val="center"/>
            <w:hideMark/>
          </w:tcPr>
          <w:p w14:paraId="41DF533E"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Conventional Process (12 Months)</w:t>
            </w:r>
          </w:p>
        </w:tc>
        <w:tc>
          <w:tcPr>
            <w:tcW w:w="1136" w:type="dxa"/>
            <w:tcBorders>
              <w:top w:val="single" w:sz="4" w:space="0" w:color="auto"/>
              <w:bottom w:val="single" w:sz="4" w:space="0" w:color="auto"/>
            </w:tcBorders>
            <w:vAlign w:val="center"/>
            <w:hideMark/>
          </w:tcPr>
          <w:p w14:paraId="2F893A48"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Fresh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170" w:type="dxa"/>
            <w:tcBorders>
              <w:top w:val="single" w:sz="4" w:space="0" w:color="auto"/>
              <w:bottom w:val="single" w:sz="4" w:space="0" w:color="auto"/>
            </w:tcBorders>
            <w:vAlign w:val="center"/>
            <w:hideMark/>
          </w:tcPr>
          <w:p w14:paraId="3E8D9DF2"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2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080" w:type="dxa"/>
            <w:tcBorders>
              <w:top w:val="single" w:sz="4" w:space="0" w:color="auto"/>
              <w:bottom w:val="single" w:sz="4" w:space="0" w:color="auto"/>
              <w:right w:val="single" w:sz="4" w:space="0" w:color="auto"/>
            </w:tcBorders>
            <w:vAlign w:val="center"/>
            <w:hideMark/>
          </w:tcPr>
          <w:p w14:paraId="59F112D2"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4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933" w:type="dxa"/>
            <w:tcBorders>
              <w:top w:val="single" w:sz="4" w:space="0" w:color="auto"/>
              <w:left w:val="single" w:sz="4" w:space="0" w:color="auto"/>
              <w:bottom w:val="single" w:sz="4" w:space="0" w:color="auto"/>
            </w:tcBorders>
            <w:vAlign w:val="center"/>
            <w:hideMark/>
          </w:tcPr>
          <w:p w14:paraId="106BEE30"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Control</w:t>
            </w:r>
          </w:p>
        </w:tc>
        <w:tc>
          <w:tcPr>
            <w:tcW w:w="1137" w:type="dxa"/>
            <w:tcBorders>
              <w:top w:val="single" w:sz="4" w:space="0" w:color="auto"/>
              <w:bottom w:val="single" w:sz="4" w:space="0" w:color="auto"/>
            </w:tcBorders>
            <w:vAlign w:val="center"/>
            <w:hideMark/>
          </w:tcPr>
          <w:p w14:paraId="179D707F"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Conventional Process (12 Months)</w:t>
            </w:r>
          </w:p>
        </w:tc>
        <w:tc>
          <w:tcPr>
            <w:tcW w:w="1080" w:type="dxa"/>
            <w:tcBorders>
              <w:top w:val="single" w:sz="4" w:space="0" w:color="auto"/>
              <w:bottom w:val="single" w:sz="4" w:space="0" w:color="auto"/>
            </w:tcBorders>
            <w:vAlign w:val="center"/>
            <w:hideMark/>
          </w:tcPr>
          <w:p w14:paraId="0DF16F70"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Fresh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078" w:type="dxa"/>
            <w:tcBorders>
              <w:top w:val="single" w:sz="4" w:space="0" w:color="auto"/>
              <w:bottom w:val="single" w:sz="4" w:space="0" w:color="auto"/>
            </w:tcBorders>
            <w:vAlign w:val="center"/>
            <w:hideMark/>
          </w:tcPr>
          <w:p w14:paraId="024CD11E"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2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011" w:type="dxa"/>
            <w:tcBorders>
              <w:top w:val="single" w:sz="4" w:space="0" w:color="auto"/>
              <w:bottom w:val="single" w:sz="4" w:space="0" w:color="auto"/>
            </w:tcBorders>
            <w:vAlign w:val="center"/>
            <w:hideMark/>
          </w:tcPr>
          <w:p w14:paraId="57FF0C91" w14:textId="77777777" w:rsidR="005B52DB" w:rsidRPr="00DF0BA2" w:rsidRDefault="005B52DB" w:rsidP="0026183D">
            <w:pPr>
              <w:spacing w:after="0" w:line="216" w:lineRule="auto"/>
              <w:ind w:left="-103"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4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r>
      <w:tr w:rsidR="005B52DB" w:rsidRPr="00DF0BA2" w14:paraId="026BADF5" w14:textId="77777777" w:rsidTr="005B52DB">
        <w:trPr>
          <w:trHeight w:val="251"/>
        </w:trPr>
        <w:tc>
          <w:tcPr>
            <w:tcW w:w="13894" w:type="dxa"/>
            <w:gridSpan w:val="13"/>
            <w:tcBorders>
              <w:top w:val="single" w:sz="4" w:space="0" w:color="auto"/>
              <w:bottom w:val="single" w:sz="4" w:space="0" w:color="auto"/>
            </w:tcBorders>
            <w:vAlign w:val="center"/>
            <w:hideMark/>
          </w:tcPr>
          <w:p w14:paraId="70E453B1" w14:textId="77777777" w:rsidR="005B52DB" w:rsidRPr="00DF0BA2" w:rsidRDefault="005B52DB" w:rsidP="00C44944">
            <w:pPr>
              <w:spacing w:after="0" w:line="21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Germination %</w:t>
            </w:r>
          </w:p>
        </w:tc>
      </w:tr>
      <w:tr w:rsidR="005B52DB" w:rsidRPr="00DF0BA2" w14:paraId="44E41691" w14:textId="77777777" w:rsidTr="005B52DB">
        <w:trPr>
          <w:trHeight w:val="315"/>
        </w:trPr>
        <w:tc>
          <w:tcPr>
            <w:tcW w:w="511" w:type="dxa"/>
            <w:tcBorders>
              <w:top w:val="single" w:sz="4" w:space="0" w:color="auto"/>
            </w:tcBorders>
            <w:vAlign w:val="center"/>
            <w:hideMark/>
          </w:tcPr>
          <w:p w14:paraId="77FD3ED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w:t>
            </w:r>
          </w:p>
        </w:tc>
        <w:tc>
          <w:tcPr>
            <w:tcW w:w="1339" w:type="dxa"/>
            <w:vMerge w:val="restart"/>
            <w:tcBorders>
              <w:top w:val="single" w:sz="4" w:space="0" w:color="auto"/>
            </w:tcBorders>
            <w:vAlign w:val="center"/>
            <w:hideMark/>
          </w:tcPr>
          <w:p w14:paraId="49605F6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Germination %</w:t>
            </w:r>
          </w:p>
        </w:tc>
        <w:tc>
          <w:tcPr>
            <w:tcW w:w="1220" w:type="dxa"/>
            <w:tcBorders>
              <w:top w:val="single" w:sz="4" w:space="0" w:color="auto"/>
              <w:bottom w:val="nil"/>
              <w:right w:val="single" w:sz="4" w:space="0" w:color="auto"/>
            </w:tcBorders>
            <w:vAlign w:val="center"/>
            <w:hideMark/>
          </w:tcPr>
          <w:p w14:paraId="1137C94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Cauliflower</w:t>
            </w:r>
          </w:p>
        </w:tc>
        <w:tc>
          <w:tcPr>
            <w:tcW w:w="905" w:type="dxa"/>
            <w:tcBorders>
              <w:top w:val="single" w:sz="4" w:space="0" w:color="auto"/>
              <w:left w:val="single" w:sz="4" w:space="0" w:color="auto"/>
            </w:tcBorders>
            <w:vAlign w:val="center"/>
            <w:hideMark/>
          </w:tcPr>
          <w:p w14:paraId="2432909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2.04</w:t>
            </w:r>
          </w:p>
        </w:tc>
        <w:tc>
          <w:tcPr>
            <w:tcW w:w="1294" w:type="dxa"/>
            <w:tcBorders>
              <w:top w:val="single" w:sz="4" w:space="0" w:color="auto"/>
            </w:tcBorders>
            <w:vAlign w:val="center"/>
            <w:hideMark/>
          </w:tcPr>
          <w:p w14:paraId="42E2209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83.67</w:t>
            </w:r>
          </w:p>
        </w:tc>
        <w:tc>
          <w:tcPr>
            <w:tcW w:w="1136" w:type="dxa"/>
            <w:tcBorders>
              <w:top w:val="single" w:sz="4" w:space="0" w:color="auto"/>
            </w:tcBorders>
            <w:vAlign w:val="center"/>
            <w:hideMark/>
          </w:tcPr>
          <w:p w14:paraId="78080C2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85.71</w:t>
            </w:r>
          </w:p>
        </w:tc>
        <w:tc>
          <w:tcPr>
            <w:tcW w:w="1170" w:type="dxa"/>
            <w:tcBorders>
              <w:top w:val="single" w:sz="4" w:space="0" w:color="auto"/>
            </w:tcBorders>
            <w:vAlign w:val="center"/>
            <w:hideMark/>
          </w:tcPr>
          <w:p w14:paraId="67C6235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87.76</w:t>
            </w:r>
          </w:p>
        </w:tc>
        <w:tc>
          <w:tcPr>
            <w:tcW w:w="1080" w:type="dxa"/>
            <w:tcBorders>
              <w:top w:val="single" w:sz="4" w:space="0" w:color="auto"/>
              <w:right w:val="single" w:sz="4" w:space="0" w:color="auto"/>
            </w:tcBorders>
            <w:vAlign w:val="center"/>
            <w:hideMark/>
          </w:tcPr>
          <w:p w14:paraId="3746498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90.82</w:t>
            </w:r>
          </w:p>
        </w:tc>
        <w:tc>
          <w:tcPr>
            <w:tcW w:w="933" w:type="dxa"/>
            <w:tcBorders>
              <w:top w:val="single" w:sz="4" w:space="0" w:color="auto"/>
              <w:left w:val="single" w:sz="4" w:space="0" w:color="auto"/>
              <w:bottom w:val="nil"/>
            </w:tcBorders>
            <w:vAlign w:val="center"/>
            <w:hideMark/>
          </w:tcPr>
          <w:p w14:paraId="1E7F64C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7.14</w:t>
            </w:r>
          </w:p>
        </w:tc>
        <w:tc>
          <w:tcPr>
            <w:tcW w:w="1137" w:type="dxa"/>
            <w:tcBorders>
              <w:top w:val="single" w:sz="4" w:space="0" w:color="auto"/>
              <w:bottom w:val="nil"/>
            </w:tcBorders>
            <w:vAlign w:val="center"/>
            <w:hideMark/>
          </w:tcPr>
          <w:p w14:paraId="1849407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87.76</w:t>
            </w:r>
          </w:p>
        </w:tc>
        <w:tc>
          <w:tcPr>
            <w:tcW w:w="1080" w:type="dxa"/>
            <w:tcBorders>
              <w:top w:val="single" w:sz="4" w:space="0" w:color="auto"/>
              <w:bottom w:val="nil"/>
            </w:tcBorders>
            <w:vAlign w:val="center"/>
            <w:hideMark/>
          </w:tcPr>
          <w:p w14:paraId="4D3AF4D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88.78</w:t>
            </w:r>
          </w:p>
        </w:tc>
        <w:tc>
          <w:tcPr>
            <w:tcW w:w="1078" w:type="dxa"/>
            <w:tcBorders>
              <w:top w:val="single" w:sz="4" w:space="0" w:color="auto"/>
              <w:bottom w:val="nil"/>
            </w:tcBorders>
            <w:vAlign w:val="center"/>
            <w:hideMark/>
          </w:tcPr>
          <w:p w14:paraId="69CFAD4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88.78</w:t>
            </w:r>
          </w:p>
        </w:tc>
        <w:tc>
          <w:tcPr>
            <w:tcW w:w="1011" w:type="dxa"/>
            <w:tcBorders>
              <w:top w:val="single" w:sz="4" w:space="0" w:color="auto"/>
              <w:bottom w:val="nil"/>
            </w:tcBorders>
            <w:vAlign w:val="center"/>
            <w:hideMark/>
          </w:tcPr>
          <w:p w14:paraId="5F36659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90.82</w:t>
            </w:r>
          </w:p>
        </w:tc>
      </w:tr>
      <w:tr w:rsidR="005B52DB" w:rsidRPr="00DF0BA2" w14:paraId="70A1ED97" w14:textId="77777777" w:rsidTr="005B52DB">
        <w:trPr>
          <w:trHeight w:val="315"/>
        </w:trPr>
        <w:tc>
          <w:tcPr>
            <w:tcW w:w="511" w:type="dxa"/>
            <w:vAlign w:val="center"/>
            <w:hideMark/>
          </w:tcPr>
          <w:p w14:paraId="7D4281CD"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w:t>
            </w:r>
          </w:p>
        </w:tc>
        <w:tc>
          <w:tcPr>
            <w:tcW w:w="1339" w:type="dxa"/>
            <w:vMerge/>
            <w:vAlign w:val="center"/>
            <w:hideMark/>
          </w:tcPr>
          <w:p w14:paraId="7B7AA076"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2A6ACCF9"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Tomato</w:t>
            </w:r>
          </w:p>
        </w:tc>
        <w:tc>
          <w:tcPr>
            <w:tcW w:w="905" w:type="dxa"/>
            <w:tcBorders>
              <w:left w:val="single" w:sz="4" w:space="0" w:color="auto"/>
            </w:tcBorders>
            <w:vAlign w:val="center"/>
            <w:hideMark/>
          </w:tcPr>
          <w:p w14:paraId="5E463AE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5.10</w:t>
            </w:r>
          </w:p>
        </w:tc>
        <w:tc>
          <w:tcPr>
            <w:tcW w:w="1294" w:type="dxa"/>
            <w:vAlign w:val="center"/>
            <w:hideMark/>
          </w:tcPr>
          <w:p w14:paraId="474EB6F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86.73</w:t>
            </w:r>
          </w:p>
        </w:tc>
        <w:tc>
          <w:tcPr>
            <w:tcW w:w="1136" w:type="dxa"/>
            <w:vAlign w:val="center"/>
            <w:hideMark/>
          </w:tcPr>
          <w:p w14:paraId="31CCFB2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90.82</w:t>
            </w:r>
          </w:p>
        </w:tc>
        <w:tc>
          <w:tcPr>
            <w:tcW w:w="1170" w:type="dxa"/>
            <w:vAlign w:val="center"/>
            <w:hideMark/>
          </w:tcPr>
          <w:p w14:paraId="1FCC5C4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89.80</w:t>
            </w:r>
          </w:p>
        </w:tc>
        <w:tc>
          <w:tcPr>
            <w:tcW w:w="1080" w:type="dxa"/>
            <w:tcBorders>
              <w:right w:val="single" w:sz="4" w:space="0" w:color="auto"/>
            </w:tcBorders>
            <w:vAlign w:val="center"/>
            <w:hideMark/>
          </w:tcPr>
          <w:p w14:paraId="7DFC66A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91.84</w:t>
            </w:r>
          </w:p>
        </w:tc>
        <w:tc>
          <w:tcPr>
            <w:tcW w:w="933" w:type="dxa"/>
            <w:tcBorders>
              <w:top w:val="nil"/>
              <w:left w:val="single" w:sz="4" w:space="0" w:color="auto"/>
              <w:bottom w:val="nil"/>
            </w:tcBorders>
            <w:vAlign w:val="center"/>
            <w:hideMark/>
          </w:tcPr>
          <w:p w14:paraId="56FB1F9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15.31</w:t>
            </w:r>
          </w:p>
        </w:tc>
        <w:tc>
          <w:tcPr>
            <w:tcW w:w="1137" w:type="dxa"/>
            <w:tcBorders>
              <w:top w:val="nil"/>
              <w:bottom w:val="nil"/>
            </w:tcBorders>
            <w:vAlign w:val="center"/>
            <w:hideMark/>
          </w:tcPr>
          <w:p w14:paraId="7AF78E5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90.82</w:t>
            </w:r>
          </w:p>
        </w:tc>
        <w:tc>
          <w:tcPr>
            <w:tcW w:w="1080" w:type="dxa"/>
            <w:tcBorders>
              <w:top w:val="nil"/>
              <w:bottom w:val="nil"/>
            </w:tcBorders>
            <w:vAlign w:val="center"/>
            <w:hideMark/>
          </w:tcPr>
          <w:p w14:paraId="061C791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89.80</w:t>
            </w:r>
          </w:p>
        </w:tc>
        <w:tc>
          <w:tcPr>
            <w:tcW w:w="1078" w:type="dxa"/>
            <w:tcBorders>
              <w:top w:val="nil"/>
              <w:bottom w:val="nil"/>
            </w:tcBorders>
            <w:vAlign w:val="center"/>
            <w:hideMark/>
          </w:tcPr>
          <w:p w14:paraId="0D5D7CE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93.88</w:t>
            </w:r>
          </w:p>
        </w:tc>
        <w:tc>
          <w:tcPr>
            <w:tcW w:w="1011" w:type="dxa"/>
            <w:tcBorders>
              <w:top w:val="nil"/>
              <w:bottom w:val="nil"/>
            </w:tcBorders>
            <w:vAlign w:val="center"/>
            <w:hideMark/>
          </w:tcPr>
          <w:p w14:paraId="568CBFA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93.88</w:t>
            </w:r>
          </w:p>
        </w:tc>
      </w:tr>
      <w:tr w:rsidR="005B52DB" w:rsidRPr="00DF0BA2" w14:paraId="55878086" w14:textId="77777777" w:rsidTr="005B52DB">
        <w:trPr>
          <w:trHeight w:val="315"/>
        </w:trPr>
        <w:tc>
          <w:tcPr>
            <w:tcW w:w="511" w:type="dxa"/>
            <w:vAlign w:val="center"/>
            <w:hideMark/>
          </w:tcPr>
          <w:p w14:paraId="0F24BE5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w:t>
            </w:r>
          </w:p>
        </w:tc>
        <w:tc>
          <w:tcPr>
            <w:tcW w:w="1339" w:type="dxa"/>
            <w:vMerge/>
            <w:vAlign w:val="center"/>
            <w:hideMark/>
          </w:tcPr>
          <w:p w14:paraId="0FA67BC1"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00E6496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Chilli</w:t>
            </w:r>
          </w:p>
        </w:tc>
        <w:tc>
          <w:tcPr>
            <w:tcW w:w="905" w:type="dxa"/>
            <w:tcBorders>
              <w:left w:val="single" w:sz="4" w:space="0" w:color="auto"/>
            </w:tcBorders>
            <w:vAlign w:val="center"/>
            <w:hideMark/>
          </w:tcPr>
          <w:p w14:paraId="1D9B717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8.16</w:t>
            </w:r>
          </w:p>
        </w:tc>
        <w:tc>
          <w:tcPr>
            <w:tcW w:w="1294" w:type="dxa"/>
            <w:vAlign w:val="center"/>
            <w:hideMark/>
          </w:tcPr>
          <w:p w14:paraId="6F5C31F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90.82</w:t>
            </w:r>
          </w:p>
        </w:tc>
        <w:tc>
          <w:tcPr>
            <w:tcW w:w="1136" w:type="dxa"/>
            <w:vAlign w:val="center"/>
            <w:hideMark/>
          </w:tcPr>
          <w:p w14:paraId="3EF62A0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95.92</w:t>
            </w:r>
          </w:p>
        </w:tc>
        <w:tc>
          <w:tcPr>
            <w:tcW w:w="1170" w:type="dxa"/>
            <w:vAlign w:val="center"/>
            <w:hideMark/>
          </w:tcPr>
          <w:p w14:paraId="04B868C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95.92</w:t>
            </w:r>
          </w:p>
        </w:tc>
        <w:tc>
          <w:tcPr>
            <w:tcW w:w="1080" w:type="dxa"/>
            <w:tcBorders>
              <w:right w:val="single" w:sz="4" w:space="0" w:color="auto"/>
            </w:tcBorders>
            <w:vAlign w:val="center"/>
            <w:hideMark/>
          </w:tcPr>
          <w:p w14:paraId="3198604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96.94</w:t>
            </w:r>
          </w:p>
        </w:tc>
        <w:tc>
          <w:tcPr>
            <w:tcW w:w="933" w:type="dxa"/>
            <w:tcBorders>
              <w:top w:val="nil"/>
              <w:left w:val="single" w:sz="4" w:space="0" w:color="auto"/>
              <w:bottom w:val="nil"/>
            </w:tcBorders>
            <w:vAlign w:val="center"/>
            <w:hideMark/>
          </w:tcPr>
          <w:p w14:paraId="3DB2504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18.37</w:t>
            </w:r>
          </w:p>
        </w:tc>
        <w:tc>
          <w:tcPr>
            <w:tcW w:w="1137" w:type="dxa"/>
            <w:tcBorders>
              <w:top w:val="nil"/>
              <w:bottom w:val="nil"/>
            </w:tcBorders>
            <w:vAlign w:val="center"/>
            <w:hideMark/>
          </w:tcPr>
          <w:p w14:paraId="7CBF388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92.86</w:t>
            </w:r>
          </w:p>
        </w:tc>
        <w:tc>
          <w:tcPr>
            <w:tcW w:w="1080" w:type="dxa"/>
            <w:tcBorders>
              <w:top w:val="nil"/>
              <w:bottom w:val="nil"/>
            </w:tcBorders>
            <w:vAlign w:val="center"/>
            <w:hideMark/>
          </w:tcPr>
          <w:p w14:paraId="4EE90A8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96.94</w:t>
            </w:r>
          </w:p>
        </w:tc>
        <w:tc>
          <w:tcPr>
            <w:tcW w:w="1078" w:type="dxa"/>
            <w:tcBorders>
              <w:top w:val="nil"/>
              <w:bottom w:val="nil"/>
            </w:tcBorders>
            <w:vAlign w:val="center"/>
            <w:hideMark/>
          </w:tcPr>
          <w:p w14:paraId="5D45DBB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97.96</w:t>
            </w:r>
          </w:p>
        </w:tc>
        <w:tc>
          <w:tcPr>
            <w:tcW w:w="1011" w:type="dxa"/>
            <w:tcBorders>
              <w:top w:val="nil"/>
              <w:bottom w:val="nil"/>
            </w:tcBorders>
            <w:vAlign w:val="center"/>
            <w:hideMark/>
          </w:tcPr>
          <w:p w14:paraId="5C0C0E2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96.94</w:t>
            </w:r>
          </w:p>
        </w:tc>
      </w:tr>
      <w:tr w:rsidR="005B52DB" w:rsidRPr="00DF0BA2" w14:paraId="0D3174C1" w14:textId="77777777" w:rsidTr="005B52DB">
        <w:trPr>
          <w:trHeight w:val="269"/>
        </w:trPr>
        <w:tc>
          <w:tcPr>
            <w:tcW w:w="13894" w:type="dxa"/>
            <w:gridSpan w:val="13"/>
            <w:vAlign w:val="center"/>
            <w:hideMark/>
          </w:tcPr>
          <w:p w14:paraId="4A5A81C6" w14:textId="77777777" w:rsidR="005B52DB" w:rsidRPr="00DF0BA2" w:rsidRDefault="005B52DB" w:rsidP="00C44944">
            <w:pPr>
              <w:spacing w:after="0" w:line="216" w:lineRule="auto"/>
              <w:jc w:val="both"/>
              <w:rPr>
                <w:rFonts w:ascii="Times New Roman" w:eastAsia="Times New Roman" w:hAnsi="Times New Roman" w:cs="Times New Roman"/>
                <w:b/>
                <w:bCs/>
                <w:color w:val="000000" w:themeColor="text1"/>
                <w:sz w:val="20"/>
                <w:szCs w:val="24"/>
              </w:rPr>
            </w:pPr>
            <w:r w:rsidRPr="00DF0BA2">
              <w:rPr>
                <w:rFonts w:ascii="Times New Roman" w:eastAsia="Times New Roman" w:hAnsi="Times New Roman" w:cs="Times New Roman"/>
                <w:b/>
                <w:bCs/>
                <w:color w:val="000000" w:themeColor="text1"/>
                <w:sz w:val="20"/>
                <w:szCs w:val="24"/>
              </w:rPr>
              <w:t>30 day after seed incorporation in growing media</w:t>
            </w:r>
          </w:p>
        </w:tc>
      </w:tr>
      <w:tr w:rsidR="005B52DB" w:rsidRPr="00DF0BA2" w14:paraId="2685CB3C" w14:textId="77777777" w:rsidTr="005B52DB">
        <w:trPr>
          <w:trHeight w:val="315"/>
        </w:trPr>
        <w:tc>
          <w:tcPr>
            <w:tcW w:w="511" w:type="dxa"/>
            <w:vAlign w:val="center"/>
            <w:hideMark/>
          </w:tcPr>
          <w:p w14:paraId="3D58D23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w:t>
            </w:r>
          </w:p>
        </w:tc>
        <w:tc>
          <w:tcPr>
            <w:tcW w:w="1339" w:type="dxa"/>
            <w:vMerge w:val="restart"/>
            <w:vAlign w:val="center"/>
            <w:hideMark/>
          </w:tcPr>
          <w:p w14:paraId="1384D05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Average Leaf No</w:t>
            </w:r>
          </w:p>
        </w:tc>
        <w:tc>
          <w:tcPr>
            <w:tcW w:w="1220" w:type="dxa"/>
            <w:tcBorders>
              <w:top w:val="nil"/>
              <w:bottom w:val="nil"/>
              <w:right w:val="single" w:sz="4" w:space="0" w:color="auto"/>
            </w:tcBorders>
            <w:vAlign w:val="center"/>
            <w:hideMark/>
          </w:tcPr>
          <w:p w14:paraId="6938421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Cauliflower</w:t>
            </w:r>
          </w:p>
        </w:tc>
        <w:tc>
          <w:tcPr>
            <w:tcW w:w="905" w:type="dxa"/>
            <w:tcBorders>
              <w:left w:val="single" w:sz="4" w:space="0" w:color="auto"/>
            </w:tcBorders>
            <w:vAlign w:val="center"/>
            <w:hideMark/>
          </w:tcPr>
          <w:p w14:paraId="2E4D1D1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3.2</w:t>
            </w:r>
          </w:p>
        </w:tc>
        <w:tc>
          <w:tcPr>
            <w:tcW w:w="1294" w:type="dxa"/>
            <w:vAlign w:val="center"/>
            <w:hideMark/>
          </w:tcPr>
          <w:p w14:paraId="5F61CAE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4.6</w:t>
            </w:r>
          </w:p>
        </w:tc>
        <w:tc>
          <w:tcPr>
            <w:tcW w:w="1136" w:type="dxa"/>
            <w:vAlign w:val="center"/>
            <w:hideMark/>
          </w:tcPr>
          <w:p w14:paraId="45B2E28E"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5.3</w:t>
            </w:r>
          </w:p>
        </w:tc>
        <w:tc>
          <w:tcPr>
            <w:tcW w:w="1170" w:type="dxa"/>
            <w:vAlign w:val="center"/>
            <w:hideMark/>
          </w:tcPr>
          <w:p w14:paraId="7AAA301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5.7</w:t>
            </w:r>
          </w:p>
        </w:tc>
        <w:tc>
          <w:tcPr>
            <w:tcW w:w="1080" w:type="dxa"/>
            <w:tcBorders>
              <w:right w:val="single" w:sz="4" w:space="0" w:color="auto"/>
            </w:tcBorders>
            <w:vAlign w:val="center"/>
            <w:hideMark/>
          </w:tcPr>
          <w:p w14:paraId="6E0489C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5.1</w:t>
            </w:r>
          </w:p>
        </w:tc>
        <w:tc>
          <w:tcPr>
            <w:tcW w:w="933" w:type="dxa"/>
            <w:tcBorders>
              <w:top w:val="nil"/>
              <w:left w:val="single" w:sz="4" w:space="0" w:color="auto"/>
              <w:bottom w:val="nil"/>
            </w:tcBorders>
            <w:vAlign w:val="center"/>
            <w:hideMark/>
          </w:tcPr>
          <w:p w14:paraId="3F27390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4.2</w:t>
            </w:r>
          </w:p>
        </w:tc>
        <w:tc>
          <w:tcPr>
            <w:tcW w:w="1137" w:type="dxa"/>
            <w:tcBorders>
              <w:top w:val="nil"/>
              <w:bottom w:val="nil"/>
            </w:tcBorders>
            <w:vAlign w:val="center"/>
            <w:hideMark/>
          </w:tcPr>
          <w:p w14:paraId="5EC41E0E"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5.6</w:t>
            </w:r>
          </w:p>
        </w:tc>
        <w:tc>
          <w:tcPr>
            <w:tcW w:w="1080" w:type="dxa"/>
            <w:tcBorders>
              <w:top w:val="nil"/>
              <w:bottom w:val="nil"/>
            </w:tcBorders>
            <w:vAlign w:val="center"/>
            <w:hideMark/>
          </w:tcPr>
          <w:p w14:paraId="24C1EEB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6.7</w:t>
            </w:r>
          </w:p>
        </w:tc>
        <w:tc>
          <w:tcPr>
            <w:tcW w:w="1078" w:type="dxa"/>
            <w:tcBorders>
              <w:top w:val="nil"/>
              <w:bottom w:val="nil"/>
            </w:tcBorders>
            <w:vAlign w:val="center"/>
            <w:hideMark/>
          </w:tcPr>
          <w:p w14:paraId="3EF0482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5.1</w:t>
            </w:r>
          </w:p>
        </w:tc>
        <w:tc>
          <w:tcPr>
            <w:tcW w:w="1011" w:type="dxa"/>
            <w:tcBorders>
              <w:top w:val="nil"/>
              <w:bottom w:val="nil"/>
            </w:tcBorders>
            <w:vAlign w:val="center"/>
            <w:hideMark/>
          </w:tcPr>
          <w:p w14:paraId="230C362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6.4</w:t>
            </w:r>
          </w:p>
        </w:tc>
      </w:tr>
      <w:tr w:rsidR="005B52DB" w:rsidRPr="00DF0BA2" w14:paraId="3C3C9B80" w14:textId="77777777" w:rsidTr="005B52DB">
        <w:trPr>
          <w:trHeight w:val="315"/>
        </w:trPr>
        <w:tc>
          <w:tcPr>
            <w:tcW w:w="511" w:type="dxa"/>
            <w:vAlign w:val="center"/>
            <w:hideMark/>
          </w:tcPr>
          <w:p w14:paraId="75D2939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w:t>
            </w:r>
          </w:p>
        </w:tc>
        <w:tc>
          <w:tcPr>
            <w:tcW w:w="1339" w:type="dxa"/>
            <w:vMerge/>
            <w:vAlign w:val="center"/>
            <w:hideMark/>
          </w:tcPr>
          <w:p w14:paraId="2A73E231"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3AB9346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Tomato</w:t>
            </w:r>
          </w:p>
        </w:tc>
        <w:tc>
          <w:tcPr>
            <w:tcW w:w="905" w:type="dxa"/>
            <w:tcBorders>
              <w:left w:val="single" w:sz="4" w:space="0" w:color="auto"/>
            </w:tcBorders>
            <w:vAlign w:val="center"/>
            <w:hideMark/>
          </w:tcPr>
          <w:p w14:paraId="6E1C8C5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5.7</w:t>
            </w:r>
          </w:p>
        </w:tc>
        <w:tc>
          <w:tcPr>
            <w:tcW w:w="1294" w:type="dxa"/>
            <w:vAlign w:val="center"/>
            <w:hideMark/>
          </w:tcPr>
          <w:p w14:paraId="5840CA8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6.7</w:t>
            </w:r>
          </w:p>
        </w:tc>
        <w:tc>
          <w:tcPr>
            <w:tcW w:w="1136" w:type="dxa"/>
            <w:vAlign w:val="center"/>
            <w:hideMark/>
          </w:tcPr>
          <w:p w14:paraId="48A6B70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7.2</w:t>
            </w:r>
          </w:p>
        </w:tc>
        <w:tc>
          <w:tcPr>
            <w:tcW w:w="1170" w:type="dxa"/>
            <w:vAlign w:val="center"/>
            <w:hideMark/>
          </w:tcPr>
          <w:p w14:paraId="3EC81F1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7.5</w:t>
            </w:r>
          </w:p>
        </w:tc>
        <w:tc>
          <w:tcPr>
            <w:tcW w:w="1080" w:type="dxa"/>
            <w:tcBorders>
              <w:right w:val="single" w:sz="4" w:space="0" w:color="auto"/>
            </w:tcBorders>
            <w:vAlign w:val="center"/>
            <w:hideMark/>
          </w:tcPr>
          <w:p w14:paraId="1E5CD0B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7.6</w:t>
            </w:r>
          </w:p>
        </w:tc>
        <w:tc>
          <w:tcPr>
            <w:tcW w:w="933" w:type="dxa"/>
            <w:tcBorders>
              <w:top w:val="nil"/>
              <w:left w:val="single" w:sz="4" w:space="0" w:color="auto"/>
              <w:bottom w:val="nil"/>
            </w:tcBorders>
            <w:vAlign w:val="center"/>
            <w:hideMark/>
          </w:tcPr>
          <w:p w14:paraId="69C04B9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5.1</w:t>
            </w:r>
          </w:p>
        </w:tc>
        <w:tc>
          <w:tcPr>
            <w:tcW w:w="1137" w:type="dxa"/>
            <w:tcBorders>
              <w:top w:val="nil"/>
              <w:bottom w:val="nil"/>
            </w:tcBorders>
            <w:vAlign w:val="center"/>
            <w:hideMark/>
          </w:tcPr>
          <w:p w14:paraId="11206F1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7.1</w:t>
            </w:r>
          </w:p>
        </w:tc>
        <w:tc>
          <w:tcPr>
            <w:tcW w:w="1080" w:type="dxa"/>
            <w:tcBorders>
              <w:top w:val="nil"/>
              <w:bottom w:val="nil"/>
            </w:tcBorders>
            <w:vAlign w:val="center"/>
            <w:hideMark/>
          </w:tcPr>
          <w:p w14:paraId="2451B42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9.5</w:t>
            </w:r>
          </w:p>
        </w:tc>
        <w:tc>
          <w:tcPr>
            <w:tcW w:w="1078" w:type="dxa"/>
            <w:tcBorders>
              <w:top w:val="nil"/>
              <w:bottom w:val="nil"/>
            </w:tcBorders>
            <w:vAlign w:val="center"/>
            <w:hideMark/>
          </w:tcPr>
          <w:p w14:paraId="6D78C88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8.3</w:t>
            </w:r>
          </w:p>
        </w:tc>
        <w:tc>
          <w:tcPr>
            <w:tcW w:w="1011" w:type="dxa"/>
            <w:tcBorders>
              <w:top w:val="nil"/>
              <w:bottom w:val="nil"/>
            </w:tcBorders>
            <w:vAlign w:val="center"/>
            <w:hideMark/>
          </w:tcPr>
          <w:p w14:paraId="4DB1E21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9.2</w:t>
            </w:r>
          </w:p>
        </w:tc>
      </w:tr>
      <w:tr w:rsidR="005B52DB" w:rsidRPr="00DF0BA2" w14:paraId="43D83985" w14:textId="77777777" w:rsidTr="005B52DB">
        <w:trPr>
          <w:trHeight w:val="315"/>
        </w:trPr>
        <w:tc>
          <w:tcPr>
            <w:tcW w:w="511" w:type="dxa"/>
            <w:vAlign w:val="center"/>
            <w:hideMark/>
          </w:tcPr>
          <w:p w14:paraId="7C2647F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w:t>
            </w:r>
          </w:p>
        </w:tc>
        <w:tc>
          <w:tcPr>
            <w:tcW w:w="1339" w:type="dxa"/>
            <w:vMerge/>
            <w:vAlign w:val="center"/>
            <w:hideMark/>
          </w:tcPr>
          <w:p w14:paraId="63A430C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2CF08FA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Chilli</w:t>
            </w:r>
          </w:p>
        </w:tc>
        <w:tc>
          <w:tcPr>
            <w:tcW w:w="905" w:type="dxa"/>
            <w:tcBorders>
              <w:left w:val="single" w:sz="4" w:space="0" w:color="auto"/>
            </w:tcBorders>
            <w:vAlign w:val="center"/>
            <w:hideMark/>
          </w:tcPr>
          <w:p w14:paraId="23C48E9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w:t>
            </w:r>
          </w:p>
        </w:tc>
        <w:tc>
          <w:tcPr>
            <w:tcW w:w="1294" w:type="dxa"/>
            <w:vAlign w:val="center"/>
            <w:hideMark/>
          </w:tcPr>
          <w:p w14:paraId="469F90F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5.1</w:t>
            </w:r>
          </w:p>
        </w:tc>
        <w:tc>
          <w:tcPr>
            <w:tcW w:w="1136" w:type="dxa"/>
            <w:vAlign w:val="center"/>
            <w:hideMark/>
          </w:tcPr>
          <w:p w14:paraId="728970E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w:t>
            </w:r>
          </w:p>
        </w:tc>
        <w:tc>
          <w:tcPr>
            <w:tcW w:w="1170" w:type="dxa"/>
            <w:vAlign w:val="center"/>
            <w:hideMark/>
          </w:tcPr>
          <w:p w14:paraId="1DBE377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5.3</w:t>
            </w:r>
          </w:p>
        </w:tc>
        <w:tc>
          <w:tcPr>
            <w:tcW w:w="1080" w:type="dxa"/>
            <w:tcBorders>
              <w:right w:val="single" w:sz="4" w:space="0" w:color="auto"/>
            </w:tcBorders>
            <w:vAlign w:val="center"/>
            <w:hideMark/>
          </w:tcPr>
          <w:p w14:paraId="2561FA4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7.4</w:t>
            </w:r>
          </w:p>
        </w:tc>
        <w:tc>
          <w:tcPr>
            <w:tcW w:w="933" w:type="dxa"/>
            <w:tcBorders>
              <w:top w:val="nil"/>
              <w:left w:val="single" w:sz="4" w:space="0" w:color="auto"/>
              <w:bottom w:val="nil"/>
            </w:tcBorders>
            <w:vAlign w:val="center"/>
            <w:hideMark/>
          </w:tcPr>
          <w:p w14:paraId="3ACBB59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4.3</w:t>
            </w:r>
          </w:p>
        </w:tc>
        <w:tc>
          <w:tcPr>
            <w:tcW w:w="1137" w:type="dxa"/>
            <w:tcBorders>
              <w:top w:val="nil"/>
              <w:bottom w:val="nil"/>
            </w:tcBorders>
            <w:vAlign w:val="center"/>
            <w:hideMark/>
          </w:tcPr>
          <w:p w14:paraId="3402FB8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6.4</w:t>
            </w:r>
          </w:p>
        </w:tc>
        <w:tc>
          <w:tcPr>
            <w:tcW w:w="1080" w:type="dxa"/>
            <w:tcBorders>
              <w:top w:val="nil"/>
              <w:bottom w:val="nil"/>
            </w:tcBorders>
            <w:vAlign w:val="center"/>
            <w:hideMark/>
          </w:tcPr>
          <w:p w14:paraId="7177A24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6.3</w:t>
            </w:r>
          </w:p>
        </w:tc>
        <w:tc>
          <w:tcPr>
            <w:tcW w:w="1078" w:type="dxa"/>
            <w:tcBorders>
              <w:top w:val="nil"/>
              <w:bottom w:val="nil"/>
            </w:tcBorders>
            <w:vAlign w:val="center"/>
            <w:hideMark/>
          </w:tcPr>
          <w:p w14:paraId="1598BDB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8.5</w:t>
            </w:r>
          </w:p>
        </w:tc>
        <w:tc>
          <w:tcPr>
            <w:tcW w:w="1011" w:type="dxa"/>
            <w:tcBorders>
              <w:top w:val="nil"/>
              <w:bottom w:val="nil"/>
            </w:tcBorders>
            <w:vAlign w:val="center"/>
            <w:hideMark/>
          </w:tcPr>
          <w:p w14:paraId="1FB37D3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8.2</w:t>
            </w:r>
          </w:p>
        </w:tc>
      </w:tr>
      <w:tr w:rsidR="005B52DB" w:rsidRPr="00DF0BA2" w14:paraId="3ED3583E" w14:textId="77777777" w:rsidTr="005B52DB">
        <w:trPr>
          <w:trHeight w:val="107"/>
        </w:trPr>
        <w:tc>
          <w:tcPr>
            <w:tcW w:w="13894" w:type="dxa"/>
            <w:gridSpan w:val="13"/>
            <w:vAlign w:val="center"/>
            <w:hideMark/>
          </w:tcPr>
          <w:p w14:paraId="59236B2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r>
      <w:tr w:rsidR="005B52DB" w:rsidRPr="00DF0BA2" w14:paraId="4D5D8819" w14:textId="77777777" w:rsidTr="005B52DB">
        <w:trPr>
          <w:trHeight w:val="315"/>
        </w:trPr>
        <w:tc>
          <w:tcPr>
            <w:tcW w:w="511" w:type="dxa"/>
            <w:vAlign w:val="center"/>
            <w:hideMark/>
          </w:tcPr>
          <w:p w14:paraId="4CED138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w:t>
            </w:r>
          </w:p>
        </w:tc>
        <w:tc>
          <w:tcPr>
            <w:tcW w:w="1339" w:type="dxa"/>
            <w:vMerge w:val="restart"/>
            <w:vAlign w:val="center"/>
            <w:hideMark/>
          </w:tcPr>
          <w:p w14:paraId="3E12BCB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Shoot Length (cm)</w:t>
            </w:r>
          </w:p>
        </w:tc>
        <w:tc>
          <w:tcPr>
            <w:tcW w:w="1220" w:type="dxa"/>
            <w:tcBorders>
              <w:top w:val="nil"/>
              <w:bottom w:val="nil"/>
              <w:right w:val="single" w:sz="4" w:space="0" w:color="auto"/>
            </w:tcBorders>
            <w:vAlign w:val="center"/>
            <w:hideMark/>
          </w:tcPr>
          <w:p w14:paraId="6FDEABCB"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Cauliflower</w:t>
            </w:r>
          </w:p>
        </w:tc>
        <w:tc>
          <w:tcPr>
            <w:tcW w:w="905" w:type="dxa"/>
            <w:tcBorders>
              <w:left w:val="single" w:sz="4" w:space="0" w:color="auto"/>
            </w:tcBorders>
            <w:vAlign w:val="center"/>
            <w:hideMark/>
          </w:tcPr>
          <w:p w14:paraId="4C71797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6.42</w:t>
            </w:r>
          </w:p>
        </w:tc>
        <w:tc>
          <w:tcPr>
            <w:tcW w:w="1294" w:type="dxa"/>
            <w:vAlign w:val="center"/>
            <w:hideMark/>
          </w:tcPr>
          <w:p w14:paraId="384E9C3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11.15</w:t>
            </w:r>
          </w:p>
        </w:tc>
        <w:tc>
          <w:tcPr>
            <w:tcW w:w="1136" w:type="dxa"/>
            <w:vAlign w:val="center"/>
            <w:hideMark/>
          </w:tcPr>
          <w:p w14:paraId="3ACC6BE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11.05</w:t>
            </w:r>
          </w:p>
        </w:tc>
        <w:tc>
          <w:tcPr>
            <w:tcW w:w="1170" w:type="dxa"/>
            <w:vAlign w:val="center"/>
            <w:hideMark/>
          </w:tcPr>
          <w:p w14:paraId="4F539EE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11.11</w:t>
            </w:r>
          </w:p>
        </w:tc>
        <w:tc>
          <w:tcPr>
            <w:tcW w:w="1080" w:type="dxa"/>
            <w:tcBorders>
              <w:right w:val="single" w:sz="4" w:space="0" w:color="auto"/>
            </w:tcBorders>
            <w:vAlign w:val="center"/>
            <w:hideMark/>
          </w:tcPr>
          <w:p w14:paraId="56031F8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11.19</w:t>
            </w:r>
          </w:p>
        </w:tc>
        <w:tc>
          <w:tcPr>
            <w:tcW w:w="933" w:type="dxa"/>
            <w:tcBorders>
              <w:top w:val="nil"/>
              <w:left w:val="single" w:sz="4" w:space="0" w:color="auto"/>
              <w:bottom w:val="nil"/>
            </w:tcBorders>
            <w:vAlign w:val="center"/>
            <w:hideMark/>
          </w:tcPr>
          <w:p w14:paraId="50DCD58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7.19</w:t>
            </w:r>
          </w:p>
        </w:tc>
        <w:tc>
          <w:tcPr>
            <w:tcW w:w="1137" w:type="dxa"/>
            <w:tcBorders>
              <w:top w:val="nil"/>
              <w:bottom w:val="nil"/>
            </w:tcBorders>
            <w:vAlign w:val="center"/>
            <w:hideMark/>
          </w:tcPr>
          <w:p w14:paraId="42F7ABC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11.98</w:t>
            </w:r>
          </w:p>
        </w:tc>
        <w:tc>
          <w:tcPr>
            <w:tcW w:w="1080" w:type="dxa"/>
            <w:tcBorders>
              <w:top w:val="nil"/>
              <w:bottom w:val="nil"/>
            </w:tcBorders>
            <w:vAlign w:val="center"/>
            <w:hideMark/>
          </w:tcPr>
          <w:p w14:paraId="3286AD9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11.96</w:t>
            </w:r>
          </w:p>
        </w:tc>
        <w:tc>
          <w:tcPr>
            <w:tcW w:w="1078" w:type="dxa"/>
            <w:tcBorders>
              <w:top w:val="nil"/>
              <w:bottom w:val="nil"/>
            </w:tcBorders>
            <w:vAlign w:val="center"/>
            <w:hideMark/>
          </w:tcPr>
          <w:p w14:paraId="73BD623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11.68</w:t>
            </w:r>
          </w:p>
        </w:tc>
        <w:tc>
          <w:tcPr>
            <w:tcW w:w="1011" w:type="dxa"/>
            <w:tcBorders>
              <w:top w:val="nil"/>
              <w:bottom w:val="nil"/>
            </w:tcBorders>
            <w:vAlign w:val="center"/>
            <w:hideMark/>
          </w:tcPr>
          <w:p w14:paraId="436D262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12.24</w:t>
            </w:r>
          </w:p>
        </w:tc>
      </w:tr>
      <w:tr w:rsidR="005B52DB" w:rsidRPr="00DF0BA2" w14:paraId="5696CDD1" w14:textId="77777777" w:rsidTr="005B52DB">
        <w:trPr>
          <w:trHeight w:val="315"/>
        </w:trPr>
        <w:tc>
          <w:tcPr>
            <w:tcW w:w="511" w:type="dxa"/>
            <w:vAlign w:val="center"/>
            <w:hideMark/>
          </w:tcPr>
          <w:p w14:paraId="183B106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w:t>
            </w:r>
          </w:p>
        </w:tc>
        <w:tc>
          <w:tcPr>
            <w:tcW w:w="1339" w:type="dxa"/>
            <w:vMerge/>
            <w:vAlign w:val="center"/>
            <w:hideMark/>
          </w:tcPr>
          <w:p w14:paraId="2CF234A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62DA2189"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Tomato</w:t>
            </w:r>
          </w:p>
        </w:tc>
        <w:tc>
          <w:tcPr>
            <w:tcW w:w="905" w:type="dxa"/>
            <w:tcBorders>
              <w:left w:val="single" w:sz="4" w:space="0" w:color="auto"/>
            </w:tcBorders>
            <w:vAlign w:val="center"/>
            <w:hideMark/>
          </w:tcPr>
          <w:p w14:paraId="65457A2E"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7.424</w:t>
            </w:r>
          </w:p>
        </w:tc>
        <w:tc>
          <w:tcPr>
            <w:tcW w:w="1294" w:type="dxa"/>
            <w:vAlign w:val="center"/>
            <w:hideMark/>
          </w:tcPr>
          <w:p w14:paraId="356D28C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11.42</w:t>
            </w:r>
          </w:p>
        </w:tc>
        <w:tc>
          <w:tcPr>
            <w:tcW w:w="1136" w:type="dxa"/>
            <w:vAlign w:val="center"/>
            <w:hideMark/>
          </w:tcPr>
          <w:p w14:paraId="37C1392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11.52</w:t>
            </w:r>
          </w:p>
        </w:tc>
        <w:tc>
          <w:tcPr>
            <w:tcW w:w="1170" w:type="dxa"/>
            <w:vAlign w:val="center"/>
            <w:hideMark/>
          </w:tcPr>
          <w:p w14:paraId="0AB93F4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11.49</w:t>
            </w:r>
          </w:p>
        </w:tc>
        <w:tc>
          <w:tcPr>
            <w:tcW w:w="1080" w:type="dxa"/>
            <w:tcBorders>
              <w:right w:val="single" w:sz="4" w:space="0" w:color="auto"/>
            </w:tcBorders>
            <w:vAlign w:val="center"/>
            <w:hideMark/>
          </w:tcPr>
          <w:p w14:paraId="7FBCE7D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11.69</w:t>
            </w:r>
          </w:p>
        </w:tc>
        <w:tc>
          <w:tcPr>
            <w:tcW w:w="933" w:type="dxa"/>
            <w:tcBorders>
              <w:top w:val="nil"/>
              <w:left w:val="single" w:sz="4" w:space="0" w:color="auto"/>
              <w:bottom w:val="nil"/>
            </w:tcBorders>
            <w:vAlign w:val="center"/>
            <w:hideMark/>
          </w:tcPr>
          <w:p w14:paraId="0D17490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7.09</w:t>
            </w:r>
          </w:p>
        </w:tc>
        <w:tc>
          <w:tcPr>
            <w:tcW w:w="1137" w:type="dxa"/>
            <w:tcBorders>
              <w:top w:val="nil"/>
              <w:bottom w:val="nil"/>
            </w:tcBorders>
            <w:vAlign w:val="center"/>
            <w:hideMark/>
          </w:tcPr>
          <w:p w14:paraId="51583E7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12.56</w:t>
            </w:r>
          </w:p>
        </w:tc>
        <w:tc>
          <w:tcPr>
            <w:tcW w:w="1080" w:type="dxa"/>
            <w:tcBorders>
              <w:top w:val="nil"/>
              <w:bottom w:val="nil"/>
            </w:tcBorders>
            <w:vAlign w:val="center"/>
            <w:hideMark/>
          </w:tcPr>
          <w:p w14:paraId="416167A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12.78</w:t>
            </w:r>
          </w:p>
        </w:tc>
        <w:tc>
          <w:tcPr>
            <w:tcW w:w="1078" w:type="dxa"/>
            <w:tcBorders>
              <w:top w:val="nil"/>
              <w:bottom w:val="nil"/>
            </w:tcBorders>
            <w:vAlign w:val="center"/>
            <w:hideMark/>
          </w:tcPr>
          <w:p w14:paraId="50D20DE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12.62</w:t>
            </w:r>
          </w:p>
        </w:tc>
        <w:tc>
          <w:tcPr>
            <w:tcW w:w="1011" w:type="dxa"/>
            <w:tcBorders>
              <w:top w:val="nil"/>
              <w:bottom w:val="nil"/>
            </w:tcBorders>
            <w:vAlign w:val="center"/>
            <w:hideMark/>
          </w:tcPr>
          <w:p w14:paraId="256CB63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13.09</w:t>
            </w:r>
          </w:p>
        </w:tc>
      </w:tr>
      <w:tr w:rsidR="005B52DB" w:rsidRPr="00DF0BA2" w14:paraId="3EC37045" w14:textId="77777777" w:rsidTr="005B52DB">
        <w:trPr>
          <w:trHeight w:val="315"/>
        </w:trPr>
        <w:tc>
          <w:tcPr>
            <w:tcW w:w="511" w:type="dxa"/>
            <w:vAlign w:val="center"/>
            <w:hideMark/>
          </w:tcPr>
          <w:p w14:paraId="7262BE76"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w:t>
            </w:r>
          </w:p>
        </w:tc>
        <w:tc>
          <w:tcPr>
            <w:tcW w:w="1339" w:type="dxa"/>
            <w:vMerge/>
            <w:vAlign w:val="center"/>
            <w:hideMark/>
          </w:tcPr>
          <w:p w14:paraId="5131B884"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7B807F5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Chilli</w:t>
            </w:r>
          </w:p>
        </w:tc>
        <w:tc>
          <w:tcPr>
            <w:tcW w:w="905" w:type="dxa"/>
            <w:tcBorders>
              <w:left w:val="single" w:sz="4" w:space="0" w:color="auto"/>
            </w:tcBorders>
            <w:vAlign w:val="center"/>
            <w:hideMark/>
          </w:tcPr>
          <w:p w14:paraId="0BA1E8D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4.73</w:t>
            </w:r>
          </w:p>
        </w:tc>
        <w:tc>
          <w:tcPr>
            <w:tcW w:w="1294" w:type="dxa"/>
            <w:vAlign w:val="center"/>
            <w:hideMark/>
          </w:tcPr>
          <w:p w14:paraId="5D6EA82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8.76</w:t>
            </w:r>
          </w:p>
        </w:tc>
        <w:tc>
          <w:tcPr>
            <w:tcW w:w="1136" w:type="dxa"/>
            <w:vAlign w:val="center"/>
            <w:hideMark/>
          </w:tcPr>
          <w:p w14:paraId="7936639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8.74</w:t>
            </w:r>
          </w:p>
        </w:tc>
        <w:tc>
          <w:tcPr>
            <w:tcW w:w="1170" w:type="dxa"/>
            <w:vAlign w:val="center"/>
            <w:hideMark/>
          </w:tcPr>
          <w:p w14:paraId="3696ABB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8.84</w:t>
            </w:r>
          </w:p>
        </w:tc>
        <w:tc>
          <w:tcPr>
            <w:tcW w:w="1080" w:type="dxa"/>
            <w:tcBorders>
              <w:right w:val="single" w:sz="4" w:space="0" w:color="auto"/>
            </w:tcBorders>
            <w:vAlign w:val="center"/>
            <w:hideMark/>
          </w:tcPr>
          <w:p w14:paraId="4D47211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9.21</w:t>
            </w:r>
          </w:p>
        </w:tc>
        <w:tc>
          <w:tcPr>
            <w:tcW w:w="933" w:type="dxa"/>
            <w:tcBorders>
              <w:top w:val="nil"/>
              <w:left w:val="single" w:sz="4" w:space="0" w:color="auto"/>
              <w:bottom w:val="nil"/>
            </w:tcBorders>
            <w:vAlign w:val="center"/>
            <w:hideMark/>
          </w:tcPr>
          <w:p w14:paraId="3CCD485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4.97</w:t>
            </w:r>
          </w:p>
        </w:tc>
        <w:tc>
          <w:tcPr>
            <w:tcW w:w="1137" w:type="dxa"/>
            <w:tcBorders>
              <w:top w:val="nil"/>
              <w:bottom w:val="nil"/>
            </w:tcBorders>
            <w:vAlign w:val="center"/>
            <w:hideMark/>
          </w:tcPr>
          <w:p w14:paraId="2A5E364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9.51</w:t>
            </w:r>
          </w:p>
        </w:tc>
        <w:tc>
          <w:tcPr>
            <w:tcW w:w="1080" w:type="dxa"/>
            <w:tcBorders>
              <w:top w:val="nil"/>
              <w:bottom w:val="nil"/>
            </w:tcBorders>
            <w:vAlign w:val="center"/>
            <w:hideMark/>
          </w:tcPr>
          <w:p w14:paraId="7B54625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9.76</w:t>
            </w:r>
          </w:p>
        </w:tc>
        <w:tc>
          <w:tcPr>
            <w:tcW w:w="1078" w:type="dxa"/>
            <w:tcBorders>
              <w:top w:val="nil"/>
              <w:bottom w:val="nil"/>
            </w:tcBorders>
            <w:vAlign w:val="center"/>
            <w:hideMark/>
          </w:tcPr>
          <w:p w14:paraId="6F4D475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9.81</w:t>
            </w:r>
          </w:p>
        </w:tc>
        <w:tc>
          <w:tcPr>
            <w:tcW w:w="1011" w:type="dxa"/>
            <w:tcBorders>
              <w:top w:val="nil"/>
              <w:bottom w:val="nil"/>
            </w:tcBorders>
            <w:vAlign w:val="center"/>
            <w:hideMark/>
          </w:tcPr>
          <w:p w14:paraId="02B6ED8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10.01</w:t>
            </w:r>
          </w:p>
        </w:tc>
      </w:tr>
      <w:tr w:rsidR="005B52DB" w:rsidRPr="00DF0BA2" w14:paraId="0343FF74" w14:textId="77777777" w:rsidTr="005B52DB">
        <w:trPr>
          <w:trHeight w:val="161"/>
        </w:trPr>
        <w:tc>
          <w:tcPr>
            <w:tcW w:w="13894" w:type="dxa"/>
            <w:gridSpan w:val="13"/>
            <w:vAlign w:val="center"/>
            <w:hideMark/>
          </w:tcPr>
          <w:p w14:paraId="6AB6D631"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r>
      <w:tr w:rsidR="005B52DB" w:rsidRPr="00DF0BA2" w14:paraId="4E20C8BE" w14:textId="77777777" w:rsidTr="005B52DB">
        <w:trPr>
          <w:trHeight w:val="315"/>
        </w:trPr>
        <w:tc>
          <w:tcPr>
            <w:tcW w:w="511" w:type="dxa"/>
            <w:vAlign w:val="center"/>
            <w:hideMark/>
          </w:tcPr>
          <w:p w14:paraId="62ABBCF6"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10</w:t>
            </w:r>
          </w:p>
        </w:tc>
        <w:tc>
          <w:tcPr>
            <w:tcW w:w="1339" w:type="dxa"/>
            <w:vMerge w:val="restart"/>
            <w:vAlign w:val="center"/>
            <w:hideMark/>
          </w:tcPr>
          <w:p w14:paraId="717D0F9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Root Length(cm)</w:t>
            </w:r>
          </w:p>
        </w:tc>
        <w:tc>
          <w:tcPr>
            <w:tcW w:w="1220" w:type="dxa"/>
            <w:tcBorders>
              <w:top w:val="nil"/>
              <w:bottom w:val="nil"/>
              <w:right w:val="single" w:sz="4" w:space="0" w:color="auto"/>
            </w:tcBorders>
            <w:vAlign w:val="center"/>
            <w:hideMark/>
          </w:tcPr>
          <w:p w14:paraId="65CB3B9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Cauliflower</w:t>
            </w:r>
          </w:p>
        </w:tc>
        <w:tc>
          <w:tcPr>
            <w:tcW w:w="905" w:type="dxa"/>
            <w:tcBorders>
              <w:left w:val="single" w:sz="4" w:space="0" w:color="auto"/>
            </w:tcBorders>
            <w:vAlign w:val="center"/>
            <w:hideMark/>
          </w:tcPr>
          <w:p w14:paraId="40B9EAE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3.81</w:t>
            </w:r>
          </w:p>
        </w:tc>
        <w:tc>
          <w:tcPr>
            <w:tcW w:w="1294" w:type="dxa"/>
            <w:vAlign w:val="center"/>
            <w:hideMark/>
          </w:tcPr>
          <w:p w14:paraId="3775214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5.65</w:t>
            </w:r>
          </w:p>
        </w:tc>
        <w:tc>
          <w:tcPr>
            <w:tcW w:w="1136" w:type="dxa"/>
            <w:vAlign w:val="center"/>
            <w:hideMark/>
          </w:tcPr>
          <w:p w14:paraId="238A11E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6.12</w:t>
            </w:r>
          </w:p>
        </w:tc>
        <w:tc>
          <w:tcPr>
            <w:tcW w:w="1170" w:type="dxa"/>
            <w:vAlign w:val="center"/>
            <w:hideMark/>
          </w:tcPr>
          <w:p w14:paraId="02DCDF5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6.39</w:t>
            </w:r>
          </w:p>
        </w:tc>
        <w:tc>
          <w:tcPr>
            <w:tcW w:w="1080" w:type="dxa"/>
            <w:tcBorders>
              <w:right w:val="single" w:sz="4" w:space="0" w:color="auto"/>
            </w:tcBorders>
            <w:vAlign w:val="center"/>
            <w:hideMark/>
          </w:tcPr>
          <w:p w14:paraId="6E702CE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6.58</w:t>
            </w:r>
          </w:p>
        </w:tc>
        <w:tc>
          <w:tcPr>
            <w:tcW w:w="933" w:type="dxa"/>
            <w:tcBorders>
              <w:top w:val="nil"/>
              <w:left w:val="single" w:sz="4" w:space="0" w:color="auto"/>
              <w:bottom w:val="nil"/>
            </w:tcBorders>
            <w:vAlign w:val="center"/>
            <w:hideMark/>
          </w:tcPr>
          <w:p w14:paraId="6078354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3.89</w:t>
            </w:r>
          </w:p>
        </w:tc>
        <w:tc>
          <w:tcPr>
            <w:tcW w:w="1137" w:type="dxa"/>
            <w:tcBorders>
              <w:top w:val="nil"/>
              <w:bottom w:val="nil"/>
            </w:tcBorders>
            <w:vAlign w:val="center"/>
            <w:hideMark/>
          </w:tcPr>
          <w:p w14:paraId="7EA1942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5.96</w:t>
            </w:r>
          </w:p>
        </w:tc>
        <w:tc>
          <w:tcPr>
            <w:tcW w:w="1080" w:type="dxa"/>
            <w:tcBorders>
              <w:top w:val="nil"/>
              <w:bottom w:val="nil"/>
            </w:tcBorders>
            <w:vAlign w:val="center"/>
            <w:hideMark/>
          </w:tcPr>
          <w:p w14:paraId="17BE6DF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6.89</w:t>
            </w:r>
          </w:p>
        </w:tc>
        <w:tc>
          <w:tcPr>
            <w:tcW w:w="1078" w:type="dxa"/>
            <w:tcBorders>
              <w:top w:val="nil"/>
              <w:bottom w:val="nil"/>
            </w:tcBorders>
            <w:vAlign w:val="center"/>
            <w:hideMark/>
          </w:tcPr>
          <w:p w14:paraId="7F8CB07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6.91</w:t>
            </w:r>
          </w:p>
        </w:tc>
        <w:tc>
          <w:tcPr>
            <w:tcW w:w="1011" w:type="dxa"/>
            <w:tcBorders>
              <w:top w:val="nil"/>
              <w:bottom w:val="nil"/>
            </w:tcBorders>
            <w:vAlign w:val="center"/>
            <w:hideMark/>
          </w:tcPr>
          <w:p w14:paraId="535A66A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7.34</w:t>
            </w:r>
          </w:p>
        </w:tc>
      </w:tr>
      <w:tr w:rsidR="005B52DB" w:rsidRPr="00DF0BA2" w14:paraId="7226C29A" w14:textId="77777777" w:rsidTr="005B52DB">
        <w:trPr>
          <w:trHeight w:val="315"/>
        </w:trPr>
        <w:tc>
          <w:tcPr>
            <w:tcW w:w="511" w:type="dxa"/>
            <w:vAlign w:val="center"/>
            <w:hideMark/>
          </w:tcPr>
          <w:p w14:paraId="5AC20414"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w:t>
            </w:r>
          </w:p>
        </w:tc>
        <w:tc>
          <w:tcPr>
            <w:tcW w:w="1339" w:type="dxa"/>
            <w:vMerge/>
            <w:vAlign w:val="center"/>
            <w:hideMark/>
          </w:tcPr>
          <w:p w14:paraId="6023520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460F8DF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Tomato</w:t>
            </w:r>
          </w:p>
        </w:tc>
        <w:tc>
          <w:tcPr>
            <w:tcW w:w="905" w:type="dxa"/>
            <w:tcBorders>
              <w:left w:val="single" w:sz="4" w:space="0" w:color="auto"/>
            </w:tcBorders>
            <w:vAlign w:val="center"/>
            <w:hideMark/>
          </w:tcPr>
          <w:p w14:paraId="5DC552D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2.8</w:t>
            </w:r>
          </w:p>
        </w:tc>
        <w:tc>
          <w:tcPr>
            <w:tcW w:w="1294" w:type="dxa"/>
            <w:vAlign w:val="center"/>
            <w:hideMark/>
          </w:tcPr>
          <w:p w14:paraId="7608828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4.87</w:t>
            </w:r>
          </w:p>
        </w:tc>
        <w:tc>
          <w:tcPr>
            <w:tcW w:w="1136" w:type="dxa"/>
            <w:vAlign w:val="center"/>
            <w:hideMark/>
          </w:tcPr>
          <w:p w14:paraId="3F83A51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5.59</w:t>
            </w:r>
          </w:p>
        </w:tc>
        <w:tc>
          <w:tcPr>
            <w:tcW w:w="1170" w:type="dxa"/>
            <w:vAlign w:val="center"/>
            <w:hideMark/>
          </w:tcPr>
          <w:p w14:paraId="38616AE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5.67</w:t>
            </w:r>
          </w:p>
        </w:tc>
        <w:tc>
          <w:tcPr>
            <w:tcW w:w="1080" w:type="dxa"/>
            <w:tcBorders>
              <w:right w:val="single" w:sz="4" w:space="0" w:color="auto"/>
            </w:tcBorders>
            <w:vAlign w:val="center"/>
            <w:hideMark/>
          </w:tcPr>
          <w:p w14:paraId="0C4EE9F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5.86</w:t>
            </w:r>
          </w:p>
        </w:tc>
        <w:tc>
          <w:tcPr>
            <w:tcW w:w="933" w:type="dxa"/>
            <w:tcBorders>
              <w:top w:val="nil"/>
              <w:left w:val="single" w:sz="4" w:space="0" w:color="auto"/>
              <w:bottom w:val="nil"/>
            </w:tcBorders>
            <w:vAlign w:val="center"/>
            <w:hideMark/>
          </w:tcPr>
          <w:p w14:paraId="4A71D47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2.83</w:t>
            </w:r>
          </w:p>
        </w:tc>
        <w:tc>
          <w:tcPr>
            <w:tcW w:w="1137" w:type="dxa"/>
            <w:tcBorders>
              <w:top w:val="nil"/>
              <w:bottom w:val="nil"/>
            </w:tcBorders>
            <w:vAlign w:val="center"/>
            <w:hideMark/>
          </w:tcPr>
          <w:p w14:paraId="0BEF994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4.92</w:t>
            </w:r>
          </w:p>
        </w:tc>
        <w:tc>
          <w:tcPr>
            <w:tcW w:w="1080" w:type="dxa"/>
            <w:tcBorders>
              <w:top w:val="nil"/>
              <w:bottom w:val="nil"/>
            </w:tcBorders>
            <w:vAlign w:val="center"/>
            <w:hideMark/>
          </w:tcPr>
          <w:p w14:paraId="01D7919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6.05</w:t>
            </w:r>
          </w:p>
        </w:tc>
        <w:tc>
          <w:tcPr>
            <w:tcW w:w="1078" w:type="dxa"/>
            <w:tcBorders>
              <w:top w:val="nil"/>
              <w:bottom w:val="nil"/>
            </w:tcBorders>
            <w:vAlign w:val="center"/>
            <w:hideMark/>
          </w:tcPr>
          <w:p w14:paraId="45F9C13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6.15</w:t>
            </w:r>
          </w:p>
        </w:tc>
        <w:tc>
          <w:tcPr>
            <w:tcW w:w="1011" w:type="dxa"/>
            <w:tcBorders>
              <w:top w:val="nil"/>
              <w:bottom w:val="nil"/>
            </w:tcBorders>
            <w:vAlign w:val="center"/>
            <w:hideMark/>
          </w:tcPr>
          <w:p w14:paraId="1976805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6.32</w:t>
            </w:r>
          </w:p>
        </w:tc>
      </w:tr>
      <w:tr w:rsidR="005B52DB" w:rsidRPr="00DF0BA2" w14:paraId="1F8DD7AE" w14:textId="77777777" w:rsidTr="005B52DB">
        <w:trPr>
          <w:trHeight w:val="315"/>
        </w:trPr>
        <w:tc>
          <w:tcPr>
            <w:tcW w:w="511" w:type="dxa"/>
            <w:vAlign w:val="center"/>
            <w:hideMark/>
          </w:tcPr>
          <w:p w14:paraId="540479D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w:t>
            </w:r>
          </w:p>
        </w:tc>
        <w:tc>
          <w:tcPr>
            <w:tcW w:w="1339" w:type="dxa"/>
            <w:vMerge/>
            <w:vAlign w:val="center"/>
            <w:hideMark/>
          </w:tcPr>
          <w:p w14:paraId="4AC31C86"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3A2A1E5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Chilli</w:t>
            </w:r>
          </w:p>
        </w:tc>
        <w:tc>
          <w:tcPr>
            <w:tcW w:w="905" w:type="dxa"/>
            <w:tcBorders>
              <w:left w:val="single" w:sz="4" w:space="0" w:color="auto"/>
            </w:tcBorders>
            <w:vAlign w:val="center"/>
            <w:hideMark/>
          </w:tcPr>
          <w:p w14:paraId="7CDACB64"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2.49</w:t>
            </w:r>
          </w:p>
        </w:tc>
        <w:tc>
          <w:tcPr>
            <w:tcW w:w="1294" w:type="dxa"/>
            <w:vAlign w:val="center"/>
            <w:hideMark/>
          </w:tcPr>
          <w:p w14:paraId="70B9A8B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4.3</w:t>
            </w:r>
          </w:p>
        </w:tc>
        <w:tc>
          <w:tcPr>
            <w:tcW w:w="1136" w:type="dxa"/>
            <w:vAlign w:val="center"/>
            <w:hideMark/>
          </w:tcPr>
          <w:p w14:paraId="1D8AA28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4.89</w:t>
            </w:r>
          </w:p>
        </w:tc>
        <w:tc>
          <w:tcPr>
            <w:tcW w:w="1170" w:type="dxa"/>
            <w:vAlign w:val="center"/>
            <w:hideMark/>
          </w:tcPr>
          <w:p w14:paraId="6A8A602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4.92</w:t>
            </w:r>
          </w:p>
        </w:tc>
        <w:tc>
          <w:tcPr>
            <w:tcW w:w="1080" w:type="dxa"/>
            <w:tcBorders>
              <w:right w:val="single" w:sz="4" w:space="0" w:color="auto"/>
            </w:tcBorders>
            <w:vAlign w:val="center"/>
            <w:hideMark/>
          </w:tcPr>
          <w:p w14:paraId="5998623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5.45</w:t>
            </w:r>
          </w:p>
        </w:tc>
        <w:tc>
          <w:tcPr>
            <w:tcW w:w="933" w:type="dxa"/>
            <w:tcBorders>
              <w:top w:val="nil"/>
              <w:left w:val="single" w:sz="4" w:space="0" w:color="auto"/>
              <w:bottom w:val="nil"/>
            </w:tcBorders>
            <w:vAlign w:val="center"/>
            <w:hideMark/>
          </w:tcPr>
          <w:p w14:paraId="45FD6100"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2.58</w:t>
            </w:r>
          </w:p>
        </w:tc>
        <w:tc>
          <w:tcPr>
            <w:tcW w:w="1137" w:type="dxa"/>
            <w:tcBorders>
              <w:top w:val="nil"/>
              <w:bottom w:val="nil"/>
            </w:tcBorders>
            <w:vAlign w:val="center"/>
            <w:hideMark/>
          </w:tcPr>
          <w:p w14:paraId="247F2899"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4.67</w:t>
            </w:r>
          </w:p>
        </w:tc>
        <w:tc>
          <w:tcPr>
            <w:tcW w:w="1080" w:type="dxa"/>
            <w:tcBorders>
              <w:top w:val="nil"/>
              <w:bottom w:val="nil"/>
            </w:tcBorders>
            <w:vAlign w:val="center"/>
            <w:hideMark/>
          </w:tcPr>
          <w:p w14:paraId="3D454921"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5.21</w:t>
            </w:r>
          </w:p>
        </w:tc>
        <w:tc>
          <w:tcPr>
            <w:tcW w:w="1078" w:type="dxa"/>
            <w:tcBorders>
              <w:top w:val="nil"/>
              <w:bottom w:val="nil"/>
            </w:tcBorders>
            <w:vAlign w:val="center"/>
            <w:hideMark/>
          </w:tcPr>
          <w:p w14:paraId="26133EC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5.32</w:t>
            </w:r>
          </w:p>
        </w:tc>
        <w:tc>
          <w:tcPr>
            <w:tcW w:w="1011" w:type="dxa"/>
            <w:tcBorders>
              <w:top w:val="nil"/>
              <w:bottom w:val="nil"/>
            </w:tcBorders>
            <w:vAlign w:val="center"/>
            <w:hideMark/>
          </w:tcPr>
          <w:p w14:paraId="4B5BE5D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6.42</w:t>
            </w:r>
          </w:p>
        </w:tc>
      </w:tr>
      <w:tr w:rsidR="00DF0BA2" w:rsidRPr="00DF0BA2" w14:paraId="22B3D7DA" w14:textId="77777777" w:rsidTr="00E75437">
        <w:trPr>
          <w:trHeight w:val="172"/>
        </w:trPr>
        <w:tc>
          <w:tcPr>
            <w:tcW w:w="13894" w:type="dxa"/>
            <w:gridSpan w:val="13"/>
            <w:vAlign w:val="center"/>
            <w:hideMark/>
          </w:tcPr>
          <w:p w14:paraId="1F97EEE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r>
      <w:tr w:rsidR="005B52DB" w:rsidRPr="00DF0BA2" w14:paraId="4146D383" w14:textId="77777777" w:rsidTr="005B52DB">
        <w:trPr>
          <w:trHeight w:val="315"/>
        </w:trPr>
        <w:tc>
          <w:tcPr>
            <w:tcW w:w="511" w:type="dxa"/>
            <w:vAlign w:val="center"/>
            <w:hideMark/>
          </w:tcPr>
          <w:p w14:paraId="686C7CD1"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13</w:t>
            </w:r>
          </w:p>
        </w:tc>
        <w:tc>
          <w:tcPr>
            <w:tcW w:w="1339" w:type="dxa"/>
            <w:vMerge w:val="restart"/>
            <w:vAlign w:val="center"/>
            <w:hideMark/>
          </w:tcPr>
          <w:p w14:paraId="24FD47B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Root: Shoot Ratio</w:t>
            </w:r>
          </w:p>
        </w:tc>
        <w:tc>
          <w:tcPr>
            <w:tcW w:w="1220" w:type="dxa"/>
            <w:tcBorders>
              <w:top w:val="nil"/>
              <w:bottom w:val="nil"/>
              <w:right w:val="single" w:sz="4" w:space="0" w:color="auto"/>
            </w:tcBorders>
            <w:vAlign w:val="center"/>
            <w:hideMark/>
          </w:tcPr>
          <w:p w14:paraId="23B5705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Cauliflower</w:t>
            </w:r>
          </w:p>
        </w:tc>
        <w:tc>
          <w:tcPr>
            <w:tcW w:w="905" w:type="dxa"/>
            <w:tcBorders>
              <w:left w:val="single" w:sz="4" w:space="0" w:color="auto"/>
            </w:tcBorders>
            <w:vAlign w:val="center"/>
            <w:hideMark/>
          </w:tcPr>
          <w:p w14:paraId="02A3247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0.59</w:t>
            </w:r>
          </w:p>
        </w:tc>
        <w:tc>
          <w:tcPr>
            <w:tcW w:w="1294" w:type="dxa"/>
            <w:vAlign w:val="center"/>
            <w:hideMark/>
          </w:tcPr>
          <w:p w14:paraId="47BB2D9E"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0.51</w:t>
            </w:r>
          </w:p>
        </w:tc>
        <w:tc>
          <w:tcPr>
            <w:tcW w:w="1136" w:type="dxa"/>
            <w:vAlign w:val="center"/>
            <w:hideMark/>
          </w:tcPr>
          <w:p w14:paraId="72D1E34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0.55</w:t>
            </w:r>
          </w:p>
        </w:tc>
        <w:tc>
          <w:tcPr>
            <w:tcW w:w="1170" w:type="dxa"/>
            <w:vAlign w:val="center"/>
            <w:hideMark/>
          </w:tcPr>
          <w:p w14:paraId="790A478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0.58</w:t>
            </w:r>
          </w:p>
        </w:tc>
        <w:tc>
          <w:tcPr>
            <w:tcW w:w="1080" w:type="dxa"/>
            <w:tcBorders>
              <w:right w:val="single" w:sz="4" w:space="0" w:color="auto"/>
            </w:tcBorders>
            <w:vAlign w:val="center"/>
            <w:hideMark/>
          </w:tcPr>
          <w:p w14:paraId="1A6713B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0.59</w:t>
            </w:r>
          </w:p>
        </w:tc>
        <w:tc>
          <w:tcPr>
            <w:tcW w:w="933" w:type="dxa"/>
            <w:tcBorders>
              <w:top w:val="nil"/>
              <w:left w:val="single" w:sz="4" w:space="0" w:color="auto"/>
              <w:bottom w:val="nil"/>
            </w:tcBorders>
            <w:vAlign w:val="center"/>
            <w:hideMark/>
          </w:tcPr>
          <w:p w14:paraId="7F6CD95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0.54</w:t>
            </w:r>
          </w:p>
        </w:tc>
        <w:tc>
          <w:tcPr>
            <w:tcW w:w="1137" w:type="dxa"/>
            <w:tcBorders>
              <w:top w:val="nil"/>
              <w:bottom w:val="nil"/>
            </w:tcBorders>
            <w:vAlign w:val="center"/>
            <w:hideMark/>
          </w:tcPr>
          <w:p w14:paraId="0DDB4B8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0.50</w:t>
            </w:r>
          </w:p>
        </w:tc>
        <w:tc>
          <w:tcPr>
            <w:tcW w:w="1080" w:type="dxa"/>
            <w:tcBorders>
              <w:top w:val="nil"/>
              <w:bottom w:val="nil"/>
            </w:tcBorders>
            <w:vAlign w:val="center"/>
            <w:hideMark/>
          </w:tcPr>
          <w:p w14:paraId="30ED615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0.58</w:t>
            </w:r>
          </w:p>
        </w:tc>
        <w:tc>
          <w:tcPr>
            <w:tcW w:w="1078" w:type="dxa"/>
            <w:tcBorders>
              <w:top w:val="nil"/>
              <w:bottom w:val="nil"/>
            </w:tcBorders>
            <w:vAlign w:val="center"/>
            <w:hideMark/>
          </w:tcPr>
          <w:p w14:paraId="1DBD3F7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0.59</w:t>
            </w:r>
          </w:p>
        </w:tc>
        <w:tc>
          <w:tcPr>
            <w:tcW w:w="1011" w:type="dxa"/>
            <w:tcBorders>
              <w:top w:val="nil"/>
              <w:bottom w:val="nil"/>
            </w:tcBorders>
            <w:vAlign w:val="center"/>
            <w:hideMark/>
          </w:tcPr>
          <w:p w14:paraId="0039B7A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0.60</w:t>
            </w:r>
          </w:p>
        </w:tc>
      </w:tr>
      <w:tr w:rsidR="005B52DB" w:rsidRPr="00DF0BA2" w14:paraId="3B6AA42F" w14:textId="77777777" w:rsidTr="005B52DB">
        <w:trPr>
          <w:trHeight w:val="315"/>
        </w:trPr>
        <w:tc>
          <w:tcPr>
            <w:tcW w:w="511" w:type="dxa"/>
            <w:vAlign w:val="center"/>
            <w:hideMark/>
          </w:tcPr>
          <w:p w14:paraId="552D26A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14</w:t>
            </w:r>
          </w:p>
        </w:tc>
        <w:tc>
          <w:tcPr>
            <w:tcW w:w="1339" w:type="dxa"/>
            <w:vMerge/>
            <w:vAlign w:val="center"/>
            <w:hideMark/>
          </w:tcPr>
          <w:p w14:paraId="402FAEC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nil"/>
              <w:right w:val="single" w:sz="4" w:space="0" w:color="auto"/>
            </w:tcBorders>
            <w:vAlign w:val="center"/>
            <w:hideMark/>
          </w:tcPr>
          <w:p w14:paraId="0050DC4B"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Tomato</w:t>
            </w:r>
          </w:p>
        </w:tc>
        <w:tc>
          <w:tcPr>
            <w:tcW w:w="905" w:type="dxa"/>
            <w:tcBorders>
              <w:left w:val="single" w:sz="4" w:space="0" w:color="auto"/>
            </w:tcBorders>
            <w:vAlign w:val="center"/>
            <w:hideMark/>
          </w:tcPr>
          <w:p w14:paraId="391FCE1D"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0.38</w:t>
            </w:r>
          </w:p>
        </w:tc>
        <w:tc>
          <w:tcPr>
            <w:tcW w:w="1294" w:type="dxa"/>
            <w:vAlign w:val="center"/>
            <w:hideMark/>
          </w:tcPr>
          <w:p w14:paraId="1432F01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0.43</w:t>
            </w:r>
          </w:p>
        </w:tc>
        <w:tc>
          <w:tcPr>
            <w:tcW w:w="1136" w:type="dxa"/>
            <w:vAlign w:val="center"/>
            <w:hideMark/>
          </w:tcPr>
          <w:p w14:paraId="0131D4D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0.49</w:t>
            </w:r>
          </w:p>
        </w:tc>
        <w:tc>
          <w:tcPr>
            <w:tcW w:w="1170" w:type="dxa"/>
            <w:vAlign w:val="center"/>
            <w:hideMark/>
          </w:tcPr>
          <w:p w14:paraId="6FBEE2D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0.49</w:t>
            </w:r>
          </w:p>
        </w:tc>
        <w:tc>
          <w:tcPr>
            <w:tcW w:w="1080" w:type="dxa"/>
            <w:tcBorders>
              <w:right w:val="single" w:sz="4" w:space="0" w:color="auto"/>
            </w:tcBorders>
            <w:vAlign w:val="center"/>
            <w:hideMark/>
          </w:tcPr>
          <w:p w14:paraId="09114EC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0.50</w:t>
            </w:r>
          </w:p>
        </w:tc>
        <w:tc>
          <w:tcPr>
            <w:tcW w:w="933" w:type="dxa"/>
            <w:tcBorders>
              <w:top w:val="nil"/>
              <w:left w:val="single" w:sz="4" w:space="0" w:color="auto"/>
              <w:bottom w:val="nil"/>
            </w:tcBorders>
            <w:vAlign w:val="center"/>
            <w:hideMark/>
          </w:tcPr>
          <w:p w14:paraId="780863F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0.40</w:t>
            </w:r>
          </w:p>
        </w:tc>
        <w:tc>
          <w:tcPr>
            <w:tcW w:w="1137" w:type="dxa"/>
            <w:tcBorders>
              <w:top w:val="nil"/>
              <w:bottom w:val="nil"/>
            </w:tcBorders>
            <w:vAlign w:val="center"/>
            <w:hideMark/>
          </w:tcPr>
          <w:p w14:paraId="74F0BB1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0.39</w:t>
            </w:r>
          </w:p>
        </w:tc>
        <w:tc>
          <w:tcPr>
            <w:tcW w:w="1080" w:type="dxa"/>
            <w:tcBorders>
              <w:top w:val="nil"/>
              <w:bottom w:val="nil"/>
            </w:tcBorders>
            <w:vAlign w:val="center"/>
            <w:hideMark/>
          </w:tcPr>
          <w:p w14:paraId="524788C6"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0.47</w:t>
            </w:r>
          </w:p>
        </w:tc>
        <w:tc>
          <w:tcPr>
            <w:tcW w:w="1078" w:type="dxa"/>
            <w:tcBorders>
              <w:top w:val="nil"/>
              <w:bottom w:val="nil"/>
            </w:tcBorders>
            <w:vAlign w:val="center"/>
            <w:hideMark/>
          </w:tcPr>
          <w:p w14:paraId="1D56FF28"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0.49</w:t>
            </w:r>
          </w:p>
        </w:tc>
        <w:tc>
          <w:tcPr>
            <w:tcW w:w="1011" w:type="dxa"/>
            <w:tcBorders>
              <w:top w:val="nil"/>
              <w:bottom w:val="nil"/>
            </w:tcBorders>
            <w:vAlign w:val="center"/>
            <w:hideMark/>
          </w:tcPr>
          <w:p w14:paraId="2D87523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0.48</w:t>
            </w:r>
          </w:p>
        </w:tc>
      </w:tr>
      <w:tr w:rsidR="005B52DB" w:rsidRPr="00DF0BA2" w14:paraId="511E2622" w14:textId="77777777" w:rsidTr="005B52DB">
        <w:trPr>
          <w:trHeight w:val="315"/>
        </w:trPr>
        <w:tc>
          <w:tcPr>
            <w:tcW w:w="511" w:type="dxa"/>
            <w:vAlign w:val="center"/>
            <w:hideMark/>
          </w:tcPr>
          <w:p w14:paraId="0529777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15</w:t>
            </w:r>
          </w:p>
        </w:tc>
        <w:tc>
          <w:tcPr>
            <w:tcW w:w="1339" w:type="dxa"/>
            <w:vMerge/>
            <w:vAlign w:val="center"/>
            <w:hideMark/>
          </w:tcPr>
          <w:p w14:paraId="22D9DD24"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p>
        </w:tc>
        <w:tc>
          <w:tcPr>
            <w:tcW w:w="1220" w:type="dxa"/>
            <w:tcBorders>
              <w:top w:val="nil"/>
              <w:bottom w:val="single" w:sz="4" w:space="0" w:color="auto"/>
              <w:right w:val="single" w:sz="4" w:space="0" w:color="auto"/>
            </w:tcBorders>
            <w:vAlign w:val="center"/>
            <w:hideMark/>
          </w:tcPr>
          <w:p w14:paraId="1B0562A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Chilli</w:t>
            </w:r>
          </w:p>
        </w:tc>
        <w:tc>
          <w:tcPr>
            <w:tcW w:w="905" w:type="dxa"/>
            <w:tcBorders>
              <w:left w:val="single" w:sz="4" w:space="0" w:color="auto"/>
            </w:tcBorders>
            <w:vAlign w:val="center"/>
            <w:hideMark/>
          </w:tcPr>
          <w:p w14:paraId="38A77452"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0.53</w:t>
            </w:r>
          </w:p>
        </w:tc>
        <w:tc>
          <w:tcPr>
            <w:tcW w:w="1294" w:type="dxa"/>
            <w:vAlign w:val="center"/>
            <w:hideMark/>
          </w:tcPr>
          <w:p w14:paraId="0B262FB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0.49</w:t>
            </w:r>
          </w:p>
        </w:tc>
        <w:tc>
          <w:tcPr>
            <w:tcW w:w="1136" w:type="dxa"/>
            <w:vAlign w:val="center"/>
            <w:hideMark/>
          </w:tcPr>
          <w:p w14:paraId="5301C66A"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0.56</w:t>
            </w:r>
          </w:p>
        </w:tc>
        <w:tc>
          <w:tcPr>
            <w:tcW w:w="1170" w:type="dxa"/>
            <w:vAlign w:val="center"/>
            <w:hideMark/>
          </w:tcPr>
          <w:p w14:paraId="0625B42B"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0.56</w:t>
            </w:r>
          </w:p>
        </w:tc>
        <w:tc>
          <w:tcPr>
            <w:tcW w:w="1080" w:type="dxa"/>
            <w:tcBorders>
              <w:right w:val="single" w:sz="4" w:space="0" w:color="auto"/>
            </w:tcBorders>
            <w:vAlign w:val="center"/>
            <w:hideMark/>
          </w:tcPr>
          <w:p w14:paraId="6F7D790F"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0.59</w:t>
            </w:r>
          </w:p>
        </w:tc>
        <w:tc>
          <w:tcPr>
            <w:tcW w:w="933" w:type="dxa"/>
            <w:tcBorders>
              <w:top w:val="nil"/>
              <w:left w:val="single" w:sz="4" w:space="0" w:color="auto"/>
              <w:bottom w:val="single" w:sz="4" w:space="0" w:color="auto"/>
            </w:tcBorders>
            <w:vAlign w:val="center"/>
            <w:hideMark/>
          </w:tcPr>
          <w:p w14:paraId="3B9A316E"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0.52</w:t>
            </w:r>
          </w:p>
        </w:tc>
        <w:tc>
          <w:tcPr>
            <w:tcW w:w="1137" w:type="dxa"/>
            <w:tcBorders>
              <w:top w:val="nil"/>
              <w:bottom w:val="single" w:sz="4" w:space="0" w:color="auto"/>
            </w:tcBorders>
            <w:vAlign w:val="center"/>
            <w:hideMark/>
          </w:tcPr>
          <w:p w14:paraId="256721E7"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0.49</w:t>
            </w:r>
          </w:p>
        </w:tc>
        <w:tc>
          <w:tcPr>
            <w:tcW w:w="1080" w:type="dxa"/>
            <w:tcBorders>
              <w:top w:val="nil"/>
              <w:bottom w:val="single" w:sz="4" w:space="0" w:color="auto"/>
            </w:tcBorders>
            <w:vAlign w:val="center"/>
            <w:hideMark/>
          </w:tcPr>
          <w:p w14:paraId="008C65B3"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0.53</w:t>
            </w:r>
          </w:p>
        </w:tc>
        <w:tc>
          <w:tcPr>
            <w:tcW w:w="1078" w:type="dxa"/>
            <w:tcBorders>
              <w:top w:val="nil"/>
              <w:bottom w:val="single" w:sz="4" w:space="0" w:color="auto"/>
            </w:tcBorders>
            <w:vAlign w:val="center"/>
            <w:hideMark/>
          </w:tcPr>
          <w:p w14:paraId="25264225"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0.54</w:t>
            </w:r>
          </w:p>
        </w:tc>
        <w:tc>
          <w:tcPr>
            <w:tcW w:w="1011" w:type="dxa"/>
            <w:tcBorders>
              <w:top w:val="nil"/>
              <w:bottom w:val="single" w:sz="4" w:space="0" w:color="auto"/>
            </w:tcBorders>
            <w:vAlign w:val="center"/>
            <w:hideMark/>
          </w:tcPr>
          <w:p w14:paraId="47C44F2C" w14:textId="77777777" w:rsidR="005B52DB" w:rsidRPr="00DF0BA2" w:rsidRDefault="005B52DB" w:rsidP="007D2834">
            <w:pPr>
              <w:spacing w:after="0" w:line="216" w:lineRule="auto"/>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0.64</w:t>
            </w:r>
          </w:p>
        </w:tc>
      </w:tr>
    </w:tbl>
    <w:p w14:paraId="0CA9D21A" w14:textId="77777777" w:rsidR="005B52DB" w:rsidRPr="00DF0BA2" w:rsidRDefault="005B52DB" w:rsidP="00C44944">
      <w:pPr>
        <w:jc w:val="both"/>
        <w:rPr>
          <w:rFonts w:ascii="Times New Roman" w:eastAsia="Times New Roman" w:hAnsi="Times New Roman" w:cs="Times New Roman"/>
          <w:color w:val="000000" w:themeColor="text1"/>
          <w:sz w:val="24"/>
          <w:szCs w:val="24"/>
        </w:rPr>
      </w:pPr>
    </w:p>
    <w:p w14:paraId="69EDEA90" w14:textId="77777777" w:rsidR="005B52DB" w:rsidRPr="00DF0BA2" w:rsidRDefault="005B52DB" w:rsidP="00C44944">
      <w:pPr>
        <w:jc w:val="both"/>
        <w:rPr>
          <w:rFonts w:ascii="Times New Roman" w:eastAsia="Times New Roman" w:hAnsi="Times New Roman" w:cs="Times New Roman"/>
          <w:color w:val="000000" w:themeColor="text1"/>
          <w:sz w:val="24"/>
          <w:szCs w:val="24"/>
        </w:rPr>
        <w:sectPr w:rsidR="005B52DB" w:rsidRPr="00DF0BA2" w:rsidSect="005B52DB">
          <w:pgSz w:w="16834" w:h="11909" w:orient="landscape" w:code="9"/>
          <w:pgMar w:top="1440" w:right="1440" w:bottom="1440" w:left="1440" w:header="720" w:footer="720" w:gutter="0"/>
          <w:cols w:space="720"/>
          <w:docGrid w:linePitch="360"/>
        </w:sectPr>
      </w:pPr>
    </w:p>
    <w:p w14:paraId="674C7C37" w14:textId="77777777" w:rsidR="000E51FA" w:rsidRPr="00DF0BA2" w:rsidRDefault="000E51FA"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lastRenderedPageBreak/>
        <w:t xml:space="preserve">Importance of </w:t>
      </w:r>
      <w:proofErr w:type="spellStart"/>
      <w:proofErr w:type="gramStart"/>
      <w:r w:rsidRPr="00DF0BA2">
        <w:rPr>
          <w:rFonts w:ascii="Times New Roman" w:hAnsi="Times New Roman" w:cs="Times New Roman"/>
          <w:color w:val="000000" w:themeColor="text1"/>
          <w:sz w:val="24"/>
          <w:szCs w:val="24"/>
        </w:rPr>
        <w:t>Root:Shoot</w:t>
      </w:r>
      <w:proofErr w:type="spellEnd"/>
      <w:proofErr w:type="gramEnd"/>
      <w:r w:rsidRPr="00DF0BA2">
        <w:rPr>
          <w:rFonts w:ascii="Times New Roman" w:hAnsi="Times New Roman" w:cs="Times New Roman"/>
          <w:color w:val="000000" w:themeColor="text1"/>
          <w:sz w:val="24"/>
          <w:szCs w:val="24"/>
        </w:rPr>
        <w:t xml:space="preserve"> Ratio</w:t>
      </w:r>
    </w:p>
    <w:p w14:paraId="7C462504" w14:textId="77777777" w:rsidR="000E51FA" w:rsidRPr="00DF0BA2" w:rsidRDefault="000E51FA" w:rsidP="00534905">
      <w:pPr>
        <w:pStyle w:val="NormalWeb"/>
        <w:spacing w:before="0" w:beforeAutospacing="0" w:after="0" w:afterAutospacing="0"/>
        <w:jc w:val="both"/>
        <w:rPr>
          <w:color w:val="000000" w:themeColor="text1"/>
        </w:rPr>
      </w:pPr>
      <w:r w:rsidRPr="00DF0BA2">
        <w:rPr>
          <w:color w:val="000000" w:themeColor="text1"/>
        </w:rPr>
        <w:t xml:space="preserve">The positive effects extended beyond absolute root length. </w:t>
      </w:r>
      <w:proofErr w:type="spellStart"/>
      <w:r w:rsidRPr="00DF0BA2">
        <w:rPr>
          <w:color w:val="000000" w:themeColor="text1"/>
        </w:rPr>
        <w:t>Novcom</w:t>
      </w:r>
      <w:proofErr w:type="spellEnd"/>
      <w:r w:rsidRPr="00DF0BA2">
        <w:rPr>
          <w:color w:val="000000" w:themeColor="text1"/>
        </w:rPr>
        <w:t xml:space="preserve"> substrates consistently increased </w:t>
      </w:r>
      <w:proofErr w:type="spellStart"/>
      <w:r w:rsidRPr="00DF0BA2">
        <w:rPr>
          <w:color w:val="000000" w:themeColor="text1"/>
        </w:rPr>
        <w:t>root:shoot</w:t>
      </w:r>
      <w:proofErr w:type="spellEnd"/>
      <w:r w:rsidRPr="00DF0BA2">
        <w:rPr>
          <w:color w:val="000000" w:themeColor="text1"/>
        </w:rPr>
        <w:t xml:space="preserve"> ratios compared to conventional treatments, where ratios often declined. For example, </w:t>
      </w:r>
      <w:proofErr w:type="spellStart"/>
      <w:r w:rsidRPr="00DF0BA2">
        <w:rPr>
          <w:color w:val="000000" w:themeColor="text1"/>
        </w:rPr>
        <w:t>chilli</w:t>
      </w:r>
      <w:proofErr w:type="spellEnd"/>
      <w:r w:rsidRPr="00DF0BA2">
        <w:rPr>
          <w:color w:val="000000" w:themeColor="text1"/>
        </w:rPr>
        <w:t xml:space="preserve"> seedlings recorded values of 0.59–0.64 under </w:t>
      </w:r>
      <w:proofErr w:type="spellStart"/>
      <w:r w:rsidRPr="00DF0BA2">
        <w:rPr>
          <w:color w:val="000000" w:themeColor="text1"/>
        </w:rPr>
        <w:t>Novcom</w:t>
      </w:r>
      <w:proofErr w:type="spellEnd"/>
      <w:r w:rsidRPr="00DF0BA2">
        <w:rPr>
          <w:color w:val="000000" w:themeColor="text1"/>
        </w:rPr>
        <w:t xml:space="preserve">, compared to ~0.48–0.52 in conventional substrates. Higher ratios are linked to improved water and nutrient uptake capacity, resilience under stress, and superior transplant </w:t>
      </w:r>
      <w:proofErr w:type="gramStart"/>
      <w:r w:rsidRPr="00DF0BA2">
        <w:rPr>
          <w:color w:val="000000" w:themeColor="text1"/>
        </w:rPr>
        <w:t xml:space="preserve">establishment </w:t>
      </w:r>
      <w:r w:rsidR="004A156B" w:rsidRPr="00DF0BA2">
        <w:rPr>
          <w:color w:val="000000" w:themeColor="text1"/>
        </w:rPr>
        <w:t>.</w:t>
      </w:r>
      <w:proofErr w:type="gramEnd"/>
      <w:r w:rsidRPr="00DF0BA2">
        <w:rPr>
          <w:color w:val="000000" w:themeColor="text1"/>
        </w:rPr>
        <w:t xml:space="preserve"> This suggests that </w:t>
      </w:r>
      <w:proofErr w:type="spellStart"/>
      <w:r w:rsidRPr="00DF0BA2">
        <w:rPr>
          <w:color w:val="000000" w:themeColor="text1"/>
        </w:rPr>
        <w:t>Novcom’s</w:t>
      </w:r>
      <w:proofErr w:type="spellEnd"/>
      <w:r w:rsidRPr="00DF0BA2">
        <w:rPr>
          <w:color w:val="000000" w:themeColor="text1"/>
        </w:rPr>
        <w:t xml:space="preserve"> structural and biochemical improvements not only accelerate early development but also enhance adaptive capacity post-transplanting.</w:t>
      </w:r>
    </w:p>
    <w:p w14:paraId="2A06FEE5" w14:textId="77777777" w:rsidR="00534905" w:rsidRDefault="00534905" w:rsidP="00534905">
      <w:pPr>
        <w:pStyle w:val="Heading2"/>
        <w:spacing w:before="0" w:line="240" w:lineRule="auto"/>
        <w:jc w:val="both"/>
        <w:rPr>
          <w:rFonts w:ascii="Times New Roman" w:hAnsi="Times New Roman" w:cs="Times New Roman"/>
          <w:color w:val="000000" w:themeColor="text1"/>
          <w:sz w:val="24"/>
          <w:szCs w:val="24"/>
        </w:rPr>
      </w:pPr>
    </w:p>
    <w:p w14:paraId="696D5528" w14:textId="77777777" w:rsidR="000E51FA" w:rsidRPr="00DF0BA2" w:rsidRDefault="000E51FA"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Seedling Establishment and Growth</w:t>
      </w:r>
    </w:p>
    <w:p w14:paraId="2268C1B0" w14:textId="77777777" w:rsidR="000E51FA" w:rsidRPr="00DF0BA2" w:rsidRDefault="000E51FA" w:rsidP="00534905">
      <w:pPr>
        <w:pStyle w:val="NormalWeb"/>
        <w:spacing w:before="0" w:beforeAutospacing="0" w:after="0" w:afterAutospacing="0"/>
        <w:jc w:val="both"/>
        <w:rPr>
          <w:color w:val="000000" w:themeColor="text1"/>
        </w:rPr>
      </w:pPr>
      <w:r w:rsidRPr="00DF0BA2">
        <w:rPr>
          <w:color w:val="000000" w:themeColor="text1"/>
        </w:rPr>
        <w:t xml:space="preserve">Pot trials (Table 5) confirmed that </w:t>
      </w:r>
      <w:proofErr w:type="spellStart"/>
      <w:r w:rsidRPr="00DF0BA2">
        <w:rPr>
          <w:color w:val="000000" w:themeColor="text1"/>
        </w:rPr>
        <w:t>Novcom</w:t>
      </w:r>
      <w:proofErr w:type="spellEnd"/>
      <w:r w:rsidRPr="00DF0BA2">
        <w:rPr>
          <w:color w:val="000000" w:themeColor="text1"/>
        </w:rPr>
        <w:t>-raised seedlings established faster and achieved higher vigor indices across crops. Cauliflower seedlings showed height increases of 9.1% (only-</w:t>
      </w:r>
      <w:proofErr w:type="spellStart"/>
      <w:r w:rsidRPr="00DF0BA2">
        <w:rPr>
          <w:color w:val="000000" w:themeColor="text1"/>
        </w:rPr>
        <w:t>coirpith</w:t>
      </w:r>
      <w:proofErr w:type="spellEnd"/>
      <w:r w:rsidRPr="00DF0BA2">
        <w:rPr>
          <w:color w:val="000000" w:themeColor="text1"/>
        </w:rPr>
        <w:t xml:space="preserve"> </w:t>
      </w:r>
      <w:proofErr w:type="spellStart"/>
      <w:r w:rsidRPr="00DF0BA2">
        <w:rPr>
          <w:color w:val="000000" w:themeColor="text1"/>
        </w:rPr>
        <w:t>Novcom</w:t>
      </w:r>
      <w:proofErr w:type="spellEnd"/>
      <w:r w:rsidRPr="00DF0BA2">
        <w:rPr>
          <w:color w:val="000000" w:themeColor="text1"/>
        </w:rPr>
        <w:t>) and 13.0% (</w:t>
      </w:r>
      <w:proofErr w:type="spellStart"/>
      <w:r w:rsidRPr="00DF0BA2">
        <w:rPr>
          <w:color w:val="000000" w:themeColor="text1"/>
        </w:rPr>
        <w:t>gypsum+urea+Novcom</w:t>
      </w:r>
      <w:proofErr w:type="spellEnd"/>
      <w:r w:rsidRPr="00DF0BA2">
        <w:rPr>
          <w:color w:val="000000" w:themeColor="text1"/>
        </w:rPr>
        <w:t xml:space="preserve">); tomato increased by ~10%; </w:t>
      </w:r>
      <w:proofErr w:type="spellStart"/>
      <w:r w:rsidRPr="00DF0BA2">
        <w:rPr>
          <w:color w:val="000000" w:themeColor="text1"/>
        </w:rPr>
        <w:t>chilli</w:t>
      </w:r>
      <w:proofErr w:type="spellEnd"/>
      <w:r w:rsidRPr="00DF0BA2">
        <w:rPr>
          <w:color w:val="000000" w:themeColor="text1"/>
        </w:rPr>
        <w:t xml:space="preserve"> by 16.7–25.4% depending on treatment. Leaf production followed similar patterns, with </w:t>
      </w:r>
      <w:proofErr w:type="spellStart"/>
      <w:r w:rsidRPr="00DF0BA2">
        <w:rPr>
          <w:color w:val="000000" w:themeColor="text1"/>
        </w:rPr>
        <w:t>Novcom</w:t>
      </w:r>
      <w:proofErr w:type="spellEnd"/>
      <w:r w:rsidRPr="00DF0BA2">
        <w:rPr>
          <w:color w:val="000000" w:themeColor="text1"/>
        </w:rPr>
        <w:t xml:space="preserve"> plants producing 1–2 extra leaves per seedling. Field trials (Table 6) at </w:t>
      </w:r>
      <w:proofErr w:type="spellStart"/>
      <w:r w:rsidRPr="00DF0BA2">
        <w:rPr>
          <w:color w:val="000000" w:themeColor="text1"/>
        </w:rPr>
        <w:t>Satyapole</w:t>
      </w:r>
      <w:proofErr w:type="spellEnd"/>
      <w:r w:rsidRPr="00DF0BA2">
        <w:rPr>
          <w:color w:val="000000" w:themeColor="text1"/>
        </w:rPr>
        <w:t xml:space="preserve">, Nadia, further validated these outcomes. Compared with conventional compost, </w:t>
      </w:r>
      <w:proofErr w:type="spellStart"/>
      <w:r w:rsidRPr="00DF0BA2">
        <w:rPr>
          <w:color w:val="000000" w:themeColor="text1"/>
        </w:rPr>
        <w:t>Novcom</w:t>
      </w:r>
      <w:proofErr w:type="spellEnd"/>
      <w:r w:rsidRPr="00DF0BA2">
        <w:rPr>
          <w:color w:val="000000" w:themeColor="text1"/>
        </w:rPr>
        <w:t xml:space="preserve"> media increased seedling height by 9.6–13.1% in cauliflower, 2.2–6.2% in tomato, and 9.4–19.4% in </w:t>
      </w:r>
      <w:proofErr w:type="spellStart"/>
      <w:r w:rsidRPr="00DF0BA2">
        <w:rPr>
          <w:color w:val="000000" w:themeColor="text1"/>
        </w:rPr>
        <w:t>chilli</w:t>
      </w:r>
      <w:proofErr w:type="spellEnd"/>
      <w:r w:rsidRPr="00DF0BA2">
        <w:rPr>
          <w:color w:val="000000" w:themeColor="text1"/>
        </w:rPr>
        <w:t>. These consistent results demonstrate that nursery-stage advantages translate effectively under field conditions.</w:t>
      </w:r>
    </w:p>
    <w:p w14:paraId="27DB54D5" w14:textId="77777777" w:rsidR="00534905" w:rsidRDefault="00534905" w:rsidP="00534905">
      <w:pPr>
        <w:pStyle w:val="Heading2"/>
        <w:spacing w:before="0" w:line="240" w:lineRule="auto"/>
        <w:jc w:val="both"/>
        <w:rPr>
          <w:rFonts w:ascii="Times New Roman" w:hAnsi="Times New Roman" w:cs="Times New Roman"/>
          <w:color w:val="000000" w:themeColor="text1"/>
          <w:sz w:val="24"/>
          <w:szCs w:val="24"/>
        </w:rPr>
      </w:pPr>
    </w:p>
    <w:p w14:paraId="24522554" w14:textId="77777777" w:rsidR="000E51FA" w:rsidRPr="00DF0BA2" w:rsidRDefault="000E51FA"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Physiological and Agronomic Mechanisms</w:t>
      </w:r>
    </w:p>
    <w:p w14:paraId="7E6ED8F6" w14:textId="27C31358" w:rsidR="000E51FA" w:rsidRPr="00DF0BA2" w:rsidRDefault="000E51FA" w:rsidP="00534905">
      <w:pPr>
        <w:pStyle w:val="NormalWeb"/>
        <w:spacing w:before="0" w:beforeAutospacing="0" w:after="0" w:afterAutospacing="0"/>
        <w:jc w:val="both"/>
        <w:rPr>
          <w:color w:val="000000" w:themeColor="text1"/>
        </w:rPr>
      </w:pPr>
      <w:proofErr w:type="spellStart"/>
      <w:r w:rsidRPr="00DF0BA2">
        <w:rPr>
          <w:color w:val="000000" w:themeColor="text1"/>
        </w:rPr>
        <w:t>Novcom</w:t>
      </w:r>
      <w:proofErr w:type="spellEnd"/>
      <w:r w:rsidRPr="00DF0BA2">
        <w:rPr>
          <w:color w:val="000000" w:themeColor="text1"/>
        </w:rPr>
        <w:t xml:space="preserve"> compost’s performance can be explained by three interlinked mechanisms: (i) improved substrate environment, (ii) enhanced nutrient dynamics, and (iii) reduced phytotoxicity. Improved aeration and porosity facilitated gas exchange and root exploration, while balanced nutrient availability supported steady uptake (Bustamante et al., 2008). Gypsum–urea pretreatment further reduced </w:t>
      </w:r>
      <w:proofErr w:type="spellStart"/>
      <w:r w:rsidRPr="00DF0BA2">
        <w:rPr>
          <w:color w:val="000000" w:themeColor="text1"/>
        </w:rPr>
        <w:t>sodicity</w:t>
      </w:r>
      <w:proofErr w:type="spellEnd"/>
      <w:r w:rsidRPr="00DF0BA2">
        <w:rPr>
          <w:color w:val="000000" w:themeColor="text1"/>
        </w:rPr>
        <w:t xml:space="preserve"> stress, improving osmotic conditions and Ca availability The observed increase in root length and </w:t>
      </w:r>
      <w:proofErr w:type="spellStart"/>
      <w:r w:rsidRPr="00DF0BA2">
        <w:rPr>
          <w:color w:val="000000" w:themeColor="text1"/>
        </w:rPr>
        <w:t>root:shoot</w:t>
      </w:r>
      <w:proofErr w:type="spellEnd"/>
      <w:r w:rsidRPr="00DF0BA2">
        <w:rPr>
          <w:color w:val="000000" w:themeColor="text1"/>
        </w:rPr>
        <w:t xml:space="preserve"> ratio directly improved soil exploitation efficiency, enhancing post-transplant recovery. Simultaneously, higher leaf number increased canopy photosynthetic capacity and accelerated biomass accumulation. These traits reinforce earlier evidence that superior nursery media lead to sustained field vigor and higher yield potential (</w:t>
      </w:r>
      <w:r w:rsidR="004C31B7" w:rsidRPr="004C31B7">
        <w:rPr>
          <w:color w:val="000000" w:themeColor="text1"/>
          <w:highlight w:val="yellow"/>
        </w:rPr>
        <w:t>Gallegos-Cedillo et al, 2021</w:t>
      </w:r>
      <w:r w:rsidRPr="00DF0BA2">
        <w:rPr>
          <w:color w:val="000000" w:themeColor="text1"/>
        </w:rPr>
        <w:t>).</w:t>
      </w:r>
    </w:p>
    <w:p w14:paraId="7D864036" w14:textId="77777777" w:rsidR="00534905" w:rsidRDefault="00534905" w:rsidP="00534905">
      <w:pPr>
        <w:pStyle w:val="Heading2"/>
        <w:spacing w:before="0" w:line="240" w:lineRule="auto"/>
        <w:jc w:val="both"/>
        <w:rPr>
          <w:rFonts w:ascii="Times New Roman" w:hAnsi="Times New Roman" w:cs="Times New Roman"/>
          <w:color w:val="000000" w:themeColor="text1"/>
          <w:sz w:val="24"/>
          <w:szCs w:val="24"/>
        </w:rPr>
      </w:pPr>
    </w:p>
    <w:p w14:paraId="225A58B9" w14:textId="77777777" w:rsidR="000E51FA" w:rsidRPr="00DF0BA2" w:rsidRDefault="000E51FA"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Rhizosphere Responses and Microbial Augmentation</w:t>
      </w:r>
    </w:p>
    <w:p w14:paraId="7F0A637B" w14:textId="7FCC7DBF" w:rsidR="000E51FA" w:rsidRPr="00DF0BA2" w:rsidRDefault="000E51FA" w:rsidP="00534905">
      <w:pPr>
        <w:pStyle w:val="NormalWeb"/>
        <w:spacing w:before="0" w:beforeAutospacing="0" w:after="0" w:afterAutospacing="0"/>
        <w:jc w:val="both"/>
        <w:rPr>
          <w:color w:val="000000" w:themeColor="text1"/>
        </w:rPr>
      </w:pPr>
      <w:r w:rsidRPr="00DF0BA2">
        <w:rPr>
          <w:color w:val="000000" w:themeColor="text1"/>
        </w:rPr>
        <w:t xml:space="preserve">Transplanting </w:t>
      </w:r>
      <w:proofErr w:type="spellStart"/>
      <w:r w:rsidRPr="00DF0BA2">
        <w:rPr>
          <w:color w:val="000000" w:themeColor="text1"/>
        </w:rPr>
        <w:t>Novcom</w:t>
      </w:r>
      <w:proofErr w:type="spellEnd"/>
      <w:r w:rsidRPr="00DF0BA2">
        <w:rPr>
          <w:color w:val="000000" w:themeColor="text1"/>
        </w:rPr>
        <w:t xml:space="preserve">-raised seedlings also transferred an enriched rhizosphere microbiome. Within one month of field establishment, microbial counts were significantly higher compared to conventional seedlings: bacterial populations increased by 2.9–4.7×, fungi by ≈1.8×, and actinomycetes by ≈2×. Fresh </w:t>
      </w:r>
      <w:proofErr w:type="spellStart"/>
      <w:r w:rsidRPr="00DF0BA2">
        <w:rPr>
          <w:color w:val="000000" w:themeColor="text1"/>
        </w:rPr>
        <w:t>Novcom</w:t>
      </w:r>
      <w:proofErr w:type="spellEnd"/>
      <w:r w:rsidRPr="00DF0BA2">
        <w:rPr>
          <w:color w:val="000000" w:themeColor="text1"/>
        </w:rPr>
        <w:t xml:space="preserve"> and </w:t>
      </w:r>
      <w:proofErr w:type="spellStart"/>
      <w:r w:rsidRPr="00DF0BA2">
        <w:rPr>
          <w:color w:val="000000" w:themeColor="text1"/>
        </w:rPr>
        <w:t>gypsum+urea+Novcom</w:t>
      </w:r>
      <w:proofErr w:type="spellEnd"/>
      <w:r w:rsidRPr="00DF0BA2">
        <w:rPr>
          <w:color w:val="000000" w:themeColor="text1"/>
        </w:rPr>
        <w:t xml:space="preserve"> treatments showed the strongest increases. This microbial enrichment stems from both the carrier effect of </w:t>
      </w:r>
      <w:proofErr w:type="spellStart"/>
      <w:r w:rsidRPr="00DF0BA2">
        <w:rPr>
          <w:color w:val="000000" w:themeColor="text1"/>
        </w:rPr>
        <w:t>coirpith</w:t>
      </w:r>
      <w:proofErr w:type="spellEnd"/>
      <w:r w:rsidRPr="00DF0BA2">
        <w:rPr>
          <w:color w:val="000000" w:themeColor="text1"/>
        </w:rPr>
        <w:t xml:space="preserve"> and stimulation by root exudates (Mendes et al., 2011; Bais et al., 2006). Actinomycete proliferation supported further lignocellulose breakdown and secondary metabolite production (</w:t>
      </w:r>
      <w:r w:rsidRPr="004C24E6">
        <w:rPr>
          <w:color w:val="000000" w:themeColor="text1"/>
          <w:highlight w:val="yellow"/>
        </w:rPr>
        <w:t>Barka et al., 201</w:t>
      </w:r>
      <w:r w:rsidR="004C24E6" w:rsidRPr="004C24E6">
        <w:rPr>
          <w:color w:val="000000" w:themeColor="text1"/>
          <w:highlight w:val="yellow"/>
        </w:rPr>
        <w:t>5</w:t>
      </w:r>
      <w:r w:rsidRPr="00DF0BA2">
        <w:rPr>
          <w:color w:val="000000" w:themeColor="text1"/>
        </w:rPr>
        <w:t xml:space="preserve">), while phosphate-solubilizing microbes improved phosphorus mobilization. This suggests that </w:t>
      </w:r>
      <w:proofErr w:type="spellStart"/>
      <w:r w:rsidRPr="00DF0BA2">
        <w:rPr>
          <w:color w:val="000000" w:themeColor="text1"/>
        </w:rPr>
        <w:t>Novcom</w:t>
      </w:r>
      <w:proofErr w:type="spellEnd"/>
      <w:r w:rsidRPr="00DF0BA2">
        <w:rPr>
          <w:color w:val="000000" w:themeColor="text1"/>
        </w:rPr>
        <w:t xml:space="preserve"> seedlings not only benefit themselves but also improve soil biological functioning at transplant sites.</w:t>
      </w:r>
    </w:p>
    <w:p w14:paraId="4C976151" w14:textId="77777777" w:rsidR="00534905" w:rsidRDefault="00534905" w:rsidP="00534905">
      <w:pPr>
        <w:pStyle w:val="Heading2"/>
        <w:spacing w:before="0" w:line="240" w:lineRule="auto"/>
        <w:jc w:val="both"/>
        <w:rPr>
          <w:rFonts w:ascii="Times New Roman" w:hAnsi="Times New Roman" w:cs="Times New Roman"/>
          <w:color w:val="000000" w:themeColor="text1"/>
          <w:sz w:val="24"/>
          <w:szCs w:val="24"/>
        </w:rPr>
      </w:pPr>
    </w:p>
    <w:p w14:paraId="667D2F2C" w14:textId="77777777" w:rsidR="000E51FA" w:rsidRPr="00DF0BA2" w:rsidRDefault="000E51FA"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Rhizosphere Chemistry Shifts</w:t>
      </w:r>
    </w:p>
    <w:p w14:paraId="6B87A783" w14:textId="77777777" w:rsidR="000E51FA" w:rsidRPr="00DF0BA2" w:rsidRDefault="000E51FA" w:rsidP="00534905">
      <w:pPr>
        <w:pStyle w:val="NormalWeb"/>
        <w:spacing w:before="0" w:beforeAutospacing="0" w:after="0" w:afterAutospacing="0"/>
        <w:jc w:val="both"/>
        <w:rPr>
          <w:color w:val="000000" w:themeColor="text1"/>
        </w:rPr>
      </w:pPr>
      <w:proofErr w:type="spellStart"/>
      <w:r w:rsidRPr="00DF0BA2">
        <w:rPr>
          <w:color w:val="000000" w:themeColor="text1"/>
        </w:rPr>
        <w:t>Novcom</w:t>
      </w:r>
      <w:proofErr w:type="spellEnd"/>
      <w:r w:rsidRPr="00DF0BA2">
        <w:rPr>
          <w:color w:val="000000" w:themeColor="text1"/>
        </w:rPr>
        <w:t>-treated seedlings influenced soil chemistry in ways favorable to establishment. Soil pH remained stable, but EC decreased slightly (≈1–8%), reducing salinity stress. Organic C content increased by 19–26%, compared to 1–5% in controls, reflecting improved soil organic matter inputs. Available P rose by 20–29%, enhancing early nutrient access. Available N showed temporary drawdown due t</w:t>
      </w:r>
      <w:r w:rsidR="00534905">
        <w:rPr>
          <w:color w:val="000000" w:themeColor="text1"/>
        </w:rPr>
        <w:t>o seedling uptake and microbial</w:t>
      </w:r>
    </w:p>
    <w:p w14:paraId="4E324872" w14:textId="77777777" w:rsidR="005B52DB" w:rsidRPr="00DF0BA2" w:rsidRDefault="005B52DB" w:rsidP="00C44944">
      <w:pPr>
        <w:jc w:val="both"/>
        <w:rPr>
          <w:rFonts w:ascii="Times New Roman" w:hAnsi="Times New Roman" w:cs="Times New Roman"/>
          <w:color w:val="000000" w:themeColor="text1"/>
          <w:sz w:val="24"/>
          <w:szCs w:val="24"/>
          <w:shd w:val="clear" w:color="auto" w:fill="FFFFFF"/>
        </w:rPr>
        <w:sectPr w:rsidR="005B52DB" w:rsidRPr="00DF0BA2" w:rsidSect="005B52DB">
          <w:pgSz w:w="11909" w:h="16834" w:code="9"/>
          <w:pgMar w:top="1440" w:right="1440" w:bottom="1440" w:left="1440" w:header="720" w:footer="720" w:gutter="0"/>
          <w:cols w:space="720"/>
          <w:docGrid w:linePitch="360"/>
        </w:sectPr>
      </w:pPr>
    </w:p>
    <w:p w14:paraId="7A1220FE" w14:textId="77777777" w:rsidR="005B52DB" w:rsidRPr="00DF0BA2" w:rsidRDefault="005B52DB" w:rsidP="00C44944">
      <w:pPr>
        <w:ind w:left="900" w:hanging="90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shd w:val="clear" w:color="auto" w:fill="FFFFFF"/>
        </w:rPr>
        <w:lastRenderedPageBreak/>
        <w:t xml:space="preserve">Table </w:t>
      </w:r>
      <w:proofErr w:type="gramStart"/>
      <w:r w:rsidRPr="00DF0BA2">
        <w:rPr>
          <w:rFonts w:ascii="Times New Roman" w:hAnsi="Times New Roman" w:cs="Times New Roman"/>
          <w:color w:val="000000" w:themeColor="text1"/>
          <w:sz w:val="24"/>
          <w:szCs w:val="24"/>
          <w:shd w:val="clear" w:color="auto" w:fill="FFFFFF"/>
        </w:rPr>
        <w:t>5 :</w:t>
      </w:r>
      <w:proofErr w:type="gramEnd"/>
      <w:r w:rsidRPr="00DF0BA2">
        <w:rPr>
          <w:rFonts w:ascii="Times New Roman" w:hAnsi="Times New Roman" w:cs="Times New Roman"/>
          <w:color w:val="000000" w:themeColor="text1"/>
          <w:sz w:val="24"/>
          <w:szCs w:val="24"/>
          <w:shd w:val="clear" w:color="auto" w:fill="FFFFFF"/>
        </w:rPr>
        <w:t xml:space="preserve"> Post Transplantation growth of seedling developed under conventional and </w:t>
      </w:r>
      <w:proofErr w:type="spellStart"/>
      <w:r w:rsidRPr="00DF0BA2">
        <w:rPr>
          <w:rFonts w:ascii="Times New Roman" w:hAnsi="Times New Roman" w:cs="Times New Roman"/>
          <w:color w:val="000000" w:themeColor="text1"/>
          <w:sz w:val="24"/>
          <w:szCs w:val="24"/>
          <w:shd w:val="clear" w:color="auto" w:fill="FFFFFF"/>
        </w:rPr>
        <w:t>Novcom</w:t>
      </w:r>
      <w:proofErr w:type="spellEnd"/>
      <w:r w:rsidRPr="00DF0BA2">
        <w:rPr>
          <w:rFonts w:ascii="Times New Roman" w:hAnsi="Times New Roman" w:cs="Times New Roman"/>
          <w:color w:val="000000" w:themeColor="text1"/>
          <w:sz w:val="24"/>
          <w:szCs w:val="24"/>
          <w:shd w:val="clear" w:color="auto" w:fill="FFFFFF"/>
        </w:rPr>
        <w:t xml:space="preserve"> treated </w:t>
      </w:r>
      <w:proofErr w:type="spellStart"/>
      <w:r w:rsidRPr="00DF0BA2">
        <w:rPr>
          <w:rFonts w:ascii="Times New Roman" w:hAnsi="Times New Roman" w:cs="Times New Roman"/>
          <w:color w:val="000000" w:themeColor="text1"/>
          <w:sz w:val="24"/>
          <w:szCs w:val="24"/>
          <w:shd w:val="clear" w:color="auto" w:fill="FFFFFF"/>
        </w:rPr>
        <w:t>Coirpith</w:t>
      </w:r>
      <w:proofErr w:type="spellEnd"/>
      <w:r w:rsidRPr="00DF0BA2">
        <w:rPr>
          <w:rFonts w:ascii="Times New Roman" w:hAnsi="Times New Roman" w:cs="Times New Roman"/>
          <w:color w:val="000000" w:themeColor="text1"/>
          <w:sz w:val="24"/>
          <w:szCs w:val="24"/>
          <w:shd w:val="clear" w:color="auto" w:fill="FFFFFF"/>
        </w:rPr>
        <w:t xml:space="preserve"> Growing media in Pot Study (30 days after Transplanting)</w:t>
      </w:r>
      <w:r w:rsidRPr="00DF0BA2">
        <w:rPr>
          <w:rFonts w:ascii="Times New Roman" w:hAnsi="Times New Roman" w:cs="Times New Roman"/>
          <w:color w:val="000000" w:themeColor="text1"/>
          <w:sz w:val="24"/>
          <w:szCs w:val="24"/>
        </w:rPr>
        <w:t xml:space="preserve"> </w:t>
      </w:r>
    </w:p>
    <w:tbl>
      <w:tblPr>
        <w:tblW w:w="13841" w:type="dxa"/>
        <w:tblInd w:w="93" w:type="dxa"/>
        <w:tblBorders>
          <w:top w:val="single" w:sz="4" w:space="0" w:color="auto"/>
          <w:bottom w:val="single" w:sz="4" w:space="0" w:color="auto"/>
        </w:tblBorders>
        <w:tblLook w:val="04A0" w:firstRow="1" w:lastRow="0" w:firstColumn="1" w:lastColumn="0" w:noHBand="0" w:noVBand="1"/>
      </w:tblPr>
      <w:tblGrid>
        <w:gridCol w:w="375"/>
        <w:gridCol w:w="2070"/>
        <w:gridCol w:w="900"/>
        <w:gridCol w:w="1294"/>
        <w:gridCol w:w="1260"/>
        <w:gridCol w:w="1260"/>
        <w:gridCol w:w="1220"/>
        <w:gridCol w:w="870"/>
        <w:gridCol w:w="1294"/>
        <w:gridCol w:w="1172"/>
        <w:gridCol w:w="1172"/>
        <w:gridCol w:w="1172"/>
      </w:tblGrid>
      <w:tr w:rsidR="005B52DB" w:rsidRPr="00DF0BA2" w14:paraId="3C4B3205" w14:textId="77777777" w:rsidTr="005B52DB">
        <w:trPr>
          <w:trHeight w:val="375"/>
        </w:trPr>
        <w:tc>
          <w:tcPr>
            <w:tcW w:w="375" w:type="dxa"/>
            <w:vMerge w:val="restart"/>
            <w:tcBorders>
              <w:top w:val="single" w:sz="4" w:space="0" w:color="auto"/>
            </w:tcBorders>
            <w:vAlign w:val="center"/>
            <w:hideMark/>
          </w:tcPr>
          <w:p w14:paraId="2488997A" w14:textId="77777777" w:rsidR="005B52DB" w:rsidRPr="00DF0BA2" w:rsidRDefault="005B52DB" w:rsidP="00C44944">
            <w:pPr>
              <w:spacing w:after="0" w:line="216" w:lineRule="auto"/>
              <w:ind w:left="-93" w:right="-108"/>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Sl. No.</w:t>
            </w:r>
          </w:p>
        </w:tc>
        <w:tc>
          <w:tcPr>
            <w:tcW w:w="2070" w:type="dxa"/>
            <w:vMerge w:val="restart"/>
            <w:tcBorders>
              <w:top w:val="single" w:sz="4" w:space="0" w:color="auto"/>
              <w:right w:val="single" w:sz="4" w:space="0" w:color="auto"/>
            </w:tcBorders>
            <w:vAlign w:val="center"/>
            <w:hideMark/>
          </w:tcPr>
          <w:p w14:paraId="277491B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Parameters</w:t>
            </w:r>
          </w:p>
        </w:tc>
        <w:tc>
          <w:tcPr>
            <w:tcW w:w="5900" w:type="dxa"/>
            <w:gridSpan w:val="5"/>
            <w:tcBorders>
              <w:top w:val="single" w:sz="4" w:space="0" w:color="auto"/>
              <w:left w:val="single" w:sz="4" w:space="0" w:color="auto"/>
              <w:bottom w:val="single" w:sz="4" w:space="0" w:color="auto"/>
              <w:right w:val="single" w:sz="4" w:space="0" w:color="auto"/>
            </w:tcBorders>
            <w:vAlign w:val="center"/>
            <w:hideMark/>
          </w:tcPr>
          <w:p w14:paraId="3E06323B" w14:textId="77777777" w:rsidR="005B52DB" w:rsidRPr="00DF0BA2" w:rsidRDefault="005B52DB" w:rsidP="00C44944">
            <w:pPr>
              <w:spacing w:after="0" w:line="216" w:lineRule="auto"/>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t>Raw Coir Pith</w:t>
            </w:r>
          </w:p>
        </w:tc>
        <w:tc>
          <w:tcPr>
            <w:tcW w:w="5496" w:type="dxa"/>
            <w:gridSpan w:val="5"/>
            <w:tcBorders>
              <w:top w:val="single" w:sz="4" w:space="0" w:color="auto"/>
              <w:left w:val="single" w:sz="4" w:space="0" w:color="auto"/>
              <w:bottom w:val="single" w:sz="4" w:space="0" w:color="auto"/>
            </w:tcBorders>
            <w:vAlign w:val="center"/>
            <w:hideMark/>
          </w:tcPr>
          <w:p w14:paraId="0EC1CFBD" w14:textId="77777777" w:rsidR="005B52DB" w:rsidRPr="00DF0BA2" w:rsidRDefault="005B52DB" w:rsidP="00C44944">
            <w:pPr>
              <w:spacing w:after="0" w:line="216" w:lineRule="auto"/>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t xml:space="preserve"> Coir Pith treated with Gypsum and urea treatment</w:t>
            </w:r>
          </w:p>
        </w:tc>
      </w:tr>
      <w:tr w:rsidR="005B52DB" w:rsidRPr="00DF0BA2" w14:paraId="1A3F4751" w14:textId="77777777" w:rsidTr="005B52DB">
        <w:trPr>
          <w:trHeight w:val="1500"/>
        </w:trPr>
        <w:tc>
          <w:tcPr>
            <w:tcW w:w="375" w:type="dxa"/>
            <w:vMerge/>
            <w:tcBorders>
              <w:bottom w:val="single" w:sz="4" w:space="0" w:color="auto"/>
            </w:tcBorders>
            <w:vAlign w:val="center"/>
            <w:hideMark/>
          </w:tcPr>
          <w:p w14:paraId="2BCAB1AD"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2070" w:type="dxa"/>
            <w:vMerge/>
            <w:tcBorders>
              <w:bottom w:val="single" w:sz="4" w:space="0" w:color="auto"/>
              <w:right w:val="single" w:sz="4" w:space="0" w:color="auto"/>
            </w:tcBorders>
            <w:vAlign w:val="center"/>
            <w:hideMark/>
          </w:tcPr>
          <w:p w14:paraId="1A0EF4B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tcBorders>
            <w:vAlign w:val="center"/>
            <w:hideMark/>
          </w:tcPr>
          <w:p w14:paraId="4ACFEE05"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Control</w:t>
            </w:r>
          </w:p>
        </w:tc>
        <w:tc>
          <w:tcPr>
            <w:tcW w:w="1260" w:type="dxa"/>
            <w:tcBorders>
              <w:top w:val="single" w:sz="4" w:space="0" w:color="auto"/>
              <w:bottom w:val="single" w:sz="4" w:space="0" w:color="auto"/>
            </w:tcBorders>
            <w:vAlign w:val="center"/>
            <w:hideMark/>
          </w:tcPr>
          <w:p w14:paraId="25EB1D38"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Conventional Process (12 Months)</w:t>
            </w:r>
          </w:p>
        </w:tc>
        <w:tc>
          <w:tcPr>
            <w:tcW w:w="1260" w:type="dxa"/>
            <w:tcBorders>
              <w:top w:val="single" w:sz="4" w:space="0" w:color="auto"/>
              <w:bottom w:val="single" w:sz="4" w:space="0" w:color="auto"/>
            </w:tcBorders>
            <w:vAlign w:val="center"/>
            <w:hideMark/>
          </w:tcPr>
          <w:p w14:paraId="47CCBA4C"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Fresh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260" w:type="dxa"/>
            <w:tcBorders>
              <w:top w:val="single" w:sz="4" w:space="0" w:color="auto"/>
              <w:bottom w:val="single" w:sz="4" w:space="0" w:color="auto"/>
            </w:tcBorders>
            <w:vAlign w:val="center"/>
            <w:hideMark/>
          </w:tcPr>
          <w:p w14:paraId="1413BDFE"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2 Month Old </w:t>
            </w:r>
            <w:proofErr w:type="spellStart"/>
            <w:r w:rsidRPr="00DF0BA2">
              <w:rPr>
                <w:rFonts w:ascii="Times New Roman" w:eastAsia="Times New Roman" w:hAnsi="Times New Roman" w:cs="Times New Roman"/>
                <w:color w:val="000000" w:themeColor="text1"/>
                <w:sz w:val="24"/>
                <w:szCs w:val="24"/>
              </w:rPr>
              <w:t>Coirpith</w:t>
            </w:r>
            <w:proofErr w:type="spellEnd"/>
          </w:p>
          <w:p w14:paraId="546C7E95"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Under</w:t>
            </w:r>
          </w:p>
          <w:p w14:paraId="6140F4A4"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220" w:type="dxa"/>
            <w:tcBorders>
              <w:top w:val="single" w:sz="4" w:space="0" w:color="auto"/>
              <w:bottom w:val="single" w:sz="4" w:space="0" w:color="auto"/>
              <w:right w:val="single" w:sz="4" w:space="0" w:color="auto"/>
            </w:tcBorders>
            <w:vAlign w:val="center"/>
            <w:hideMark/>
          </w:tcPr>
          <w:p w14:paraId="13F6219B"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4 Month Old </w:t>
            </w:r>
            <w:proofErr w:type="spellStart"/>
            <w:r w:rsidRPr="00DF0BA2">
              <w:rPr>
                <w:rFonts w:ascii="Times New Roman" w:eastAsia="Times New Roman" w:hAnsi="Times New Roman" w:cs="Times New Roman"/>
                <w:color w:val="000000" w:themeColor="text1"/>
                <w:sz w:val="24"/>
                <w:szCs w:val="24"/>
              </w:rPr>
              <w:t>Coirpith</w:t>
            </w:r>
            <w:proofErr w:type="spellEnd"/>
          </w:p>
          <w:p w14:paraId="6473EB9B"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870" w:type="dxa"/>
            <w:tcBorders>
              <w:top w:val="single" w:sz="4" w:space="0" w:color="auto"/>
              <w:left w:val="single" w:sz="4" w:space="0" w:color="auto"/>
              <w:bottom w:val="single" w:sz="4" w:space="0" w:color="auto"/>
            </w:tcBorders>
            <w:vAlign w:val="center"/>
            <w:hideMark/>
          </w:tcPr>
          <w:p w14:paraId="4E229145"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Control</w:t>
            </w:r>
          </w:p>
        </w:tc>
        <w:tc>
          <w:tcPr>
            <w:tcW w:w="1110" w:type="dxa"/>
            <w:tcBorders>
              <w:top w:val="single" w:sz="4" w:space="0" w:color="auto"/>
              <w:bottom w:val="single" w:sz="4" w:space="0" w:color="auto"/>
            </w:tcBorders>
            <w:vAlign w:val="center"/>
            <w:hideMark/>
          </w:tcPr>
          <w:p w14:paraId="1F2BD67D"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Conventional Process (12 Months)</w:t>
            </w:r>
          </w:p>
        </w:tc>
        <w:tc>
          <w:tcPr>
            <w:tcW w:w="1172" w:type="dxa"/>
            <w:tcBorders>
              <w:top w:val="single" w:sz="4" w:space="0" w:color="auto"/>
              <w:bottom w:val="single" w:sz="4" w:space="0" w:color="auto"/>
            </w:tcBorders>
            <w:vAlign w:val="center"/>
            <w:hideMark/>
          </w:tcPr>
          <w:p w14:paraId="6FD04BC1"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Fresh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172" w:type="dxa"/>
            <w:tcBorders>
              <w:top w:val="single" w:sz="4" w:space="0" w:color="auto"/>
              <w:bottom w:val="single" w:sz="4" w:space="0" w:color="auto"/>
            </w:tcBorders>
            <w:vAlign w:val="center"/>
            <w:hideMark/>
          </w:tcPr>
          <w:p w14:paraId="24F71CDB"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2 Month Old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172" w:type="dxa"/>
            <w:tcBorders>
              <w:top w:val="single" w:sz="4" w:space="0" w:color="auto"/>
              <w:bottom w:val="single" w:sz="4" w:space="0" w:color="auto"/>
            </w:tcBorders>
            <w:vAlign w:val="center"/>
            <w:hideMark/>
          </w:tcPr>
          <w:p w14:paraId="371ACD35"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4 Month Old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r>
      <w:tr w:rsidR="005B52DB" w:rsidRPr="00DF0BA2" w14:paraId="72828503" w14:textId="77777777" w:rsidTr="005B52DB">
        <w:trPr>
          <w:trHeight w:val="413"/>
        </w:trPr>
        <w:tc>
          <w:tcPr>
            <w:tcW w:w="13841" w:type="dxa"/>
            <w:gridSpan w:val="12"/>
            <w:tcBorders>
              <w:top w:val="single" w:sz="4" w:space="0" w:color="auto"/>
            </w:tcBorders>
            <w:vAlign w:val="bottom"/>
            <w:hideMark/>
          </w:tcPr>
          <w:p w14:paraId="089FB8D5"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Crop Variety : Cauliflower</w:t>
            </w:r>
          </w:p>
        </w:tc>
      </w:tr>
      <w:tr w:rsidR="005B52DB" w:rsidRPr="00DF0BA2" w14:paraId="1B400FC8" w14:textId="77777777" w:rsidTr="005B52DB">
        <w:trPr>
          <w:trHeight w:val="480"/>
        </w:trPr>
        <w:tc>
          <w:tcPr>
            <w:tcW w:w="375" w:type="dxa"/>
            <w:noWrap/>
            <w:vAlign w:val="bottom"/>
            <w:hideMark/>
          </w:tcPr>
          <w:p w14:paraId="1435C8C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w:t>
            </w:r>
          </w:p>
        </w:tc>
        <w:tc>
          <w:tcPr>
            <w:tcW w:w="2070" w:type="dxa"/>
            <w:tcBorders>
              <w:right w:val="single" w:sz="4" w:space="0" w:color="auto"/>
            </w:tcBorders>
            <w:vAlign w:val="center"/>
            <w:hideMark/>
          </w:tcPr>
          <w:p w14:paraId="6E64BB3B"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Seedling Height (inch) </w:t>
            </w:r>
          </w:p>
        </w:tc>
        <w:tc>
          <w:tcPr>
            <w:tcW w:w="900" w:type="dxa"/>
            <w:tcBorders>
              <w:top w:val="nil"/>
              <w:left w:val="single" w:sz="4" w:space="0" w:color="auto"/>
              <w:bottom w:val="nil"/>
            </w:tcBorders>
            <w:noWrap/>
            <w:vAlign w:val="bottom"/>
            <w:hideMark/>
          </w:tcPr>
          <w:p w14:paraId="296FBC13"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12.52</w:t>
            </w:r>
          </w:p>
        </w:tc>
        <w:tc>
          <w:tcPr>
            <w:tcW w:w="1260" w:type="dxa"/>
            <w:noWrap/>
            <w:vAlign w:val="bottom"/>
            <w:hideMark/>
          </w:tcPr>
          <w:p w14:paraId="3E8EDF46"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15.63</w:t>
            </w:r>
          </w:p>
        </w:tc>
        <w:tc>
          <w:tcPr>
            <w:tcW w:w="1260" w:type="dxa"/>
            <w:noWrap/>
            <w:vAlign w:val="bottom"/>
            <w:hideMark/>
          </w:tcPr>
          <w:p w14:paraId="0A184704"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16.63</w:t>
            </w:r>
          </w:p>
        </w:tc>
        <w:tc>
          <w:tcPr>
            <w:tcW w:w="1260" w:type="dxa"/>
            <w:noWrap/>
            <w:vAlign w:val="bottom"/>
            <w:hideMark/>
          </w:tcPr>
          <w:p w14:paraId="60691BF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16.45</w:t>
            </w:r>
          </w:p>
        </w:tc>
        <w:tc>
          <w:tcPr>
            <w:tcW w:w="1220" w:type="dxa"/>
            <w:tcBorders>
              <w:right w:val="single" w:sz="4" w:space="0" w:color="auto"/>
            </w:tcBorders>
            <w:noWrap/>
            <w:vAlign w:val="bottom"/>
            <w:hideMark/>
          </w:tcPr>
          <w:p w14:paraId="3B631026"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17.04</w:t>
            </w:r>
          </w:p>
        </w:tc>
        <w:tc>
          <w:tcPr>
            <w:tcW w:w="870" w:type="dxa"/>
            <w:tcBorders>
              <w:top w:val="nil"/>
              <w:left w:val="single" w:sz="4" w:space="0" w:color="auto"/>
              <w:bottom w:val="nil"/>
            </w:tcBorders>
            <w:noWrap/>
            <w:vAlign w:val="bottom"/>
            <w:hideMark/>
          </w:tcPr>
          <w:p w14:paraId="626F62D6"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14.2</w:t>
            </w:r>
          </w:p>
        </w:tc>
        <w:tc>
          <w:tcPr>
            <w:tcW w:w="1110" w:type="dxa"/>
            <w:noWrap/>
            <w:vAlign w:val="bottom"/>
            <w:hideMark/>
          </w:tcPr>
          <w:p w14:paraId="662F8E32"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16.1</w:t>
            </w:r>
          </w:p>
        </w:tc>
        <w:tc>
          <w:tcPr>
            <w:tcW w:w="1172" w:type="dxa"/>
            <w:noWrap/>
            <w:vAlign w:val="bottom"/>
            <w:hideMark/>
          </w:tcPr>
          <w:p w14:paraId="496F07EE"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16.9</w:t>
            </w:r>
          </w:p>
        </w:tc>
        <w:tc>
          <w:tcPr>
            <w:tcW w:w="1172" w:type="dxa"/>
            <w:noWrap/>
            <w:vAlign w:val="bottom"/>
            <w:hideMark/>
          </w:tcPr>
          <w:p w14:paraId="4390014A"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17.5</w:t>
            </w:r>
          </w:p>
        </w:tc>
        <w:tc>
          <w:tcPr>
            <w:tcW w:w="1172" w:type="dxa"/>
            <w:noWrap/>
            <w:vAlign w:val="bottom"/>
            <w:hideMark/>
          </w:tcPr>
          <w:p w14:paraId="068E46D5"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18.2</w:t>
            </w:r>
          </w:p>
        </w:tc>
      </w:tr>
      <w:tr w:rsidR="005B52DB" w:rsidRPr="00DF0BA2" w14:paraId="53A8B283" w14:textId="77777777" w:rsidTr="005B52DB">
        <w:trPr>
          <w:trHeight w:val="315"/>
        </w:trPr>
        <w:tc>
          <w:tcPr>
            <w:tcW w:w="375" w:type="dxa"/>
            <w:noWrap/>
            <w:vAlign w:val="bottom"/>
            <w:hideMark/>
          </w:tcPr>
          <w:p w14:paraId="03AA1A31"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w:t>
            </w:r>
          </w:p>
        </w:tc>
        <w:tc>
          <w:tcPr>
            <w:tcW w:w="2070" w:type="dxa"/>
            <w:tcBorders>
              <w:right w:val="single" w:sz="4" w:space="0" w:color="auto"/>
            </w:tcBorders>
            <w:vAlign w:val="center"/>
            <w:hideMark/>
          </w:tcPr>
          <w:p w14:paraId="2FBB758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No of leaves</w:t>
            </w:r>
          </w:p>
        </w:tc>
        <w:tc>
          <w:tcPr>
            <w:tcW w:w="900" w:type="dxa"/>
            <w:tcBorders>
              <w:top w:val="nil"/>
              <w:left w:val="single" w:sz="4" w:space="0" w:color="auto"/>
              <w:bottom w:val="nil"/>
            </w:tcBorders>
            <w:noWrap/>
            <w:vAlign w:val="bottom"/>
            <w:hideMark/>
          </w:tcPr>
          <w:p w14:paraId="4599CBC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5.2</w:t>
            </w:r>
          </w:p>
        </w:tc>
        <w:tc>
          <w:tcPr>
            <w:tcW w:w="1260" w:type="dxa"/>
            <w:noWrap/>
            <w:vAlign w:val="bottom"/>
            <w:hideMark/>
          </w:tcPr>
          <w:p w14:paraId="382BB9E2"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6.8</w:t>
            </w:r>
          </w:p>
        </w:tc>
        <w:tc>
          <w:tcPr>
            <w:tcW w:w="1260" w:type="dxa"/>
            <w:noWrap/>
            <w:vAlign w:val="bottom"/>
            <w:hideMark/>
          </w:tcPr>
          <w:p w14:paraId="0086E11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7.2</w:t>
            </w:r>
          </w:p>
        </w:tc>
        <w:tc>
          <w:tcPr>
            <w:tcW w:w="1260" w:type="dxa"/>
            <w:noWrap/>
            <w:vAlign w:val="bottom"/>
            <w:hideMark/>
          </w:tcPr>
          <w:p w14:paraId="51767FA8"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7.5</w:t>
            </w:r>
          </w:p>
        </w:tc>
        <w:tc>
          <w:tcPr>
            <w:tcW w:w="1220" w:type="dxa"/>
            <w:tcBorders>
              <w:right w:val="single" w:sz="4" w:space="0" w:color="auto"/>
            </w:tcBorders>
            <w:noWrap/>
            <w:vAlign w:val="bottom"/>
            <w:hideMark/>
          </w:tcPr>
          <w:p w14:paraId="4A0C285F"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8.1</w:t>
            </w:r>
          </w:p>
        </w:tc>
        <w:tc>
          <w:tcPr>
            <w:tcW w:w="870" w:type="dxa"/>
            <w:tcBorders>
              <w:top w:val="nil"/>
              <w:left w:val="single" w:sz="4" w:space="0" w:color="auto"/>
              <w:bottom w:val="nil"/>
            </w:tcBorders>
            <w:noWrap/>
            <w:vAlign w:val="bottom"/>
            <w:hideMark/>
          </w:tcPr>
          <w:p w14:paraId="4F75AFBC"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6.1</w:t>
            </w:r>
          </w:p>
        </w:tc>
        <w:tc>
          <w:tcPr>
            <w:tcW w:w="1110" w:type="dxa"/>
            <w:noWrap/>
            <w:vAlign w:val="bottom"/>
            <w:hideMark/>
          </w:tcPr>
          <w:p w14:paraId="70E3965C"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7.6</w:t>
            </w:r>
          </w:p>
        </w:tc>
        <w:tc>
          <w:tcPr>
            <w:tcW w:w="1172" w:type="dxa"/>
            <w:noWrap/>
            <w:vAlign w:val="bottom"/>
            <w:hideMark/>
          </w:tcPr>
          <w:p w14:paraId="660C4A2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7.6</w:t>
            </w:r>
          </w:p>
        </w:tc>
        <w:tc>
          <w:tcPr>
            <w:tcW w:w="1172" w:type="dxa"/>
            <w:noWrap/>
            <w:vAlign w:val="bottom"/>
            <w:hideMark/>
          </w:tcPr>
          <w:p w14:paraId="0086527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8.2</w:t>
            </w:r>
          </w:p>
        </w:tc>
        <w:tc>
          <w:tcPr>
            <w:tcW w:w="1172" w:type="dxa"/>
            <w:noWrap/>
            <w:vAlign w:val="bottom"/>
            <w:hideMark/>
          </w:tcPr>
          <w:p w14:paraId="3C16D9A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8.7</w:t>
            </w:r>
          </w:p>
        </w:tc>
      </w:tr>
      <w:tr w:rsidR="005B52DB" w:rsidRPr="00DF0BA2" w14:paraId="2BBA2446" w14:textId="77777777" w:rsidTr="005B52DB">
        <w:trPr>
          <w:trHeight w:val="300"/>
        </w:trPr>
        <w:tc>
          <w:tcPr>
            <w:tcW w:w="375" w:type="dxa"/>
            <w:noWrap/>
            <w:vAlign w:val="bottom"/>
            <w:hideMark/>
          </w:tcPr>
          <w:p w14:paraId="09D51E8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2070" w:type="dxa"/>
            <w:tcBorders>
              <w:right w:val="single" w:sz="4" w:space="0" w:color="auto"/>
            </w:tcBorders>
            <w:noWrap/>
            <w:vAlign w:val="bottom"/>
            <w:hideMark/>
          </w:tcPr>
          <w:p w14:paraId="50014A8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900" w:type="dxa"/>
            <w:tcBorders>
              <w:top w:val="nil"/>
              <w:left w:val="single" w:sz="4" w:space="0" w:color="auto"/>
              <w:bottom w:val="nil"/>
            </w:tcBorders>
            <w:noWrap/>
            <w:vAlign w:val="bottom"/>
            <w:hideMark/>
          </w:tcPr>
          <w:p w14:paraId="5C95184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260" w:type="dxa"/>
            <w:noWrap/>
            <w:vAlign w:val="bottom"/>
            <w:hideMark/>
          </w:tcPr>
          <w:p w14:paraId="5ED2141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260" w:type="dxa"/>
            <w:noWrap/>
            <w:vAlign w:val="bottom"/>
            <w:hideMark/>
          </w:tcPr>
          <w:p w14:paraId="3C59B98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260" w:type="dxa"/>
            <w:noWrap/>
            <w:vAlign w:val="bottom"/>
            <w:hideMark/>
          </w:tcPr>
          <w:p w14:paraId="5930587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220" w:type="dxa"/>
            <w:noWrap/>
            <w:vAlign w:val="bottom"/>
            <w:hideMark/>
          </w:tcPr>
          <w:p w14:paraId="2EBE01C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870" w:type="dxa"/>
            <w:tcBorders>
              <w:top w:val="nil"/>
            </w:tcBorders>
            <w:noWrap/>
            <w:vAlign w:val="bottom"/>
            <w:hideMark/>
          </w:tcPr>
          <w:p w14:paraId="4A570C81"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110" w:type="dxa"/>
            <w:noWrap/>
            <w:vAlign w:val="bottom"/>
            <w:hideMark/>
          </w:tcPr>
          <w:p w14:paraId="0887893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172" w:type="dxa"/>
            <w:noWrap/>
            <w:vAlign w:val="bottom"/>
            <w:hideMark/>
          </w:tcPr>
          <w:p w14:paraId="52A76FA6"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172" w:type="dxa"/>
            <w:noWrap/>
            <w:vAlign w:val="bottom"/>
            <w:hideMark/>
          </w:tcPr>
          <w:p w14:paraId="7C73126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1172" w:type="dxa"/>
            <w:noWrap/>
            <w:vAlign w:val="bottom"/>
            <w:hideMark/>
          </w:tcPr>
          <w:p w14:paraId="65954D0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r>
      <w:tr w:rsidR="005B52DB" w:rsidRPr="00DF0BA2" w14:paraId="03A6D0BD" w14:textId="77777777" w:rsidTr="005B52DB">
        <w:trPr>
          <w:trHeight w:val="531"/>
        </w:trPr>
        <w:tc>
          <w:tcPr>
            <w:tcW w:w="13841" w:type="dxa"/>
            <w:gridSpan w:val="12"/>
            <w:noWrap/>
            <w:vAlign w:val="center"/>
            <w:hideMark/>
          </w:tcPr>
          <w:p w14:paraId="1F0E5385"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Crop Variety : Tomato</w:t>
            </w:r>
          </w:p>
        </w:tc>
      </w:tr>
      <w:tr w:rsidR="005B52DB" w:rsidRPr="00DF0BA2" w14:paraId="14C42B1E" w14:textId="77777777" w:rsidTr="005B52DB">
        <w:trPr>
          <w:trHeight w:val="315"/>
        </w:trPr>
        <w:tc>
          <w:tcPr>
            <w:tcW w:w="375" w:type="dxa"/>
            <w:noWrap/>
            <w:vAlign w:val="bottom"/>
            <w:hideMark/>
          </w:tcPr>
          <w:p w14:paraId="31A297B6"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w:t>
            </w:r>
          </w:p>
        </w:tc>
        <w:tc>
          <w:tcPr>
            <w:tcW w:w="2070" w:type="dxa"/>
            <w:tcBorders>
              <w:right w:val="single" w:sz="4" w:space="0" w:color="auto"/>
            </w:tcBorders>
            <w:vAlign w:val="center"/>
            <w:hideMark/>
          </w:tcPr>
          <w:p w14:paraId="45A2EBA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Seedling Height (inch) </w:t>
            </w:r>
          </w:p>
        </w:tc>
        <w:tc>
          <w:tcPr>
            <w:tcW w:w="900" w:type="dxa"/>
            <w:tcBorders>
              <w:top w:val="nil"/>
              <w:left w:val="single" w:sz="4" w:space="0" w:color="auto"/>
              <w:bottom w:val="nil"/>
            </w:tcBorders>
            <w:noWrap/>
            <w:vAlign w:val="bottom"/>
            <w:hideMark/>
          </w:tcPr>
          <w:p w14:paraId="1637F510"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23.22</w:t>
            </w:r>
          </w:p>
        </w:tc>
        <w:tc>
          <w:tcPr>
            <w:tcW w:w="1260" w:type="dxa"/>
            <w:noWrap/>
            <w:vAlign w:val="bottom"/>
            <w:hideMark/>
          </w:tcPr>
          <w:p w14:paraId="7BC1168A"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29.24</w:t>
            </w:r>
          </w:p>
        </w:tc>
        <w:tc>
          <w:tcPr>
            <w:tcW w:w="1260" w:type="dxa"/>
            <w:noWrap/>
            <w:vAlign w:val="bottom"/>
            <w:hideMark/>
          </w:tcPr>
          <w:p w14:paraId="398AA106"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31.24</w:t>
            </w:r>
          </w:p>
        </w:tc>
        <w:tc>
          <w:tcPr>
            <w:tcW w:w="1260" w:type="dxa"/>
            <w:noWrap/>
            <w:vAlign w:val="bottom"/>
            <w:hideMark/>
          </w:tcPr>
          <w:p w14:paraId="16502472"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30.12</w:t>
            </w:r>
          </w:p>
        </w:tc>
        <w:tc>
          <w:tcPr>
            <w:tcW w:w="1220" w:type="dxa"/>
            <w:tcBorders>
              <w:right w:val="single" w:sz="4" w:space="0" w:color="auto"/>
            </w:tcBorders>
            <w:noWrap/>
            <w:vAlign w:val="bottom"/>
            <w:hideMark/>
          </w:tcPr>
          <w:p w14:paraId="1B92E4E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32.14</w:t>
            </w:r>
          </w:p>
        </w:tc>
        <w:tc>
          <w:tcPr>
            <w:tcW w:w="870" w:type="dxa"/>
            <w:tcBorders>
              <w:top w:val="nil"/>
              <w:left w:val="single" w:sz="4" w:space="0" w:color="auto"/>
              <w:bottom w:val="nil"/>
            </w:tcBorders>
            <w:noWrap/>
            <w:vAlign w:val="bottom"/>
            <w:hideMark/>
          </w:tcPr>
          <w:p w14:paraId="6D647AA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24.1</w:t>
            </w:r>
          </w:p>
        </w:tc>
        <w:tc>
          <w:tcPr>
            <w:tcW w:w="1110" w:type="dxa"/>
            <w:noWrap/>
            <w:vAlign w:val="bottom"/>
            <w:hideMark/>
          </w:tcPr>
          <w:p w14:paraId="42C29231"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32.7</w:t>
            </w:r>
          </w:p>
        </w:tc>
        <w:tc>
          <w:tcPr>
            <w:tcW w:w="1172" w:type="dxa"/>
            <w:noWrap/>
            <w:vAlign w:val="bottom"/>
            <w:hideMark/>
          </w:tcPr>
          <w:p w14:paraId="3D6F31C0"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32.62</w:t>
            </w:r>
          </w:p>
        </w:tc>
        <w:tc>
          <w:tcPr>
            <w:tcW w:w="1172" w:type="dxa"/>
            <w:noWrap/>
            <w:vAlign w:val="bottom"/>
            <w:hideMark/>
          </w:tcPr>
          <w:p w14:paraId="6DD46552"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34.21</w:t>
            </w:r>
          </w:p>
        </w:tc>
        <w:tc>
          <w:tcPr>
            <w:tcW w:w="1172" w:type="dxa"/>
            <w:noWrap/>
            <w:vAlign w:val="bottom"/>
            <w:hideMark/>
          </w:tcPr>
          <w:p w14:paraId="083FDB13"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34.78</w:t>
            </w:r>
          </w:p>
        </w:tc>
      </w:tr>
      <w:tr w:rsidR="005B52DB" w:rsidRPr="00DF0BA2" w14:paraId="2617E2DE" w14:textId="77777777" w:rsidTr="005B52DB">
        <w:trPr>
          <w:trHeight w:val="315"/>
        </w:trPr>
        <w:tc>
          <w:tcPr>
            <w:tcW w:w="375" w:type="dxa"/>
            <w:noWrap/>
            <w:vAlign w:val="bottom"/>
            <w:hideMark/>
          </w:tcPr>
          <w:p w14:paraId="44B6CEC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4</w:t>
            </w:r>
          </w:p>
        </w:tc>
        <w:tc>
          <w:tcPr>
            <w:tcW w:w="2070" w:type="dxa"/>
            <w:tcBorders>
              <w:right w:val="single" w:sz="4" w:space="0" w:color="auto"/>
            </w:tcBorders>
            <w:vAlign w:val="center"/>
            <w:hideMark/>
          </w:tcPr>
          <w:p w14:paraId="3426861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No of leaves</w:t>
            </w:r>
          </w:p>
        </w:tc>
        <w:tc>
          <w:tcPr>
            <w:tcW w:w="900" w:type="dxa"/>
            <w:tcBorders>
              <w:top w:val="nil"/>
              <w:left w:val="single" w:sz="4" w:space="0" w:color="auto"/>
              <w:bottom w:val="nil"/>
            </w:tcBorders>
            <w:noWrap/>
            <w:vAlign w:val="bottom"/>
            <w:hideMark/>
          </w:tcPr>
          <w:p w14:paraId="44F25713"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21.4</w:t>
            </w:r>
          </w:p>
        </w:tc>
        <w:tc>
          <w:tcPr>
            <w:tcW w:w="1260" w:type="dxa"/>
            <w:noWrap/>
            <w:vAlign w:val="bottom"/>
            <w:hideMark/>
          </w:tcPr>
          <w:p w14:paraId="20035B61"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29.5</w:t>
            </w:r>
          </w:p>
        </w:tc>
        <w:tc>
          <w:tcPr>
            <w:tcW w:w="1260" w:type="dxa"/>
            <w:noWrap/>
            <w:vAlign w:val="bottom"/>
            <w:hideMark/>
          </w:tcPr>
          <w:p w14:paraId="3BD56C2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34.6</w:t>
            </w:r>
          </w:p>
        </w:tc>
        <w:tc>
          <w:tcPr>
            <w:tcW w:w="1260" w:type="dxa"/>
            <w:noWrap/>
            <w:vAlign w:val="bottom"/>
            <w:hideMark/>
          </w:tcPr>
          <w:p w14:paraId="05A32528"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32.5</w:t>
            </w:r>
          </w:p>
        </w:tc>
        <w:tc>
          <w:tcPr>
            <w:tcW w:w="1220" w:type="dxa"/>
            <w:tcBorders>
              <w:right w:val="single" w:sz="4" w:space="0" w:color="auto"/>
            </w:tcBorders>
            <w:noWrap/>
            <w:vAlign w:val="bottom"/>
            <w:hideMark/>
          </w:tcPr>
          <w:p w14:paraId="5ED5353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36.2</w:t>
            </w:r>
          </w:p>
        </w:tc>
        <w:tc>
          <w:tcPr>
            <w:tcW w:w="870" w:type="dxa"/>
            <w:tcBorders>
              <w:top w:val="nil"/>
              <w:left w:val="single" w:sz="4" w:space="0" w:color="auto"/>
              <w:bottom w:val="nil"/>
            </w:tcBorders>
            <w:noWrap/>
            <w:vAlign w:val="bottom"/>
            <w:hideMark/>
          </w:tcPr>
          <w:p w14:paraId="346755F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23.6</w:t>
            </w:r>
          </w:p>
        </w:tc>
        <w:tc>
          <w:tcPr>
            <w:tcW w:w="1110" w:type="dxa"/>
            <w:noWrap/>
            <w:vAlign w:val="bottom"/>
            <w:hideMark/>
          </w:tcPr>
          <w:p w14:paraId="7B5A06DF"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30.1</w:t>
            </w:r>
          </w:p>
        </w:tc>
        <w:tc>
          <w:tcPr>
            <w:tcW w:w="1172" w:type="dxa"/>
            <w:noWrap/>
            <w:vAlign w:val="bottom"/>
            <w:hideMark/>
          </w:tcPr>
          <w:p w14:paraId="47C69BE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35.6</w:t>
            </w:r>
          </w:p>
        </w:tc>
        <w:tc>
          <w:tcPr>
            <w:tcW w:w="1172" w:type="dxa"/>
            <w:noWrap/>
            <w:vAlign w:val="bottom"/>
            <w:hideMark/>
          </w:tcPr>
          <w:p w14:paraId="29582013"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35.7</w:t>
            </w:r>
          </w:p>
        </w:tc>
        <w:tc>
          <w:tcPr>
            <w:tcW w:w="1172" w:type="dxa"/>
            <w:noWrap/>
            <w:vAlign w:val="bottom"/>
            <w:hideMark/>
          </w:tcPr>
          <w:p w14:paraId="34D337FE"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38.6</w:t>
            </w:r>
          </w:p>
        </w:tc>
      </w:tr>
      <w:tr w:rsidR="005B52DB" w:rsidRPr="00DF0BA2" w14:paraId="1EF2CC8B" w14:textId="77777777" w:rsidTr="005B52DB">
        <w:trPr>
          <w:trHeight w:val="300"/>
        </w:trPr>
        <w:tc>
          <w:tcPr>
            <w:tcW w:w="375" w:type="dxa"/>
            <w:noWrap/>
            <w:vAlign w:val="bottom"/>
            <w:hideMark/>
          </w:tcPr>
          <w:p w14:paraId="7D671F1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2070" w:type="dxa"/>
            <w:noWrap/>
            <w:vAlign w:val="bottom"/>
            <w:hideMark/>
          </w:tcPr>
          <w:p w14:paraId="782070E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900" w:type="dxa"/>
            <w:tcBorders>
              <w:top w:val="nil"/>
            </w:tcBorders>
            <w:noWrap/>
            <w:vAlign w:val="bottom"/>
            <w:hideMark/>
          </w:tcPr>
          <w:p w14:paraId="0F98F72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260" w:type="dxa"/>
            <w:noWrap/>
            <w:vAlign w:val="bottom"/>
            <w:hideMark/>
          </w:tcPr>
          <w:p w14:paraId="7A4EA93F"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260" w:type="dxa"/>
            <w:noWrap/>
            <w:vAlign w:val="bottom"/>
            <w:hideMark/>
          </w:tcPr>
          <w:p w14:paraId="36BFCF6C"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260" w:type="dxa"/>
            <w:noWrap/>
            <w:vAlign w:val="bottom"/>
            <w:hideMark/>
          </w:tcPr>
          <w:p w14:paraId="77852DAF"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220" w:type="dxa"/>
            <w:noWrap/>
            <w:vAlign w:val="bottom"/>
            <w:hideMark/>
          </w:tcPr>
          <w:p w14:paraId="4B368F68"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870" w:type="dxa"/>
            <w:tcBorders>
              <w:top w:val="nil"/>
            </w:tcBorders>
            <w:noWrap/>
            <w:vAlign w:val="bottom"/>
            <w:hideMark/>
          </w:tcPr>
          <w:p w14:paraId="072853F0"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110" w:type="dxa"/>
            <w:noWrap/>
            <w:vAlign w:val="bottom"/>
            <w:hideMark/>
          </w:tcPr>
          <w:p w14:paraId="3128D8C8"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172" w:type="dxa"/>
            <w:noWrap/>
            <w:vAlign w:val="bottom"/>
            <w:hideMark/>
          </w:tcPr>
          <w:p w14:paraId="07114C26"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172" w:type="dxa"/>
            <w:noWrap/>
            <w:vAlign w:val="bottom"/>
            <w:hideMark/>
          </w:tcPr>
          <w:p w14:paraId="3DA2F8F7"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c>
          <w:tcPr>
            <w:tcW w:w="1172" w:type="dxa"/>
            <w:noWrap/>
            <w:vAlign w:val="bottom"/>
            <w:hideMark/>
          </w:tcPr>
          <w:p w14:paraId="3035E72F"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p>
        </w:tc>
      </w:tr>
      <w:tr w:rsidR="005B52DB" w:rsidRPr="00DF0BA2" w14:paraId="352EF086" w14:textId="77777777" w:rsidTr="005B52DB">
        <w:trPr>
          <w:trHeight w:val="504"/>
        </w:trPr>
        <w:tc>
          <w:tcPr>
            <w:tcW w:w="13841" w:type="dxa"/>
            <w:gridSpan w:val="12"/>
            <w:noWrap/>
            <w:vAlign w:val="center"/>
            <w:hideMark/>
          </w:tcPr>
          <w:p w14:paraId="639DBB7F"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Crop Variety : Chilli</w:t>
            </w:r>
          </w:p>
        </w:tc>
      </w:tr>
      <w:tr w:rsidR="005B52DB" w:rsidRPr="00DF0BA2" w14:paraId="317AA455" w14:textId="77777777" w:rsidTr="005B52DB">
        <w:trPr>
          <w:trHeight w:val="315"/>
        </w:trPr>
        <w:tc>
          <w:tcPr>
            <w:tcW w:w="375" w:type="dxa"/>
            <w:noWrap/>
            <w:vAlign w:val="bottom"/>
            <w:hideMark/>
          </w:tcPr>
          <w:p w14:paraId="64CE020B"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5</w:t>
            </w:r>
          </w:p>
        </w:tc>
        <w:tc>
          <w:tcPr>
            <w:tcW w:w="2070" w:type="dxa"/>
            <w:tcBorders>
              <w:right w:val="single" w:sz="4" w:space="0" w:color="auto"/>
            </w:tcBorders>
            <w:vAlign w:val="center"/>
            <w:hideMark/>
          </w:tcPr>
          <w:p w14:paraId="4E31572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Seedling Height (inch) </w:t>
            </w:r>
          </w:p>
        </w:tc>
        <w:tc>
          <w:tcPr>
            <w:tcW w:w="900" w:type="dxa"/>
            <w:tcBorders>
              <w:top w:val="nil"/>
              <w:left w:val="single" w:sz="4" w:space="0" w:color="auto"/>
              <w:bottom w:val="nil"/>
            </w:tcBorders>
            <w:noWrap/>
            <w:vAlign w:val="bottom"/>
            <w:hideMark/>
          </w:tcPr>
          <w:p w14:paraId="55E885D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15.52</w:t>
            </w:r>
          </w:p>
        </w:tc>
        <w:tc>
          <w:tcPr>
            <w:tcW w:w="1260" w:type="dxa"/>
            <w:noWrap/>
            <w:vAlign w:val="bottom"/>
            <w:hideMark/>
          </w:tcPr>
          <w:p w14:paraId="5463AF25"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18.2</w:t>
            </w:r>
          </w:p>
        </w:tc>
        <w:tc>
          <w:tcPr>
            <w:tcW w:w="1260" w:type="dxa"/>
            <w:noWrap/>
            <w:vAlign w:val="bottom"/>
            <w:hideMark/>
          </w:tcPr>
          <w:p w14:paraId="0F430C11"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20.12</w:t>
            </w:r>
          </w:p>
        </w:tc>
        <w:tc>
          <w:tcPr>
            <w:tcW w:w="1260" w:type="dxa"/>
            <w:noWrap/>
            <w:vAlign w:val="bottom"/>
            <w:hideMark/>
          </w:tcPr>
          <w:p w14:paraId="1A3291B0"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22.35</w:t>
            </w:r>
          </w:p>
        </w:tc>
        <w:tc>
          <w:tcPr>
            <w:tcW w:w="1220" w:type="dxa"/>
            <w:tcBorders>
              <w:right w:val="single" w:sz="4" w:space="0" w:color="auto"/>
            </w:tcBorders>
            <w:noWrap/>
            <w:vAlign w:val="bottom"/>
            <w:hideMark/>
          </w:tcPr>
          <w:p w14:paraId="210BD88B"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21.24</w:t>
            </w:r>
          </w:p>
        </w:tc>
        <w:tc>
          <w:tcPr>
            <w:tcW w:w="870" w:type="dxa"/>
            <w:tcBorders>
              <w:top w:val="nil"/>
              <w:left w:val="single" w:sz="4" w:space="0" w:color="auto"/>
              <w:bottom w:val="nil"/>
            </w:tcBorders>
            <w:noWrap/>
            <w:vAlign w:val="bottom"/>
            <w:hideMark/>
          </w:tcPr>
          <w:p w14:paraId="5E7F0A8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16.24</w:t>
            </w:r>
          </w:p>
        </w:tc>
        <w:tc>
          <w:tcPr>
            <w:tcW w:w="1110" w:type="dxa"/>
            <w:noWrap/>
            <w:vAlign w:val="bottom"/>
            <w:hideMark/>
          </w:tcPr>
          <w:p w14:paraId="4AC412E5"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23.2</w:t>
            </w:r>
          </w:p>
        </w:tc>
        <w:tc>
          <w:tcPr>
            <w:tcW w:w="1172" w:type="dxa"/>
            <w:noWrap/>
            <w:vAlign w:val="bottom"/>
            <w:hideMark/>
          </w:tcPr>
          <w:p w14:paraId="5F15AEF6"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23.6</w:t>
            </w:r>
          </w:p>
        </w:tc>
        <w:tc>
          <w:tcPr>
            <w:tcW w:w="1172" w:type="dxa"/>
            <w:noWrap/>
            <w:vAlign w:val="bottom"/>
            <w:hideMark/>
          </w:tcPr>
          <w:p w14:paraId="5DE5F00D"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24.2</w:t>
            </w:r>
          </w:p>
        </w:tc>
        <w:tc>
          <w:tcPr>
            <w:tcW w:w="1172" w:type="dxa"/>
            <w:noWrap/>
            <w:vAlign w:val="bottom"/>
            <w:hideMark/>
          </w:tcPr>
          <w:p w14:paraId="59371703"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25.4</w:t>
            </w:r>
          </w:p>
        </w:tc>
      </w:tr>
      <w:tr w:rsidR="005B52DB" w:rsidRPr="00DF0BA2" w14:paraId="4CE21DCB" w14:textId="77777777" w:rsidTr="005B52DB">
        <w:trPr>
          <w:trHeight w:val="315"/>
        </w:trPr>
        <w:tc>
          <w:tcPr>
            <w:tcW w:w="375" w:type="dxa"/>
            <w:noWrap/>
            <w:vAlign w:val="bottom"/>
            <w:hideMark/>
          </w:tcPr>
          <w:p w14:paraId="48FF2D5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6</w:t>
            </w:r>
          </w:p>
        </w:tc>
        <w:tc>
          <w:tcPr>
            <w:tcW w:w="2070" w:type="dxa"/>
            <w:tcBorders>
              <w:right w:val="single" w:sz="4" w:space="0" w:color="auto"/>
            </w:tcBorders>
            <w:vAlign w:val="center"/>
            <w:hideMark/>
          </w:tcPr>
          <w:p w14:paraId="007B41F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No of leaves</w:t>
            </w:r>
          </w:p>
        </w:tc>
        <w:tc>
          <w:tcPr>
            <w:tcW w:w="900" w:type="dxa"/>
            <w:tcBorders>
              <w:top w:val="nil"/>
              <w:left w:val="single" w:sz="4" w:space="0" w:color="auto"/>
              <w:bottom w:val="single" w:sz="4" w:space="0" w:color="auto"/>
            </w:tcBorders>
            <w:noWrap/>
            <w:vAlign w:val="bottom"/>
            <w:hideMark/>
          </w:tcPr>
          <w:p w14:paraId="139F6985"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16.5</w:t>
            </w:r>
          </w:p>
        </w:tc>
        <w:tc>
          <w:tcPr>
            <w:tcW w:w="1260" w:type="dxa"/>
            <w:noWrap/>
            <w:vAlign w:val="bottom"/>
            <w:hideMark/>
          </w:tcPr>
          <w:p w14:paraId="659FC84A"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21.2</w:t>
            </w:r>
          </w:p>
        </w:tc>
        <w:tc>
          <w:tcPr>
            <w:tcW w:w="1260" w:type="dxa"/>
            <w:noWrap/>
            <w:vAlign w:val="bottom"/>
            <w:hideMark/>
          </w:tcPr>
          <w:p w14:paraId="3DD3B455"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24.5</w:t>
            </w:r>
          </w:p>
        </w:tc>
        <w:tc>
          <w:tcPr>
            <w:tcW w:w="1260" w:type="dxa"/>
            <w:noWrap/>
            <w:vAlign w:val="bottom"/>
            <w:hideMark/>
          </w:tcPr>
          <w:p w14:paraId="7DBA032E"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26.2</w:t>
            </w:r>
          </w:p>
        </w:tc>
        <w:tc>
          <w:tcPr>
            <w:tcW w:w="1220" w:type="dxa"/>
            <w:tcBorders>
              <w:right w:val="single" w:sz="4" w:space="0" w:color="auto"/>
            </w:tcBorders>
            <w:noWrap/>
            <w:vAlign w:val="bottom"/>
            <w:hideMark/>
          </w:tcPr>
          <w:p w14:paraId="641907E6"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27.1</w:t>
            </w:r>
          </w:p>
        </w:tc>
        <w:tc>
          <w:tcPr>
            <w:tcW w:w="870" w:type="dxa"/>
            <w:tcBorders>
              <w:top w:val="nil"/>
              <w:left w:val="single" w:sz="4" w:space="0" w:color="auto"/>
              <w:bottom w:val="single" w:sz="4" w:space="0" w:color="auto"/>
            </w:tcBorders>
            <w:noWrap/>
            <w:vAlign w:val="bottom"/>
            <w:hideMark/>
          </w:tcPr>
          <w:p w14:paraId="2F50FD10"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18.4</w:t>
            </w:r>
          </w:p>
        </w:tc>
        <w:tc>
          <w:tcPr>
            <w:tcW w:w="1110" w:type="dxa"/>
            <w:noWrap/>
            <w:vAlign w:val="bottom"/>
            <w:hideMark/>
          </w:tcPr>
          <w:p w14:paraId="510927FA"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26.3</w:t>
            </w:r>
          </w:p>
        </w:tc>
        <w:tc>
          <w:tcPr>
            <w:tcW w:w="1172" w:type="dxa"/>
            <w:noWrap/>
            <w:vAlign w:val="bottom"/>
            <w:hideMark/>
          </w:tcPr>
          <w:p w14:paraId="674F8180"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27.6</w:t>
            </w:r>
          </w:p>
        </w:tc>
        <w:tc>
          <w:tcPr>
            <w:tcW w:w="1172" w:type="dxa"/>
            <w:noWrap/>
            <w:vAlign w:val="bottom"/>
            <w:hideMark/>
          </w:tcPr>
          <w:p w14:paraId="702809FA"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30.2</w:t>
            </w:r>
          </w:p>
        </w:tc>
        <w:tc>
          <w:tcPr>
            <w:tcW w:w="1172" w:type="dxa"/>
            <w:noWrap/>
            <w:vAlign w:val="bottom"/>
            <w:hideMark/>
          </w:tcPr>
          <w:p w14:paraId="4B13AD09" w14:textId="77777777" w:rsidR="005B52DB" w:rsidRPr="00DF0BA2" w:rsidRDefault="005B52DB" w:rsidP="00D03F9D">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32.4</w:t>
            </w:r>
          </w:p>
        </w:tc>
      </w:tr>
    </w:tbl>
    <w:p w14:paraId="199DC153" w14:textId="77777777" w:rsidR="005B52DB" w:rsidRPr="00DF0BA2" w:rsidRDefault="005B52DB" w:rsidP="00C44944">
      <w:pPr>
        <w:jc w:val="both"/>
        <w:rPr>
          <w:rFonts w:ascii="Times New Roman" w:hAnsi="Times New Roman" w:cs="Times New Roman"/>
          <w:color w:val="000000" w:themeColor="text1"/>
          <w:sz w:val="24"/>
          <w:szCs w:val="24"/>
        </w:rPr>
      </w:pPr>
    </w:p>
    <w:p w14:paraId="540E590E" w14:textId="77777777" w:rsidR="005B52DB" w:rsidRPr="00DF0BA2" w:rsidRDefault="005B52DB" w:rsidP="00C44944">
      <w:pPr>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br w:type="page"/>
      </w:r>
    </w:p>
    <w:p w14:paraId="457B4800" w14:textId="77777777" w:rsidR="005B52DB" w:rsidRPr="00DF0BA2" w:rsidRDefault="005B52DB" w:rsidP="00C44944">
      <w:pPr>
        <w:ind w:left="900" w:hanging="90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lastRenderedPageBreak/>
        <w:t xml:space="preserve"> </w:t>
      </w:r>
      <w:r w:rsidRPr="00DF0BA2">
        <w:rPr>
          <w:rFonts w:ascii="Times New Roman" w:hAnsi="Times New Roman" w:cs="Times New Roman"/>
          <w:color w:val="000000" w:themeColor="text1"/>
          <w:sz w:val="24"/>
          <w:szCs w:val="24"/>
          <w:shd w:val="clear" w:color="auto" w:fill="FFFFFF"/>
        </w:rPr>
        <w:t xml:space="preserve">Table </w:t>
      </w:r>
      <w:proofErr w:type="gramStart"/>
      <w:r w:rsidRPr="00DF0BA2">
        <w:rPr>
          <w:rFonts w:ascii="Times New Roman" w:hAnsi="Times New Roman" w:cs="Times New Roman"/>
          <w:color w:val="000000" w:themeColor="text1"/>
          <w:sz w:val="24"/>
          <w:szCs w:val="24"/>
          <w:shd w:val="clear" w:color="auto" w:fill="FFFFFF"/>
        </w:rPr>
        <w:t>6 :</w:t>
      </w:r>
      <w:proofErr w:type="gramEnd"/>
      <w:r w:rsidRPr="00DF0BA2">
        <w:rPr>
          <w:rFonts w:ascii="Times New Roman" w:hAnsi="Times New Roman" w:cs="Times New Roman"/>
          <w:color w:val="000000" w:themeColor="text1"/>
          <w:sz w:val="24"/>
          <w:szCs w:val="24"/>
          <w:shd w:val="clear" w:color="auto" w:fill="FFFFFF"/>
        </w:rPr>
        <w:t xml:space="preserve"> Post Transplantation growth of seedling developed under conventional and </w:t>
      </w:r>
      <w:proofErr w:type="spellStart"/>
      <w:r w:rsidRPr="00DF0BA2">
        <w:rPr>
          <w:rFonts w:ascii="Times New Roman" w:hAnsi="Times New Roman" w:cs="Times New Roman"/>
          <w:color w:val="000000" w:themeColor="text1"/>
          <w:sz w:val="24"/>
          <w:szCs w:val="24"/>
          <w:shd w:val="clear" w:color="auto" w:fill="FFFFFF"/>
        </w:rPr>
        <w:t>Novcom</w:t>
      </w:r>
      <w:proofErr w:type="spellEnd"/>
      <w:r w:rsidRPr="00DF0BA2">
        <w:rPr>
          <w:rFonts w:ascii="Times New Roman" w:hAnsi="Times New Roman" w:cs="Times New Roman"/>
          <w:color w:val="000000" w:themeColor="text1"/>
          <w:sz w:val="24"/>
          <w:szCs w:val="24"/>
          <w:shd w:val="clear" w:color="auto" w:fill="FFFFFF"/>
        </w:rPr>
        <w:t xml:space="preserve"> treated </w:t>
      </w:r>
      <w:proofErr w:type="spellStart"/>
      <w:r w:rsidRPr="00DF0BA2">
        <w:rPr>
          <w:rFonts w:ascii="Times New Roman" w:hAnsi="Times New Roman" w:cs="Times New Roman"/>
          <w:color w:val="000000" w:themeColor="text1"/>
          <w:sz w:val="24"/>
          <w:szCs w:val="24"/>
          <w:shd w:val="clear" w:color="auto" w:fill="FFFFFF"/>
        </w:rPr>
        <w:t>Coirpith</w:t>
      </w:r>
      <w:proofErr w:type="spellEnd"/>
      <w:r w:rsidRPr="00DF0BA2">
        <w:rPr>
          <w:rFonts w:ascii="Times New Roman" w:hAnsi="Times New Roman" w:cs="Times New Roman"/>
          <w:color w:val="000000" w:themeColor="text1"/>
          <w:sz w:val="24"/>
          <w:szCs w:val="24"/>
          <w:shd w:val="clear" w:color="auto" w:fill="FFFFFF"/>
        </w:rPr>
        <w:t xml:space="preserve"> Growing </w:t>
      </w:r>
      <w:proofErr w:type="gramStart"/>
      <w:r w:rsidRPr="00DF0BA2">
        <w:rPr>
          <w:rFonts w:ascii="Times New Roman" w:hAnsi="Times New Roman" w:cs="Times New Roman"/>
          <w:color w:val="000000" w:themeColor="text1"/>
          <w:sz w:val="24"/>
          <w:szCs w:val="24"/>
          <w:shd w:val="clear" w:color="auto" w:fill="FFFFFF"/>
        </w:rPr>
        <w:t>media  at</w:t>
      </w:r>
      <w:proofErr w:type="gramEnd"/>
      <w:r w:rsidRPr="00DF0BA2">
        <w:rPr>
          <w:rFonts w:ascii="Times New Roman" w:hAnsi="Times New Roman" w:cs="Times New Roman"/>
          <w:color w:val="000000" w:themeColor="text1"/>
          <w:sz w:val="24"/>
          <w:szCs w:val="24"/>
          <w:shd w:val="clear" w:color="auto" w:fill="FFFFFF"/>
        </w:rPr>
        <w:t xml:space="preserve"> field </w:t>
      </w:r>
      <w:proofErr w:type="gramStart"/>
      <w:r w:rsidRPr="00DF0BA2">
        <w:rPr>
          <w:rFonts w:ascii="Times New Roman" w:hAnsi="Times New Roman" w:cs="Times New Roman"/>
          <w:color w:val="000000" w:themeColor="text1"/>
          <w:sz w:val="24"/>
          <w:szCs w:val="24"/>
          <w:shd w:val="clear" w:color="auto" w:fill="FFFFFF"/>
        </w:rPr>
        <w:t>level  (</w:t>
      </w:r>
      <w:proofErr w:type="gramEnd"/>
      <w:r w:rsidRPr="00DF0BA2">
        <w:rPr>
          <w:rFonts w:ascii="Times New Roman" w:hAnsi="Times New Roman" w:cs="Times New Roman"/>
          <w:color w:val="000000" w:themeColor="text1"/>
          <w:sz w:val="24"/>
          <w:szCs w:val="24"/>
          <w:shd w:val="clear" w:color="auto" w:fill="FFFFFF"/>
        </w:rPr>
        <w:t>30 days after Transplanting)</w:t>
      </w:r>
      <w:r w:rsidRPr="00DF0BA2">
        <w:rPr>
          <w:rFonts w:ascii="Times New Roman" w:hAnsi="Times New Roman" w:cs="Times New Roman"/>
          <w:color w:val="000000" w:themeColor="text1"/>
          <w:sz w:val="24"/>
          <w:szCs w:val="24"/>
        </w:rPr>
        <w:t xml:space="preserve"> </w:t>
      </w:r>
    </w:p>
    <w:p w14:paraId="258600A4" w14:textId="77777777" w:rsidR="005B52DB" w:rsidRPr="00DF0BA2" w:rsidRDefault="005B52DB" w:rsidP="00C44944">
      <w:pPr>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 </w:t>
      </w:r>
    </w:p>
    <w:tbl>
      <w:tblPr>
        <w:tblW w:w="13841" w:type="dxa"/>
        <w:tblInd w:w="93" w:type="dxa"/>
        <w:tblBorders>
          <w:top w:val="single" w:sz="4" w:space="0" w:color="auto"/>
          <w:bottom w:val="single" w:sz="4" w:space="0" w:color="auto"/>
        </w:tblBorders>
        <w:tblLook w:val="04A0" w:firstRow="1" w:lastRow="0" w:firstColumn="1" w:lastColumn="0" w:noHBand="0" w:noVBand="1"/>
      </w:tblPr>
      <w:tblGrid>
        <w:gridCol w:w="375"/>
        <w:gridCol w:w="2070"/>
        <w:gridCol w:w="900"/>
        <w:gridCol w:w="1294"/>
        <w:gridCol w:w="1260"/>
        <w:gridCol w:w="1260"/>
        <w:gridCol w:w="1220"/>
        <w:gridCol w:w="870"/>
        <w:gridCol w:w="1294"/>
        <w:gridCol w:w="1172"/>
        <w:gridCol w:w="1172"/>
        <w:gridCol w:w="1172"/>
      </w:tblGrid>
      <w:tr w:rsidR="005B52DB" w:rsidRPr="00DF0BA2" w14:paraId="54835E8B" w14:textId="77777777" w:rsidTr="005B52DB">
        <w:trPr>
          <w:trHeight w:val="375"/>
        </w:trPr>
        <w:tc>
          <w:tcPr>
            <w:tcW w:w="375" w:type="dxa"/>
            <w:vMerge w:val="restart"/>
            <w:tcBorders>
              <w:top w:val="single" w:sz="4" w:space="0" w:color="auto"/>
            </w:tcBorders>
            <w:vAlign w:val="center"/>
            <w:hideMark/>
          </w:tcPr>
          <w:p w14:paraId="20D368D9" w14:textId="77777777" w:rsidR="005B52DB" w:rsidRPr="00DF0BA2" w:rsidRDefault="005B52DB" w:rsidP="00C44944">
            <w:pPr>
              <w:spacing w:after="0" w:line="216" w:lineRule="auto"/>
              <w:ind w:left="-93" w:right="-108"/>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Sl. No.</w:t>
            </w:r>
          </w:p>
        </w:tc>
        <w:tc>
          <w:tcPr>
            <w:tcW w:w="2070" w:type="dxa"/>
            <w:vMerge w:val="restart"/>
            <w:tcBorders>
              <w:top w:val="single" w:sz="4" w:space="0" w:color="auto"/>
              <w:right w:val="single" w:sz="4" w:space="0" w:color="auto"/>
            </w:tcBorders>
            <w:vAlign w:val="center"/>
            <w:hideMark/>
          </w:tcPr>
          <w:p w14:paraId="696A1B6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Parameters</w:t>
            </w:r>
          </w:p>
        </w:tc>
        <w:tc>
          <w:tcPr>
            <w:tcW w:w="5900" w:type="dxa"/>
            <w:gridSpan w:val="5"/>
            <w:tcBorders>
              <w:top w:val="single" w:sz="4" w:space="0" w:color="auto"/>
              <w:left w:val="single" w:sz="4" w:space="0" w:color="auto"/>
              <w:bottom w:val="single" w:sz="4" w:space="0" w:color="auto"/>
              <w:right w:val="single" w:sz="4" w:space="0" w:color="auto"/>
            </w:tcBorders>
            <w:vAlign w:val="center"/>
            <w:hideMark/>
          </w:tcPr>
          <w:p w14:paraId="26AB398F" w14:textId="77777777" w:rsidR="005B52DB" w:rsidRPr="00DF0BA2" w:rsidRDefault="005B52DB" w:rsidP="00C44944">
            <w:pPr>
              <w:spacing w:after="0" w:line="216" w:lineRule="auto"/>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t>Raw Coir Pith</w:t>
            </w:r>
          </w:p>
        </w:tc>
        <w:tc>
          <w:tcPr>
            <w:tcW w:w="5496" w:type="dxa"/>
            <w:gridSpan w:val="5"/>
            <w:tcBorders>
              <w:top w:val="single" w:sz="4" w:space="0" w:color="auto"/>
              <w:left w:val="single" w:sz="4" w:space="0" w:color="auto"/>
              <w:bottom w:val="single" w:sz="4" w:space="0" w:color="auto"/>
            </w:tcBorders>
            <w:vAlign w:val="center"/>
            <w:hideMark/>
          </w:tcPr>
          <w:p w14:paraId="11CBDA53" w14:textId="77777777" w:rsidR="005B52DB" w:rsidRPr="00DF0BA2" w:rsidRDefault="005B52DB" w:rsidP="00C44944">
            <w:pPr>
              <w:spacing w:after="0" w:line="216" w:lineRule="auto"/>
              <w:jc w:val="both"/>
              <w:rPr>
                <w:rFonts w:ascii="Times New Roman" w:eastAsia="Times New Roman" w:hAnsi="Times New Roman" w:cs="Times New Roman"/>
                <w:b/>
                <w:color w:val="000000" w:themeColor="text1"/>
                <w:sz w:val="24"/>
                <w:szCs w:val="24"/>
              </w:rPr>
            </w:pPr>
            <w:r w:rsidRPr="00DF0BA2">
              <w:rPr>
                <w:rFonts w:ascii="Times New Roman" w:eastAsia="Times New Roman" w:hAnsi="Times New Roman" w:cs="Times New Roman"/>
                <w:b/>
                <w:color w:val="000000" w:themeColor="text1"/>
                <w:sz w:val="24"/>
                <w:szCs w:val="24"/>
              </w:rPr>
              <w:t xml:space="preserve"> Coir Pith treated with Gypsum and urea treatment</w:t>
            </w:r>
          </w:p>
        </w:tc>
      </w:tr>
      <w:tr w:rsidR="005B52DB" w:rsidRPr="00DF0BA2" w14:paraId="06A67949" w14:textId="77777777" w:rsidTr="005B52DB">
        <w:trPr>
          <w:trHeight w:val="1500"/>
        </w:trPr>
        <w:tc>
          <w:tcPr>
            <w:tcW w:w="375" w:type="dxa"/>
            <w:vMerge/>
            <w:tcBorders>
              <w:bottom w:val="single" w:sz="4" w:space="0" w:color="auto"/>
            </w:tcBorders>
            <w:vAlign w:val="center"/>
            <w:hideMark/>
          </w:tcPr>
          <w:p w14:paraId="4ECEE3C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2070" w:type="dxa"/>
            <w:vMerge/>
            <w:tcBorders>
              <w:bottom w:val="single" w:sz="4" w:space="0" w:color="auto"/>
              <w:right w:val="single" w:sz="4" w:space="0" w:color="auto"/>
            </w:tcBorders>
            <w:vAlign w:val="center"/>
            <w:hideMark/>
          </w:tcPr>
          <w:p w14:paraId="7204DE4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tcBorders>
            <w:vAlign w:val="center"/>
            <w:hideMark/>
          </w:tcPr>
          <w:p w14:paraId="3FCFF7E0"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Control</w:t>
            </w:r>
          </w:p>
        </w:tc>
        <w:tc>
          <w:tcPr>
            <w:tcW w:w="1260" w:type="dxa"/>
            <w:tcBorders>
              <w:top w:val="single" w:sz="4" w:space="0" w:color="auto"/>
              <w:bottom w:val="single" w:sz="4" w:space="0" w:color="auto"/>
            </w:tcBorders>
            <w:vAlign w:val="center"/>
            <w:hideMark/>
          </w:tcPr>
          <w:p w14:paraId="28651B20"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Conventional Process (12 Months)</w:t>
            </w:r>
          </w:p>
        </w:tc>
        <w:tc>
          <w:tcPr>
            <w:tcW w:w="1260" w:type="dxa"/>
            <w:tcBorders>
              <w:top w:val="single" w:sz="4" w:space="0" w:color="auto"/>
              <w:bottom w:val="single" w:sz="4" w:space="0" w:color="auto"/>
            </w:tcBorders>
            <w:vAlign w:val="center"/>
            <w:hideMark/>
          </w:tcPr>
          <w:p w14:paraId="49CE70CB"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Fresh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260" w:type="dxa"/>
            <w:tcBorders>
              <w:top w:val="single" w:sz="4" w:space="0" w:color="auto"/>
              <w:bottom w:val="single" w:sz="4" w:space="0" w:color="auto"/>
            </w:tcBorders>
            <w:vAlign w:val="center"/>
            <w:hideMark/>
          </w:tcPr>
          <w:p w14:paraId="0FC9F13E"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2 Month Old </w:t>
            </w:r>
            <w:proofErr w:type="spellStart"/>
            <w:r w:rsidRPr="00DF0BA2">
              <w:rPr>
                <w:rFonts w:ascii="Times New Roman" w:eastAsia="Times New Roman" w:hAnsi="Times New Roman" w:cs="Times New Roman"/>
                <w:color w:val="000000" w:themeColor="text1"/>
                <w:sz w:val="24"/>
                <w:szCs w:val="24"/>
              </w:rPr>
              <w:t>Coirpith</w:t>
            </w:r>
            <w:proofErr w:type="spellEnd"/>
          </w:p>
          <w:p w14:paraId="513894AA"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Under</w:t>
            </w:r>
          </w:p>
          <w:p w14:paraId="02AC1FFE"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220" w:type="dxa"/>
            <w:tcBorders>
              <w:top w:val="single" w:sz="4" w:space="0" w:color="auto"/>
              <w:bottom w:val="single" w:sz="4" w:space="0" w:color="auto"/>
              <w:right w:val="single" w:sz="4" w:space="0" w:color="auto"/>
            </w:tcBorders>
            <w:vAlign w:val="center"/>
            <w:hideMark/>
          </w:tcPr>
          <w:p w14:paraId="20540BC6"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4 Month Old </w:t>
            </w:r>
            <w:proofErr w:type="spellStart"/>
            <w:r w:rsidRPr="00DF0BA2">
              <w:rPr>
                <w:rFonts w:ascii="Times New Roman" w:eastAsia="Times New Roman" w:hAnsi="Times New Roman" w:cs="Times New Roman"/>
                <w:color w:val="000000" w:themeColor="text1"/>
                <w:sz w:val="24"/>
                <w:szCs w:val="24"/>
              </w:rPr>
              <w:t>Coirpith</w:t>
            </w:r>
            <w:proofErr w:type="spellEnd"/>
          </w:p>
          <w:p w14:paraId="53545CC2"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870" w:type="dxa"/>
            <w:tcBorders>
              <w:top w:val="single" w:sz="4" w:space="0" w:color="auto"/>
              <w:left w:val="single" w:sz="4" w:space="0" w:color="auto"/>
              <w:bottom w:val="single" w:sz="4" w:space="0" w:color="auto"/>
            </w:tcBorders>
            <w:vAlign w:val="center"/>
            <w:hideMark/>
          </w:tcPr>
          <w:p w14:paraId="6677674D"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Control</w:t>
            </w:r>
          </w:p>
        </w:tc>
        <w:tc>
          <w:tcPr>
            <w:tcW w:w="1110" w:type="dxa"/>
            <w:tcBorders>
              <w:top w:val="single" w:sz="4" w:space="0" w:color="auto"/>
              <w:bottom w:val="single" w:sz="4" w:space="0" w:color="auto"/>
            </w:tcBorders>
            <w:vAlign w:val="center"/>
            <w:hideMark/>
          </w:tcPr>
          <w:p w14:paraId="0DC2D33C"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Conventional Process (12 Months)</w:t>
            </w:r>
          </w:p>
        </w:tc>
        <w:tc>
          <w:tcPr>
            <w:tcW w:w="1172" w:type="dxa"/>
            <w:tcBorders>
              <w:top w:val="single" w:sz="4" w:space="0" w:color="auto"/>
              <w:bottom w:val="single" w:sz="4" w:space="0" w:color="auto"/>
            </w:tcBorders>
            <w:vAlign w:val="center"/>
            <w:hideMark/>
          </w:tcPr>
          <w:p w14:paraId="062E6B9C"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Fresh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172" w:type="dxa"/>
            <w:tcBorders>
              <w:top w:val="single" w:sz="4" w:space="0" w:color="auto"/>
              <w:bottom w:val="single" w:sz="4" w:space="0" w:color="auto"/>
            </w:tcBorders>
            <w:vAlign w:val="center"/>
            <w:hideMark/>
          </w:tcPr>
          <w:p w14:paraId="3DE2E5BC"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2 Month Old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c>
          <w:tcPr>
            <w:tcW w:w="1172" w:type="dxa"/>
            <w:tcBorders>
              <w:top w:val="single" w:sz="4" w:space="0" w:color="auto"/>
              <w:bottom w:val="single" w:sz="4" w:space="0" w:color="auto"/>
            </w:tcBorders>
            <w:vAlign w:val="center"/>
            <w:hideMark/>
          </w:tcPr>
          <w:p w14:paraId="449441A0" w14:textId="77777777" w:rsidR="005B52DB" w:rsidRPr="00DF0BA2" w:rsidRDefault="005B52DB" w:rsidP="0026183D">
            <w:pPr>
              <w:spacing w:after="0" w:line="216" w:lineRule="auto"/>
              <w:ind w:left="-108" w:right="-108"/>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4 Month Old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Under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(40 days)</w:t>
            </w:r>
          </w:p>
        </w:tc>
      </w:tr>
      <w:tr w:rsidR="005B52DB" w:rsidRPr="00DF0BA2" w14:paraId="5BBA83AB" w14:textId="77777777" w:rsidTr="005B52DB">
        <w:trPr>
          <w:trHeight w:val="413"/>
        </w:trPr>
        <w:tc>
          <w:tcPr>
            <w:tcW w:w="13841" w:type="dxa"/>
            <w:gridSpan w:val="12"/>
            <w:tcBorders>
              <w:top w:val="single" w:sz="4" w:space="0" w:color="auto"/>
            </w:tcBorders>
            <w:vAlign w:val="bottom"/>
            <w:hideMark/>
          </w:tcPr>
          <w:p w14:paraId="3B87970C"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Crop Variety : Cauliflower</w:t>
            </w:r>
          </w:p>
        </w:tc>
      </w:tr>
      <w:tr w:rsidR="005B52DB" w:rsidRPr="00DF0BA2" w14:paraId="7006AF6C" w14:textId="77777777" w:rsidTr="005B52DB">
        <w:trPr>
          <w:trHeight w:val="480"/>
        </w:trPr>
        <w:tc>
          <w:tcPr>
            <w:tcW w:w="375" w:type="dxa"/>
            <w:noWrap/>
            <w:vAlign w:val="bottom"/>
            <w:hideMark/>
          </w:tcPr>
          <w:p w14:paraId="1D5A2EE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1</w:t>
            </w:r>
          </w:p>
        </w:tc>
        <w:tc>
          <w:tcPr>
            <w:tcW w:w="2070" w:type="dxa"/>
            <w:tcBorders>
              <w:right w:val="single" w:sz="4" w:space="0" w:color="auto"/>
            </w:tcBorders>
            <w:vAlign w:val="center"/>
            <w:hideMark/>
          </w:tcPr>
          <w:p w14:paraId="27C74B4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Seedling Height (inch) </w:t>
            </w:r>
          </w:p>
        </w:tc>
        <w:tc>
          <w:tcPr>
            <w:tcW w:w="900" w:type="dxa"/>
            <w:tcBorders>
              <w:top w:val="nil"/>
              <w:left w:val="single" w:sz="4" w:space="0" w:color="auto"/>
              <w:bottom w:val="nil"/>
            </w:tcBorders>
            <w:noWrap/>
            <w:vAlign w:val="center"/>
            <w:hideMark/>
          </w:tcPr>
          <w:p w14:paraId="23A0F04A"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13.96</w:t>
            </w:r>
          </w:p>
        </w:tc>
        <w:tc>
          <w:tcPr>
            <w:tcW w:w="1260" w:type="dxa"/>
            <w:noWrap/>
            <w:vAlign w:val="center"/>
            <w:hideMark/>
          </w:tcPr>
          <w:p w14:paraId="702F1182"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18.23</w:t>
            </w:r>
          </w:p>
        </w:tc>
        <w:tc>
          <w:tcPr>
            <w:tcW w:w="1260" w:type="dxa"/>
            <w:noWrap/>
            <w:vAlign w:val="center"/>
            <w:hideMark/>
          </w:tcPr>
          <w:p w14:paraId="58BFA521"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19.27</w:t>
            </w:r>
          </w:p>
        </w:tc>
        <w:tc>
          <w:tcPr>
            <w:tcW w:w="1260" w:type="dxa"/>
            <w:noWrap/>
            <w:vAlign w:val="center"/>
            <w:hideMark/>
          </w:tcPr>
          <w:p w14:paraId="4B2EDB66"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19.87</w:t>
            </w:r>
          </w:p>
        </w:tc>
        <w:tc>
          <w:tcPr>
            <w:tcW w:w="1220" w:type="dxa"/>
            <w:tcBorders>
              <w:right w:val="single" w:sz="4" w:space="0" w:color="auto"/>
            </w:tcBorders>
            <w:noWrap/>
            <w:vAlign w:val="center"/>
            <w:hideMark/>
          </w:tcPr>
          <w:p w14:paraId="5FA3ADEC"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20.62</w:t>
            </w:r>
          </w:p>
        </w:tc>
        <w:tc>
          <w:tcPr>
            <w:tcW w:w="870" w:type="dxa"/>
            <w:tcBorders>
              <w:top w:val="nil"/>
              <w:left w:val="single" w:sz="4" w:space="0" w:color="auto"/>
              <w:bottom w:val="nil"/>
            </w:tcBorders>
            <w:noWrap/>
            <w:vAlign w:val="center"/>
            <w:hideMark/>
          </w:tcPr>
          <w:p w14:paraId="255416B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16.2</w:t>
            </w:r>
          </w:p>
        </w:tc>
        <w:tc>
          <w:tcPr>
            <w:tcW w:w="1110" w:type="dxa"/>
            <w:noWrap/>
            <w:vAlign w:val="center"/>
            <w:hideMark/>
          </w:tcPr>
          <w:p w14:paraId="25F85E79"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19.62</w:t>
            </w:r>
          </w:p>
        </w:tc>
        <w:tc>
          <w:tcPr>
            <w:tcW w:w="1172" w:type="dxa"/>
            <w:noWrap/>
            <w:vAlign w:val="center"/>
            <w:hideMark/>
          </w:tcPr>
          <w:p w14:paraId="444D0254"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20.14</w:t>
            </w:r>
          </w:p>
        </w:tc>
        <w:tc>
          <w:tcPr>
            <w:tcW w:w="1172" w:type="dxa"/>
            <w:noWrap/>
            <w:vAlign w:val="center"/>
            <w:hideMark/>
          </w:tcPr>
          <w:p w14:paraId="595F1719"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20.95</w:t>
            </w:r>
          </w:p>
        </w:tc>
        <w:tc>
          <w:tcPr>
            <w:tcW w:w="1172" w:type="dxa"/>
            <w:noWrap/>
            <w:vAlign w:val="center"/>
            <w:hideMark/>
          </w:tcPr>
          <w:p w14:paraId="3005F7F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21.5</w:t>
            </w:r>
          </w:p>
        </w:tc>
      </w:tr>
      <w:tr w:rsidR="005B52DB" w:rsidRPr="00DF0BA2" w14:paraId="6D033522" w14:textId="77777777" w:rsidTr="005B52DB">
        <w:trPr>
          <w:trHeight w:val="315"/>
        </w:trPr>
        <w:tc>
          <w:tcPr>
            <w:tcW w:w="375" w:type="dxa"/>
            <w:noWrap/>
            <w:vAlign w:val="bottom"/>
            <w:hideMark/>
          </w:tcPr>
          <w:p w14:paraId="4B84A344"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2</w:t>
            </w:r>
          </w:p>
        </w:tc>
        <w:tc>
          <w:tcPr>
            <w:tcW w:w="2070" w:type="dxa"/>
            <w:tcBorders>
              <w:right w:val="single" w:sz="4" w:space="0" w:color="auto"/>
            </w:tcBorders>
            <w:vAlign w:val="center"/>
            <w:hideMark/>
          </w:tcPr>
          <w:p w14:paraId="3A784A3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No of leaves</w:t>
            </w:r>
          </w:p>
        </w:tc>
        <w:tc>
          <w:tcPr>
            <w:tcW w:w="900" w:type="dxa"/>
            <w:tcBorders>
              <w:top w:val="nil"/>
              <w:left w:val="single" w:sz="4" w:space="0" w:color="auto"/>
              <w:bottom w:val="nil"/>
            </w:tcBorders>
            <w:noWrap/>
            <w:vAlign w:val="center"/>
            <w:hideMark/>
          </w:tcPr>
          <w:p w14:paraId="33C4B42B"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6.2</w:t>
            </w:r>
          </w:p>
        </w:tc>
        <w:tc>
          <w:tcPr>
            <w:tcW w:w="1260" w:type="dxa"/>
            <w:noWrap/>
            <w:vAlign w:val="center"/>
            <w:hideMark/>
          </w:tcPr>
          <w:p w14:paraId="1C409D54"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9.4</w:t>
            </w:r>
          </w:p>
        </w:tc>
        <w:tc>
          <w:tcPr>
            <w:tcW w:w="1260" w:type="dxa"/>
            <w:noWrap/>
            <w:vAlign w:val="center"/>
            <w:hideMark/>
          </w:tcPr>
          <w:p w14:paraId="75E072D5"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10.2</w:t>
            </w:r>
          </w:p>
        </w:tc>
        <w:tc>
          <w:tcPr>
            <w:tcW w:w="1260" w:type="dxa"/>
            <w:noWrap/>
            <w:vAlign w:val="center"/>
            <w:hideMark/>
          </w:tcPr>
          <w:p w14:paraId="3EA254FB"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10.6</w:t>
            </w:r>
          </w:p>
        </w:tc>
        <w:tc>
          <w:tcPr>
            <w:tcW w:w="1220" w:type="dxa"/>
            <w:tcBorders>
              <w:right w:val="single" w:sz="4" w:space="0" w:color="auto"/>
            </w:tcBorders>
            <w:noWrap/>
            <w:vAlign w:val="center"/>
            <w:hideMark/>
          </w:tcPr>
          <w:p w14:paraId="74A307E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11.1</w:t>
            </w:r>
          </w:p>
        </w:tc>
        <w:tc>
          <w:tcPr>
            <w:tcW w:w="870" w:type="dxa"/>
            <w:tcBorders>
              <w:top w:val="nil"/>
              <w:left w:val="single" w:sz="4" w:space="0" w:color="auto"/>
              <w:bottom w:val="nil"/>
            </w:tcBorders>
            <w:noWrap/>
            <w:vAlign w:val="center"/>
            <w:hideMark/>
          </w:tcPr>
          <w:p w14:paraId="2D73509C"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6.6</w:t>
            </w:r>
          </w:p>
        </w:tc>
        <w:tc>
          <w:tcPr>
            <w:tcW w:w="1110" w:type="dxa"/>
            <w:noWrap/>
            <w:vAlign w:val="center"/>
            <w:hideMark/>
          </w:tcPr>
          <w:p w14:paraId="3BE837EE"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9.7</w:t>
            </w:r>
          </w:p>
        </w:tc>
        <w:tc>
          <w:tcPr>
            <w:tcW w:w="1172" w:type="dxa"/>
            <w:noWrap/>
            <w:vAlign w:val="center"/>
            <w:hideMark/>
          </w:tcPr>
          <w:p w14:paraId="56B67555"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10.3</w:t>
            </w:r>
          </w:p>
        </w:tc>
        <w:tc>
          <w:tcPr>
            <w:tcW w:w="1172" w:type="dxa"/>
            <w:noWrap/>
            <w:vAlign w:val="center"/>
            <w:hideMark/>
          </w:tcPr>
          <w:p w14:paraId="30C02FD9"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10.6</w:t>
            </w:r>
          </w:p>
        </w:tc>
        <w:tc>
          <w:tcPr>
            <w:tcW w:w="1172" w:type="dxa"/>
            <w:noWrap/>
            <w:vAlign w:val="center"/>
            <w:hideMark/>
          </w:tcPr>
          <w:p w14:paraId="57F855DF"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11.2</w:t>
            </w:r>
          </w:p>
        </w:tc>
      </w:tr>
      <w:tr w:rsidR="005B52DB" w:rsidRPr="00DF0BA2" w14:paraId="6948C0A5" w14:textId="77777777" w:rsidTr="005B52DB">
        <w:trPr>
          <w:trHeight w:val="300"/>
        </w:trPr>
        <w:tc>
          <w:tcPr>
            <w:tcW w:w="375" w:type="dxa"/>
            <w:noWrap/>
            <w:vAlign w:val="bottom"/>
            <w:hideMark/>
          </w:tcPr>
          <w:p w14:paraId="2F1A537C"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2070" w:type="dxa"/>
            <w:tcBorders>
              <w:right w:val="single" w:sz="4" w:space="0" w:color="auto"/>
            </w:tcBorders>
            <w:noWrap/>
            <w:vAlign w:val="bottom"/>
            <w:hideMark/>
          </w:tcPr>
          <w:p w14:paraId="200198E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900" w:type="dxa"/>
            <w:tcBorders>
              <w:top w:val="nil"/>
              <w:left w:val="single" w:sz="4" w:space="0" w:color="auto"/>
              <w:bottom w:val="nil"/>
            </w:tcBorders>
            <w:noWrap/>
            <w:vAlign w:val="center"/>
            <w:hideMark/>
          </w:tcPr>
          <w:p w14:paraId="7852F1F6"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260" w:type="dxa"/>
            <w:noWrap/>
            <w:vAlign w:val="center"/>
            <w:hideMark/>
          </w:tcPr>
          <w:p w14:paraId="21195EBC"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260" w:type="dxa"/>
            <w:noWrap/>
            <w:vAlign w:val="center"/>
            <w:hideMark/>
          </w:tcPr>
          <w:p w14:paraId="65540938"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260" w:type="dxa"/>
            <w:noWrap/>
            <w:vAlign w:val="center"/>
            <w:hideMark/>
          </w:tcPr>
          <w:p w14:paraId="63F288A7"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220" w:type="dxa"/>
            <w:noWrap/>
            <w:vAlign w:val="center"/>
            <w:hideMark/>
          </w:tcPr>
          <w:p w14:paraId="6A714A4E"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870" w:type="dxa"/>
            <w:tcBorders>
              <w:top w:val="nil"/>
            </w:tcBorders>
            <w:noWrap/>
            <w:vAlign w:val="center"/>
            <w:hideMark/>
          </w:tcPr>
          <w:p w14:paraId="173C71CC"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110" w:type="dxa"/>
            <w:noWrap/>
            <w:vAlign w:val="center"/>
            <w:hideMark/>
          </w:tcPr>
          <w:p w14:paraId="04E66253"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172" w:type="dxa"/>
            <w:noWrap/>
            <w:vAlign w:val="center"/>
            <w:hideMark/>
          </w:tcPr>
          <w:p w14:paraId="1556BB02"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172" w:type="dxa"/>
            <w:noWrap/>
            <w:vAlign w:val="center"/>
            <w:hideMark/>
          </w:tcPr>
          <w:p w14:paraId="3B50FFB0"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c>
          <w:tcPr>
            <w:tcW w:w="1172" w:type="dxa"/>
            <w:noWrap/>
            <w:vAlign w:val="center"/>
            <w:hideMark/>
          </w:tcPr>
          <w:p w14:paraId="2D6DD31D"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p>
        </w:tc>
      </w:tr>
      <w:tr w:rsidR="005B52DB" w:rsidRPr="00DF0BA2" w14:paraId="305E9955" w14:textId="77777777" w:rsidTr="005B52DB">
        <w:trPr>
          <w:trHeight w:val="531"/>
        </w:trPr>
        <w:tc>
          <w:tcPr>
            <w:tcW w:w="13841" w:type="dxa"/>
            <w:gridSpan w:val="12"/>
            <w:noWrap/>
            <w:vAlign w:val="center"/>
            <w:hideMark/>
          </w:tcPr>
          <w:p w14:paraId="2713743A"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Crop Variety : Tomato</w:t>
            </w:r>
          </w:p>
        </w:tc>
      </w:tr>
      <w:tr w:rsidR="005B52DB" w:rsidRPr="00DF0BA2" w14:paraId="0D6EC8EF" w14:textId="77777777" w:rsidTr="005B52DB">
        <w:trPr>
          <w:trHeight w:val="315"/>
        </w:trPr>
        <w:tc>
          <w:tcPr>
            <w:tcW w:w="375" w:type="dxa"/>
            <w:noWrap/>
            <w:vAlign w:val="bottom"/>
            <w:hideMark/>
          </w:tcPr>
          <w:p w14:paraId="382D179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3</w:t>
            </w:r>
          </w:p>
        </w:tc>
        <w:tc>
          <w:tcPr>
            <w:tcW w:w="2070" w:type="dxa"/>
            <w:tcBorders>
              <w:right w:val="single" w:sz="4" w:space="0" w:color="auto"/>
            </w:tcBorders>
            <w:vAlign w:val="center"/>
            <w:hideMark/>
          </w:tcPr>
          <w:p w14:paraId="34EDC64E"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Seedling Height (inch) </w:t>
            </w:r>
          </w:p>
        </w:tc>
        <w:tc>
          <w:tcPr>
            <w:tcW w:w="900" w:type="dxa"/>
            <w:tcBorders>
              <w:top w:val="nil"/>
              <w:left w:val="single" w:sz="4" w:space="0" w:color="auto"/>
              <w:bottom w:val="nil"/>
            </w:tcBorders>
            <w:noWrap/>
            <w:vAlign w:val="center"/>
            <w:hideMark/>
          </w:tcPr>
          <w:p w14:paraId="20DD73C2"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25.62</w:t>
            </w:r>
          </w:p>
        </w:tc>
        <w:tc>
          <w:tcPr>
            <w:tcW w:w="1260" w:type="dxa"/>
            <w:noWrap/>
            <w:vAlign w:val="center"/>
            <w:hideMark/>
          </w:tcPr>
          <w:p w14:paraId="6AAE8FA6"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32.26</w:t>
            </w:r>
          </w:p>
        </w:tc>
        <w:tc>
          <w:tcPr>
            <w:tcW w:w="1260" w:type="dxa"/>
            <w:noWrap/>
            <w:vAlign w:val="center"/>
            <w:hideMark/>
          </w:tcPr>
          <w:p w14:paraId="45C9B9A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33.01</w:t>
            </w:r>
          </w:p>
        </w:tc>
        <w:tc>
          <w:tcPr>
            <w:tcW w:w="1260" w:type="dxa"/>
            <w:noWrap/>
            <w:vAlign w:val="center"/>
            <w:hideMark/>
          </w:tcPr>
          <w:p w14:paraId="66E44084"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33.28</w:t>
            </w:r>
          </w:p>
        </w:tc>
        <w:tc>
          <w:tcPr>
            <w:tcW w:w="1220" w:type="dxa"/>
            <w:tcBorders>
              <w:right w:val="single" w:sz="4" w:space="0" w:color="auto"/>
            </w:tcBorders>
            <w:noWrap/>
            <w:vAlign w:val="center"/>
            <w:hideMark/>
          </w:tcPr>
          <w:p w14:paraId="5D8BE3AA"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32.97</w:t>
            </w:r>
          </w:p>
        </w:tc>
        <w:tc>
          <w:tcPr>
            <w:tcW w:w="870" w:type="dxa"/>
            <w:tcBorders>
              <w:top w:val="nil"/>
              <w:left w:val="single" w:sz="4" w:space="0" w:color="auto"/>
              <w:bottom w:val="nil"/>
            </w:tcBorders>
            <w:noWrap/>
            <w:vAlign w:val="center"/>
            <w:hideMark/>
          </w:tcPr>
          <w:p w14:paraId="5AA9D72F"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25.21</w:t>
            </w:r>
          </w:p>
        </w:tc>
        <w:tc>
          <w:tcPr>
            <w:tcW w:w="1110" w:type="dxa"/>
            <w:noWrap/>
            <w:vAlign w:val="center"/>
            <w:hideMark/>
          </w:tcPr>
          <w:p w14:paraId="40B10B87"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32.96</w:t>
            </w:r>
          </w:p>
        </w:tc>
        <w:tc>
          <w:tcPr>
            <w:tcW w:w="1172" w:type="dxa"/>
            <w:noWrap/>
            <w:vAlign w:val="center"/>
            <w:hideMark/>
          </w:tcPr>
          <w:p w14:paraId="631411A2"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32.59</w:t>
            </w:r>
          </w:p>
        </w:tc>
        <w:tc>
          <w:tcPr>
            <w:tcW w:w="1172" w:type="dxa"/>
            <w:noWrap/>
            <w:vAlign w:val="center"/>
            <w:hideMark/>
          </w:tcPr>
          <w:p w14:paraId="13F55AA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32.82</w:t>
            </w:r>
          </w:p>
        </w:tc>
        <w:tc>
          <w:tcPr>
            <w:tcW w:w="1172" w:type="dxa"/>
            <w:noWrap/>
            <w:vAlign w:val="center"/>
            <w:hideMark/>
          </w:tcPr>
          <w:p w14:paraId="46A39A99"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35.01</w:t>
            </w:r>
          </w:p>
        </w:tc>
      </w:tr>
      <w:tr w:rsidR="005B52DB" w:rsidRPr="00DF0BA2" w14:paraId="6954DD73" w14:textId="77777777" w:rsidTr="005B52DB">
        <w:trPr>
          <w:trHeight w:val="315"/>
        </w:trPr>
        <w:tc>
          <w:tcPr>
            <w:tcW w:w="375" w:type="dxa"/>
            <w:noWrap/>
            <w:vAlign w:val="bottom"/>
            <w:hideMark/>
          </w:tcPr>
          <w:p w14:paraId="6E1F3B2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4</w:t>
            </w:r>
          </w:p>
        </w:tc>
        <w:tc>
          <w:tcPr>
            <w:tcW w:w="2070" w:type="dxa"/>
            <w:tcBorders>
              <w:right w:val="single" w:sz="4" w:space="0" w:color="auto"/>
            </w:tcBorders>
            <w:vAlign w:val="center"/>
            <w:hideMark/>
          </w:tcPr>
          <w:p w14:paraId="3F2C7E0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No of leaves</w:t>
            </w:r>
          </w:p>
        </w:tc>
        <w:tc>
          <w:tcPr>
            <w:tcW w:w="900" w:type="dxa"/>
            <w:tcBorders>
              <w:top w:val="nil"/>
              <w:left w:val="single" w:sz="4" w:space="0" w:color="auto"/>
              <w:bottom w:val="nil"/>
            </w:tcBorders>
            <w:noWrap/>
            <w:vAlign w:val="center"/>
            <w:hideMark/>
          </w:tcPr>
          <w:p w14:paraId="28EC14AF"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24.5</w:t>
            </w:r>
          </w:p>
        </w:tc>
        <w:tc>
          <w:tcPr>
            <w:tcW w:w="1260" w:type="dxa"/>
            <w:noWrap/>
            <w:vAlign w:val="center"/>
            <w:hideMark/>
          </w:tcPr>
          <w:p w14:paraId="03E24941"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30.6</w:t>
            </w:r>
          </w:p>
        </w:tc>
        <w:tc>
          <w:tcPr>
            <w:tcW w:w="1260" w:type="dxa"/>
            <w:noWrap/>
            <w:vAlign w:val="center"/>
            <w:hideMark/>
          </w:tcPr>
          <w:p w14:paraId="1B2107A0"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35.2</w:t>
            </w:r>
          </w:p>
        </w:tc>
        <w:tc>
          <w:tcPr>
            <w:tcW w:w="1260" w:type="dxa"/>
            <w:noWrap/>
            <w:vAlign w:val="center"/>
            <w:hideMark/>
          </w:tcPr>
          <w:p w14:paraId="5D2E43C3"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33.9</w:t>
            </w:r>
          </w:p>
        </w:tc>
        <w:tc>
          <w:tcPr>
            <w:tcW w:w="1220" w:type="dxa"/>
            <w:tcBorders>
              <w:right w:val="single" w:sz="4" w:space="0" w:color="auto"/>
            </w:tcBorders>
            <w:noWrap/>
            <w:vAlign w:val="center"/>
            <w:hideMark/>
          </w:tcPr>
          <w:p w14:paraId="52EA8A59"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36.2</w:t>
            </w:r>
          </w:p>
        </w:tc>
        <w:tc>
          <w:tcPr>
            <w:tcW w:w="870" w:type="dxa"/>
            <w:tcBorders>
              <w:top w:val="nil"/>
              <w:left w:val="single" w:sz="4" w:space="0" w:color="auto"/>
              <w:bottom w:val="nil"/>
            </w:tcBorders>
            <w:noWrap/>
            <w:vAlign w:val="center"/>
            <w:hideMark/>
          </w:tcPr>
          <w:p w14:paraId="0ACA5180"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24.5</w:t>
            </w:r>
          </w:p>
        </w:tc>
        <w:tc>
          <w:tcPr>
            <w:tcW w:w="1110" w:type="dxa"/>
            <w:noWrap/>
            <w:vAlign w:val="center"/>
            <w:hideMark/>
          </w:tcPr>
          <w:p w14:paraId="0EA554D3"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32.1</w:t>
            </w:r>
          </w:p>
        </w:tc>
        <w:tc>
          <w:tcPr>
            <w:tcW w:w="1172" w:type="dxa"/>
            <w:noWrap/>
            <w:vAlign w:val="center"/>
            <w:hideMark/>
          </w:tcPr>
          <w:p w14:paraId="77B3D467"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32.5</w:t>
            </w:r>
          </w:p>
        </w:tc>
        <w:tc>
          <w:tcPr>
            <w:tcW w:w="1172" w:type="dxa"/>
            <w:noWrap/>
            <w:vAlign w:val="center"/>
            <w:hideMark/>
          </w:tcPr>
          <w:p w14:paraId="48E864A2"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36.8</w:t>
            </w:r>
          </w:p>
        </w:tc>
        <w:tc>
          <w:tcPr>
            <w:tcW w:w="1172" w:type="dxa"/>
            <w:noWrap/>
            <w:vAlign w:val="center"/>
            <w:hideMark/>
          </w:tcPr>
          <w:p w14:paraId="16698660"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39.6</w:t>
            </w:r>
          </w:p>
        </w:tc>
      </w:tr>
      <w:tr w:rsidR="005B52DB" w:rsidRPr="00DF0BA2" w14:paraId="3DB8B332" w14:textId="77777777" w:rsidTr="005B52DB">
        <w:trPr>
          <w:trHeight w:val="300"/>
        </w:trPr>
        <w:tc>
          <w:tcPr>
            <w:tcW w:w="375" w:type="dxa"/>
            <w:noWrap/>
            <w:vAlign w:val="bottom"/>
            <w:hideMark/>
          </w:tcPr>
          <w:p w14:paraId="77C0770A"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2070" w:type="dxa"/>
            <w:noWrap/>
            <w:vAlign w:val="bottom"/>
            <w:hideMark/>
          </w:tcPr>
          <w:p w14:paraId="2DA3BAE9"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w:t>
            </w:r>
          </w:p>
        </w:tc>
        <w:tc>
          <w:tcPr>
            <w:tcW w:w="900" w:type="dxa"/>
            <w:tcBorders>
              <w:top w:val="nil"/>
            </w:tcBorders>
            <w:noWrap/>
            <w:vAlign w:val="center"/>
            <w:hideMark/>
          </w:tcPr>
          <w:p w14:paraId="7D465548"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260" w:type="dxa"/>
            <w:noWrap/>
            <w:vAlign w:val="center"/>
            <w:hideMark/>
          </w:tcPr>
          <w:p w14:paraId="0E42A6CB"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260" w:type="dxa"/>
            <w:noWrap/>
            <w:vAlign w:val="center"/>
            <w:hideMark/>
          </w:tcPr>
          <w:p w14:paraId="2E056222"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260" w:type="dxa"/>
            <w:noWrap/>
            <w:vAlign w:val="center"/>
            <w:hideMark/>
          </w:tcPr>
          <w:p w14:paraId="1F92888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220" w:type="dxa"/>
            <w:noWrap/>
            <w:vAlign w:val="center"/>
            <w:hideMark/>
          </w:tcPr>
          <w:p w14:paraId="538C2BC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870" w:type="dxa"/>
            <w:tcBorders>
              <w:top w:val="nil"/>
            </w:tcBorders>
            <w:noWrap/>
            <w:vAlign w:val="center"/>
            <w:hideMark/>
          </w:tcPr>
          <w:p w14:paraId="437987B4"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110" w:type="dxa"/>
            <w:noWrap/>
            <w:vAlign w:val="center"/>
            <w:hideMark/>
          </w:tcPr>
          <w:p w14:paraId="2857E6A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172" w:type="dxa"/>
            <w:noWrap/>
            <w:vAlign w:val="center"/>
            <w:hideMark/>
          </w:tcPr>
          <w:p w14:paraId="4F37409F"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172" w:type="dxa"/>
            <w:noWrap/>
            <w:vAlign w:val="center"/>
            <w:hideMark/>
          </w:tcPr>
          <w:p w14:paraId="15B6EBF5"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c>
          <w:tcPr>
            <w:tcW w:w="1172" w:type="dxa"/>
            <w:noWrap/>
            <w:vAlign w:val="center"/>
            <w:hideMark/>
          </w:tcPr>
          <w:p w14:paraId="2586C177"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p>
        </w:tc>
      </w:tr>
      <w:tr w:rsidR="005B52DB" w:rsidRPr="00DF0BA2" w14:paraId="52B2BD4E" w14:textId="77777777" w:rsidTr="005B52DB">
        <w:trPr>
          <w:trHeight w:val="504"/>
        </w:trPr>
        <w:tc>
          <w:tcPr>
            <w:tcW w:w="13841" w:type="dxa"/>
            <w:gridSpan w:val="12"/>
            <w:noWrap/>
            <w:vAlign w:val="center"/>
            <w:hideMark/>
          </w:tcPr>
          <w:p w14:paraId="71BF4B25" w14:textId="77777777" w:rsidR="005B52DB" w:rsidRPr="00DF0BA2" w:rsidRDefault="005B52DB" w:rsidP="00CC39D8">
            <w:pPr>
              <w:spacing w:after="0" w:line="216" w:lineRule="auto"/>
              <w:jc w:val="center"/>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Crop Variety : Chilli</w:t>
            </w:r>
          </w:p>
        </w:tc>
      </w:tr>
      <w:tr w:rsidR="005B52DB" w:rsidRPr="00DF0BA2" w14:paraId="702D4C49" w14:textId="77777777" w:rsidTr="005B52DB">
        <w:trPr>
          <w:trHeight w:val="315"/>
        </w:trPr>
        <w:tc>
          <w:tcPr>
            <w:tcW w:w="375" w:type="dxa"/>
            <w:noWrap/>
            <w:vAlign w:val="bottom"/>
            <w:hideMark/>
          </w:tcPr>
          <w:p w14:paraId="2E1544B6"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5</w:t>
            </w:r>
          </w:p>
        </w:tc>
        <w:tc>
          <w:tcPr>
            <w:tcW w:w="2070" w:type="dxa"/>
            <w:tcBorders>
              <w:right w:val="single" w:sz="4" w:space="0" w:color="auto"/>
            </w:tcBorders>
            <w:vAlign w:val="center"/>
            <w:hideMark/>
          </w:tcPr>
          <w:p w14:paraId="00F9B8C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Seedling Height (inch) </w:t>
            </w:r>
          </w:p>
        </w:tc>
        <w:tc>
          <w:tcPr>
            <w:tcW w:w="900" w:type="dxa"/>
            <w:tcBorders>
              <w:top w:val="nil"/>
              <w:left w:val="single" w:sz="4" w:space="0" w:color="auto"/>
              <w:bottom w:val="nil"/>
            </w:tcBorders>
            <w:noWrap/>
            <w:vAlign w:val="center"/>
            <w:hideMark/>
          </w:tcPr>
          <w:p w14:paraId="0731BEA0"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17.3</w:t>
            </w:r>
          </w:p>
        </w:tc>
        <w:tc>
          <w:tcPr>
            <w:tcW w:w="1260" w:type="dxa"/>
            <w:noWrap/>
            <w:vAlign w:val="center"/>
            <w:hideMark/>
          </w:tcPr>
          <w:p w14:paraId="1A6AB2EE"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20.6</w:t>
            </w:r>
          </w:p>
        </w:tc>
        <w:tc>
          <w:tcPr>
            <w:tcW w:w="1260" w:type="dxa"/>
            <w:noWrap/>
            <w:vAlign w:val="center"/>
            <w:hideMark/>
          </w:tcPr>
          <w:p w14:paraId="0A5F1949"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23.1</w:t>
            </w:r>
          </w:p>
        </w:tc>
        <w:tc>
          <w:tcPr>
            <w:tcW w:w="1260" w:type="dxa"/>
            <w:noWrap/>
            <w:vAlign w:val="center"/>
            <w:hideMark/>
          </w:tcPr>
          <w:p w14:paraId="7D59C5EB"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24.5</w:t>
            </w:r>
          </w:p>
        </w:tc>
        <w:tc>
          <w:tcPr>
            <w:tcW w:w="1220" w:type="dxa"/>
            <w:tcBorders>
              <w:right w:val="single" w:sz="4" w:space="0" w:color="auto"/>
            </w:tcBorders>
            <w:noWrap/>
            <w:vAlign w:val="center"/>
            <w:hideMark/>
          </w:tcPr>
          <w:p w14:paraId="780AB9FF"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24.5</w:t>
            </w:r>
          </w:p>
        </w:tc>
        <w:tc>
          <w:tcPr>
            <w:tcW w:w="870" w:type="dxa"/>
            <w:tcBorders>
              <w:top w:val="nil"/>
              <w:left w:val="single" w:sz="4" w:space="0" w:color="auto"/>
              <w:bottom w:val="nil"/>
            </w:tcBorders>
            <w:noWrap/>
            <w:vAlign w:val="center"/>
            <w:hideMark/>
          </w:tcPr>
          <w:p w14:paraId="4E8E6A57"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17.6</w:t>
            </w:r>
          </w:p>
        </w:tc>
        <w:tc>
          <w:tcPr>
            <w:tcW w:w="1110" w:type="dxa"/>
            <w:noWrap/>
            <w:vAlign w:val="center"/>
            <w:hideMark/>
          </w:tcPr>
          <w:p w14:paraId="48926B70"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28.8</w:t>
            </w:r>
          </w:p>
        </w:tc>
        <w:tc>
          <w:tcPr>
            <w:tcW w:w="1172" w:type="dxa"/>
            <w:noWrap/>
            <w:vAlign w:val="center"/>
            <w:hideMark/>
          </w:tcPr>
          <w:p w14:paraId="34308DBE"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28.87</w:t>
            </w:r>
          </w:p>
        </w:tc>
        <w:tc>
          <w:tcPr>
            <w:tcW w:w="1172" w:type="dxa"/>
            <w:noWrap/>
            <w:vAlign w:val="center"/>
            <w:hideMark/>
          </w:tcPr>
          <w:p w14:paraId="45BA74A2"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30.21</w:t>
            </w:r>
          </w:p>
        </w:tc>
        <w:tc>
          <w:tcPr>
            <w:tcW w:w="1172" w:type="dxa"/>
            <w:noWrap/>
            <w:vAlign w:val="center"/>
            <w:hideMark/>
          </w:tcPr>
          <w:p w14:paraId="1D19570D"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31.51</w:t>
            </w:r>
          </w:p>
        </w:tc>
      </w:tr>
      <w:tr w:rsidR="005B52DB" w:rsidRPr="00DF0BA2" w14:paraId="541DFE12" w14:textId="77777777" w:rsidTr="005B52DB">
        <w:trPr>
          <w:trHeight w:val="315"/>
        </w:trPr>
        <w:tc>
          <w:tcPr>
            <w:tcW w:w="375" w:type="dxa"/>
            <w:noWrap/>
            <w:vAlign w:val="bottom"/>
            <w:hideMark/>
          </w:tcPr>
          <w:p w14:paraId="14D48010"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6</w:t>
            </w:r>
          </w:p>
        </w:tc>
        <w:tc>
          <w:tcPr>
            <w:tcW w:w="2070" w:type="dxa"/>
            <w:tcBorders>
              <w:right w:val="single" w:sz="4" w:space="0" w:color="auto"/>
            </w:tcBorders>
            <w:vAlign w:val="center"/>
            <w:hideMark/>
          </w:tcPr>
          <w:p w14:paraId="37419CE3" w14:textId="77777777" w:rsidR="005B52DB" w:rsidRPr="00DF0BA2" w:rsidRDefault="005B52DB" w:rsidP="00C44944">
            <w:pPr>
              <w:spacing w:after="0" w:line="216"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No of leaves</w:t>
            </w:r>
          </w:p>
        </w:tc>
        <w:tc>
          <w:tcPr>
            <w:tcW w:w="900" w:type="dxa"/>
            <w:tcBorders>
              <w:top w:val="nil"/>
              <w:left w:val="single" w:sz="4" w:space="0" w:color="auto"/>
              <w:bottom w:val="single" w:sz="4" w:space="0" w:color="auto"/>
            </w:tcBorders>
            <w:noWrap/>
            <w:vAlign w:val="center"/>
            <w:hideMark/>
          </w:tcPr>
          <w:p w14:paraId="6B2C775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21.4</w:t>
            </w:r>
          </w:p>
        </w:tc>
        <w:tc>
          <w:tcPr>
            <w:tcW w:w="1260" w:type="dxa"/>
            <w:noWrap/>
            <w:vAlign w:val="center"/>
            <w:hideMark/>
          </w:tcPr>
          <w:p w14:paraId="23EB64BB"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25.6</w:t>
            </w:r>
          </w:p>
        </w:tc>
        <w:tc>
          <w:tcPr>
            <w:tcW w:w="1260" w:type="dxa"/>
            <w:noWrap/>
            <w:vAlign w:val="center"/>
            <w:hideMark/>
          </w:tcPr>
          <w:p w14:paraId="188413DB"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27.5</w:t>
            </w:r>
          </w:p>
        </w:tc>
        <w:tc>
          <w:tcPr>
            <w:tcW w:w="1260" w:type="dxa"/>
            <w:noWrap/>
            <w:vAlign w:val="center"/>
            <w:hideMark/>
          </w:tcPr>
          <w:p w14:paraId="1DFA7BB2"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29.4</w:t>
            </w:r>
          </w:p>
        </w:tc>
        <w:tc>
          <w:tcPr>
            <w:tcW w:w="1220" w:type="dxa"/>
            <w:tcBorders>
              <w:right w:val="single" w:sz="4" w:space="0" w:color="auto"/>
            </w:tcBorders>
            <w:noWrap/>
            <w:vAlign w:val="center"/>
            <w:hideMark/>
          </w:tcPr>
          <w:p w14:paraId="2D682BEA"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30.5</w:t>
            </w:r>
          </w:p>
        </w:tc>
        <w:tc>
          <w:tcPr>
            <w:tcW w:w="870" w:type="dxa"/>
            <w:tcBorders>
              <w:top w:val="nil"/>
              <w:left w:val="single" w:sz="4" w:space="0" w:color="auto"/>
              <w:bottom w:val="single" w:sz="4" w:space="0" w:color="auto"/>
            </w:tcBorders>
            <w:noWrap/>
            <w:vAlign w:val="center"/>
            <w:hideMark/>
          </w:tcPr>
          <w:p w14:paraId="1069781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24.1</w:t>
            </w:r>
          </w:p>
        </w:tc>
        <w:tc>
          <w:tcPr>
            <w:tcW w:w="1110" w:type="dxa"/>
            <w:noWrap/>
            <w:vAlign w:val="center"/>
            <w:hideMark/>
          </w:tcPr>
          <w:p w14:paraId="3930DA2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28.6</w:t>
            </w:r>
          </w:p>
        </w:tc>
        <w:tc>
          <w:tcPr>
            <w:tcW w:w="1172" w:type="dxa"/>
            <w:noWrap/>
            <w:vAlign w:val="center"/>
            <w:hideMark/>
          </w:tcPr>
          <w:p w14:paraId="222DF52B"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29.5</w:t>
            </w:r>
          </w:p>
        </w:tc>
        <w:tc>
          <w:tcPr>
            <w:tcW w:w="1172" w:type="dxa"/>
            <w:noWrap/>
            <w:vAlign w:val="center"/>
            <w:hideMark/>
          </w:tcPr>
          <w:p w14:paraId="582334C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31.4</w:t>
            </w:r>
          </w:p>
        </w:tc>
        <w:tc>
          <w:tcPr>
            <w:tcW w:w="1172" w:type="dxa"/>
            <w:noWrap/>
            <w:vAlign w:val="center"/>
            <w:hideMark/>
          </w:tcPr>
          <w:p w14:paraId="59ACC568" w14:textId="77777777" w:rsidR="005B52DB" w:rsidRPr="00DF0BA2" w:rsidRDefault="005B52DB" w:rsidP="00CC39D8">
            <w:pPr>
              <w:spacing w:after="0" w:line="216" w:lineRule="auto"/>
              <w:jc w:val="center"/>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32.6</w:t>
            </w:r>
          </w:p>
        </w:tc>
      </w:tr>
    </w:tbl>
    <w:p w14:paraId="1DA8E9D5" w14:textId="77777777" w:rsidR="00760D7E" w:rsidRDefault="00760D7E" w:rsidP="00C4494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41F5C6E" w14:textId="6087D4A8" w:rsidR="00760D7E" w:rsidRPr="00DF0BA2" w:rsidRDefault="00760D7E" w:rsidP="0026183D">
      <w:pPr>
        <w:spacing w:before="100" w:beforeAutospacing="1" w:after="100" w:afterAutospacing="1" w:line="240" w:lineRule="auto"/>
        <w:ind w:left="900" w:hanging="900"/>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lastRenderedPageBreak/>
        <w:t xml:space="preserve">Table </w:t>
      </w:r>
      <w:proofErr w:type="gramStart"/>
      <w:r w:rsidR="005B21BB">
        <w:rPr>
          <w:rFonts w:ascii="Times New Roman" w:eastAsia="Times New Roman" w:hAnsi="Times New Roman" w:cs="Times New Roman"/>
          <w:color w:val="000000" w:themeColor="text1"/>
          <w:sz w:val="24"/>
          <w:szCs w:val="24"/>
        </w:rPr>
        <w:t>7</w:t>
      </w:r>
      <w:r w:rsidRPr="00DF0BA2">
        <w:rPr>
          <w:rFonts w:ascii="Times New Roman" w:eastAsia="Times New Roman" w:hAnsi="Times New Roman" w:cs="Times New Roman"/>
          <w:color w:val="000000" w:themeColor="text1"/>
          <w:sz w:val="24"/>
          <w:szCs w:val="24"/>
        </w:rPr>
        <w:t xml:space="preserve"> :</w:t>
      </w:r>
      <w:proofErr w:type="gramEnd"/>
      <w:r w:rsidRPr="00DF0BA2">
        <w:rPr>
          <w:rFonts w:ascii="Times New Roman" w:eastAsia="Times New Roman" w:hAnsi="Times New Roman" w:cs="Times New Roman"/>
          <w:color w:val="000000" w:themeColor="text1"/>
          <w:sz w:val="24"/>
          <w:szCs w:val="24"/>
        </w:rPr>
        <w:t xml:space="preserve"> Comparative assessment of soil properties in root </w:t>
      </w:r>
      <w:proofErr w:type="gramStart"/>
      <w:r w:rsidRPr="00DF0BA2">
        <w:rPr>
          <w:rFonts w:ascii="Times New Roman" w:eastAsia="Times New Roman" w:hAnsi="Times New Roman" w:cs="Times New Roman"/>
          <w:color w:val="000000" w:themeColor="text1"/>
          <w:sz w:val="24"/>
          <w:szCs w:val="24"/>
        </w:rPr>
        <w:t>rhizosphere  following</w:t>
      </w:r>
      <w:proofErr w:type="gramEnd"/>
      <w:r w:rsidRPr="00DF0BA2">
        <w:rPr>
          <w:rFonts w:ascii="Times New Roman" w:eastAsia="Times New Roman" w:hAnsi="Times New Roman" w:cs="Times New Roman"/>
          <w:color w:val="000000" w:themeColor="text1"/>
          <w:sz w:val="24"/>
          <w:szCs w:val="24"/>
        </w:rPr>
        <w:t xml:space="preserve"> transplantation of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w:t>
      </w:r>
      <w:proofErr w:type="spellStart"/>
      <w:r w:rsidRPr="00DF0BA2">
        <w:rPr>
          <w:rFonts w:ascii="Times New Roman" w:eastAsia="Times New Roman" w:hAnsi="Times New Roman" w:cs="Times New Roman"/>
          <w:color w:val="000000" w:themeColor="text1"/>
          <w:sz w:val="24"/>
          <w:szCs w:val="24"/>
        </w:rPr>
        <w:t>coirpith</w:t>
      </w:r>
      <w:proofErr w:type="spellEnd"/>
      <w:r w:rsidRPr="00DF0BA2">
        <w:rPr>
          <w:rFonts w:ascii="Times New Roman" w:eastAsia="Times New Roman" w:hAnsi="Times New Roman" w:cs="Times New Roman"/>
          <w:color w:val="000000" w:themeColor="text1"/>
          <w:sz w:val="24"/>
          <w:szCs w:val="24"/>
        </w:rPr>
        <w:t xml:space="preserve"> pro-tray seedlings versus conventional nursery and conventionally processed </w:t>
      </w:r>
      <w:proofErr w:type="spellStart"/>
      <w:r w:rsidRPr="00DF0BA2">
        <w:rPr>
          <w:rFonts w:ascii="Times New Roman" w:eastAsia="Times New Roman" w:hAnsi="Times New Roman" w:cs="Times New Roman"/>
          <w:color w:val="000000" w:themeColor="text1"/>
          <w:sz w:val="24"/>
          <w:szCs w:val="24"/>
        </w:rPr>
        <w:t>coirpith</w:t>
      </w:r>
      <w:proofErr w:type="spellEnd"/>
    </w:p>
    <w:tbl>
      <w:tblPr>
        <w:tblW w:w="14351" w:type="dxa"/>
        <w:tblInd w:w="93" w:type="dxa"/>
        <w:tblBorders>
          <w:top w:val="single" w:sz="4" w:space="0" w:color="auto"/>
          <w:bottom w:val="single" w:sz="4" w:space="0" w:color="auto"/>
        </w:tblBorders>
        <w:tblLayout w:type="fixed"/>
        <w:tblLook w:val="04A0" w:firstRow="1" w:lastRow="0" w:firstColumn="1" w:lastColumn="0" w:noHBand="0" w:noVBand="1"/>
      </w:tblPr>
      <w:tblGrid>
        <w:gridCol w:w="465"/>
        <w:gridCol w:w="1620"/>
        <w:gridCol w:w="1916"/>
        <w:gridCol w:w="990"/>
        <w:gridCol w:w="1080"/>
        <w:gridCol w:w="1136"/>
        <w:gridCol w:w="1204"/>
        <w:gridCol w:w="1206"/>
        <w:gridCol w:w="684"/>
        <w:gridCol w:w="990"/>
        <w:gridCol w:w="990"/>
        <w:gridCol w:w="990"/>
        <w:gridCol w:w="1080"/>
      </w:tblGrid>
      <w:tr w:rsidR="00760D7E" w:rsidRPr="00DF0BA2" w14:paraId="71F389F9" w14:textId="77777777" w:rsidTr="0026183D">
        <w:trPr>
          <w:trHeight w:val="375"/>
        </w:trPr>
        <w:tc>
          <w:tcPr>
            <w:tcW w:w="465" w:type="dxa"/>
            <w:vMerge w:val="restart"/>
            <w:tcBorders>
              <w:top w:val="single" w:sz="4" w:space="0" w:color="auto"/>
              <w:bottom w:val="single" w:sz="4" w:space="0" w:color="auto"/>
            </w:tcBorders>
            <w:vAlign w:val="center"/>
            <w:hideMark/>
          </w:tcPr>
          <w:p w14:paraId="7229CFC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Sl. No.</w:t>
            </w:r>
          </w:p>
        </w:tc>
        <w:tc>
          <w:tcPr>
            <w:tcW w:w="1620" w:type="dxa"/>
            <w:vMerge w:val="restart"/>
            <w:tcBorders>
              <w:top w:val="single" w:sz="4" w:space="0" w:color="auto"/>
              <w:bottom w:val="single" w:sz="4" w:space="0" w:color="auto"/>
            </w:tcBorders>
            <w:vAlign w:val="center"/>
            <w:hideMark/>
          </w:tcPr>
          <w:p w14:paraId="49162F1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Parameters</w:t>
            </w:r>
          </w:p>
        </w:tc>
        <w:tc>
          <w:tcPr>
            <w:tcW w:w="1916" w:type="dxa"/>
            <w:tcBorders>
              <w:top w:val="single" w:sz="4" w:space="0" w:color="auto"/>
              <w:bottom w:val="single" w:sz="4" w:space="0" w:color="auto"/>
            </w:tcBorders>
            <w:vAlign w:val="center"/>
            <w:hideMark/>
          </w:tcPr>
          <w:p w14:paraId="731A293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5616" w:type="dxa"/>
            <w:gridSpan w:val="5"/>
            <w:tcBorders>
              <w:top w:val="single" w:sz="4" w:space="0" w:color="auto"/>
              <w:bottom w:val="single" w:sz="4" w:space="0" w:color="auto"/>
            </w:tcBorders>
            <w:vAlign w:val="center"/>
            <w:hideMark/>
          </w:tcPr>
          <w:p w14:paraId="4DAB762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Raw Coir Pith</w:t>
            </w:r>
          </w:p>
        </w:tc>
        <w:tc>
          <w:tcPr>
            <w:tcW w:w="4734" w:type="dxa"/>
            <w:gridSpan w:val="5"/>
            <w:tcBorders>
              <w:top w:val="single" w:sz="4" w:space="0" w:color="auto"/>
              <w:bottom w:val="single" w:sz="4" w:space="0" w:color="auto"/>
            </w:tcBorders>
            <w:vAlign w:val="center"/>
            <w:hideMark/>
          </w:tcPr>
          <w:p w14:paraId="45E15E8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 Coir Pith treated with Gypsum and urea treatment</w:t>
            </w:r>
          </w:p>
        </w:tc>
      </w:tr>
      <w:tr w:rsidR="00760D7E" w:rsidRPr="00DF0BA2" w14:paraId="4009D464" w14:textId="77777777" w:rsidTr="0026183D">
        <w:trPr>
          <w:trHeight w:val="1475"/>
        </w:trPr>
        <w:tc>
          <w:tcPr>
            <w:tcW w:w="465" w:type="dxa"/>
            <w:vMerge/>
            <w:tcBorders>
              <w:top w:val="single" w:sz="4" w:space="0" w:color="auto"/>
              <w:bottom w:val="single" w:sz="4" w:space="0" w:color="auto"/>
            </w:tcBorders>
            <w:vAlign w:val="center"/>
            <w:hideMark/>
          </w:tcPr>
          <w:p w14:paraId="2701131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620" w:type="dxa"/>
            <w:vMerge/>
            <w:tcBorders>
              <w:top w:val="single" w:sz="4" w:space="0" w:color="auto"/>
              <w:bottom w:val="single" w:sz="4" w:space="0" w:color="auto"/>
            </w:tcBorders>
            <w:vAlign w:val="center"/>
            <w:hideMark/>
          </w:tcPr>
          <w:p w14:paraId="6F470A8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916" w:type="dxa"/>
            <w:tcBorders>
              <w:top w:val="single" w:sz="4" w:space="0" w:color="auto"/>
              <w:bottom w:val="single" w:sz="4" w:space="0" w:color="auto"/>
            </w:tcBorders>
            <w:vAlign w:val="center"/>
            <w:hideMark/>
          </w:tcPr>
          <w:p w14:paraId="136C232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Soil Sampling </w:t>
            </w:r>
          </w:p>
        </w:tc>
        <w:tc>
          <w:tcPr>
            <w:tcW w:w="990" w:type="dxa"/>
            <w:tcBorders>
              <w:top w:val="single" w:sz="4" w:space="0" w:color="auto"/>
              <w:bottom w:val="single" w:sz="4" w:space="0" w:color="auto"/>
            </w:tcBorders>
            <w:vAlign w:val="center"/>
            <w:hideMark/>
          </w:tcPr>
          <w:p w14:paraId="368D72E6"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Control (Seedling grown in conventional nursery)</w:t>
            </w:r>
          </w:p>
        </w:tc>
        <w:tc>
          <w:tcPr>
            <w:tcW w:w="1080" w:type="dxa"/>
            <w:tcBorders>
              <w:top w:val="single" w:sz="4" w:space="0" w:color="auto"/>
              <w:bottom w:val="single" w:sz="4" w:space="0" w:color="auto"/>
            </w:tcBorders>
            <w:vAlign w:val="center"/>
            <w:hideMark/>
          </w:tcPr>
          <w:p w14:paraId="6B7DB253"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Conventional Process (12 Months)</w:t>
            </w:r>
          </w:p>
        </w:tc>
        <w:tc>
          <w:tcPr>
            <w:tcW w:w="1136" w:type="dxa"/>
            <w:tcBorders>
              <w:top w:val="single" w:sz="4" w:space="0" w:color="auto"/>
              <w:bottom w:val="single" w:sz="4" w:space="0" w:color="auto"/>
            </w:tcBorders>
            <w:vAlign w:val="center"/>
            <w:hideMark/>
          </w:tcPr>
          <w:p w14:paraId="502F1303"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Fresh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204" w:type="dxa"/>
            <w:tcBorders>
              <w:top w:val="single" w:sz="4" w:space="0" w:color="auto"/>
              <w:bottom w:val="single" w:sz="4" w:space="0" w:color="auto"/>
            </w:tcBorders>
            <w:vAlign w:val="center"/>
            <w:hideMark/>
          </w:tcPr>
          <w:p w14:paraId="38F9337B"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2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206" w:type="dxa"/>
            <w:tcBorders>
              <w:top w:val="single" w:sz="4" w:space="0" w:color="auto"/>
              <w:bottom w:val="single" w:sz="4" w:space="0" w:color="auto"/>
              <w:right w:val="single" w:sz="4" w:space="0" w:color="auto"/>
            </w:tcBorders>
            <w:vAlign w:val="center"/>
            <w:hideMark/>
          </w:tcPr>
          <w:p w14:paraId="4B38C3E9"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4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684" w:type="dxa"/>
            <w:tcBorders>
              <w:top w:val="single" w:sz="4" w:space="0" w:color="auto"/>
              <w:left w:val="single" w:sz="4" w:space="0" w:color="auto"/>
              <w:bottom w:val="single" w:sz="4" w:space="0" w:color="auto"/>
            </w:tcBorders>
            <w:vAlign w:val="center"/>
            <w:hideMark/>
          </w:tcPr>
          <w:p w14:paraId="5BC08D65"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Control</w:t>
            </w:r>
          </w:p>
        </w:tc>
        <w:tc>
          <w:tcPr>
            <w:tcW w:w="990" w:type="dxa"/>
            <w:tcBorders>
              <w:top w:val="single" w:sz="4" w:space="0" w:color="auto"/>
              <w:bottom w:val="single" w:sz="4" w:space="0" w:color="auto"/>
            </w:tcBorders>
            <w:vAlign w:val="center"/>
            <w:hideMark/>
          </w:tcPr>
          <w:p w14:paraId="04FD4E09"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Conventional Process (12 Months)</w:t>
            </w:r>
          </w:p>
        </w:tc>
        <w:tc>
          <w:tcPr>
            <w:tcW w:w="990" w:type="dxa"/>
            <w:tcBorders>
              <w:top w:val="single" w:sz="4" w:space="0" w:color="auto"/>
              <w:bottom w:val="single" w:sz="4" w:space="0" w:color="auto"/>
            </w:tcBorders>
            <w:vAlign w:val="center"/>
            <w:hideMark/>
          </w:tcPr>
          <w:p w14:paraId="04A769CB"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Fresh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990" w:type="dxa"/>
            <w:tcBorders>
              <w:top w:val="single" w:sz="4" w:space="0" w:color="auto"/>
              <w:bottom w:val="single" w:sz="4" w:space="0" w:color="auto"/>
            </w:tcBorders>
            <w:vAlign w:val="center"/>
            <w:hideMark/>
          </w:tcPr>
          <w:p w14:paraId="25923EE7"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2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c>
          <w:tcPr>
            <w:tcW w:w="1080" w:type="dxa"/>
            <w:tcBorders>
              <w:top w:val="single" w:sz="4" w:space="0" w:color="auto"/>
              <w:bottom w:val="single" w:sz="4" w:space="0" w:color="auto"/>
            </w:tcBorders>
            <w:vAlign w:val="center"/>
            <w:hideMark/>
          </w:tcPr>
          <w:p w14:paraId="7683F98F" w14:textId="77777777" w:rsidR="00760D7E" w:rsidRPr="00DF0BA2" w:rsidRDefault="00760D7E" w:rsidP="0026183D">
            <w:pPr>
              <w:spacing w:after="0" w:line="240" w:lineRule="auto"/>
              <w:ind w:left="-108" w:right="-108"/>
              <w:jc w:val="center"/>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4 Month Old </w:t>
            </w:r>
            <w:proofErr w:type="spellStart"/>
            <w:r w:rsidRPr="00DF0BA2">
              <w:rPr>
                <w:rFonts w:ascii="Times New Roman" w:eastAsia="Times New Roman" w:hAnsi="Times New Roman" w:cs="Times New Roman"/>
                <w:color w:val="000000" w:themeColor="text1"/>
                <w:sz w:val="20"/>
                <w:szCs w:val="24"/>
              </w:rPr>
              <w:t>Coirpith</w:t>
            </w:r>
            <w:proofErr w:type="spellEnd"/>
            <w:r w:rsidRPr="00DF0BA2">
              <w:rPr>
                <w:rFonts w:ascii="Times New Roman" w:eastAsia="Times New Roman" w:hAnsi="Times New Roman" w:cs="Times New Roman"/>
                <w:color w:val="000000" w:themeColor="text1"/>
                <w:sz w:val="20"/>
                <w:szCs w:val="24"/>
              </w:rPr>
              <w:t xml:space="preserve"> Under </w:t>
            </w:r>
            <w:proofErr w:type="spellStart"/>
            <w:r w:rsidRPr="00DF0BA2">
              <w:rPr>
                <w:rFonts w:ascii="Times New Roman" w:eastAsia="Times New Roman" w:hAnsi="Times New Roman" w:cs="Times New Roman"/>
                <w:color w:val="000000" w:themeColor="text1"/>
                <w:sz w:val="20"/>
                <w:szCs w:val="24"/>
              </w:rPr>
              <w:t>Novcom</w:t>
            </w:r>
            <w:proofErr w:type="spellEnd"/>
            <w:r w:rsidRPr="00DF0BA2">
              <w:rPr>
                <w:rFonts w:ascii="Times New Roman" w:eastAsia="Times New Roman" w:hAnsi="Times New Roman" w:cs="Times New Roman"/>
                <w:color w:val="000000" w:themeColor="text1"/>
                <w:sz w:val="20"/>
                <w:szCs w:val="24"/>
              </w:rPr>
              <w:t xml:space="preserve"> Technology (40 days)</w:t>
            </w:r>
          </w:p>
        </w:tc>
      </w:tr>
      <w:tr w:rsidR="00760D7E" w:rsidRPr="00DF0BA2" w14:paraId="4B3AF4C6" w14:textId="77777777" w:rsidTr="005262D5">
        <w:trPr>
          <w:trHeight w:val="278"/>
        </w:trPr>
        <w:tc>
          <w:tcPr>
            <w:tcW w:w="14351" w:type="dxa"/>
            <w:gridSpan w:val="13"/>
            <w:tcBorders>
              <w:top w:val="single" w:sz="4" w:space="0" w:color="auto"/>
              <w:bottom w:val="single" w:sz="4" w:space="0" w:color="auto"/>
            </w:tcBorders>
            <w:vAlign w:val="center"/>
          </w:tcPr>
          <w:p w14:paraId="5425DA77" w14:textId="77777777" w:rsidR="00760D7E" w:rsidRPr="00DF0BA2" w:rsidRDefault="00760D7E" w:rsidP="005262D5">
            <w:pPr>
              <w:spacing w:after="0" w:line="240" w:lineRule="auto"/>
              <w:ind w:left="-108" w:right="-108"/>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Soil Physico-chemical  Properties</w:t>
            </w:r>
          </w:p>
        </w:tc>
      </w:tr>
      <w:tr w:rsidR="00760D7E" w:rsidRPr="00DF0BA2" w14:paraId="0348EBB4" w14:textId="77777777" w:rsidTr="0026183D">
        <w:trPr>
          <w:trHeight w:val="278"/>
        </w:trPr>
        <w:tc>
          <w:tcPr>
            <w:tcW w:w="465" w:type="dxa"/>
            <w:vMerge w:val="restart"/>
            <w:tcBorders>
              <w:top w:val="single" w:sz="4" w:space="0" w:color="auto"/>
            </w:tcBorders>
            <w:noWrap/>
            <w:vAlign w:val="center"/>
            <w:hideMark/>
          </w:tcPr>
          <w:p w14:paraId="2FCD3F33"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w:t>
            </w:r>
          </w:p>
          <w:p w14:paraId="6FFE5740"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tcBorders>
              <w:top w:val="single" w:sz="4" w:space="0" w:color="auto"/>
            </w:tcBorders>
            <w:noWrap/>
            <w:vAlign w:val="center"/>
            <w:hideMark/>
          </w:tcPr>
          <w:p w14:paraId="0B661648"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Soil pH (H</w:t>
            </w:r>
            <w:r w:rsidRPr="00DF0BA2">
              <w:rPr>
                <w:rFonts w:ascii="Times New Roman" w:eastAsia="Times New Roman" w:hAnsi="Times New Roman" w:cs="Times New Roman"/>
                <w:color w:val="000000" w:themeColor="text1"/>
                <w:sz w:val="20"/>
                <w:szCs w:val="24"/>
                <w:vertAlign w:val="subscript"/>
              </w:rPr>
              <w:t>2</w:t>
            </w:r>
            <w:r w:rsidRPr="00DF0BA2">
              <w:rPr>
                <w:rFonts w:ascii="Times New Roman" w:eastAsia="Times New Roman" w:hAnsi="Times New Roman" w:cs="Times New Roman"/>
                <w:color w:val="000000" w:themeColor="text1"/>
                <w:sz w:val="20"/>
                <w:szCs w:val="24"/>
              </w:rPr>
              <w:t>O)</w:t>
            </w:r>
          </w:p>
          <w:p w14:paraId="66718E83"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916" w:type="dxa"/>
            <w:tcBorders>
              <w:top w:val="single" w:sz="4" w:space="0" w:color="auto"/>
            </w:tcBorders>
            <w:noWrap/>
            <w:vAlign w:val="bottom"/>
            <w:hideMark/>
          </w:tcPr>
          <w:p w14:paraId="2D7526E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tcBorders>
              <w:top w:val="single" w:sz="4" w:space="0" w:color="auto"/>
            </w:tcBorders>
            <w:noWrap/>
            <w:vAlign w:val="bottom"/>
            <w:hideMark/>
          </w:tcPr>
          <w:p w14:paraId="0263758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6.12</w:t>
            </w:r>
          </w:p>
        </w:tc>
        <w:tc>
          <w:tcPr>
            <w:tcW w:w="1080" w:type="dxa"/>
            <w:tcBorders>
              <w:top w:val="single" w:sz="4" w:space="0" w:color="auto"/>
            </w:tcBorders>
            <w:noWrap/>
            <w:vAlign w:val="bottom"/>
            <w:hideMark/>
          </w:tcPr>
          <w:p w14:paraId="3CA028D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6.09</w:t>
            </w:r>
          </w:p>
        </w:tc>
        <w:tc>
          <w:tcPr>
            <w:tcW w:w="1136" w:type="dxa"/>
            <w:tcBorders>
              <w:top w:val="single" w:sz="4" w:space="0" w:color="auto"/>
            </w:tcBorders>
            <w:noWrap/>
            <w:vAlign w:val="bottom"/>
            <w:hideMark/>
          </w:tcPr>
          <w:p w14:paraId="674C6CF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6.19</w:t>
            </w:r>
          </w:p>
        </w:tc>
        <w:tc>
          <w:tcPr>
            <w:tcW w:w="1204" w:type="dxa"/>
            <w:tcBorders>
              <w:top w:val="single" w:sz="4" w:space="0" w:color="auto"/>
            </w:tcBorders>
            <w:noWrap/>
            <w:vAlign w:val="bottom"/>
            <w:hideMark/>
          </w:tcPr>
          <w:p w14:paraId="79FC556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6.23</w:t>
            </w:r>
          </w:p>
        </w:tc>
        <w:tc>
          <w:tcPr>
            <w:tcW w:w="1206" w:type="dxa"/>
            <w:tcBorders>
              <w:top w:val="single" w:sz="4" w:space="0" w:color="auto"/>
              <w:right w:val="single" w:sz="4" w:space="0" w:color="auto"/>
            </w:tcBorders>
            <w:noWrap/>
            <w:vAlign w:val="bottom"/>
            <w:hideMark/>
          </w:tcPr>
          <w:p w14:paraId="60655A4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6.57</w:t>
            </w:r>
          </w:p>
        </w:tc>
        <w:tc>
          <w:tcPr>
            <w:tcW w:w="684" w:type="dxa"/>
            <w:tcBorders>
              <w:top w:val="single" w:sz="4" w:space="0" w:color="auto"/>
              <w:left w:val="single" w:sz="4" w:space="0" w:color="auto"/>
              <w:bottom w:val="nil"/>
            </w:tcBorders>
            <w:noWrap/>
            <w:vAlign w:val="bottom"/>
            <w:hideMark/>
          </w:tcPr>
          <w:p w14:paraId="2B4584C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6.05</w:t>
            </w:r>
          </w:p>
        </w:tc>
        <w:tc>
          <w:tcPr>
            <w:tcW w:w="990" w:type="dxa"/>
            <w:tcBorders>
              <w:top w:val="single" w:sz="4" w:space="0" w:color="auto"/>
              <w:bottom w:val="nil"/>
            </w:tcBorders>
            <w:noWrap/>
            <w:vAlign w:val="bottom"/>
            <w:hideMark/>
          </w:tcPr>
          <w:p w14:paraId="2502989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5.91</w:t>
            </w:r>
          </w:p>
        </w:tc>
        <w:tc>
          <w:tcPr>
            <w:tcW w:w="990" w:type="dxa"/>
            <w:tcBorders>
              <w:top w:val="single" w:sz="4" w:space="0" w:color="auto"/>
              <w:bottom w:val="nil"/>
            </w:tcBorders>
            <w:noWrap/>
            <w:vAlign w:val="bottom"/>
            <w:hideMark/>
          </w:tcPr>
          <w:p w14:paraId="6FA570D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5.96</w:t>
            </w:r>
          </w:p>
        </w:tc>
        <w:tc>
          <w:tcPr>
            <w:tcW w:w="990" w:type="dxa"/>
            <w:tcBorders>
              <w:top w:val="single" w:sz="4" w:space="0" w:color="auto"/>
              <w:bottom w:val="nil"/>
            </w:tcBorders>
            <w:noWrap/>
            <w:vAlign w:val="bottom"/>
            <w:hideMark/>
          </w:tcPr>
          <w:p w14:paraId="38E7A01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5.99</w:t>
            </w:r>
          </w:p>
        </w:tc>
        <w:tc>
          <w:tcPr>
            <w:tcW w:w="1080" w:type="dxa"/>
            <w:tcBorders>
              <w:top w:val="single" w:sz="4" w:space="0" w:color="auto"/>
              <w:bottom w:val="nil"/>
            </w:tcBorders>
            <w:noWrap/>
            <w:vAlign w:val="bottom"/>
            <w:hideMark/>
          </w:tcPr>
          <w:p w14:paraId="28F6132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6.27</w:t>
            </w:r>
          </w:p>
        </w:tc>
      </w:tr>
      <w:tr w:rsidR="00760D7E" w:rsidRPr="00DF0BA2" w14:paraId="2C4AC2FF" w14:textId="77777777" w:rsidTr="0026183D">
        <w:trPr>
          <w:trHeight w:val="260"/>
        </w:trPr>
        <w:tc>
          <w:tcPr>
            <w:tcW w:w="465" w:type="dxa"/>
            <w:vMerge/>
            <w:noWrap/>
            <w:vAlign w:val="center"/>
            <w:hideMark/>
          </w:tcPr>
          <w:p w14:paraId="1F86FE88"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620" w:type="dxa"/>
            <w:vMerge/>
            <w:noWrap/>
            <w:vAlign w:val="center"/>
            <w:hideMark/>
          </w:tcPr>
          <w:p w14:paraId="18DF6C58"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916" w:type="dxa"/>
            <w:noWrap/>
            <w:vAlign w:val="bottom"/>
            <w:hideMark/>
          </w:tcPr>
          <w:p w14:paraId="4E4C3AA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5D729B2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6.07</w:t>
            </w:r>
          </w:p>
        </w:tc>
        <w:tc>
          <w:tcPr>
            <w:tcW w:w="1080" w:type="dxa"/>
            <w:noWrap/>
            <w:vAlign w:val="bottom"/>
            <w:hideMark/>
          </w:tcPr>
          <w:p w14:paraId="10B68DB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6.07</w:t>
            </w:r>
          </w:p>
        </w:tc>
        <w:tc>
          <w:tcPr>
            <w:tcW w:w="1136" w:type="dxa"/>
            <w:noWrap/>
            <w:vAlign w:val="bottom"/>
            <w:hideMark/>
          </w:tcPr>
          <w:p w14:paraId="4666A26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6.13</w:t>
            </w:r>
          </w:p>
        </w:tc>
        <w:tc>
          <w:tcPr>
            <w:tcW w:w="1204" w:type="dxa"/>
            <w:noWrap/>
            <w:vAlign w:val="bottom"/>
            <w:hideMark/>
          </w:tcPr>
          <w:p w14:paraId="6A723BB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6.17</w:t>
            </w:r>
          </w:p>
        </w:tc>
        <w:tc>
          <w:tcPr>
            <w:tcW w:w="1206" w:type="dxa"/>
            <w:tcBorders>
              <w:right w:val="single" w:sz="4" w:space="0" w:color="auto"/>
            </w:tcBorders>
            <w:noWrap/>
            <w:vAlign w:val="bottom"/>
            <w:hideMark/>
          </w:tcPr>
          <w:p w14:paraId="3B69A89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6.5</w:t>
            </w:r>
          </w:p>
        </w:tc>
        <w:tc>
          <w:tcPr>
            <w:tcW w:w="684" w:type="dxa"/>
            <w:tcBorders>
              <w:top w:val="nil"/>
              <w:left w:val="single" w:sz="4" w:space="0" w:color="auto"/>
              <w:bottom w:val="nil"/>
            </w:tcBorders>
            <w:noWrap/>
            <w:vAlign w:val="bottom"/>
            <w:hideMark/>
          </w:tcPr>
          <w:p w14:paraId="5F75327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6.09</w:t>
            </w:r>
          </w:p>
        </w:tc>
        <w:tc>
          <w:tcPr>
            <w:tcW w:w="990" w:type="dxa"/>
            <w:tcBorders>
              <w:top w:val="nil"/>
              <w:bottom w:val="nil"/>
            </w:tcBorders>
            <w:noWrap/>
            <w:vAlign w:val="bottom"/>
            <w:hideMark/>
          </w:tcPr>
          <w:p w14:paraId="2E1D22D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5.81</w:t>
            </w:r>
          </w:p>
        </w:tc>
        <w:tc>
          <w:tcPr>
            <w:tcW w:w="990" w:type="dxa"/>
            <w:tcBorders>
              <w:top w:val="nil"/>
              <w:bottom w:val="nil"/>
            </w:tcBorders>
            <w:noWrap/>
            <w:vAlign w:val="bottom"/>
            <w:hideMark/>
          </w:tcPr>
          <w:p w14:paraId="2ECE93B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w:t>
            </w:r>
          </w:p>
        </w:tc>
        <w:tc>
          <w:tcPr>
            <w:tcW w:w="990" w:type="dxa"/>
            <w:tcBorders>
              <w:top w:val="nil"/>
              <w:bottom w:val="nil"/>
            </w:tcBorders>
            <w:noWrap/>
            <w:vAlign w:val="bottom"/>
            <w:hideMark/>
          </w:tcPr>
          <w:p w14:paraId="46064FE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w:t>
            </w:r>
          </w:p>
        </w:tc>
        <w:tc>
          <w:tcPr>
            <w:tcW w:w="1080" w:type="dxa"/>
            <w:tcBorders>
              <w:top w:val="nil"/>
              <w:bottom w:val="nil"/>
            </w:tcBorders>
            <w:noWrap/>
            <w:vAlign w:val="bottom"/>
            <w:hideMark/>
          </w:tcPr>
          <w:p w14:paraId="7B349BD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5.93</w:t>
            </w:r>
          </w:p>
        </w:tc>
      </w:tr>
      <w:tr w:rsidR="00760D7E" w:rsidRPr="00DF0BA2" w14:paraId="79E15B79" w14:textId="77777777" w:rsidTr="0026183D">
        <w:trPr>
          <w:trHeight w:val="188"/>
        </w:trPr>
        <w:tc>
          <w:tcPr>
            <w:tcW w:w="465" w:type="dxa"/>
            <w:vMerge w:val="restart"/>
            <w:noWrap/>
            <w:vAlign w:val="center"/>
            <w:hideMark/>
          </w:tcPr>
          <w:p w14:paraId="4B278648"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w:t>
            </w:r>
          </w:p>
          <w:p w14:paraId="4657433C"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center"/>
            <w:hideMark/>
          </w:tcPr>
          <w:p w14:paraId="1CBB2ECA"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EC</w:t>
            </w:r>
          </w:p>
          <w:p w14:paraId="53FEB4A1"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916" w:type="dxa"/>
            <w:noWrap/>
            <w:vAlign w:val="bottom"/>
            <w:hideMark/>
          </w:tcPr>
          <w:p w14:paraId="6D6455A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bottom"/>
            <w:hideMark/>
          </w:tcPr>
          <w:p w14:paraId="3D361D3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0.125</w:t>
            </w:r>
          </w:p>
        </w:tc>
        <w:tc>
          <w:tcPr>
            <w:tcW w:w="1080" w:type="dxa"/>
            <w:noWrap/>
            <w:vAlign w:val="bottom"/>
            <w:hideMark/>
          </w:tcPr>
          <w:p w14:paraId="600AA5A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0.121</w:t>
            </w:r>
          </w:p>
        </w:tc>
        <w:tc>
          <w:tcPr>
            <w:tcW w:w="1136" w:type="dxa"/>
            <w:noWrap/>
            <w:vAlign w:val="bottom"/>
            <w:hideMark/>
          </w:tcPr>
          <w:p w14:paraId="13821B7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0.123</w:t>
            </w:r>
          </w:p>
        </w:tc>
        <w:tc>
          <w:tcPr>
            <w:tcW w:w="1204" w:type="dxa"/>
            <w:noWrap/>
            <w:vAlign w:val="bottom"/>
            <w:hideMark/>
          </w:tcPr>
          <w:p w14:paraId="01645A4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0.131</w:t>
            </w:r>
          </w:p>
        </w:tc>
        <w:tc>
          <w:tcPr>
            <w:tcW w:w="1206" w:type="dxa"/>
            <w:tcBorders>
              <w:right w:val="single" w:sz="4" w:space="0" w:color="auto"/>
            </w:tcBorders>
            <w:noWrap/>
            <w:vAlign w:val="bottom"/>
            <w:hideMark/>
          </w:tcPr>
          <w:p w14:paraId="01E7480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0.129</w:t>
            </w:r>
          </w:p>
        </w:tc>
        <w:tc>
          <w:tcPr>
            <w:tcW w:w="684" w:type="dxa"/>
            <w:tcBorders>
              <w:top w:val="nil"/>
              <w:left w:val="single" w:sz="4" w:space="0" w:color="auto"/>
              <w:bottom w:val="nil"/>
            </w:tcBorders>
            <w:noWrap/>
            <w:vAlign w:val="bottom"/>
            <w:hideMark/>
          </w:tcPr>
          <w:p w14:paraId="20C31B4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0.108</w:t>
            </w:r>
          </w:p>
        </w:tc>
        <w:tc>
          <w:tcPr>
            <w:tcW w:w="990" w:type="dxa"/>
            <w:tcBorders>
              <w:top w:val="nil"/>
              <w:bottom w:val="nil"/>
            </w:tcBorders>
            <w:noWrap/>
            <w:vAlign w:val="bottom"/>
            <w:hideMark/>
          </w:tcPr>
          <w:p w14:paraId="77FA0C8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w:t>
            </w:r>
          </w:p>
        </w:tc>
        <w:tc>
          <w:tcPr>
            <w:tcW w:w="990" w:type="dxa"/>
            <w:tcBorders>
              <w:top w:val="nil"/>
              <w:bottom w:val="nil"/>
            </w:tcBorders>
            <w:noWrap/>
            <w:vAlign w:val="bottom"/>
            <w:hideMark/>
          </w:tcPr>
          <w:p w14:paraId="4EBF7C2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0.123</w:t>
            </w:r>
          </w:p>
        </w:tc>
        <w:tc>
          <w:tcPr>
            <w:tcW w:w="990" w:type="dxa"/>
            <w:tcBorders>
              <w:top w:val="nil"/>
              <w:bottom w:val="nil"/>
            </w:tcBorders>
            <w:noWrap/>
            <w:vAlign w:val="bottom"/>
            <w:hideMark/>
          </w:tcPr>
          <w:p w14:paraId="230AFC5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0.137</w:t>
            </w:r>
          </w:p>
        </w:tc>
        <w:tc>
          <w:tcPr>
            <w:tcW w:w="1080" w:type="dxa"/>
            <w:tcBorders>
              <w:top w:val="nil"/>
              <w:bottom w:val="nil"/>
            </w:tcBorders>
            <w:noWrap/>
            <w:vAlign w:val="bottom"/>
            <w:hideMark/>
          </w:tcPr>
          <w:p w14:paraId="777FB8C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0.129</w:t>
            </w:r>
          </w:p>
        </w:tc>
      </w:tr>
      <w:tr w:rsidR="00760D7E" w:rsidRPr="00DF0BA2" w14:paraId="5B2905DF" w14:textId="77777777" w:rsidTr="0026183D">
        <w:trPr>
          <w:trHeight w:val="70"/>
        </w:trPr>
        <w:tc>
          <w:tcPr>
            <w:tcW w:w="465" w:type="dxa"/>
            <w:vMerge/>
            <w:noWrap/>
            <w:vAlign w:val="center"/>
            <w:hideMark/>
          </w:tcPr>
          <w:p w14:paraId="557F2A6A"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620" w:type="dxa"/>
            <w:vMerge/>
            <w:noWrap/>
            <w:vAlign w:val="center"/>
            <w:hideMark/>
          </w:tcPr>
          <w:p w14:paraId="0A8B0F49"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916" w:type="dxa"/>
            <w:noWrap/>
            <w:vAlign w:val="bottom"/>
            <w:hideMark/>
          </w:tcPr>
          <w:p w14:paraId="13D610C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164E710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0.131</w:t>
            </w:r>
          </w:p>
        </w:tc>
        <w:tc>
          <w:tcPr>
            <w:tcW w:w="1080" w:type="dxa"/>
            <w:noWrap/>
            <w:vAlign w:val="bottom"/>
            <w:hideMark/>
          </w:tcPr>
          <w:p w14:paraId="5A53892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0.129</w:t>
            </w:r>
          </w:p>
        </w:tc>
        <w:tc>
          <w:tcPr>
            <w:tcW w:w="1136" w:type="dxa"/>
            <w:noWrap/>
            <w:vAlign w:val="bottom"/>
            <w:hideMark/>
          </w:tcPr>
          <w:p w14:paraId="51C1E5C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0.127</w:t>
            </w:r>
          </w:p>
        </w:tc>
        <w:tc>
          <w:tcPr>
            <w:tcW w:w="1204" w:type="dxa"/>
            <w:noWrap/>
            <w:vAlign w:val="bottom"/>
            <w:hideMark/>
          </w:tcPr>
          <w:p w14:paraId="1697DA4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0.135</w:t>
            </w:r>
          </w:p>
        </w:tc>
        <w:tc>
          <w:tcPr>
            <w:tcW w:w="1206" w:type="dxa"/>
            <w:tcBorders>
              <w:right w:val="single" w:sz="4" w:space="0" w:color="auto"/>
            </w:tcBorders>
            <w:noWrap/>
            <w:vAlign w:val="bottom"/>
            <w:hideMark/>
          </w:tcPr>
          <w:p w14:paraId="5A9CD1D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0.131</w:t>
            </w:r>
          </w:p>
        </w:tc>
        <w:tc>
          <w:tcPr>
            <w:tcW w:w="684" w:type="dxa"/>
            <w:tcBorders>
              <w:top w:val="nil"/>
              <w:left w:val="single" w:sz="4" w:space="0" w:color="auto"/>
              <w:bottom w:val="nil"/>
            </w:tcBorders>
            <w:noWrap/>
            <w:vAlign w:val="bottom"/>
            <w:hideMark/>
          </w:tcPr>
          <w:p w14:paraId="4D2B2A5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0.111</w:t>
            </w:r>
          </w:p>
        </w:tc>
        <w:tc>
          <w:tcPr>
            <w:tcW w:w="990" w:type="dxa"/>
            <w:tcBorders>
              <w:top w:val="nil"/>
              <w:bottom w:val="nil"/>
            </w:tcBorders>
            <w:noWrap/>
            <w:vAlign w:val="bottom"/>
            <w:hideMark/>
          </w:tcPr>
          <w:p w14:paraId="0C03B0B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0.131</w:t>
            </w:r>
          </w:p>
        </w:tc>
        <w:tc>
          <w:tcPr>
            <w:tcW w:w="990" w:type="dxa"/>
            <w:tcBorders>
              <w:top w:val="nil"/>
              <w:bottom w:val="nil"/>
            </w:tcBorders>
            <w:noWrap/>
            <w:vAlign w:val="bottom"/>
            <w:hideMark/>
          </w:tcPr>
          <w:p w14:paraId="049EE19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0.133</w:t>
            </w:r>
          </w:p>
        </w:tc>
        <w:tc>
          <w:tcPr>
            <w:tcW w:w="990" w:type="dxa"/>
            <w:tcBorders>
              <w:top w:val="nil"/>
              <w:bottom w:val="nil"/>
            </w:tcBorders>
            <w:noWrap/>
            <w:vAlign w:val="bottom"/>
            <w:hideMark/>
          </w:tcPr>
          <w:p w14:paraId="5E40ABB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0.139</w:t>
            </w:r>
          </w:p>
        </w:tc>
        <w:tc>
          <w:tcPr>
            <w:tcW w:w="1080" w:type="dxa"/>
            <w:tcBorders>
              <w:top w:val="nil"/>
              <w:bottom w:val="nil"/>
            </w:tcBorders>
            <w:noWrap/>
            <w:vAlign w:val="bottom"/>
            <w:hideMark/>
          </w:tcPr>
          <w:p w14:paraId="7208EAE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0.139</w:t>
            </w:r>
          </w:p>
        </w:tc>
      </w:tr>
      <w:tr w:rsidR="00760D7E" w:rsidRPr="00DF0BA2" w14:paraId="611F3A7E" w14:textId="77777777" w:rsidTr="0026183D">
        <w:trPr>
          <w:trHeight w:val="233"/>
        </w:trPr>
        <w:tc>
          <w:tcPr>
            <w:tcW w:w="465" w:type="dxa"/>
            <w:vMerge w:val="restart"/>
            <w:noWrap/>
            <w:vAlign w:val="center"/>
            <w:hideMark/>
          </w:tcPr>
          <w:p w14:paraId="4FD32762"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w:t>
            </w:r>
          </w:p>
          <w:p w14:paraId="729ABF9A"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center"/>
            <w:hideMark/>
          </w:tcPr>
          <w:p w14:paraId="35B57174"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Org C (%)</w:t>
            </w:r>
          </w:p>
          <w:p w14:paraId="0CCE4862"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916" w:type="dxa"/>
            <w:noWrap/>
            <w:vAlign w:val="bottom"/>
            <w:hideMark/>
          </w:tcPr>
          <w:p w14:paraId="60BB97E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bottom"/>
            <w:hideMark/>
          </w:tcPr>
          <w:p w14:paraId="17BED9D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0.79</w:t>
            </w:r>
          </w:p>
        </w:tc>
        <w:tc>
          <w:tcPr>
            <w:tcW w:w="1080" w:type="dxa"/>
            <w:noWrap/>
            <w:vAlign w:val="bottom"/>
            <w:hideMark/>
          </w:tcPr>
          <w:p w14:paraId="0FB73EE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0.82</w:t>
            </w:r>
          </w:p>
        </w:tc>
        <w:tc>
          <w:tcPr>
            <w:tcW w:w="1136" w:type="dxa"/>
            <w:noWrap/>
            <w:vAlign w:val="bottom"/>
            <w:hideMark/>
          </w:tcPr>
          <w:p w14:paraId="03F425A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0.86</w:t>
            </w:r>
          </w:p>
        </w:tc>
        <w:tc>
          <w:tcPr>
            <w:tcW w:w="1204" w:type="dxa"/>
            <w:noWrap/>
            <w:vAlign w:val="bottom"/>
            <w:hideMark/>
          </w:tcPr>
          <w:p w14:paraId="4855C22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0.89</w:t>
            </w:r>
          </w:p>
        </w:tc>
        <w:tc>
          <w:tcPr>
            <w:tcW w:w="1206" w:type="dxa"/>
            <w:tcBorders>
              <w:right w:val="single" w:sz="4" w:space="0" w:color="auto"/>
            </w:tcBorders>
            <w:noWrap/>
            <w:vAlign w:val="bottom"/>
            <w:hideMark/>
          </w:tcPr>
          <w:p w14:paraId="1D05178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0.98</w:t>
            </w:r>
          </w:p>
        </w:tc>
        <w:tc>
          <w:tcPr>
            <w:tcW w:w="684" w:type="dxa"/>
            <w:tcBorders>
              <w:top w:val="nil"/>
              <w:left w:val="single" w:sz="4" w:space="0" w:color="auto"/>
              <w:bottom w:val="nil"/>
            </w:tcBorders>
            <w:noWrap/>
            <w:vAlign w:val="bottom"/>
            <w:hideMark/>
          </w:tcPr>
          <w:p w14:paraId="6764379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w:t>
            </w:r>
          </w:p>
        </w:tc>
        <w:tc>
          <w:tcPr>
            <w:tcW w:w="990" w:type="dxa"/>
            <w:tcBorders>
              <w:top w:val="nil"/>
              <w:bottom w:val="nil"/>
            </w:tcBorders>
            <w:noWrap/>
            <w:vAlign w:val="bottom"/>
            <w:hideMark/>
          </w:tcPr>
          <w:p w14:paraId="0AB643E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0.76</w:t>
            </w:r>
          </w:p>
        </w:tc>
        <w:tc>
          <w:tcPr>
            <w:tcW w:w="990" w:type="dxa"/>
            <w:tcBorders>
              <w:top w:val="nil"/>
              <w:bottom w:val="nil"/>
            </w:tcBorders>
            <w:noWrap/>
            <w:vAlign w:val="bottom"/>
            <w:hideMark/>
          </w:tcPr>
          <w:p w14:paraId="0D579B6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0.8</w:t>
            </w:r>
          </w:p>
        </w:tc>
        <w:tc>
          <w:tcPr>
            <w:tcW w:w="990" w:type="dxa"/>
            <w:tcBorders>
              <w:top w:val="nil"/>
              <w:bottom w:val="nil"/>
            </w:tcBorders>
            <w:noWrap/>
            <w:vAlign w:val="bottom"/>
            <w:hideMark/>
          </w:tcPr>
          <w:p w14:paraId="74F2B2B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0.83</w:t>
            </w:r>
          </w:p>
        </w:tc>
        <w:tc>
          <w:tcPr>
            <w:tcW w:w="1080" w:type="dxa"/>
            <w:tcBorders>
              <w:top w:val="nil"/>
              <w:bottom w:val="nil"/>
            </w:tcBorders>
            <w:noWrap/>
            <w:vAlign w:val="bottom"/>
            <w:hideMark/>
          </w:tcPr>
          <w:p w14:paraId="1DBFC61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0.88</w:t>
            </w:r>
          </w:p>
        </w:tc>
      </w:tr>
      <w:tr w:rsidR="00760D7E" w:rsidRPr="00DF0BA2" w14:paraId="5D426BE2" w14:textId="77777777" w:rsidTr="0026183D">
        <w:trPr>
          <w:trHeight w:val="197"/>
        </w:trPr>
        <w:tc>
          <w:tcPr>
            <w:tcW w:w="465" w:type="dxa"/>
            <w:vMerge/>
            <w:noWrap/>
            <w:vAlign w:val="center"/>
            <w:hideMark/>
          </w:tcPr>
          <w:p w14:paraId="0613E153"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620" w:type="dxa"/>
            <w:vMerge/>
            <w:noWrap/>
            <w:vAlign w:val="center"/>
            <w:hideMark/>
          </w:tcPr>
          <w:p w14:paraId="43B7CFB2"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916" w:type="dxa"/>
            <w:noWrap/>
            <w:vAlign w:val="bottom"/>
            <w:hideMark/>
          </w:tcPr>
          <w:p w14:paraId="7DA7AF6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25004CF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0.75</w:t>
            </w:r>
          </w:p>
        </w:tc>
        <w:tc>
          <w:tcPr>
            <w:tcW w:w="1080" w:type="dxa"/>
            <w:noWrap/>
            <w:vAlign w:val="bottom"/>
            <w:hideMark/>
          </w:tcPr>
          <w:p w14:paraId="179698F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0.72</w:t>
            </w:r>
          </w:p>
        </w:tc>
        <w:tc>
          <w:tcPr>
            <w:tcW w:w="1136" w:type="dxa"/>
            <w:noWrap/>
            <w:vAlign w:val="bottom"/>
            <w:hideMark/>
          </w:tcPr>
          <w:p w14:paraId="0778379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0.72</w:t>
            </w:r>
          </w:p>
        </w:tc>
        <w:tc>
          <w:tcPr>
            <w:tcW w:w="1204" w:type="dxa"/>
            <w:noWrap/>
            <w:vAlign w:val="bottom"/>
            <w:hideMark/>
          </w:tcPr>
          <w:p w14:paraId="29FA7F1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0.73</w:t>
            </w:r>
          </w:p>
        </w:tc>
        <w:tc>
          <w:tcPr>
            <w:tcW w:w="1206" w:type="dxa"/>
            <w:tcBorders>
              <w:right w:val="single" w:sz="4" w:space="0" w:color="auto"/>
            </w:tcBorders>
            <w:noWrap/>
            <w:vAlign w:val="bottom"/>
            <w:hideMark/>
          </w:tcPr>
          <w:p w14:paraId="09EA754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0.78</w:t>
            </w:r>
          </w:p>
        </w:tc>
        <w:tc>
          <w:tcPr>
            <w:tcW w:w="684" w:type="dxa"/>
            <w:tcBorders>
              <w:top w:val="nil"/>
              <w:left w:val="single" w:sz="4" w:space="0" w:color="auto"/>
              <w:bottom w:val="nil"/>
            </w:tcBorders>
            <w:noWrap/>
            <w:vAlign w:val="bottom"/>
            <w:hideMark/>
          </w:tcPr>
          <w:p w14:paraId="02A1785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0.69</w:t>
            </w:r>
          </w:p>
        </w:tc>
        <w:tc>
          <w:tcPr>
            <w:tcW w:w="990" w:type="dxa"/>
            <w:tcBorders>
              <w:top w:val="nil"/>
              <w:bottom w:val="nil"/>
            </w:tcBorders>
            <w:noWrap/>
            <w:vAlign w:val="bottom"/>
            <w:hideMark/>
          </w:tcPr>
          <w:p w14:paraId="0793464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0.71</w:t>
            </w:r>
          </w:p>
        </w:tc>
        <w:tc>
          <w:tcPr>
            <w:tcW w:w="990" w:type="dxa"/>
            <w:tcBorders>
              <w:top w:val="nil"/>
              <w:bottom w:val="nil"/>
            </w:tcBorders>
            <w:noWrap/>
            <w:vAlign w:val="bottom"/>
            <w:hideMark/>
          </w:tcPr>
          <w:p w14:paraId="37FBD80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0.73</w:t>
            </w:r>
          </w:p>
        </w:tc>
        <w:tc>
          <w:tcPr>
            <w:tcW w:w="990" w:type="dxa"/>
            <w:tcBorders>
              <w:top w:val="nil"/>
              <w:bottom w:val="nil"/>
            </w:tcBorders>
            <w:noWrap/>
            <w:vAlign w:val="bottom"/>
            <w:hideMark/>
          </w:tcPr>
          <w:p w14:paraId="539A706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0.74</w:t>
            </w:r>
          </w:p>
        </w:tc>
        <w:tc>
          <w:tcPr>
            <w:tcW w:w="1080" w:type="dxa"/>
            <w:tcBorders>
              <w:top w:val="nil"/>
              <w:bottom w:val="nil"/>
            </w:tcBorders>
            <w:noWrap/>
            <w:vAlign w:val="bottom"/>
            <w:hideMark/>
          </w:tcPr>
          <w:p w14:paraId="66D6E60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0.74</w:t>
            </w:r>
          </w:p>
        </w:tc>
      </w:tr>
      <w:tr w:rsidR="00760D7E" w:rsidRPr="00DF0BA2" w14:paraId="545FA9DA" w14:textId="77777777" w:rsidTr="0026183D">
        <w:trPr>
          <w:trHeight w:val="287"/>
        </w:trPr>
        <w:tc>
          <w:tcPr>
            <w:tcW w:w="465" w:type="dxa"/>
            <w:vMerge w:val="restart"/>
            <w:noWrap/>
            <w:vAlign w:val="center"/>
            <w:hideMark/>
          </w:tcPr>
          <w:p w14:paraId="5831ADCB"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w:t>
            </w:r>
          </w:p>
          <w:p w14:paraId="04E525C8"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center"/>
            <w:hideMark/>
          </w:tcPr>
          <w:p w14:paraId="65E725BF"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Av N (kg/ha)</w:t>
            </w:r>
          </w:p>
          <w:p w14:paraId="6FA00426"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916" w:type="dxa"/>
            <w:noWrap/>
            <w:vAlign w:val="bottom"/>
            <w:hideMark/>
          </w:tcPr>
          <w:p w14:paraId="68CC17F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bottom"/>
            <w:hideMark/>
          </w:tcPr>
          <w:p w14:paraId="78C1649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304</w:t>
            </w:r>
          </w:p>
        </w:tc>
        <w:tc>
          <w:tcPr>
            <w:tcW w:w="1080" w:type="dxa"/>
            <w:noWrap/>
            <w:vAlign w:val="bottom"/>
            <w:hideMark/>
          </w:tcPr>
          <w:p w14:paraId="2E3C84E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309</w:t>
            </w:r>
          </w:p>
        </w:tc>
        <w:tc>
          <w:tcPr>
            <w:tcW w:w="1136" w:type="dxa"/>
            <w:noWrap/>
            <w:vAlign w:val="bottom"/>
            <w:hideMark/>
          </w:tcPr>
          <w:p w14:paraId="62C2F3D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302</w:t>
            </w:r>
          </w:p>
        </w:tc>
        <w:tc>
          <w:tcPr>
            <w:tcW w:w="1204" w:type="dxa"/>
            <w:noWrap/>
            <w:vAlign w:val="bottom"/>
            <w:hideMark/>
          </w:tcPr>
          <w:p w14:paraId="6C12921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301</w:t>
            </w:r>
          </w:p>
        </w:tc>
        <w:tc>
          <w:tcPr>
            <w:tcW w:w="1206" w:type="dxa"/>
            <w:tcBorders>
              <w:right w:val="single" w:sz="4" w:space="0" w:color="auto"/>
            </w:tcBorders>
            <w:noWrap/>
            <w:vAlign w:val="bottom"/>
            <w:hideMark/>
          </w:tcPr>
          <w:p w14:paraId="1F7A912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305</w:t>
            </w:r>
          </w:p>
        </w:tc>
        <w:tc>
          <w:tcPr>
            <w:tcW w:w="684" w:type="dxa"/>
            <w:tcBorders>
              <w:top w:val="nil"/>
              <w:left w:val="single" w:sz="4" w:space="0" w:color="auto"/>
              <w:bottom w:val="nil"/>
            </w:tcBorders>
            <w:noWrap/>
            <w:vAlign w:val="bottom"/>
            <w:hideMark/>
          </w:tcPr>
          <w:p w14:paraId="3C1EA20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301</w:t>
            </w:r>
          </w:p>
        </w:tc>
        <w:tc>
          <w:tcPr>
            <w:tcW w:w="990" w:type="dxa"/>
            <w:tcBorders>
              <w:top w:val="nil"/>
              <w:bottom w:val="nil"/>
            </w:tcBorders>
            <w:noWrap/>
            <w:vAlign w:val="bottom"/>
            <w:hideMark/>
          </w:tcPr>
          <w:p w14:paraId="7E3B278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304</w:t>
            </w:r>
          </w:p>
        </w:tc>
        <w:tc>
          <w:tcPr>
            <w:tcW w:w="990" w:type="dxa"/>
            <w:tcBorders>
              <w:top w:val="nil"/>
              <w:bottom w:val="nil"/>
            </w:tcBorders>
            <w:noWrap/>
            <w:vAlign w:val="bottom"/>
            <w:hideMark/>
          </w:tcPr>
          <w:p w14:paraId="3E696F3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306</w:t>
            </w:r>
          </w:p>
        </w:tc>
        <w:tc>
          <w:tcPr>
            <w:tcW w:w="990" w:type="dxa"/>
            <w:tcBorders>
              <w:top w:val="nil"/>
              <w:bottom w:val="nil"/>
            </w:tcBorders>
            <w:noWrap/>
            <w:vAlign w:val="bottom"/>
            <w:hideMark/>
          </w:tcPr>
          <w:p w14:paraId="6DDB875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321</w:t>
            </w:r>
          </w:p>
        </w:tc>
        <w:tc>
          <w:tcPr>
            <w:tcW w:w="1080" w:type="dxa"/>
            <w:tcBorders>
              <w:top w:val="nil"/>
              <w:bottom w:val="nil"/>
            </w:tcBorders>
            <w:noWrap/>
            <w:vAlign w:val="bottom"/>
            <w:hideMark/>
          </w:tcPr>
          <w:p w14:paraId="19E3D49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326</w:t>
            </w:r>
          </w:p>
        </w:tc>
      </w:tr>
      <w:tr w:rsidR="00760D7E" w:rsidRPr="00DF0BA2" w14:paraId="3E2C6E17" w14:textId="77777777" w:rsidTr="0026183D">
        <w:trPr>
          <w:trHeight w:val="260"/>
        </w:trPr>
        <w:tc>
          <w:tcPr>
            <w:tcW w:w="465" w:type="dxa"/>
            <w:vMerge/>
            <w:noWrap/>
            <w:vAlign w:val="center"/>
            <w:hideMark/>
          </w:tcPr>
          <w:p w14:paraId="7503F9D7"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620" w:type="dxa"/>
            <w:vMerge/>
            <w:noWrap/>
            <w:vAlign w:val="center"/>
            <w:hideMark/>
          </w:tcPr>
          <w:p w14:paraId="3494B1A8"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916" w:type="dxa"/>
            <w:noWrap/>
            <w:vAlign w:val="bottom"/>
            <w:hideMark/>
          </w:tcPr>
          <w:p w14:paraId="477039F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376BD06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310</w:t>
            </w:r>
          </w:p>
        </w:tc>
        <w:tc>
          <w:tcPr>
            <w:tcW w:w="1080" w:type="dxa"/>
            <w:noWrap/>
            <w:vAlign w:val="bottom"/>
            <w:hideMark/>
          </w:tcPr>
          <w:p w14:paraId="3E27EBC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311</w:t>
            </w:r>
          </w:p>
        </w:tc>
        <w:tc>
          <w:tcPr>
            <w:tcW w:w="1136" w:type="dxa"/>
            <w:noWrap/>
            <w:vAlign w:val="bottom"/>
            <w:hideMark/>
          </w:tcPr>
          <w:p w14:paraId="1C8DB0C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311</w:t>
            </w:r>
          </w:p>
        </w:tc>
        <w:tc>
          <w:tcPr>
            <w:tcW w:w="1204" w:type="dxa"/>
            <w:noWrap/>
            <w:vAlign w:val="bottom"/>
            <w:hideMark/>
          </w:tcPr>
          <w:p w14:paraId="02C46B1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313</w:t>
            </w:r>
          </w:p>
        </w:tc>
        <w:tc>
          <w:tcPr>
            <w:tcW w:w="1206" w:type="dxa"/>
            <w:tcBorders>
              <w:right w:val="single" w:sz="4" w:space="0" w:color="auto"/>
            </w:tcBorders>
            <w:noWrap/>
            <w:vAlign w:val="bottom"/>
            <w:hideMark/>
          </w:tcPr>
          <w:p w14:paraId="444CF0D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319</w:t>
            </w:r>
          </w:p>
        </w:tc>
        <w:tc>
          <w:tcPr>
            <w:tcW w:w="684" w:type="dxa"/>
            <w:tcBorders>
              <w:top w:val="nil"/>
              <w:left w:val="single" w:sz="4" w:space="0" w:color="auto"/>
              <w:bottom w:val="nil"/>
            </w:tcBorders>
            <w:noWrap/>
            <w:vAlign w:val="bottom"/>
            <w:hideMark/>
          </w:tcPr>
          <w:p w14:paraId="56BFB39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295</w:t>
            </w:r>
          </w:p>
        </w:tc>
        <w:tc>
          <w:tcPr>
            <w:tcW w:w="990" w:type="dxa"/>
            <w:tcBorders>
              <w:top w:val="nil"/>
              <w:bottom w:val="nil"/>
            </w:tcBorders>
            <w:noWrap/>
            <w:vAlign w:val="bottom"/>
            <w:hideMark/>
          </w:tcPr>
          <w:p w14:paraId="13593F5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306</w:t>
            </w:r>
          </w:p>
        </w:tc>
        <w:tc>
          <w:tcPr>
            <w:tcW w:w="990" w:type="dxa"/>
            <w:tcBorders>
              <w:top w:val="nil"/>
              <w:bottom w:val="nil"/>
            </w:tcBorders>
            <w:noWrap/>
            <w:vAlign w:val="bottom"/>
            <w:hideMark/>
          </w:tcPr>
          <w:p w14:paraId="61DE8DE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309</w:t>
            </w:r>
          </w:p>
        </w:tc>
        <w:tc>
          <w:tcPr>
            <w:tcW w:w="990" w:type="dxa"/>
            <w:tcBorders>
              <w:top w:val="nil"/>
              <w:bottom w:val="nil"/>
            </w:tcBorders>
            <w:noWrap/>
            <w:vAlign w:val="bottom"/>
            <w:hideMark/>
          </w:tcPr>
          <w:p w14:paraId="31F7508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331</w:t>
            </w:r>
          </w:p>
        </w:tc>
        <w:tc>
          <w:tcPr>
            <w:tcW w:w="1080" w:type="dxa"/>
            <w:tcBorders>
              <w:top w:val="nil"/>
              <w:bottom w:val="nil"/>
            </w:tcBorders>
            <w:noWrap/>
            <w:vAlign w:val="bottom"/>
            <w:hideMark/>
          </w:tcPr>
          <w:p w14:paraId="77D8406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337</w:t>
            </w:r>
          </w:p>
        </w:tc>
      </w:tr>
      <w:tr w:rsidR="00760D7E" w:rsidRPr="00DF0BA2" w14:paraId="2A2ED4E7" w14:textId="77777777" w:rsidTr="0026183D">
        <w:trPr>
          <w:trHeight w:val="260"/>
        </w:trPr>
        <w:tc>
          <w:tcPr>
            <w:tcW w:w="465" w:type="dxa"/>
            <w:vMerge w:val="restart"/>
            <w:noWrap/>
            <w:vAlign w:val="center"/>
            <w:hideMark/>
          </w:tcPr>
          <w:p w14:paraId="49882FC3"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w:t>
            </w:r>
          </w:p>
          <w:p w14:paraId="089D29A7"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center"/>
            <w:hideMark/>
          </w:tcPr>
          <w:p w14:paraId="1053AF08"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AV P</w:t>
            </w:r>
            <w:r w:rsidRPr="00DF0BA2">
              <w:rPr>
                <w:rFonts w:ascii="Times New Roman" w:eastAsia="Times New Roman" w:hAnsi="Times New Roman" w:cs="Times New Roman"/>
                <w:color w:val="000000" w:themeColor="text1"/>
                <w:sz w:val="20"/>
                <w:szCs w:val="24"/>
                <w:vertAlign w:val="subscript"/>
              </w:rPr>
              <w:t>2</w:t>
            </w:r>
            <w:r w:rsidRPr="00DF0BA2">
              <w:rPr>
                <w:rFonts w:ascii="Times New Roman" w:eastAsia="Times New Roman" w:hAnsi="Times New Roman" w:cs="Times New Roman"/>
                <w:color w:val="000000" w:themeColor="text1"/>
                <w:sz w:val="20"/>
                <w:szCs w:val="24"/>
              </w:rPr>
              <w:t>O</w:t>
            </w:r>
            <w:r w:rsidRPr="00DF0BA2">
              <w:rPr>
                <w:rFonts w:ascii="Times New Roman" w:eastAsia="Times New Roman" w:hAnsi="Times New Roman" w:cs="Times New Roman"/>
                <w:color w:val="000000" w:themeColor="text1"/>
                <w:sz w:val="20"/>
                <w:szCs w:val="24"/>
                <w:vertAlign w:val="subscript"/>
              </w:rPr>
              <w:t xml:space="preserve">5 </w:t>
            </w:r>
            <w:r w:rsidRPr="00DF0BA2">
              <w:rPr>
                <w:rFonts w:ascii="Times New Roman" w:eastAsia="Times New Roman" w:hAnsi="Times New Roman" w:cs="Times New Roman"/>
                <w:color w:val="000000" w:themeColor="text1"/>
                <w:sz w:val="20"/>
                <w:szCs w:val="24"/>
              </w:rPr>
              <w:t>(kg/ha)</w:t>
            </w:r>
          </w:p>
          <w:p w14:paraId="756E84B1"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916" w:type="dxa"/>
            <w:noWrap/>
            <w:vAlign w:val="bottom"/>
            <w:hideMark/>
          </w:tcPr>
          <w:p w14:paraId="2BE582B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bottom"/>
            <w:hideMark/>
          </w:tcPr>
          <w:p w14:paraId="1ED5AA6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79</w:t>
            </w:r>
          </w:p>
        </w:tc>
        <w:tc>
          <w:tcPr>
            <w:tcW w:w="1080" w:type="dxa"/>
            <w:noWrap/>
            <w:vAlign w:val="bottom"/>
            <w:hideMark/>
          </w:tcPr>
          <w:p w14:paraId="05F6590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69</w:t>
            </w:r>
          </w:p>
        </w:tc>
        <w:tc>
          <w:tcPr>
            <w:tcW w:w="1136" w:type="dxa"/>
            <w:noWrap/>
            <w:vAlign w:val="bottom"/>
            <w:hideMark/>
          </w:tcPr>
          <w:p w14:paraId="56C1485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77</w:t>
            </w:r>
          </w:p>
        </w:tc>
        <w:tc>
          <w:tcPr>
            <w:tcW w:w="1204" w:type="dxa"/>
            <w:noWrap/>
            <w:vAlign w:val="bottom"/>
            <w:hideMark/>
          </w:tcPr>
          <w:p w14:paraId="500013C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98</w:t>
            </w:r>
          </w:p>
        </w:tc>
        <w:tc>
          <w:tcPr>
            <w:tcW w:w="1206" w:type="dxa"/>
            <w:tcBorders>
              <w:right w:val="single" w:sz="4" w:space="0" w:color="auto"/>
            </w:tcBorders>
            <w:noWrap/>
            <w:vAlign w:val="bottom"/>
            <w:hideMark/>
          </w:tcPr>
          <w:p w14:paraId="2E04B18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88</w:t>
            </w:r>
          </w:p>
        </w:tc>
        <w:tc>
          <w:tcPr>
            <w:tcW w:w="684" w:type="dxa"/>
            <w:tcBorders>
              <w:top w:val="nil"/>
              <w:left w:val="single" w:sz="4" w:space="0" w:color="auto"/>
              <w:bottom w:val="nil"/>
            </w:tcBorders>
            <w:noWrap/>
            <w:vAlign w:val="bottom"/>
            <w:hideMark/>
          </w:tcPr>
          <w:p w14:paraId="051AA2B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91</w:t>
            </w:r>
          </w:p>
        </w:tc>
        <w:tc>
          <w:tcPr>
            <w:tcW w:w="990" w:type="dxa"/>
            <w:tcBorders>
              <w:top w:val="nil"/>
              <w:bottom w:val="nil"/>
            </w:tcBorders>
            <w:noWrap/>
            <w:vAlign w:val="bottom"/>
            <w:hideMark/>
          </w:tcPr>
          <w:p w14:paraId="69E216A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97</w:t>
            </w:r>
          </w:p>
        </w:tc>
        <w:tc>
          <w:tcPr>
            <w:tcW w:w="990" w:type="dxa"/>
            <w:tcBorders>
              <w:top w:val="nil"/>
              <w:bottom w:val="nil"/>
            </w:tcBorders>
            <w:noWrap/>
            <w:vAlign w:val="bottom"/>
            <w:hideMark/>
          </w:tcPr>
          <w:p w14:paraId="218D123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91</w:t>
            </w:r>
          </w:p>
        </w:tc>
        <w:tc>
          <w:tcPr>
            <w:tcW w:w="990" w:type="dxa"/>
            <w:tcBorders>
              <w:top w:val="nil"/>
              <w:bottom w:val="nil"/>
            </w:tcBorders>
            <w:noWrap/>
            <w:vAlign w:val="bottom"/>
            <w:hideMark/>
          </w:tcPr>
          <w:p w14:paraId="3C017FC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102</w:t>
            </w:r>
          </w:p>
        </w:tc>
        <w:tc>
          <w:tcPr>
            <w:tcW w:w="1080" w:type="dxa"/>
            <w:tcBorders>
              <w:top w:val="nil"/>
              <w:bottom w:val="nil"/>
            </w:tcBorders>
            <w:noWrap/>
            <w:vAlign w:val="bottom"/>
            <w:hideMark/>
          </w:tcPr>
          <w:p w14:paraId="208F07E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97</w:t>
            </w:r>
          </w:p>
        </w:tc>
      </w:tr>
      <w:tr w:rsidR="00760D7E" w:rsidRPr="00DF0BA2" w14:paraId="41A82557" w14:textId="77777777" w:rsidTr="0026183D">
        <w:trPr>
          <w:trHeight w:val="260"/>
        </w:trPr>
        <w:tc>
          <w:tcPr>
            <w:tcW w:w="465" w:type="dxa"/>
            <w:vMerge/>
            <w:noWrap/>
            <w:vAlign w:val="center"/>
            <w:hideMark/>
          </w:tcPr>
          <w:p w14:paraId="61AA6D4B"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620" w:type="dxa"/>
            <w:vMerge/>
            <w:noWrap/>
            <w:vAlign w:val="center"/>
            <w:hideMark/>
          </w:tcPr>
          <w:p w14:paraId="622FCC1B"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p>
        </w:tc>
        <w:tc>
          <w:tcPr>
            <w:tcW w:w="1916" w:type="dxa"/>
            <w:noWrap/>
            <w:vAlign w:val="bottom"/>
            <w:hideMark/>
          </w:tcPr>
          <w:p w14:paraId="5EB61D4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0B8EBF4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65</w:t>
            </w:r>
          </w:p>
        </w:tc>
        <w:tc>
          <w:tcPr>
            <w:tcW w:w="1080" w:type="dxa"/>
            <w:noWrap/>
            <w:vAlign w:val="bottom"/>
            <w:hideMark/>
          </w:tcPr>
          <w:p w14:paraId="7E4C07D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57</w:t>
            </w:r>
          </w:p>
        </w:tc>
        <w:tc>
          <w:tcPr>
            <w:tcW w:w="1136" w:type="dxa"/>
            <w:noWrap/>
            <w:vAlign w:val="bottom"/>
            <w:hideMark/>
          </w:tcPr>
          <w:p w14:paraId="45D68EA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61</w:t>
            </w:r>
          </w:p>
        </w:tc>
        <w:tc>
          <w:tcPr>
            <w:tcW w:w="1204" w:type="dxa"/>
            <w:noWrap/>
            <w:vAlign w:val="bottom"/>
            <w:hideMark/>
          </w:tcPr>
          <w:p w14:paraId="532BE07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87</w:t>
            </w:r>
          </w:p>
        </w:tc>
        <w:tc>
          <w:tcPr>
            <w:tcW w:w="1206" w:type="dxa"/>
            <w:tcBorders>
              <w:right w:val="single" w:sz="4" w:space="0" w:color="auto"/>
            </w:tcBorders>
            <w:noWrap/>
            <w:vAlign w:val="bottom"/>
            <w:hideMark/>
          </w:tcPr>
          <w:p w14:paraId="554EB40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77</w:t>
            </w:r>
          </w:p>
        </w:tc>
        <w:tc>
          <w:tcPr>
            <w:tcW w:w="684" w:type="dxa"/>
            <w:tcBorders>
              <w:top w:val="nil"/>
              <w:left w:val="single" w:sz="4" w:space="0" w:color="auto"/>
              <w:bottom w:val="nil"/>
            </w:tcBorders>
            <w:noWrap/>
            <w:vAlign w:val="bottom"/>
            <w:hideMark/>
          </w:tcPr>
          <w:p w14:paraId="475D745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86</w:t>
            </w:r>
          </w:p>
        </w:tc>
        <w:tc>
          <w:tcPr>
            <w:tcW w:w="990" w:type="dxa"/>
            <w:tcBorders>
              <w:top w:val="nil"/>
              <w:bottom w:val="nil"/>
            </w:tcBorders>
            <w:noWrap/>
            <w:vAlign w:val="bottom"/>
            <w:hideMark/>
          </w:tcPr>
          <w:p w14:paraId="67451AD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85</w:t>
            </w:r>
          </w:p>
        </w:tc>
        <w:tc>
          <w:tcPr>
            <w:tcW w:w="990" w:type="dxa"/>
            <w:tcBorders>
              <w:top w:val="nil"/>
              <w:bottom w:val="nil"/>
            </w:tcBorders>
            <w:noWrap/>
            <w:vAlign w:val="bottom"/>
            <w:hideMark/>
          </w:tcPr>
          <w:p w14:paraId="6123F09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76</w:t>
            </w:r>
          </w:p>
        </w:tc>
        <w:tc>
          <w:tcPr>
            <w:tcW w:w="990" w:type="dxa"/>
            <w:tcBorders>
              <w:top w:val="nil"/>
              <w:bottom w:val="nil"/>
            </w:tcBorders>
            <w:noWrap/>
            <w:vAlign w:val="bottom"/>
            <w:hideMark/>
          </w:tcPr>
          <w:p w14:paraId="3AD1B11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79</w:t>
            </w:r>
          </w:p>
        </w:tc>
        <w:tc>
          <w:tcPr>
            <w:tcW w:w="1080" w:type="dxa"/>
            <w:tcBorders>
              <w:top w:val="nil"/>
              <w:bottom w:val="nil"/>
            </w:tcBorders>
            <w:noWrap/>
            <w:vAlign w:val="bottom"/>
            <w:hideMark/>
          </w:tcPr>
          <w:p w14:paraId="1982955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83</w:t>
            </w:r>
          </w:p>
        </w:tc>
      </w:tr>
      <w:tr w:rsidR="00760D7E" w:rsidRPr="00DF0BA2" w14:paraId="5D249C94" w14:textId="77777777" w:rsidTr="0026183D">
        <w:trPr>
          <w:trHeight w:val="260"/>
        </w:trPr>
        <w:tc>
          <w:tcPr>
            <w:tcW w:w="465" w:type="dxa"/>
            <w:vMerge w:val="restart"/>
            <w:noWrap/>
            <w:vAlign w:val="center"/>
            <w:hideMark/>
          </w:tcPr>
          <w:p w14:paraId="6AAD424F"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w:t>
            </w:r>
          </w:p>
          <w:p w14:paraId="13D5CA63"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center"/>
            <w:hideMark/>
          </w:tcPr>
          <w:p w14:paraId="0BC1EAD8" w14:textId="77777777" w:rsidR="00760D7E" w:rsidRPr="00DF0BA2" w:rsidRDefault="00760D7E" w:rsidP="0026183D">
            <w:pPr>
              <w:spacing w:after="0" w:line="240" w:lineRule="auto"/>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Available K</w:t>
            </w:r>
            <w:r w:rsidRPr="00DF0BA2">
              <w:rPr>
                <w:rFonts w:ascii="Times New Roman" w:eastAsia="Times New Roman" w:hAnsi="Times New Roman" w:cs="Times New Roman"/>
                <w:color w:val="000000" w:themeColor="text1"/>
                <w:sz w:val="20"/>
                <w:szCs w:val="24"/>
                <w:vertAlign w:val="subscript"/>
              </w:rPr>
              <w:t>2</w:t>
            </w:r>
            <w:r w:rsidRPr="00DF0BA2">
              <w:rPr>
                <w:rFonts w:ascii="Times New Roman" w:eastAsia="Times New Roman" w:hAnsi="Times New Roman" w:cs="Times New Roman"/>
                <w:color w:val="000000" w:themeColor="text1"/>
                <w:sz w:val="20"/>
                <w:szCs w:val="24"/>
              </w:rPr>
              <w:t>O (kg/ha) </w:t>
            </w:r>
          </w:p>
        </w:tc>
        <w:tc>
          <w:tcPr>
            <w:tcW w:w="1916" w:type="dxa"/>
            <w:noWrap/>
            <w:vAlign w:val="bottom"/>
            <w:hideMark/>
          </w:tcPr>
          <w:p w14:paraId="295B20C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bottom"/>
            <w:hideMark/>
          </w:tcPr>
          <w:p w14:paraId="2804867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345</w:t>
            </w:r>
          </w:p>
        </w:tc>
        <w:tc>
          <w:tcPr>
            <w:tcW w:w="1080" w:type="dxa"/>
            <w:noWrap/>
            <w:vAlign w:val="bottom"/>
            <w:hideMark/>
          </w:tcPr>
          <w:p w14:paraId="50A79B2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341</w:t>
            </w:r>
          </w:p>
        </w:tc>
        <w:tc>
          <w:tcPr>
            <w:tcW w:w="1136" w:type="dxa"/>
            <w:noWrap/>
            <w:vAlign w:val="bottom"/>
            <w:hideMark/>
          </w:tcPr>
          <w:p w14:paraId="48F9420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341</w:t>
            </w:r>
          </w:p>
        </w:tc>
        <w:tc>
          <w:tcPr>
            <w:tcW w:w="1204" w:type="dxa"/>
            <w:noWrap/>
            <w:vAlign w:val="bottom"/>
            <w:hideMark/>
          </w:tcPr>
          <w:p w14:paraId="1D65D15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347</w:t>
            </w:r>
          </w:p>
        </w:tc>
        <w:tc>
          <w:tcPr>
            <w:tcW w:w="1206" w:type="dxa"/>
            <w:tcBorders>
              <w:right w:val="single" w:sz="4" w:space="0" w:color="auto"/>
            </w:tcBorders>
            <w:noWrap/>
            <w:vAlign w:val="bottom"/>
            <w:hideMark/>
          </w:tcPr>
          <w:p w14:paraId="661DD50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353</w:t>
            </w:r>
          </w:p>
        </w:tc>
        <w:tc>
          <w:tcPr>
            <w:tcW w:w="684" w:type="dxa"/>
            <w:tcBorders>
              <w:top w:val="nil"/>
              <w:left w:val="single" w:sz="4" w:space="0" w:color="auto"/>
              <w:bottom w:val="nil"/>
            </w:tcBorders>
            <w:noWrap/>
            <w:vAlign w:val="bottom"/>
            <w:hideMark/>
          </w:tcPr>
          <w:p w14:paraId="2182F54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332</w:t>
            </w:r>
          </w:p>
        </w:tc>
        <w:tc>
          <w:tcPr>
            <w:tcW w:w="990" w:type="dxa"/>
            <w:tcBorders>
              <w:top w:val="nil"/>
              <w:bottom w:val="nil"/>
            </w:tcBorders>
            <w:noWrap/>
            <w:vAlign w:val="bottom"/>
            <w:hideMark/>
          </w:tcPr>
          <w:p w14:paraId="3809001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356</w:t>
            </w:r>
          </w:p>
        </w:tc>
        <w:tc>
          <w:tcPr>
            <w:tcW w:w="990" w:type="dxa"/>
            <w:tcBorders>
              <w:top w:val="nil"/>
              <w:bottom w:val="nil"/>
            </w:tcBorders>
            <w:noWrap/>
            <w:vAlign w:val="bottom"/>
            <w:hideMark/>
          </w:tcPr>
          <w:p w14:paraId="4C55FF0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341</w:t>
            </w:r>
          </w:p>
        </w:tc>
        <w:tc>
          <w:tcPr>
            <w:tcW w:w="990" w:type="dxa"/>
            <w:tcBorders>
              <w:top w:val="nil"/>
              <w:bottom w:val="nil"/>
            </w:tcBorders>
            <w:noWrap/>
            <w:vAlign w:val="bottom"/>
            <w:hideMark/>
          </w:tcPr>
          <w:p w14:paraId="1A26572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342</w:t>
            </w:r>
          </w:p>
        </w:tc>
        <w:tc>
          <w:tcPr>
            <w:tcW w:w="1080" w:type="dxa"/>
            <w:tcBorders>
              <w:top w:val="nil"/>
              <w:bottom w:val="nil"/>
            </w:tcBorders>
            <w:noWrap/>
            <w:vAlign w:val="bottom"/>
            <w:hideMark/>
          </w:tcPr>
          <w:p w14:paraId="4BE9A32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349</w:t>
            </w:r>
          </w:p>
        </w:tc>
      </w:tr>
      <w:tr w:rsidR="00760D7E" w:rsidRPr="00DF0BA2" w14:paraId="222FE159" w14:textId="77777777" w:rsidTr="0026183D">
        <w:trPr>
          <w:trHeight w:val="260"/>
        </w:trPr>
        <w:tc>
          <w:tcPr>
            <w:tcW w:w="465" w:type="dxa"/>
            <w:vMerge/>
            <w:tcBorders>
              <w:bottom w:val="single" w:sz="4" w:space="0" w:color="auto"/>
            </w:tcBorders>
            <w:noWrap/>
            <w:vAlign w:val="bottom"/>
            <w:hideMark/>
          </w:tcPr>
          <w:p w14:paraId="6097C74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620" w:type="dxa"/>
            <w:vMerge/>
            <w:tcBorders>
              <w:bottom w:val="single" w:sz="4" w:space="0" w:color="auto"/>
            </w:tcBorders>
            <w:noWrap/>
            <w:vAlign w:val="bottom"/>
            <w:hideMark/>
          </w:tcPr>
          <w:p w14:paraId="39C610F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916" w:type="dxa"/>
            <w:tcBorders>
              <w:bottom w:val="single" w:sz="4" w:space="0" w:color="auto"/>
            </w:tcBorders>
            <w:noWrap/>
            <w:vAlign w:val="bottom"/>
            <w:hideMark/>
          </w:tcPr>
          <w:p w14:paraId="7E85C9D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tcBorders>
              <w:bottom w:val="single" w:sz="4" w:space="0" w:color="auto"/>
            </w:tcBorders>
            <w:noWrap/>
            <w:vAlign w:val="bottom"/>
            <w:hideMark/>
          </w:tcPr>
          <w:p w14:paraId="6D9C3AF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351</w:t>
            </w:r>
          </w:p>
        </w:tc>
        <w:tc>
          <w:tcPr>
            <w:tcW w:w="1080" w:type="dxa"/>
            <w:tcBorders>
              <w:bottom w:val="single" w:sz="4" w:space="0" w:color="auto"/>
            </w:tcBorders>
            <w:noWrap/>
            <w:vAlign w:val="bottom"/>
            <w:hideMark/>
          </w:tcPr>
          <w:p w14:paraId="1D8E8F5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352</w:t>
            </w:r>
          </w:p>
        </w:tc>
        <w:tc>
          <w:tcPr>
            <w:tcW w:w="1136" w:type="dxa"/>
            <w:tcBorders>
              <w:bottom w:val="single" w:sz="4" w:space="0" w:color="auto"/>
            </w:tcBorders>
            <w:noWrap/>
            <w:vAlign w:val="bottom"/>
            <w:hideMark/>
          </w:tcPr>
          <w:p w14:paraId="011EABD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351</w:t>
            </w:r>
          </w:p>
        </w:tc>
        <w:tc>
          <w:tcPr>
            <w:tcW w:w="1204" w:type="dxa"/>
            <w:tcBorders>
              <w:bottom w:val="single" w:sz="4" w:space="0" w:color="auto"/>
            </w:tcBorders>
            <w:noWrap/>
            <w:vAlign w:val="bottom"/>
            <w:hideMark/>
          </w:tcPr>
          <w:p w14:paraId="10B334C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356</w:t>
            </w:r>
          </w:p>
        </w:tc>
        <w:tc>
          <w:tcPr>
            <w:tcW w:w="1206" w:type="dxa"/>
            <w:tcBorders>
              <w:bottom w:val="single" w:sz="4" w:space="0" w:color="auto"/>
              <w:right w:val="single" w:sz="4" w:space="0" w:color="auto"/>
            </w:tcBorders>
            <w:noWrap/>
            <w:vAlign w:val="bottom"/>
            <w:hideMark/>
          </w:tcPr>
          <w:p w14:paraId="45FC1EF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361</w:t>
            </w:r>
          </w:p>
        </w:tc>
        <w:tc>
          <w:tcPr>
            <w:tcW w:w="684" w:type="dxa"/>
            <w:tcBorders>
              <w:top w:val="nil"/>
              <w:left w:val="single" w:sz="4" w:space="0" w:color="auto"/>
              <w:bottom w:val="single" w:sz="4" w:space="0" w:color="auto"/>
            </w:tcBorders>
            <w:noWrap/>
            <w:vAlign w:val="bottom"/>
            <w:hideMark/>
          </w:tcPr>
          <w:p w14:paraId="743DC8C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341</w:t>
            </w:r>
          </w:p>
        </w:tc>
        <w:tc>
          <w:tcPr>
            <w:tcW w:w="990" w:type="dxa"/>
            <w:tcBorders>
              <w:top w:val="nil"/>
              <w:bottom w:val="single" w:sz="4" w:space="0" w:color="auto"/>
            </w:tcBorders>
            <w:noWrap/>
            <w:vAlign w:val="bottom"/>
            <w:hideMark/>
          </w:tcPr>
          <w:p w14:paraId="014D76C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351</w:t>
            </w:r>
          </w:p>
        </w:tc>
        <w:tc>
          <w:tcPr>
            <w:tcW w:w="990" w:type="dxa"/>
            <w:tcBorders>
              <w:top w:val="nil"/>
              <w:bottom w:val="single" w:sz="4" w:space="0" w:color="auto"/>
            </w:tcBorders>
            <w:noWrap/>
            <w:vAlign w:val="bottom"/>
            <w:hideMark/>
          </w:tcPr>
          <w:p w14:paraId="13D2988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351</w:t>
            </w:r>
          </w:p>
        </w:tc>
        <w:tc>
          <w:tcPr>
            <w:tcW w:w="990" w:type="dxa"/>
            <w:tcBorders>
              <w:top w:val="nil"/>
              <w:bottom w:val="single" w:sz="4" w:space="0" w:color="auto"/>
            </w:tcBorders>
            <w:noWrap/>
            <w:vAlign w:val="bottom"/>
            <w:hideMark/>
          </w:tcPr>
          <w:p w14:paraId="1131F33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353</w:t>
            </w:r>
          </w:p>
        </w:tc>
        <w:tc>
          <w:tcPr>
            <w:tcW w:w="1080" w:type="dxa"/>
            <w:tcBorders>
              <w:top w:val="nil"/>
              <w:bottom w:val="single" w:sz="4" w:space="0" w:color="auto"/>
            </w:tcBorders>
            <w:noWrap/>
            <w:vAlign w:val="bottom"/>
            <w:hideMark/>
          </w:tcPr>
          <w:p w14:paraId="444B921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363</w:t>
            </w:r>
          </w:p>
        </w:tc>
      </w:tr>
      <w:tr w:rsidR="00760D7E" w:rsidRPr="00DF0BA2" w14:paraId="60C5A3B5" w14:textId="77777777" w:rsidTr="005262D5">
        <w:trPr>
          <w:trHeight w:val="300"/>
        </w:trPr>
        <w:tc>
          <w:tcPr>
            <w:tcW w:w="14351" w:type="dxa"/>
            <w:gridSpan w:val="13"/>
            <w:tcBorders>
              <w:top w:val="single" w:sz="4" w:space="0" w:color="auto"/>
              <w:bottom w:val="single" w:sz="4" w:space="0" w:color="auto"/>
            </w:tcBorders>
            <w:noWrap/>
            <w:vAlign w:val="bottom"/>
            <w:hideMark/>
          </w:tcPr>
          <w:p w14:paraId="21E4C77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Soil Biological Properties (</w:t>
            </w:r>
            <w:proofErr w:type="spellStart"/>
            <w:r w:rsidRPr="00DF0BA2">
              <w:rPr>
                <w:rFonts w:ascii="Times New Roman" w:eastAsia="Times New Roman" w:hAnsi="Times New Roman" w:cs="Times New Roman"/>
                <w:color w:val="000000" w:themeColor="text1"/>
                <w:sz w:val="20"/>
                <w:szCs w:val="24"/>
              </w:rPr>
              <w:t>cfu</w:t>
            </w:r>
            <w:proofErr w:type="spellEnd"/>
            <w:r w:rsidRPr="00DF0BA2">
              <w:rPr>
                <w:rFonts w:ascii="Times New Roman" w:eastAsia="Times New Roman" w:hAnsi="Times New Roman" w:cs="Times New Roman"/>
                <w:color w:val="000000" w:themeColor="text1"/>
                <w:sz w:val="20"/>
                <w:szCs w:val="24"/>
              </w:rPr>
              <w:t xml:space="preserve"> per gm moist soil)</w:t>
            </w:r>
          </w:p>
        </w:tc>
      </w:tr>
      <w:tr w:rsidR="00760D7E" w:rsidRPr="00DF0BA2" w14:paraId="09C6B4F4" w14:textId="77777777" w:rsidTr="0026183D">
        <w:trPr>
          <w:trHeight w:val="305"/>
        </w:trPr>
        <w:tc>
          <w:tcPr>
            <w:tcW w:w="465" w:type="dxa"/>
            <w:vMerge w:val="restart"/>
            <w:tcBorders>
              <w:top w:val="single" w:sz="4" w:space="0" w:color="auto"/>
            </w:tcBorders>
            <w:noWrap/>
            <w:vAlign w:val="bottom"/>
            <w:hideMark/>
          </w:tcPr>
          <w:p w14:paraId="1926316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w:t>
            </w:r>
          </w:p>
          <w:p w14:paraId="6942A77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tcBorders>
              <w:top w:val="single" w:sz="4" w:space="0" w:color="auto"/>
            </w:tcBorders>
            <w:noWrap/>
            <w:vAlign w:val="bottom"/>
            <w:hideMark/>
          </w:tcPr>
          <w:p w14:paraId="3D1F790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xml:space="preserve">Total </w:t>
            </w:r>
            <w:proofErr w:type="spellStart"/>
            <w:r w:rsidRPr="00DF0BA2">
              <w:rPr>
                <w:rFonts w:ascii="Times New Roman" w:eastAsia="Times New Roman" w:hAnsi="Times New Roman" w:cs="Times New Roman"/>
                <w:color w:val="000000" w:themeColor="text1"/>
                <w:sz w:val="20"/>
                <w:szCs w:val="24"/>
              </w:rPr>
              <w:t>Bacteriax</w:t>
            </w:r>
            <w:proofErr w:type="spellEnd"/>
            <w:r w:rsidRPr="00DF0BA2">
              <w:rPr>
                <w:rFonts w:ascii="Times New Roman" w:eastAsia="Times New Roman" w:hAnsi="Times New Roman" w:cs="Times New Roman"/>
                <w:color w:val="000000" w:themeColor="text1"/>
                <w:sz w:val="20"/>
                <w:szCs w:val="24"/>
              </w:rPr>
              <w:t xml:space="preserve"> 10</w:t>
            </w:r>
            <w:r w:rsidRPr="00DF0BA2">
              <w:rPr>
                <w:rFonts w:ascii="Times New Roman" w:eastAsia="Times New Roman" w:hAnsi="Times New Roman" w:cs="Times New Roman"/>
                <w:color w:val="000000" w:themeColor="text1"/>
                <w:sz w:val="20"/>
                <w:szCs w:val="24"/>
                <w:vertAlign w:val="superscript"/>
              </w:rPr>
              <w:t>5</w:t>
            </w:r>
          </w:p>
        </w:tc>
        <w:tc>
          <w:tcPr>
            <w:tcW w:w="1916" w:type="dxa"/>
            <w:tcBorders>
              <w:top w:val="single" w:sz="4" w:space="0" w:color="auto"/>
            </w:tcBorders>
            <w:noWrap/>
            <w:vAlign w:val="bottom"/>
            <w:hideMark/>
          </w:tcPr>
          <w:p w14:paraId="7B7260C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tcBorders>
              <w:top w:val="single" w:sz="4" w:space="0" w:color="auto"/>
            </w:tcBorders>
            <w:noWrap/>
            <w:vAlign w:val="bottom"/>
            <w:hideMark/>
          </w:tcPr>
          <w:p w14:paraId="6DF863D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47</w:t>
            </w:r>
          </w:p>
        </w:tc>
        <w:tc>
          <w:tcPr>
            <w:tcW w:w="1080" w:type="dxa"/>
            <w:tcBorders>
              <w:top w:val="single" w:sz="4" w:space="0" w:color="auto"/>
            </w:tcBorders>
            <w:noWrap/>
            <w:vAlign w:val="bottom"/>
            <w:hideMark/>
          </w:tcPr>
          <w:p w14:paraId="6D1B71D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w:t>
            </w:r>
          </w:p>
        </w:tc>
        <w:tc>
          <w:tcPr>
            <w:tcW w:w="1136" w:type="dxa"/>
            <w:tcBorders>
              <w:top w:val="single" w:sz="4" w:space="0" w:color="auto"/>
            </w:tcBorders>
            <w:noWrap/>
            <w:vAlign w:val="bottom"/>
            <w:hideMark/>
          </w:tcPr>
          <w:p w14:paraId="50EB489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113</w:t>
            </w:r>
          </w:p>
        </w:tc>
        <w:tc>
          <w:tcPr>
            <w:tcW w:w="1204" w:type="dxa"/>
            <w:tcBorders>
              <w:top w:val="single" w:sz="4" w:space="0" w:color="auto"/>
            </w:tcBorders>
            <w:noWrap/>
            <w:vAlign w:val="bottom"/>
            <w:hideMark/>
          </w:tcPr>
          <w:p w14:paraId="6D4D33C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128</w:t>
            </w:r>
          </w:p>
        </w:tc>
        <w:tc>
          <w:tcPr>
            <w:tcW w:w="1206" w:type="dxa"/>
            <w:tcBorders>
              <w:top w:val="single" w:sz="4" w:space="0" w:color="auto"/>
              <w:right w:val="single" w:sz="4" w:space="0" w:color="auto"/>
            </w:tcBorders>
            <w:noWrap/>
            <w:vAlign w:val="bottom"/>
            <w:hideMark/>
          </w:tcPr>
          <w:p w14:paraId="45C75DF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105</w:t>
            </w:r>
          </w:p>
        </w:tc>
        <w:tc>
          <w:tcPr>
            <w:tcW w:w="684" w:type="dxa"/>
            <w:tcBorders>
              <w:top w:val="single" w:sz="4" w:space="0" w:color="auto"/>
              <w:left w:val="single" w:sz="4" w:space="0" w:color="auto"/>
              <w:bottom w:val="nil"/>
            </w:tcBorders>
            <w:noWrap/>
            <w:vAlign w:val="bottom"/>
            <w:hideMark/>
          </w:tcPr>
          <w:p w14:paraId="0C6C811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65</w:t>
            </w:r>
          </w:p>
        </w:tc>
        <w:tc>
          <w:tcPr>
            <w:tcW w:w="990" w:type="dxa"/>
            <w:tcBorders>
              <w:top w:val="single" w:sz="4" w:space="0" w:color="auto"/>
              <w:bottom w:val="nil"/>
            </w:tcBorders>
            <w:noWrap/>
            <w:vAlign w:val="bottom"/>
            <w:hideMark/>
          </w:tcPr>
          <w:p w14:paraId="39A1C16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137</w:t>
            </w:r>
          </w:p>
        </w:tc>
        <w:tc>
          <w:tcPr>
            <w:tcW w:w="990" w:type="dxa"/>
            <w:tcBorders>
              <w:top w:val="single" w:sz="4" w:space="0" w:color="auto"/>
              <w:bottom w:val="nil"/>
            </w:tcBorders>
            <w:noWrap/>
            <w:vAlign w:val="bottom"/>
            <w:hideMark/>
          </w:tcPr>
          <w:p w14:paraId="0D844E2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187</w:t>
            </w:r>
          </w:p>
        </w:tc>
        <w:tc>
          <w:tcPr>
            <w:tcW w:w="990" w:type="dxa"/>
            <w:tcBorders>
              <w:top w:val="single" w:sz="4" w:space="0" w:color="auto"/>
              <w:bottom w:val="nil"/>
            </w:tcBorders>
            <w:noWrap/>
            <w:vAlign w:val="bottom"/>
            <w:hideMark/>
          </w:tcPr>
          <w:p w14:paraId="27B7E71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198</w:t>
            </w:r>
          </w:p>
        </w:tc>
        <w:tc>
          <w:tcPr>
            <w:tcW w:w="1080" w:type="dxa"/>
            <w:tcBorders>
              <w:top w:val="single" w:sz="4" w:space="0" w:color="auto"/>
              <w:bottom w:val="nil"/>
            </w:tcBorders>
            <w:noWrap/>
            <w:vAlign w:val="bottom"/>
            <w:hideMark/>
          </w:tcPr>
          <w:p w14:paraId="5528656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157</w:t>
            </w:r>
          </w:p>
        </w:tc>
      </w:tr>
      <w:tr w:rsidR="00760D7E" w:rsidRPr="00DF0BA2" w14:paraId="1F03DDEE" w14:textId="77777777" w:rsidTr="0026183D">
        <w:trPr>
          <w:trHeight w:val="242"/>
        </w:trPr>
        <w:tc>
          <w:tcPr>
            <w:tcW w:w="465" w:type="dxa"/>
            <w:vMerge/>
            <w:noWrap/>
            <w:vAlign w:val="bottom"/>
            <w:hideMark/>
          </w:tcPr>
          <w:p w14:paraId="27189F4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620" w:type="dxa"/>
            <w:vMerge/>
            <w:noWrap/>
            <w:vAlign w:val="bottom"/>
            <w:hideMark/>
          </w:tcPr>
          <w:p w14:paraId="76A327D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916" w:type="dxa"/>
            <w:noWrap/>
            <w:vAlign w:val="bottom"/>
            <w:hideMark/>
          </w:tcPr>
          <w:p w14:paraId="6C3BE35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508CFC5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29</w:t>
            </w:r>
          </w:p>
        </w:tc>
        <w:tc>
          <w:tcPr>
            <w:tcW w:w="1080" w:type="dxa"/>
            <w:noWrap/>
            <w:vAlign w:val="bottom"/>
            <w:hideMark/>
          </w:tcPr>
          <w:p w14:paraId="4BB93B9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28</w:t>
            </w:r>
          </w:p>
        </w:tc>
        <w:tc>
          <w:tcPr>
            <w:tcW w:w="1136" w:type="dxa"/>
            <w:noWrap/>
            <w:vAlign w:val="bottom"/>
            <w:hideMark/>
          </w:tcPr>
          <w:p w14:paraId="1C30139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39</w:t>
            </w:r>
          </w:p>
        </w:tc>
        <w:tc>
          <w:tcPr>
            <w:tcW w:w="1204" w:type="dxa"/>
            <w:noWrap/>
            <w:vAlign w:val="bottom"/>
            <w:hideMark/>
          </w:tcPr>
          <w:p w14:paraId="7B6BFB0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36</w:t>
            </w:r>
          </w:p>
        </w:tc>
        <w:tc>
          <w:tcPr>
            <w:tcW w:w="1206" w:type="dxa"/>
            <w:tcBorders>
              <w:right w:val="single" w:sz="4" w:space="0" w:color="auto"/>
            </w:tcBorders>
            <w:noWrap/>
            <w:vAlign w:val="bottom"/>
            <w:hideMark/>
          </w:tcPr>
          <w:p w14:paraId="788AAC8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29</w:t>
            </w:r>
          </w:p>
        </w:tc>
        <w:tc>
          <w:tcPr>
            <w:tcW w:w="684" w:type="dxa"/>
            <w:tcBorders>
              <w:top w:val="nil"/>
              <w:left w:val="single" w:sz="4" w:space="0" w:color="auto"/>
              <w:bottom w:val="nil"/>
            </w:tcBorders>
            <w:noWrap/>
            <w:vAlign w:val="bottom"/>
            <w:hideMark/>
          </w:tcPr>
          <w:p w14:paraId="7B08FD6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38</w:t>
            </w:r>
          </w:p>
        </w:tc>
        <w:tc>
          <w:tcPr>
            <w:tcW w:w="990" w:type="dxa"/>
            <w:tcBorders>
              <w:top w:val="nil"/>
              <w:bottom w:val="nil"/>
            </w:tcBorders>
            <w:noWrap/>
            <w:vAlign w:val="bottom"/>
            <w:hideMark/>
          </w:tcPr>
          <w:p w14:paraId="22EEFE5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w:t>
            </w:r>
          </w:p>
        </w:tc>
        <w:tc>
          <w:tcPr>
            <w:tcW w:w="990" w:type="dxa"/>
            <w:tcBorders>
              <w:top w:val="nil"/>
              <w:bottom w:val="nil"/>
            </w:tcBorders>
            <w:noWrap/>
            <w:vAlign w:val="bottom"/>
            <w:hideMark/>
          </w:tcPr>
          <w:p w14:paraId="45A0FF7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40</w:t>
            </w:r>
          </w:p>
        </w:tc>
        <w:tc>
          <w:tcPr>
            <w:tcW w:w="990" w:type="dxa"/>
            <w:tcBorders>
              <w:top w:val="nil"/>
              <w:bottom w:val="nil"/>
            </w:tcBorders>
            <w:noWrap/>
            <w:vAlign w:val="bottom"/>
            <w:hideMark/>
          </w:tcPr>
          <w:p w14:paraId="4C745AB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51</w:t>
            </w:r>
          </w:p>
        </w:tc>
        <w:tc>
          <w:tcPr>
            <w:tcW w:w="1080" w:type="dxa"/>
            <w:tcBorders>
              <w:top w:val="nil"/>
              <w:bottom w:val="nil"/>
            </w:tcBorders>
            <w:noWrap/>
            <w:vAlign w:val="bottom"/>
            <w:hideMark/>
          </w:tcPr>
          <w:p w14:paraId="26C9991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43</w:t>
            </w:r>
          </w:p>
        </w:tc>
      </w:tr>
      <w:tr w:rsidR="00760D7E" w:rsidRPr="00DF0BA2" w14:paraId="0A516D0F" w14:textId="77777777" w:rsidTr="0026183D">
        <w:trPr>
          <w:trHeight w:val="197"/>
        </w:trPr>
        <w:tc>
          <w:tcPr>
            <w:tcW w:w="465" w:type="dxa"/>
            <w:vMerge w:val="restart"/>
            <w:noWrap/>
            <w:vAlign w:val="bottom"/>
            <w:hideMark/>
          </w:tcPr>
          <w:p w14:paraId="7265B89E"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w:t>
            </w:r>
          </w:p>
          <w:p w14:paraId="4368785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bottom"/>
            <w:hideMark/>
          </w:tcPr>
          <w:p w14:paraId="19DD6DA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Total Fungi x 10</w:t>
            </w:r>
            <w:r w:rsidRPr="00DF0BA2">
              <w:rPr>
                <w:rFonts w:ascii="Times New Roman" w:eastAsia="Times New Roman" w:hAnsi="Times New Roman" w:cs="Times New Roman"/>
                <w:color w:val="000000" w:themeColor="text1"/>
                <w:sz w:val="20"/>
                <w:szCs w:val="24"/>
                <w:vertAlign w:val="superscript"/>
              </w:rPr>
              <w:t>3</w:t>
            </w:r>
          </w:p>
          <w:p w14:paraId="5EC4ADE1"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916" w:type="dxa"/>
            <w:noWrap/>
            <w:vAlign w:val="bottom"/>
            <w:hideMark/>
          </w:tcPr>
          <w:p w14:paraId="3A4F878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bottom"/>
            <w:hideMark/>
          </w:tcPr>
          <w:p w14:paraId="180E0F8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41</w:t>
            </w:r>
          </w:p>
        </w:tc>
        <w:tc>
          <w:tcPr>
            <w:tcW w:w="1080" w:type="dxa"/>
            <w:noWrap/>
            <w:vAlign w:val="bottom"/>
            <w:hideMark/>
          </w:tcPr>
          <w:p w14:paraId="6E7628D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47</w:t>
            </w:r>
          </w:p>
        </w:tc>
        <w:tc>
          <w:tcPr>
            <w:tcW w:w="1136" w:type="dxa"/>
            <w:noWrap/>
            <w:vAlign w:val="bottom"/>
            <w:hideMark/>
          </w:tcPr>
          <w:p w14:paraId="460ADEC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59</w:t>
            </w:r>
          </w:p>
        </w:tc>
        <w:tc>
          <w:tcPr>
            <w:tcW w:w="1204" w:type="dxa"/>
            <w:noWrap/>
            <w:vAlign w:val="bottom"/>
            <w:hideMark/>
          </w:tcPr>
          <w:p w14:paraId="2A109A1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57</w:t>
            </w:r>
          </w:p>
        </w:tc>
        <w:tc>
          <w:tcPr>
            <w:tcW w:w="1206" w:type="dxa"/>
            <w:tcBorders>
              <w:right w:val="single" w:sz="4" w:space="0" w:color="auto"/>
            </w:tcBorders>
            <w:noWrap/>
            <w:vAlign w:val="bottom"/>
            <w:hideMark/>
          </w:tcPr>
          <w:p w14:paraId="59F4F1A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76</w:t>
            </w:r>
          </w:p>
        </w:tc>
        <w:tc>
          <w:tcPr>
            <w:tcW w:w="684" w:type="dxa"/>
            <w:tcBorders>
              <w:top w:val="nil"/>
              <w:left w:val="single" w:sz="4" w:space="0" w:color="auto"/>
              <w:bottom w:val="nil"/>
            </w:tcBorders>
            <w:noWrap/>
            <w:vAlign w:val="bottom"/>
            <w:hideMark/>
          </w:tcPr>
          <w:p w14:paraId="24E7401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26</w:t>
            </w:r>
          </w:p>
        </w:tc>
        <w:tc>
          <w:tcPr>
            <w:tcW w:w="990" w:type="dxa"/>
            <w:tcBorders>
              <w:top w:val="nil"/>
              <w:bottom w:val="nil"/>
            </w:tcBorders>
            <w:noWrap/>
            <w:vAlign w:val="bottom"/>
            <w:hideMark/>
          </w:tcPr>
          <w:p w14:paraId="5692F44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47</w:t>
            </w:r>
          </w:p>
        </w:tc>
        <w:tc>
          <w:tcPr>
            <w:tcW w:w="990" w:type="dxa"/>
            <w:tcBorders>
              <w:top w:val="nil"/>
              <w:bottom w:val="nil"/>
            </w:tcBorders>
            <w:noWrap/>
            <w:vAlign w:val="bottom"/>
            <w:hideMark/>
          </w:tcPr>
          <w:p w14:paraId="5EB1D83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56</w:t>
            </w:r>
          </w:p>
        </w:tc>
        <w:tc>
          <w:tcPr>
            <w:tcW w:w="990" w:type="dxa"/>
            <w:tcBorders>
              <w:top w:val="nil"/>
              <w:bottom w:val="nil"/>
            </w:tcBorders>
            <w:noWrap/>
            <w:vAlign w:val="bottom"/>
            <w:hideMark/>
          </w:tcPr>
          <w:p w14:paraId="67C0144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69</w:t>
            </w:r>
          </w:p>
        </w:tc>
        <w:tc>
          <w:tcPr>
            <w:tcW w:w="1080" w:type="dxa"/>
            <w:tcBorders>
              <w:top w:val="nil"/>
              <w:bottom w:val="nil"/>
            </w:tcBorders>
            <w:noWrap/>
            <w:vAlign w:val="bottom"/>
            <w:hideMark/>
          </w:tcPr>
          <w:p w14:paraId="4ED6323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71</w:t>
            </w:r>
          </w:p>
        </w:tc>
      </w:tr>
      <w:tr w:rsidR="00760D7E" w:rsidRPr="00DF0BA2" w14:paraId="0B8D2713" w14:textId="77777777" w:rsidTr="0026183D">
        <w:trPr>
          <w:trHeight w:val="233"/>
        </w:trPr>
        <w:tc>
          <w:tcPr>
            <w:tcW w:w="465" w:type="dxa"/>
            <w:vMerge/>
            <w:noWrap/>
            <w:vAlign w:val="bottom"/>
            <w:hideMark/>
          </w:tcPr>
          <w:p w14:paraId="70D17C5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620" w:type="dxa"/>
            <w:vMerge/>
            <w:noWrap/>
            <w:vAlign w:val="bottom"/>
            <w:hideMark/>
          </w:tcPr>
          <w:p w14:paraId="2F9BEFA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916" w:type="dxa"/>
            <w:noWrap/>
            <w:vAlign w:val="bottom"/>
            <w:hideMark/>
          </w:tcPr>
          <w:p w14:paraId="0C4659DA"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bottom"/>
            <w:hideMark/>
          </w:tcPr>
          <w:p w14:paraId="01F1B4C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37</w:t>
            </w:r>
          </w:p>
        </w:tc>
        <w:tc>
          <w:tcPr>
            <w:tcW w:w="1080" w:type="dxa"/>
            <w:noWrap/>
            <w:vAlign w:val="bottom"/>
            <w:hideMark/>
          </w:tcPr>
          <w:p w14:paraId="30B1BD3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35</w:t>
            </w:r>
          </w:p>
        </w:tc>
        <w:tc>
          <w:tcPr>
            <w:tcW w:w="1136" w:type="dxa"/>
            <w:noWrap/>
            <w:vAlign w:val="bottom"/>
            <w:hideMark/>
          </w:tcPr>
          <w:p w14:paraId="2DB4CF4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32</w:t>
            </w:r>
          </w:p>
        </w:tc>
        <w:tc>
          <w:tcPr>
            <w:tcW w:w="1204" w:type="dxa"/>
            <w:noWrap/>
            <w:vAlign w:val="bottom"/>
            <w:hideMark/>
          </w:tcPr>
          <w:p w14:paraId="0C80E80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20</w:t>
            </w:r>
          </w:p>
        </w:tc>
        <w:tc>
          <w:tcPr>
            <w:tcW w:w="1206" w:type="dxa"/>
            <w:tcBorders>
              <w:right w:val="single" w:sz="4" w:space="0" w:color="auto"/>
            </w:tcBorders>
            <w:noWrap/>
            <w:vAlign w:val="bottom"/>
            <w:hideMark/>
          </w:tcPr>
          <w:p w14:paraId="485148F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31</w:t>
            </w:r>
          </w:p>
        </w:tc>
        <w:tc>
          <w:tcPr>
            <w:tcW w:w="684" w:type="dxa"/>
            <w:tcBorders>
              <w:top w:val="nil"/>
              <w:left w:val="single" w:sz="4" w:space="0" w:color="auto"/>
              <w:bottom w:val="nil"/>
            </w:tcBorders>
            <w:noWrap/>
            <w:vAlign w:val="bottom"/>
            <w:hideMark/>
          </w:tcPr>
          <w:p w14:paraId="7168834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22</w:t>
            </w:r>
          </w:p>
        </w:tc>
        <w:tc>
          <w:tcPr>
            <w:tcW w:w="990" w:type="dxa"/>
            <w:tcBorders>
              <w:top w:val="nil"/>
              <w:bottom w:val="nil"/>
            </w:tcBorders>
            <w:noWrap/>
            <w:vAlign w:val="bottom"/>
            <w:hideMark/>
          </w:tcPr>
          <w:p w14:paraId="5180C49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20</w:t>
            </w:r>
          </w:p>
        </w:tc>
        <w:tc>
          <w:tcPr>
            <w:tcW w:w="990" w:type="dxa"/>
            <w:tcBorders>
              <w:top w:val="nil"/>
              <w:bottom w:val="nil"/>
            </w:tcBorders>
            <w:noWrap/>
            <w:vAlign w:val="bottom"/>
            <w:hideMark/>
          </w:tcPr>
          <w:p w14:paraId="540366B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21</w:t>
            </w:r>
          </w:p>
        </w:tc>
        <w:tc>
          <w:tcPr>
            <w:tcW w:w="990" w:type="dxa"/>
            <w:tcBorders>
              <w:top w:val="nil"/>
              <w:bottom w:val="nil"/>
            </w:tcBorders>
            <w:noWrap/>
            <w:vAlign w:val="bottom"/>
            <w:hideMark/>
          </w:tcPr>
          <w:p w14:paraId="218876B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28</w:t>
            </w:r>
          </w:p>
        </w:tc>
        <w:tc>
          <w:tcPr>
            <w:tcW w:w="1080" w:type="dxa"/>
            <w:tcBorders>
              <w:top w:val="nil"/>
              <w:bottom w:val="nil"/>
            </w:tcBorders>
            <w:noWrap/>
            <w:vAlign w:val="bottom"/>
            <w:hideMark/>
          </w:tcPr>
          <w:p w14:paraId="0B3F041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29</w:t>
            </w:r>
          </w:p>
        </w:tc>
      </w:tr>
      <w:tr w:rsidR="00760D7E" w:rsidRPr="00DF0BA2" w14:paraId="46701EEA" w14:textId="77777777" w:rsidTr="0026183D">
        <w:trPr>
          <w:trHeight w:val="420"/>
        </w:trPr>
        <w:tc>
          <w:tcPr>
            <w:tcW w:w="465" w:type="dxa"/>
            <w:vMerge w:val="restart"/>
            <w:noWrap/>
            <w:vAlign w:val="bottom"/>
            <w:hideMark/>
          </w:tcPr>
          <w:p w14:paraId="4120BE46"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w:t>
            </w:r>
          </w:p>
          <w:p w14:paraId="20304A04"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 </w:t>
            </w:r>
          </w:p>
        </w:tc>
        <w:tc>
          <w:tcPr>
            <w:tcW w:w="1620" w:type="dxa"/>
            <w:vMerge w:val="restart"/>
            <w:noWrap/>
            <w:vAlign w:val="bottom"/>
            <w:hideMark/>
          </w:tcPr>
          <w:p w14:paraId="779432F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Total Actinomycetes x 10</w:t>
            </w:r>
            <w:r w:rsidRPr="00DF0BA2">
              <w:rPr>
                <w:rFonts w:ascii="Times New Roman" w:eastAsia="Times New Roman" w:hAnsi="Times New Roman" w:cs="Times New Roman"/>
                <w:color w:val="000000" w:themeColor="text1"/>
                <w:sz w:val="20"/>
                <w:szCs w:val="24"/>
                <w:vertAlign w:val="superscript"/>
              </w:rPr>
              <w:t>3</w:t>
            </w:r>
          </w:p>
        </w:tc>
        <w:tc>
          <w:tcPr>
            <w:tcW w:w="1916" w:type="dxa"/>
            <w:noWrap/>
            <w:vAlign w:val="center"/>
            <w:hideMark/>
          </w:tcPr>
          <w:p w14:paraId="0B746B2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After 1 month</w:t>
            </w:r>
          </w:p>
        </w:tc>
        <w:tc>
          <w:tcPr>
            <w:tcW w:w="990" w:type="dxa"/>
            <w:noWrap/>
            <w:vAlign w:val="center"/>
            <w:hideMark/>
          </w:tcPr>
          <w:p w14:paraId="0C3F71D7"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17</w:t>
            </w:r>
          </w:p>
        </w:tc>
        <w:tc>
          <w:tcPr>
            <w:tcW w:w="1080" w:type="dxa"/>
            <w:noWrap/>
            <w:vAlign w:val="center"/>
            <w:hideMark/>
          </w:tcPr>
          <w:p w14:paraId="78FF013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19</w:t>
            </w:r>
          </w:p>
        </w:tc>
        <w:tc>
          <w:tcPr>
            <w:tcW w:w="1136" w:type="dxa"/>
            <w:noWrap/>
            <w:vAlign w:val="center"/>
            <w:hideMark/>
          </w:tcPr>
          <w:p w14:paraId="69DDCEE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22</w:t>
            </w:r>
          </w:p>
        </w:tc>
        <w:tc>
          <w:tcPr>
            <w:tcW w:w="1204" w:type="dxa"/>
            <w:noWrap/>
            <w:vAlign w:val="center"/>
            <w:hideMark/>
          </w:tcPr>
          <w:p w14:paraId="7D584C5C"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27</w:t>
            </w:r>
          </w:p>
        </w:tc>
        <w:tc>
          <w:tcPr>
            <w:tcW w:w="1206" w:type="dxa"/>
            <w:tcBorders>
              <w:right w:val="single" w:sz="4" w:space="0" w:color="auto"/>
            </w:tcBorders>
            <w:noWrap/>
            <w:vAlign w:val="center"/>
            <w:hideMark/>
          </w:tcPr>
          <w:p w14:paraId="3F7665B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28</w:t>
            </w:r>
          </w:p>
        </w:tc>
        <w:tc>
          <w:tcPr>
            <w:tcW w:w="684" w:type="dxa"/>
            <w:tcBorders>
              <w:top w:val="nil"/>
              <w:left w:val="single" w:sz="4" w:space="0" w:color="auto"/>
              <w:bottom w:val="nil"/>
            </w:tcBorders>
            <w:noWrap/>
            <w:vAlign w:val="center"/>
            <w:hideMark/>
          </w:tcPr>
          <w:p w14:paraId="3C285CA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21</w:t>
            </w:r>
          </w:p>
        </w:tc>
        <w:tc>
          <w:tcPr>
            <w:tcW w:w="990" w:type="dxa"/>
            <w:tcBorders>
              <w:top w:val="nil"/>
              <w:bottom w:val="nil"/>
            </w:tcBorders>
            <w:noWrap/>
            <w:vAlign w:val="center"/>
            <w:hideMark/>
          </w:tcPr>
          <w:p w14:paraId="7377E16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23</w:t>
            </w:r>
          </w:p>
        </w:tc>
        <w:tc>
          <w:tcPr>
            <w:tcW w:w="990" w:type="dxa"/>
            <w:tcBorders>
              <w:top w:val="nil"/>
              <w:bottom w:val="nil"/>
            </w:tcBorders>
            <w:noWrap/>
            <w:vAlign w:val="center"/>
            <w:hideMark/>
          </w:tcPr>
          <w:p w14:paraId="590E87E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27</w:t>
            </w:r>
          </w:p>
        </w:tc>
        <w:tc>
          <w:tcPr>
            <w:tcW w:w="990" w:type="dxa"/>
            <w:tcBorders>
              <w:top w:val="nil"/>
              <w:bottom w:val="nil"/>
            </w:tcBorders>
            <w:noWrap/>
            <w:vAlign w:val="center"/>
            <w:hideMark/>
          </w:tcPr>
          <w:p w14:paraId="1D817DC5"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37</w:t>
            </w:r>
          </w:p>
        </w:tc>
        <w:tc>
          <w:tcPr>
            <w:tcW w:w="1080" w:type="dxa"/>
            <w:tcBorders>
              <w:top w:val="nil"/>
              <w:bottom w:val="nil"/>
            </w:tcBorders>
            <w:noWrap/>
            <w:vAlign w:val="center"/>
            <w:hideMark/>
          </w:tcPr>
          <w:p w14:paraId="0BC2ACE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36</w:t>
            </w:r>
          </w:p>
        </w:tc>
      </w:tr>
      <w:tr w:rsidR="00760D7E" w:rsidRPr="00DF0BA2" w14:paraId="05139F0E" w14:textId="77777777" w:rsidTr="0026183D">
        <w:trPr>
          <w:trHeight w:val="152"/>
        </w:trPr>
        <w:tc>
          <w:tcPr>
            <w:tcW w:w="465" w:type="dxa"/>
            <w:vMerge/>
            <w:noWrap/>
            <w:vAlign w:val="bottom"/>
            <w:hideMark/>
          </w:tcPr>
          <w:p w14:paraId="565EE0A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620" w:type="dxa"/>
            <w:vMerge/>
            <w:noWrap/>
            <w:vAlign w:val="bottom"/>
            <w:hideMark/>
          </w:tcPr>
          <w:p w14:paraId="10DD6B3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p>
        </w:tc>
        <w:tc>
          <w:tcPr>
            <w:tcW w:w="1916" w:type="dxa"/>
            <w:noWrap/>
            <w:vAlign w:val="center"/>
            <w:hideMark/>
          </w:tcPr>
          <w:p w14:paraId="1967032F"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Before transplanting</w:t>
            </w:r>
          </w:p>
        </w:tc>
        <w:tc>
          <w:tcPr>
            <w:tcW w:w="990" w:type="dxa"/>
            <w:noWrap/>
            <w:vAlign w:val="center"/>
            <w:hideMark/>
          </w:tcPr>
          <w:p w14:paraId="1FF1F2A0"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w:t>
            </w:r>
          </w:p>
        </w:tc>
        <w:tc>
          <w:tcPr>
            <w:tcW w:w="1080" w:type="dxa"/>
            <w:noWrap/>
            <w:vAlign w:val="center"/>
            <w:hideMark/>
          </w:tcPr>
          <w:p w14:paraId="1FF5A1B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9</w:t>
            </w:r>
          </w:p>
        </w:tc>
        <w:tc>
          <w:tcPr>
            <w:tcW w:w="1136" w:type="dxa"/>
            <w:noWrap/>
            <w:vAlign w:val="center"/>
            <w:hideMark/>
          </w:tcPr>
          <w:p w14:paraId="2D49CF29"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11</w:t>
            </w:r>
          </w:p>
        </w:tc>
        <w:tc>
          <w:tcPr>
            <w:tcW w:w="1204" w:type="dxa"/>
            <w:noWrap/>
            <w:vAlign w:val="center"/>
            <w:hideMark/>
          </w:tcPr>
          <w:p w14:paraId="039D1E0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8</w:t>
            </w:r>
          </w:p>
        </w:tc>
        <w:tc>
          <w:tcPr>
            <w:tcW w:w="1206" w:type="dxa"/>
            <w:tcBorders>
              <w:right w:val="single" w:sz="4" w:space="0" w:color="auto"/>
            </w:tcBorders>
            <w:noWrap/>
            <w:vAlign w:val="center"/>
            <w:hideMark/>
          </w:tcPr>
          <w:p w14:paraId="3D95CCF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w:t>
            </w:r>
          </w:p>
        </w:tc>
        <w:tc>
          <w:tcPr>
            <w:tcW w:w="684" w:type="dxa"/>
            <w:tcBorders>
              <w:top w:val="nil"/>
              <w:left w:val="single" w:sz="4" w:space="0" w:color="auto"/>
              <w:bottom w:val="single" w:sz="4" w:space="0" w:color="auto"/>
            </w:tcBorders>
            <w:noWrap/>
            <w:vAlign w:val="center"/>
            <w:hideMark/>
          </w:tcPr>
          <w:p w14:paraId="36E59C3D"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13</w:t>
            </w:r>
          </w:p>
        </w:tc>
        <w:tc>
          <w:tcPr>
            <w:tcW w:w="990" w:type="dxa"/>
            <w:tcBorders>
              <w:top w:val="nil"/>
              <w:bottom w:val="single" w:sz="4" w:space="0" w:color="auto"/>
            </w:tcBorders>
            <w:noWrap/>
            <w:vAlign w:val="center"/>
            <w:hideMark/>
          </w:tcPr>
          <w:p w14:paraId="21A7AEF2"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10</w:t>
            </w:r>
          </w:p>
        </w:tc>
        <w:tc>
          <w:tcPr>
            <w:tcW w:w="990" w:type="dxa"/>
            <w:tcBorders>
              <w:top w:val="nil"/>
              <w:bottom w:val="single" w:sz="4" w:space="0" w:color="auto"/>
            </w:tcBorders>
            <w:noWrap/>
            <w:vAlign w:val="center"/>
            <w:hideMark/>
          </w:tcPr>
          <w:p w14:paraId="38EF4B23"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12</w:t>
            </w:r>
          </w:p>
        </w:tc>
        <w:tc>
          <w:tcPr>
            <w:tcW w:w="990" w:type="dxa"/>
            <w:tcBorders>
              <w:top w:val="nil"/>
              <w:bottom w:val="single" w:sz="4" w:space="0" w:color="auto"/>
            </w:tcBorders>
            <w:noWrap/>
            <w:vAlign w:val="center"/>
            <w:hideMark/>
          </w:tcPr>
          <w:p w14:paraId="4F2253A8"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13</w:t>
            </w:r>
          </w:p>
        </w:tc>
        <w:tc>
          <w:tcPr>
            <w:tcW w:w="1080" w:type="dxa"/>
            <w:tcBorders>
              <w:top w:val="nil"/>
              <w:bottom w:val="single" w:sz="4" w:space="0" w:color="auto"/>
            </w:tcBorders>
            <w:noWrap/>
            <w:vAlign w:val="center"/>
            <w:hideMark/>
          </w:tcPr>
          <w:p w14:paraId="72F03AFB" w14:textId="77777777" w:rsidR="00760D7E" w:rsidRPr="00DF0BA2" w:rsidRDefault="00760D7E" w:rsidP="005262D5">
            <w:pPr>
              <w:spacing w:after="0" w:line="240" w:lineRule="auto"/>
              <w:jc w:val="both"/>
              <w:rPr>
                <w:rFonts w:ascii="Times New Roman" w:eastAsia="Times New Roman" w:hAnsi="Times New Roman" w:cs="Times New Roman"/>
                <w:color w:val="000000" w:themeColor="text1"/>
                <w:sz w:val="20"/>
                <w:szCs w:val="24"/>
              </w:rPr>
            </w:pPr>
            <w:r w:rsidRPr="00DF0BA2">
              <w:rPr>
                <w:rFonts w:ascii="Times New Roman" w:eastAsia="Times New Roman" w:hAnsi="Times New Roman" w:cs="Times New Roman"/>
                <w:color w:val="000000" w:themeColor="text1"/>
                <w:sz w:val="20"/>
                <w:szCs w:val="24"/>
              </w:rPr>
              <w:t>13</w:t>
            </w:r>
          </w:p>
        </w:tc>
      </w:tr>
    </w:tbl>
    <w:p w14:paraId="5CC996E7" w14:textId="77777777" w:rsidR="00760D7E" w:rsidRPr="00DF0BA2" w:rsidRDefault="00760D7E" w:rsidP="00C44944">
      <w:pPr>
        <w:jc w:val="both"/>
        <w:rPr>
          <w:rFonts w:ascii="Times New Roman" w:hAnsi="Times New Roman" w:cs="Times New Roman"/>
          <w:color w:val="000000" w:themeColor="text1"/>
          <w:sz w:val="24"/>
          <w:szCs w:val="24"/>
        </w:rPr>
        <w:sectPr w:rsidR="00760D7E" w:rsidRPr="00DF0BA2" w:rsidSect="005B52DB">
          <w:pgSz w:w="16834" w:h="11909" w:orient="landscape" w:code="9"/>
          <w:pgMar w:top="1440" w:right="1440" w:bottom="1440" w:left="1440" w:header="720" w:footer="720" w:gutter="0"/>
          <w:cols w:space="720"/>
          <w:docGrid w:linePitch="360"/>
        </w:sectPr>
      </w:pPr>
    </w:p>
    <w:p w14:paraId="3CAF0C50" w14:textId="77777777" w:rsidR="00534905" w:rsidRPr="00DF0BA2" w:rsidRDefault="00534905" w:rsidP="00534905">
      <w:pPr>
        <w:pStyle w:val="NormalWeb"/>
        <w:spacing w:before="0" w:beforeAutospacing="0" w:after="0" w:afterAutospacing="0"/>
        <w:jc w:val="both"/>
        <w:rPr>
          <w:color w:val="000000" w:themeColor="text1"/>
        </w:rPr>
      </w:pPr>
      <w:r w:rsidRPr="00DF0BA2">
        <w:rPr>
          <w:color w:val="000000" w:themeColor="text1"/>
        </w:rPr>
        <w:lastRenderedPageBreak/>
        <w:t>immobilization, but this is typical in active rhizospheres. Potassium levels remained steady. These changes highlight enhanced microbial enzyme activity, nutrient solubilizati</w:t>
      </w:r>
      <w:r>
        <w:rPr>
          <w:color w:val="000000" w:themeColor="text1"/>
        </w:rPr>
        <w:t xml:space="preserve">on, and organic matter turnover. </w:t>
      </w:r>
      <w:r w:rsidRPr="00DF0BA2">
        <w:rPr>
          <w:color w:val="000000" w:themeColor="text1"/>
        </w:rPr>
        <w:t>Agronomically, this translates to improved nutrient coupling between soil and plant, reduced dependency on synthetic fertilizers, and early vigor gains (Lal, 2004).</w:t>
      </w:r>
    </w:p>
    <w:p w14:paraId="22781E39" w14:textId="77777777" w:rsidR="00534905" w:rsidRDefault="00534905" w:rsidP="00534905">
      <w:pPr>
        <w:pStyle w:val="Heading2"/>
        <w:spacing w:before="0" w:line="240" w:lineRule="auto"/>
        <w:jc w:val="both"/>
        <w:rPr>
          <w:rFonts w:ascii="Times New Roman" w:hAnsi="Times New Roman" w:cs="Times New Roman"/>
          <w:color w:val="000000" w:themeColor="text1"/>
          <w:sz w:val="24"/>
          <w:szCs w:val="24"/>
        </w:rPr>
      </w:pPr>
    </w:p>
    <w:p w14:paraId="752C3D48" w14:textId="77777777" w:rsidR="00534905" w:rsidRPr="00DF0BA2" w:rsidRDefault="00534905" w:rsidP="00534905">
      <w:pPr>
        <w:pStyle w:val="Heading2"/>
        <w:spacing w:before="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Implications for Sustainable Agriculture</w:t>
      </w:r>
    </w:p>
    <w:p w14:paraId="3D37E56C" w14:textId="77777777" w:rsidR="00534905" w:rsidRPr="00DF0BA2" w:rsidRDefault="00534905" w:rsidP="00534905">
      <w:pPr>
        <w:pStyle w:val="NormalWeb"/>
        <w:spacing w:before="0" w:beforeAutospacing="0" w:after="0" w:afterAutospacing="0"/>
        <w:jc w:val="both"/>
        <w:rPr>
          <w:color w:val="000000" w:themeColor="text1"/>
        </w:rPr>
      </w:pPr>
      <w:r w:rsidRPr="00DF0BA2">
        <w:rPr>
          <w:color w:val="000000" w:themeColor="text1"/>
        </w:rPr>
        <w:t xml:space="preserve">The combined evidence highlights </w:t>
      </w:r>
      <w:proofErr w:type="spellStart"/>
      <w:r w:rsidRPr="00DF0BA2">
        <w:rPr>
          <w:color w:val="000000" w:themeColor="text1"/>
        </w:rPr>
        <w:t>Novcom’s</w:t>
      </w:r>
      <w:proofErr w:type="spellEnd"/>
      <w:r w:rsidRPr="00DF0BA2">
        <w:rPr>
          <w:color w:val="000000" w:themeColor="text1"/>
        </w:rPr>
        <w:t xml:space="preserve"> ability to transform coir pith into a superior nursery substrate. Faster stabilization of coir pith, coupled with improved physicochemical properties and enriched microbiomes, results in stronger root systems, higher vigor, and better field establishment. These advantages lower crop failure risk, reduce nursery-to-field transplant shock, and enhance soil fertility. Importantly, </w:t>
      </w:r>
      <w:proofErr w:type="spellStart"/>
      <w:r w:rsidRPr="00DF0BA2">
        <w:rPr>
          <w:color w:val="000000" w:themeColor="text1"/>
        </w:rPr>
        <w:t>Novcom</w:t>
      </w:r>
      <w:proofErr w:type="spellEnd"/>
      <w:r w:rsidRPr="00DF0BA2">
        <w:rPr>
          <w:color w:val="000000" w:themeColor="text1"/>
        </w:rPr>
        <w:t xml:space="preserve"> seedlings reduce reliance on mineral fertilizers by improving nutrient uptake efficiency and rhizosphere functioning, aligning with sustainability goals (Tilman </w:t>
      </w:r>
      <w:r w:rsidRPr="00C83F05">
        <w:rPr>
          <w:i/>
          <w:iCs/>
          <w:color w:val="000000" w:themeColor="text1"/>
        </w:rPr>
        <w:t>et al</w:t>
      </w:r>
      <w:r w:rsidRPr="00DF0BA2">
        <w:rPr>
          <w:color w:val="000000" w:themeColor="text1"/>
        </w:rPr>
        <w:t xml:space="preserve">., 2002). Future work should employ molecular microbiome profiling, enzyme activity assays, and long-term yield monitoring to further quantify </w:t>
      </w:r>
      <w:proofErr w:type="spellStart"/>
      <w:r w:rsidRPr="00DF0BA2">
        <w:rPr>
          <w:color w:val="000000" w:themeColor="text1"/>
        </w:rPr>
        <w:t>Novcom’s</w:t>
      </w:r>
      <w:proofErr w:type="spellEnd"/>
      <w:r w:rsidRPr="00DF0BA2">
        <w:rPr>
          <w:color w:val="000000" w:themeColor="text1"/>
        </w:rPr>
        <w:t xml:space="preserve"> contribution to soil health and productivity. Nevertheless, current evidence establishes </w:t>
      </w:r>
      <w:proofErr w:type="spellStart"/>
      <w:r w:rsidRPr="00DF0BA2">
        <w:rPr>
          <w:color w:val="000000" w:themeColor="text1"/>
        </w:rPr>
        <w:t>Novcom</w:t>
      </w:r>
      <w:proofErr w:type="spellEnd"/>
      <w:r w:rsidRPr="00DF0BA2">
        <w:rPr>
          <w:color w:val="000000" w:themeColor="text1"/>
        </w:rPr>
        <w:t xml:space="preserve"> as both an agronomic innovation and an ecological solution for sustainable intensification of vegetable nursery systems.</w:t>
      </w:r>
    </w:p>
    <w:p w14:paraId="24693A3A" w14:textId="77777777" w:rsidR="00534905" w:rsidRDefault="00534905" w:rsidP="00FB36A5">
      <w:pPr>
        <w:spacing w:after="0"/>
        <w:jc w:val="both"/>
        <w:rPr>
          <w:rFonts w:ascii="Times New Roman" w:hAnsi="Times New Roman" w:cs="Times New Roman"/>
          <w:b/>
          <w:color w:val="000000" w:themeColor="text1"/>
          <w:sz w:val="24"/>
          <w:szCs w:val="24"/>
        </w:rPr>
      </w:pPr>
    </w:p>
    <w:p w14:paraId="73EB7C50" w14:textId="77777777" w:rsidR="00534905" w:rsidRDefault="00534905" w:rsidP="00FB36A5">
      <w:pPr>
        <w:spacing w:after="0"/>
        <w:jc w:val="both"/>
        <w:rPr>
          <w:rFonts w:ascii="Times New Roman" w:hAnsi="Times New Roman" w:cs="Times New Roman"/>
          <w:b/>
          <w:color w:val="000000" w:themeColor="text1"/>
          <w:sz w:val="24"/>
          <w:szCs w:val="24"/>
        </w:rPr>
      </w:pPr>
    </w:p>
    <w:p w14:paraId="2C0D0093" w14:textId="77777777" w:rsidR="00FB36A5" w:rsidRPr="00DF0BA2" w:rsidRDefault="00FB36A5" w:rsidP="00FB36A5">
      <w:pPr>
        <w:spacing w:after="0"/>
        <w:jc w:val="both"/>
        <w:rPr>
          <w:rFonts w:ascii="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t>Coir Pith as a Landfill Waste: Pollution Risks and Greenhouse Gas Emission Potential</w:t>
      </w:r>
    </w:p>
    <w:p w14:paraId="09DBD675" w14:textId="2C2136EB" w:rsidR="00FB36A5" w:rsidRPr="00DF0BA2" w:rsidRDefault="00FB36A5" w:rsidP="00FB36A5">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Coir pith should be managed and regulated as an agro-industrial landfill waste because its physicochemical properties (very high lignin content, large organic-C fraction and extremely elevated C:N ratios) render it highly recalcitrant and prone to prolonged anaerobic zones and persistent leachates; these characteristics lead both to chronic eco-toxicological impacts (phenolic/tannin leachates that suppress soil enzymes and aquatic oxygen demand) and substantial methane generation under anaerobic disposal (Bera et al., 2025). Laboratory and field </w:t>
      </w:r>
      <w:proofErr w:type="spellStart"/>
      <w:r w:rsidRPr="00DF0BA2">
        <w:rPr>
          <w:rFonts w:ascii="Times New Roman" w:hAnsi="Times New Roman" w:cs="Times New Roman"/>
          <w:color w:val="000000" w:themeColor="text1"/>
          <w:sz w:val="24"/>
          <w:szCs w:val="24"/>
        </w:rPr>
        <w:t>characterisations</w:t>
      </w:r>
      <w:proofErr w:type="spellEnd"/>
      <w:r w:rsidRPr="00DF0BA2">
        <w:rPr>
          <w:rFonts w:ascii="Times New Roman" w:hAnsi="Times New Roman" w:cs="Times New Roman"/>
          <w:color w:val="000000" w:themeColor="text1"/>
          <w:sz w:val="24"/>
          <w:szCs w:val="24"/>
        </w:rPr>
        <w:t xml:space="preserve"> report lignin contents of ~20–40% and </w:t>
      </w:r>
      <w:proofErr w:type="gramStart"/>
      <w:r w:rsidRPr="00DF0BA2">
        <w:rPr>
          <w:rFonts w:ascii="Times New Roman" w:hAnsi="Times New Roman" w:cs="Times New Roman"/>
          <w:color w:val="000000" w:themeColor="text1"/>
          <w:sz w:val="24"/>
          <w:szCs w:val="24"/>
        </w:rPr>
        <w:t>C:N</w:t>
      </w:r>
      <w:proofErr w:type="gramEnd"/>
      <w:r w:rsidRPr="00DF0BA2">
        <w:rPr>
          <w:rFonts w:ascii="Times New Roman" w:hAnsi="Times New Roman" w:cs="Times New Roman"/>
          <w:color w:val="000000" w:themeColor="text1"/>
          <w:sz w:val="24"/>
          <w:szCs w:val="24"/>
        </w:rPr>
        <w:t xml:space="preserve"> often &gt;80–100:1 in coir residues, which limits microbial degradation and favors slow hydrolysis followed by methanogenesis (Bera et al., 2025). Importantly, at present, because of its physicochemical complexity and limited on-site </w:t>
      </w:r>
      <w:proofErr w:type="spellStart"/>
      <w:r w:rsidRPr="00DF0BA2">
        <w:rPr>
          <w:rFonts w:ascii="Times New Roman" w:hAnsi="Times New Roman" w:cs="Times New Roman"/>
          <w:color w:val="000000" w:themeColor="text1"/>
          <w:sz w:val="24"/>
          <w:szCs w:val="24"/>
        </w:rPr>
        <w:t>valorisation</w:t>
      </w:r>
      <w:proofErr w:type="spellEnd"/>
      <w:r w:rsidRPr="00DF0BA2">
        <w:rPr>
          <w:rFonts w:ascii="Times New Roman" w:hAnsi="Times New Roman" w:cs="Times New Roman"/>
          <w:color w:val="000000" w:themeColor="text1"/>
          <w:sz w:val="24"/>
          <w:szCs w:val="24"/>
        </w:rPr>
        <w:t xml:space="preserve"> options, coir pith is frequently dumped in peripheral or low-lying areas of coir-processing sites where it forms leachate pools and dust sources that impair soil and water quality; documented incidents and regulatory reviews have led state and national pollution control authorities to escalate enforcement and to treat coir-pith management as a priority (CPCB, 2016; </w:t>
      </w:r>
      <w:r w:rsidRPr="00AD1F62">
        <w:rPr>
          <w:rFonts w:ascii="Times New Roman" w:hAnsi="Times New Roman" w:cs="Times New Roman"/>
          <w:color w:val="000000" w:themeColor="text1"/>
          <w:sz w:val="24"/>
          <w:szCs w:val="24"/>
          <w:highlight w:val="yellow"/>
        </w:rPr>
        <w:t>TNPCB, 202</w:t>
      </w:r>
      <w:r w:rsidR="00EA42EB" w:rsidRPr="00AD1F62">
        <w:rPr>
          <w:rFonts w:ascii="Times New Roman" w:hAnsi="Times New Roman" w:cs="Times New Roman"/>
          <w:color w:val="000000" w:themeColor="text1"/>
          <w:sz w:val="24"/>
          <w:szCs w:val="24"/>
          <w:highlight w:val="yellow"/>
        </w:rPr>
        <w:t>3</w:t>
      </w:r>
      <w:r w:rsidRPr="00DF0BA2">
        <w:rPr>
          <w:rFonts w:ascii="Times New Roman" w:hAnsi="Times New Roman" w:cs="Times New Roman"/>
          <w:color w:val="000000" w:themeColor="text1"/>
          <w:sz w:val="24"/>
          <w:szCs w:val="24"/>
        </w:rPr>
        <w:t xml:space="preserve">; Bera et al., 2025). Given both the local pollution risks and the substantial methane-generation potential when disposed anaerobically, policy and industry should </w:t>
      </w:r>
      <w:proofErr w:type="spellStart"/>
      <w:r w:rsidRPr="00DF0BA2">
        <w:rPr>
          <w:rFonts w:ascii="Times New Roman" w:hAnsi="Times New Roman" w:cs="Times New Roman"/>
          <w:color w:val="000000" w:themeColor="text1"/>
          <w:sz w:val="24"/>
          <w:szCs w:val="24"/>
        </w:rPr>
        <w:t>prioritise</w:t>
      </w:r>
      <w:proofErr w:type="spellEnd"/>
      <w:r w:rsidRPr="00DF0BA2">
        <w:rPr>
          <w:rFonts w:ascii="Times New Roman" w:hAnsi="Times New Roman" w:cs="Times New Roman"/>
          <w:color w:val="000000" w:themeColor="text1"/>
          <w:sz w:val="24"/>
          <w:szCs w:val="24"/>
        </w:rPr>
        <w:t xml:space="preserve"> controlled storage, aerobic </w:t>
      </w:r>
      <w:proofErr w:type="spellStart"/>
      <w:r w:rsidRPr="00DF0BA2">
        <w:rPr>
          <w:rFonts w:ascii="Times New Roman" w:hAnsi="Times New Roman" w:cs="Times New Roman"/>
          <w:color w:val="000000" w:themeColor="text1"/>
          <w:sz w:val="24"/>
          <w:szCs w:val="24"/>
        </w:rPr>
        <w:t>valorisation</w:t>
      </w:r>
      <w:proofErr w:type="spellEnd"/>
      <w:r w:rsidRPr="00DF0BA2">
        <w:rPr>
          <w:rFonts w:ascii="Times New Roman" w:hAnsi="Times New Roman" w:cs="Times New Roman"/>
          <w:color w:val="000000" w:themeColor="text1"/>
          <w:sz w:val="24"/>
          <w:szCs w:val="24"/>
        </w:rPr>
        <w:t xml:space="preserve"> (e.g., </w:t>
      </w:r>
      <w:proofErr w:type="spellStart"/>
      <w:r w:rsidRPr="00DF0BA2">
        <w:rPr>
          <w:rFonts w:ascii="Times New Roman" w:hAnsi="Times New Roman" w:cs="Times New Roman"/>
          <w:color w:val="000000" w:themeColor="text1"/>
          <w:sz w:val="24"/>
          <w:szCs w:val="24"/>
        </w:rPr>
        <w:t>Novcom</w:t>
      </w:r>
      <w:proofErr w:type="spellEnd"/>
      <w:r w:rsidRPr="00DF0BA2">
        <w:rPr>
          <w:rFonts w:ascii="Times New Roman" w:hAnsi="Times New Roman" w:cs="Times New Roman"/>
          <w:color w:val="000000" w:themeColor="text1"/>
          <w:sz w:val="24"/>
          <w:szCs w:val="24"/>
        </w:rPr>
        <w:t xml:space="preserve"> composting), co-digestion or gas-capture solutions and apply inventory-grade emission calculations to guide mitigation and circular-economy options (</w:t>
      </w:r>
      <w:r w:rsidRPr="00AD1F62">
        <w:rPr>
          <w:rFonts w:ascii="Times New Roman" w:hAnsi="Times New Roman" w:cs="Times New Roman"/>
          <w:color w:val="000000" w:themeColor="text1"/>
          <w:sz w:val="24"/>
          <w:szCs w:val="24"/>
          <w:highlight w:val="yellow"/>
        </w:rPr>
        <w:t>Seal</w:t>
      </w:r>
      <w:r w:rsidR="00A569FC" w:rsidRPr="00AD1F62">
        <w:rPr>
          <w:rFonts w:ascii="Times New Roman" w:hAnsi="Times New Roman" w:cs="Times New Roman"/>
          <w:color w:val="000000" w:themeColor="text1"/>
          <w:sz w:val="24"/>
          <w:szCs w:val="24"/>
          <w:highlight w:val="yellow"/>
        </w:rPr>
        <w:t xml:space="preserve"> et al., 201</w:t>
      </w:r>
      <w:r w:rsidR="00AD1F62" w:rsidRPr="00AD1F62">
        <w:rPr>
          <w:rFonts w:ascii="Times New Roman" w:hAnsi="Times New Roman" w:cs="Times New Roman"/>
          <w:color w:val="000000" w:themeColor="text1"/>
          <w:sz w:val="24"/>
          <w:szCs w:val="24"/>
          <w:highlight w:val="yellow"/>
        </w:rPr>
        <w:t>5</w:t>
      </w:r>
      <w:r w:rsidR="00A569FC">
        <w:rPr>
          <w:rFonts w:ascii="Times New Roman" w:hAnsi="Times New Roman" w:cs="Times New Roman"/>
          <w:color w:val="000000" w:themeColor="text1"/>
          <w:sz w:val="24"/>
          <w:szCs w:val="24"/>
        </w:rPr>
        <w:t>; Zhu et al., 2020</w:t>
      </w:r>
      <w:r w:rsidRPr="00DF0BA2">
        <w:rPr>
          <w:rFonts w:ascii="Times New Roman" w:hAnsi="Times New Roman" w:cs="Times New Roman"/>
          <w:color w:val="000000" w:themeColor="text1"/>
          <w:sz w:val="24"/>
          <w:szCs w:val="24"/>
        </w:rPr>
        <w:t>). Theoretical and inventory methods therefore recommend applying IPCC mass-balance or first-order decay formulations (</w:t>
      </w:r>
      <w:proofErr w:type="spellStart"/>
      <w:r w:rsidRPr="00DF0BA2">
        <w:rPr>
          <w:rFonts w:ascii="Times New Roman" w:hAnsi="Times New Roman" w:cs="Times New Roman"/>
          <w:color w:val="000000" w:themeColor="text1"/>
          <w:sz w:val="24"/>
          <w:szCs w:val="24"/>
        </w:rPr>
        <w:t>DDOCm</w:t>
      </w:r>
      <w:proofErr w:type="spellEnd"/>
      <w:r w:rsidRPr="00DF0BA2">
        <w:rPr>
          <w:rFonts w:ascii="Times New Roman" w:hAnsi="Times New Roman" w:cs="Times New Roman"/>
          <w:color w:val="000000" w:themeColor="text1"/>
          <w:sz w:val="24"/>
          <w:szCs w:val="24"/>
        </w:rPr>
        <w:t xml:space="preserve">, </w:t>
      </w:r>
      <w:proofErr w:type="spellStart"/>
      <w:r w:rsidRPr="00DF0BA2">
        <w:rPr>
          <w:rFonts w:ascii="Times New Roman" w:hAnsi="Times New Roman" w:cs="Times New Roman"/>
          <w:color w:val="000000" w:themeColor="text1"/>
          <w:sz w:val="24"/>
          <w:szCs w:val="24"/>
        </w:rPr>
        <w:t>DOCf</w:t>
      </w:r>
      <w:proofErr w:type="spellEnd"/>
      <w:r w:rsidRPr="00DF0BA2">
        <w:rPr>
          <w:rFonts w:ascii="Times New Roman" w:hAnsi="Times New Roman" w:cs="Times New Roman"/>
          <w:color w:val="000000" w:themeColor="text1"/>
          <w:sz w:val="24"/>
          <w:szCs w:val="24"/>
        </w:rPr>
        <w:t>, MCF, oxidation) to translate measured degradable organic carbon into CH</w:t>
      </w:r>
      <w:r w:rsidRPr="00DF0BA2">
        <w:rPr>
          <w:rFonts w:ascii="Cambria Math" w:hAnsi="Cambria Math" w:cs="Cambria Math"/>
          <w:color w:val="000000" w:themeColor="text1"/>
          <w:sz w:val="24"/>
          <w:szCs w:val="24"/>
        </w:rPr>
        <w:t>₄</w:t>
      </w:r>
      <w:r w:rsidRPr="00DF0BA2">
        <w:rPr>
          <w:rFonts w:ascii="Times New Roman" w:hAnsi="Times New Roman" w:cs="Times New Roman"/>
          <w:color w:val="000000" w:themeColor="text1"/>
          <w:sz w:val="24"/>
          <w:szCs w:val="24"/>
        </w:rPr>
        <w:t xml:space="preserve"> mass and then into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-equivalents using an explicit GWP time horizon (IPCC, 2019; IPCC, 2021). Empirical assessments and carbon-footprint tools reported for untreated coir pith indicate very large CH</w:t>
      </w:r>
      <w:r w:rsidRPr="00DF0BA2">
        <w:rPr>
          <w:rFonts w:ascii="Cambria Math" w:hAnsi="Cambria Math" w:cs="Cambria Math"/>
          <w:color w:val="000000" w:themeColor="text1"/>
          <w:sz w:val="24"/>
          <w:szCs w:val="24"/>
        </w:rPr>
        <w:t>₄</w:t>
      </w:r>
      <w:r w:rsidRPr="00DF0BA2">
        <w:rPr>
          <w:rFonts w:ascii="Times New Roman" w:hAnsi="Times New Roman" w:cs="Times New Roman"/>
          <w:color w:val="000000" w:themeColor="text1"/>
          <w:sz w:val="24"/>
          <w:szCs w:val="24"/>
        </w:rPr>
        <w:t>-based burdens (order of magnitude ~5.9×10³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 xml:space="preserve">¹ when short-term methane GWP metrics are used), whereas properly engineered aerobic bioconversion </w:t>
      </w:r>
      <w:r w:rsidRPr="00DF0BA2">
        <w:rPr>
          <w:rFonts w:ascii="Times New Roman" w:hAnsi="Times New Roman" w:cs="Times New Roman"/>
          <w:color w:val="000000" w:themeColor="text1"/>
          <w:sz w:val="24"/>
          <w:szCs w:val="24"/>
        </w:rPr>
        <w:lastRenderedPageBreak/>
        <w:t>(e.g., NOVCOM composting) reduces methanogenesis by orders of magnitude and produces stable soil amendment (Bera et al., 2025; Seal et al., 2013).</w:t>
      </w:r>
    </w:p>
    <w:p w14:paraId="51BEEBD1" w14:textId="77777777" w:rsidR="00FB36A5" w:rsidRPr="00DF0BA2" w:rsidRDefault="00FB36A5" w:rsidP="00FB36A5">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4"/>
          <w:szCs w:val="24"/>
        </w:rPr>
      </w:pPr>
      <w:proofErr w:type="spellStart"/>
      <w:r w:rsidRPr="00DF0BA2">
        <w:rPr>
          <w:rFonts w:ascii="Times New Roman" w:eastAsia="Times New Roman" w:hAnsi="Times New Roman" w:cs="Times New Roman"/>
          <w:b/>
          <w:bCs/>
          <w:color w:val="000000" w:themeColor="text1"/>
          <w:sz w:val="24"/>
          <w:szCs w:val="24"/>
        </w:rPr>
        <w:t>Novcom</w:t>
      </w:r>
      <w:proofErr w:type="spellEnd"/>
      <w:r w:rsidRPr="00DF0BA2">
        <w:rPr>
          <w:rFonts w:ascii="Times New Roman" w:eastAsia="Times New Roman" w:hAnsi="Times New Roman" w:cs="Times New Roman"/>
          <w:b/>
          <w:bCs/>
          <w:color w:val="000000" w:themeColor="text1"/>
          <w:sz w:val="24"/>
          <w:szCs w:val="24"/>
        </w:rPr>
        <w:t xml:space="preserve"> Technology, </w:t>
      </w:r>
      <w:proofErr w:type="spellStart"/>
      <w:r w:rsidRPr="00DF0BA2">
        <w:rPr>
          <w:rFonts w:ascii="Times New Roman" w:eastAsia="Times New Roman" w:hAnsi="Times New Roman" w:cs="Times New Roman"/>
          <w:b/>
          <w:bCs/>
          <w:color w:val="000000" w:themeColor="text1"/>
          <w:sz w:val="24"/>
          <w:szCs w:val="24"/>
        </w:rPr>
        <w:t>Coirpith</w:t>
      </w:r>
      <w:proofErr w:type="spellEnd"/>
      <w:r w:rsidRPr="00DF0BA2">
        <w:rPr>
          <w:rFonts w:ascii="Times New Roman" w:eastAsia="Times New Roman" w:hAnsi="Times New Roman" w:cs="Times New Roman"/>
          <w:b/>
          <w:bCs/>
          <w:color w:val="000000" w:themeColor="text1"/>
          <w:sz w:val="24"/>
          <w:szCs w:val="24"/>
        </w:rPr>
        <w:t xml:space="preserve"> Valorization, and Carbon Credit Opportunity</w:t>
      </w:r>
    </w:p>
    <w:p w14:paraId="24699C4D" w14:textId="77777777" w:rsidR="00FB36A5" w:rsidRPr="00DF0BA2" w:rsidRDefault="00FB36A5" w:rsidP="00FB36A5">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Adoption of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technology for coir-pith pro-tray media represents a rapid, scalable valorization pathway that both improves seedling quality and creates a credible basis for carbon credits. Conventional coir-pith management is slow and poorly controlled (8–12 months), often creating anaerobic microsites that emit methane (CH</w:t>
      </w:r>
      <w:r w:rsidRPr="00DF0BA2">
        <w:rPr>
          <w:rFonts w:ascii="Cambria Math" w:eastAsia="Times New Roman" w:hAnsi="Cambria Math" w:cs="Cambria Math"/>
          <w:color w:val="000000" w:themeColor="text1"/>
          <w:sz w:val="24"/>
          <w:szCs w:val="24"/>
        </w:rPr>
        <w:t>₄</w:t>
      </w:r>
      <w:r w:rsidRPr="00DF0BA2">
        <w:rPr>
          <w:rFonts w:ascii="Times New Roman" w:eastAsia="Times New Roman" w:hAnsi="Times New Roman" w:cs="Times New Roman"/>
          <w:color w:val="000000" w:themeColor="text1"/>
          <w:sz w:val="24"/>
          <w:szCs w:val="24"/>
        </w:rPr>
        <w:t>)—a potent short-lived climate forcer with ~80× CO</w:t>
      </w:r>
      <w:r w:rsidRPr="00DF0BA2">
        <w:rPr>
          <w:rFonts w:ascii="Cambria Math" w:eastAsia="Times New Roman" w:hAnsi="Cambria Math" w:cs="Cambria Math"/>
          <w:color w:val="000000" w:themeColor="text1"/>
          <w:sz w:val="24"/>
          <w:szCs w:val="24"/>
        </w:rPr>
        <w:t>₂</w:t>
      </w:r>
      <w:r w:rsidRPr="00DF0BA2">
        <w:rPr>
          <w:rFonts w:ascii="Times New Roman" w:eastAsia="Times New Roman" w:hAnsi="Times New Roman" w:cs="Times New Roman"/>
          <w:color w:val="000000" w:themeColor="text1"/>
          <w:sz w:val="24"/>
          <w:szCs w:val="24"/>
        </w:rPr>
        <w:t xml:space="preserve"> warming over 20 years (IPCC, 2021a)—and yields chemically and biologically inferior substrates prone to phytotoxicity. Such practices therefore fail to deliver measurable sequestration benefits and can be disqualified from carbon markets.</w:t>
      </w:r>
    </w:p>
    <w:p w14:paraId="029DF49E" w14:textId="77777777" w:rsidR="00534905" w:rsidRDefault="00FB36A5" w:rsidP="00BA5E47">
      <w:pPr>
        <w:spacing w:after="0"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By contrast,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proceeds via controlled aerobic biodegradation, conditioning coir-pith in </w:t>
      </w:r>
      <w:r w:rsidR="00BA5E47">
        <w:rPr>
          <w:rFonts w:ascii="Times New Roman" w:eastAsia="Times New Roman" w:hAnsi="Times New Roman" w:cs="Times New Roman"/>
          <w:color w:val="000000" w:themeColor="text1"/>
          <w:sz w:val="24"/>
          <w:szCs w:val="24"/>
        </w:rPr>
        <w:t xml:space="preserve">about </w:t>
      </w:r>
      <w:r w:rsidRPr="00DF0BA2">
        <w:rPr>
          <w:rFonts w:ascii="Times New Roman" w:eastAsia="Times New Roman" w:hAnsi="Times New Roman" w:cs="Times New Roman"/>
          <w:color w:val="000000" w:themeColor="text1"/>
          <w:sz w:val="24"/>
          <w:szCs w:val="24"/>
        </w:rPr>
        <w:t xml:space="preserve">40 days and eliminating the methanogenesis pathway at source; methane avoidance alone is a quantifiable mitigation claim.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also produces highly biologically enriched media (microbial densities reported at 10¹</w:t>
      </w:r>
      <w:r w:rsidRPr="00DF0BA2">
        <w:rPr>
          <w:rFonts w:ascii="Cambria Math" w:eastAsia="Times New Roman" w:hAnsi="Cambria Math" w:cs="Cambria Math"/>
          <w:color w:val="000000" w:themeColor="text1"/>
          <w:sz w:val="24"/>
          <w:szCs w:val="24"/>
        </w:rPr>
        <w:t>⁴</w:t>
      </w:r>
      <w:r w:rsidRPr="00DF0BA2">
        <w:rPr>
          <w:rFonts w:ascii="Times New Roman" w:eastAsia="Times New Roman" w:hAnsi="Times New Roman" w:cs="Times New Roman"/>
          <w:color w:val="000000" w:themeColor="text1"/>
          <w:sz w:val="24"/>
          <w:szCs w:val="24"/>
        </w:rPr>
        <w:t>–10¹</w:t>
      </w:r>
      <w:r w:rsidRPr="00DF0BA2">
        <w:rPr>
          <w:rFonts w:ascii="Cambria Math" w:eastAsia="Times New Roman" w:hAnsi="Cambria Math" w:cs="Cambria Math"/>
          <w:color w:val="000000" w:themeColor="text1"/>
          <w:sz w:val="24"/>
          <w:szCs w:val="24"/>
        </w:rPr>
        <w:t>⁶</w:t>
      </w:r>
      <w:r w:rsidRPr="00DF0BA2">
        <w:rPr>
          <w:rFonts w:ascii="Times New Roman" w:eastAsia="Times New Roman" w:hAnsi="Times New Roman" w:cs="Times New Roman"/>
          <w:color w:val="000000" w:themeColor="text1"/>
          <w:sz w:val="24"/>
          <w:szCs w:val="24"/>
        </w:rPr>
        <w:t xml:space="preserve"> </w:t>
      </w:r>
      <w:proofErr w:type="spellStart"/>
      <w:r w:rsidRPr="00DF0BA2">
        <w:rPr>
          <w:rFonts w:ascii="Times New Roman" w:eastAsia="Times New Roman" w:hAnsi="Times New Roman" w:cs="Times New Roman"/>
          <w:color w:val="000000" w:themeColor="text1"/>
          <w:sz w:val="24"/>
          <w:szCs w:val="24"/>
        </w:rPr>
        <w:t>cfu</w:t>
      </w:r>
      <w:proofErr w:type="spellEnd"/>
      <w:r w:rsidRPr="00DF0BA2">
        <w:rPr>
          <w:rFonts w:ascii="Times New Roman" w:eastAsia="Times New Roman" w:hAnsi="Times New Roman" w:cs="Times New Roman"/>
          <w:color w:val="000000" w:themeColor="text1"/>
          <w:sz w:val="24"/>
          <w:szCs w:val="24"/>
        </w:rPr>
        <w:t xml:space="preserve"> g</w:t>
      </w:r>
      <w:r w:rsidRPr="00DF0BA2">
        <w:rPr>
          <w:rFonts w:ascii="Cambria Math" w:eastAsia="Times New Roman" w:hAnsi="Cambria Math" w:cs="Cambria Math"/>
          <w:color w:val="000000" w:themeColor="text1"/>
          <w:sz w:val="24"/>
          <w:szCs w:val="24"/>
        </w:rPr>
        <w:t>⁻</w:t>
      </w:r>
      <w:r w:rsidRPr="00DF0BA2">
        <w:rPr>
          <w:rFonts w:ascii="Times New Roman" w:eastAsia="Times New Roman" w:hAnsi="Times New Roman" w:cs="Times New Roman"/>
          <w:color w:val="000000" w:themeColor="text1"/>
          <w:sz w:val="24"/>
          <w:szCs w:val="24"/>
        </w:rPr>
        <w:t>¹) that act as precision inoculants when seedlings</w:t>
      </w:r>
    </w:p>
    <w:p w14:paraId="00BDFF2F" w14:textId="77777777" w:rsidR="007F0E22" w:rsidRPr="00DF0BA2" w:rsidRDefault="007F0E22" w:rsidP="00BA5E47">
      <w:pPr>
        <w:spacing w:after="0"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are transplanted, enhancing rhizosphere activity. Field observations indicate rapid soil organic carbon (SOC) increases (reported 15–25% within one month), improved phosphorus solubilization, and sustained microbial turnover—outcomes that raise nutrient-use efficiency and reduce reliance on synthetic fertilizers, thereby indirectly lowering nitrous oxide (N</w:t>
      </w:r>
      <w:r w:rsidRPr="00DF0BA2">
        <w:rPr>
          <w:rFonts w:ascii="Cambria Math" w:eastAsia="Times New Roman" w:hAnsi="Cambria Math" w:cs="Cambria Math"/>
          <w:color w:val="000000" w:themeColor="text1"/>
          <w:sz w:val="24"/>
          <w:szCs w:val="24"/>
        </w:rPr>
        <w:t>₂</w:t>
      </w:r>
      <w:r w:rsidRPr="00DF0BA2">
        <w:rPr>
          <w:rFonts w:ascii="Times New Roman" w:eastAsia="Times New Roman" w:hAnsi="Times New Roman" w:cs="Times New Roman"/>
          <w:color w:val="000000" w:themeColor="text1"/>
          <w:sz w:val="24"/>
          <w:szCs w:val="24"/>
        </w:rPr>
        <w:t xml:space="preserve">O) risk.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removes a longstanding valorization bottleneck: it converts an abundant waste stream—previously a source of dust, leachate and land-use inefficiency—into a climate-positive bio</w:t>
      </w:r>
      <w:r w:rsidR="00BA5E47">
        <w:rPr>
          <w:rFonts w:ascii="Times New Roman" w:eastAsia="Times New Roman" w:hAnsi="Times New Roman" w:cs="Times New Roman"/>
          <w:color w:val="000000" w:themeColor="text1"/>
          <w:sz w:val="24"/>
          <w:szCs w:val="24"/>
        </w:rPr>
        <w:t>-</w:t>
      </w:r>
      <w:r w:rsidRPr="00DF0BA2">
        <w:rPr>
          <w:rFonts w:ascii="Times New Roman" w:eastAsia="Times New Roman" w:hAnsi="Times New Roman" w:cs="Times New Roman"/>
          <w:color w:val="000000" w:themeColor="text1"/>
          <w:sz w:val="24"/>
          <w:szCs w:val="24"/>
        </w:rPr>
        <w:t xml:space="preserve">resource by shortening processing time from ~1 year to ~40 days, enabling large-scale, sustainable utilization. Mechanistically, </w:t>
      </w:r>
      <w:proofErr w:type="spellStart"/>
      <w:r w:rsidRPr="00DF0BA2">
        <w:rPr>
          <w:rFonts w:ascii="Times New Roman" w:eastAsia="Times New Roman" w:hAnsi="Times New Roman" w:cs="Times New Roman"/>
          <w:color w:val="000000" w:themeColor="text1"/>
          <w:sz w:val="24"/>
          <w:szCs w:val="24"/>
        </w:rPr>
        <w:t>Novcom’s</w:t>
      </w:r>
      <w:proofErr w:type="spellEnd"/>
      <w:r w:rsidRPr="00DF0BA2">
        <w:rPr>
          <w:rFonts w:ascii="Times New Roman" w:eastAsia="Times New Roman" w:hAnsi="Times New Roman" w:cs="Times New Roman"/>
          <w:color w:val="000000" w:themeColor="text1"/>
          <w:sz w:val="24"/>
          <w:szCs w:val="24"/>
        </w:rPr>
        <w:t xml:space="preserve"> aerobic, high-moisture, microbially guided process stabilizes organic matter, enhances humification and cation-exchange buffering, and produces a structurally intact, low-salinity substrate that supports uniform seedling establishment and soil health improvement.</w:t>
      </w:r>
    </w:p>
    <w:p w14:paraId="13F360E2" w14:textId="77777777" w:rsidR="007F0E22" w:rsidRPr="00E32E2C" w:rsidRDefault="007F0E22" w:rsidP="00E32E2C">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 xml:space="preserve">From a carbon-market perspective,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aligns with additionality, permanence and sustainability principles: it replaces “business-as-usual” anaerobic dumping (additionality), stabilizes organic matter and promotes accrual of stable SOC (permanence) and delivers agronomic co-benefits—reduced pollution, lower fertilizer needs, improved resilience—that avoid negative externalities (sustainability) (UNFCCC, 2012; Gold Standard, 2022; Lal, 2004; Seal et al., 2013). Empirical and modelling studies support long-term SOC accrual via stabilized amendments and microbial community enhancement (Smith et al., 2008). In sum, </w:t>
      </w:r>
      <w:proofErr w:type="spellStart"/>
      <w:r w:rsidRPr="00DF0BA2">
        <w:rPr>
          <w:rFonts w:ascii="Times New Roman" w:eastAsia="Times New Roman" w:hAnsi="Times New Roman" w:cs="Times New Roman"/>
          <w:color w:val="000000" w:themeColor="text1"/>
          <w:sz w:val="24"/>
          <w:szCs w:val="24"/>
        </w:rPr>
        <w:t>Novcom</w:t>
      </w:r>
      <w:proofErr w:type="spellEnd"/>
      <w:r w:rsidRPr="00DF0BA2">
        <w:rPr>
          <w:rFonts w:ascii="Times New Roman" w:eastAsia="Times New Roman" w:hAnsi="Times New Roman" w:cs="Times New Roman"/>
          <w:color w:val="000000" w:themeColor="text1"/>
          <w:sz w:val="24"/>
          <w:szCs w:val="24"/>
        </w:rPr>
        <w:t xml:space="preserve"> transforms coir-pith from a methane-emitting residue into a climate-smart, value-added substrate with measurable emission avoidance and soil-carbon benefits, positioning it as a robust candidate for tradable carbon credits while delivering tangible agronomic c</w:t>
      </w:r>
      <w:r w:rsidR="00E32E2C">
        <w:rPr>
          <w:rFonts w:ascii="Times New Roman" w:eastAsia="Times New Roman" w:hAnsi="Times New Roman" w:cs="Times New Roman"/>
          <w:color w:val="000000" w:themeColor="text1"/>
          <w:sz w:val="24"/>
          <w:szCs w:val="24"/>
        </w:rPr>
        <w:t>o-benefits (Bera et al., 2025).</w:t>
      </w:r>
    </w:p>
    <w:p w14:paraId="7AD8680D" w14:textId="77777777" w:rsidR="00534905" w:rsidRDefault="0053490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5B1CC35F" w14:textId="77777777" w:rsidR="005B52DB" w:rsidRPr="00DF0BA2" w:rsidRDefault="005B52DB" w:rsidP="00C44944">
      <w:pPr>
        <w:spacing w:after="0"/>
        <w:jc w:val="both"/>
        <w:rPr>
          <w:rFonts w:ascii="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lastRenderedPageBreak/>
        <w:t>Calculation of GHG Emission Potential from Biowaste (Primarily Landfill Materials) as per IPCC Guideline (Utilizing Carbon Assessment Tool: ACFA- Version 2.0)</w:t>
      </w:r>
    </w:p>
    <w:p w14:paraId="79800147" w14:textId="77777777" w:rsidR="005B52DB" w:rsidRPr="00DF0BA2" w:rsidRDefault="005B52DB" w:rsidP="00C44944">
      <w:pPr>
        <w:spacing w:after="0"/>
        <w:jc w:val="both"/>
        <w:rPr>
          <w:rFonts w:ascii="Times New Roman" w:hAnsi="Times New Roman" w:cs="Times New Roman"/>
          <w:b/>
          <w:color w:val="000000" w:themeColor="text1"/>
          <w:sz w:val="24"/>
          <w:szCs w:val="24"/>
        </w:rPr>
      </w:pPr>
    </w:p>
    <w:tbl>
      <w:tblPr>
        <w:tblStyle w:val="TableGrid"/>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329"/>
        <w:gridCol w:w="6090"/>
      </w:tblGrid>
      <w:tr w:rsidR="006B172D" w:rsidRPr="006B172D" w14:paraId="32864E84" w14:textId="77777777" w:rsidTr="005B52DB">
        <w:trPr>
          <w:trHeight w:val="647"/>
        </w:trPr>
        <w:tc>
          <w:tcPr>
            <w:tcW w:w="2898" w:type="dxa"/>
          </w:tcPr>
          <w:p w14:paraId="3EBE04F8" w14:textId="77777777" w:rsidR="005B52DB" w:rsidRPr="006B172D" w:rsidRDefault="005B52DB" w:rsidP="00C44944">
            <w:pPr>
              <w:jc w:val="both"/>
              <w:rPr>
                <w:rFonts w:ascii="Times New Roman" w:hAnsi="Times New Roman" w:cs="Times New Roman"/>
                <w:color w:val="000000" w:themeColor="text1"/>
                <w:sz w:val="20"/>
                <w:szCs w:val="24"/>
              </w:rPr>
            </w:pPr>
            <w:r w:rsidRPr="006B172D">
              <w:rPr>
                <w:rFonts w:ascii="Times New Roman" w:hAnsi="Times New Roman" w:cs="Times New Roman"/>
                <w:color w:val="000000" w:themeColor="text1"/>
                <w:sz w:val="20"/>
                <w:szCs w:val="24"/>
              </w:rPr>
              <w:t>GHG emission (MT in CO</w:t>
            </w:r>
            <w:r w:rsidRPr="006B172D">
              <w:rPr>
                <w:rFonts w:ascii="Times New Roman" w:hAnsi="Times New Roman" w:cs="Times New Roman"/>
                <w:color w:val="000000" w:themeColor="text1"/>
                <w:sz w:val="20"/>
                <w:szCs w:val="24"/>
                <w:vertAlign w:val="subscript"/>
              </w:rPr>
              <w:t>2</w:t>
            </w:r>
            <w:r w:rsidRPr="006B172D">
              <w:rPr>
                <w:rFonts w:ascii="Times New Roman" w:hAnsi="Times New Roman" w:cs="Times New Roman"/>
                <w:color w:val="000000" w:themeColor="text1"/>
                <w:sz w:val="20"/>
                <w:szCs w:val="24"/>
              </w:rPr>
              <w:t xml:space="preserve"> equivalent)</w:t>
            </w:r>
          </w:p>
        </w:tc>
        <w:tc>
          <w:tcPr>
            <w:tcW w:w="236" w:type="dxa"/>
          </w:tcPr>
          <w:p w14:paraId="1AD16175" w14:textId="77777777" w:rsidR="005B52DB" w:rsidRPr="006B172D" w:rsidRDefault="005B52DB" w:rsidP="00C44944">
            <w:pPr>
              <w:jc w:val="both"/>
              <w:rPr>
                <w:rFonts w:ascii="Times New Roman" w:hAnsi="Times New Roman" w:cs="Times New Roman"/>
                <w:color w:val="000000" w:themeColor="text1"/>
                <w:sz w:val="20"/>
                <w:szCs w:val="24"/>
              </w:rPr>
            </w:pPr>
            <w:r w:rsidRPr="006B172D">
              <w:rPr>
                <w:rFonts w:ascii="Times New Roman" w:hAnsi="Times New Roman" w:cs="Times New Roman"/>
                <w:color w:val="000000" w:themeColor="text1"/>
                <w:sz w:val="20"/>
                <w:szCs w:val="24"/>
              </w:rPr>
              <w:t>=</w:t>
            </w:r>
          </w:p>
        </w:tc>
        <w:tc>
          <w:tcPr>
            <w:tcW w:w="6159" w:type="dxa"/>
          </w:tcPr>
          <w:p w14:paraId="6D94844B" w14:textId="77777777" w:rsidR="005B52DB" w:rsidRPr="006B172D" w:rsidRDefault="005B52DB" w:rsidP="00C44944">
            <w:pPr>
              <w:jc w:val="both"/>
              <w:rPr>
                <w:rFonts w:ascii="Times New Roman" w:hAnsi="Times New Roman" w:cs="Times New Roman"/>
                <w:color w:val="000000" w:themeColor="text1"/>
                <w:sz w:val="20"/>
                <w:szCs w:val="24"/>
              </w:rPr>
            </w:pPr>
            <w:r w:rsidRPr="006B172D">
              <w:rPr>
                <w:rFonts w:ascii="Times New Roman" w:hAnsi="Times New Roman" w:cs="Times New Roman"/>
                <w:color w:val="000000" w:themeColor="text1"/>
                <w:sz w:val="20"/>
                <w:szCs w:val="24"/>
              </w:rPr>
              <w:t>[(LMT x LFF x MCF x DOC x DOCF x F x</w:t>
            </w:r>
          </w:p>
          <w:p w14:paraId="75A41353" w14:textId="77777777" w:rsidR="005B52DB" w:rsidRPr="006B172D" w:rsidRDefault="005B52DB" w:rsidP="00C44944">
            <w:pPr>
              <w:jc w:val="both"/>
              <w:rPr>
                <w:rFonts w:ascii="Times New Roman" w:hAnsi="Times New Roman" w:cs="Times New Roman"/>
                <w:color w:val="000000" w:themeColor="text1"/>
                <w:sz w:val="20"/>
                <w:szCs w:val="24"/>
              </w:rPr>
            </w:pPr>
            <w:r w:rsidRPr="006B172D">
              <w:rPr>
                <w:rFonts w:ascii="Times New Roman" w:hAnsi="Times New Roman" w:cs="Times New Roman"/>
                <w:color w:val="000000" w:themeColor="text1"/>
                <w:sz w:val="20"/>
                <w:szCs w:val="24"/>
              </w:rPr>
              <w:t>16/12 - R) x (1 - OX)] x GWP</w:t>
            </w:r>
            <w:r w:rsidRPr="006B172D">
              <w:rPr>
                <w:rFonts w:ascii="Times New Roman" w:hAnsi="Times New Roman" w:cs="Times New Roman"/>
                <w:color w:val="000000" w:themeColor="text1"/>
                <w:sz w:val="20"/>
                <w:szCs w:val="24"/>
                <w:vertAlign w:val="subscript"/>
              </w:rPr>
              <w:t>CH</w:t>
            </w:r>
            <w:r w:rsidRPr="006B172D">
              <w:rPr>
                <w:rFonts w:ascii="Times New Roman" w:hAnsi="Times New Roman" w:cs="Times New Roman"/>
                <w:color w:val="000000" w:themeColor="text1"/>
                <w:position w:val="-6"/>
                <w:sz w:val="20"/>
                <w:szCs w:val="24"/>
                <w:vertAlign w:val="subscript"/>
              </w:rPr>
              <w:t>4</w:t>
            </w:r>
          </w:p>
        </w:tc>
      </w:tr>
    </w:tbl>
    <w:p w14:paraId="657EDF10"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 xml:space="preserve">Where, </w:t>
      </w:r>
    </w:p>
    <w:p w14:paraId="4F406318" w14:textId="77777777" w:rsidR="005B52DB" w:rsidRPr="00DF0BA2" w:rsidRDefault="005B52DB" w:rsidP="00C44944">
      <w:pPr>
        <w:spacing w:after="0"/>
        <w:jc w:val="both"/>
        <w:rPr>
          <w:rFonts w:ascii="Times New Roman" w:hAnsi="Times New Roman" w:cs="Times New Roman"/>
          <w:color w:val="000000" w:themeColor="text1"/>
          <w:sz w:val="24"/>
          <w:szCs w:val="24"/>
        </w:rPr>
      </w:pPr>
      <w:proofErr w:type="gramStart"/>
      <w:r w:rsidRPr="00DF0BA2">
        <w:rPr>
          <w:rFonts w:ascii="Times New Roman" w:hAnsi="Times New Roman" w:cs="Times New Roman"/>
          <w:color w:val="000000" w:themeColor="text1"/>
          <w:sz w:val="24"/>
          <w:szCs w:val="24"/>
        </w:rPr>
        <w:t>LMT :</w:t>
      </w:r>
      <w:proofErr w:type="gramEnd"/>
      <w:r w:rsidRPr="00DF0BA2">
        <w:rPr>
          <w:rFonts w:ascii="Times New Roman" w:hAnsi="Times New Roman" w:cs="Times New Roman"/>
          <w:color w:val="000000" w:themeColor="text1"/>
          <w:sz w:val="24"/>
          <w:szCs w:val="24"/>
        </w:rPr>
        <w:t xml:space="preserve"> Total Landfill </w:t>
      </w:r>
      <w:proofErr w:type="gramStart"/>
      <w:r w:rsidRPr="00DF0BA2">
        <w:rPr>
          <w:rFonts w:ascii="Times New Roman" w:hAnsi="Times New Roman" w:cs="Times New Roman"/>
          <w:color w:val="000000" w:themeColor="text1"/>
          <w:sz w:val="24"/>
          <w:szCs w:val="24"/>
        </w:rPr>
        <w:t>Material(</w:t>
      </w:r>
      <w:proofErr w:type="gramEnd"/>
      <w:r w:rsidRPr="00DF0BA2">
        <w:rPr>
          <w:rFonts w:ascii="Times New Roman" w:hAnsi="Times New Roman" w:cs="Times New Roman"/>
          <w:color w:val="000000" w:themeColor="text1"/>
          <w:sz w:val="24"/>
          <w:szCs w:val="24"/>
        </w:rPr>
        <w:t>MT)</w:t>
      </w:r>
    </w:p>
    <w:p w14:paraId="74267A57" w14:textId="77777777" w:rsidR="005B52DB" w:rsidRPr="00DF0BA2" w:rsidRDefault="005B52DB" w:rsidP="00C44944">
      <w:pPr>
        <w:spacing w:after="0"/>
        <w:jc w:val="both"/>
        <w:rPr>
          <w:rFonts w:ascii="Times New Roman" w:hAnsi="Times New Roman" w:cs="Times New Roman"/>
          <w:color w:val="000000" w:themeColor="text1"/>
          <w:sz w:val="24"/>
          <w:szCs w:val="24"/>
        </w:rPr>
      </w:pPr>
      <w:proofErr w:type="gramStart"/>
      <w:r w:rsidRPr="00DF0BA2">
        <w:rPr>
          <w:rFonts w:ascii="Times New Roman" w:hAnsi="Times New Roman" w:cs="Times New Roman"/>
          <w:color w:val="000000" w:themeColor="text1"/>
          <w:sz w:val="24"/>
          <w:szCs w:val="24"/>
        </w:rPr>
        <w:t>LFF :</w:t>
      </w:r>
      <w:proofErr w:type="gramEnd"/>
      <w:r w:rsidRPr="00DF0BA2">
        <w:rPr>
          <w:rFonts w:ascii="Times New Roman" w:hAnsi="Times New Roman" w:cs="Times New Roman"/>
          <w:color w:val="000000" w:themeColor="text1"/>
          <w:sz w:val="24"/>
          <w:szCs w:val="24"/>
        </w:rPr>
        <w:t xml:space="preserve"> Fraction of Landfill Material disposed at site (if 100 % landfill material which is</w:t>
      </w:r>
    </w:p>
    <w:p w14:paraId="033047A8"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generated is deposited at site, then LFF value will be 1.0, default value)</w:t>
      </w:r>
    </w:p>
    <w:p w14:paraId="6E39A8CF" w14:textId="77777777" w:rsidR="005B52DB" w:rsidRPr="00DF0BA2" w:rsidRDefault="005B52DB" w:rsidP="00C44944">
      <w:pPr>
        <w:spacing w:after="0"/>
        <w:jc w:val="both"/>
        <w:rPr>
          <w:rFonts w:ascii="Times New Roman" w:hAnsi="Times New Roman" w:cs="Times New Roman"/>
          <w:color w:val="000000" w:themeColor="text1"/>
          <w:sz w:val="24"/>
          <w:szCs w:val="24"/>
        </w:rPr>
      </w:pPr>
      <w:proofErr w:type="gramStart"/>
      <w:r w:rsidRPr="00DF0BA2">
        <w:rPr>
          <w:rFonts w:ascii="Times New Roman" w:hAnsi="Times New Roman" w:cs="Times New Roman"/>
          <w:color w:val="000000" w:themeColor="text1"/>
          <w:sz w:val="24"/>
          <w:szCs w:val="24"/>
        </w:rPr>
        <w:t>MCF :</w:t>
      </w:r>
      <w:proofErr w:type="gramEnd"/>
      <w:r w:rsidRPr="00DF0BA2">
        <w:rPr>
          <w:rFonts w:ascii="Times New Roman" w:hAnsi="Times New Roman" w:cs="Times New Roman"/>
          <w:color w:val="000000" w:themeColor="text1"/>
          <w:sz w:val="24"/>
          <w:szCs w:val="24"/>
        </w:rPr>
        <w:t xml:space="preserve"> Methane correction factor (fraction) (IPCC default value is 0.6, when there is no</w:t>
      </w:r>
    </w:p>
    <w:p w14:paraId="350DF08F"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specific information)</w:t>
      </w:r>
    </w:p>
    <w:p w14:paraId="72D262F5" w14:textId="77777777" w:rsidR="005B52DB" w:rsidRPr="00DF0BA2" w:rsidRDefault="005B52DB" w:rsidP="00C44944">
      <w:pPr>
        <w:spacing w:after="0"/>
        <w:jc w:val="both"/>
        <w:rPr>
          <w:rFonts w:ascii="Times New Roman" w:hAnsi="Times New Roman" w:cs="Times New Roman"/>
          <w:color w:val="000000" w:themeColor="text1"/>
          <w:sz w:val="24"/>
          <w:szCs w:val="24"/>
        </w:rPr>
      </w:pPr>
      <w:proofErr w:type="gramStart"/>
      <w:r w:rsidRPr="00DF0BA2">
        <w:rPr>
          <w:rFonts w:ascii="Times New Roman" w:hAnsi="Times New Roman" w:cs="Times New Roman"/>
          <w:color w:val="000000" w:themeColor="text1"/>
          <w:sz w:val="24"/>
          <w:szCs w:val="24"/>
        </w:rPr>
        <w:t>DOC :</w:t>
      </w:r>
      <w:proofErr w:type="gramEnd"/>
      <w:r w:rsidRPr="00DF0BA2">
        <w:rPr>
          <w:rFonts w:ascii="Times New Roman" w:hAnsi="Times New Roman" w:cs="Times New Roman"/>
          <w:color w:val="000000" w:themeColor="text1"/>
          <w:sz w:val="24"/>
          <w:szCs w:val="24"/>
        </w:rPr>
        <w:t xml:space="preserve"> Degradable organic carbon (fraction) (kg C/ kg landfill material</w:t>
      </w:r>
    </w:p>
    <w:p w14:paraId="0C2B3603"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DOC</w:t>
      </w:r>
      <w:r w:rsidRPr="00DF0BA2">
        <w:rPr>
          <w:rFonts w:ascii="Times New Roman" w:hAnsi="Times New Roman" w:cs="Times New Roman"/>
          <w:color w:val="000000" w:themeColor="text1"/>
          <w:sz w:val="24"/>
          <w:szCs w:val="24"/>
          <w:vertAlign w:val="subscript"/>
        </w:rPr>
        <w:t>F</w:t>
      </w:r>
      <w:r w:rsidRPr="00DF0BA2">
        <w:rPr>
          <w:rFonts w:ascii="Times New Roman" w:hAnsi="Times New Roman" w:cs="Times New Roman"/>
          <w:color w:val="000000" w:themeColor="text1"/>
          <w:sz w:val="24"/>
          <w:szCs w:val="24"/>
        </w:rPr>
        <w:t>: Fraction DOC dissimilated (IPCC default is 0.77)</w:t>
      </w:r>
    </w:p>
    <w:p w14:paraId="70C3BEDE" w14:textId="77777777" w:rsidR="005B52DB" w:rsidRPr="00DF0BA2" w:rsidRDefault="005B52DB" w:rsidP="00C44944">
      <w:pPr>
        <w:spacing w:after="0"/>
        <w:jc w:val="both"/>
        <w:rPr>
          <w:rFonts w:ascii="Times New Roman" w:hAnsi="Times New Roman" w:cs="Times New Roman"/>
          <w:color w:val="000000" w:themeColor="text1"/>
          <w:sz w:val="24"/>
          <w:szCs w:val="24"/>
        </w:rPr>
      </w:pPr>
      <w:proofErr w:type="gramStart"/>
      <w:r w:rsidRPr="00DF0BA2">
        <w:rPr>
          <w:rFonts w:ascii="Times New Roman" w:hAnsi="Times New Roman" w:cs="Times New Roman"/>
          <w:color w:val="000000" w:themeColor="text1"/>
          <w:sz w:val="24"/>
          <w:szCs w:val="24"/>
        </w:rPr>
        <w:t>F :</w:t>
      </w:r>
      <w:proofErr w:type="gramEnd"/>
      <w:r w:rsidRPr="00DF0BA2">
        <w:rPr>
          <w:rFonts w:ascii="Times New Roman" w:hAnsi="Times New Roman" w:cs="Times New Roman"/>
          <w:color w:val="000000" w:themeColor="text1"/>
          <w:sz w:val="24"/>
          <w:szCs w:val="24"/>
        </w:rPr>
        <w:t xml:space="preserve"> Fraction of CH</w:t>
      </w:r>
      <w:r w:rsidRPr="00DF0BA2">
        <w:rPr>
          <w:rFonts w:ascii="Times New Roman" w:hAnsi="Times New Roman" w:cs="Times New Roman"/>
          <w:color w:val="000000" w:themeColor="text1"/>
          <w:sz w:val="24"/>
          <w:szCs w:val="24"/>
          <w:vertAlign w:val="subscript"/>
        </w:rPr>
        <w:t>4</w:t>
      </w:r>
      <w:r w:rsidRPr="00DF0BA2">
        <w:rPr>
          <w:rFonts w:ascii="Times New Roman" w:hAnsi="Times New Roman" w:cs="Times New Roman"/>
          <w:color w:val="000000" w:themeColor="text1"/>
          <w:sz w:val="24"/>
          <w:szCs w:val="24"/>
        </w:rPr>
        <w:t xml:space="preserve"> in landfill gas (IPCC default is 0.5)</w:t>
      </w:r>
    </w:p>
    <w:p w14:paraId="207E4A2E"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16/</w:t>
      </w:r>
      <w:proofErr w:type="gramStart"/>
      <w:r w:rsidRPr="00DF0BA2">
        <w:rPr>
          <w:rFonts w:ascii="Times New Roman" w:hAnsi="Times New Roman" w:cs="Times New Roman"/>
          <w:color w:val="000000" w:themeColor="text1"/>
          <w:sz w:val="24"/>
          <w:szCs w:val="24"/>
        </w:rPr>
        <w:t>12 :</w:t>
      </w:r>
      <w:proofErr w:type="gramEnd"/>
      <w:r w:rsidRPr="00DF0BA2">
        <w:rPr>
          <w:rFonts w:ascii="Times New Roman" w:hAnsi="Times New Roman" w:cs="Times New Roman"/>
          <w:color w:val="000000" w:themeColor="text1"/>
          <w:sz w:val="24"/>
          <w:szCs w:val="24"/>
        </w:rPr>
        <w:t xml:space="preserve"> conversion of C to CH</w:t>
      </w:r>
      <w:r w:rsidRPr="00DF0BA2">
        <w:rPr>
          <w:rFonts w:ascii="Times New Roman" w:hAnsi="Times New Roman" w:cs="Times New Roman"/>
          <w:color w:val="000000" w:themeColor="text1"/>
          <w:sz w:val="24"/>
          <w:szCs w:val="24"/>
          <w:vertAlign w:val="subscript"/>
        </w:rPr>
        <w:t>4</w:t>
      </w:r>
    </w:p>
    <w:p w14:paraId="27F0802F"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R: Recovered CH</w:t>
      </w:r>
      <w:r w:rsidRPr="00DF0BA2">
        <w:rPr>
          <w:rFonts w:ascii="Times New Roman" w:hAnsi="Times New Roman" w:cs="Times New Roman"/>
          <w:color w:val="000000" w:themeColor="text1"/>
          <w:sz w:val="24"/>
          <w:szCs w:val="24"/>
          <w:vertAlign w:val="subscript"/>
        </w:rPr>
        <w:t>4</w:t>
      </w:r>
      <w:r w:rsidRPr="00DF0BA2">
        <w:rPr>
          <w:rFonts w:ascii="Times New Roman" w:hAnsi="Times New Roman" w:cs="Times New Roman"/>
          <w:color w:val="000000" w:themeColor="text1"/>
          <w:sz w:val="24"/>
          <w:szCs w:val="24"/>
        </w:rPr>
        <w:t xml:space="preserve"> (MT) (in general value is 0 if not any specific treatment plants in</w:t>
      </w:r>
    </w:p>
    <w:p w14:paraId="50724AC3"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disposal sites to recover methane</w:t>
      </w:r>
    </w:p>
    <w:p w14:paraId="4BAB03D0" w14:textId="77777777" w:rsidR="005B52DB" w:rsidRPr="00DF0BA2" w:rsidRDefault="005B52DB" w:rsidP="00C44944">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OX: oxidation factor (fraction – IPCC default is 0)</w:t>
      </w:r>
    </w:p>
    <w:p w14:paraId="7ABE2EC1" w14:textId="77777777" w:rsidR="008A0C5D" w:rsidRDefault="005B52DB" w:rsidP="00E32E2C">
      <w:pPr>
        <w:spacing w:after="0"/>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GWP</w:t>
      </w:r>
      <w:r w:rsidRPr="00DF0BA2">
        <w:rPr>
          <w:rFonts w:ascii="Times New Roman" w:hAnsi="Times New Roman" w:cs="Times New Roman"/>
          <w:color w:val="000000" w:themeColor="text1"/>
          <w:sz w:val="24"/>
          <w:szCs w:val="24"/>
          <w:vertAlign w:val="subscript"/>
        </w:rPr>
        <w:t>CH</w:t>
      </w:r>
      <w:r w:rsidRPr="00DF0BA2">
        <w:rPr>
          <w:rFonts w:ascii="Times New Roman" w:hAnsi="Times New Roman" w:cs="Times New Roman"/>
          <w:color w:val="000000" w:themeColor="text1"/>
          <w:position w:val="-6"/>
          <w:sz w:val="24"/>
          <w:szCs w:val="24"/>
          <w:vertAlign w:val="subscript"/>
        </w:rPr>
        <w:t>4</w:t>
      </w:r>
      <w:r w:rsidRPr="00DF0BA2">
        <w:rPr>
          <w:rFonts w:ascii="Times New Roman" w:hAnsi="Times New Roman" w:cs="Times New Roman"/>
          <w:color w:val="000000" w:themeColor="text1"/>
          <w:sz w:val="24"/>
          <w:szCs w:val="24"/>
        </w:rPr>
        <w:t>: 75 (based on 24 year time horizon)</w:t>
      </w:r>
      <w:r w:rsidR="00E32E2C">
        <w:rPr>
          <w:rFonts w:ascii="Times New Roman" w:hAnsi="Times New Roman" w:cs="Times New Roman"/>
          <w:color w:val="000000" w:themeColor="text1"/>
          <w:sz w:val="24"/>
          <w:szCs w:val="24"/>
        </w:rPr>
        <w:t xml:space="preserve"> </w:t>
      </w:r>
    </w:p>
    <w:p w14:paraId="6D14AD67" w14:textId="77777777" w:rsidR="008E08C7" w:rsidRDefault="008E08C7" w:rsidP="00E32E2C">
      <w:pPr>
        <w:spacing w:after="0"/>
        <w:jc w:val="both"/>
        <w:rPr>
          <w:rFonts w:ascii="Times New Roman" w:eastAsia="Times New Roman" w:hAnsi="Times New Roman" w:cs="Times New Roman"/>
          <w:b/>
          <w:bCs/>
          <w:color w:val="000000" w:themeColor="text1"/>
          <w:sz w:val="24"/>
          <w:szCs w:val="24"/>
        </w:rPr>
      </w:pPr>
    </w:p>
    <w:p w14:paraId="4D4D3C08" w14:textId="77777777" w:rsidR="005B52DB" w:rsidRPr="00E32E2C" w:rsidRDefault="005B52DB" w:rsidP="00E32E2C">
      <w:pPr>
        <w:spacing w:after="0"/>
        <w:jc w:val="both"/>
        <w:rPr>
          <w:rFonts w:ascii="Times New Roman" w:hAnsi="Times New Roman" w:cs="Times New Roman"/>
          <w:color w:val="000000" w:themeColor="text1"/>
          <w:sz w:val="24"/>
          <w:szCs w:val="24"/>
        </w:rPr>
      </w:pPr>
      <w:r w:rsidRPr="00DF0BA2">
        <w:rPr>
          <w:rFonts w:ascii="Times New Roman" w:eastAsia="Times New Roman" w:hAnsi="Times New Roman" w:cs="Times New Roman"/>
          <w:b/>
          <w:bCs/>
          <w:color w:val="000000" w:themeColor="text1"/>
          <w:sz w:val="24"/>
          <w:szCs w:val="24"/>
        </w:rPr>
        <w:t>Why GWPCH</w:t>
      </w:r>
      <w:r w:rsidRPr="00DF0BA2">
        <w:rPr>
          <w:rFonts w:ascii="Cambria Math" w:eastAsia="Times New Roman" w:hAnsi="Cambria Math" w:cs="Cambria Math"/>
          <w:b/>
          <w:bCs/>
          <w:color w:val="000000" w:themeColor="text1"/>
          <w:sz w:val="24"/>
          <w:szCs w:val="24"/>
        </w:rPr>
        <w:t>₄</w:t>
      </w:r>
      <w:r w:rsidRPr="00DF0BA2">
        <w:rPr>
          <w:rFonts w:ascii="Times New Roman" w:eastAsia="Times New Roman" w:hAnsi="Times New Roman" w:cs="Times New Roman"/>
          <w:b/>
          <w:bCs/>
          <w:color w:val="000000" w:themeColor="text1"/>
          <w:sz w:val="24"/>
          <w:szCs w:val="24"/>
        </w:rPr>
        <w:t>: 75 (24-Year Horizon) is the Most Scientific Choice for Waste-Related Emissions</w:t>
      </w:r>
    </w:p>
    <w:p w14:paraId="2704E33D" w14:textId="77777777" w:rsidR="005B52DB" w:rsidRPr="00DF0BA2" w:rsidRDefault="005B52DB" w:rsidP="00C44944">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Methane (CH</w:t>
      </w:r>
      <w:r w:rsidRPr="00DF0BA2">
        <w:rPr>
          <w:rFonts w:ascii="Cambria Math" w:eastAsia="Times New Roman" w:hAnsi="Cambria Math" w:cs="Cambria Math"/>
          <w:color w:val="000000" w:themeColor="text1"/>
          <w:sz w:val="24"/>
          <w:szCs w:val="24"/>
        </w:rPr>
        <w:t>₄</w:t>
      </w:r>
      <w:r w:rsidRPr="00DF0BA2">
        <w:rPr>
          <w:rFonts w:ascii="Times New Roman" w:eastAsia="Times New Roman" w:hAnsi="Times New Roman" w:cs="Times New Roman"/>
          <w:color w:val="000000" w:themeColor="text1"/>
          <w:sz w:val="24"/>
          <w:szCs w:val="24"/>
        </w:rPr>
        <w:t>) is a short-lived climate pollutant with an atmospheric lifetime of approximately 12 years, exerting most of its radiative forcing within the first two decades after emission (Forster et al., 2021; Joos et al., 2013). Traditional reliance on the 100-year global warming potential (GWP</w:t>
      </w:r>
      <w:r w:rsidRPr="00DF0BA2">
        <w:rPr>
          <w:rFonts w:ascii="Cambria Math" w:eastAsia="Times New Roman" w:hAnsi="Cambria Math" w:cs="Cambria Math"/>
          <w:color w:val="000000" w:themeColor="text1"/>
          <w:sz w:val="24"/>
          <w:szCs w:val="24"/>
        </w:rPr>
        <w:t>₁₀₀</w:t>
      </w:r>
      <w:r w:rsidRPr="00DF0BA2">
        <w:rPr>
          <w:rFonts w:ascii="Times New Roman" w:eastAsia="Times New Roman" w:hAnsi="Times New Roman" w:cs="Times New Roman"/>
          <w:color w:val="000000" w:themeColor="text1"/>
          <w:sz w:val="24"/>
          <w:szCs w:val="24"/>
        </w:rPr>
        <w:t xml:space="preserve"> = 27.9–29.8 for methane, IPCC AR6) substantially underestimates methane’s near-term warming contribution, diluting its short-lived but intense climate forcing when compared to long-lived gases such as CO</w:t>
      </w:r>
      <w:r w:rsidRPr="00DF0BA2">
        <w:rPr>
          <w:rFonts w:ascii="Cambria Math" w:eastAsia="Times New Roman" w:hAnsi="Cambria Math" w:cs="Cambria Math"/>
          <w:color w:val="000000" w:themeColor="text1"/>
          <w:sz w:val="24"/>
          <w:szCs w:val="24"/>
        </w:rPr>
        <w:t>₂</w:t>
      </w:r>
      <w:r w:rsidRPr="00DF0BA2">
        <w:rPr>
          <w:rFonts w:ascii="Times New Roman" w:eastAsia="Times New Roman" w:hAnsi="Times New Roman" w:cs="Times New Roman"/>
          <w:color w:val="000000" w:themeColor="text1"/>
          <w:sz w:val="24"/>
          <w:szCs w:val="24"/>
        </w:rPr>
        <w:t xml:space="preserve"> and N</w:t>
      </w:r>
      <w:r w:rsidRPr="00DF0BA2">
        <w:rPr>
          <w:rFonts w:ascii="Cambria Math" w:eastAsia="Times New Roman" w:hAnsi="Cambria Math" w:cs="Cambria Math"/>
          <w:color w:val="000000" w:themeColor="text1"/>
          <w:sz w:val="24"/>
          <w:szCs w:val="24"/>
        </w:rPr>
        <w:t>₂</w:t>
      </w:r>
      <w:r w:rsidRPr="00DF0BA2">
        <w:rPr>
          <w:rFonts w:ascii="Times New Roman" w:eastAsia="Times New Roman" w:hAnsi="Times New Roman" w:cs="Times New Roman"/>
          <w:color w:val="000000" w:themeColor="text1"/>
          <w:sz w:val="24"/>
          <w:szCs w:val="24"/>
        </w:rPr>
        <w:t>O (Cain et al., 2019). In waste-sector emissions, including unmanaged landfill and agro-industrial residues like coir pith, methane is generated in rapid pulses after anaerobic decomposition. These emissions largely decay within 20–30 years, aligning poorly with the 100-year averaging window (Bera et al., 2025).</w:t>
      </w:r>
    </w:p>
    <w:p w14:paraId="018E56F5" w14:textId="77777777" w:rsidR="005B52DB" w:rsidRPr="00DF0BA2" w:rsidRDefault="005B52DB" w:rsidP="008A0C5D">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t>Recent research (Abernethy &amp; Jackson, 2022) recommends a 24-year horizon ending in 2045 as the most policy- and physics-relevant time frame, directly aligning with the Paris Agreement’s 1.5 °C goal. This yields a GWPCH</w:t>
      </w:r>
      <w:r w:rsidRPr="00DF0BA2">
        <w:rPr>
          <w:rFonts w:ascii="Cambria Math" w:eastAsia="Times New Roman" w:hAnsi="Cambria Math" w:cs="Cambria Math"/>
          <w:color w:val="000000" w:themeColor="text1"/>
          <w:sz w:val="24"/>
          <w:szCs w:val="24"/>
        </w:rPr>
        <w:t>₄</w:t>
      </w:r>
      <w:r w:rsidRPr="00DF0BA2">
        <w:rPr>
          <w:rFonts w:ascii="Times New Roman" w:eastAsia="Times New Roman" w:hAnsi="Times New Roman" w:cs="Times New Roman"/>
          <w:color w:val="000000" w:themeColor="text1"/>
          <w:sz w:val="24"/>
          <w:szCs w:val="24"/>
        </w:rPr>
        <w:t xml:space="preserve"> of ~75, which more accurately reflects methane’s contribution to near-term warming than either the GWP</w:t>
      </w:r>
      <w:r w:rsidRPr="00DF0BA2">
        <w:rPr>
          <w:rFonts w:ascii="Cambria Math" w:eastAsia="Times New Roman" w:hAnsi="Cambria Math" w:cs="Cambria Math"/>
          <w:color w:val="000000" w:themeColor="text1"/>
          <w:sz w:val="24"/>
          <w:szCs w:val="24"/>
        </w:rPr>
        <w:t>₂₀</w:t>
      </w:r>
      <w:r w:rsidRPr="00DF0BA2">
        <w:rPr>
          <w:rFonts w:ascii="Times New Roman" w:eastAsia="Times New Roman" w:hAnsi="Times New Roman" w:cs="Times New Roman"/>
          <w:color w:val="000000" w:themeColor="text1"/>
          <w:sz w:val="24"/>
          <w:szCs w:val="24"/>
        </w:rPr>
        <w:t xml:space="preserve"> (~82.5) or GWP</w:t>
      </w:r>
      <w:r w:rsidRPr="00DF0BA2">
        <w:rPr>
          <w:rFonts w:ascii="Cambria Math" w:eastAsia="Times New Roman" w:hAnsi="Cambria Math" w:cs="Cambria Math"/>
          <w:color w:val="000000" w:themeColor="text1"/>
          <w:sz w:val="24"/>
          <w:szCs w:val="24"/>
        </w:rPr>
        <w:t>₁₀₀</w:t>
      </w:r>
      <w:r w:rsidRPr="00DF0BA2">
        <w:rPr>
          <w:rFonts w:ascii="Times New Roman" w:eastAsia="Times New Roman" w:hAnsi="Times New Roman" w:cs="Times New Roman"/>
          <w:color w:val="000000" w:themeColor="text1"/>
          <w:sz w:val="24"/>
          <w:szCs w:val="24"/>
        </w:rPr>
        <w:t xml:space="preserve"> (~27.9). The 24-year horizon corrects for the shortcomings of GWP</w:t>
      </w:r>
      <w:r w:rsidRPr="00DF0BA2">
        <w:rPr>
          <w:rFonts w:ascii="Cambria Math" w:eastAsia="Times New Roman" w:hAnsi="Cambria Math" w:cs="Cambria Math"/>
          <w:color w:val="000000" w:themeColor="text1"/>
          <w:sz w:val="24"/>
          <w:szCs w:val="24"/>
        </w:rPr>
        <w:t>₂₀</w:t>
      </w:r>
      <w:r w:rsidRPr="00DF0BA2">
        <w:rPr>
          <w:rFonts w:ascii="Times New Roman" w:eastAsia="Times New Roman" w:hAnsi="Times New Roman" w:cs="Times New Roman"/>
          <w:color w:val="000000" w:themeColor="text1"/>
          <w:sz w:val="24"/>
          <w:szCs w:val="24"/>
        </w:rPr>
        <w:t>, which exaggerates short-term forcing but ignores post-2045 contributions, and of GWP</w:t>
      </w:r>
      <w:r w:rsidRPr="00DF0BA2">
        <w:rPr>
          <w:rFonts w:ascii="Cambria Math" w:eastAsia="Times New Roman" w:hAnsi="Cambria Math" w:cs="Cambria Math"/>
          <w:color w:val="000000" w:themeColor="text1"/>
          <w:sz w:val="24"/>
          <w:szCs w:val="24"/>
        </w:rPr>
        <w:t>₁₀₀</w:t>
      </w:r>
      <w:r w:rsidRPr="00DF0BA2">
        <w:rPr>
          <w:rFonts w:ascii="Times New Roman" w:eastAsia="Times New Roman" w:hAnsi="Times New Roman" w:cs="Times New Roman"/>
          <w:color w:val="000000" w:themeColor="text1"/>
          <w:sz w:val="24"/>
          <w:szCs w:val="24"/>
        </w:rPr>
        <w:t>, which heavily discounts urgent near-term risks. For the waste sector in particular, where methane emissions are strongly front-loaded and mitigation options (e.g., composting, gas capture) can deliver rapid benefits, adopting GWPCH</w:t>
      </w:r>
      <w:r w:rsidRPr="00DF0BA2">
        <w:rPr>
          <w:rFonts w:ascii="Cambria Math" w:eastAsia="Times New Roman" w:hAnsi="Cambria Math" w:cs="Cambria Math"/>
          <w:color w:val="000000" w:themeColor="text1"/>
          <w:sz w:val="24"/>
          <w:szCs w:val="24"/>
        </w:rPr>
        <w:t>₄</w:t>
      </w:r>
      <w:r w:rsidRPr="00DF0BA2">
        <w:rPr>
          <w:rFonts w:ascii="Times New Roman" w:eastAsia="Times New Roman" w:hAnsi="Times New Roman" w:cs="Times New Roman"/>
          <w:color w:val="000000" w:themeColor="text1"/>
          <w:sz w:val="24"/>
          <w:szCs w:val="24"/>
        </w:rPr>
        <w:t>: 75 ensures emission inventories are aligned with both the physical decay profile of methane and the temporal requirements of the 1.5 °C carbon budget (IPCC, 2021).</w:t>
      </w:r>
    </w:p>
    <w:p w14:paraId="4CAAA688" w14:textId="77777777" w:rsidR="005B52DB" w:rsidRPr="00DF0BA2" w:rsidRDefault="005B52DB" w:rsidP="00C44944">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color w:val="000000" w:themeColor="text1"/>
          <w:sz w:val="24"/>
          <w:szCs w:val="24"/>
        </w:rPr>
        <w:lastRenderedPageBreak/>
        <w:t>Therefore, applying a 24-year horizon with GWP</w:t>
      </w:r>
      <w:r w:rsidRPr="00DF0BA2">
        <w:rPr>
          <w:rFonts w:ascii="Times New Roman" w:eastAsia="Times New Roman" w:hAnsi="Times New Roman" w:cs="Times New Roman"/>
          <w:color w:val="000000" w:themeColor="text1"/>
          <w:sz w:val="24"/>
          <w:szCs w:val="24"/>
          <w:vertAlign w:val="subscript"/>
        </w:rPr>
        <w:t>CH</w:t>
      </w:r>
      <w:r w:rsidRPr="00DF0BA2">
        <w:rPr>
          <w:rFonts w:ascii="Cambria Math" w:eastAsia="Times New Roman" w:hAnsi="Cambria Math" w:cs="Cambria Math"/>
          <w:color w:val="000000" w:themeColor="text1"/>
          <w:sz w:val="24"/>
          <w:szCs w:val="24"/>
        </w:rPr>
        <w:t>₄</w:t>
      </w:r>
      <w:r w:rsidRPr="00DF0BA2">
        <w:rPr>
          <w:rFonts w:ascii="Times New Roman" w:eastAsia="Times New Roman" w:hAnsi="Times New Roman" w:cs="Times New Roman"/>
          <w:color w:val="000000" w:themeColor="text1"/>
          <w:sz w:val="24"/>
          <w:szCs w:val="24"/>
        </w:rPr>
        <w:t>: 75 represents the most scientifically consistent approach for calculating greenhouse gas emission potentials from waste. It ensures inventories neither underestimate the near-term warming threat nor misrepresent the urgency of methane mitigation, thus supporting both accurate climate science and effective waste-policy design (Bera</w:t>
      </w:r>
      <w:r w:rsidR="00EA37E3" w:rsidRPr="00DF0BA2">
        <w:rPr>
          <w:rFonts w:ascii="Times New Roman" w:eastAsia="Times New Roman" w:hAnsi="Times New Roman" w:cs="Times New Roman"/>
          <w:color w:val="000000" w:themeColor="text1"/>
          <w:sz w:val="24"/>
          <w:szCs w:val="24"/>
        </w:rPr>
        <w:t xml:space="preserve"> et al</w:t>
      </w:r>
      <w:r w:rsidRPr="00DF0BA2">
        <w:rPr>
          <w:rFonts w:ascii="Times New Roman" w:eastAsia="Times New Roman" w:hAnsi="Times New Roman" w:cs="Times New Roman"/>
          <w:color w:val="000000" w:themeColor="text1"/>
          <w:sz w:val="24"/>
          <w:szCs w:val="24"/>
        </w:rPr>
        <w:t>, 202</w:t>
      </w:r>
      <w:r w:rsidR="00EA37E3" w:rsidRPr="00DF0BA2">
        <w:rPr>
          <w:rFonts w:ascii="Times New Roman" w:eastAsia="Times New Roman" w:hAnsi="Times New Roman" w:cs="Times New Roman"/>
          <w:color w:val="000000" w:themeColor="text1"/>
          <w:sz w:val="24"/>
          <w:szCs w:val="24"/>
        </w:rPr>
        <w:t>3</w:t>
      </w:r>
      <w:r w:rsidRPr="00DF0BA2">
        <w:rPr>
          <w:rFonts w:ascii="Times New Roman" w:eastAsia="Times New Roman" w:hAnsi="Times New Roman" w:cs="Times New Roman"/>
          <w:color w:val="000000" w:themeColor="text1"/>
          <w:sz w:val="24"/>
          <w:szCs w:val="24"/>
        </w:rPr>
        <w:t>).</w:t>
      </w:r>
    </w:p>
    <w:tbl>
      <w:tblPr>
        <w:tblStyle w:val="TableGrid"/>
        <w:tblW w:w="0" w:type="auto"/>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8395"/>
      </w:tblGrid>
      <w:tr w:rsidR="00DF0BA2" w:rsidRPr="00DF0BA2" w14:paraId="6DD3EEC1" w14:textId="77777777" w:rsidTr="007A6087">
        <w:trPr>
          <w:trHeight w:val="3437"/>
        </w:trPr>
        <w:tc>
          <w:tcPr>
            <w:tcW w:w="8395" w:type="dxa"/>
          </w:tcPr>
          <w:p w14:paraId="49C38BB8" w14:textId="77777777" w:rsidR="005B52DB" w:rsidRPr="00DF0BA2" w:rsidRDefault="005B52DB" w:rsidP="00C44944">
            <w:pPr>
              <w:spacing w:before="100" w:beforeAutospacing="1" w:after="100" w:afterAutospacing="1"/>
              <w:jc w:val="both"/>
              <w:rPr>
                <w:rFonts w:ascii="Times New Roman" w:eastAsia="Times New Roman" w:hAnsi="Times New Roman" w:cs="Times New Roman"/>
                <w:color w:val="000000" w:themeColor="text1"/>
                <w:sz w:val="24"/>
                <w:szCs w:val="24"/>
              </w:rPr>
            </w:pPr>
            <w:r w:rsidRPr="00DF0BA2">
              <w:rPr>
                <w:rFonts w:ascii="Times New Roman" w:eastAsia="Times New Roman" w:hAnsi="Times New Roman" w:cs="Times New Roman"/>
                <w:noProof/>
                <w:color w:val="000000" w:themeColor="text1"/>
                <w:sz w:val="24"/>
                <w:szCs w:val="24"/>
              </w:rPr>
              <w:drawing>
                <wp:inline distT="0" distB="0" distL="0" distR="0" wp14:anchorId="36118729" wp14:editId="7127F38E">
                  <wp:extent cx="5044440" cy="2560320"/>
                  <wp:effectExtent l="19050" t="19050" r="2286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3853" cy="2560022"/>
                          </a:xfrm>
                          <a:prstGeom prst="rect">
                            <a:avLst/>
                          </a:prstGeom>
                          <a:noFill/>
                          <a:ln>
                            <a:solidFill>
                              <a:schemeClr val="tx1"/>
                            </a:solidFill>
                          </a:ln>
                        </pic:spPr>
                      </pic:pic>
                    </a:graphicData>
                  </a:graphic>
                </wp:inline>
              </w:drawing>
            </w:r>
          </w:p>
        </w:tc>
      </w:tr>
      <w:tr w:rsidR="00534905" w:rsidRPr="00DF0BA2" w14:paraId="7210C1DE" w14:textId="77777777" w:rsidTr="007A6087">
        <w:trPr>
          <w:trHeight w:val="460"/>
        </w:trPr>
        <w:tc>
          <w:tcPr>
            <w:tcW w:w="8395" w:type="dxa"/>
          </w:tcPr>
          <w:p w14:paraId="767B44F1" w14:textId="6883E252" w:rsidR="00534905" w:rsidRPr="006323C4" w:rsidRDefault="008E08C7" w:rsidP="006323C4">
            <w:pPr>
              <w:spacing w:before="100" w:beforeAutospacing="1" w:after="100" w:afterAutospacing="1"/>
              <w:ind w:left="863" w:hanging="863"/>
              <w:jc w:val="both"/>
              <w:rPr>
                <w:rFonts w:ascii="Times New Roman" w:eastAsia="Times New Roman" w:hAnsi="Times New Roman" w:cs="Times New Roman"/>
                <w:b/>
                <w:noProof/>
                <w:color w:val="000000" w:themeColor="text1"/>
                <w:sz w:val="24"/>
                <w:szCs w:val="24"/>
              </w:rPr>
            </w:pPr>
            <w:r w:rsidRPr="006323C4">
              <w:rPr>
                <w:rFonts w:ascii="Times New Roman" w:eastAsia="Times New Roman" w:hAnsi="Times New Roman" w:cs="Times New Roman"/>
                <w:b/>
                <w:noProof/>
                <w:color w:val="000000" w:themeColor="text1"/>
                <w:sz w:val="24"/>
                <w:szCs w:val="24"/>
              </w:rPr>
              <w:t xml:space="preserve">Fig 9 : </w:t>
            </w:r>
            <w:r w:rsidR="006323C4" w:rsidRPr="006323C4">
              <w:rPr>
                <w:rFonts w:ascii="Times New Roman" w:eastAsia="Times New Roman" w:hAnsi="Times New Roman" w:cs="Times New Roman"/>
                <w:b/>
                <w:noProof/>
                <w:color w:val="000000" w:themeColor="text1"/>
                <w:sz w:val="24"/>
                <w:szCs w:val="24"/>
              </w:rPr>
              <w:t xml:space="preserve"> Frequency distribution of  GHG emission potential of coir pith  sourced from different coirpith </w:t>
            </w:r>
            <w:r w:rsidR="00C24F0A">
              <w:rPr>
                <w:rFonts w:ascii="Times New Roman" w:eastAsia="Times New Roman" w:hAnsi="Times New Roman" w:cs="Times New Roman"/>
                <w:b/>
                <w:noProof/>
                <w:color w:val="000000" w:themeColor="text1"/>
                <w:sz w:val="24"/>
                <w:szCs w:val="24"/>
              </w:rPr>
              <w:t>factories</w:t>
            </w:r>
          </w:p>
        </w:tc>
      </w:tr>
    </w:tbl>
    <w:p w14:paraId="07EA4648" w14:textId="77777777" w:rsidR="005A7986" w:rsidRPr="00DF0BA2" w:rsidRDefault="005A7986" w:rsidP="00C44944">
      <w:pPr>
        <w:jc w:val="both"/>
        <w:rPr>
          <w:rFonts w:ascii="Times New Roman" w:eastAsia="Times New Roman" w:hAnsi="Times New Roman" w:cs="Times New Roman"/>
          <w:color w:val="000000" w:themeColor="text1"/>
          <w:sz w:val="24"/>
          <w:szCs w:val="24"/>
        </w:rPr>
      </w:pPr>
    </w:p>
    <w:p w14:paraId="4196E989" w14:textId="77777777" w:rsidR="005B52DB" w:rsidRPr="00DF0BA2" w:rsidRDefault="005B52DB" w:rsidP="008E08C7">
      <w:pPr>
        <w:spacing w:after="0" w:line="240" w:lineRule="auto"/>
        <w:jc w:val="both"/>
        <w:rPr>
          <w:rFonts w:ascii="Times New Roman" w:hAnsi="Times New Roman" w:cs="Times New Roman"/>
          <w:b/>
          <w:color w:val="000000" w:themeColor="text1"/>
          <w:sz w:val="24"/>
          <w:szCs w:val="24"/>
        </w:rPr>
      </w:pPr>
      <w:r w:rsidRPr="00DF0BA2">
        <w:rPr>
          <w:rFonts w:ascii="Times New Roman" w:hAnsi="Times New Roman" w:cs="Times New Roman"/>
          <w:b/>
          <w:color w:val="000000" w:themeColor="text1"/>
          <w:sz w:val="24"/>
          <w:szCs w:val="24"/>
        </w:rPr>
        <w:t xml:space="preserve">GHG Emission Potential from </w:t>
      </w:r>
      <w:proofErr w:type="spellStart"/>
      <w:r w:rsidRPr="00DF0BA2">
        <w:rPr>
          <w:rFonts w:ascii="Times New Roman" w:hAnsi="Times New Roman" w:cs="Times New Roman"/>
          <w:b/>
          <w:color w:val="000000" w:themeColor="text1"/>
          <w:sz w:val="24"/>
          <w:szCs w:val="24"/>
        </w:rPr>
        <w:t>Coirpith</w:t>
      </w:r>
      <w:proofErr w:type="spellEnd"/>
      <w:r w:rsidRPr="00DF0BA2">
        <w:rPr>
          <w:rFonts w:ascii="Times New Roman" w:hAnsi="Times New Roman" w:cs="Times New Roman"/>
          <w:b/>
          <w:color w:val="000000" w:themeColor="text1"/>
          <w:sz w:val="24"/>
          <w:szCs w:val="24"/>
        </w:rPr>
        <w:t xml:space="preserve"> waste- A detailed Study</w:t>
      </w:r>
    </w:p>
    <w:p w14:paraId="5589FB25" w14:textId="77777777" w:rsidR="005B52DB" w:rsidRPr="00DF0BA2" w:rsidRDefault="005B52DB" w:rsidP="008E08C7">
      <w:pPr>
        <w:spacing w:after="0" w:line="240" w:lineRule="auto"/>
        <w:jc w:val="both"/>
        <w:rPr>
          <w:rFonts w:ascii="Times New Roman" w:hAnsi="Times New Roman" w:cs="Times New Roman"/>
          <w:color w:val="000000" w:themeColor="text1"/>
          <w:sz w:val="24"/>
          <w:szCs w:val="24"/>
        </w:rPr>
      </w:pPr>
      <w:r w:rsidRPr="00DF0BA2">
        <w:rPr>
          <w:rFonts w:ascii="Times New Roman" w:hAnsi="Times New Roman" w:cs="Times New Roman"/>
          <w:color w:val="000000" w:themeColor="text1"/>
          <w:sz w:val="24"/>
          <w:szCs w:val="24"/>
        </w:rPr>
        <w:t>The methane emission potential of raw coir pith waste was assessed using 65 samples collected from coir factories across Karnataka during 2022–23 to 2024–25. Estimation followed the methodological framework of the Intergovernmental Panel on Climate Change (IPCC, 2006, 2019) to quantify methane generation in terms of carbon dioxide equivalent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per ton of moist raw coir pith. The calculated emission potential, based on a 24-year time horizon, ranged between 4413 and 6963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with a mean value of approximately 5300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The distribution of emission potential across the collected samples is represented in the histogram (Fig. 4). The data demonstrate that the majority of samples clustered within the 5000–6500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range, which accounted for nearly two-thirds of the total dataset. The highest concentration of samples (15 out of 65) occurred in the 6000–6500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class, followed by 13 samples in the 5500–6000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class. Lower ranges of 4000–5000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also showed substantial representation (14 samples each), whereas only one sample was recorded at the uppermost class of 6500–7000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 xml:space="preserve">¹. The fitted polynomial regression (R² = 0.676; S.E. ±16.66) captured the general trend in the frequency distribution, highlighting a unimodal pattern with the peak centered </w:t>
      </w:r>
      <w:r w:rsidR="00521814" w:rsidRPr="00DF0BA2">
        <w:rPr>
          <w:rFonts w:ascii="Times New Roman" w:hAnsi="Times New Roman" w:cs="Times New Roman"/>
          <w:color w:val="000000" w:themeColor="text1"/>
          <w:sz w:val="24"/>
          <w:szCs w:val="24"/>
        </w:rPr>
        <w:t>on</w:t>
      </w:r>
      <w:r w:rsidRPr="00DF0BA2">
        <w:rPr>
          <w:rFonts w:ascii="Times New Roman" w:hAnsi="Times New Roman" w:cs="Times New Roman"/>
          <w:color w:val="000000" w:themeColor="text1"/>
          <w:sz w:val="24"/>
          <w:szCs w:val="24"/>
        </w:rPr>
        <w:t xml:space="preserve"> 6000–6500 kg CO</w:t>
      </w:r>
      <w:r w:rsidRPr="00DF0BA2">
        <w:rPr>
          <w:rFonts w:ascii="Cambria Math" w:hAnsi="Cambria Math" w:cs="Cambria Math"/>
          <w:color w:val="000000" w:themeColor="text1"/>
          <w:sz w:val="24"/>
          <w:szCs w:val="24"/>
        </w:rPr>
        <w:t>₂</w:t>
      </w:r>
      <w:r w:rsidRPr="00DF0BA2">
        <w:rPr>
          <w:rFonts w:ascii="Times New Roman" w:hAnsi="Times New Roman" w:cs="Times New Roman"/>
          <w:color w:val="000000" w:themeColor="text1"/>
          <w:sz w:val="24"/>
          <w:szCs w:val="24"/>
        </w:rPr>
        <w:t>-eq ton</w:t>
      </w:r>
      <w:r w:rsidRPr="00DF0BA2">
        <w:rPr>
          <w:rFonts w:ascii="Cambria Math" w:hAnsi="Cambria Math" w:cs="Cambria Math"/>
          <w:color w:val="000000" w:themeColor="text1"/>
          <w:sz w:val="24"/>
          <w:szCs w:val="24"/>
        </w:rPr>
        <w:t>⁻</w:t>
      </w:r>
      <w:r w:rsidRPr="00DF0BA2">
        <w:rPr>
          <w:rFonts w:ascii="Times New Roman" w:hAnsi="Times New Roman" w:cs="Times New Roman"/>
          <w:color w:val="000000" w:themeColor="text1"/>
          <w:sz w:val="24"/>
          <w:szCs w:val="24"/>
        </w:rPr>
        <w:t>¹. This distribution indicates that raw coir pith waste, if left unmanaged, possesses a</w:t>
      </w:r>
      <w:r w:rsidR="00936269" w:rsidRPr="00DF0BA2">
        <w:rPr>
          <w:rFonts w:ascii="Times New Roman" w:hAnsi="Times New Roman" w:cs="Times New Roman"/>
          <w:color w:val="000000" w:themeColor="text1"/>
          <w:sz w:val="24"/>
          <w:szCs w:val="24"/>
        </w:rPr>
        <w:t xml:space="preserve"> </w:t>
      </w:r>
      <w:r w:rsidRPr="00DF0BA2">
        <w:rPr>
          <w:rFonts w:ascii="Times New Roman" w:hAnsi="Times New Roman" w:cs="Times New Roman"/>
          <w:color w:val="000000" w:themeColor="text1"/>
          <w:sz w:val="24"/>
          <w:szCs w:val="24"/>
        </w:rPr>
        <w:t>substantial greenhouse gas (GHG) emission potential. The long-tail occurrence of higher emission values, though limited in frequency, further underscores the variability among samples</w:t>
      </w:r>
      <w:r w:rsidR="005A7986" w:rsidRPr="00DF0BA2">
        <w:rPr>
          <w:rFonts w:ascii="Times New Roman" w:hAnsi="Times New Roman" w:cs="Times New Roman"/>
          <w:color w:val="000000" w:themeColor="text1"/>
          <w:sz w:val="24"/>
          <w:szCs w:val="24"/>
        </w:rPr>
        <w:t xml:space="preserve"> </w:t>
      </w:r>
      <w:r w:rsidRPr="00DF0BA2">
        <w:rPr>
          <w:rFonts w:ascii="Times New Roman" w:hAnsi="Times New Roman" w:cs="Times New Roman"/>
          <w:color w:val="000000" w:themeColor="text1"/>
          <w:sz w:val="24"/>
          <w:szCs w:val="24"/>
        </w:rPr>
        <w:t xml:space="preserve">sourced from different factories. Overall, these findings emphasize that untreated coir pith is a significant methane emission source, and its management through sustainable practices such as controlled aerobic composting (e.g., </w:t>
      </w:r>
      <w:proofErr w:type="spellStart"/>
      <w:r w:rsidRPr="00DF0BA2">
        <w:rPr>
          <w:rFonts w:ascii="Times New Roman" w:hAnsi="Times New Roman" w:cs="Times New Roman"/>
          <w:color w:val="000000" w:themeColor="text1"/>
          <w:sz w:val="24"/>
          <w:szCs w:val="24"/>
        </w:rPr>
        <w:t>Novcom</w:t>
      </w:r>
      <w:proofErr w:type="spellEnd"/>
      <w:r w:rsidRPr="00DF0BA2">
        <w:rPr>
          <w:rFonts w:ascii="Times New Roman" w:hAnsi="Times New Roman" w:cs="Times New Roman"/>
          <w:color w:val="000000" w:themeColor="text1"/>
          <w:sz w:val="24"/>
          <w:szCs w:val="24"/>
        </w:rPr>
        <w:t xml:space="preserve"> method) is critical for reducing climate impacts.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E08C7" w14:paraId="7863A015" w14:textId="77777777" w:rsidTr="009E162F">
        <w:trPr>
          <w:trHeight w:val="4697"/>
        </w:trPr>
        <w:tc>
          <w:tcPr>
            <w:tcW w:w="9576" w:type="dxa"/>
          </w:tcPr>
          <w:p w14:paraId="29749422" w14:textId="77777777" w:rsidR="008E08C7" w:rsidRDefault="00DD641F" w:rsidP="00DD641F">
            <w:pPr>
              <w:jc w:val="center"/>
              <w:outlineLvl w:val="2"/>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lastRenderedPageBreak/>
              <w:drawing>
                <wp:inline distT="0" distB="0" distL="0" distR="0" wp14:anchorId="5D3D44FB" wp14:editId="128C343E">
                  <wp:extent cx="5924550" cy="3303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4918" cy="3303820"/>
                          </a:xfrm>
                          <a:prstGeom prst="rect">
                            <a:avLst/>
                          </a:prstGeom>
                          <a:noFill/>
                        </pic:spPr>
                      </pic:pic>
                    </a:graphicData>
                  </a:graphic>
                </wp:inline>
              </w:drawing>
            </w:r>
          </w:p>
        </w:tc>
      </w:tr>
      <w:tr w:rsidR="008E08C7" w14:paraId="4A0BC0AD" w14:textId="77777777" w:rsidTr="009E162F">
        <w:tc>
          <w:tcPr>
            <w:tcW w:w="9576" w:type="dxa"/>
          </w:tcPr>
          <w:p w14:paraId="21014DA0" w14:textId="77777777" w:rsidR="008E08C7" w:rsidRDefault="009E162F" w:rsidP="008E08C7">
            <w:pPr>
              <w:jc w:val="both"/>
              <w:outlineLvl w:val="2"/>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Pic </w:t>
            </w:r>
            <w:proofErr w:type="gramStart"/>
            <w:r>
              <w:rPr>
                <w:rFonts w:ascii="Times New Roman" w:eastAsia="Times New Roman" w:hAnsi="Times New Roman" w:cs="Times New Roman"/>
                <w:b/>
                <w:bCs/>
                <w:color w:val="000000" w:themeColor="text1"/>
                <w:sz w:val="24"/>
                <w:szCs w:val="24"/>
              </w:rPr>
              <w:t>2 :</w:t>
            </w:r>
            <w:proofErr w:type="gramEnd"/>
            <w:r>
              <w:rPr>
                <w:rFonts w:ascii="Times New Roman" w:eastAsia="Times New Roman" w:hAnsi="Times New Roman" w:cs="Times New Roman"/>
                <w:b/>
                <w:bCs/>
                <w:color w:val="000000" w:themeColor="text1"/>
                <w:sz w:val="24"/>
                <w:szCs w:val="24"/>
              </w:rPr>
              <w:t xml:space="preserve"> Development of </w:t>
            </w:r>
            <w:proofErr w:type="spellStart"/>
            <w:r>
              <w:rPr>
                <w:rFonts w:ascii="Times New Roman" w:eastAsia="Times New Roman" w:hAnsi="Times New Roman" w:cs="Times New Roman"/>
                <w:b/>
                <w:bCs/>
                <w:color w:val="000000" w:themeColor="text1"/>
                <w:sz w:val="24"/>
                <w:szCs w:val="24"/>
              </w:rPr>
              <w:t>Novcom</w:t>
            </w:r>
            <w:proofErr w:type="spellEnd"/>
            <w:r>
              <w:rPr>
                <w:rFonts w:ascii="Times New Roman" w:eastAsia="Times New Roman" w:hAnsi="Times New Roman" w:cs="Times New Roman"/>
                <w:b/>
                <w:bCs/>
                <w:color w:val="000000" w:themeColor="text1"/>
                <w:sz w:val="24"/>
                <w:szCs w:val="24"/>
              </w:rPr>
              <w:t xml:space="preserve"> coir pith pro tray </w:t>
            </w:r>
            <w:r w:rsidR="0026183D">
              <w:rPr>
                <w:rFonts w:ascii="Times New Roman" w:eastAsia="Times New Roman" w:hAnsi="Times New Roman" w:cs="Times New Roman"/>
                <w:b/>
                <w:bCs/>
                <w:color w:val="000000" w:themeColor="text1"/>
                <w:sz w:val="24"/>
                <w:szCs w:val="24"/>
              </w:rPr>
              <w:t>media</w:t>
            </w:r>
            <w:r>
              <w:rPr>
                <w:rFonts w:ascii="Times New Roman" w:eastAsia="Times New Roman" w:hAnsi="Times New Roman" w:cs="Times New Roman"/>
                <w:b/>
                <w:bCs/>
                <w:color w:val="000000" w:themeColor="text1"/>
                <w:sz w:val="24"/>
                <w:szCs w:val="24"/>
              </w:rPr>
              <w:t xml:space="preserve"> at </w:t>
            </w:r>
            <w:proofErr w:type="spellStart"/>
            <w:r>
              <w:rPr>
                <w:rFonts w:ascii="Times New Roman" w:eastAsia="Times New Roman" w:hAnsi="Times New Roman" w:cs="Times New Roman"/>
                <w:b/>
                <w:bCs/>
                <w:color w:val="000000" w:themeColor="text1"/>
                <w:sz w:val="24"/>
                <w:szCs w:val="24"/>
              </w:rPr>
              <w:t>Ramnagar</w:t>
            </w:r>
            <w:proofErr w:type="spellEnd"/>
            <w:r>
              <w:rPr>
                <w:rFonts w:ascii="Times New Roman" w:eastAsia="Times New Roman" w:hAnsi="Times New Roman" w:cs="Times New Roman"/>
                <w:b/>
                <w:bCs/>
                <w:color w:val="000000" w:themeColor="text1"/>
                <w:sz w:val="24"/>
                <w:szCs w:val="24"/>
              </w:rPr>
              <w:t>, Karnataka.</w:t>
            </w:r>
          </w:p>
        </w:tc>
      </w:tr>
    </w:tbl>
    <w:p w14:paraId="3FEB869D" w14:textId="77777777" w:rsidR="008E08C7" w:rsidRDefault="008E08C7" w:rsidP="008E08C7">
      <w:pPr>
        <w:spacing w:after="0" w:line="240" w:lineRule="auto"/>
        <w:jc w:val="both"/>
        <w:outlineLvl w:val="2"/>
        <w:rPr>
          <w:rFonts w:ascii="Times New Roman" w:eastAsia="Times New Roman" w:hAnsi="Times New Roman" w:cs="Times New Roman"/>
          <w:b/>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92541" w14:paraId="79C698C0" w14:textId="77777777" w:rsidTr="00C75590">
        <w:trPr>
          <w:trHeight w:val="5678"/>
        </w:trPr>
        <w:tc>
          <w:tcPr>
            <w:tcW w:w="9576" w:type="dxa"/>
          </w:tcPr>
          <w:p w14:paraId="13608B24" w14:textId="451D71DF" w:rsidR="00A92541" w:rsidRDefault="00C75590">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14:anchorId="3475E4DE" wp14:editId="483FE288">
                  <wp:extent cx="5933440" cy="3571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8112" cy="3568496"/>
                          </a:xfrm>
                          <a:prstGeom prst="rect">
                            <a:avLst/>
                          </a:prstGeom>
                          <a:noFill/>
                        </pic:spPr>
                      </pic:pic>
                    </a:graphicData>
                  </a:graphic>
                </wp:inline>
              </w:drawing>
            </w:r>
          </w:p>
        </w:tc>
      </w:tr>
      <w:tr w:rsidR="00A92541" w14:paraId="4DFDFFC4" w14:textId="77777777" w:rsidTr="00C75590">
        <w:tc>
          <w:tcPr>
            <w:tcW w:w="9576" w:type="dxa"/>
          </w:tcPr>
          <w:p w14:paraId="52DEF230" w14:textId="6C146CCB" w:rsidR="00A92541" w:rsidRDefault="00A92541">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Pic 3</w:t>
            </w:r>
            <w:r w:rsidR="00C75590">
              <w:rPr>
                <w:rFonts w:ascii="Times New Roman" w:eastAsia="Times New Roman" w:hAnsi="Times New Roman" w:cs="Times New Roman"/>
                <w:b/>
                <w:bCs/>
                <w:color w:val="000000" w:themeColor="text1"/>
                <w:sz w:val="24"/>
                <w:szCs w:val="24"/>
              </w:rPr>
              <w:t xml:space="preserve"> : </w:t>
            </w:r>
            <w:r w:rsidR="00C75590" w:rsidRPr="00C75590">
              <w:rPr>
                <w:rFonts w:ascii="Times New Roman" w:eastAsia="Times New Roman" w:hAnsi="Times New Roman" w:cs="Times New Roman"/>
                <w:b/>
                <w:bCs/>
                <w:color w:val="000000" w:themeColor="text1"/>
                <w:sz w:val="24"/>
                <w:szCs w:val="24"/>
              </w:rPr>
              <w:t xml:space="preserve">Healthy seedling development using </w:t>
            </w:r>
            <w:proofErr w:type="spellStart"/>
            <w:r w:rsidR="00C75590" w:rsidRPr="00C75590">
              <w:rPr>
                <w:rFonts w:ascii="Times New Roman" w:eastAsia="Times New Roman" w:hAnsi="Times New Roman" w:cs="Times New Roman"/>
                <w:b/>
                <w:bCs/>
                <w:color w:val="000000" w:themeColor="text1"/>
                <w:sz w:val="24"/>
                <w:szCs w:val="24"/>
              </w:rPr>
              <w:t>Novcom</w:t>
            </w:r>
            <w:proofErr w:type="spellEnd"/>
            <w:r w:rsidR="00C75590" w:rsidRPr="00C75590">
              <w:rPr>
                <w:rFonts w:ascii="Times New Roman" w:eastAsia="Times New Roman" w:hAnsi="Times New Roman" w:cs="Times New Roman"/>
                <w:b/>
                <w:bCs/>
                <w:color w:val="000000" w:themeColor="text1"/>
                <w:sz w:val="24"/>
                <w:szCs w:val="24"/>
              </w:rPr>
              <w:t xml:space="preserve"> coir pith pro-tray media</w:t>
            </w:r>
          </w:p>
        </w:tc>
      </w:tr>
    </w:tbl>
    <w:p w14:paraId="41FC5451" w14:textId="77777777" w:rsidR="00A92541" w:rsidRDefault="00A92541">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4997FFBD" w14:textId="27F01FAF" w:rsidR="005B52DB" w:rsidRPr="00DF0BA2" w:rsidRDefault="005B52DB" w:rsidP="008E08C7">
      <w:pPr>
        <w:spacing w:after="0" w:line="240" w:lineRule="auto"/>
        <w:jc w:val="both"/>
        <w:outlineLvl w:val="2"/>
        <w:rPr>
          <w:rFonts w:ascii="Times New Roman" w:eastAsia="Times New Roman" w:hAnsi="Times New Roman" w:cs="Times New Roman"/>
          <w:b/>
          <w:bCs/>
          <w:color w:val="000000" w:themeColor="text1"/>
          <w:sz w:val="24"/>
          <w:szCs w:val="24"/>
        </w:rPr>
      </w:pPr>
      <w:r w:rsidRPr="00DF0BA2">
        <w:rPr>
          <w:rFonts w:ascii="Times New Roman" w:eastAsia="Times New Roman" w:hAnsi="Times New Roman" w:cs="Times New Roman"/>
          <w:b/>
          <w:bCs/>
          <w:color w:val="000000" w:themeColor="text1"/>
          <w:sz w:val="24"/>
          <w:szCs w:val="24"/>
        </w:rPr>
        <w:lastRenderedPageBreak/>
        <w:t>Conclusion</w:t>
      </w:r>
    </w:p>
    <w:p w14:paraId="673AD32B" w14:textId="59DA4651" w:rsidR="00534905" w:rsidRDefault="007F0E22" w:rsidP="008E08C7">
      <w:pPr>
        <w:spacing w:after="0" w:line="240" w:lineRule="auto"/>
        <w:jc w:val="both"/>
        <w:rPr>
          <w:rStyle w:val="Strong"/>
          <w:rFonts w:ascii="Times New Roman" w:hAnsi="Times New Roman" w:cs="Times New Roman"/>
          <w:b w:val="0"/>
          <w:color w:val="000000" w:themeColor="text1"/>
          <w:sz w:val="24"/>
          <w:szCs w:val="24"/>
        </w:rPr>
      </w:pPr>
      <w:r w:rsidRPr="00DF0BA2">
        <w:rPr>
          <w:rFonts w:ascii="Times New Roman" w:hAnsi="Times New Roman" w:cs="Times New Roman"/>
          <w:color w:val="000000" w:themeColor="text1"/>
          <w:sz w:val="24"/>
          <w:szCs w:val="24"/>
        </w:rPr>
        <w:t xml:space="preserve">This study </w:t>
      </w:r>
      <w:r w:rsidR="003312B1">
        <w:rPr>
          <w:rFonts w:ascii="Times New Roman" w:hAnsi="Times New Roman" w:cs="Times New Roman"/>
          <w:color w:val="000000" w:themeColor="text1"/>
          <w:sz w:val="24"/>
          <w:szCs w:val="24"/>
        </w:rPr>
        <w:t>demonstrate</w:t>
      </w:r>
      <w:r w:rsidR="00A8578A">
        <w:rPr>
          <w:rFonts w:ascii="Times New Roman" w:hAnsi="Times New Roman" w:cs="Times New Roman"/>
          <w:color w:val="000000" w:themeColor="text1"/>
          <w:sz w:val="24"/>
          <w:szCs w:val="24"/>
        </w:rPr>
        <w:t>s</w:t>
      </w:r>
      <w:r w:rsidRPr="00DF0BA2">
        <w:rPr>
          <w:rFonts w:ascii="Times New Roman" w:hAnsi="Times New Roman" w:cs="Times New Roman"/>
          <w:color w:val="000000" w:themeColor="text1"/>
          <w:sz w:val="24"/>
          <w:szCs w:val="24"/>
        </w:rPr>
        <w:t xml:space="preserve"> that converting coir pith into a properly conditioned pro-tray medium delivers </w:t>
      </w:r>
      <w:r w:rsidR="003312B1">
        <w:rPr>
          <w:rFonts w:ascii="Times New Roman" w:hAnsi="Times New Roman" w:cs="Times New Roman"/>
          <w:color w:val="000000" w:themeColor="text1"/>
          <w:sz w:val="24"/>
          <w:szCs w:val="24"/>
        </w:rPr>
        <w:t>durable</w:t>
      </w:r>
      <w:r w:rsidRPr="00DF0BA2">
        <w:rPr>
          <w:rFonts w:ascii="Times New Roman" w:hAnsi="Times New Roman" w:cs="Times New Roman"/>
          <w:color w:val="000000" w:themeColor="text1"/>
          <w:sz w:val="24"/>
          <w:szCs w:val="24"/>
        </w:rPr>
        <w:t xml:space="preserve"> agronomic and ecological </w:t>
      </w:r>
      <w:r w:rsidR="003312B1">
        <w:rPr>
          <w:rFonts w:ascii="Times New Roman" w:hAnsi="Times New Roman" w:cs="Times New Roman"/>
          <w:color w:val="000000" w:themeColor="text1"/>
          <w:sz w:val="24"/>
          <w:szCs w:val="24"/>
        </w:rPr>
        <w:t>gain</w:t>
      </w:r>
      <w:r w:rsidRPr="00DF0BA2">
        <w:rPr>
          <w:rFonts w:ascii="Times New Roman" w:hAnsi="Times New Roman" w:cs="Times New Roman"/>
          <w:color w:val="000000" w:themeColor="text1"/>
          <w:sz w:val="24"/>
          <w:szCs w:val="24"/>
        </w:rPr>
        <w:t xml:space="preserve">s </w:t>
      </w:r>
      <w:r w:rsidR="003312B1">
        <w:rPr>
          <w:rFonts w:ascii="Times New Roman" w:hAnsi="Times New Roman" w:cs="Times New Roman"/>
          <w:color w:val="000000" w:themeColor="text1"/>
          <w:sz w:val="24"/>
          <w:szCs w:val="24"/>
        </w:rPr>
        <w:t xml:space="preserve">well </w:t>
      </w:r>
      <w:r w:rsidRPr="00DF0BA2">
        <w:rPr>
          <w:rFonts w:ascii="Times New Roman" w:hAnsi="Times New Roman" w:cs="Times New Roman"/>
          <w:color w:val="000000" w:themeColor="text1"/>
          <w:sz w:val="24"/>
          <w:szCs w:val="24"/>
        </w:rPr>
        <w:t xml:space="preserve">beyond substrate improvement. Seedlings </w:t>
      </w:r>
      <w:r w:rsidR="003312B1">
        <w:rPr>
          <w:rFonts w:ascii="Times New Roman" w:hAnsi="Times New Roman" w:cs="Times New Roman"/>
          <w:color w:val="000000" w:themeColor="text1"/>
          <w:sz w:val="24"/>
          <w:szCs w:val="24"/>
        </w:rPr>
        <w:t>raised</w:t>
      </w:r>
      <w:r w:rsidRPr="00DF0BA2">
        <w:rPr>
          <w:rFonts w:ascii="Times New Roman" w:hAnsi="Times New Roman" w:cs="Times New Roman"/>
          <w:color w:val="000000" w:themeColor="text1"/>
          <w:sz w:val="24"/>
          <w:szCs w:val="24"/>
        </w:rPr>
        <w:t xml:space="preserve"> in </w:t>
      </w:r>
      <w:r w:rsidR="003312B1">
        <w:rPr>
          <w:rFonts w:ascii="Times New Roman" w:hAnsi="Times New Roman" w:cs="Times New Roman"/>
          <w:color w:val="000000" w:themeColor="text1"/>
          <w:sz w:val="24"/>
          <w:szCs w:val="24"/>
        </w:rPr>
        <w:t xml:space="preserve">these </w:t>
      </w:r>
      <w:r w:rsidRPr="00DF0BA2">
        <w:rPr>
          <w:rFonts w:ascii="Times New Roman" w:hAnsi="Times New Roman" w:cs="Times New Roman"/>
          <w:color w:val="000000" w:themeColor="text1"/>
          <w:sz w:val="24"/>
          <w:szCs w:val="24"/>
        </w:rPr>
        <w:t xml:space="preserve">biologically </w:t>
      </w:r>
      <w:r w:rsidR="003312B1">
        <w:rPr>
          <w:rFonts w:ascii="Times New Roman" w:hAnsi="Times New Roman" w:cs="Times New Roman"/>
          <w:color w:val="000000" w:themeColor="text1"/>
          <w:sz w:val="24"/>
          <w:szCs w:val="24"/>
        </w:rPr>
        <w:t>enrich</w:t>
      </w:r>
      <w:r w:rsidRPr="00DF0BA2">
        <w:rPr>
          <w:rFonts w:ascii="Times New Roman" w:hAnsi="Times New Roman" w:cs="Times New Roman"/>
          <w:color w:val="000000" w:themeColor="text1"/>
          <w:sz w:val="24"/>
          <w:szCs w:val="24"/>
        </w:rPr>
        <w:t>ed medi</w:t>
      </w:r>
      <w:r w:rsidR="003312B1">
        <w:rPr>
          <w:rFonts w:ascii="Times New Roman" w:hAnsi="Times New Roman" w:cs="Times New Roman"/>
          <w:color w:val="000000" w:themeColor="text1"/>
          <w:sz w:val="24"/>
          <w:szCs w:val="24"/>
        </w:rPr>
        <w:t>um</w:t>
      </w:r>
      <w:r w:rsidRPr="00DF0BA2">
        <w:rPr>
          <w:rFonts w:ascii="Times New Roman" w:hAnsi="Times New Roman" w:cs="Times New Roman"/>
          <w:color w:val="000000" w:themeColor="text1"/>
          <w:sz w:val="24"/>
          <w:szCs w:val="24"/>
        </w:rPr>
        <w:t xml:space="preserve"> establish </w:t>
      </w:r>
      <w:r w:rsidR="003312B1" w:rsidRPr="003312B1">
        <w:rPr>
          <w:rFonts w:ascii="Times New Roman" w:hAnsi="Times New Roman" w:cs="Times New Roman"/>
          <w:color w:val="000000" w:themeColor="text1"/>
          <w:sz w:val="24"/>
          <w:szCs w:val="24"/>
        </w:rPr>
        <w:t xml:space="preserve">faster, carry high-density microbial consortia into the field, </w:t>
      </w:r>
      <w:r w:rsidR="003312B1" w:rsidRPr="00DF0BA2">
        <w:rPr>
          <w:rFonts w:ascii="Times New Roman" w:hAnsi="Times New Roman" w:cs="Times New Roman"/>
          <w:color w:val="000000" w:themeColor="text1"/>
          <w:sz w:val="24"/>
          <w:szCs w:val="24"/>
        </w:rPr>
        <w:t>strengthen early plant–soil functional coupling</w:t>
      </w:r>
      <w:r w:rsidR="003312B1">
        <w:rPr>
          <w:rFonts w:ascii="Times New Roman" w:hAnsi="Times New Roman" w:cs="Times New Roman"/>
          <w:color w:val="000000" w:themeColor="text1"/>
          <w:sz w:val="24"/>
          <w:szCs w:val="24"/>
        </w:rPr>
        <w:t>,</w:t>
      </w:r>
      <w:r w:rsidR="003312B1" w:rsidRPr="003312B1">
        <w:rPr>
          <w:rFonts w:ascii="Times New Roman" w:hAnsi="Times New Roman" w:cs="Times New Roman"/>
          <w:color w:val="000000" w:themeColor="text1"/>
          <w:sz w:val="24"/>
          <w:szCs w:val="24"/>
        </w:rPr>
        <w:t xml:space="preserve"> and catalyze rhizosphere processes that enhance nutrient mobilization and reduce reliance on mineral fertilizers</w:t>
      </w:r>
      <w:r w:rsidRPr="00DF0BA2">
        <w:rPr>
          <w:rFonts w:ascii="Times New Roman" w:hAnsi="Times New Roman" w:cs="Times New Roman"/>
          <w:color w:val="000000" w:themeColor="text1"/>
          <w:sz w:val="24"/>
          <w:szCs w:val="24"/>
        </w:rPr>
        <w:t xml:space="preserve">. Practically, the technology resolves two bottlenecks: </w:t>
      </w:r>
      <w:r w:rsidR="003312B1" w:rsidRPr="003312B1">
        <w:rPr>
          <w:rFonts w:ascii="Times New Roman" w:hAnsi="Times New Roman" w:cs="Times New Roman"/>
          <w:color w:val="000000" w:themeColor="text1"/>
          <w:sz w:val="24"/>
          <w:szCs w:val="24"/>
        </w:rPr>
        <w:t>valorizing abundant coir waste into a predictable nursery input and enabling cost-effective microbial delivery at transplanting</w:t>
      </w:r>
      <w:r w:rsidRPr="00DF0BA2">
        <w:rPr>
          <w:rFonts w:ascii="Times New Roman" w:hAnsi="Times New Roman" w:cs="Times New Roman"/>
          <w:color w:val="000000" w:themeColor="text1"/>
          <w:sz w:val="24"/>
          <w:szCs w:val="24"/>
        </w:rPr>
        <w:t xml:space="preserve"> and </w:t>
      </w:r>
      <w:r w:rsidR="003312B1" w:rsidRPr="003312B1">
        <w:rPr>
          <w:rFonts w:ascii="Times New Roman" w:hAnsi="Times New Roman" w:cs="Times New Roman"/>
          <w:color w:val="000000" w:themeColor="text1"/>
          <w:sz w:val="24"/>
          <w:szCs w:val="24"/>
        </w:rPr>
        <w:t>contributing to sustainability through improved nutrient-use efficiency, soil biological resilience, reduced waste pollution, and &gt;99% methane mitigation</w:t>
      </w:r>
      <w:r w:rsidRPr="00DF0BA2">
        <w:rPr>
          <w:rFonts w:ascii="Times New Roman" w:hAnsi="Times New Roman" w:cs="Times New Roman"/>
          <w:color w:val="000000" w:themeColor="text1"/>
          <w:sz w:val="24"/>
          <w:szCs w:val="24"/>
        </w:rPr>
        <w:t xml:space="preserve">. For safe and scalable adoption, </w:t>
      </w:r>
      <w:r w:rsidR="003312B1" w:rsidRPr="003312B1">
        <w:rPr>
          <w:rFonts w:ascii="Times New Roman" w:hAnsi="Times New Roman" w:cs="Times New Roman"/>
          <w:color w:val="000000" w:themeColor="text1"/>
          <w:sz w:val="24"/>
          <w:szCs w:val="24"/>
        </w:rPr>
        <w:t>emphasis must be placed on product quality control, biosecurity safeguards, and integration with adaptive nutrient management</w:t>
      </w:r>
      <w:r w:rsidRPr="00DF0BA2">
        <w:rPr>
          <w:rFonts w:ascii="Times New Roman" w:hAnsi="Times New Roman" w:cs="Times New Roman"/>
          <w:color w:val="000000" w:themeColor="text1"/>
          <w:sz w:val="24"/>
          <w:szCs w:val="24"/>
        </w:rPr>
        <w:t xml:space="preserve"> to avoid transient nutrient drawdowns. </w:t>
      </w:r>
      <w:r w:rsidR="003312B1" w:rsidRPr="003312B1">
        <w:rPr>
          <w:rFonts w:ascii="Times New Roman" w:hAnsi="Times New Roman" w:cs="Times New Roman"/>
          <w:color w:val="000000" w:themeColor="text1"/>
          <w:sz w:val="24"/>
          <w:szCs w:val="24"/>
        </w:rPr>
        <w:t>Future research should track persistence of functional microbiomes across cycles, link soil–plant interactions to yield and quality, and evaluate lifecycle economics and risks</w:t>
      </w:r>
      <w:r w:rsidRPr="00DF0BA2">
        <w:rPr>
          <w:rFonts w:ascii="Times New Roman" w:hAnsi="Times New Roman" w:cs="Times New Roman"/>
          <w:color w:val="000000" w:themeColor="text1"/>
          <w:sz w:val="24"/>
          <w:szCs w:val="24"/>
        </w:rPr>
        <w:t xml:space="preserve">. Confirmed durable gains would position conditioned coir pro-tray media as a </w:t>
      </w:r>
      <w:r w:rsidR="00F75D9D" w:rsidRPr="00F75D9D">
        <w:rPr>
          <w:rFonts w:ascii="Times New Roman" w:hAnsi="Times New Roman" w:cs="Times New Roman"/>
          <w:color w:val="000000" w:themeColor="text1"/>
          <w:sz w:val="24"/>
          <w:szCs w:val="24"/>
        </w:rPr>
        <w:t>practical, climate-smart input for resilient and resource-efficient agriculture</w:t>
      </w:r>
      <w:r w:rsidRPr="00DF0BA2">
        <w:rPr>
          <w:rFonts w:ascii="Times New Roman" w:hAnsi="Times New Roman" w:cs="Times New Roman"/>
          <w:color w:val="000000" w:themeColor="text1"/>
          <w:sz w:val="24"/>
          <w:szCs w:val="24"/>
        </w:rPr>
        <w:t>.</w:t>
      </w:r>
    </w:p>
    <w:p w14:paraId="56C40CD5" w14:textId="77777777" w:rsidR="00534905" w:rsidRDefault="00534905" w:rsidP="008E08C7">
      <w:pPr>
        <w:spacing w:after="0" w:line="240" w:lineRule="auto"/>
        <w:jc w:val="both"/>
        <w:rPr>
          <w:rFonts w:ascii="Times New Roman" w:hAnsi="Times New Roman" w:cs="Times New Roman"/>
          <w:sz w:val="24"/>
          <w:szCs w:val="24"/>
        </w:rPr>
      </w:pPr>
    </w:p>
    <w:p w14:paraId="3A2D3D04" w14:textId="13EA8B56" w:rsidR="00B72390" w:rsidRDefault="00B72390" w:rsidP="008E08C7">
      <w:pPr>
        <w:spacing w:after="0" w:line="240" w:lineRule="auto"/>
        <w:jc w:val="both"/>
        <w:rPr>
          <w:rFonts w:ascii="Times New Roman" w:eastAsia="Times New Roman" w:hAnsi="Times New Roman" w:cs="Times New Roman"/>
          <w:color w:val="000000" w:themeColor="text1"/>
          <w:sz w:val="24"/>
          <w:szCs w:val="24"/>
        </w:rPr>
      </w:pPr>
      <w:r w:rsidRPr="00B72390">
        <w:rPr>
          <w:rFonts w:ascii="Times New Roman" w:eastAsia="Times New Roman" w:hAnsi="Times New Roman" w:cs="Times New Roman"/>
          <w:b/>
          <w:color w:val="000000" w:themeColor="text1"/>
          <w:sz w:val="24"/>
          <w:szCs w:val="24"/>
        </w:rPr>
        <w:t>DISCLAIMER (ARTIFICIAL INTELLIGENCE)</w:t>
      </w:r>
      <w:r>
        <w:rPr>
          <w:rFonts w:ascii="Times New Roman" w:eastAsia="Times New Roman" w:hAnsi="Times New Roman" w:cs="Times New Roman"/>
          <w:b/>
          <w:color w:val="000000" w:themeColor="text1"/>
          <w:sz w:val="24"/>
          <w:szCs w:val="24"/>
        </w:rPr>
        <w:t xml:space="preserve"> : </w:t>
      </w:r>
      <w:r w:rsidRPr="00B72390">
        <w:rPr>
          <w:rFonts w:ascii="Times New Roman" w:eastAsia="Times New Roman" w:hAnsi="Times New Roman" w:cs="Times New Roman"/>
          <w:color w:val="000000" w:themeColor="text1"/>
          <w:sz w:val="24"/>
          <w:szCs w:val="24"/>
        </w:rPr>
        <w:t>We hereby   declare   that   N</w:t>
      </w:r>
      <w:r w:rsidR="00A92541">
        <w:rPr>
          <w:rFonts w:ascii="Times New Roman" w:eastAsia="Times New Roman" w:hAnsi="Times New Roman" w:cs="Times New Roman"/>
          <w:color w:val="000000" w:themeColor="text1"/>
          <w:sz w:val="24"/>
          <w:szCs w:val="24"/>
        </w:rPr>
        <w:t>o</w:t>
      </w:r>
      <w:r w:rsidRPr="00B72390">
        <w:rPr>
          <w:rFonts w:ascii="Times New Roman" w:eastAsia="Times New Roman" w:hAnsi="Times New Roman" w:cs="Times New Roman"/>
          <w:color w:val="000000" w:themeColor="text1"/>
          <w:sz w:val="24"/>
          <w:szCs w:val="24"/>
        </w:rPr>
        <w:t xml:space="preserve">   generative   AI technologies  such  as  Large  Language  Models (ChatGPT,   COPILOT,   </w:t>
      </w:r>
      <w:proofErr w:type="spellStart"/>
      <w:r w:rsidRPr="00B72390">
        <w:rPr>
          <w:rFonts w:ascii="Times New Roman" w:eastAsia="Times New Roman" w:hAnsi="Times New Roman" w:cs="Times New Roman"/>
          <w:color w:val="000000" w:themeColor="text1"/>
          <w:sz w:val="24"/>
          <w:szCs w:val="24"/>
        </w:rPr>
        <w:t>etc</w:t>
      </w:r>
      <w:proofErr w:type="spellEnd"/>
      <w:r w:rsidRPr="00B72390">
        <w:rPr>
          <w:rFonts w:ascii="Times New Roman" w:eastAsia="Times New Roman" w:hAnsi="Times New Roman" w:cs="Times New Roman"/>
          <w:color w:val="000000" w:themeColor="text1"/>
          <w:sz w:val="24"/>
          <w:szCs w:val="24"/>
        </w:rPr>
        <w:t xml:space="preserve">)   and   text-to-image generators  have  been  used  during  writing  or editing of this manuscript. </w:t>
      </w:r>
    </w:p>
    <w:p w14:paraId="748AA308" w14:textId="77777777" w:rsidR="00B72390" w:rsidRDefault="00B72390" w:rsidP="008E08C7">
      <w:pPr>
        <w:spacing w:after="0" w:line="240" w:lineRule="auto"/>
        <w:jc w:val="both"/>
        <w:rPr>
          <w:rFonts w:ascii="Times New Roman" w:eastAsia="Times New Roman" w:hAnsi="Times New Roman" w:cs="Times New Roman"/>
          <w:color w:val="000000" w:themeColor="text1"/>
          <w:sz w:val="24"/>
          <w:szCs w:val="24"/>
        </w:rPr>
      </w:pPr>
    </w:p>
    <w:p w14:paraId="059D6F48" w14:textId="77777777" w:rsidR="00B72390" w:rsidRPr="00B72390" w:rsidRDefault="00B72390" w:rsidP="008E08C7">
      <w:pPr>
        <w:spacing w:after="0" w:line="240" w:lineRule="auto"/>
        <w:jc w:val="both"/>
        <w:rPr>
          <w:rFonts w:ascii="Times New Roman" w:eastAsia="Times New Roman" w:hAnsi="Times New Roman" w:cs="Times New Roman"/>
          <w:color w:val="000000" w:themeColor="text1"/>
          <w:sz w:val="24"/>
          <w:szCs w:val="24"/>
        </w:rPr>
      </w:pPr>
      <w:r w:rsidRPr="00B72390">
        <w:rPr>
          <w:rFonts w:ascii="Times New Roman" w:eastAsia="Times New Roman" w:hAnsi="Times New Roman" w:cs="Times New Roman"/>
          <w:b/>
          <w:color w:val="000000" w:themeColor="text1"/>
          <w:sz w:val="24"/>
          <w:szCs w:val="24"/>
        </w:rPr>
        <w:t xml:space="preserve">COMPETING </w:t>
      </w:r>
      <w:proofErr w:type="gramStart"/>
      <w:r w:rsidRPr="00B72390">
        <w:rPr>
          <w:rFonts w:ascii="Times New Roman" w:eastAsia="Times New Roman" w:hAnsi="Times New Roman" w:cs="Times New Roman"/>
          <w:b/>
          <w:color w:val="000000" w:themeColor="text1"/>
          <w:sz w:val="24"/>
          <w:szCs w:val="24"/>
        </w:rPr>
        <w:t xml:space="preserve">INTERESTS </w:t>
      </w:r>
      <w:r>
        <w:rPr>
          <w:rFonts w:ascii="Times New Roman" w:eastAsia="Times New Roman" w:hAnsi="Times New Roman" w:cs="Times New Roman"/>
          <w:color w:val="000000" w:themeColor="text1"/>
          <w:sz w:val="24"/>
          <w:szCs w:val="24"/>
        </w:rPr>
        <w:t>:</w:t>
      </w:r>
      <w:proofErr w:type="gramEnd"/>
      <w:r>
        <w:rPr>
          <w:rFonts w:ascii="Times New Roman" w:eastAsia="Times New Roman" w:hAnsi="Times New Roman" w:cs="Times New Roman"/>
          <w:color w:val="000000" w:themeColor="text1"/>
          <w:sz w:val="24"/>
          <w:szCs w:val="24"/>
        </w:rPr>
        <w:t xml:space="preserve"> </w:t>
      </w:r>
      <w:r w:rsidRPr="00B72390">
        <w:rPr>
          <w:rFonts w:ascii="Times New Roman" w:eastAsia="Times New Roman" w:hAnsi="Times New Roman" w:cs="Times New Roman"/>
          <w:color w:val="000000" w:themeColor="text1"/>
          <w:sz w:val="24"/>
          <w:szCs w:val="24"/>
        </w:rPr>
        <w:t>Authors    have    declared    that    no    competing interests exist</w:t>
      </w:r>
    </w:p>
    <w:p w14:paraId="03C2DCED" w14:textId="77777777" w:rsidR="00B72390" w:rsidRDefault="00B72390" w:rsidP="008E08C7">
      <w:pPr>
        <w:spacing w:after="0" w:line="240" w:lineRule="auto"/>
        <w:jc w:val="both"/>
        <w:rPr>
          <w:rFonts w:ascii="Times New Roman" w:eastAsia="Times New Roman" w:hAnsi="Times New Roman" w:cs="Times New Roman"/>
          <w:b/>
          <w:color w:val="000000" w:themeColor="text1"/>
          <w:sz w:val="24"/>
          <w:szCs w:val="24"/>
        </w:rPr>
      </w:pPr>
    </w:p>
    <w:p w14:paraId="65A21350" w14:textId="77777777" w:rsidR="00B72390" w:rsidRDefault="00B72390" w:rsidP="008E08C7">
      <w:pPr>
        <w:spacing w:after="0" w:line="240" w:lineRule="auto"/>
        <w:jc w:val="both"/>
        <w:rPr>
          <w:rFonts w:ascii="Times New Roman" w:eastAsia="Times New Roman" w:hAnsi="Times New Roman" w:cs="Times New Roman"/>
          <w:b/>
          <w:color w:val="000000" w:themeColor="text1"/>
          <w:sz w:val="24"/>
          <w:szCs w:val="24"/>
        </w:rPr>
      </w:pPr>
    </w:p>
    <w:p w14:paraId="46634005" w14:textId="722295AA" w:rsidR="00F7317F" w:rsidRPr="00DF0BA2" w:rsidRDefault="00F7317F" w:rsidP="008E08C7">
      <w:pPr>
        <w:spacing w:after="0" w:line="240" w:lineRule="auto"/>
        <w:jc w:val="both"/>
        <w:rPr>
          <w:rFonts w:ascii="Times New Roman" w:hAnsi="Times New Roman" w:cs="Times New Roman"/>
          <w:bCs/>
          <w:color w:val="000000" w:themeColor="text1"/>
          <w:sz w:val="24"/>
          <w:szCs w:val="24"/>
        </w:rPr>
      </w:pPr>
      <w:r w:rsidRPr="00DF0BA2">
        <w:rPr>
          <w:rFonts w:ascii="Times New Roman" w:eastAsia="Times New Roman" w:hAnsi="Times New Roman" w:cs="Times New Roman"/>
          <w:b/>
          <w:color w:val="000000" w:themeColor="text1"/>
          <w:sz w:val="24"/>
          <w:szCs w:val="24"/>
        </w:rPr>
        <w:t>References</w:t>
      </w:r>
    </w:p>
    <w:p w14:paraId="689BC978" w14:textId="6849DC03" w:rsidR="00F7317F" w:rsidRPr="009F2A88" w:rsidRDefault="00F7317F" w:rsidP="009F2A88">
      <w:pPr>
        <w:pStyle w:val="ListParagraph"/>
        <w:numPr>
          <w:ilvl w:val="0"/>
          <w:numId w:val="8"/>
        </w:numPr>
        <w:spacing w:after="0" w:line="240" w:lineRule="auto"/>
        <w:ind w:left="284" w:hanging="284"/>
        <w:jc w:val="both"/>
        <w:rPr>
          <w:rFonts w:ascii="Times New Roman" w:hAnsi="Times New Roman" w:cs="Times New Roman"/>
          <w:color w:val="EE0000"/>
          <w:sz w:val="24"/>
          <w:szCs w:val="24"/>
          <w:highlight w:val="yellow"/>
        </w:rPr>
      </w:pPr>
      <w:r w:rsidRPr="009F2A88">
        <w:rPr>
          <w:rFonts w:ascii="Times New Roman" w:hAnsi="Times New Roman" w:cs="Times New Roman"/>
          <w:color w:val="EE0000"/>
          <w:sz w:val="24"/>
          <w:szCs w:val="24"/>
          <w:highlight w:val="yellow"/>
        </w:rPr>
        <w:t xml:space="preserve">Abernethy, S., &amp; Jackson, R. B. (2022). </w:t>
      </w:r>
      <w:r w:rsidR="00D316BE" w:rsidRPr="009F2A88">
        <w:rPr>
          <w:rFonts w:ascii="Times New Roman" w:hAnsi="Times New Roman" w:cs="Times New Roman"/>
          <w:color w:val="EE0000"/>
          <w:sz w:val="24"/>
          <w:szCs w:val="24"/>
          <w:highlight w:val="yellow"/>
        </w:rPr>
        <w:t xml:space="preserve">Global temperature goals should determine the time horizons for greenhouse gas emission metrics, </w:t>
      </w:r>
      <w:r w:rsidR="00D316BE" w:rsidRPr="009F2A88">
        <w:rPr>
          <w:rFonts w:ascii="Times New Roman" w:hAnsi="Times New Roman" w:cs="Times New Roman"/>
          <w:i/>
          <w:iCs/>
          <w:color w:val="EE0000"/>
          <w:sz w:val="24"/>
          <w:szCs w:val="24"/>
          <w:highlight w:val="yellow"/>
        </w:rPr>
        <w:t>Environ. Res. Lett.</w:t>
      </w:r>
      <w:r w:rsidR="00D316BE" w:rsidRPr="009F2A88">
        <w:rPr>
          <w:rFonts w:ascii="Times New Roman" w:hAnsi="Times New Roman" w:cs="Times New Roman"/>
          <w:color w:val="EE0000"/>
          <w:sz w:val="24"/>
          <w:szCs w:val="24"/>
          <w:highlight w:val="yellow"/>
        </w:rPr>
        <w:t xml:space="preserve"> ;17: 024019.</w:t>
      </w:r>
    </w:p>
    <w:p w14:paraId="45DDA87B" w14:textId="748A534D" w:rsidR="00510842" w:rsidRPr="009F2A88" w:rsidRDefault="00510842" w:rsidP="009F2A88">
      <w:pPr>
        <w:pStyle w:val="ListParagraph"/>
        <w:numPr>
          <w:ilvl w:val="0"/>
          <w:numId w:val="8"/>
        </w:numPr>
        <w:spacing w:after="0" w:line="240" w:lineRule="auto"/>
        <w:ind w:left="284" w:hanging="284"/>
        <w:jc w:val="both"/>
        <w:rPr>
          <w:rFonts w:ascii="Times New Roman" w:eastAsia="Times New Roman" w:hAnsi="Times New Roman" w:cs="Times New Roman"/>
          <w:color w:val="EE0000"/>
          <w:sz w:val="24"/>
          <w:szCs w:val="24"/>
          <w:highlight w:val="yellow"/>
        </w:rPr>
      </w:pPr>
      <w:r w:rsidRPr="009F2A88">
        <w:rPr>
          <w:rFonts w:ascii="Times New Roman" w:eastAsia="Times New Roman" w:hAnsi="Times New Roman" w:cs="Times New Roman"/>
          <w:color w:val="EE0000"/>
          <w:sz w:val="24"/>
          <w:szCs w:val="24"/>
          <w:highlight w:val="yellow"/>
        </w:rPr>
        <w:t>Bais HP, Weir TL, Perry LG, Gilroy S, Vivanco JM</w:t>
      </w:r>
      <w:r w:rsidR="004C24E6" w:rsidRPr="009F2A88">
        <w:rPr>
          <w:rFonts w:ascii="Times New Roman" w:eastAsia="Times New Roman" w:hAnsi="Times New Roman" w:cs="Times New Roman"/>
          <w:color w:val="EE0000"/>
          <w:sz w:val="24"/>
          <w:szCs w:val="24"/>
          <w:highlight w:val="yellow"/>
        </w:rPr>
        <w:t xml:space="preserve"> (2006)</w:t>
      </w:r>
      <w:r w:rsidRPr="009F2A88">
        <w:rPr>
          <w:rFonts w:ascii="Times New Roman" w:eastAsia="Times New Roman" w:hAnsi="Times New Roman" w:cs="Times New Roman"/>
          <w:color w:val="EE0000"/>
          <w:sz w:val="24"/>
          <w:szCs w:val="24"/>
          <w:highlight w:val="yellow"/>
        </w:rPr>
        <w:t xml:space="preserve">. The role of root exudates in rhizosphere interactions with plants and other organisms. </w:t>
      </w:r>
      <w:r w:rsidRPr="009F2A88">
        <w:rPr>
          <w:rFonts w:ascii="Times New Roman" w:eastAsia="Times New Roman" w:hAnsi="Times New Roman" w:cs="Times New Roman"/>
          <w:i/>
          <w:iCs/>
          <w:color w:val="EE0000"/>
          <w:sz w:val="24"/>
          <w:szCs w:val="24"/>
          <w:highlight w:val="yellow"/>
        </w:rPr>
        <w:t>Annu Rev Plant Biol.</w:t>
      </w:r>
      <w:r w:rsidRPr="009F2A88">
        <w:rPr>
          <w:rFonts w:ascii="Times New Roman" w:eastAsia="Times New Roman" w:hAnsi="Times New Roman" w:cs="Times New Roman"/>
          <w:color w:val="EE0000"/>
          <w:sz w:val="24"/>
          <w:szCs w:val="24"/>
          <w:highlight w:val="yellow"/>
        </w:rPr>
        <w:t xml:space="preserve"> 57:233-66. </w:t>
      </w:r>
      <w:proofErr w:type="spellStart"/>
      <w:r w:rsidRPr="009F2A88">
        <w:rPr>
          <w:rFonts w:ascii="Times New Roman" w:eastAsia="Times New Roman" w:hAnsi="Times New Roman" w:cs="Times New Roman"/>
          <w:color w:val="EE0000"/>
          <w:sz w:val="24"/>
          <w:szCs w:val="24"/>
          <w:highlight w:val="yellow"/>
        </w:rPr>
        <w:t>doi</w:t>
      </w:r>
      <w:proofErr w:type="spellEnd"/>
      <w:r w:rsidRPr="009F2A88">
        <w:rPr>
          <w:rFonts w:ascii="Times New Roman" w:eastAsia="Times New Roman" w:hAnsi="Times New Roman" w:cs="Times New Roman"/>
          <w:color w:val="EE0000"/>
          <w:sz w:val="24"/>
          <w:szCs w:val="24"/>
          <w:highlight w:val="yellow"/>
        </w:rPr>
        <w:t>: 10.1146/annurev.arplant.57.032905.105159. PMID: 16669762.</w:t>
      </w:r>
    </w:p>
    <w:p w14:paraId="5359DEAE" w14:textId="79AAA69B" w:rsidR="004C24E6" w:rsidRPr="009F2A88" w:rsidRDefault="004C24E6" w:rsidP="009F2A88">
      <w:pPr>
        <w:pStyle w:val="ListParagraph"/>
        <w:numPr>
          <w:ilvl w:val="0"/>
          <w:numId w:val="8"/>
        </w:numPr>
        <w:spacing w:after="0" w:line="240" w:lineRule="auto"/>
        <w:ind w:left="284" w:hanging="284"/>
        <w:jc w:val="both"/>
        <w:rPr>
          <w:rFonts w:ascii="Times New Roman" w:hAnsi="Times New Roman" w:cs="Times New Roman"/>
          <w:color w:val="EE0000"/>
          <w:sz w:val="24"/>
          <w:szCs w:val="24"/>
          <w:highlight w:val="yellow"/>
        </w:rPr>
      </w:pPr>
      <w:r w:rsidRPr="009F2A88">
        <w:rPr>
          <w:rFonts w:ascii="Times New Roman" w:hAnsi="Times New Roman" w:cs="Times New Roman"/>
          <w:color w:val="EE0000"/>
          <w:sz w:val="24"/>
          <w:szCs w:val="24"/>
          <w:highlight w:val="yellow"/>
        </w:rPr>
        <w:t xml:space="preserve">Barka EA, Vatsa P, Sanchez L, Gaveau-Vaillant N, Jacquard C, Meier-Kolthoff JP, Klenk HP, Clément C, </w:t>
      </w:r>
      <w:proofErr w:type="spellStart"/>
      <w:r w:rsidRPr="009F2A88">
        <w:rPr>
          <w:rFonts w:ascii="Times New Roman" w:hAnsi="Times New Roman" w:cs="Times New Roman"/>
          <w:color w:val="EE0000"/>
          <w:sz w:val="24"/>
          <w:szCs w:val="24"/>
          <w:highlight w:val="yellow"/>
        </w:rPr>
        <w:t>Ouhdouch</w:t>
      </w:r>
      <w:proofErr w:type="spellEnd"/>
      <w:r w:rsidRPr="009F2A88">
        <w:rPr>
          <w:rFonts w:ascii="Times New Roman" w:hAnsi="Times New Roman" w:cs="Times New Roman"/>
          <w:color w:val="EE0000"/>
          <w:sz w:val="24"/>
          <w:szCs w:val="24"/>
          <w:highlight w:val="yellow"/>
        </w:rPr>
        <w:t xml:space="preserve"> Y, van Wezel GP. (2015). Taxonomy, Physiology, and Natural Products of Actinobacteria. </w:t>
      </w:r>
      <w:proofErr w:type="spellStart"/>
      <w:r w:rsidRPr="009F2A88">
        <w:rPr>
          <w:rFonts w:ascii="Times New Roman" w:hAnsi="Times New Roman" w:cs="Times New Roman"/>
          <w:i/>
          <w:iCs/>
          <w:color w:val="EE0000"/>
          <w:sz w:val="24"/>
          <w:szCs w:val="24"/>
          <w:highlight w:val="yellow"/>
        </w:rPr>
        <w:t>Microbiol</w:t>
      </w:r>
      <w:proofErr w:type="spellEnd"/>
      <w:r w:rsidRPr="009F2A88">
        <w:rPr>
          <w:rFonts w:ascii="Times New Roman" w:hAnsi="Times New Roman" w:cs="Times New Roman"/>
          <w:i/>
          <w:iCs/>
          <w:color w:val="EE0000"/>
          <w:sz w:val="24"/>
          <w:szCs w:val="24"/>
          <w:highlight w:val="yellow"/>
        </w:rPr>
        <w:t xml:space="preserve"> Mol Biol Rev</w:t>
      </w:r>
      <w:r w:rsidRPr="009F2A88">
        <w:rPr>
          <w:rFonts w:ascii="Times New Roman" w:hAnsi="Times New Roman" w:cs="Times New Roman"/>
          <w:color w:val="EE0000"/>
          <w:sz w:val="24"/>
          <w:szCs w:val="24"/>
          <w:highlight w:val="yellow"/>
        </w:rPr>
        <w:t>.</w:t>
      </w:r>
      <w:proofErr w:type="gramStart"/>
      <w:r w:rsidR="005D4C3C" w:rsidRPr="009F2A88">
        <w:rPr>
          <w:rFonts w:ascii="Times New Roman" w:hAnsi="Times New Roman" w:cs="Times New Roman"/>
          <w:color w:val="EE0000"/>
          <w:sz w:val="24"/>
          <w:szCs w:val="24"/>
          <w:highlight w:val="yellow"/>
        </w:rPr>
        <w:t>,</w:t>
      </w:r>
      <w:r w:rsidRPr="009F2A88">
        <w:rPr>
          <w:rFonts w:ascii="Times New Roman" w:hAnsi="Times New Roman" w:cs="Times New Roman"/>
          <w:color w:val="EE0000"/>
          <w:sz w:val="24"/>
          <w:szCs w:val="24"/>
          <w:highlight w:val="yellow"/>
        </w:rPr>
        <w:t xml:space="preserve">  Nov</w:t>
      </w:r>
      <w:proofErr w:type="gramEnd"/>
      <w:r w:rsidRPr="009F2A88">
        <w:rPr>
          <w:rFonts w:ascii="Times New Roman" w:hAnsi="Times New Roman" w:cs="Times New Roman"/>
          <w:color w:val="EE0000"/>
          <w:sz w:val="24"/>
          <w:szCs w:val="24"/>
          <w:highlight w:val="yellow"/>
        </w:rPr>
        <w:t xml:space="preserve"> 25;80(1):1-43. </w:t>
      </w:r>
    </w:p>
    <w:p w14:paraId="5E56FF93" w14:textId="771896C6" w:rsidR="000F4A41" w:rsidRPr="009F2A88" w:rsidRDefault="000F4A41" w:rsidP="009F2A88">
      <w:pPr>
        <w:pStyle w:val="ListParagraph"/>
        <w:numPr>
          <w:ilvl w:val="0"/>
          <w:numId w:val="8"/>
        </w:numPr>
        <w:spacing w:after="0" w:line="240" w:lineRule="auto"/>
        <w:ind w:left="284" w:hanging="284"/>
        <w:jc w:val="both"/>
        <w:rPr>
          <w:rStyle w:val="Strong"/>
          <w:rFonts w:ascii="Times New Roman" w:eastAsia="Times New Roman" w:hAnsi="Times New Roman" w:cs="Times New Roman"/>
          <w:b w:val="0"/>
          <w:bCs w:val="0"/>
          <w:color w:val="EE0000"/>
          <w:sz w:val="24"/>
          <w:szCs w:val="24"/>
          <w:highlight w:val="yellow"/>
        </w:rPr>
      </w:pPr>
      <w:r w:rsidRPr="009F2A88">
        <w:rPr>
          <w:rStyle w:val="Strong"/>
          <w:rFonts w:ascii="Times New Roman" w:hAnsi="Times New Roman" w:cs="Times New Roman"/>
          <w:b w:val="0"/>
          <w:color w:val="EE0000"/>
          <w:sz w:val="24"/>
          <w:szCs w:val="24"/>
          <w:highlight w:val="yellow"/>
        </w:rPr>
        <w:t>Bera</w:t>
      </w:r>
      <w:r w:rsidR="00AD1F62" w:rsidRPr="009F2A88">
        <w:rPr>
          <w:rStyle w:val="Strong"/>
          <w:rFonts w:ascii="Times New Roman" w:hAnsi="Times New Roman" w:cs="Times New Roman"/>
          <w:b w:val="0"/>
          <w:color w:val="EE0000"/>
          <w:sz w:val="24"/>
          <w:szCs w:val="24"/>
          <w:highlight w:val="yellow"/>
        </w:rPr>
        <w:t xml:space="preserve"> R. </w:t>
      </w:r>
      <w:r w:rsidRPr="009F2A88">
        <w:rPr>
          <w:rStyle w:val="Strong"/>
          <w:rFonts w:ascii="Times New Roman" w:hAnsi="Times New Roman" w:cs="Times New Roman"/>
          <w:b w:val="0"/>
          <w:color w:val="EE0000"/>
          <w:sz w:val="24"/>
          <w:szCs w:val="24"/>
          <w:highlight w:val="yellow"/>
        </w:rPr>
        <w:t>, Datta</w:t>
      </w:r>
      <w:r w:rsidR="00AD1F62" w:rsidRPr="009F2A88">
        <w:rPr>
          <w:rStyle w:val="Strong"/>
          <w:rFonts w:ascii="Times New Roman" w:hAnsi="Times New Roman" w:cs="Times New Roman"/>
          <w:b w:val="0"/>
          <w:color w:val="EE0000"/>
          <w:sz w:val="24"/>
          <w:szCs w:val="24"/>
          <w:highlight w:val="yellow"/>
        </w:rPr>
        <w:t xml:space="preserve"> A.</w:t>
      </w:r>
      <w:r w:rsidRPr="009F2A88">
        <w:rPr>
          <w:rStyle w:val="Strong"/>
          <w:rFonts w:ascii="Times New Roman" w:hAnsi="Times New Roman" w:cs="Times New Roman"/>
          <w:b w:val="0"/>
          <w:color w:val="EE0000"/>
          <w:sz w:val="24"/>
          <w:szCs w:val="24"/>
          <w:highlight w:val="yellow"/>
        </w:rPr>
        <w:t>,  Bose</w:t>
      </w:r>
      <w:r w:rsidR="00AD1F62" w:rsidRPr="009F2A88">
        <w:rPr>
          <w:rStyle w:val="Strong"/>
          <w:rFonts w:ascii="Times New Roman" w:hAnsi="Times New Roman" w:cs="Times New Roman"/>
          <w:b w:val="0"/>
          <w:color w:val="EE0000"/>
          <w:sz w:val="24"/>
          <w:szCs w:val="24"/>
          <w:highlight w:val="yellow"/>
        </w:rPr>
        <w:t xml:space="preserve"> S.</w:t>
      </w:r>
      <w:r w:rsidRPr="009F2A88">
        <w:rPr>
          <w:rStyle w:val="Strong"/>
          <w:rFonts w:ascii="Times New Roman" w:hAnsi="Times New Roman" w:cs="Times New Roman"/>
          <w:b w:val="0"/>
          <w:color w:val="EE0000"/>
          <w:sz w:val="24"/>
          <w:szCs w:val="24"/>
          <w:highlight w:val="yellow"/>
        </w:rPr>
        <w:t>, Barik</w:t>
      </w:r>
      <w:r w:rsidR="00AD1F62" w:rsidRPr="009F2A88">
        <w:rPr>
          <w:rStyle w:val="Strong"/>
          <w:rFonts w:ascii="Times New Roman" w:hAnsi="Times New Roman" w:cs="Times New Roman"/>
          <w:b w:val="0"/>
          <w:color w:val="EE0000"/>
          <w:sz w:val="24"/>
          <w:szCs w:val="24"/>
          <w:highlight w:val="yellow"/>
        </w:rPr>
        <w:t xml:space="preserve"> A. K. </w:t>
      </w:r>
      <w:r w:rsidRPr="009F2A88">
        <w:rPr>
          <w:rStyle w:val="Strong"/>
          <w:rFonts w:ascii="Times New Roman" w:hAnsi="Times New Roman" w:cs="Times New Roman"/>
          <w:b w:val="0"/>
          <w:color w:val="EE0000"/>
          <w:sz w:val="24"/>
          <w:szCs w:val="24"/>
          <w:highlight w:val="yellow"/>
        </w:rPr>
        <w:t>,  Mallick</w:t>
      </w:r>
      <w:r w:rsidR="00AD1F62" w:rsidRPr="009F2A88">
        <w:rPr>
          <w:rStyle w:val="Strong"/>
          <w:rFonts w:ascii="Times New Roman" w:hAnsi="Times New Roman" w:cs="Times New Roman"/>
          <w:b w:val="0"/>
          <w:color w:val="EE0000"/>
          <w:sz w:val="24"/>
          <w:szCs w:val="24"/>
          <w:highlight w:val="yellow"/>
        </w:rPr>
        <w:t xml:space="preserve"> R.</w:t>
      </w:r>
      <w:r w:rsidRPr="009F2A88">
        <w:rPr>
          <w:rStyle w:val="Strong"/>
          <w:rFonts w:ascii="Times New Roman" w:hAnsi="Times New Roman" w:cs="Times New Roman"/>
          <w:b w:val="0"/>
          <w:color w:val="EE0000"/>
          <w:sz w:val="24"/>
          <w:szCs w:val="24"/>
          <w:highlight w:val="yellow"/>
        </w:rPr>
        <w:t>,  Ganguli</w:t>
      </w:r>
      <w:r w:rsidR="00AD1F62" w:rsidRPr="009F2A88">
        <w:rPr>
          <w:rStyle w:val="Strong"/>
          <w:rFonts w:ascii="Times New Roman" w:hAnsi="Times New Roman" w:cs="Times New Roman"/>
          <w:b w:val="0"/>
          <w:color w:val="EE0000"/>
          <w:sz w:val="24"/>
          <w:szCs w:val="24"/>
          <w:highlight w:val="yellow"/>
        </w:rPr>
        <w:t xml:space="preserve"> M.</w:t>
      </w:r>
      <w:r w:rsidRPr="009F2A88">
        <w:rPr>
          <w:rStyle w:val="Strong"/>
          <w:rFonts w:ascii="Times New Roman" w:hAnsi="Times New Roman" w:cs="Times New Roman"/>
          <w:b w:val="0"/>
          <w:color w:val="EE0000"/>
          <w:sz w:val="24"/>
          <w:szCs w:val="24"/>
          <w:highlight w:val="yellow"/>
        </w:rPr>
        <w:t>, Narasimhan</w:t>
      </w:r>
      <w:r w:rsidR="00AD1F62" w:rsidRPr="009F2A88">
        <w:rPr>
          <w:rStyle w:val="Strong"/>
          <w:rFonts w:ascii="Times New Roman" w:hAnsi="Times New Roman" w:cs="Times New Roman"/>
          <w:b w:val="0"/>
          <w:color w:val="EE0000"/>
          <w:sz w:val="24"/>
          <w:szCs w:val="24"/>
          <w:highlight w:val="yellow"/>
        </w:rPr>
        <w:t xml:space="preserve"> V. L. </w:t>
      </w:r>
      <w:r w:rsidRPr="009F2A88">
        <w:rPr>
          <w:rStyle w:val="Strong"/>
          <w:rFonts w:ascii="Times New Roman" w:hAnsi="Times New Roman" w:cs="Times New Roman"/>
          <w:b w:val="0"/>
          <w:color w:val="EE0000"/>
          <w:sz w:val="24"/>
          <w:szCs w:val="24"/>
          <w:highlight w:val="yellow"/>
        </w:rPr>
        <w:t>,  Quah</w:t>
      </w:r>
      <w:r w:rsidR="00AD1F62" w:rsidRPr="009F2A88">
        <w:rPr>
          <w:rStyle w:val="Strong"/>
          <w:rFonts w:ascii="Times New Roman" w:hAnsi="Times New Roman" w:cs="Times New Roman"/>
          <w:b w:val="0"/>
          <w:color w:val="EE0000"/>
          <w:sz w:val="24"/>
          <w:szCs w:val="24"/>
          <w:highlight w:val="yellow"/>
        </w:rPr>
        <w:t xml:space="preserve"> E.</w:t>
      </w:r>
      <w:r w:rsidRPr="009F2A88">
        <w:rPr>
          <w:rStyle w:val="Strong"/>
          <w:rFonts w:ascii="Times New Roman" w:hAnsi="Times New Roman" w:cs="Times New Roman"/>
          <w:b w:val="0"/>
          <w:color w:val="EE0000"/>
          <w:sz w:val="24"/>
          <w:szCs w:val="24"/>
          <w:highlight w:val="yellow"/>
        </w:rPr>
        <w:t>,  Mukherjee</w:t>
      </w:r>
      <w:r w:rsidR="00AD1F62" w:rsidRPr="009F2A88">
        <w:rPr>
          <w:rStyle w:val="Strong"/>
          <w:rFonts w:ascii="Times New Roman" w:hAnsi="Times New Roman" w:cs="Times New Roman"/>
          <w:b w:val="0"/>
          <w:color w:val="EE0000"/>
          <w:sz w:val="24"/>
          <w:szCs w:val="24"/>
          <w:highlight w:val="yellow"/>
        </w:rPr>
        <w:t xml:space="preserve"> K.</w:t>
      </w:r>
      <w:r w:rsidRPr="009F2A88">
        <w:rPr>
          <w:rStyle w:val="Strong"/>
          <w:rFonts w:ascii="Times New Roman" w:hAnsi="Times New Roman" w:cs="Times New Roman"/>
          <w:b w:val="0"/>
          <w:color w:val="EE0000"/>
          <w:sz w:val="24"/>
          <w:szCs w:val="24"/>
          <w:highlight w:val="yellow"/>
        </w:rPr>
        <w:t>,  Bhattacharya</w:t>
      </w:r>
      <w:r w:rsidR="00AD1F62" w:rsidRPr="009F2A88">
        <w:rPr>
          <w:rStyle w:val="Strong"/>
          <w:rFonts w:ascii="Times New Roman" w:hAnsi="Times New Roman" w:cs="Times New Roman"/>
          <w:b w:val="0"/>
          <w:color w:val="EE0000"/>
          <w:sz w:val="24"/>
          <w:szCs w:val="24"/>
          <w:highlight w:val="yellow"/>
        </w:rPr>
        <w:t xml:space="preserve"> P.</w:t>
      </w:r>
      <w:r w:rsidRPr="009F2A88">
        <w:rPr>
          <w:rStyle w:val="Strong"/>
          <w:rFonts w:ascii="Times New Roman" w:hAnsi="Times New Roman" w:cs="Times New Roman"/>
          <w:b w:val="0"/>
          <w:color w:val="EE0000"/>
          <w:sz w:val="24"/>
          <w:szCs w:val="24"/>
          <w:highlight w:val="yellow"/>
        </w:rPr>
        <w:t>, and  Seal.</w:t>
      </w:r>
      <w:r w:rsidR="00AD1F62" w:rsidRPr="009F2A88">
        <w:rPr>
          <w:rStyle w:val="Strong"/>
          <w:rFonts w:ascii="Times New Roman" w:hAnsi="Times New Roman" w:cs="Times New Roman"/>
          <w:b w:val="0"/>
          <w:color w:val="EE0000"/>
          <w:sz w:val="24"/>
          <w:szCs w:val="24"/>
          <w:highlight w:val="yellow"/>
        </w:rPr>
        <w:t xml:space="preserve"> A.</w:t>
      </w:r>
      <w:r w:rsidRPr="009F2A88">
        <w:rPr>
          <w:rStyle w:val="Strong"/>
          <w:rFonts w:ascii="Times New Roman" w:hAnsi="Times New Roman" w:cs="Times New Roman"/>
          <w:b w:val="0"/>
          <w:color w:val="EE0000"/>
          <w:sz w:val="24"/>
          <w:szCs w:val="24"/>
          <w:highlight w:val="yellow"/>
        </w:rPr>
        <w:t xml:space="preserve"> (2023). “Technological Breakthrough for Large Scale Bioconversion of Coir Pith towards Sustainable Soil Health Management and Development of Source Point Methane Abatement Model”. </w:t>
      </w:r>
      <w:r w:rsidRPr="009F2A88">
        <w:rPr>
          <w:rStyle w:val="Strong"/>
          <w:rFonts w:ascii="Times New Roman" w:hAnsi="Times New Roman" w:cs="Times New Roman"/>
          <w:b w:val="0"/>
          <w:i/>
          <w:iCs/>
          <w:color w:val="EE0000"/>
          <w:sz w:val="24"/>
          <w:szCs w:val="24"/>
          <w:highlight w:val="yellow"/>
        </w:rPr>
        <w:t>International Journal of Environment and Climate Change</w:t>
      </w:r>
      <w:r w:rsidR="005D4C3C" w:rsidRPr="009F2A88">
        <w:rPr>
          <w:rStyle w:val="Strong"/>
          <w:rFonts w:ascii="Times New Roman" w:hAnsi="Times New Roman" w:cs="Times New Roman"/>
          <w:b w:val="0"/>
          <w:color w:val="EE0000"/>
          <w:sz w:val="24"/>
          <w:szCs w:val="24"/>
          <w:highlight w:val="yellow"/>
        </w:rPr>
        <w:t>,</w:t>
      </w:r>
      <w:r w:rsidRPr="009F2A88">
        <w:rPr>
          <w:rStyle w:val="Strong"/>
          <w:rFonts w:ascii="Times New Roman" w:hAnsi="Times New Roman" w:cs="Times New Roman"/>
          <w:b w:val="0"/>
          <w:color w:val="EE0000"/>
          <w:sz w:val="24"/>
          <w:szCs w:val="24"/>
          <w:highlight w:val="yellow"/>
        </w:rPr>
        <w:t xml:space="preserve"> 13 (7):75–102. </w:t>
      </w:r>
    </w:p>
    <w:p w14:paraId="3258D78D" w14:textId="055D1934" w:rsidR="000F4A41" w:rsidRPr="009F2A88" w:rsidRDefault="000F4A41" w:rsidP="009F2A88">
      <w:pPr>
        <w:pStyle w:val="ListParagraph"/>
        <w:numPr>
          <w:ilvl w:val="0"/>
          <w:numId w:val="8"/>
        </w:numPr>
        <w:spacing w:after="0" w:line="240" w:lineRule="auto"/>
        <w:ind w:left="284" w:hanging="284"/>
        <w:jc w:val="both"/>
        <w:rPr>
          <w:rFonts w:ascii="Times New Roman" w:hAnsi="Times New Roman" w:cs="Times New Roman"/>
          <w:color w:val="EE0000"/>
          <w:sz w:val="24"/>
          <w:szCs w:val="24"/>
          <w:highlight w:val="yellow"/>
        </w:rPr>
      </w:pPr>
      <w:r w:rsidRPr="009F2A88">
        <w:rPr>
          <w:rFonts w:ascii="Times New Roman" w:eastAsia="Times New Roman" w:hAnsi="Times New Roman" w:cs="Times New Roman"/>
          <w:color w:val="EE0000"/>
          <w:sz w:val="24"/>
          <w:szCs w:val="24"/>
          <w:highlight w:val="yellow"/>
        </w:rPr>
        <w:t xml:space="preserve">Bera R, Dey, P., Bhattacharya, P., Barik A.K., Narasimhan V.L., and Quah E. </w:t>
      </w:r>
      <w:r w:rsidR="00AD1F62" w:rsidRPr="009F2A88">
        <w:rPr>
          <w:rFonts w:ascii="Times New Roman" w:eastAsia="Times New Roman" w:hAnsi="Times New Roman" w:cs="Times New Roman"/>
          <w:color w:val="EE0000"/>
          <w:sz w:val="24"/>
          <w:szCs w:val="24"/>
          <w:highlight w:val="yellow"/>
        </w:rPr>
        <w:t>(</w:t>
      </w:r>
      <w:r w:rsidRPr="009F2A88">
        <w:rPr>
          <w:rFonts w:ascii="Times New Roman" w:eastAsia="Times New Roman" w:hAnsi="Times New Roman" w:cs="Times New Roman"/>
          <w:color w:val="EE0000"/>
          <w:sz w:val="24"/>
          <w:szCs w:val="24"/>
          <w:highlight w:val="yellow"/>
        </w:rPr>
        <w:t>2025</w:t>
      </w:r>
      <w:r w:rsidR="00AD1F62" w:rsidRPr="009F2A88">
        <w:rPr>
          <w:rFonts w:ascii="Times New Roman" w:eastAsia="Times New Roman" w:hAnsi="Times New Roman" w:cs="Times New Roman"/>
          <w:color w:val="EE0000"/>
          <w:sz w:val="24"/>
          <w:szCs w:val="24"/>
          <w:highlight w:val="yellow"/>
        </w:rPr>
        <w:t>)</w:t>
      </w:r>
      <w:r w:rsidRPr="009F2A88">
        <w:rPr>
          <w:rFonts w:ascii="Times New Roman" w:eastAsia="Times New Roman" w:hAnsi="Times New Roman" w:cs="Times New Roman"/>
          <w:color w:val="EE0000"/>
          <w:sz w:val="24"/>
          <w:szCs w:val="24"/>
          <w:highlight w:val="yellow"/>
        </w:rPr>
        <w:t xml:space="preserve">. “Review of Coir Pith </w:t>
      </w:r>
      <w:proofErr w:type="gramStart"/>
      <w:r w:rsidRPr="009F2A88">
        <w:rPr>
          <w:rFonts w:ascii="Times New Roman" w:eastAsia="Times New Roman" w:hAnsi="Times New Roman" w:cs="Times New Roman"/>
          <w:color w:val="EE0000"/>
          <w:sz w:val="24"/>
          <w:szCs w:val="24"/>
          <w:highlight w:val="yellow"/>
        </w:rPr>
        <w:t>As</w:t>
      </w:r>
      <w:proofErr w:type="gramEnd"/>
      <w:r w:rsidRPr="009F2A88">
        <w:rPr>
          <w:rFonts w:ascii="Times New Roman" w:eastAsia="Times New Roman" w:hAnsi="Times New Roman" w:cs="Times New Roman"/>
          <w:color w:val="EE0000"/>
          <w:sz w:val="24"/>
          <w:szCs w:val="24"/>
          <w:highlight w:val="yellow"/>
        </w:rPr>
        <w:t xml:space="preserve"> Agro‐industrial Waste: Environmental Challenges and Management Approaches”. </w:t>
      </w:r>
      <w:r w:rsidRPr="009F2A88">
        <w:rPr>
          <w:rFonts w:ascii="Times New Roman" w:eastAsia="Times New Roman" w:hAnsi="Times New Roman" w:cs="Times New Roman"/>
          <w:i/>
          <w:iCs/>
          <w:color w:val="EE0000"/>
          <w:sz w:val="24"/>
          <w:szCs w:val="24"/>
          <w:highlight w:val="yellow"/>
        </w:rPr>
        <w:t>Journal of Agriculture and Ecology Research International</w:t>
      </w:r>
      <w:r w:rsidR="005D4C3C" w:rsidRPr="009F2A88">
        <w:rPr>
          <w:rFonts w:ascii="Times New Roman" w:eastAsia="Times New Roman" w:hAnsi="Times New Roman" w:cs="Times New Roman"/>
          <w:color w:val="EE0000"/>
          <w:sz w:val="24"/>
          <w:szCs w:val="24"/>
          <w:highlight w:val="yellow"/>
        </w:rPr>
        <w:t>,</w:t>
      </w:r>
      <w:r w:rsidRPr="009F2A88">
        <w:rPr>
          <w:rFonts w:ascii="Times New Roman" w:eastAsia="Times New Roman" w:hAnsi="Times New Roman" w:cs="Times New Roman"/>
          <w:color w:val="EE0000"/>
          <w:sz w:val="24"/>
          <w:szCs w:val="24"/>
          <w:highlight w:val="yellow"/>
        </w:rPr>
        <w:t xml:space="preserve"> 26 (2):19–36. </w:t>
      </w:r>
    </w:p>
    <w:p w14:paraId="0483219E" w14:textId="4A1B6A9F" w:rsidR="00ED4709" w:rsidRPr="009F2A88" w:rsidRDefault="00ED4709" w:rsidP="009F2A88">
      <w:pPr>
        <w:pStyle w:val="ListParagraph"/>
        <w:numPr>
          <w:ilvl w:val="0"/>
          <w:numId w:val="8"/>
        </w:numPr>
        <w:spacing w:after="0" w:line="240" w:lineRule="auto"/>
        <w:ind w:left="284" w:hanging="284"/>
        <w:jc w:val="both"/>
        <w:rPr>
          <w:rFonts w:ascii="Times New Roman" w:eastAsia="Times New Roman" w:hAnsi="Times New Roman" w:cs="Times New Roman"/>
          <w:color w:val="EE0000"/>
          <w:sz w:val="24"/>
          <w:szCs w:val="24"/>
          <w:highlight w:val="yellow"/>
        </w:rPr>
      </w:pPr>
      <w:r w:rsidRPr="009F2A88">
        <w:rPr>
          <w:rFonts w:ascii="Times New Roman" w:hAnsi="Times New Roman" w:cs="Times New Roman"/>
          <w:color w:val="EE0000"/>
          <w:sz w:val="24"/>
          <w:szCs w:val="24"/>
          <w:highlight w:val="yellow"/>
        </w:rPr>
        <w:t>Bustamante MA, Moral R, Paredes C, Pérez-Espinosa A, Moreno-</w:t>
      </w:r>
      <w:proofErr w:type="spellStart"/>
      <w:r w:rsidRPr="009F2A88">
        <w:rPr>
          <w:rFonts w:ascii="Times New Roman" w:hAnsi="Times New Roman" w:cs="Times New Roman"/>
          <w:color w:val="EE0000"/>
          <w:sz w:val="24"/>
          <w:szCs w:val="24"/>
          <w:highlight w:val="yellow"/>
        </w:rPr>
        <w:t>Caselles</w:t>
      </w:r>
      <w:proofErr w:type="spellEnd"/>
      <w:r w:rsidRPr="009F2A88">
        <w:rPr>
          <w:rFonts w:ascii="Times New Roman" w:hAnsi="Times New Roman" w:cs="Times New Roman"/>
          <w:color w:val="EE0000"/>
          <w:sz w:val="24"/>
          <w:szCs w:val="24"/>
          <w:highlight w:val="yellow"/>
        </w:rPr>
        <w:t xml:space="preserve"> J, Pérez-Murcia MD.(2008). Agrochemical </w:t>
      </w:r>
      <w:proofErr w:type="spellStart"/>
      <w:r w:rsidRPr="009F2A88">
        <w:rPr>
          <w:rFonts w:ascii="Times New Roman" w:hAnsi="Times New Roman" w:cs="Times New Roman"/>
          <w:color w:val="EE0000"/>
          <w:sz w:val="24"/>
          <w:szCs w:val="24"/>
          <w:highlight w:val="yellow"/>
        </w:rPr>
        <w:t>characterisation</w:t>
      </w:r>
      <w:proofErr w:type="spellEnd"/>
      <w:r w:rsidRPr="009F2A88">
        <w:rPr>
          <w:rFonts w:ascii="Times New Roman" w:hAnsi="Times New Roman" w:cs="Times New Roman"/>
          <w:color w:val="EE0000"/>
          <w:sz w:val="24"/>
          <w:szCs w:val="24"/>
          <w:highlight w:val="yellow"/>
        </w:rPr>
        <w:t xml:space="preserve"> of the solid by-products and residues from the winery and distillery industry. </w:t>
      </w:r>
      <w:r w:rsidRPr="009F2A88">
        <w:rPr>
          <w:rFonts w:ascii="Times New Roman" w:hAnsi="Times New Roman" w:cs="Times New Roman"/>
          <w:i/>
          <w:iCs/>
          <w:color w:val="EE0000"/>
          <w:sz w:val="24"/>
          <w:szCs w:val="24"/>
          <w:highlight w:val="yellow"/>
        </w:rPr>
        <w:t>Waste Manag</w:t>
      </w:r>
      <w:r w:rsidRPr="009F2A88">
        <w:rPr>
          <w:rFonts w:ascii="Times New Roman" w:hAnsi="Times New Roman" w:cs="Times New Roman"/>
          <w:color w:val="EE0000"/>
          <w:sz w:val="24"/>
          <w:szCs w:val="24"/>
          <w:highlight w:val="yellow"/>
        </w:rPr>
        <w:t>. 28(2):372-80.</w:t>
      </w:r>
    </w:p>
    <w:p w14:paraId="6DAFB889" w14:textId="023FD5F6"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EE0000"/>
          <w:sz w:val="24"/>
          <w:szCs w:val="24"/>
          <w:highlight w:val="yellow"/>
        </w:rPr>
      </w:pPr>
      <w:r w:rsidRPr="009F2A88">
        <w:rPr>
          <w:rFonts w:ascii="Times New Roman" w:eastAsia="Times New Roman" w:hAnsi="Times New Roman" w:cs="Times New Roman"/>
          <w:color w:val="EE0000"/>
          <w:sz w:val="24"/>
          <w:szCs w:val="24"/>
          <w:highlight w:val="yellow"/>
        </w:rPr>
        <w:t xml:space="preserve">Cain, M., Lynch, J., Allen, M. R., </w:t>
      </w:r>
      <w:proofErr w:type="spellStart"/>
      <w:r w:rsidRPr="009F2A88">
        <w:rPr>
          <w:rFonts w:ascii="Times New Roman" w:eastAsia="Times New Roman" w:hAnsi="Times New Roman" w:cs="Times New Roman"/>
          <w:color w:val="EE0000"/>
          <w:sz w:val="24"/>
          <w:szCs w:val="24"/>
          <w:highlight w:val="yellow"/>
        </w:rPr>
        <w:t>Fuglestvedt</w:t>
      </w:r>
      <w:proofErr w:type="spellEnd"/>
      <w:r w:rsidRPr="009F2A88">
        <w:rPr>
          <w:rFonts w:ascii="Times New Roman" w:eastAsia="Times New Roman" w:hAnsi="Times New Roman" w:cs="Times New Roman"/>
          <w:color w:val="EE0000"/>
          <w:sz w:val="24"/>
          <w:szCs w:val="24"/>
          <w:highlight w:val="yellow"/>
        </w:rPr>
        <w:t xml:space="preserve">, J. S., Frame, D. J., &amp; Macey, A. H. (2019). Improved calculation of warming-equivalent emissions for short-lived climate pollutants. </w:t>
      </w:r>
      <w:proofErr w:type="spellStart"/>
      <w:r w:rsidRPr="009F2A88">
        <w:rPr>
          <w:rFonts w:ascii="Times New Roman" w:eastAsia="Times New Roman" w:hAnsi="Times New Roman" w:cs="Times New Roman"/>
          <w:i/>
          <w:iCs/>
          <w:color w:val="EE0000"/>
          <w:sz w:val="24"/>
          <w:szCs w:val="24"/>
          <w:highlight w:val="yellow"/>
        </w:rPr>
        <w:t>npj</w:t>
      </w:r>
      <w:proofErr w:type="spellEnd"/>
      <w:r w:rsidRPr="009F2A88">
        <w:rPr>
          <w:rFonts w:ascii="Times New Roman" w:eastAsia="Times New Roman" w:hAnsi="Times New Roman" w:cs="Times New Roman"/>
          <w:i/>
          <w:iCs/>
          <w:color w:val="EE0000"/>
          <w:sz w:val="24"/>
          <w:szCs w:val="24"/>
          <w:highlight w:val="yellow"/>
        </w:rPr>
        <w:t xml:space="preserve"> Climate and Atmospheric Science</w:t>
      </w:r>
      <w:r w:rsidRPr="009F2A88">
        <w:rPr>
          <w:rFonts w:ascii="Times New Roman" w:eastAsia="Times New Roman" w:hAnsi="Times New Roman" w:cs="Times New Roman"/>
          <w:color w:val="EE0000"/>
          <w:sz w:val="24"/>
          <w:szCs w:val="24"/>
          <w:highlight w:val="yellow"/>
        </w:rPr>
        <w:t>, 2, 29.</w:t>
      </w:r>
      <w:r w:rsidR="009541EA" w:rsidRPr="009F2A88">
        <w:rPr>
          <w:rFonts w:ascii="Times New Roman" w:eastAsia="Times New Roman" w:hAnsi="Times New Roman" w:cs="Times New Roman"/>
          <w:color w:val="EE0000"/>
          <w:sz w:val="24"/>
          <w:szCs w:val="24"/>
          <w:highlight w:val="yellow"/>
        </w:rPr>
        <w:t>https://doi.org/10.1038/s41612-019-0086-4</w:t>
      </w:r>
    </w:p>
    <w:p w14:paraId="09475689" w14:textId="76635E9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EE0000"/>
          <w:sz w:val="24"/>
          <w:szCs w:val="24"/>
          <w:highlight w:val="yellow"/>
        </w:rPr>
      </w:pPr>
      <w:r w:rsidRPr="009F2A88">
        <w:rPr>
          <w:rFonts w:ascii="Times New Roman" w:eastAsia="Times New Roman" w:hAnsi="Times New Roman" w:cs="Times New Roman"/>
          <w:color w:val="EE0000"/>
          <w:sz w:val="24"/>
          <w:szCs w:val="24"/>
          <w:highlight w:val="yellow"/>
        </w:rPr>
        <w:lastRenderedPageBreak/>
        <w:t xml:space="preserve">Central Coir Research Institute (CCRI). (2018). </w:t>
      </w:r>
      <w:r w:rsidRPr="009F2A88">
        <w:rPr>
          <w:rFonts w:ascii="Times New Roman" w:eastAsia="Times New Roman" w:hAnsi="Times New Roman" w:cs="Times New Roman"/>
          <w:i/>
          <w:iCs/>
          <w:color w:val="EE0000"/>
          <w:sz w:val="24"/>
          <w:szCs w:val="24"/>
          <w:highlight w:val="yellow"/>
        </w:rPr>
        <w:t>Annual Report 2017–18</w:t>
      </w:r>
      <w:r w:rsidRPr="009F2A88">
        <w:rPr>
          <w:rFonts w:ascii="Times New Roman" w:eastAsia="Times New Roman" w:hAnsi="Times New Roman" w:cs="Times New Roman"/>
          <w:color w:val="EE0000"/>
          <w:sz w:val="24"/>
          <w:szCs w:val="24"/>
          <w:highlight w:val="yellow"/>
        </w:rPr>
        <w:t>. Government of India, Coir Board.</w:t>
      </w:r>
      <w:r w:rsidR="00805920" w:rsidRPr="009F2A88">
        <w:rPr>
          <w:rFonts w:ascii="Times New Roman" w:eastAsia="Times New Roman" w:hAnsi="Times New Roman" w:cs="Times New Roman"/>
          <w:color w:val="EE0000"/>
          <w:sz w:val="24"/>
          <w:szCs w:val="24"/>
          <w:highlight w:val="yellow"/>
        </w:rPr>
        <w:t xml:space="preserve"> Available at http://coirboard.gov.in/?page_id=199</w:t>
      </w:r>
    </w:p>
    <w:p w14:paraId="10CF7581" w14:textId="283DEDDF" w:rsidR="00F7317F"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rPr>
      </w:pPr>
      <w:r w:rsidRPr="009F2A88">
        <w:rPr>
          <w:rFonts w:ascii="Times New Roman" w:eastAsia="Times New Roman" w:hAnsi="Times New Roman" w:cs="Times New Roman"/>
          <w:color w:val="000000" w:themeColor="text1"/>
          <w:sz w:val="24"/>
          <w:szCs w:val="24"/>
          <w:highlight w:val="yellow"/>
        </w:rPr>
        <w:t xml:space="preserve">Central Pollution Control Board (CPCB). (2016). </w:t>
      </w:r>
      <w:r w:rsidR="0077354A" w:rsidRPr="009F2A88">
        <w:rPr>
          <w:rFonts w:ascii="Times New Roman" w:eastAsia="Times New Roman" w:hAnsi="Times New Roman" w:cs="Times New Roman"/>
          <w:color w:val="000000" w:themeColor="text1"/>
          <w:sz w:val="24"/>
          <w:szCs w:val="24"/>
          <w:highlight w:val="yellow"/>
        </w:rPr>
        <w:t>Enforcement Framework for Effective Implementation of Hazardous and Other Wastes (Management and Transboundary Movement) Rules, 2016</w:t>
      </w:r>
      <w:r w:rsidRPr="009F2A88">
        <w:rPr>
          <w:rFonts w:ascii="Times New Roman" w:eastAsia="Times New Roman" w:hAnsi="Times New Roman" w:cs="Times New Roman"/>
          <w:color w:val="000000" w:themeColor="text1"/>
          <w:sz w:val="24"/>
          <w:szCs w:val="24"/>
          <w:highlight w:val="yellow"/>
        </w:rPr>
        <w:t>.</w:t>
      </w:r>
      <w:r w:rsidR="0077354A" w:rsidRPr="009F2A88">
        <w:rPr>
          <w:rFonts w:ascii="Times New Roman" w:eastAsia="Times New Roman" w:hAnsi="Times New Roman" w:cs="Times New Roman"/>
          <w:color w:val="000000" w:themeColor="text1"/>
          <w:sz w:val="24"/>
          <w:szCs w:val="24"/>
          <w:highlight w:val="yellow"/>
        </w:rPr>
        <w:t xml:space="preserve"> Delhi, Available at </w:t>
      </w:r>
      <w:hyperlink r:id="rId23" w:history="1">
        <w:r w:rsidR="0077354A" w:rsidRPr="009F2A88">
          <w:rPr>
            <w:rStyle w:val="Hyperlink"/>
            <w:rFonts w:ascii="Times New Roman" w:eastAsia="Times New Roman" w:hAnsi="Times New Roman" w:cs="Times New Roman"/>
            <w:sz w:val="24"/>
            <w:szCs w:val="24"/>
            <w:highlight w:val="yellow"/>
          </w:rPr>
          <w:t>https://cpcb.nic.in/uploads/hwmd/Guidelines_HW_1.pdf</w:t>
        </w:r>
      </w:hyperlink>
      <w:r w:rsidR="0077354A" w:rsidRPr="009F2A88">
        <w:rPr>
          <w:rFonts w:ascii="Times New Roman" w:eastAsia="Times New Roman" w:hAnsi="Times New Roman" w:cs="Times New Roman"/>
          <w:color w:val="000000" w:themeColor="text1"/>
          <w:sz w:val="24"/>
          <w:szCs w:val="24"/>
        </w:rPr>
        <w:t xml:space="preserve"> </w:t>
      </w:r>
    </w:p>
    <w:p w14:paraId="752B0E98" w14:textId="49819C76" w:rsidR="00331E5E" w:rsidRPr="00331E5E" w:rsidRDefault="00331E5E" w:rsidP="00331E5E">
      <w:pPr>
        <w:pStyle w:val="ListParagraph"/>
        <w:numPr>
          <w:ilvl w:val="0"/>
          <w:numId w:val="8"/>
        </w:numPr>
        <w:spacing w:after="0" w:line="240" w:lineRule="auto"/>
        <w:ind w:left="270"/>
        <w:jc w:val="both"/>
        <w:rPr>
          <w:rFonts w:ascii="Times New Roman" w:eastAsia="Times New Roman" w:hAnsi="Times New Roman" w:cs="Times New Roman"/>
          <w:color w:val="000000" w:themeColor="text1"/>
          <w:sz w:val="24"/>
          <w:szCs w:val="24"/>
          <w:highlight w:val="yellow"/>
        </w:rPr>
      </w:pPr>
      <w:r w:rsidRPr="00331E5E">
        <w:rPr>
          <w:rFonts w:ascii="Times New Roman" w:eastAsia="Times New Roman" w:hAnsi="Times New Roman" w:cs="Times New Roman"/>
          <w:color w:val="000000" w:themeColor="text1"/>
          <w:sz w:val="24"/>
          <w:szCs w:val="24"/>
          <w:highlight w:val="yellow"/>
        </w:rPr>
        <w:t xml:space="preserve">Dey, P., Bera R, Dutta, A, S, Bose and K </w:t>
      </w:r>
      <w:proofErr w:type="spellStart"/>
      <w:r w:rsidRPr="00331E5E">
        <w:rPr>
          <w:rFonts w:ascii="Times New Roman" w:eastAsia="Times New Roman" w:hAnsi="Times New Roman" w:cs="Times New Roman"/>
          <w:color w:val="000000" w:themeColor="text1"/>
          <w:sz w:val="24"/>
          <w:szCs w:val="24"/>
          <w:highlight w:val="yellow"/>
        </w:rPr>
        <w:t>Mukhipadhyay</w:t>
      </w:r>
      <w:proofErr w:type="spellEnd"/>
      <w:r w:rsidRPr="00331E5E">
        <w:rPr>
          <w:rFonts w:ascii="Times New Roman" w:eastAsia="Times New Roman" w:hAnsi="Times New Roman" w:cs="Times New Roman"/>
          <w:color w:val="000000" w:themeColor="text1"/>
          <w:sz w:val="24"/>
          <w:szCs w:val="24"/>
          <w:highlight w:val="yellow"/>
        </w:rPr>
        <w:t xml:space="preserve"> (2025). NOVCOM Technology: Overcoming Limitations of </w:t>
      </w:r>
      <w:proofErr w:type="spellStart"/>
      <w:r w:rsidRPr="00331E5E">
        <w:rPr>
          <w:rFonts w:ascii="Times New Roman" w:eastAsia="Times New Roman" w:hAnsi="Times New Roman" w:cs="Times New Roman"/>
          <w:color w:val="000000" w:themeColor="text1"/>
          <w:sz w:val="24"/>
          <w:szCs w:val="24"/>
          <w:highlight w:val="yellow"/>
        </w:rPr>
        <w:t>Coirpith</w:t>
      </w:r>
      <w:proofErr w:type="spellEnd"/>
      <w:r w:rsidRPr="00331E5E">
        <w:rPr>
          <w:rFonts w:ascii="Times New Roman" w:eastAsia="Times New Roman" w:hAnsi="Times New Roman" w:cs="Times New Roman"/>
          <w:color w:val="000000" w:themeColor="text1"/>
          <w:sz w:val="24"/>
          <w:szCs w:val="24"/>
          <w:highlight w:val="yellow"/>
        </w:rPr>
        <w:t>-Based Portray Media for Healthy and Uniform Seedling Production, Page 1-78, DOI: 10.13140/RG.2.2.16534.82241</w:t>
      </w:r>
      <w:r>
        <w:rPr>
          <w:rFonts w:ascii="Times New Roman" w:eastAsia="Times New Roman" w:hAnsi="Times New Roman" w:cs="Times New Roman"/>
          <w:color w:val="000000" w:themeColor="text1"/>
          <w:sz w:val="24"/>
          <w:szCs w:val="24"/>
          <w:highlight w:val="yellow"/>
        </w:rPr>
        <w:t xml:space="preserve">; </w:t>
      </w:r>
    </w:p>
    <w:p w14:paraId="5C7E93CE" w14:textId="0E399A0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highlight w:val="yellow"/>
        </w:rPr>
      </w:pPr>
      <w:r w:rsidRPr="009F2A88">
        <w:rPr>
          <w:rFonts w:ascii="Times New Roman" w:eastAsia="Times New Roman" w:hAnsi="Times New Roman" w:cs="Times New Roman"/>
          <w:color w:val="000000" w:themeColor="text1"/>
          <w:sz w:val="24"/>
          <w:szCs w:val="24"/>
          <w:highlight w:val="yellow"/>
        </w:rPr>
        <w:t xml:space="preserve">Food and Agriculture Organization (FAO). (2020). </w:t>
      </w:r>
      <w:r w:rsidRPr="009F2A88">
        <w:rPr>
          <w:rFonts w:ascii="Times New Roman" w:eastAsia="Times New Roman" w:hAnsi="Times New Roman" w:cs="Times New Roman"/>
          <w:i/>
          <w:iCs/>
          <w:color w:val="000000" w:themeColor="text1"/>
          <w:sz w:val="24"/>
          <w:szCs w:val="24"/>
          <w:highlight w:val="yellow"/>
        </w:rPr>
        <w:t>FAOSTAT: Crops and livestock products</w:t>
      </w:r>
      <w:r w:rsidRPr="009F2A88">
        <w:rPr>
          <w:rFonts w:ascii="Times New Roman" w:eastAsia="Times New Roman" w:hAnsi="Times New Roman" w:cs="Times New Roman"/>
          <w:color w:val="000000" w:themeColor="text1"/>
          <w:sz w:val="24"/>
          <w:szCs w:val="24"/>
          <w:highlight w:val="yellow"/>
        </w:rPr>
        <w:t>. Rome: FAO.</w:t>
      </w:r>
      <w:r w:rsidR="00DF1756" w:rsidRPr="009F2A88">
        <w:rPr>
          <w:rFonts w:ascii="Times New Roman" w:eastAsia="Times New Roman" w:hAnsi="Times New Roman" w:cs="Times New Roman"/>
          <w:color w:val="000000" w:themeColor="text1"/>
          <w:sz w:val="24"/>
          <w:szCs w:val="24"/>
          <w:highlight w:val="yellow"/>
        </w:rPr>
        <w:t xml:space="preserve"> Available at https://www.fao.org/faostat/en/#data/QCL</w:t>
      </w:r>
    </w:p>
    <w:p w14:paraId="7EF927B1" w14:textId="56064D6C" w:rsidR="00F7317F" w:rsidRPr="009F2A88" w:rsidRDefault="00DF1756"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highlight w:val="yellow"/>
        </w:rPr>
      </w:pPr>
      <w:r w:rsidRPr="009F2A88">
        <w:rPr>
          <w:rFonts w:ascii="Times New Roman" w:eastAsia="Times New Roman" w:hAnsi="Times New Roman" w:cs="Times New Roman"/>
          <w:color w:val="000000" w:themeColor="text1"/>
          <w:sz w:val="24"/>
          <w:szCs w:val="24"/>
          <w:highlight w:val="yellow"/>
        </w:rPr>
        <w:t xml:space="preserve">Forster, P., T. </w:t>
      </w:r>
      <w:proofErr w:type="spellStart"/>
      <w:r w:rsidRPr="009F2A88">
        <w:rPr>
          <w:rFonts w:ascii="Times New Roman" w:eastAsia="Times New Roman" w:hAnsi="Times New Roman" w:cs="Times New Roman"/>
          <w:color w:val="000000" w:themeColor="text1"/>
          <w:sz w:val="24"/>
          <w:szCs w:val="24"/>
          <w:highlight w:val="yellow"/>
        </w:rPr>
        <w:t>Storelvmo</w:t>
      </w:r>
      <w:proofErr w:type="spellEnd"/>
      <w:r w:rsidRPr="009F2A88">
        <w:rPr>
          <w:rFonts w:ascii="Times New Roman" w:eastAsia="Times New Roman" w:hAnsi="Times New Roman" w:cs="Times New Roman"/>
          <w:color w:val="000000" w:themeColor="text1"/>
          <w:sz w:val="24"/>
          <w:szCs w:val="24"/>
          <w:highlight w:val="yellow"/>
        </w:rPr>
        <w:t xml:space="preserve">, K. </w:t>
      </w:r>
      <w:proofErr w:type="spellStart"/>
      <w:r w:rsidRPr="009F2A88">
        <w:rPr>
          <w:rFonts w:ascii="Times New Roman" w:eastAsia="Times New Roman" w:hAnsi="Times New Roman" w:cs="Times New Roman"/>
          <w:color w:val="000000" w:themeColor="text1"/>
          <w:sz w:val="24"/>
          <w:szCs w:val="24"/>
          <w:highlight w:val="yellow"/>
        </w:rPr>
        <w:t>Armour</w:t>
      </w:r>
      <w:proofErr w:type="spellEnd"/>
      <w:r w:rsidRPr="009F2A88">
        <w:rPr>
          <w:rFonts w:ascii="Times New Roman" w:eastAsia="Times New Roman" w:hAnsi="Times New Roman" w:cs="Times New Roman"/>
          <w:color w:val="000000" w:themeColor="text1"/>
          <w:sz w:val="24"/>
          <w:szCs w:val="24"/>
          <w:highlight w:val="yellow"/>
        </w:rPr>
        <w:t xml:space="preserve">, W. Collins, J.-L. Dufresne, D. Frame, D.J. Lunt, T. Mauritsen, M.D. Palmer, M. Watanabe, M. Wild, and H. Zhang, 2021: The Earth’s Energy Budget, Climate Feedbacks, and Climate Sensitivity. In Climate Change 2021: The Physical Science Basis. Contribution of Working Group I to the Sixth Assessment Report of the Intergovernmental Panel on Climate Change [Masson-Delmotte, V., P. Zhai, A. Pirani, S.L. Connors, C. </w:t>
      </w:r>
      <w:proofErr w:type="spellStart"/>
      <w:r w:rsidRPr="009F2A88">
        <w:rPr>
          <w:rFonts w:ascii="Times New Roman" w:eastAsia="Times New Roman" w:hAnsi="Times New Roman" w:cs="Times New Roman"/>
          <w:color w:val="000000" w:themeColor="text1"/>
          <w:sz w:val="24"/>
          <w:szCs w:val="24"/>
          <w:highlight w:val="yellow"/>
        </w:rPr>
        <w:t>Péan</w:t>
      </w:r>
      <w:proofErr w:type="spellEnd"/>
      <w:r w:rsidRPr="009F2A88">
        <w:rPr>
          <w:rFonts w:ascii="Times New Roman" w:eastAsia="Times New Roman" w:hAnsi="Times New Roman" w:cs="Times New Roman"/>
          <w:color w:val="000000" w:themeColor="text1"/>
          <w:sz w:val="24"/>
          <w:szCs w:val="24"/>
          <w:highlight w:val="yellow"/>
        </w:rPr>
        <w:t xml:space="preserve">, S. Berger, N.  </w:t>
      </w:r>
      <w:proofErr w:type="spellStart"/>
      <w:r w:rsidRPr="009F2A88">
        <w:rPr>
          <w:rFonts w:ascii="Times New Roman" w:eastAsia="Times New Roman" w:hAnsi="Times New Roman" w:cs="Times New Roman"/>
          <w:color w:val="000000" w:themeColor="text1"/>
          <w:sz w:val="24"/>
          <w:szCs w:val="24"/>
          <w:highlight w:val="yellow"/>
        </w:rPr>
        <w:t>Caud</w:t>
      </w:r>
      <w:proofErr w:type="spellEnd"/>
      <w:r w:rsidRPr="009F2A88">
        <w:rPr>
          <w:rFonts w:ascii="Times New Roman" w:eastAsia="Times New Roman" w:hAnsi="Times New Roman" w:cs="Times New Roman"/>
          <w:color w:val="000000" w:themeColor="text1"/>
          <w:sz w:val="24"/>
          <w:szCs w:val="24"/>
          <w:highlight w:val="yellow"/>
        </w:rPr>
        <w:t xml:space="preserve">, Y. Chen, L. Goldfarb, M.I. Gomis, M. Huang, K. Leitzell, E. </w:t>
      </w:r>
      <w:proofErr w:type="spellStart"/>
      <w:r w:rsidRPr="009F2A88">
        <w:rPr>
          <w:rFonts w:ascii="Times New Roman" w:eastAsia="Times New Roman" w:hAnsi="Times New Roman" w:cs="Times New Roman"/>
          <w:color w:val="000000" w:themeColor="text1"/>
          <w:sz w:val="24"/>
          <w:szCs w:val="24"/>
          <w:highlight w:val="yellow"/>
        </w:rPr>
        <w:t>Lonnoy</w:t>
      </w:r>
      <w:proofErr w:type="spellEnd"/>
      <w:r w:rsidRPr="009F2A88">
        <w:rPr>
          <w:rFonts w:ascii="Times New Roman" w:eastAsia="Times New Roman" w:hAnsi="Times New Roman" w:cs="Times New Roman"/>
          <w:color w:val="000000" w:themeColor="text1"/>
          <w:sz w:val="24"/>
          <w:szCs w:val="24"/>
          <w:highlight w:val="yellow"/>
        </w:rPr>
        <w:t xml:space="preserve">, J.B.R. Matthews, T.K. Maycock, T. Waterfield, O. </w:t>
      </w:r>
      <w:proofErr w:type="spellStart"/>
      <w:r w:rsidRPr="009F2A88">
        <w:rPr>
          <w:rFonts w:ascii="Times New Roman" w:eastAsia="Times New Roman" w:hAnsi="Times New Roman" w:cs="Times New Roman"/>
          <w:color w:val="000000" w:themeColor="text1"/>
          <w:sz w:val="24"/>
          <w:szCs w:val="24"/>
          <w:highlight w:val="yellow"/>
        </w:rPr>
        <w:t>Yelekçi</w:t>
      </w:r>
      <w:proofErr w:type="spellEnd"/>
      <w:r w:rsidRPr="009F2A88">
        <w:rPr>
          <w:rFonts w:ascii="Times New Roman" w:eastAsia="Times New Roman" w:hAnsi="Times New Roman" w:cs="Times New Roman"/>
          <w:color w:val="000000" w:themeColor="text1"/>
          <w:sz w:val="24"/>
          <w:szCs w:val="24"/>
          <w:highlight w:val="yellow"/>
        </w:rPr>
        <w:t>, R. Yu, and B. Zhou (eds.)]. Cambridge University Press, Cambridge, United Kingdom and New York, NY, USA, pp. 923–1054, doi:10.1017/9781009157896.009.</w:t>
      </w:r>
    </w:p>
    <w:p w14:paraId="3774AAAF" w14:textId="04885172" w:rsidR="00F7317F" w:rsidRPr="009F2A88" w:rsidRDefault="00F7317F" w:rsidP="009F2A88">
      <w:pPr>
        <w:pStyle w:val="ListParagraph"/>
        <w:numPr>
          <w:ilvl w:val="0"/>
          <w:numId w:val="8"/>
        </w:numPr>
        <w:spacing w:after="0" w:line="240" w:lineRule="auto"/>
        <w:ind w:left="284" w:hanging="284"/>
        <w:jc w:val="both"/>
        <w:rPr>
          <w:rFonts w:ascii="Times New Roman" w:hAnsi="Times New Roman" w:cs="Times New Roman"/>
          <w:sz w:val="24"/>
          <w:szCs w:val="24"/>
          <w:highlight w:val="yellow"/>
        </w:rPr>
      </w:pPr>
      <w:r w:rsidRPr="009F2A88">
        <w:rPr>
          <w:rStyle w:val="Strong"/>
          <w:rFonts w:ascii="Times New Roman" w:hAnsi="Times New Roman" w:cs="Times New Roman"/>
          <w:b w:val="0"/>
          <w:sz w:val="24"/>
          <w:szCs w:val="24"/>
          <w:highlight w:val="yellow"/>
        </w:rPr>
        <w:t>Gold Standard Foundation (2022).</w:t>
      </w:r>
      <w:r w:rsidRPr="009F2A88">
        <w:rPr>
          <w:rFonts w:ascii="Times New Roman" w:hAnsi="Times New Roman" w:cs="Times New Roman"/>
          <w:sz w:val="24"/>
          <w:szCs w:val="24"/>
          <w:highlight w:val="yellow"/>
        </w:rPr>
        <w:t xml:space="preserve"> </w:t>
      </w:r>
      <w:r w:rsidRPr="009F2A88">
        <w:rPr>
          <w:rStyle w:val="Emphasis"/>
          <w:rFonts w:ascii="Times New Roman" w:hAnsi="Times New Roman" w:cs="Times New Roman"/>
          <w:sz w:val="24"/>
          <w:szCs w:val="24"/>
          <w:highlight w:val="yellow"/>
        </w:rPr>
        <w:t>Principles &amp; Requirements.</w:t>
      </w:r>
      <w:r w:rsidRPr="009F2A88">
        <w:rPr>
          <w:rFonts w:ascii="Times New Roman" w:hAnsi="Times New Roman" w:cs="Times New Roman"/>
          <w:sz w:val="24"/>
          <w:szCs w:val="24"/>
          <w:highlight w:val="yellow"/>
        </w:rPr>
        <w:t xml:space="preserve"> Gold Standard for the Global Goals. </w:t>
      </w:r>
      <w:hyperlink r:id="rId24" w:history="1">
        <w:r w:rsidR="0073566E" w:rsidRPr="009F2A88">
          <w:rPr>
            <w:rStyle w:val="Hyperlink"/>
            <w:color w:val="auto"/>
            <w:sz w:val="24"/>
            <w:szCs w:val="24"/>
            <w:highlight w:val="yellow"/>
          </w:rPr>
          <w:t>https://globalgoals.goldstandard.org/101-par-principles-requirements/?utm_source=chatgpt.com</w:t>
        </w:r>
      </w:hyperlink>
      <w:r w:rsidR="0073566E" w:rsidRPr="009F2A88">
        <w:rPr>
          <w:sz w:val="24"/>
          <w:szCs w:val="24"/>
          <w:highlight w:val="yellow"/>
        </w:rPr>
        <w:t xml:space="preserve"> </w:t>
      </w:r>
    </w:p>
    <w:p w14:paraId="11C4DF4F" w14:textId="7208F241" w:rsidR="00F7317F" w:rsidRPr="009F2A88" w:rsidRDefault="00F7317F" w:rsidP="009F2A88">
      <w:pPr>
        <w:pStyle w:val="ListParagraph"/>
        <w:numPr>
          <w:ilvl w:val="0"/>
          <w:numId w:val="8"/>
        </w:numPr>
        <w:spacing w:after="0" w:line="240" w:lineRule="auto"/>
        <w:ind w:left="284" w:hanging="284"/>
        <w:rPr>
          <w:rFonts w:ascii="Times New Roman" w:hAnsi="Times New Roman" w:cs="Times New Roman"/>
          <w:color w:val="000000" w:themeColor="text1"/>
          <w:sz w:val="24"/>
          <w:szCs w:val="24"/>
        </w:rPr>
      </w:pPr>
      <w:r w:rsidRPr="009F2A88">
        <w:rPr>
          <w:rFonts w:ascii="Times New Roman" w:hAnsi="Times New Roman" w:cs="Times New Roman"/>
          <w:color w:val="000000" w:themeColor="text1"/>
          <w:sz w:val="24"/>
          <w:szCs w:val="24"/>
          <w:highlight w:val="yellow"/>
        </w:rPr>
        <w:t xml:space="preserve">Government of Tamil Nadu. (2024). </w:t>
      </w:r>
      <w:r w:rsidRPr="009F2A88">
        <w:rPr>
          <w:rStyle w:val="Emphasis"/>
          <w:rFonts w:ascii="Times New Roman" w:hAnsi="Times New Roman" w:cs="Times New Roman"/>
          <w:color w:val="000000" w:themeColor="text1"/>
          <w:sz w:val="24"/>
          <w:szCs w:val="24"/>
          <w:highlight w:val="yellow"/>
        </w:rPr>
        <w:t xml:space="preserve">Tamil Nadu Coir Policy 2024: </w:t>
      </w:r>
      <w:r w:rsidR="0021752A" w:rsidRPr="009F2A88">
        <w:rPr>
          <w:rStyle w:val="Emphasis"/>
          <w:rFonts w:ascii="Times New Roman" w:hAnsi="Times New Roman" w:cs="Times New Roman"/>
          <w:i w:val="0"/>
          <w:iCs w:val="0"/>
          <w:color w:val="000000" w:themeColor="text1"/>
          <w:sz w:val="24"/>
          <w:szCs w:val="24"/>
          <w:highlight w:val="yellow"/>
        </w:rPr>
        <w:t xml:space="preserve">Government of Tamil Nadu, Available at </w:t>
      </w:r>
      <w:hyperlink r:id="rId25" w:history="1">
        <w:r w:rsidR="0021752A" w:rsidRPr="009F2A88">
          <w:rPr>
            <w:rStyle w:val="Hyperlink"/>
            <w:rFonts w:ascii="Times New Roman" w:hAnsi="Times New Roman" w:cs="Times New Roman"/>
            <w:sz w:val="24"/>
            <w:szCs w:val="24"/>
            <w:highlight w:val="yellow"/>
          </w:rPr>
          <w:t>https://cms.tn.gov.in/cms_migrated/document/docfiles/coir_policy_ 2024.pdf</w:t>
        </w:r>
      </w:hyperlink>
      <w:r w:rsidR="0021752A" w:rsidRPr="009F2A88">
        <w:rPr>
          <w:rStyle w:val="Emphasis"/>
          <w:rFonts w:ascii="Times New Roman" w:hAnsi="Times New Roman" w:cs="Times New Roman"/>
          <w:i w:val="0"/>
          <w:iCs w:val="0"/>
          <w:color w:val="000000" w:themeColor="text1"/>
          <w:sz w:val="24"/>
          <w:szCs w:val="24"/>
          <w:highlight w:val="yellow"/>
        </w:rPr>
        <w:t>? utm_source=chatgpt.com</w:t>
      </w:r>
      <w:r w:rsidR="0021752A" w:rsidRPr="009F2A88">
        <w:rPr>
          <w:rStyle w:val="Emphasis"/>
          <w:rFonts w:ascii="Times New Roman" w:hAnsi="Times New Roman" w:cs="Times New Roman"/>
          <w:i w:val="0"/>
          <w:iCs w:val="0"/>
          <w:color w:val="000000" w:themeColor="text1"/>
          <w:sz w:val="24"/>
          <w:szCs w:val="24"/>
        </w:rPr>
        <w:cr/>
      </w:r>
    </w:p>
    <w:p w14:paraId="48B7841C" w14:textId="77777777" w:rsidR="00F7317F" w:rsidRPr="009F2A88" w:rsidRDefault="00F7317F" w:rsidP="009F2A88">
      <w:pPr>
        <w:pStyle w:val="ListParagraph"/>
        <w:numPr>
          <w:ilvl w:val="0"/>
          <w:numId w:val="8"/>
        </w:numPr>
        <w:spacing w:after="0" w:line="240" w:lineRule="auto"/>
        <w:ind w:left="284" w:hanging="284"/>
        <w:jc w:val="both"/>
        <w:rPr>
          <w:rFonts w:ascii="Times New Roman" w:hAnsi="Times New Roman" w:cs="Times New Roman"/>
          <w:color w:val="000000" w:themeColor="text1"/>
          <w:sz w:val="24"/>
          <w:szCs w:val="24"/>
        </w:rPr>
      </w:pPr>
      <w:r w:rsidRPr="009F2A88">
        <w:rPr>
          <w:rFonts w:ascii="Times New Roman" w:hAnsi="Times New Roman" w:cs="Times New Roman"/>
          <w:color w:val="000000" w:themeColor="text1"/>
          <w:sz w:val="24"/>
          <w:szCs w:val="24"/>
        </w:rPr>
        <w:t xml:space="preserve">Intergovernmental Panel on Climate Change (IPCC). (2006). </w:t>
      </w:r>
      <w:r w:rsidRPr="009F2A88">
        <w:rPr>
          <w:rStyle w:val="Emphasis"/>
          <w:rFonts w:ascii="Times New Roman" w:hAnsi="Times New Roman" w:cs="Times New Roman"/>
          <w:color w:val="000000" w:themeColor="text1"/>
          <w:sz w:val="24"/>
          <w:szCs w:val="24"/>
        </w:rPr>
        <w:t>2006 IPCC Guidelines for National Greenhouse Gas Inventories: Volume 5 – Waste.</w:t>
      </w:r>
      <w:r w:rsidRPr="009F2A88">
        <w:rPr>
          <w:rFonts w:ascii="Times New Roman" w:hAnsi="Times New Roman" w:cs="Times New Roman"/>
          <w:color w:val="000000" w:themeColor="text1"/>
          <w:sz w:val="24"/>
          <w:szCs w:val="24"/>
        </w:rPr>
        <w:t xml:space="preserve"> Eggleston, H. S., Buendia, L., Miwa, K., Ngara, T., &amp; Tanabe, K. (Eds.). IGES, Japan. Retrieved from https://www.ipcc-nggip.iges.or.jp/public/2006gl/</w:t>
      </w:r>
    </w:p>
    <w:p w14:paraId="4353F8AB" w14:textId="7777777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rPr>
      </w:pPr>
      <w:r w:rsidRPr="009F2A88">
        <w:rPr>
          <w:rFonts w:ascii="Times New Roman" w:eastAsia="Times New Roman" w:hAnsi="Times New Roman" w:cs="Times New Roman"/>
          <w:color w:val="000000" w:themeColor="text1"/>
          <w:sz w:val="24"/>
          <w:szCs w:val="24"/>
        </w:rPr>
        <w:t xml:space="preserve">Intergovernmental Panel on Climate Change (IPCC). (2019). </w:t>
      </w:r>
      <w:r w:rsidRPr="009F2A88">
        <w:rPr>
          <w:rFonts w:ascii="Times New Roman" w:eastAsia="Times New Roman" w:hAnsi="Times New Roman" w:cs="Times New Roman"/>
          <w:i/>
          <w:iCs/>
          <w:color w:val="000000" w:themeColor="text1"/>
          <w:sz w:val="24"/>
          <w:szCs w:val="24"/>
        </w:rPr>
        <w:t>2019 Refinement to the 2006 IPCC Guidelines for National Greenhouse Gas Inventories</w:t>
      </w:r>
      <w:r w:rsidRPr="009F2A88">
        <w:rPr>
          <w:rFonts w:ascii="Times New Roman" w:eastAsia="Times New Roman" w:hAnsi="Times New Roman" w:cs="Times New Roman"/>
          <w:color w:val="000000" w:themeColor="text1"/>
          <w:sz w:val="24"/>
          <w:szCs w:val="24"/>
        </w:rPr>
        <w:t>. Geneva: IPCC.</w:t>
      </w:r>
    </w:p>
    <w:p w14:paraId="07779170" w14:textId="7777777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rPr>
      </w:pPr>
      <w:r w:rsidRPr="009F2A88">
        <w:rPr>
          <w:rFonts w:ascii="Times New Roman" w:eastAsia="Times New Roman" w:hAnsi="Times New Roman" w:cs="Times New Roman"/>
          <w:color w:val="000000" w:themeColor="text1"/>
          <w:sz w:val="24"/>
          <w:szCs w:val="24"/>
        </w:rPr>
        <w:t xml:space="preserve">IPCC. (2006). </w:t>
      </w:r>
      <w:r w:rsidRPr="009F2A88">
        <w:rPr>
          <w:rFonts w:ascii="Times New Roman" w:eastAsia="Times New Roman" w:hAnsi="Times New Roman" w:cs="Times New Roman"/>
          <w:i/>
          <w:iCs/>
          <w:color w:val="000000" w:themeColor="text1"/>
          <w:sz w:val="24"/>
          <w:szCs w:val="24"/>
        </w:rPr>
        <w:t>2006 IPCC Guidelines for National Greenhouse Gas Inventories</w:t>
      </w:r>
      <w:r w:rsidRPr="009F2A88">
        <w:rPr>
          <w:rFonts w:ascii="Times New Roman" w:eastAsia="Times New Roman" w:hAnsi="Times New Roman" w:cs="Times New Roman"/>
          <w:color w:val="000000" w:themeColor="text1"/>
          <w:sz w:val="24"/>
          <w:szCs w:val="24"/>
        </w:rPr>
        <w:t>. Institute for Global Environmental Strategies (IGES).</w:t>
      </w:r>
    </w:p>
    <w:p w14:paraId="11133CF3" w14:textId="7777777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rPr>
      </w:pPr>
      <w:r w:rsidRPr="009F2A88">
        <w:rPr>
          <w:rFonts w:ascii="Times New Roman" w:eastAsia="Times New Roman" w:hAnsi="Times New Roman" w:cs="Times New Roman"/>
          <w:color w:val="000000" w:themeColor="text1"/>
          <w:sz w:val="24"/>
          <w:szCs w:val="24"/>
        </w:rPr>
        <w:t xml:space="preserve">IPCC. (2019). </w:t>
      </w:r>
      <w:r w:rsidRPr="009F2A88">
        <w:rPr>
          <w:rFonts w:ascii="Times New Roman" w:eastAsia="Times New Roman" w:hAnsi="Times New Roman" w:cs="Times New Roman"/>
          <w:i/>
          <w:iCs/>
          <w:color w:val="000000" w:themeColor="text1"/>
          <w:sz w:val="24"/>
          <w:szCs w:val="24"/>
        </w:rPr>
        <w:t>2019 Refinement to the 2006 IPCC Guidelines for National Greenhouse Gas Inventories — Volume 5: Waste</w:t>
      </w:r>
      <w:r w:rsidRPr="009F2A88">
        <w:rPr>
          <w:rFonts w:ascii="Times New Roman" w:eastAsia="Times New Roman" w:hAnsi="Times New Roman" w:cs="Times New Roman"/>
          <w:color w:val="000000" w:themeColor="text1"/>
          <w:sz w:val="24"/>
          <w:szCs w:val="24"/>
        </w:rPr>
        <w:t xml:space="preserve"> (methodologies for solid waste disposal). Intergovernmental Panel on Climate Change.</w:t>
      </w:r>
    </w:p>
    <w:p w14:paraId="2A15DFCA" w14:textId="7777777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rPr>
      </w:pPr>
      <w:r w:rsidRPr="009F2A88">
        <w:rPr>
          <w:rFonts w:ascii="Times New Roman" w:eastAsia="Times New Roman" w:hAnsi="Times New Roman" w:cs="Times New Roman"/>
          <w:color w:val="000000" w:themeColor="text1"/>
          <w:sz w:val="24"/>
          <w:szCs w:val="24"/>
        </w:rPr>
        <w:t xml:space="preserve">IPCC. (2021). </w:t>
      </w:r>
      <w:r w:rsidRPr="009F2A88">
        <w:rPr>
          <w:rFonts w:ascii="Times New Roman" w:eastAsia="Times New Roman" w:hAnsi="Times New Roman" w:cs="Times New Roman"/>
          <w:i/>
          <w:iCs/>
          <w:color w:val="000000" w:themeColor="text1"/>
          <w:sz w:val="24"/>
          <w:szCs w:val="24"/>
        </w:rPr>
        <w:t>Climate Change 2021: The Physical Science Basis</w:t>
      </w:r>
      <w:r w:rsidRPr="009F2A88">
        <w:rPr>
          <w:rFonts w:ascii="Times New Roman" w:eastAsia="Times New Roman" w:hAnsi="Times New Roman" w:cs="Times New Roman"/>
          <w:color w:val="000000" w:themeColor="text1"/>
          <w:sz w:val="24"/>
          <w:szCs w:val="24"/>
        </w:rPr>
        <w:t>. Contribution of Working Group I to the Sixth Assessment Report. Cambridge University Press.</w:t>
      </w:r>
    </w:p>
    <w:p w14:paraId="243713FD" w14:textId="7777777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rPr>
      </w:pPr>
      <w:r w:rsidRPr="009F2A88">
        <w:rPr>
          <w:rFonts w:ascii="Times New Roman" w:eastAsia="Times New Roman" w:hAnsi="Times New Roman" w:cs="Times New Roman"/>
          <w:color w:val="000000" w:themeColor="text1"/>
          <w:sz w:val="24"/>
          <w:szCs w:val="24"/>
        </w:rPr>
        <w:t xml:space="preserve">IPCC. (2021a). </w:t>
      </w:r>
      <w:r w:rsidRPr="009F2A88">
        <w:rPr>
          <w:rFonts w:ascii="Times New Roman" w:eastAsia="Times New Roman" w:hAnsi="Times New Roman" w:cs="Times New Roman"/>
          <w:i/>
          <w:iCs/>
          <w:color w:val="000000" w:themeColor="text1"/>
          <w:sz w:val="24"/>
          <w:szCs w:val="24"/>
        </w:rPr>
        <w:t>Climate Change 2021: The Physical Science Basis</w:t>
      </w:r>
      <w:r w:rsidRPr="009F2A88">
        <w:rPr>
          <w:rFonts w:ascii="Times New Roman" w:eastAsia="Times New Roman" w:hAnsi="Times New Roman" w:cs="Times New Roman"/>
          <w:color w:val="000000" w:themeColor="text1"/>
          <w:sz w:val="24"/>
          <w:szCs w:val="24"/>
        </w:rPr>
        <w:t xml:space="preserve"> (AR6) — for methane GWP values. Intergovernmental Panel on Climate Change.</w:t>
      </w:r>
    </w:p>
    <w:p w14:paraId="70068EF3" w14:textId="77777777" w:rsidR="00F7317F" w:rsidRPr="00DF0BA2" w:rsidRDefault="00F7317F" w:rsidP="009F2A88">
      <w:pPr>
        <w:pStyle w:val="NormalWeb"/>
        <w:numPr>
          <w:ilvl w:val="0"/>
          <w:numId w:val="8"/>
        </w:numPr>
        <w:spacing w:before="0" w:beforeAutospacing="0" w:after="0" w:afterAutospacing="0"/>
        <w:ind w:left="284" w:hanging="284"/>
        <w:jc w:val="both"/>
        <w:rPr>
          <w:color w:val="000000" w:themeColor="text1"/>
        </w:rPr>
      </w:pPr>
      <w:r w:rsidRPr="00DF0BA2">
        <w:rPr>
          <w:color w:val="000000" w:themeColor="text1"/>
        </w:rPr>
        <w:t xml:space="preserve">Jones, D. L., Hodge, A., &amp; Kuzyakov, Y. (2004). Plant and mycorrhizal regulation of rhizodeposition. </w:t>
      </w:r>
      <w:r w:rsidRPr="00DF0BA2">
        <w:rPr>
          <w:rStyle w:val="Emphasis"/>
          <w:color w:val="000000" w:themeColor="text1"/>
        </w:rPr>
        <w:t>New Phytologist, 163</w:t>
      </w:r>
      <w:r w:rsidRPr="00DF0BA2">
        <w:rPr>
          <w:color w:val="000000" w:themeColor="text1"/>
        </w:rPr>
        <w:t>(3), 459–480.</w:t>
      </w:r>
    </w:p>
    <w:p w14:paraId="46A6E967" w14:textId="7777777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rPr>
      </w:pPr>
      <w:r w:rsidRPr="009F2A88">
        <w:rPr>
          <w:rFonts w:ascii="Times New Roman" w:eastAsia="Times New Roman" w:hAnsi="Times New Roman" w:cs="Times New Roman"/>
          <w:color w:val="000000" w:themeColor="text1"/>
          <w:sz w:val="24"/>
          <w:szCs w:val="24"/>
        </w:rPr>
        <w:t xml:space="preserve">Joos, F., Roth, R., </w:t>
      </w:r>
      <w:proofErr w:type="spellStart"/>
      <w:r w:rsidRPr="009F2A88">
        <w:rPr>
          <w:rFonts w:ascii="Times New Roman" w:eastAsia="Times New Roman" w:hAnsi="Times New Roman" w:cs="Times New Roman"/>
          <w:color w:val="000000" w:themeColor="text1"/>
          <w:sz w:val="24"/>
          <w:szCs w:val="24"/>
        </w:rPr>
        <w:t>Fuglestvedt</w:t>
      </w:r>
      <w:proofErr w:type="spellEnd"/>
      <w:r w:rsidRPr="009F2A88">
        <w:rPr>
          <w:rFonts w:ascii="Times New Roman" w:eastAsia="Times New Roman" w:hAnsi="Times New Roman" w:cs="Times New Roman"/>
          <w:color w:val="000000" w:themeColor="text1"/>
          <w:sz w:val="24"/>
          <w:szCs w:val="24"/>
        </w:rPr>
        <w:t xml:space="preserve">, J. S., Peters, G. P., </w:t>
      </w:r>
      <w:proofErr w:type="spellStart"/>
      <w:r w:rsidRPr="009F2A88">
        <w:rPr>
          <w:rFonts w:ascii="Times New Roman" w:eastAsia="Times New Roman" w:hAnsi="Times New Roman" w:cs="Times New Roman"/>
          <w:color w:val="000000" w:themeColor="text1"/>
          <w:sz w:val="24"/>
          <w:szCs w:val="24"/>
        </w:rPr>
        <w:t>Enting</w:t>
      </w:r>
      <w:proofErr w:type="spellEnd"/>
      <w:r w:rsidRPr="009F2A88">
        <w:rPr>
          <w:rFonts w:ascii="Times New Roman" w:eastAsia="Times New Roman" w:hAnsi="Times New Roman" w:cs="Times New Roman"/>
          <w:color w:val="000000" w:themeColor="text1"/>
          <w:sz w:val="24"/>
          <w:szCs w:val="24"/>
        </w:rPr>
        <w:t xml:space="preserve">, I. G., von Bloh, W., … Weaver, A. J. (2013). Carbon dioxide and climate impulse response functions for the </w:t>
      </w:r>
      <w:r w:rsidRPr="009F2A88">
        <w:rPr>
          <w:rFonts w:ascii="Times New Roman" w:eastAsia="Times New Roman" w:hAnsi="Times New Roman" w:cs="Times New Roman"/>
          <w:color w:val="000000" w:themeColor="text1"/>
          <w:sz w:val="24"/>
          <w:szCs w:val="24"/>
        </w:rPr>
        <w:lastRenderedPageBreak/>
        <w:t xml:space="preserve">computation of greenhouse gas metrics: A multi-model analysis. </w:t>
      </w:r>
      <w:r w:rsidRPr="009F2A88">
        <w:rPr>
          <w:rFonts w:ascii="Times New Roman" w:eastAsia="Times New Roman" w:hAnsi="Times New Roman" w:cs="Times New Roman"/>
          <w:i/>
          <w:iCs/>
          <w:color w:val="000000" w:themeColor="text1"/>
          <w:sz w:val="24"/>
          <w:szCs w:val="24"/>
        </w:rPr>
        <w:t>Atmospheric Chemistry and Physics</w:t>
      </w:r>
      <w:r w:rsidRPr="009F2A88">
        <w:rPr>
          <w:rFonts w:ascii="Times New Roman" w:eastAsia="Times New Roman" w:hAnsi="Times New Roman" w:cs="Times New Roman"/>
          <w:color w:val="000000" w:themeColor="text1"/>
          <w:sz w:val="24"/>
          <w:szCs w:val="24"/>
        </w:rPr>
        <w:t>, 13(5), 2793–2825.</w:t>
      </w:r>
    </w:p>
    <w:p w14:paraId="0C54E844" w14:textId="7777777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rPr>
      </w:pPr>
      <w:r w:rsidRPr="009F2A88">
        <w:rPr>
          <w:rFonts w:ascii="Times New Roman" w:eastAsia="Times New Roman" w:hAnsi="Times New Roman" w:cs="Times New Roman"/>
          <w:color w:val="000000" w:themeColor="text1"/>
          <w:sz w:val="24"/>
          <w:szCs w:val="24"/>
        </w:rPr>
        <w:t xml:space="preserve">Khan, M. A., Ungar, I. A., &amp; Showalter, A. M. (2006). The effect of salinity on growth, water status and ion content of a leaf-succulent perennial halophyte, </w:t>
      </w:r>
      <w:r w:rsidRPr="009F2A88">
        <w:rPr>
          <w:rFonts w:ascii="Times New Roman" w:eastAsia="Times New Roman" w:hAnsi="Times New Roman" w:cs="Times New Roman"/>
          <w:i/>
          <w:iCs/>
          <w:color w:val="000000" w:themeColor="text1"/>
          <w:sz w:val="24"/>
          <w:szCs w:val="24"/>
        </w:rPr>
        <w:t xml:space="preserve">Suaeda </w:t>
      </w:r>
      <w:proofErr w:type="spellStart"/>
      <w:r w:rsidRPr="009F2A88">
        <w:rPr>
          <w:rFonts w:ascii="Times New Roman" w:eastAsia="Times New Roman" w:hAnsi="Times New Roman" w:cs="Times New Roman"/>
          <w:i/>
          <w:iCs/>
          <w:color w:val="000000" w:themeColor="text1"/>
          <w:sz w:val="24"/>
          <w:szCs w:val="24"/>
        </w:rPr>
        <w:t>fruticosa</w:t>
      </w:r>
      <w:proofErr w:type="spellEnd"/>
      <w:r w:rsidRPr="009F2A88">
        <w:rPr>
          <w:rFonts w:ascii="Times New Roman" w:eastAsia="Times New Roman" w:hAnsi="Times New Roman" w:cs="Times New Roman"/>
          <w:color w:val="000000" w:themeColor="text1"/>
          <w:sz w:val="24"/>
          <w:szCs w:val="24"/>
        </w:rPr>
        <w:t xml:space="preserve"> (L.) </w:t>
      </w:r>
      <w:proofErr w:type="spellStart"/>
      <w:r w:rsidRPr="009F2A88">
        <w:rPr>
          <w:rFonts w:ascii="Times New Roman" w:eastAsia="Times New Roman" w:hAnsi="Times New Roman" w:cs="Times New Roman"/>
          <w:color w:val="000000" w:themeColor="text1"/>
          <w:sz w:val="24"/>
          <w:szCs w:val="24"/>
        </w:rPr>
        <w:t>Forssk</w:t>
      </w:r>
      <w:proofErr w:type="spellEnd"/>
      <w:r w:rsidRPr="009F2A88">
        <w:rPr>
          <w:rFonts w:ascii="Times New Roman" w:eastAsia="Times New Roman" w:hAnsi="Times New Roman" w:cs="Times New Roman"/>
          <w:color w:val="000000" w:themeColor="text1"/>
          <w:sz w:val="24"/>
          <w:szCs w:val="24"/>
        </w:rPr>
        <w:t xml:space="preserve">. </w:t>
      </w:r>
      <w:r w:rsidRPr="009F2A88">
        <w:rPr>
          <w:rFonts w:ascii="Times New Roman" w:eastAsia="Times New Roman" w:hAnsi="Times New Roman" w:cs="Times New Roman"/>
          <w:i/>
          <w:iCs/>
          <w:color w:val="000000" w:themeColor="text1"/>
          <w:sz w:val="24"/>
          <w:szCs w:val="24"/>
        </w:rPr>
        <w:t>Journal of Arid Environments</w:t>
      </w:r>
      <w:r w:rsidRPr="009F2A88">
        <w:rPr>
          <w:rFonts w:ascii="Times New Roman" w:eastAsia="Times New Roman" w:hAnsi="Times New Roman" w:cs="Times New Roman"/>
          <w:color w:val="000000" w:themeColor="text1"/>
          <w:sz w:val="24"/>
          <w:szCs w:val="24"/>
        </w:rPr>
        <w:t>, 67(3), 475–483. https://doi.org/10.1016/j.jaridenv.2006.02.002</w:t>
      </w:r>
    </w:p>
    <w:p w14:paraId="5E8662AB" w14:textId="77777777" w:rsidR="00F7317F" w:rsidRPr="00DF0BA2" w:rsidRDefault="00F7317F" w:rsidP="009F2A88">
      <w:pPr>
        <w:pStyle w:val="NormalWeb"/>
        <w:numPr>
          <w:ilvl w:val="0"/>
          <w:numId w:val="8"/>
        </w:numPr>
        <w:spacing w:before="0" w:beforeAutospacing="0" w:after="0" w:afterAutospacing="0"/>
        <w:ind w:left="284" w:hanging="284"/>
        <w:jc w:val="both"/>
        <w:rPr>
          <w:color w:val="000000" w:themeColor="text1"/>
        </w:rPr>
      </w:pPr>
      <w:r w:rsidRPr="00DF0BA2">
        <w:rPr>
          <w:color w:val="000000" w:themeColor="text1"/>
        </w:rPr>
        <w:t xml:space="preserve">Lal, R. (2004). Soil carbon sequestration impacts on global climate change and food security. </w:t>
      </w:r>
      <w:r w:rsidRPr="00DF0BA2">
        <w:rPr>
          <w:rStyle w:val="Emphasis"/>
          <w:color w:val="000000" w:themeColor="text1"/>
        </w:rPr>
        <w:t>Science, 304</w:t>
      </w:r>
      <w:r w:rsidRPr="00DF0BA2">
        <w:rPr>
          <w:color w:val="000000" w:themeColor="text1"/>
        </w:rPr>
        <w:t>(5677), 1623–1627.</w:t>
      </w:r>
    </w:p>
    <w:p w14:paraId="6484130F" w14:textId="5CBA4CD6" w:rsidR="00F7317F" w:rsidRPr="00DF0BA2" w:rsidRDefault="00F7317F" w:rsidP="009F2A88">
      <w:pPr>
        <w:pStyle w:val="NormalWeb"/>
        <w:numPr>
          <w:ilvl w:val="0"/>
          <w:numId w:val="8"/>
        </w:numPr>
        <w:spacing w:before="0" w:beforeAutospacing="0" w:after="0" w:afterAutospacing="0"/>
        <w:ind w:left="284" w:hanging="284"/>
        <w:jc w:val="both"/>
        <w:rPr>
          <w:color w:val="000000" w:themeColor="text1"/>
        </w:rPr>
      </w:pPr>
      <w:r w:rsidRPr="00D75A0A">
        <w:rPr>
          <w:color w:val="000000" w:themeColor="text1"/>
          <w:lang w:val="nl-BE"/>
        </w:rPr>
        <w:t xml:space="preserve">Mendes, R., Kruijt, M., de Bruijn, I., Dekkers, E., van der Voort, M., Schneider, J. H. M.,  Raaijmakers, J. M. (2011). </w:t>
      </w:r>
      <w:r w:rsidRPr="00DF0BA2">
        <w:rPr>
          <w:color w:val="000000" w:themeColor="text1"/>
        </w:rPr>
        <w:t xml:space="preserve">Deciphering the rhizosphere microbiome for disease-suppressive bacteria. </w:t>
      </w:r>
      <w:r w:rsidRPr="00DF0BA2">
        <w:rPr>
          <w:rStyle w:val="Emphasis"/>
          <w:color w:val="000000" w:themeColor="text1"/>
        </w:rPr>
        <w:t>Science, 332</w:t>
      </w:r>
      <w:r w:rsidRPr="00DF0BA2">
        <w:rPr>
          <w:color w:val="000000" w:themeColor="text1"/>
        </w:rPr>
        <w:t>(6033), 1097–1100.</w:t>
      </w:r>
    </w:p>
    <w:p w14:paraId="50880CF9" w14:textId="7777777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rPr>
      </w:pPr>
      <w:r w:rsidRPr="009F2A88">
        <w:rPr>
          <w:rFonts w:ascii="Times New Roman" w:eastAsia="Times New Roman" w:hAnsi="Times New Roman" w:cs="Times New Roman"/>
          <w:color w:val="000000" w:themeColor="text1"/>
          <w:sz w:val="24"/>
          <w:szCs w:val="24"/>
        </w:rPr>
        <w:t xml:space="preserve">Paredes, C., Roig, A., Bernal, M. P., Sánchez-Monedero, M. A., &amp; Cegarra, J. (2000). Evolution of organic matter and nitrogen during co-composting of olive mill wastewater with solid organic wastes. </w:t>
      </w:r>
      <w:r w:rsidRPr="009F2A88">
        <w:rPr>
          <w:rFonts w:ascii="Times New Roman" w:eastAsia="Times New Roman" w:hAnsi="Times New Roman" w:cs="Times New Roman"/>
          <w:i/>
          <w:iCs/>
          <w:color w:val="000000" w:themeColor="text1"/>
          <w:sz w:val="24"/>
          <w:szCs w:val="24"/>
        </w:rPr>
        <w:t>Biology and Fertility of Soils</w:t>
      </w:r>
      <w:r w:rsidRPr="009F2A88">
        <w:rPr>
          <w:rFonts w:ascii="Times New Roman" w:eastAsia="Times New Roman" w:hAnsi="Times New Roman" w:cs="Times New Roman"/>
          <w:color w:val="000000" w:themeColor="text1"/>
          <w:sz w:val="24"/>
          <w:szCs w:val="24"/>
        </w:rPr>
        <w:t>, 32, 222–227. https://doi.org/10.1007/s003740000246</w:t>
      </w:r>
    </w:p>
    <w:p w14:paraId="276A5B36" w14:textId="0E838F1B" w:rsidR="00AD1F62" w:rsidRPr="009F2A88" w:rsidRDefault="00AD1F62"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highlight w:val="yellow"/>
        </w:rPr>
      </w:pPr>
      <w:r w:rsidRPr="009F2A88">
        <w:rPr>
          <w:rFonts w:ascii="Times New Roman" w:eastAsia="Times New Roman" w:hAnsi="Times New Roman" w:cs="Times New Roman"/>
          <w:color w:val="000000" w:themeColor="text1"/>
          <w:sz w:val="24"/>
          <w:szCs w:val="24"/>
          <w:highlight w:val="yellow"/>
        </w:rPr>
        <w:t xml:space="preserve">Seal A., Bera R., Datta A., Saha S., Chatterjee A.K., Barik A.K., Nath R. and D. Mazumdar (2015). Successful Biodegradation of coir pith waste using </w:t>
      </w:r>
      <w:proofErr w:type="spellStart"/>
      <w:r w:rsidRPr="009F2A88">
        <w:rPr>
          <w:rFonts w:ascii="Times New Roman" w:eastAsia="Times New Roman" w:hAnsi="Times New Roman" w:cs="Times New Roman"/>
          <w:color w:val="000000" w:themeColor="text1"/>
          <w:sz w:val="24"/>
          <w:szCs w:val="24"/>
          <w:highlight w:val="yellow"/>
        </w:rPr>
        <w:t>Novcom</w:t>
      </w:r>
      <w:proofErr w:type="spellEnd"/>
      <w:r w:rsidRPr="009F2A88">
        <w:rPr>
          <w:rFonts w:ascii="Times New Roman" w:eastAsia="Times New Roman" w:hAnsi="Times New Roman" w:cs="Times New Roman"/>
          <w:color w:val="000000" w:themeColor="text1"/>
          <w:sz w:val="24"/>
          <w:szCs w:val="24"/>
          <w:highlight w:val="yellow"/>
        </w:rPr>
        <w:t xml:space="preserve"> Composting </w:t>
      </w:r>
      <w:proofErr w:type="gramStart"/>
      <w:r w:rsidRPr="009F2A88">
        <w:rPr>
          <w:rFonts w:ascii="Times New Roman" w:eastAsia="Times New Roman" w:hAnsi="Times New Roman" w:cs="Times New Roman"/>
          <w:color w:val="000000" w:themeColor="text1"/>
          <w:sz w:val="24"/>
          <w:szCs w:val="24"/>
          <w:highlight w:val="yellow"/>
        </w:rPr>
        <w:t>Method :</w:t>
      </w:r>
      <w:proofErr w:type="gramEnd"/>
      <w:r w:rsidRPr="009F2A88">
        <w:rPr>
          <w:rFonts w:ascii="Times New Roman" w:eastAsia="Times New Roman" w:hAnsi="Times New Roman" w:cs="Times New Roman"/>
          <w:color w:val="000000" w:themeColor="text1"/>
          <w:sz w:val="24"/>
          <w:szCs w:val="24"/>
          <w:highlight w:val="yellow"/>
        </w:rPr>
        <w:t xml:space="preserve"> A Case Study from </w:t>
      </w:r>
      <w:proofErr w:type="spellStart"/>
      <w:r w:rsidRPr="009F2A88">
        <w:rPr>
          <w:rFonts w:ascii="Times New Roman" w:eastAsia="Times New Roman" w:hAnsi="Times New Roman" w:cs="Times New Roman"/>
          <w:color w:val="000000" w:themeColor="text1"/>
          <w:sz w:val="24"/>
          <w:szCs w:val="24"/>
          <w:highlight w:val="yellow"/>
        </w:rPr>
        <w:t>Vaniampara</w:t>
      </w:r>
      <w:proofErr w:type="spellEnd"/>
      <w:r w:rsidRPr="009F2A88">
        <w:rPr>
          <w:rFonts w:ascii="Times New Roman" w:eastAsia="Times New Roman" w:hAnsi="Times New Roman" w:cs="Times New Roman"/>
          <w:color w:val="000000" w:themeColor="text1"/>
          <w:sz w:val="24"/>
          <w:szCs w:val="24"/>
          <w:highlight w:val="yellow"/>
        </w:rPr>
        <w:t xml:space="preserve"> Rubber Estate, India. Journal of Pharmaceutical and Scientific Innovation, 4(1) : 73-77</w:t>
      </w:r>
    </w:p>
    <w:p w14:paraId="37329F82" w14:textId="7813B742"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rPr>
      </w:pPr>
      <w:r w:rsidRPr="009F2A88">
        <w:rPr>
          <w:rFonts w:ascii="Times New Roman" w:hAnsi="Times New Roman" w:cs="Times New Roman"/>
          <w:color w:val="000000" w:themeColor="text1"/>
          <w:sz w:val="24"/>
          <w:szCs w:val="24"/>
        </w:rPr>
        <w:t xml:space="preserve">Smith, P., Martino, D., Cai, Z., </w:t>
      </w:r>
      <w:proofErr w:type="spellStart"/>
      <w:r w:rsidRPr="009F2A88">
        <w:rPr>
          <w:rFonts w:ascii="Times New Roman" w:hAnsi="Times New Roman" w:cs="Times New Roman"/>
          <w:color w:val="000000" w:themeColor="text1"/>
          <w:sz w:val="24"/>
          <w:szCs w:val="24"/>
        </w:rPr>
        <w:t>Gwary</w:t>
      </w:r>
      <w:proofErr w:type="spellEnd"/>
      <w:r w:rsidRPr="009F2A88">
        <w:rPr>
          <w:rFonts w:ascii="Times New Roman" w:hAnsi="Times New Roman" w:cs="Times New Roman"/>
          <w:color w:val="000000" w:themeColor="text1"/>
          <w:sz w:val="24"/>
          <w:szCs w:val="24"/>
        </w:rPr>
        <w:t xml:space="preserve">, D., Janzen, H., Kumar, P., … Smith, J. (2008). Greenhouse gas mitigation in agriculture. </w:t>
      </w:r>
      <w:r w:rsidRPr="009F2A88">
        <w:rPr>
          <w:rStyle w:val="Emphasis"/>
          <w:rFonts w:ascii="Times New Roman" w:hAnsi="Times New Roman" w:cs="Times New Roman"/>
          <w:color w:val="000000" w:themeColor="text1"/>
          <w:sz w:val="24"/>
          <w:szCs w:val="24"/>
        </w:rPr>
        <w:t>Philosophical Transactions of the Royal Society B: Biological Sciences, 363</w:t>
      </w:r>
      <w:r w:rsidRPr="009F2A88">
        <w:rPr>
          <w:rFonts w:ascii="Times New Roman" w:hAnsi="Times New Roman" w:cs="Times New Roman"/>
          <w:color w:val="000000" w:themeColor="text1"/>
          <w:sz w:val="24"/>
          <w:szCs w:val="24"/>
        </w:rPr>
        <w:t xml:space="preserve">(1492), 789–813. </w:t>
      </w:r>
      <w:hyperlink r:id="rId26" w:history="1">
        <w:r w:rsidRPr="009F2A88">
          <w:rPr>
            <w:rStyle w:val="Hyperlink"/>
            <w:rFonts w:ascii="Times New Roman" w:hAnsi="Times New Roman" w:cs="Times New Roman"/>
            <w:color w:val="000000" w:themeColor="text1"/>
            <w:sz w:val="24"/>
            <w:szCs w:val="24"/>
          </w:rPr>
          <w:t>https://doi.org/10.1098/rstb.2007.2184</w:t>
        </w:r>
      </w:hyperlink>
    </w:p>
    <w:p w14:paraId="5369D0A9" w14:textId="7777777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rPr>
      </w:pPr>
      <w:r w:rsidRPr="009F2A88">
        <w:rPr>
          <w:rFonts w:ascii="Times New Roman" w:hAnsi="Times New Roman" w:cs="Times New Roman"/>
          <w:color w:val="000000" w:themeColor="text1"/>
          <w:sz w:val="24"/>
          <w:szCs w:val="24"/>
        </w:rPr>
        <w:t xml:space="preserve">Swift, M. J., Heal, O. W., &amp; Anderson, J. M. (1979). </w:t>
      </w:r>
      <w:r w:rsidRPr="009F2A88">
        <w:rPr>
          <w:rStyle w:val="Emphasis"/>
          <w:rFonts w:ascii="Times New Roman" w:hAnsi="Times New Roman" w:cs="Times New Roman"/>
          <w:color w:val="000000" w:themeColor="text1"/>
          <w:sz w:val="24"/>
          <w:szCs w:val="24"/>
        </w:rPr>
        <w:t>Decomposition in terrestrial ecosystems</w:t>
      </w:r>
      <w:r w:rsidRPr="009F2A88">
        <w:rPr>
          <w:rFonts w:ascii="Times New Roman" w:hAnsi="Times New Roman" w:cs="Times New Roman"/>
          <w:color w:val="000000" w:themeColor="text1"/>
          <w:sz w:val="24"/>
          <w:szCs w:val="24"/>
        </w:rPr>
        <w:t>. University of California Press.</w:t>
      </w:r>
    </w:p>
    <w:p w14:paraId="1D76C81A" w14:textId="2497EBA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highlight w:val="yellow"/>
        </w:rPr>
      </w:pPr>
      <w:r w:rsidRPr="009F2A88">
        <w:rPr>
          <w:rFonts w:ascii="Times New Roman" w:eastAsia="Times New Roman" w:hAnsi="Times New Roman" w:cs="Times New Roman"/>
          <w:color w:val="000000" w:themeColor="text1"/>
          <w:sz w:val="24"/>
          <w:szCs w:val="24"/>
          <w:highlight w:val="yellow"/>
        </w:rPr>
        <w:t>Tamil Nadu Pollution Control Board (TNPCB). (202</w:t>
      </w:r>
      <w:r w:rsidR="00EA42EB" w:rsidRPr="009F2A88">
        <w:rPr>
          <w:rFonts w:ascii="Times New Roman" w:eastAsia="Times New Roman" w:hAnsi="Times New Roman" w:cs="Times New Roman"/>
          <w:color w:val="000000" w:themeColor="text1"/>
          <w:sz w:val="24"/>
          <w:szCs w:val="24"/>
          <w:highlight w:val="yellow"/>
        </w:rPr>
        <w:t>3</w:t>
      </w:r>
      <w:r w:rsidRPr="009F2A88">
        <w:rPr>
          <w:rFonts w:ascii="Times New Roman" w:eastAsia="Times New Roman" w:hAnsi="Times New Roman" w:cs="Times New Roman"/>
          <w:color w:val="000000" w:themeColor="text1"/>
          <w:sz w:val="24"/>
          <w:szCs w:val="24"/>
          <w:highlight w:val="yellow"/>
        </w:rPr>
        <w:t xml:space="preserve">). </w:t>
      </w:r>
      <w:r w:rsidR="00EA42EB" w:rsidRPr="009F2A88">
        <w:rPr>
          <w:rFonts w:ascii="Times New Roman" w:eastAsia="Times New Roman" w:hAnsi="Times New Roman" w:cs="Times New Roman"/>
          <w:i/>
          <w:iCs/>
          <w:color w:val="000000" w:themeColor="text1"/>
          <w:sz w:val="24"/>
          <w:szCs w:val="24"/>
          <w:highlight w:val="yellow"/>
        </w:rPr>
        <w:t xml:space="preserve">Available </w:t>
      </w:r>
      <w:proofErr w:type="gramStart"/>
      <w:r w:rsidR="00EA42EB" w:rsidRPr="009F2A88">
        <w:rPr>
          <w:rFonts w:ascii="Times New Roman" w:eastAsia="Times New Roman" w:hAnsi="Times New Roman" w:cs="Times New Roman"/>
          <w:i/>
          <w:iCs/>
          <w:color w:val="000000" w:themeColor="text1"/>
          <w:sz w:val="24"/>
          <w:szCs w:val="24"/>
          <w:highlight w:val="yellow"/>
        </w:rPr>
        <w:t xml:space="preserve">athttps://www.greentribunal.gov.in/sites/default/files/news_updates/2823_1.pdf?utm_source=chatgpt.com </w:t>
      </w:r>
      <w:r w:rsidRPr="009F2A88">
        <w:rPr>
          <w:rFonts w:ascii="Times New Roman" w:eastAsia="Times New Roman" w:hAnsi="Times New Roman" w:cs="Times New Roman"/>
          <w:color w:val="000000" w:themeColor="text1"/>
          <w:sz w:val="24"/>
          <w:szCs w:val="24"/>
          <w:highlight w:val="yellow"/>
        </w:rPr>
        <w:t>.</w:t>
      </w:r>
      <w:proofErr w:type="gramEnd"/>
    </w:p>
    <w:p w14:paraId="70E745B7" w14:textId="77777777" w:rsidR="00F7317F" w:rsidRPr="009F2A88" w:rsidRDefault="00F7317F" w:rsidP="009F2A88">
      <w:pPr>
        <w:pStyle w:val="ListParagraph"/>
        <w:numPr>
          <w:ilvl w:val="0"/>
          <w:numId w:val="8"/>
        </w:numPr>
        <w:spacing w:after="0" w:line="240" w:lineRule="auto"/>
        <w:ind w:left="284" w:hanging="284"/>
        <w:jc w:val="both"/>
        <w:rPr>
          <w:rFonts w:ascii="Times New Roman" w:eastAsia="Times New Roman" w:hAnsi="Times New Roman" w:cs="Times New Roman"/>
          <w:color w:val="000000" w:themeColor="text1"/>
          <w:sz w:val="24"/>
          <w:szCs w:val="24"/>
        </w:rPr>
      </w:pPr>
      <w:r w:rsidRPr="009F2A88">
        <w:rPr>
          <w:rFonts w:ascii="Times New Roman" w:eastAsia="Times New Roman" w:hAnsi="Times New Roman" w:cs="Times New Roman"/>
          <w:color w:val="000000" w:themeColor="text1"/>
          <w:sz w:val="24"/>
          <w:szCs w:val="24"/>
        </w:rPr>
        <w:t xml:space="preserve">Tanji, K. K. (1991). </w:t>
      </w:r>
      <w:r w:rsidRPr="009F2A88">
        <w:rPr>
          <w:rFonts w:ascii="Times New Roman" w:eastAsia="Times New Roman" w:hAnsi="Times New Roman" w:cs="Times New Roman"/>
          <w:i/>
          <w:iCs/>
          <w:color w:val="000000" w:themeColor="text1"/>
          <w:sz w:val="24"/>
          <w:szCs w:val="24"/>
        </w:rPr>
        <w:t>Agricultural salinity assessment and management</w:t>
      </w:r>
      <w:r w:rsidRPr="009F2A88">
        <w:rPr>
          <w:rFonts w:ascii="Times New Roman" w:eastAsia="Times New Roman" w:hAnsi="Times New Roman" w:cs="Times New Roman"/>
          <w:color w:val="000000" w:themeColor="text1"/>
          <w:sz w:val="24"/>
          <w:szCs w:val="24"/>
        </w:rPr>
        <w:t>. American Society of Civil Engineers (ASCE).</w:t>
      </w:r>
    </w:p>
    <w:p w14:paraId="736A6720" w14:textId="77777777" w:rsidR="00F7317F" w:rsidRPr="00DF0BA2" w:rsidRDefault="00F7317F" w:rsidP="009F2A88">
      <w:pPr>
        <w:pStyle w:val="NormalWeb"/>
        <w:numPr>
          <w:ilvl w:val="0"/>
          <w:numId w:val="8"/>
        </w:numPr>
        <w:spacing w:before="0" w:beforeAutospacing="0" w:after="0" w:afterAutospacing="0"/>
        <w:ind w:left="284" w:hanging="284"/>
        <w:jc w:val="both"/>
        <w:rPr>
          <w:color w:val="000000" w:themeColor="text1"/>
        </w:rPr>
      </w:pPr>
      <w:r w:rsidRPr="00DF0BA2">
        <w:rPr>
          <w:color w:val="000000" w:themeColor="text1"/>
        </w:rPr>
        <w:t xml:space="preserve">Tilman, D., Cassman, K. G., Matson, P. A., Naylor, R., &amp; Polasky, S. (2002). Agricultural sustainability and intensive production practices. </w:t>
      </w:r>
      <w:r w:rsidRPr="00DF0BA2">
        <w:rPr>
          <w:rStyle w:val="Emphasis"/>
          <w:color w:val="000000" w:themeColor="text1"/>
        </w:rPr>
        <w:t>Nature, 418</w:t>
      </w:r>
      <w:r w:rsidRPr="00DF0BA2">
        <w:rPr>
          <w:color w:val="000000" w:themeColor="text1"/>
        </w:rPr>
        <w:t>(6898), 671–677.</w:t>
      </w:r>
    </w:p>
    <w:p w14:paraId="54033B52" w14:textId="77777777" w:rsidR="00F7317F" w:rsidRPr="009F2A88" w:rsidRDefault="00F7317F" w:rsidP="009F2A88">
      <w:pPr>
        <w:pStyle w:val="ListParagraph"/>
        <w:numPr>
          <w:ilvl w:val="0"/>
          <w:numId w:val="8"/>
        </w:numPr>
        <w:spacing w:after="0" w:line="240" w:lineRule="auto"/>
        <w:ind w:left="284" w:hanging="284"/>
        <w:jc w:val="both"/>
        <w:rPr>
          <w:rFonts w:ascii="Times New Roman" w:hAnsi="Times New Roman" w:cs="Times New Roman"/>
          <w:color w:val="000000" w:themeColor="text1"/>
          <w:sz w:val="24"/>
          <w:szCs w:val="24"/>
        </w:rPr>
      </w:pPr>
      <w:r w:rsidRPr="009F2A88">
        <w:rPr>
          <w:rStyle w:val="Strong"/>
          <w:rFonts w:ascii="Times New Roman" w:hAnsi="Times New Roman" w:cs="Times New Roman"/>
          <w:b w:val="0"/>
          <w:color w:val="000000" w:themeColor="text1"/>
          <w:sz w:val="24"/>
          <w:szCs w:val="24"/>
        </w:rPr>
        <w:t>UNFCCC (2012).</w:t>
      </w:r>
      <w:r w:rsidRPr="009F2A88">
        <w:rPr>
          <w:rFonts w:ascii="Times New Roman" w:hAnsi="Times New Roman" w:cs="Times New Roman"/>
          <w:color w:val="000000" w:themeColor="text1"/>
          <w:sz w:val="24"/>
          <w:szCs w:val="24"/>
        </w:rPr>
        <w:t xml:space="preserve"> </w:t>
      </w:r>
      <w:r w:rsidRPr="009F2A88">
        <w:rPr>
          <w:rStyle w:val="Emphasis"/>
          <w:rFonts w:ascii="Times New Roman" w:hAnsi="Times New Roman" w:cs="Times New Roman"/>
          <w:color w:val="000000" w:themeColor="text1"/>
          <w:sz w:val="24"/>
          <w:szCs w:val="24"/>
        </w:rPr>
        <w:t>Clean Development Mechanism: Tool for the demonstration and assessment of additionality (Version 07.0.0).</w:t>
      </w:r>
      <w:r w:rsidRPr="009F2A88">
        <w:rPr>
          <w:rFonts w:ascii="Times New Roman" w:hAnsi="Times New Roman" w:cs="Times New Roman"/>
          <w:color w:val="000000" w:themeColor="text1"/>
          <w:sz w:val="24"/>
          <w:szCs w:val="24"/>
        </w:rPr>
        <w:t xml:space="preserve"> United Nations Framework Convention on Climate Change (UNFCCC). </w:t>
      </w:r>
      <w:hyperlink r:id="rId27" w:history="1">
        <w:r w:rsidR="002E043F" w:rsidRPr="009F2A88">
          <w:rPr>
            <w:rStyle w:val="Hyperlink"/>
            <w:rFonts w:ascii="Times New Roman" w:hAnsi="Times New Roman" w:cs="Times New Roman"/>
            <w:color w:val="000000" w:themeColor="text1"/>
            <w:sz w:val="24"/>
            <w:szCs w:val="24"/>
            <w:u w:val="none"/>
          </w:rPr>
          <w:t>https://cdm.unfccc.int/methodologies/PAmethodologies/ tools/am-tool-01-v7.0.pdf</w:t>
        </w:r>
      </w:hyperlink>
    </w:p>
    <w:p w14:paraId="7F744057" w14:textId="60C121E9" w:rsidR="00FB2725" w:rsidRPr="009F2A88" w:rsidRDefault="00FB2725" w:rsidP="009F2A88">
      <w:pPr>
        <w:pStyle w:val="ListParagraph"/>
        <w:numPr>
          <w:ilvl w:val="0"/>
          <w:numId w:val="8"/>
        </w:numPr>
        <w:spacing w:after="0" w:line="240" w:lineRule="auto"/>
        <w:ind w:left="284" w:hanging="284"/>
        <w:jc w:val="both"/>
        <w:rPr>
          <w:rFonts w:ascii="Times New Roman" w:hAnsi="Times New Roman" w:cs="Times New Roman"/>
          <w:color w:val="EE0000"/>
          <w:sz w:val="24"/>
          <w:szCs w:val="24"/>
          <w:highlight w:val="yellow"/>
        </w:rPr>
      </w:pPr>
      <w:proofErr w:type="spellStart"/>
      <w:r w:rsidRPr="009F2A88">
        <w:rPr>
          <w:rFonts w:ascii="Times New Roman" w:hAnsi="Times New Roman" w:cs="Times New Roman"/>
          <w:color w:val="EE0000"/>
          <w:sz w:val="24"/>
          <w:szCs w:val="24"/>
          <w:highlight w:val="yellow"/>
        </w:rPr>
        <w:t>Vaithilingam</w:t>
      </w:r>
      <w:proofErr w:type="spellEnd"/>
      <w:r w:rsidRPr="009F2A88">
        <w:rPr>
          <w:rFonts w:ascii="Times New Roman" w:hAnsi="Times New Roman" w:cs="Times New Roman"/>
          <w:color w:val="EE0000"/>
          <w:sz w:val="24"/>
          <w:szCs w:val="24"/>
          <w:highlight w:val="yellow"/>
        </w:rPr>
        <w:t xml:space="preserve"> S. (2025) Chapter 17 - Efficacy of coir pith based cyanobacterial biofertilizer in enhancing soil fertility and biomass, Editor(s): Ajay Kumar, Joginder Singh, Ana Maria </w:t>
      </w:r>
      <w:proofErr w:type="spellStart"/>
      <w:r w:rsidRPr="009F2A88">
        <w:rPr>
          <w:rFonts w:ascii="Times New Roman" w:hAnsi="Times New Roman" w:cs="Times New Roman"/>
          <w:color w:val="EE0000"/>
          <w:sz w:val="24"/>
          <w:szCs w:val="24"/>
          <w:highlight w:val="yellow"/>
        </w:rPr>
        <w:t>Queijeiro</w:t>
      </w:r>
      <w:proofErr w:type="spellEnd"/>
      <w:r w:rsidRPr="009F2A88">
        <w:rPr>
          <w:rFonts w:ascii="Times New Roman" w:hAnsi="Times New Roman" w:cs="Times New Roman"/>
          <w:color w:val="EE0000"/>
          <w:sz w:val="24"/>
          <w:szCs w:val="24"/>
          <w:highlight w:val="yellow"/>
        </w:rPr>
        <w:t xml:space="preserve"> López, Ravindra N Kharwar, In Plant and Soil Microbiome, Microbial Inoculants, Academic Press, 2025, Pages 333-357, ISBN 9780443235603, https://doi.org/10.1016/B978-0-443-23560-3.00018-8.</w:t>
      </w:r>
    </w:p>
    <w:p w14:paraId="1B07AD01" w14:textId="77777777" w:rsidR="00F7317F" w:rsidRPr="009F2A88" w:rsidRDefault="00F7317F" w:rsidP="009F2A88">
      <w:pPr>
        <w:pStyle w:val="ListParagraph"/>
        <w:numPr>
          <w:ilvl w:val="0"/>
          <w:numId w:val="8"/>
        </w:numPr>
        <w:tabs>
          <w:tab w:val="left" w:pos="540"/>
        </w:tabs>
        <w:autoSpaceDE w:val="0"/>
        <w:autoSpaceDN w:val="0"/>
        <w:adjustRightInd w:val="0"/>
        <w:spacing w:after="0" w:line="240" w:lineRule="auto"/>
        <w:ind w:left="284" w:hanging="284"/>
        <w:jc w:val="both"/>
        <w:rPr>
          <w:rFonts w:ascii="Times New Roman" w:hAnsi="Times New Roman" w:cs="Times New Roman"/>
          <w:color w:val="000000" w:themeColor="text1"/>
          <w:sz w:val="24"/>
          <w:szCs w:val="24"/>
        </w:rPr>
      </w:pPr>
      <w:r w:rsidRPr="009F2A88">
        <w:rPr>
          <w:rFonts w:ascii="Times New Roman" w:hAnsi="Times New Roman" w:cs="Times New Roman"/>
          <w:color w:val="000000" w:themeColor="text1"/>
          <w:sz w:val="24"/>
          <w:szCs w:val="24"/>
        </w:rPr>
        <w:t>Velasquez, E., Lavelle, P., Andrade, M. (2007). GISQ, a multifunctional indicator of soil quality. Soil Biology &amp; Biochemistry 39, 3066–3080.</w:t>
      </w:r>
    </w:p>
    <w:p w14:paraId="1084CEA4" w14:textId="77777777" w:rsidR="00F7317F" w:rsidRPr="009F2A88" w:rsidRDefault="00F7317F" w:rsidP="009F2A88">
      <w:pPr>
        <w:pStyle w:val="ListParagraph"/>
        <w:numPr>
          <w:ilvl w:val="0"/>
          <w:numId w:val="8"/>
        </w:numPr>
        <w:spacing w:after="0" w:line="240" w:lineRule="auto"/>
        <w:ind w:left="284" w:hanging="284"/>
        <w:jc w:val="both"/>
        <w:rPr>
          <w:rFonts w:ascii="Times New Roman" w:hAnsi="Times New Roman" w:cs="Times New Roman"/>
          <w:color w:val="000000" w:themeColor="text1"/>
          <w:sz w:val="24"/>
          <w:szCs w:val="24"/>
        </w:rPr>
      </w:pPr>
      <w:r w:rsidRPr="009F2A88">
        <w:rPr>
          <w:rFonts w:ascii="Times New Roman" w:hAnsi="Times New Roman" w:cs="Times New Roman"/>
          <w:color w:val="000000" w:themeColor="text1"/>
          <w:sz w:val="24"/>
          <w:szCs w:val="24"/>
        </w:rPr>
        <w:t xml:space="preserve">Weaver, R. W., (1994). </w:t>
      </w:r>
      <w:r w:rsidRPr="009F2A88">
        <w:rPr>
          <w:rStyle w:val="Emphasis"/>
          <w:rFonts w:ascii="Times New Roman" w:hAnsi="Times New Roman" w:cs="Times New Roman"/>
          <w:color w:val="000000" w:themeColor="text1"/>
          <w:sz w:val="24"/>
          <w:szCs w:val="24"/>
        </w:rPr>
        <w:t>Methods of Soil Analysis, Part 2: Microbiological and Biochemical Properties</w:t>
      </w:r>
      <w:r w:rsidRPr="009F2A88">
        <w:rPr>
          <w:rFonts w:ascii="Times New Roman" w:hAnsi="Times New Roman" w:cs="Times New Roman"/>
          <w:color w:val="000000" w:themeColor="text1"/>
          <w:sz w:val="24"/>
          <w:szCs w:val="24"/>
        </w:rPr>
        <w:t xml:space="preserve"> (Soil Science Society of America Book Series). Madison, WI: Soil Science Society of America.</w:t>
      </w:r>
    </w:p>
    <w:p w14:paraId="51F823CC" w14:textId="77777777" w:rsidR="007858B9" w:rsidRPr="009F2A88" w:rsidRDefault="00F7317F" w:rsidP="009F2A88">
      <w:pPr>
        <w:pStyle w:val="ListParagraph"/>
        <w:numPr>
          <w:ilvl w:val="0"/>
          <w:numId w:val="8"/>
        </w:numPr>
        <w:spacing w:after="0" w:line="240" w:lineRule="auto"/>
        <w:ind w:left="284" w:hanging="284"/>
        <w:jc w:val="both"/>
        <w:rPr>
          <w:rFonts w:ascii="Times New Roman" w:hAnsi="Times New Roman" w:cs="Times New Roman"/>
          <w:color w:val="000000" w:themeColor="text1"/>
          <w:sz w:val="24"/>
          <w:szCs w:val="24"/>
        </w:rPr>
      </w:pPr>
      <w:r w:rsidRPr="009F2A88">
        <w:rPr>
          <w:rFonts w:ascii="Times New Roman" w:hAnsi="Times New Roman" w:cs="Times New Roman"/>
          <w:color w:val="000000" w:themeColor="text1"/>
          <w:sz w:val="24"/>
          <w:szCs w:val="24"/>
        </w:rPr>
        <w:t xml:space="preserve">Zucconi, F., Pera, A., Forte, M., &amp; De Bertoldi, M. (1981). Evaluating toxicity of immature compost. </w:t>
      </w:r>
      <w:proofErr w:type="spellStart"/>
      <w:r w:rsidRPr="009F2A88">
        <w:rPr>
          <w:rStyle w:val="Emphasis"/>
          <w:rFonts w:ascii="Times New Roman" w:hAnsi="Times New Roman" w:cs="Times New Roman"/>
          <w:color w:val="000000" w:themeColor="text1"/>
          <w:sz w:val="24"/>
          <w:szCs w:val="24"/>
        </w:rPr>
        <w:t>BioCycle</w:t>
      </w:r>
      <w:proofErr w:type="spellEnd"/>
      <w:r w:rsidRPr="009F2A88">
        <w:rPr>
          <w:rStyle w:val="Emphasis"/>
          <w:rFonts w:ascii="Times New Roman" w:hAnsi="Times New Roman" w:cs="Times New Roman"/>
          <w:color w:val="000000" w:themeColor="text1"/>
          <w:sz w:val="24"/>
          <w:szCs w:val="24"/>
        </w:rPr>
        <w:t>, 22</w:t>
      </w:r>
      <w:r w:rsidRPr="009F2A88">
        <w:rPr>
          <w:rFonts w:ascii="Times New Roman" w:hAnsi="Times New Roman" w:cs="Times New Roman"/>
          <w:color w:val="000000" w:themeColor="text1"/>
          <w:sz w:val="24"/>
          <w:szCs w:val="24"/>
        </w:rPr>
        <w:t>, 54–57.</w:t>
      </w:r>
    </w:p>
    <w:p w14:paraId="4EFE31EA" w14:textId="5D0FA2C3" w:rsidR="004C31B7" w:rsidRPr="009F2A88" w:rsidRDefault="004C31B7" w:rsidP="009F2A88">
      <w:pPr>
        <w:pStyle w:val="ListParagraph"/>
        <w:numPr>
          <w:ilvl w:val="0"/>
          <w:numId w:val="8"/>
        </w:numPr>
        <w:spacing w:after="0" w:line="240" w:lineRule="auto"/>
        <w:ind w:left="284" w:hanging="284"/>
        <w:jc w:val="both"/>
        <w:rPr>
          <w:rFonts w:ascii="Times New Roman" w:hAnsi="Times New Roman" w:cs="Times New Roman"/>
          <w:color w:val="000000" w:themeColor="text1"/>
          <w:sz w:val="24"/>
          <w:szCs w:val="24"/>
        </w:rPr>
      </w:pPr>
      <w:r w:rsidRPr="009F2A88">
        <w:rPr>
          <w:rFonts w:ascii="Times New Roman" w:hAnsi="Times New Roman" w:cs="Times New Roman"/>
          <w:color w:val="000000" w:themeColor="text1"/>
          <w:sz w:val="24"/>
          <w:szCs w:val="24"/>
        </w:rPr>
        <w:lastRenderedPageBreak/>
        <w:t>Gallegos-Cedillo, Victor M., Fernando Diánez, Cinthia Nájera, and Mila Santos. (2021). "Plant Agronomic Features Can Predict Quality and Field Performance: A Bibliometric Analysis" </w:t>
      </w:r>
      <w:r w:rsidRPr="009F2A88">
        <w:rPr>
          <w:rFonts w:ascii="Times New Roman" w:hAnsi="Times New Roman" w:cs="Times New Roman"/>
          <w:i/>
          <w:iCs/>
          <w:color w:val="000000" w:themeColor="text1"/>
          <w:sz w:val="24"/>
          <w:szCs w:val="24"/>
        </w:rPr>
        <w:t>Agronomy</w:t>
      </w:r>
      <w:r w:rsidRPr="009F2A88">
        <w:rPr>
          <w:rFonts w:ascii="Times New Roman" w:hAnsi="Times New Roman" w:cs="Times New Roman"/>
          <w:color w:val="000000" w:themeColor="text1"/>
          <w:sz w:val="24"/>
          <w:szCs w:val="24"/>
        </w:rPr>
        <w:t> 11, no. 11: 2305. https://doi.org/10.3390/agronomy11112305</w:t>
      </w:r>
    </w:p>
    <w:sectPr w:rsidR="004C31B7" w:rsidRPr="009F2A88" w:rsidSect="005A7986">
      <w:headerReference w:type="default" r:id="rId28"/>
      <w:footerReference w:type="default" r:id="rId29"/>
      <w:headerReference w:type="first" r:id="rId30"/>
      <w:footerReference w:type="first" r:id="rId31"/>
      <w:pgSz w:w="12240" w:h="15840"/>
      <w:pgMar w:top="432"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7CAA8" w14:textId="77777777" w:rsidR="00FE0D26" w:rsidRDefault="00FE0D26" w:rsidP="00257640">
      <w:pPr>
        <w:spacing w:after="0" w:line="240" w:lineRule="auto"/>
      </w:pPr>
      <w:r>
        <w:separator/>
      </w:r>
    </w:p>
  </w:endnote>
  <w:endnote w:type="continuationSeparator" w:id="0">
    <w:p w14:paraId="34F99095" w14:textId="77777777" w:rsidR="00FE0D26" w:rsidRDefault="00FE0D26" w:rsidP="00257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CF44B" w14:textId="77777777" w:rsidR="00F762A2" w:rsidRDefault="00F762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2E7E" w14:textId="77777777" w:rsidR="00F762A2" w:rsidRDefault="00F76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15925" w14:textId="77777777" w:rsidR="00FE0D26" w:rsidRDefault="00FE0D26" w:rsidP="00257640">
      <w:pPr>
        <w:spacing w:after="0" w:line="240" w:lineRule="auto"/>
      </w:pPr>
      <w:r>
        <w:separator/>
      </w:r>
    </w:p>
  </w:footnote>
  <w:footnote w:type="continuationSeparator" w:id="0">
    <w:p w14:paraId="54DC63A0" w14:textId="77777777" w:rsidR="00FE0D26" w:rsidRDefault="00FE0D26" w:rsidP="002576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660E" w14:textId="77777777" w:rsidR="00F762A2" w:rsidRDefault="00F762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E7861" w14:textId="77777777" w:rsidR="00F762A2" w:rsidRPr="0026183D" w:rsidRDefault="00F762A2" w:rsidP="002618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3143F"/>
    <w:multiLevelType w:val="hybridMultilevel"/>
    <w:tmpl w:val="B17457B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EE49CA"/>
    <w:multiLevelType w:val="multilevel"/>
    <w:tmpl w:val="581A5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682D41"/>
    <w:multiLevelType w:val="hybridMultilevel"/>
    <w:tmpl w:val="BE9C06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12C7C92"/>
    <w:multiLevelType w:val="hybridMultilevel"/>
    <w:tmpl w:val="DCD69C86"/>
    <w:lvl w:ilvl="0" w:tplc="E75E7E40">
      <w:start w:val="1"/>
      <w:numFmt w:val="decimal"/>
      <w:lvlText w:val="%1."/>
      <w:lvlJc w:val="left"/>
      <w:pPr>
        <w:ind w:left="720" w:hanging="360"/>
      </w:pPr>
      <w:rPr>
        <w:rFonts w:hint="default"/>
        <w:b w:val="0"/>
        <w:color w:val="0E10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801442"/>
    <w:multiLevelType w:val="hybridMultilevel"/>
    <w:tmpl w:val="99D2A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D677F2"/>
    <w:multiLevelType w:val="hybridMultilevel"/>
    <w:tmpl w:val="8A16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E550BF"/>
    <w:multiLevelType w:val="hybridMultilevel"/>
    <w:tmpl w:val="283265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042CDD"/>
    <w:multiLevelType w:val="hybridMultilevel"/>
    <w:tmpl w:val="A4664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5665490">
    <w:abstractNumId w:val="3"/>
  </w:num>
  <w:num w:numId="2" w16cid:durableId="663436107">
    <w:abstractNumId w:val="4"/>
  </w:num>
  <w:num w:numId="3" w16cid:durableId="862862620">
    <w:abstractNumId w:val="6"/>
  </w:num>
  <w:num w:numId="4" w16cid:durableId="513155145">
    <w:abstractNumId w:val="5"/>
  </w:num>
  <w:num w:numId="5" w16cid:durableId="602106021">
    <w:abstractNumId w:val="0"/>
  </w:num>
  <w:num w:numId="6" w16cid:durableId="2064867103">
    <w:abstractNumId w:val="1"/>
  </w:num>
  <w:num w:numId="7" w16cid:durableId="240025460">
    <w:abstractNumId w:val="7"/>
  </w:num>
  <w:num w:numId="8" w16cid:durableId="12470333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0E9"/>
    <w:rsid w:val="000018CB"/>
    <w:rsid w:val="00031B2D"/>
    <w:rsid w:val="00031E04"/>
    <w:rsid w:val="000323A5"/>
    <w:rsid w:val="00036910"/>
    <w:rsid w:val="00050D06"/>
    <w:rsid w:val="000544E4"/>
    <w:rsid w:val="00060B88"/>
    <w:rsid w:val="00076F9E"/>
    <w:rsid w:val="00092F1B"/>
    <w:rsid w:val="000946DB"/>
    <w:rsid w:val="000A1342"/>
    <w:rsid w:val="000A2C0C"/>
    <w:rsid w:val="000A35C3"/>
    <w:rsid w:val="000A5C4A"/>
    <w:rsid w:val="000A6E32"/>
    <w:rsid w:val="000B2F10"/>
    <w:rsid w:val="000B4981"/>
    <w:rsid w:val="000C1FF6"/>
    <w:rsid w:val="000C37AE"/>
    <w:rsid w:val="000C37CC"/>
    <w:rsid w:val="000C422C"/>
    <w:rsid w:val="000C51F3"/>
    <w:rsid w:val="000C5669"/>
    <w:rsid w:val="000D0381"/>
    <w:rsid w:val="000D1A39"/>
    <w:rsid w:val="000E3B9F"/>
    <w:rsid w:val="000E51FA"/>
    <w:rsid w:val="000E7579"/>
    <w:rsid w:val="000F2899"/>
    <w:rsid w:val="000F34B3"/>
    <w:rsid w:val="000F4A41"/>
    <w:rsid w:val="000F716F"/>
    <w:rsid w:val="000F7CE4"/>
    <w:rsid w:val="0011177C"/>
    <w:rsid w:val="00112B52"/>
    <w:rsid w:val="0012677F"/>
    <w:rsid w:val="001327DC"/>
    <w:rsid w:val="00137B52"/>
    <w:rsid w:val="001666B5"/>
    <w:rsid w:val="001716C9"/>
    <w:rsid w:val="00174CE4"/>
    <w:rsid w:val="001767B6"/>
    <w:rsid w:val="00182E99"/>
    <w:rsid w:val="00194796"/>
    <w:rsid w:val="001950B3"/>
    <w:rsid w:val="001966E5"/>
    <w:rsid w:val="001A143F"/>
    <w:rsid w:val="001A4C63"/>
    <w:rsid w:val="001A5271"/>
    <w:rsid w:val="001A5A40"/>
    <w:rsid w:val="001B0B79"/>
    <w:rsid w:val="001B472D"/>
    <w:rsid w:val="001C0FB6"/>
    <w:rsid w:val="001C745D"/>
    <w:rsid w:val="001D229E"/>
    <w:rsid w:val="001D3349"/>
    <w:rsid w:val="001E5C99"/>
    <w:rsid w:val="001F1287"/>
    <w:rsid w:val="00202BBA"/>
    <w:rsid w:val="002049E9"/>
    <w:rsid w:val="00205161"/>
    <w:rsid w:val="00206997"/>
    <w:rsid w:val="00207B72"/>
    <w:rsid w:val="00210EF1"/>
    <w:rsid w:val="0021752A"/>
    <w:rsid w:val="0022113A"/>
    <w:rsid w:val="00227F25"/>
    <w:rsid w:val="00231162"/>
    <w:rsid w:val="002371FE"/>
    <w:rsid w:val="00237249"/>
    <w:rsid w:val="00243987"/>
    <w:rsid w:val="00244C16"/>
    <w:rsid w:val="00246AAE"/>
    <w:rsid w:val="002516AE"/>
    <w:rsid w:val="00251A8E"/>
    <w:rsid w:val="00254997"/>
    <w:rsid w:val="00257640"/>
    <w:rsid w:val="00260E28"/>
    <w:rsid w:val="0026183D"/>
    <w:rsid w:val="00295B14"/>
    <w:rsid w:val="002B0950"/>
    <w:rsid w:val="002C75F7"/>
    <w:rsid w:val="002E043F"/>
    <w:rsid w:val="002E6D70"/>
    <w:rsid w:val="002F7722"/>
    <w:rsid w:val="00312069"/>
    <w:rsid w:val="0032026C"/>
    <w:rsid w:val="003312B1"/>
    <w:rsid w:val="00331E5E"/>
    <w:rsid w:val="003324FC"/>
    <w:rsid w:val="00337261"/>
    <w:rsid w:val="00337CFE"/>
    <w:rsid w:val="00340D9C"/>
    <w:rsid w:val="0034686C"/>
    <w:rsid w:val="003469AE"/>
    <w:rsid w:val="00364AA5"/>
    <w:rsid w:val="003719CE"/>
    <w:rsid w:val="00371C22"/>
    <w:rsid w:val="003829B6"/>
    <w:rsid w:val="0038426F"/>
    <w:rsid w:val="00390936"/>
    <w:rsid w:val="00395C1E"/>
    <w:rsid w:val="003A3061"/>
    <w:rsid w:val="003C1B52"/>
    <w:rsid w:val="003C25CD"/>
    <w:rsid w:val="003D3667"/>
    <w:rsid w:val="003D6385"/>
    <w:rsid w:val="003E2422"/>
    <w:rsid w:val="00407969"/>
    <w:rsid w:val="0041190F"/>
    <w:rsid w:val="004230F3"/>
    <w:rsid w:val="00426F3D"/>
    <w:rsid w:val="00431506"/>
    <w:rsid w:val="0043541D"/>
    <w:rsid w:val="00443B83"/>
    <w:rsid w:val="00450A27"/>
    <w:rsid w:val="00454F3D"/>
    <w:rsid w:val="004579B3"/>
    <w:rsid w:val="00457A8A"/>
    <w:rsid w:val="00463C29"/>
    <w:rsid w:val="00464A9E"/>
    <w:rsid w:val="004712EF"/>
    <w:rsid w:val="00471B28"/>
    <w:rsid w:val="00473081"/>
    <w:rsid w:val="004901D5"/>
    <w:rsid w:val="00491D28"/>
    <w:rsid w:val="00495CA5"/>
    <w:rsid w:val="00497B66"/>
    <w:rsid w:val="004A156B"/>
    <w:rsid w:val="004A2258"/>
    <w:rsid w:val="004A3648"/>
    <w:rsid w:val="004B076C"/>
    <w:rsid w:val="004B183D"/>
    <w:rsid w:val="004C24E6"/>
    <w:rsid w:val="004C31B7"/>
    <w:rsid w:val="004D39C5"/>
    <w:rsid w:val="004D4311"/>
    <w:rsid w:val="004E1583"/>
    <w:rsid w:val="004E764C"/>
    <w:rsid w:val="004F1361"/>
    <w:rsid w:val="004F5393"/>
    <w:rsid w:val="00503CBE"/>
    <w:rsid w:val="0050682D"/>
    <w:rsid w:val="00510842"/>
    <w:rsid w:val="00521814"/>
    <w:rsid w:val="005262D5"/>
    <w:rsid w:val="00526319"/>
    <w:rsid w:val="0053199C"/>
    <w:rsid w:val="005320A4"/>
    <w:rsid w:val="00533BD2"/>
    <w:rsid w:val="00534905"/>
    <w:rsid w:val="0054060F"/>
    <w:rsid w:val="005413E1"/>
    <w:rsid w:val="00541F0E"/>
    <w:rsid w:val="0056194B"/>
    <w:rsid w:val="00564364"/>
    <w:rsid w:val="00565AC9"/>
    <w:rsid w:val="005928E5"/>
    <w:rsid w:val="0059674B"/>
    <w:rsid w:val="00597781"/>
    <w:rsid w:val="005A28BA"/>
    <w:rsid w:val="005A7986"/>
    <w:rsid w:val="005B21BB"/>
    <w:rsid w:val="005B52DB"/>
    <w:rsid w:val="005C27CF"/>
    <w:rsid w:val="005C3FB6"/>
    <w:rsid w:val="005D3108"/>
    <w:rsid w:val="005D4C3C"/>
    <w:rsid w:val="005D68CB"/>
    <w:rsid w:val="005E19B7"/>
    <w:rsid w:val="005E61E4"/>
    <w:rsid w:val="005E7DFC"/>
    <w:rsid w:val="005F1522"/>
    <w:rsid w:val="005F57B1"/>
    <w:rsid w:val="0060209A"/>
    <w:rsid w:val="006220FA"/>
    <w:rsid w:val="006323C4"/>
    <w:rsid w:val="0063503F"/>
    <w:rsid w:val="006368F4"/>
    <w:rsid w:val="00636B1E"/>
    <w:rsid w:val="00653182"/>
    <w:rsid w:val="006565E2"/>
    <w:rsid w:val="00660FB1"/>
    <w:rsid w:val="00662A0C"/>
    <w:rsid w:val="00674AAC"/>
    <w:rsid w:val="00677BB8"/>
    <w:rsid w:val="00684DAF"/>
    <w:rsid w:val="00685691"/>
    <w:rsid w:val="0068652F"/>
    <w:rsid w:val="006A41AD"/>
    <w:rsid w:val="006A4486"/>
    <w:rsid w:val="006B0DCD"/>
    <w:rsid w:val="006B172D"/>
    <w:rsid w:val="006B2FA7"/>
    <w:rsid w:val="006B321F"/>
    <w:rsid w:val="006B58E9"/>
    <w:rsid w:val="006B6DEA"/>
    <w:rsid w:val="006C08AB"/>
    <w:rsid w:val="006C0AE1"/>
    <w:rsid w:val="006C2355"/>
    <w:rsid w:val="006D06DC"/>
    <w:rsid w:val="007009C1"/>
    <w:rsid w:val="007124BE"/>
    <w:rsid w:val="007253E7"/>
    <w:rsid w:val="0073566E"/>
    <w:rsid w:val="007367A1"/>
    <w:rsid w:val="007429ED"/>
    <w:rsid w:val="00747749"/>
    <w:rsid w:val="00760D7E"/>
    <w:rsid w:val="00770506"/>
    <w:rsid w:val="0077354A"/>
    <w:rsid w:val="00775C7F"/>
    <w:rsid w:val="007761B3"/>
    <w:rsid w:val="00785393"/>
    <w:rsid w:val="007858B9"/>
    <w:rsid w:val="007A21E3"/>
    <w:rsid w:val="007A6087"/>
    <w:rsid w:val="007B1604"/>
    <w:rsid w:val="007B66F1"/>
    <w:rsid w:val="007B7D99"/>
    <w:rsid w:val="007C2A81"/>
    <w:rsid w:val="007C37C7"/>
    <w:rsid w:val="007C61AF"/>
    <w:rsid w:val="007C6E52"/>
    <w:rsid w:val="007D2834"/>
    <w:rsid w:val="007E1790"/>
    <w:rsid w:val="007E2CEA"/>
    <w:rsid w:val="007E6D21"/>
    <w:rsid w:val="007F0E22"/>
    <w:rsid w:val="007F220B"/>
    <w:rsid w:val="007F2221"/>
    <w:rsid w:val="007F3618"/>
    <w:rsid w:val="007F5D68"/>
    <w:rsid w:val="007F6EF8"/>
    <w:rsid w:val="00800394"/>
    <w:rsid w:val="00800A34"/>
    <w:rsid w:val="008027D8"/>
    <w:rsid w:val="008031CF"/>
    <w:rsid w:val="00805920"/>
    <w:rsid w:val="00811913"/>
    <w:rsid w:val="008228BA"/>
    <w:rsid w:val="00826159"/>
    <w:rsid w:val="0083215F"/>
    <w:rsid w:val="00833A6D"/>
    <w:rsid w:val="00845EB3"/>
    <w:rsid w:val="00846F5E"/>
    <w:rsid w:val="008643E9"/>
    <w:rsid w:val="00865451"/>
    <w:rsid w:val="008704D3"/>
    <w:rsid w:val="00873E01"/>
    <w:rsid w:val="00893CE6"/>
    <w:rsid w:val="008965A1"/>
    <w:rsid w:val="008A0C5D"/>
    <w:rsid w:val="008C1C36"/>
    <w:rsid w:val="008C51A2"/>
    <w:rsid w:val="008C6BFE"/>
    <w:rsid w:val="008E08C7"/>
    <w:rsid w:val="008E0E35"/>
    <w:rsid w:val="008F0CE3"/>
    <w:rsid w:val="008F60E9"/>
    <w:rsid w:val="008F6C0A"/>
    <w:rsid w:val="008F6F73"/>
    <w:rsid w:val="009044A5"/>
    <w:rsid w:val="00905288"/>
    <w:rsid w:val="00907EB2"/>
    <w:rsid w:val="00910275"/>
    <w:rsid w:val="009109C8"/>
    <w:rsid w:val="00913215"/>
    <w:rsid w:val="009252E4"/>
    <w:rsid w:val="00936269"/>
    <w:rsid w:val="00945268"/>
    <w:rsid w:val="009541EA"/>
    <w:rsid w:val="00955DDE"/>
    <w:rsid w:val="00971082"/>
    <w:rsid w:val="009715F7"/>
    <w:rsid w:val="00971FE3"/>
    <w:rsid w:val="009823AF"/>
    <w:rsid w:val="009B2D89"/>
    <w:rsid w:val="009B5DC2"/>
    <w:rsid w:val="009C62B8"/>
    <w:rsid w:val="009E162F"/>
    <w:rsid w:val="009E2355"/>
    <w:rsid w:val="009E539E"/>
    <w:rsid w:val="009F08F5"/>
    <w:rsid w:val="009F18D1"/>
    <w:rsid w:val="009F2A88"/>
    <w:rsid w:val="009F4FAE"/>
    <w:rsid w:val="009F6E69"/>
    <w:rsid w:val="00A02C36"/>
    <w:rsid w:val="00A0565D"/>
    <w:rsid w:val="00A05B43"/>
    <w:rsid w:val="00A06F09"/>
    <w:rsid w:val="00A10056"/>
    <w:rsid w:val="00A12738"/>
    <w:rsid w:val="00A22398"/>
    <w:rsid w:val="00A27235"/>
    <w:rsid w:val="00A34742"/>
    <w:rsid w:val="00A40063"/>
    <w:rsid w:val="00A40B66"/>
    <w:rsid w:val="00A41DDF"/>
    <w:rsid w:val="00A569FC"/>
    <w:rsid w:val="00A605CC"/>
    <w:rsid w:val="00A67F68"/>
    <w:rsid w:val="00A72D04"/>
    <w:rsid w:val="00A8578A"/>
    <w:rsid w:val="00A91FA5"/>
    <w:rsid w:val="00A92541"/>
    <w:rsid w:val="00AA09B4"/>
    <w:rsid w:val="00AB29B1"/>
    <w:rsid w:val="00AC0376"/>
    <w:rsid w:val="00AC2314"/>
    <w:rsid w:val="00AD0B6C"/>
    <w:rsid w:val="00AD1F62"/>
    <w:rsid w:val="00AD204F"/>
    <w:rsid w:val="00AD4502"/>
    <w:rsid w:val="00AE236A"/>
    <w:rsid w:val="00AE3E83"/>
    <w:rsid w:val="00AF0D45"/>
    <w:rsid w:val="00AF3F5E"/>
    <w:rsid w:val="00B226AC"/>
    <w:rsid w:val="00B36E37"/>
    <w:rsid w:val="00B433F6"/>
    <w:rsid w:val="00B451F1"/>
    <w:rsid w:val="00B529A1"/>
    <w:rsid w:val="00B56E23"/>
    <w:rsid w:val="00B641E2"/>
    <w:rsid w:val="00B70745"/>
    <w:rsid w:val="00B72390"/>
    <w:rsid w:val="00B73A6B"/>
    <w:rsid w:val="00B7442D"/>
    <w:rsid w:val="00B751DE"/>
    <w:rsid w:val="00B849B0"/>
    <w:rsid w:val="00B92E3F"/>
    <w:rsid w:val="00BA1151"/>
    <w:rsid w:val="00BA54FE"/>
    <w:rsid w:val="00BA5E47"/>
    <w:rsid w:val="00BB12B0"/>
    <w:rsid w:val="00BE137C"/>
    <w:rsid w:val="00BE51BE"/>
    <w:rsid w:val="00BE6732"/>
    <w:rsid w:val="00BE710D"/>
    <w:rsid w:val="00BF099B"/>
    <w:rsid w:val="00BF32E4"/>
    <w:rsid w:val="00C023B4"/>
    <w:rsid w:val="00C029FB"/>
    <w:rsid w:val="00C1017F"/>
    <w:rsid w:val="00C157ED"/>
    <w:rsid w:val="00C167E6"/>
    <w:rsid w:val="00C23E98"/>
    <w:rsid w:val="00C24F0A"/>
    <w:rsid w:val="00C402AD"/>
    <w:rsid w:val="00C44944"/>
    <w:rsid w:val="00C453DB"/>
    <w:rsid w:val="00C5329A"/>
    <w:rsid w:val="00C56D54"/>
    <w:rsid w:val="00C6269E"/>
    <w:rsid w:val="00C6345C"/>
    <w:rsid w:val="00C72C58"/>
    <w:rsid w:val="00C73A04"/>
    <w:rsid w:val="00C73AF2"/>
    <w:rsid w:val="00C75590"/>
    <w:rsid w:val="00C81512"/>
    <w:rsid w:val="00C83F05"/>
    <w:rsid w:val="00C8615F"/>
    <w:rsid w:val="00C90771"/>
    <w:rsid w:val="00C91B39"/>
    <w:rsid w:val="00C92098"/>
    <w:rsid w:val="00CA2D35"/>
    <w:rsid w:val="00CA77C9"/>
    <w:rsid w:val="00CB6123"/>
    <w:rsid w:val="00CB6243"/>
    <w:rsid w:val="00CC39D8"/>
    <w:rsid w:val="00CC6ADB"/>
    <w:rsid w:val="00CF0166"/>
    <w:rsid w:val="00CF6270"/>
    <w:rsid w:val="00D02BC6"/>
    <w:rsid w:val="00D03979"/>
    <w:rsid w:val="00D03F9D"/>
    <w:rsid w:val="00D2375D"/>
    <w:rsid w:val="00D316BE"/>
    <w:rsid w:val="00D32DCE"/>
    <w:rsid w:val="00D3360A"/>
    <w:rsid w:val="00D36199"/>
    <w:rsid w:val="00D47A9A"/>
    <w:rsid w:val="00D617EA"/>
    <w:rsid w:val="00D65B16"/>
    <w:rsid w:val="00D67013"/>
    <w:rsid w:val="00D70953"/>
    <w:rsid w:val="00D745D3"/>
    <w:rsid w:val="00D75A0A"/>
    <w:rsid w:val="00D76D22"/>
    <w:rsid w:val="00D84272"/>
    <w:rsid w:val="00D85EC0"/>
    <w:rsid w:val="00D9398B"/>
    <w:rsid w:val="00D94C04"/>
    <w:rsid w:val="00DA5448"/>
    <w:rsid w:val="00DB45FB"/>
    <w:rsid w:val="00DD2CCF"/>
    <w:rsid w:val="00DD641F"/>
    <w:rsid w:val="00DF0BA2"/>
    <w:rsid w:val="00DF1756"/>
    <w:rsid w:val="00DF2F45"/>
    <w:rsid w:val="00DF579D"/>
    <w:rsid w:val="00E131B9"/>
    <w:rsid w:val="00E24D8E"/>
    <w:rsid w:val="00E3102E"/>
    <w:rsid w:val="00E311EF"/>
    <w:rsid w:val="00E32E2C"/>
    <w:rsid w:val="00E362A2"/>
    <w:rsid w:val="00E3699E"/>
    <w:rsid w:val="00E40BE1"/>
    <w:rsid w:val="00E4208A"/>
    <w:rsid w:val="00E433E7"/>
    <w:rsid w:val="00E54898"/>
    <w:rsid w:val="00E569BF"/>
    <w:rsid w:val="00E64300"/>
    <w:rsid w:val="00E65457"/>
    <w:rsid w:val="00E65CC6"/>
    <w:rsid w:val="00E7305E"/>
    <w:rsid w:val="00E73E0D"/>
    <w:rsid w:val="00E75437"/>
    <w:rsid w:val="00E8302B"/>
    <w:rsid w:val="00E945B8"/>
    <w:rsid w:val="00E962C2"/>
    <w:rsid w:val="00EA0A9B"/>
    <w:rsid w:val="00EA0DB1"/>
    <w:rsid w:val="00EA37E3"/>
    <w:rsid w:val="00EA42EB"/>
    <w:rsid w:val="00EB26A7"/>
    <w:rsid w:val="00EB36A6"/>
    <w:rsid w:val="00EB4ACE"/>
    <w:rsid w:val="00EB66F0"/>
    <w:rsid w:val="00EC15A4"/>
    <w:rsid w:val="00EC376F"/>
    <w:rsid w:val="00EC7F70"/>
    <w:rsid w:val="00ED0CBB"/>
    <w:rsid w:val="00ED165A"/>
    <w:rsid w:val="00ED465E"/>
    <w:rsid w:val="00ED4709"/>
    <w:rsid w:val="00ED7CD4"/>
    <w:rsid w:val="00EF1F91"/>
    <w:rsid w:val="00EF43BC"/>
    <w:rsid w:val="00EF6472"/>
    <w:rsid w:val="00F01A0E"/>
    <w:rsid w:val="00F064AE"/>
    <w:rsid w:val="00F11117"/>
    <w:rsid w:val="00F20549"/>
    <w:rsid w:val="00F240CF"/>
    <w:rsid w:val="00F25454"/>
    <w:rsid w:val="00F25FCD"/>
    <w:rsid w:val="00F26FA7"/>
    <w:rsid w:val="00F31041"/>
    <w:rsid w:val="00F31356"/>
    <w:rsid w:val="00F315A4"/>
    <w:rsid w:val="00F31FFC"/>
    <w:rsid w:val="00F337D2"/>
    <w:rsid w:val="00F34DD5"/>
    <w:rsid w:val="00F35CDE"/>
    <w:rsid w:val="00F40856"/>
    <w:rsid w:val="00F42069"/>
    <w:rsid w:val="00F5100C"/>
    <w:rsid w:val="00F55518"/>
    <w:rsid w:val="00F64395"/>
    <w:rsid w:val="00F7194B"/>
    <w:rsid w:val="00F725BD"/>
    <w:rsid w:val="00F7317F"/>
    <w:rsid w:val="00F75D9D"/>
    <w:rsid w:val="00F762A2"/>
    <w:rsid w:val="00F8177A"/>
    <w:rsid w:val="00F84A10"/>
    <w:rsid w:val="00F8520D"/>
    <w:rsid w:val="00F87C1F"/>
    <w:rsid w:val="00F96DBD"/>
    <w:rsid w:val="00FA0EF6"/>
    <w:rsid w:val="00FA2062"/>
    <w:rsid w:val="00FA4F17"/>
    <w:rsid w:val="00FA7BD6"/>
    <w:rsid w:val="00FB121D"/>
    <w:rsid w:val="00FB2725"/>
    <w:rsid w:val="00FB36A5"/>
    <w:rsid w:val="00FD2D34"/>
    <w:rsid w:val="00FD62B9"/>
    <w:rsid w:val="00FE0D26"/>
    <w:rsid w:val="00FE7EAA"/>
    <w:rsid w:val="00FF4A74"/>
    <w:rsid w:val="00FF6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DD0034"/>
  <w15:docId w15:val="{E45297F0-B5D8-44AD-BD2F-EFE8AB8B7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52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52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19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1F0E"/>
    <w:rPr>
      <w:b/>
      <w:bCs/>
    </w:rPr>
  </w:style>
  <w:style w:type="paragraph" w:styleId="ListParagraph">
    <w:name w:val="List Paragraph"/>
    <w:basedOn w:val="Normal"/>
    <w:uiPriority w:val="34"/>
    <w:qFormat/>
    <w:rsid w:val="0041190F"/>
    <w:pPr>
      <w:ind w:left="720"/>
      <w:contextualSpacing/>
    </w:pPr>
  </w:style>
  <w:style w:type="table" w:styleId="TableGrid">
    <w:name w:val="Table Grid"/>
    <w:basedOn w:val="TableNormal"/>
    <w:uiPriority w:val="59"/>
    <w:rsid w:val="00111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6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D21"/>
    <w:rPr>
      <w:rFonts w:ascii="Tahoma" w:hAnsi="Tahoma" w:cs="Tahoma"/>
      <w:sz w:val="16"/>
      <w:szCs w:val="16"/>
    </w:rPr>
  </w:style>
  <w:style w:type="paragraph" w:styleId="Header">
    <w:name w:val="header"/>
    <w:basedOn w:val="Normal"/>
    <w:link w:val="HeaderChar"/>
    <w:uiPriority w:val="99"/>
    <w:unhideWhenUsed/>
    <w:rsid w:val="002576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640"/>
  </w:style>
  <w:style w:type="paragraph" w:styleId="Footer">
    <w:name w:val="footer"/>
    <w:basedOn w:val="Normal"/>
    <w:link w:val="FooterChar"/>
    <w:uiPriority w:val="99"/>
    <w:unhideWhenUsed/>
    <w:rsid w:val="00257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640"/>
  </w:style>
  <w:style w:type="paragraph" w:styleId="NormalWeb">
    <w:name w:val="Normal (Web)"/>
    <w:basedOn w:val="Normal"/>
    <w:uiPriority w:val="99"/>
    <w:unhideWhenUsed/>
    <w:rsid w:val="000C51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7194B"/>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5B52D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52DB"/>
    <w:rPr>
      <w:rFonts w:asciiTheme="majorHAnsi" w:eastAsiaTheme="majorEastAsia" w:hAnsiTheme="majorHAnsi" w:cstheme="majorBidi"/>
      <w:b/>
      <w:bCs/>
      <w:color w:val="4F81BD" w:themeColor="accent1"/>
      <w:sz w:val="26"/>
      <w:szCs w:val="26"/>
    </w:rPr>
  </w:style>
  <w:style w:type="character" w:customStyle="1" w:styleId="sr-only">
    <w:name w:val="sr-only"/>
    <w:basedOn w:val="DefaultParagraphFont"/>
    <w:rsid w:val="005B52DB"/>
  </w:style>
  <w:style w:type="paragraph" w:styleId="z-TopofForm">
    <w:name w:val="HTML Top of Form"/>
    <w:basedOn w:val="Normal"/>
    <w:next w:val="Normal"/>
    <w:link w:val="z-TopofFormChar"/>
    <w:hidden/>
    <w:uiPriority w:val="99"/>
    <w:semiHidden/>
    <w:unhideWhenUsed/>
    <w:rsid w:val="005B52D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B52D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B52D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B52DB"/>
    <w:rPr>
      <w:rFonts w:ascii="Arial" w:eastAsia="Times New Roman" w:hAnsi="Arial" w:cs="Arial"/>
      <w:vanish/>
      <w:sz w:val="16"/>
      <w:szCs w:val="16"/>
    </w:rPr>
  </w:style>
  <w:style w:type="character" w:styleId="Emphasis">
    <w:name w:val="Emphasis"/>
    <w:basedOn w:val="DefaultParagraphFont"/>
    <w:uiPriority w:val="20"/>
    <w:qFormat/>
    <w:rsid w:val="005B52DB"/>
    <w:rPr>
      <w:i/>
      <w:iCs/>
    </w:rPr>
  </w:style>
  <w:style w:type="character" w:customStyle="1" w:styleId="katex-mathml">
    <w:name w:val="katex-mathml"/>
    <w:basedOn w:val="DefaultParagraphFont"/>
    <w:rsid w:val="005B52DB"/>
  </w:style>
  <w:style w:type="character" w:customStyle="1" w:styleId="mord">
    <w:name w:val="mord"/>
    <w:basedOn w:val="DefaultParagraphFont"/>
    <w:rsid w:val="005B52DB"/>
  </w:style>
  <w:style w:type="character" w:customStyle="1" w:styleId="mrel">
    <w:name w:val="mrel"/>
    <w:basedOn w:val="DefaultParagraphFont"/>
    <w:rsid w:val="005B52DB"/>
  </w:style>
  <w:style w:type="character" w:customStyle="1" w:styleId="mbin">
    <w:name w:val="mbin"/>
    <w:basedOn w:val="DefaultParagraphFont"/>
    <w:rsid w:val="005B52DB"/>
  </w:style>
  <w:style w:type="character" w:customStyle="1" w:styleId="delimsizing">
    <w:name w:val="delimsizing"/>
    <w:basedOn w:val="DefaultParagraphFont"/>
    <w:rsid w:val="005B52DB"/>
  </w:style>
  <w:style w:type="character" w:customStyle="1" w:styleId="vlist-s">
    <w:name w:val="vlist-s"/>
    <w:basedOn w:val="DefaultParagraphFont"/>
    <w:rsid w:val="005B52DB"/>
  </w:style>
  <w:style w:type="character" w:styleId="Hyperlink">
    <w:name w:val="Hyperlink"/>
    <w:basedOn w:val="DefaultParagraphFont"/>
    <w:uiPriority w:val="99"/>
    <w:unhideWhenUsed/>
    <w:rsid w:val="005B52DB"/>
    <w:rPr>
      <w:color w:val="0000FF" w:themeColor="hyperlink"/>
      <w:u w:val="single"/>
    </w:rPr>
  </w:style>
  <w:style w:type="character" w:customStyle="1" w:styleId="UnresolvedMention1">
    <w:name w:val="Unresolved Mention1"/>
    <w:basedOn w:val="DefaultParagraphFont"/>
    <w:uiPriority w:val="99"/>
    <w:semiHidden/>
    <w:unhideWhenUsed/>
    <w:rsid w:val="000F4A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4403">
      <w:bodyDiv w:val="1"/>
      <w:marLeft w:val="0"/>
      <w:marRight w:val="0"/>
      <w:marTop w:val="0"/>
      <w:marBottom w:val="0"/>
      <w:divBdr>
        <w:top w:val="none" w:sz="0" w:space="0" w:color="auto"/>
        <w:left w:val="none" w:sz="0" w:space="0" w:color="auto"/>
        <w:bottom w:val="none" w:sz="0" w:space="0" w:color="auto"/>
        <w:right w:val="none" w:sz="0" w:space="0" w:color="auto"/>
      </w:divBdr>
    </w:div>
    <w:div w:id="98070881">
      <w:bodyDiv w:val="1"/>
      <w:marLeft w:val="0"/>
      <w:marRight w:val="0"/>
      <w:marTop w:val="0"/>
      <w:marBottom w:val="0"/>
      <w:divBdr>
        <w:top w:val="none" w:sz="0" w:space="0" w:color="auto"/>
        <w:left w:val="none" w:sz="0" w:space="0" w:color="auto"/>
        <w:bottom w:val="none" w:sz="0" w:space="0" w:color="auto"/>
        <w:right w:val="none" w:sz="0" w:space="0" w:color="auto"/>
      </w:divBdr>
    </w:div>
    <w:div w:id="223571381">
      <w:bodyDiv w:val="1"/>
      <w:marLeft w:val="0"/>
      <w:marRight w:val="0"/>
      <w:marTop w:val="0"/>
      <w:marBottom w:val="0"/>
      <w:divBdr>
        <w:top w:val="none" w:sz="0" w:space="0" w:color="auto"/>
        <w:left w:val="none" w:sz="0" w:space="0" w:color="auto"/>
        <w:bottom w:val="none" w:sz="0" w:space="0" w:color="auto"/>
        <w:right w:val="none" w:sz="0" w:space="0" w:color="auto"/>
      </w:divBdr>
    </w:div>
    <w:div w:id="355354810">
      <w:bodyDiv w:val="1"/>
      <w:marLeft w:val="0"/>
      <w:marRight w:val="0"/>
      <w:marTop w:val="0"/>
      <w:marBottom w:val="0"/>
      <w:divBdr>
        <w:top w:val="none" w:sz="0" w:space="0" w:color="auto"/>
        <w:left w:val="none" w:sz="0" w:space="0" w:color="auto"/>
        <w:bottom w:val="none" w:sz="0" w:space="0" w:color="auto"/>
        <w:right w:val="none" w:sz="0" w:space="0" w:color="auto"/>
      </w:divBdr>
    </w:div>
    <w:div w:id="483937355">
      <w:bodyDiv w:val="1"/>
      <w:marLeft w:val="0"/>
      <w:marRight w:val="0"/>
      <w:marTop w:val="0"/>
      <w:marBottom w:val="0"/>
      <w:divBdr>
        <w:top w:val="none" w:sz="0" w:space="0" w:color="auto"/>
        <w:left w:val="none" w:sz="0" w:space="0" w:color="auto"/>
        <w:bottom w:val="none" w:sz="0" w:space="0" w:color="auto"/>
        <w:right w:val="none" w:sz="0" w:space="0" w:color="auto"/>
      </w:divBdr>
    </w:div>
    <w:div w:id="593438027">
      <w:bodyDiv w:val="1"/>
      <w:marLeft w:val="0"/>
      <w:marRight w:val="0"/>
      <w:marTop w:val="0"/>
      <w:marBottom w:val="0"/>
      <w:divBdr>
        <w:top w:val="none" w:sz="0" w:space="0" w:color="auto"/>
        <w:left w:val="none" w:sz="0" w:space="0" w:color="auto"/>
        <w:bottom w:val="none" w:sz="0" w:space="0" w:color="auto"/>
        <w:right w:val="none" w:sz="0" w:space="0" w:color="auto"/>
      </w:divBdr>
    </w:div>
    <w:div w:id="631400910">
      <w:bodyDiv w:val="1"/>
      <w:marLeft w:val="0"/>
      <w:marRight w:val="0"/>
      <w:marTop w:val="0"/>
      <w:marBottom w:val="0"/>
      <w:divBdr>
        <w:top w:val="none" w:sz="0" w:space="0" w:color="auto"/>
        <w:left w:val="none" w:sz="0" w:space="0" w:color="auto"/>
        <w:bottom w:val="none" w:sz="0" w:space="0" w:color="auto"/>
        <w:right w:val="none" w:sz="0" w:space="0" w:color="auto"/>
      </w:divBdr>
    </w:div>
    <w:div w:id="731972438">
      <w:bodyDiv w:val="1"/>
      <w:marLeft w:val="0"/>
      <w:marRight w:val="0"/>
      <w:marTop w:val="0"/>
      <w:marBottom w:val="0"/>
      <w:divBdr>
        <w:top w:val="none" w:sz="0" w:space="0" w:color="auto"/>
        <w:left w:val="none" w:sz="0" w:space="0" w:color="auto"/>
        <w:bottom w:val="none" w:sz="0" w:space="0" w:color="auto"/>
        <w:right w:val="none" w:sz="0" w:space="0" w:color="auto"/>
      </w:divBdr>
    </w:div>
    <w:div w:id="766736206">
      <w:bodyDiv w:val="1"/>
      <w:marLeft w:val="0"/>
      <w:marRight w:val="0"/>
      <w:marTop w:val="0"/>
      <w:marBottom w:val="0"/>
      <w:divBdr>
        <w:top w:val="none" w:sz="0" w:space="0" w:color="auto"/>
        <w:left w:val="none" w:sz="0" w:space="0" w:color="auto"/>
        <w:bottom w:val="none" w:sz="0" w:space="0" w:color="auto"/>
        <w:right w:val="none" w:sz="0" w:space="0" w:color="auto"/>
      </w:divBdr>
    </w:div>
    <w:div w:id="785318337">
      <w:bodyDiv w:val="1"/>
      <w:marLeft w:val="0"/>
      <w:marRight w:val="0"/>
      <w:marTop w:val="0"/>
      <w:marBottom w:val="0"/>
      <w:divBdr>
        <w:top w:val="none" w:sz="0" w:space="0" w:color="auto"/>
        <w:left w:val="none" w:sz="0" w:space="0" w:color="auto"/>
        <w:bottom w:val="none" w:sz="0" w:space="0" w:color="auto"/>
        <w:right w:val="none" w:sz="0" w:space="0" w:color="auto"/>
      </w:divBdr>
    </w:div>
    <w:div w:id="815149704">
      <w:bodyDiv w:val="1"/>
      <w:marLeft w:val="0"/>
      <w:marRight w:val="0"/>
      <w:marTop w:val="0"/>
      <w:marBottom w:val="0"/>
      <w:divBdr>
        <w:top w:val="none" w:sz="0" w:space="0" w:color="auto"/>
        <w:left w:val="none" w:sz="0" w:space="0" w:color="auto"/>
        <w:bottom w:val="none" w:sz="0" w:space="0" w:color="auto"/>
        <w:right w:val="none" w:sz="0" w:space="0" w:color="auto"/>
      </w:divBdr>
    </w:div>
    <w:div w:id="907181183">
      <w:bodyDiv w:val="1"/>
      <w:marLeft w:val="0"/>
      <w:marRight w:val="0"/>
      <w:marTop w:val="0"/>
      <w:marBottom w:val="0"/>
      <w:divBdr>
        <w:top w:val="none" w:sz="0" w:space="0" w:color="auto"/>
        <w:left w:val="none" w:sz="0" w:space="0" w:color="auto"/>
        <w:bottom w:val="none" w:sz="0" w:space="0" w:color="auto"/>
        <w:right w:val="none" w:sz="0" w:space="0" w:color="auto"/>
      </w:divBdr>
    </w:div>
    <w:div w:id="1069108862">
      <w:bodyDiv w:val="1"/>
      <w:marLeft w:val="0"/>
      <w:marRight w:val="0"/>
      <w:marTop w:val="0"/>
      <w:marBottom w:val="0"/>
      <w:divBdr>
        <w:top w:val="none" w:sz="0" w:space="0" w:color="auto"/>
        <w:left w:val="none" w:sz="0" w:space="0" w:color="auto"/>
        <w:bottom w:val="none" w:sz="0" w:space="0" w:color="auto"/>
        <w:right w:val="none" w:sz="0" w:space="0" w:color="auto"/>
      </w:divBdr>
    </w:div>
    <w:div w:id="1137533198">
      <w:bodyDiv w:val="1"/>
      <w:marLeft w:val="0"/>
      <w:marRight w:val="0"/>
      <w:marTop w:val="0"/>
      <w:marBottom w:val="0"/>
      <w:divBdr>
        <w:top w:val="none" w:sz="0" w:space="0" w:color="auto"/>
        <w:left w:val="none" w:sz="0" w:space="0" w:color="auto"/>
        <w:bottom w:val="none" w:sz="0" w:space="0" w:color="auto"/>
        <w:right w:val="none" w:sz="0" w:space="0" w:color="auto"/>
      </w:divBdr>
    </w:div>
    <w:div w:id="1427188651">
      <w:bodyDiv w:val="1"/>
      <w:marLeft w:val="0"/>
      <w:marRight w:val="0"/>
      <w:marTop w:val="0"/>
      <w:marBottom w:val="0"/>
      <w:divBdr>
        <w:top w:val="none" w:sz="0" w:space="0" w:color="auto"/>
        <w:left w:val="none" w:sz="0" w:space="0" w:color="auto"/>
        <w:bottom w:val="none" w:sz="0" w:space="0" w:color="auto"/>
        <w:right w:val="none" w:sz="0" w:space="0" w:color="auto"/>
      </w:divBdr>
    </w:div>
    <w:div w:id="1578974828">
      <w:bodyDiv w:val="1"/>
      <w:marLeft w:val="0"/>
      <w:marRight w:val="0"/>
      <w:marTop w:val="0"/>
      <w:marBottom w:val="0"/>
      <w:divBdr>
        <w:top w:val="none" w:sz="0" w:space="0" w:color="auto"/>
        <w:left w:val="none" w:sz="0" w:space="0" w:color="auto"/>
        <w:bottom w:val="none" w:sz="0" w:space="0" w:color="auto"/>
        <w:right w:val="none" w:sz="0" w:space="0" w:color="auto"/>
      </w:divBdr>
    </w:div>
    <w:div w:id="1641766948">
      <w:bodyDiv w:val="1"/>
      <w:marLeft w:val="0"/>
      <w:marRight w:val="0"/>
      <w:marTop w:val="0"/>
      <w:marBottom w:val="0"/>
      <w:divBdr>
        <w:top w:val="none" w:sz="0" w:space="0" w:color="auto"/>
        <w:left w:val="none" w:sz="0" w:space="0" w:color="auto"/>
        <w:bottom w:val="none" w:sz="0" w:space="0" w:color="auto"/>
        <w:right w:val="none" w:sz="0" w:space="0" w:color="auto"/>
      </w:divBdr>
    </w:div>
    <w:div w:id="1681006274">
      <w:bodyDiv w:val="1"/>
      <w:marLeft w:val="0"/>
      <w:marRight w:val="0"/>
      <w:marTop w:val="0"/>
      <w:marBottom w:val="0"/>
      <w:divBdr>
        <w:top w:val="none" w:sz="0" w:space="0" w:color="auto"/>
        <w:left w:val="none" w:sz="0" w:space="0" w:color="auto"/>
        <w:bottom w:val="none" w:sz="0" w:space="0" w:color="auto"/>
        <w:right w:val="none" w:sz="0" w:space="0" w:color="auto"/>
      </w:divBdr>
    </w:div>
    <w:div w:id="1716126121">
      <w:bodyDiv w:val="1"/>
      <w:marLeft w:val="0"/>
      <w:marRight w:val="0"/>
      <w:marTop w:val="0"/>
      <w:marBottom w:val="0"/>
      <w:divBdr>
        <w:top w:val="none" w:sz="0" w:space="0" w:color="auto"/>
        <w:left w:val="none" w:sz="0" w:space="0" w:color="auto"/>
        <w:bottom w:val="none" w:sz="0" w:space="0" w:color="auto"/>
        <w:right w:val="none" w:sz="0" w:space="0" w:color="auto"/>
      </w:divBdr>
    </w:div>
    <w:div w:id="1847401573">
      <w:bodyDiv w:val="1"/>
      <w:marLeft w:val="0"/>
      <w:marRight w:val="0"/>
      <w:marTop w:val="0"/>
      <w:marBottom w:val="0"/>
      <w:divBdr>
        <w:top w:val="none" w:sz="0" w:space="0" w:color="auto"/>
        <w:left w:val="none" w:sz="0" w:space="0" w:color="auto"/>
        <w:bottom w:val="none" w:sz="0" w:space="0" w:color="auto"/>
        <w:right w:val="none" w:sz="0" w:space="0" w:color="auto"/>
      </w:divBdr>
    </w:div>
    <w:div w:id="1912233736">
      <w:bodyDiv w:val="1"/>
      <w:marLeft w:val="0"/>
      <w:marRight w:val="0"/>
      <w:marTop w:val="0"/>
      <w:marBottom w:val="0"/>
      <w:divBdr>
        <w:top w:val="none" w:sz="0" w:space="0" w:color="auto"/>
        <w:left w:val="none" w:sz="0" w:space="0" w:color="auto"/>
        <w:bottom w:val="none" w:sz="0" w:space="0" w:color="auto"/>
        <w:right w:val="none" w:sz="0" w:space="0" w:color="auto"/>
      </w:divBdr>
    </w:div>
    <w:div w:id="211473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98/rstb.2007.2184"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ms.tn.gov.in/cms_migrated/document/docfiles/coir_policy_%202024.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globalgoals.goldstandard.org/101-par-principles-requirements/?utm_source=chatgpt.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pcb.nic.in/uploads/hwmd/Guidelines_HW_1.pdf"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cdm.unfccc.int/methodologies/PAmethodologies/%20tools/am-tool-01-v7.0.pdf" TargetMode="External"/><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A608B-A5FF-4814-8E2A-F2DCE25C3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31</Pages>
  <Words>11137</Words>
  <Characters>63483</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NOVCOM Technology: Overcoming Limitations of Coirpith-Based Portray Media for Healthy and Uniform Seedling Production</vt:lpstr>
    </vt:vector>
  </TitlesOfParts>
  <Company/>
  <LinksUpToDate>false</LinksUpToDate>
  <CharactersWithSpaces>74472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NOVCOM Technology: Overcoming Limitations of Coirpith-Based Portray Media for Healthy and Uniform Seedling Production</dc:title>
  <dc:creator>Atanu</dc:creator>
  <cp:lastModifiedBy>Editor-90</cp:lastModifiedBy>
  <cp:revision>332</cp:revision>
  <cp:lastPrinted>2025-02-12T13:57:00Z</cp:lastPrinted>
  <dcterms:created xsi:type="dcterms:W3CDTF">2025-02-08T07:44:00Z</dcterms:created>
  <dcterms:modified xsi:type="dcterms:W3CDTF">2025-09-27T12:20:00Z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77980d90-1e22-4e72-978b-69f3e54cfd43</vt:lpwstr>
  </property>
</Properties>
</file>