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9B00" w14:textId="60D34B49" w:rsidR="00EB63B2" w:rsidRDefault="00C30F56" w:rsidP="00322366">
      <w:pPr>
        <w:spacing w:after="0" w:line="360" w:lineRule="auto"/>
        <w:jc w:val="center"/>
        <w:rPr>
          <w:rFonts w:ascii="Times New Roman" w:hAnsi="Times New Roman" w:cs="Times New Roman"/>
          <w:b/>
          <w:sz w:val="28"/>
          <w:szCs w:val="24"/>
        </w:rPr>
      </w:pPr>
      <w:r w:rsidRPr="00B9176A">
        <w:rPr>
          <w:rFonts w:ascii="Times New Roman" w:hAnsi="Times New Roman" w:cs="Times New Roman"/>
          <w:b/>
          <w:sz w:val="28"/>
          <w:szCs w:val="24"/>
        </w:rPr>
        <w:t xml:space="preserve">Growth and Yield </w:t>
      </w:r>
      <w:r w:rsidR="002760EA">
        <w:rPr>
          <w:rFonts w:ascii="Times New Roman" w:hAnsi="Times New Roman" w:cs="Times New Roman"/>
          <w:b/>
          <w:sz w:val="28"/>
          <w:szCs w:val="24"/>
        </w:rPr>
        <w:t xml:space="preserve">Attributes </w:t>
      </w:r>
      <w:r w:rsidRPr="00B9176A">
        <w:rPr>
          <w:rFonts w:ascii="Times New Roman" w:hAnsi="Times New Roman" w:cs="Times New Roman"/>
          <w:b/>
          <w:sz w:val="28"/>
          <w:szCs w:val="24"/>
        </w:rPr>
        <w:t>of Wheat (</w:t>
      </w:r>
      <w:r w:rsidRPr="00B9176A">
        <w:rPr>
          <w:rFonts w:ascii="Times New Roman" w:hAnsi="Times New Roman" w:cs="Times New Roman"/>
          <w:b/>
          <w:i/>
          <w:sz w:val="28"/>
          <w:szCs w:val="24"/>
        </w:rPr>
        <w:t>Triticum aestivum</w:t>
      </w:r>
      <w:r w:rsidRPr="00B9176A">
        <w:rPr>
          <w:rFonts w:ascii="Times New Roman" w:hAnsi="Times New Roman" w:cs="Times New Roman"/>
          <w:b/>
          <w:sz w:val="28"/>
          <w:szCs w:val="24"/>
        </w:rPr>
        <w:t xml:space="preserve"> L.) as Influenced by Different Sowing Methods in </w:t>
      </w:r>
      <w:proofErr w:type="spellStart"/>
      <w:r w:rsidRPr="00B9176A">
        <w:rPr>
          <w:rFonts w:ascii="Times New Roman" w:hAnsi="Times New Roman" w:cs="Times New Roman"/>
          <w:b/>
          <w:sz w:val="28"/>
          <w:szCs w:val="24"/>
        </w:rPr>
        <w:t>Dhampur</w:t>
      </w:r>
      <w:proofErr w:type="spellEnd"/>
      <w:r w:rsidRPr="00B9176A">
        <w:rPr>
          <w:rFonts w:ascii="Times New Roman" w:hAnsi="Times New Roman" w:cs="Times New Roman"/>
          <w:b/>
          <w:sz w:val="28"/>
          <w:szCs w:val="24"/>
        </w:rPr>
        <w:t xml:space="preserve"> Condition</w:t>
      </w:r>
    </w:p>
    <w:p w14:paraId="36860FA6" w14:textId="77777777" w:rsidR="00F1083B" w:rsidRDefault="00F1083B" w:rsidP="00322366">
      <w:pPr>
        <w:spacing w:after="0" w:line="360" w:lineRule="auto"/>
        <w:jc w:val="center"/>
        <w:rPr>
          <w:rFonts w:ascii="Arial" w:hAnsi="Arial" w:cs="Arial"/>
          <w:b/>
          <w:sz w:val="24"/>
          <w:szCs w:val="24"/>
        </w:rPr>
      </w:pPr>
    </w:p>
    <w:p w14:paraId="0C02473F" w14:textId="7D45DFA7" w:rsidR="00F1083B" w:rsidRDefault="00F1083B" w:rsidP="007D38FD">
      <w:pPr>
        <w:spacing w:after="120" w:line="360" w:lineRule="auto"/>
        <w:jc w:val="center"/>
        <w:rPr>
          <w:rFonts w:ascii="Arial" w:hAnsi="Arial" w:cs="Arial"/>
          <w:b/>
          <w:sz w:val="24"/>
          <w:szCs w:val="24"/>
        </w:rPr>
      </w:pPr>
    </w:p>
    <w:p w14:paraId="7CA2060C" w14:textId="77777777" w:rsidR="00CF3A33" w:rsidRPr="00A17C61" w:rsidRDefault="00CF3A33" w:rsidP="007D38FD">
      <w:pPr>
        <w:spacing w:after="120" w:line="360" w:lineRule="auto"/>
        <w:jc w:val="center"/>
        <w:rPr>
          <w:rFonts w:ascii="Arial" w:hAnsi="Arial" w:cs="Arial"/>
          <w:b/>
          <w:sz w:val="24"/>
          <w:szCs w:val="24"/>
        </w:rPr>
      </w:pPr>
    </w:p>
    <w:p w14:paraId="029840A5" w14:textId="77777777" w:rsidR="00C63FEF" w:rsidRPr="00A17C61" w:rsidRDefault="00B9176A" w:rsidP="000F4754">
      <w:pPr>
        <w:spacing w:after="120" w:line="360" w:lineRule="auto"/>
        <w:jc w:val="center"/>
        <w:rPr>
          <w:rFonts w:ascii="Arial" w:hAnsi="Arial" w:cs="Arial"/>
          <w:b/>
          <w:sz w:val="24"/>
          <w:szCs w:val="24"/>
        </w:rPr>
      </w:pPr>
      <w:r>
        <w:rPr>
          <w:rFonts w:ascii="Arial" w:hAnsi="Arial" w:cs="Arial"/>
          <w:b/>
          <w:sz w:val="24"/>
          <w:szCs w:val="24"/>
        </w:rPr>
        <w:t>Abstract</w:t>
      </w:r>
    </w:p>
    <w:p w14:paraId="66E86796" w14:textId="257A531D" w:rsidR="006153DD" w:rsidRPr="006153DD" w:rsidRDefault="006153DD" w:rsidP="006153DD">
      <w:pPr>
        <w:spacing w:after="120" w:line="360" w:lineRule="auto"/>
        <w:jc w:val="both"/>
        <w:rPr>
          <w:rFonts w:ascii="Arial" w:eastAsia="Times New Roman" w:hAnsi="Arial" w:cs="Arial"/>
          <w:bCs/>
          <w:sz w:val="24"/>
          <w:szCs w:val="24"/>
        </w:rPr>
      </w:pPr>
      <w:r w:rsidRPr="006153DD">
        <w:rPr>
          <w:rFonts w:ascii="Arial" w:eastAsia="Times New Roman" w:hAnsi="Arial" w:cs="Arial"/>
          <w:bCs/>
          <w:sz w:val="24"/>
          <w:szCs w:val="24"/>
        </w:rPr>
        <w:t>Wheat (</w:t>
      </w:r>
      <w:r w:rsidRPr="006153DD">
        <w:rPr>
          <w:rFonts w:ascii="Arial" w:eastAsia="Times New Roman" w:hAnsi="Arial" w:cs="Arial"/>
          <w:bCs/>
          <w:i/>
          <w:iCs/>
          <w:sz w:val="24"/>
          <w:szCs w:val="24"/>
        </w:rPr>
        <w:t>Triticum aestivum</w:t>
      </w:r>
      <w:r w:rsidRPr="006153DD">
        <w:rPr>
          <w:rFonts w:ascii="Arial" w:eastAsia="Times New Roman" w:hAnsi="Arial" w:cs="Arial"/>
          <w:bCs/>
          <w:sz w:val="24"/>
          <w:szCs w:val="24"/>
        </w:rPr>
        <w:t xml:space="preserve"> L.) is a vital cereal crop that plays a crucial role in global food security and nutrition. In India, it is extensively cultivated due to its wide adaptability, but crop productivity is strongly influenced by the method of sowing. In the Dhampur region of Uttar Pradesh, farmers traditionally rely on broadcasting, a practice that, despite being simple, often results in higher seed requirement, poor seed placement, uneven germination, weak crop stand, higher weed infestation, and restricted intercultural operations, ultimately reducing yield potential. To address this challenge, a field experiment</w:t>
      </w:r>
      <w:r w:rsidR="0080076E">
        <w:rPr>
          <w:rFonts w:ascii="Arial" w:eastAsia="Times New Roman" w:hAnsi="Arial" w:cs="Arial"/>
          <w:bCs/>
          <w:sz w:val="24"/>
          <w:szCs w:val="24"/>
        </w:rPr>
        <w:t xml:space="preserve"> </w:t>
      </w:r>
      <w:r w:rsidRPr="006153DD">
        <w:rPr>
          <w:rFonts w:ascii="Arial" w:eastAsia="Times New Roman" w:hAnsi="Arial" w:cs="Arial"/>
          <w:bCs/>
          <w:sz w:val="24"/>
          <w:szCs w:val="24"/>
        </w:rPr>
        <w:t xml:space="preserve">was conducted during the </w:t>
      </w:r>
      <w:r w:rsidRPr="006153DD">
        <w:rPr>
          <w:rFonts w:ascii="Arial" w:eastAsia="Times New Roman" w:hAnsi="Arial" w:cs="Arial"/>
          <w:bCs/>
          <w:i/>
          <w:sz w:val="24"/>
          <w:szCs w:val="24"/>
        </w:rPr>
        <w:t>rabi</w:t>
      </w:r>
      <w:r w:rsidRPr="006153DD">
        <w:rPr>
          <w:rFonts w:ascii="Arial" w:eastAsia="Times New Roman" w:hAnsi="Arial" w:cs="Arial"/>
          <w:bCs/>
          <w:sz w:val="24"/>
          <w:szCs w:val="24"/>
        </w:rPr>
        <w:t xml:space="preserve"> season 2024–25 at the Agronomic Research Farm, R.S.M. (P.G.) College, Dhampur, Bijnor (U.P.). The study compared seven sowing methods in a randomized block design with three replications, including</w:t>
      </w:r>
      <w:r>
        <w:rPr>
          <w:rFonts w:ascii="Arial" w:eastAsia="Times New Roman" w:hAnsi="Arial" w:cs="Arial"/>
          <w:bCs/>
          <w:sz w:val="24"/>
          <w:szCs w:val="24"/>
        </w:rPr>
        <w:t xml:space="preserve"> </w:t>
      </w:r>
      <w:r w:rsidRPr="009941EE">
        <w:rPr>
          <w:rFonts w:ascii="Arial" w:hAnsi="Arial" w:cs="Arial"/>
          <w:sz w:val="24"/>
          <w:szCs w:val="24"/>
        </w:rPr>
        <w:t>broadcasting [T</w:t>
      </w:r>
      <w:r w:rsidRPr="009941EE">
        <w:rPr>
          <w:rFonts w:ascii="Cambria Math" w:hAnsi="Cambria Math" w:cs="Cambria Math"/>
          <w:sz w:val="24"/>
          <w:szCs w:val="24"/>
        </w:rPr>
        <w:t>₁</w:t>
      </w:r>
      <w:r w:rsidRPr="009941EE">
        <w:rPr>
          <w:rFonts w:ascii="Arial" w:hAnsi="Arial" w:cs="Arial"/>
          <w:sz w:val="24"/>
          <w:szCs w:val="24"/>
        </w:rPr>
        <w:t>], line sowing (20 cm spacing) [T</w:t>
      </w:r>
      <w:r w:rsidRPr="009941EE">
        <w:rPr>
          <w:rFonts w:ascii="Cambria Math" w:hAnsi="Cambria Math" w:cs="Cambria Math"/>
          <w:sz w:val="24"/>
          <w:szCs w:val="24"/>
        </w:rPr>
        <w:t>₂</w:t>
      </w:r>
      <w:r w:rsidRPr="009941EE">
        <w:rPr>
          <w:rFonts w:ascii="Arial" w:hAnsi="Arial" w:cs="Arial"/>
          <w:sz w:val="24"/>
          <w:szCs w:val="24"/>
        </w:rPr>
        <w:t>], square method (20 cm × 20 cm) (3 seed/hill) [T</w:t>
      </w:r>
      <w:r w:rsidRPr="009941EE">
        <w:rPr>
          <w:rFonts w:ascii="Cambria Math" w:hAnsi="Cambria Math" w:cs="Cambria Math"/>
          <w:sz w:val="24"/>
          <w:szCs w:val="24"/>
        </w:rPr>
        <w:t>₃</w:t>
      </w:r>
      <w:r w:rsidRPr="009941EE">
        <w:rPr>
          <w:rFonts w:ascii="Arial" w:hAnsi="Arial" w:cs="Arial"/>
          <w:sz w:val="24"/>
          <w:szCs w:val="24"/>
        </w:rPr>
        <w:t>], sowing on ridge (45 cm) [T</w:t>
      </w:r>
      <w:r w:rsidRPr="009941EE">
        <w:rPr>
          <w:rFonts w:ascii="Cambria Math" w:hAnsi="Cambria Math" w:cs="Cambria Math"/>
          <w:sz w:val="24"/>
          <w:szCs w:val="24"/>
        </w:rPr>
        <w:t>₄</w:t>
      </w:r>
      <w:r w:rsidRPr="009941EE">
        <w:rPr>
          <w:rFonts w:ascii="Arial" w:hAnsi="Arial" w:cs="Arial"/>
          <w:sz w:val="24"/>
          <w:szCs w:val="24"/>
        </w:rPr>
        <w:t>], sowing in furrow (45 cm) [T</w:t>
      </w:r>
      <w:r w:rsidRPr="009941EE">
        <w:rPr>
          <w:rFonts w:ascii="Cambria Math" w:hAnsi="Cambria Math" w:cs="Cambria Math"/>
          <w:sz w:val="24"/>
          <w:szCs w:val="24"/>
        </w:rPr>
        <w:t>₅</w:t>
      </w:r>
      <w:r w:rsidRPr="009941EE">
        <w:rPr>
          <w:rFonts w:ascii="Arial" w:hAnsi="Arial" w:cs="Arial"/>
          <w:sz w:val="24"/>
          <w:szCs w:val="24"/>
        </w:rPr>
        <w:t>], sowing on bed (3 rows) (row spacing - 20 cm, bed width - 60 cm) [T</w:t>
      </w:r>
      <w:r w:rsidRPr="009941EE">
        <w:rPr>
          <w:rFonts w:ascii="Cambria Math" w:hAnsi="Cambria Math" w:cs="Cambria Math"/>
          <w:sz w:val="24"/>
          <w:szCs w:val="24"/>
        </w:rPr>
        <w:t>₆</w:t>
      </w:r>
      <w:r w:rsidRPr="009941EE">
        <w:rPr>
          <w:rFonts w:ascii="Arial" w:hAnsi="Arial" w:cs="Arial"/>
          <w:sz w:val="24"/>
          <w:szCs w:val="24"/>
        </w:rPr>
        <w:t>], and sowing on bed (5 rows) (row spacing - 20 cm, bed width - 100 cm) [T</w:t>
      </w:r>
      <w:r w:rsidRPr="009941EE">
        <w:rPr>
          <w:rFonts w:ascii="Cambria Math" w:hAnsi="Cambria Math" w:cs="Cambria Math"/>
          <w:sz w:val="24"/>
          <w:szCs w:val="24"/>
        </w:rPr>
        <w:t>₇</w:t>
      </w:r>
      <w:r w:rsidRPr="009941EE">
        <w:rPr>
          <w:rFonts w:ascii="Arial" w:hAnsi="Arial" w:cs="Arial"/>
          <w:sz w:val="24"/>
          <w:szCs w:val="24"/>
        </w:rPr>
        <w:t>]</w:t>
      </w:r>
      <w:r w:rsidRPr="006153DD">
        <w:rPr>
          <w:rFonts w:ascii="Arial" w:eastAsia="Times New Roman" w:hAnsi="Arial" w:cs="Arial"/>
          <w:bCs/>
          <w:sz w:val="24"/>
          <w:szCs w:val="24"/>
        </w:rPr>
        <w:t>. The results revealed that the square method (20 cm × 20 cm</w:t>
      </w:r>
      <w:r>
        <w:rPr>
          <w:rFonts w:ascii="Arial" w:eastAsia="Times New Roman" w:hAnsi="Arial" w:cs="Arial"/>
          <w:bCs/>
          <w:sz w:val="24"/>
          <w:szCs w:val="24"/>
        </w:rPr>
        <w:t>) (</w:t>
      </w:r>
      <w:r w:rsidRPr="006153DD">
        <w:rPr>
          <w:rFonts w:ascii="Arial" w:eastAsia="Times New Roman" w:hAnsi="Arial" w:cs="Arial"/>
          <w:bCs/>
          <w:sz w:val="24"/>
          <w:szCs w:val="24"/>
        </w:rPr>
        <w:t xml:space="preserve">3 seeds/hill) consistently outperformed other methods by recording maximum plant height, number </w:t>
      </w:r>
      <w:r>
        <w:rPr>
          <w:rFonts w:ascii="Arial" w:eastAsia="Times New Roman" w:hAnsi="Arial" w:cs="Arial"/>
          <w:bCs/>
          <w:sz w:val="24"/>
          <w:szCs w:val="24"/>
        </w:rPr>
        <w:t xml:space="preserve"> of </w:t>
      </w:r>
      <w:r w:rsidRPr="006153DD">
        <w:rPr>
          <w:rFonts w:ascii="Arial" w:eastAsia="Times New Roman" w:hAnsi="Arial" w:cs="Arial"/>
          <w:bCs/>
          <w:sz w:val="24"/>
          <w:szCs w:val="24"/>
        </w:rPr>
        <w:t>leaf, fresh and dry biomass, and superior yield attributes such as spike length, awn length, and filled grains at 60 and 90 DAS. In contrast, broadcasting and wider bed sowing resulted in poor performance, particularly higher unfilled grains. Therefore, it is scientifically recommended that farmers in the Dhampur region adopt th</w:t>
      </w:r>
      <w:r>
        <w:rPr>
          <w:rFonts w:ascii="Arial" w:eastAsia="Times New Roman" w:hAnsi="Arial" w:cs="Arial"/>
          <w:bCs/>
          <w:sz w:val="24"/>
          <w:szCs w:val="24"/>
        </w:rPr>
        <w:t>e square method (20 cm × 20 cm,) (</w:t>
      </w:r>
      <w:r w:rsidRPr="006153DD">
        <w:rPr>
          <w:rFonts w:ascii="Arial" w:eastAsia="Times New Roman" w:hAnsi="Arial" w:cs="Arial"/>
          <w:bCs/>
          <w:sz w:val="24"/>
          <w:szCs w:val="24"/>
        </w:rPr>
        <w:t>3 seeds/hill) as a sustainable alternative to broadcasting for achieving better crop growth and higher wheat productivity.</w:t>
      </w:r>
    </w:p>
    <w:p w14:paraId="35C4DE06" w14:textId="1826F226" w:rsidR="007768B8" w:rsidRDefault="007768B8" w:rsidP="007D38FD">
      <w:pPr>
        <w:spacing w:after="120" w:line="360" w:lineRule="auto"/>
        <w:jc w:val="both"/>
        <w:rPr>
          <w:rFonts w:ascii="Arial" w:eastAsia="Times New Roman" w:hAnsi="Arial" w:cs="Arial"/>
          <w:sz w:val="24"/>
          <w:szCs w:val="24"/>
        </w:rPr>
      </w:pPr>
      <w:r w:rsidRPr="0056551D">
        <w:rPr>
          <w:rFonts w:ascii="Arial" w:eastAsia="Times New Roman" w:hAnsi="Arial" w:cs="Arial"/>
          <w:b/>
          <w:bCs/>
          <w:sz w:val="24"/>
          <w:szCs w:val="24"/>
        </w:rPr>
        <w:t>Keywords:</w:t>
      </w:r>
      <w:r w:rsidRPr="0056551D">
        <w:rPr>
          <w:rFonts w:ascii="Arial" w:eastAsia="Times New Roman" w:hAnsi="Arial" w:cs="Arial"/>
          <w:sz w:val="24"/>
          <w:szCs w:val="24"/>
        </w:rPr>
        <w:t xml:space="preserve"> Wheat, sowing m</w:t>
      </w:r>
      <w:r w:rsidR="00C63FEF" w:rsidRPr="0056551D">
        <w:rPr>
          <w:rFonts w:ascii="Arial" w:eastAsia="Times New Roman" w:hAnsi="Arial" w:cs="Arial"/>
          <w:sz w:val="24"/>
          <w:szCs w:val="24"/>
        </w:rPr>
        <w:t>ethods, growth parameters, yield attributes</w:t>
      </w:r>
      <w:r w:rsidRPr="0056551D">
        <w:rPr>
          <w:rFonts w:ascii="Arial" w:eastAsia="Times New Roman" w:hAnsi="Arial" w:cs="Arial"/>
          <w:sz w:val="24"/>
          <w:szCs w:val="24"/>
        </w:rPr>
        <w:t xml:space="preserve">, </w:t>
      </w:r>
      <w:proofErr w:type="spellStart"/>
      <w:r w:rsidRPr="0056551D">
        <w:rPr>
          <w:rFonts w:ascii="Arial" w:eastAsia="Times New Roman" w:hAnsi="Arial" w:cs="Arial"/>
          <w:sz w:val="24"/>
          <w:szCs w:val="24"/>
        </w:rPr>
        <w:t>Dhampur</w:t>
      </w:r>
      <w:proofErr w:type="spellEnd"/>
      <w:r w:rsidRPr="0056551D">
        <w:rPr>
          <w:rFonts w:ascii="Arial" w:eastAsia="Times New Roman" w:hAnsi="Arial" w:cs="Arial"/>
          <w:sz w:val="24"/>
          <w:szCs w:val="24"/>
        </w:rPr>
        <w:t>.</w:t>
      </w:r>
    </w:p>
    <w:p w14:paraId="29244DA2" w14:textId="77777777" w:rsidR="002A00B3" w:rsidRPr="0056551D" w:rsidRDefault="002A00B3" w:rsidP="007D38FD">
      <w:pPr>
        <w:spacing w:after="120" w:line="360" w:lineRule="auto"/>
        <w:jc w:val="both"/>
        <w:rPr>
          <w:rFonts w:ascii="Arial" w:eastAsia="Times New Roman" w:hAnsi="Arial" w:cs="Arial"/>
          <w:sz w:val="24"/>
          <w:szCs w:val="24"/>
        </w:rPr>
      </w:pPr>
    </w:p>
    <w:p w14:paraId="5C864ABE" w14:textId="77777777" w:rsidR="00C63FEF" w:rsidRPr="0056551D" w:rsidRDefault="00A970E8" w:rsidP="000B05B4">
      <w:pPr>
        <w:pStyle w:val="ListParagraph"/>
        <w:numPr>
          <w:ilvl w:val="0"/>
          <w:numId w:val="4"/>
        </w:numPr>
        <w:spacing w:after="0" w:line="360" w:lineRule="auto"/>
        <w:ind w:left="270" w:hanging="270"/>
        <w:jc w:val="both"/>
        <w:rPr>
          <w:rFonts w:ascii="Arial" w:hAnsi="Arial" w:cs="Arial"/>
          <w:b/>
          <w:sz w:val="24"/>
          <w:szCs w:val="24"/>
        </w:rPr>
      </w:pPr>
      <w:r w:rsidRPr="0056551D">
        <w:rPr>
          <w:rFonts w:ascii="Arial" w:hAnsi="Arial" w:cs="Arial"/>
          <w:b/>
          <w:sz w:val="24"/>
          <w:szCs w:val="24"/>
        </w:rPr>
        <w:t xml:space="preserve"> </w:t>
      </w:r>
      <w:r w:rsidR="00FB3CAA" w:rsidRPr="0056551D">
        <w:rPr>
          <w:rFonts w:ascii="Arial" w:hAnsi="Arial" w:cs="Arial"/>
          <w:b/>
          <w:sz w:val="24"/>
          <w:szCs w:val="24"/>
        </w:rPr>
        <w:t>Introduction</w:t>
      </w:r>
    </w:p>
    <w:p w14:paraId="26EE4E91" w14:textId="2FEA6A4D" w:rsidR="00C30F56" w:rsidRPr="00595235" w:rsidRDefault="00C30F56" w:rsidP="00595235">
      <w:pPr>
        <w:spacing w:after="120" w:line="360" w:lineRule="auto"/>
        <w:ind w:firstLine="720"/>
        <w:jc w:val="both"/>
        <w:rPr>
          <w:rFonts w:ascii="Arial" w:hAnsi="Arial" w:cs="Arial"/>
          <w:sz w:val="24"/>
          <w:szCs w:val="24"/>
        </w:rPr>
      </w:pPr>
      <w:r w:rsidRPr="0056551D">
        <w:rPr>
          <w:rFonts w:ascii="Arial" w:hAnsi="Arial" w:cs="Arial"/>
          <w:sz w:val="24"/>
          <w:szCs w:val="24"/>
        </w:rPr>
        <w:lastRenderedPageBreak/>
        <w:t>Wheat (</w:t>
      </w:r>
      <w:r w:rsidRPr="0056551D">
        <w:rPr>
          <w:rFonts w:ascii="Arial" w:hAnsi="Arial" w:cs="Arial"/>
          <w:i/>
          <w:sz w:val="24"/>
          <w:szCs w:val="24"/>
        </w:rPr>
        <w:t>Triticum aestivum</w:t>
      </w:r>
      <w:r w:rsidRPr="0056551D">
        <w:rPr>
          <w:rFonts w:ascii="Arial" w:hAnsi="Arial" w:cs="Arial"/>
          <w:sz w:val="24"/>
          <w:szCs w:val="24"/>
        </w:rPr>
        <w:t xml:space="preserve"> L.) is one of the most important staple food crops of the world and is rightly known as the “King of Cereals” due to its wide adaptability under diverse agro-climatic and soil conditions, its vast acreage, and its vital role in global food security</w:t>
      </w:r>
      <w:r w:rsidR="000E3250">
        <w:rPr>
          <w:rFonts w:ascii="Arial" w:hAnsi="Arial" w:cs="Arial"/>
          <w:sz w:val="24"/>
          <w:szCs w:val="24"/>
        </w:rPr>
        <w:t xml:space="preserve"> </w:t>
      </w:r>
      <w:r w:rsidR="000E3250">
        <w:rPr>
          <w:rFonts w:ascii="Arial" w:hAnsi="Arial" w:cs="Arial"/>
          <w:sz w:val="24"/>
          <w:szCs w:val="24"/>
        </w:rPr>
        <w:fldChar w:fldCharType="begin" w:fldLock="1"/>
      </w:r>
      <w:r w:rsidR="00E6630A">
        <w:rPr>
          <w:rFonts w:ascii="Arial" w:hAnsi="Arial" w:cs="Arial"/>
          <w:sz w:val="24"/>
          <w:szCs w:val="24"/>
        </w:rPr>
        <w:instrText>ADDIN CSL_CITATION {"citationItems":[{"id":"ITEM-1","itemData":{"DOI":"https://doi.org/10.9734/cjast/2023/v42i474314","author":[{"dropping-particle":"","family":"Kumar","given":"A.","non-dropping-particle":"","parse-names":false,"suffix":""},{"dropping-particle":"","family":"Singh","given":"R.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non-dropping-particle":"","parse-names":false,"suffix":""},{"dropping-particle":"","family":"Chandel","given":"S. K. S.","non-dropping-particle":"","parse-names":false,"suffix":""},{"dropping-particle":"","family":"Jyothsna","given":"K.","non-dropping-particle":"","parse-names":false,"suffix":""},{"dropping-particle":"","family":"Solanki","given":"A.","non-dropping-particle":"","parse-names":false,"suffix":""}],"container-title":"Current Journal of Applied Science and Technology","id":"ITEM-1","issue":"47","issued":{"date-parts":[["2023"]]},"page":"32-42","title":"Effect of Crop Establishment Methods and Irrigation Scheduling on Growth and Soil Nutrient Status of Wheat","type":"article-journal","volume":"42"},"uris":["http://www.mendeley.com/documents/?uuid=cf39f3e6-46f5-4b2b-8127-c7baedf50c24"]}],"mendeley":{"formattedCitation":"(Kumar et al., 2023)","manualFormatting":"(Kumar et al. 2023)","plainTextFormattedCitation":"(Kumar et al., 2023)","previouslyFormattedCitation":"(Kumar et al., 2023)"},"properties":{"noteIndex":0},"schema":"https://github.com/citation-style-language/schema/raw/master/csl-citation.json"}</w:instrText>
      </w:r>
      <w:r w:rsidR="000E3250">
        <w:rPr>
          <w:rFonts w:ascii="Arial" w:hAnsi="Arial" w:cs="Arial"/>
          <w:sz w:val="24"/>
          <w:szCs w:val="24"/>
        </w:rPr>
        <w:fldChar w:fldCharType="separate"/>
      </w:r>
      <w:r w:rsidR="000E3250" w:rsidRPr="000E3250">
        <w:rPr>
          <w:rFonts w:ascii="Arial" w:hAnsi="Arial" w:cs="Arial"/>
          <w:noProof/>
          <w:sz w:val="24"/>
          <w:szCs w:val="24"/>
        </w:rPr>
        <w:t>(Kumar</w:t>
      </w:r>
      <w:r w:rsidR="000E3250" w:rsidRPr="000E3250">
        <w:rPr>
          <w:rFonts w:ascii="Arial" w:hAnsi="Arial" w:cs="Arial"/>
          <w:i/>
          <w:noProof/>
          <w:sz w:val="24"/>
          <w:szCs w:val="24"/>
        </w:rPr>
        <w:t xml:space="preserve"> et al</w:t>
      </w:r>
      <w:r w:rsidR="00E6630A">
        <w:rPr>
          <w:rFonts w:ascii="Arial" w:hAnsi="Arial" w:cs="Arial"/>
          <w:noProof/>
          <w:sz w:val="24"/>
          <w:szCs w:val="24"/>
        </w:rPr>
        <w:t>.</w:t>
      </w:r>
      <w:r w:rsidR="000E3250" w:rsidRPr="000E3250">
        <w:rPr>
          <w:rFonts w:ascii="Arial" w:hAnsi="Arial" w:cs="Arial"/>
          <w:noProof/>
          <w:sz w:val="24"/>
          <w:szCs w:val="24"/>
        </w:rPr>
        <w:t xml:space="preserve"> 2023)</w:t>
      </w:r>
      <w:r w:rsidR="000E3250">
        <w:rPr>
          <w:rFonts w:ascii="Arial" w:hAnsi="Arial" w:cs="Arial"/>
          <w:sz w:val="24"/>
          <w:szCs w:val="24"/>
        </w:rPr>
        <w:fldChar w:fldCharType="end"/>
      </w:r>
      <w:r w:rsidR="00E6630A">
        <w:rPr>
          <w:rFonts w:ascii="Arial" w:hAnsi="Arial" w:cs="Arial"/>
          <w:sz w:val="24"/>
          <w:szCs w:val="24"/>
        </w:rPr>
        <w:t xml:space="preserve"> and </w:t>
      </w:r>
      <w:r w:rsidR="00E6630A">
        <w:rPr>
          <w:rFonts w:ascii="Arial" w:hAnsi="Arial" w:cs="Arial"/>
          <w:sz w:val="24"/>
          <w:szCs w:val="24"/>
        </w:rPr>
        <w:fldChar w:fldCharType="begin" w:fldLock="1"/>
      </w:r>
      <w:r w:rsidR="00E6630A">
        <w:rPr>
          <w:rFonts w:ascii="Arial" w:hAnsi="Arial" w:cs="Arial"/>
          <w:sz w:val="24"/>
          <w:szCs w:val="24"/>
        </w:rPr>
        <w:instrText>ADDIN CSL_CITATION {"citationItems":[{"id":"ITEM-1","itemData":{"DOI":"10.9734/ajrcs/2024/v9i4304","ISSN":"2581-7167","abstract":"This research evaluated the growth and yield potential of five wheat genotypes viz., UJ-2021, Sindh-2023, Punjab-2024, NWFP-2022 and Balochistan-2020 under rainfed environment at National Agricultural Research Centre, Islamabad during 2024. The major aim was to establish optimal and drought-tolerant genotypes in low water supply conditions. Having laid down three replications per genotype according to a randomized complete block design, the work concentrated on plant population, plant height, and number of tillers, 1000-grain weight, grain yield and biomass yield. Punjab-2024 genotype showed better performance than other genotypes in all parameters though variations were observed in plant population (210 plants/m²), plant height (112 cm), number of tillers (8. 2 per plant), 1000-grain weight (48 g), grain yield (520 g/m²), and biomass production (1. 50 kg/m²). On the other hand Balochistan-2020 had the lowest yield potential attributed to lower adaptability and productivity under rainfed environment. The current research is paramount in understanding ways of selecting better genotypes in order to increase the production of wheat under water deficit conditions. The results of Punjab-2024 indicate its enhanced yield and resource use efficiency in rainfed situation thus signifying its potential. The results are important for maintenance and improvement of high yielding and resistant wheat genotypes which would help in food security and sustainable farming. Future work should be aimed more at improving the low performing genotypes of Punjab-2024 and identify the underlying genetics for the said advantageous traits.","author":[{"dropping-particle":"","family":"Nasir","given":"Abaid Ur Rehman","non-dropping-particle":"","parse-names":false,"suffix":""},{"dropping-particle":"","family":"Ammara","given":"Gill","non-dropping-particle":"","parse-names":false,"suffix":""},{"dropping-particle":"","family":"Azmat","given":"Muhammad","non-dropping-particle":"","parse-names":false,"suffix":""},{"dropping-particle":"","family":"Fatima","given":"Eshrat","non-dropping-particle":"","parse-names":false,"suffix":""},{"dropping-particle":"","family":"Hussain","given":"Muhammad Zeeshan","non-dropping-particle":"","parse-names":false,"suffix":""},{"dropping-particle":"","family":"Zia","given":"Faheem","non-dropping-particle":"","parse-names":false,"suffix":""},{"dropping-particle":"","family":"Aslam","given":"Muhammad Umar","non-dropping-particle":"","parse-names":false,"suffix":""},{"dropping-particle":"","family":"Inqalabi","given":"Talou E Islam","non-dropping-particle":"","parse-names":false,"suffix":""},{"dropping-particle":"","family":"Abas","given":"Mubashar","non-dropping-particle":"","parse-names":false,"suffix":""},{"dropping-particle":"","family":"Ahmad","given":"Matloob","non-dropping-particle":"","parse-names":false,"suffix":""}],"container-title":"Asian Journal of Research in Crop Science","id":"ITEM-1","issue":"4","issued":{"date-parts":[["2024","10","14"]]},"page":"120-131","title":"Evaluation of Wheat Genotypes for Growth and Yield Performance under Rainfed Conditions","type":"article-journal","volume":"9"},"uris":["http://www.mendeley.com/documents/?uuid=a662ea1e-4405-40c0-aadd-a049d283e257"]}],"mendeley":{"formattedCitation":"(Nasir et al., 2024)","plainTextFormattedCitation":"(Nasir et al., 2024)"},"properties":{"noteIndex":0},"schema":"https://github.com/citation-style-language/schema/raw/master/csl-citation.json"}</w:instrText>
      </w:r>
      <w:r w:rsidR="00E6630A">
        <w:rPr>
          <w:rFonts w:ascii="Arial" w:hAnsi="Arial" w:cs="Arial"/>
          <w:sz w:val="24"/>
          <w:szCs w:val="24"/>
        </w:rPr>
        <w:fldChar w:fldCharType="separate"/>
      </w:r>
      <w:r w:rsidR="00E6630A" w:rsidRPr="00E6630A">
        <w:rPr>
          <w:rFonts w:ascii="Arial" w:hAnsi="Arial" w:cs="Arial"/>
          <w:noProof/>
          <w:sz w:val="24"/>
          <w:szCs w:val="24"/>
        </w:rPr>
        <w:t xml:space="preserve">(Nasir </w:t>
      </w:r>
      <w:r w:rsidR="00E6630A" w:rsidRPr="00E6630A">
        <w:rPr>
          <w:rFonts w:ascii="Arial" w:hAnsi="Arial" w:cs="Arial"/>
          <w:i/>
          <w:noProof/>
          <w:sz w:val="24"/>
          <w:szCs w:val="24"/>
        </w:rPr>
        <w:t>et al</w:t>
      </w:r>
      <w:r w:rsidR="00E6630A">
        <w:rPr>
          <w:rFonts w:ascii="Arial" w:hAnsi="Arial" w:cs="Arial"/>
          <w:noProof/>
          <w:sz w:val="24"/>
          <w:szCs w:val="24"/>
        </w:rPr>
        <w:t>.</w:t>
      </w:r>
      <w:r w:rsidR="00E6630A" w:rsidRPr="00E6630A">
        <w:rPr>
          <w:rFonts w:ascii="Arial" w:hAnsi="Arial" w:cs="Arial"/>
          <w:noProof/>
          <w:sz w:val="24"/>
          <w:szCs w:val="24"/>
        </w:rPr>
        <w:t xml:space="preserve"> 2024)</w:t>
      </w:r>
      <w:r w:rsidR="00E6630A">
        <w:rPr>
          <w:rFonts w:ascii="Arial" w:hAnsi="Arial" w:cs="Arial"/>
          <w:sz w:val="24"/>
          <w:szCs w:val="24"/>
        </w:rPr>
        <w:fldChar w:fldCharType="end"/>
      </w:r>
      <w:r w:rsidRPr="0056551D">
        <w:rPr>
          <w:rFonts w:ascii="Arial" w:hAnsi="Arial" w:cs="Arial"/>
          <w:sz w:val="24"/>
          <w:szCs w:val="24"/>
        </w:rPr>
        <w:t>. It belongs to the family Poaceae and has historically been regarded as a symbol of the Green Revolution, contributing significantly to self-</w:t>
      </w:r>
      <w:r w:rsidR="000B05B4" w:rsidRPr="0056551D">
        <w:rPr>
          <w:rFonts w:ascii="Arial" w:hAnsi="Arial" w:cs="Arial"/>
          <w:sz w:val="24"/>
          <w:szCs w:val="24"/>
        </w:rPr>
        <w:t xml:space="preserve">sufficiency in food production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{"citationItems":[{"id":"ITEM-1","itemData":{"author":[{"dropping-particle":"","family":"Alam","given":"M. S.","non-dropping-particle":"","parse-names":false,"suffix":""}],"container-title":"African Journal of Agricultural Research","id":"ITEM-1","issue":"47","issued":{"date-parts":[["2013"]]},"page":"6068-6072","title":"Growth and yield potential of wheat as affected by management practices.","type":"article-journal","volume":"8"},"uris":["http://www.mendeley.com/documents/?uuid=ad2ceb86-fa4f-4f32-8ede-e3b8a707c228"]}],"mendeley":{"formattedCitation":"(Alam, 2013)","plainTextFormattedCitation":"(Alam, 2013)","previouslyFormattedCitation":"(Alam, 2013)"},"properties":{"noteIndex":0},"schema":"https://github.com/citation-style-language/schema/raw/master/csl-citation.json"}</w:instrText>
      </w:r>
      <w:r w:rsidR="000B05B4" w:rsidRPr="0056551D">
        <w:rPr>
          <w:rFonts w:ascii="Arial" w:hAnsi="Arial" w:cs="Arial"/>
          <w:sz w:val="24"/>
          <w:szCs w:val="24"/>
        </w:rPr>
        <w:fldChar w:fldCharType="separate"/>
      </w:r>
      <w:r w:rsidR="00E6630A">
        <w:rPr>
          <w:rFonts w:ascii="Arial" w:hAnsi="Arial" w:cs="Arial"/>
          <w:noProof/>
          <w:sz w:val="24"/>
          <w:szCs w:val="24"/>
        </w:rPr>
        <w:t>(Alam,</w:t>
      </w:r>
      <w:r w:rsidR="000B05B4" w:rsidRPr="0056551D">
        <w:rPr>
          <w:rFonts w:ascii="Arial" w:hAnsi="Arial" w:cs="Arial"/>
          <w:noProof/>
          <w:sz w:val="24"/>
          <w:szCs w:val="24"/>
        </w:rPr>
        <w:t xml:space="preserve"> 2013)</w:t>
      </w:r>
      <w:r w:rsidR="000B05B4" w:rsidRPr="0056551D">
        <w:rPr>
          <w:rFonts w:ascii="Arial" w:hAnsi="Arial" w:cs="Arial"/>
          <w:sz w:val="24"/>
          <w:szCs w:val="24"/>
        </w:rPr>
        <w:fldChar w:fldCharType="end"/>
      </w:r>
      <w:r w:rsidR="000B05B4" w:rsidRPr="0056551D">
        <w:rPr>
          <w:rFonts w:ascii="Arial" w:hAnsi="Arial" w:cs="Arial"/>
          <w:sz w:val="24"/>
          <w:szCs w:val="24"/>
        </w:rPr>
        <w:t xml:space="preserve">. </w:t>
      </w:r>
      <w:r w:rsidRPr="0056551D">
        <w:rPr>
          <w:rFonts w:ascii="Arial" w:hAnsi="Arial" w:cs="Arial"/>
          <w:sz w:val="24"/>
          <w:szCs w:val="24"/>
        </w:rPr>
        <w:t xml:space="preserve"> Nutritionally, wheat is rich in carbohydrates (78%) and provides proteins (14%), fats (2%), minerals (2.5%), along with essential vitamins such as thiamine, and minerals including zinc, iron, selenium, and magnesium, making it an indispensable part of human diet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16"]]},"publisher":"IntechOpen","title":"Nutritional Quality of Wheat","type":"chapter"},"uris":["http://www.mendeley.com/documents/?uuid=4d02d092-5ea0-4dcc-8db1-9f88726004e2"]}],"mendeley":{"formattedCitation":"(Iqbal et al., 2022)","plainTextFormattedCitation":"(Iqbal et al., 2022)","previouslyFormattedCitation":"(Iqbal et al., 2022)"},"properties":{"noteIndex":0},"schema":"https://github.com/citation-style-language/schema/raw/master/csl-citation.json"}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 xml:space="preserve">(Iqbal </w:t>
      </w:r>
      <w:r w:rsidR="000B05B4" w:rsidRPr="0056551D">
        <w:rPr>
          <w:rFonts w:ascii="Arial" w:hAnsi="Arial" w:cs="Arial"/>
          <w:i/>
          <w:noProof/>
          <w:sz w:val="24"/>
          <w:szCs w:val="24"/>
        </w:rPr>
        <w:t>et al</w:t>
      </w:r>
      <w:r w:rsidR="000B05B4" w:rsidRPr="0056551D">
        <w:rPr>
          <w:rFonts w:ascii="Arial" w:hAnsi="Arial" w:cs="Arial"/>
          <w:noProof/>
          <w:sz w:val="24"/>
          <w:szCs w:val="24"/>
        </w:rPr>
        <w:t>., 2022)</w:t>
      </w:r>
      <w:r w:rsidR="000B05B4" w:rsidRPr="0056551D">
        <w:rPr>
          <w:rFonts w:ascii="Arial" w:hAnsi="Arial" w:cs="Arial"/>
          <w:sz w:val="24"/>
          <w:szCs w:val="24"/>
        </w:rPr>
        <w:fldChar w:fldCharType="end"/>
      </w:r>
      <w:r w:rsidRPr="0056551D">
        <w:rPr>
          <w:rFonts w:ascii="Arial" w:hAnsi="Arial" w:cs="Arial"/>
          <w:sz w:val="24"/>
          <w:szCs w:val="24"/>
        </w:rPr>
        <w:t xml:space="preserve">. Globally, wheat production during 2024-25 is estimated at record 799.9 Million metric tons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URL":"https://www.fas.usda.gov/data/production/commodity/0410000","accessed":{"date-parts":[["2025","9","9"]]},"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countries","type":"webpage"},"uris":["http://www.mendeley.com/documents/?uuid=fff32155-d992-4853-8b3e-889c8274a79c"]}],"mendeley":{"formattedCitation":"(USDA, 2025)","plainTextFormattedCitation":"(USDA, 2025)","previouslyFormattedCitation":"(USDA, 2025)"},"properties":{"noteIndex":0},"schema":"https://github.com/citation-style-language/schema/raw/master/csl-citation.json"}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(USDA, 2025)</w:t>
      </w:r>
      <w:r w:rsidR="000B05B4" w:rsidRPr="0056551D">
        <w:rPr>
          <w:rFonts w:ascii="Arial" w:hAnsi="Arial" w:cs="Arial"/>
          <w:sz w:val="24"/>
          <w:szCs w:val="24"/>
        </w:rPr>
        <w:fldChar w:fldCharType="end"/>
      </w:r>
      <w:r w:rsidR="000B05B4" w:rsidRPr="0056551D">
        <w:rPr>
          <w:rFonts w:ascii="Arial" w:hAnsi="Arial" w:cs="Arial"/>
          <w:sz w:val="24"/>
          <w:szCs w:val="24"/>
        </w:rPr>
        <w:t>.</w:t>
      </w:r>
      <w:r w:rsidRPr="0056551D">
        <w:rPr>
          <w:rFonts w:ascii="Arial" w:hAnsi="Arial" w:cs="Arial"/>
          <w:sz w:val="24"/>
          <w:szCs w:val="24"/>
        </w:rPr>
        <w:t xml:space="preserve"> In India, Wheat production during 2023-24 is estimated at record 1132.92 LMT (lakh metric ton). It is higher by 27.38 L</w:t>
      </w:r>
      <w:r w:rsidR="003323DD" w:rsidRPr="0056551D">
        <w:rPr>
          <w:rFonts w:ascii="Arial" w:hAnsi="Arial" w:cs="Arial"/>
          <w:sz w:val="24"/>
          <w:szCs w:val="24"/>
        </w:rPr>
        <w:t>MT than previous year</w:t>
      </w:r>
      <w:r w:rsidRPr="0056551D">
        <w:rPr>
          <w:rFonts w:ascii="Arial" w:hAnsi="Arial" w:cs="Arial"/>
          <w:sz w:val="24"/>
          <w:szCs w:val="24"/>
        </w:rPr>
        <w:t>s w</w:t>
      </w:r>
      <w:r w:rsidR="000B05B4" w:rsidRPr="0056551D">
        <w:rPr>
          <w:rFonts w:ascii="Arial" w:hAnsi="Arial" w:cs="Arial"/>
          <w:sz w:val="24"/>
          <w:szCs w:val="24"/>
        </w:rPr>
        <w:t xml:space="preserve">heat production of 1105.54 LMT </w:t>
      </w:r>
      <w:r w:rsidR="00E87A3D" w:rsidRPr="0056551D">
        <w:rPr>
          <w:rFonts w:ascii="Arial" w:hAnsi="Arial" w:cs="Arial"/>
          <w:sz w:val="24"/>
          <w:szCs w:val="24"/>
        </w:rPr>
        <w:fldChar w:fldCharType="begin" w:fldLock="1"/>
      </w:r>
      <w:r w:rsidR="000E3250">
        <w:rPr>
          <w:rFonts w:ascii="Arial" w:hAnsi="Arial" w:cs="Arial"/>
          <w:sz w:val="24"/>
          <w:szCs w:val="24"/>
        </w:rPr>
        <w:instrText>ADDIN CSL_CITATION {"citationItems":[{"id":"ITEM-1","itemData":{"author":[{"dropping-particle":"","family":"MoA&amp;FW","given":"","non-dropping-particle":"","parse-names":false,"suffix":""}],"id":"ITEM-1","issued":{"date-parts":[["2024"]]},"page":"24-25","title":"Department of Agriculture and Farmers ’ Welfare releases Final Estimates of major agricultural crops for 2023-24 Record Foodgrains production of 3322 . 98 LMT Record Rice production of 1378 . 25 LMT Record Wheat production of 1132 . 92 LMT Record producti","type":"article-journal"},"uris":["http://www.mendeley.com/documents/?uuid=ae9ef289-d23c-423c-a22b-56162963ebe7"]}],"mendeley":{"formattedCitation":"(MoA&amp;FW, 2024)","plainTextFormattedCitation":"(MoA&amp;FW, 2024)","previouslyFormattedCitation":"(MoA&amp;FW, 2024)"},"properties":{"noteIndex":0},"schema":"https://github.com/citation-style-language/schema/raw/master/csl-citation.json"}</w:instrText>
      </w:r>
      <w:r w:rsidR="00E87A3D" w:rsidRPr="0056551D">
        <w:rPr>
          <w:rFonts w:ascii="Arial" w:hAnsi="Arial" w:cs="Arial"/>
          <w:sz w:val="24"/>
          <w:szCs w:val="24"/>
        </w:rPr>
        <w:fldChar w:fldCharType="separate"/>
      </w:r>
      <w:r w:rsidR="00E87A3D" w:rsidRPr="0056551D">
        <w:rPr>
          <w:rFonts w:ascii="Arial" w:hAnsi="Arial" w:cs="Arial"/>
          <w:noProof/>
          <w:sz w:val="24"/>
          <w:szCs w:val="24"/>
        </w:rPr>
        <w:t>(MoA&amp;FW, 2024)</w:t>
      </w:r>
      <w:r w:rsidR="00E87A3D" w:rsidRPr="0056551D">
        <w:rPr>
          <w:rFonts w:ascii="Arial" w:hAnsi="Arial" w:cs="Arial"/>
          <w:sz w:val="24"/>
          <w:szCs w:val="24"/>
        </w:rPr>
        <w:fldChar w:fldCharType="end"/>
      </w:r>
      <w:r w:rsidR="00E87A3D" w:rsidRPr="0056551D">
        <w:rPr>
          <w:rFonts w:ascii="Arial" w:hAnsi="Arial" w:cs="Arial"/>
          <w:sz w:val="24"/>
          <w:szCs w:val="24"/>
        </w:rPr>
        <w:t>.</w:t>
      </w:r>
      <w:r w:rsidRPr="0056551D">
        <w:rPr>
          <w:rFonts w:ascii="Arial" w:hAnsi="Arial" w:cs="Arial"/>
          <w:sz w:val="24"/>
          <w:szCs w:val="24"/>
        </w:rPr>
        <w:t xml:space="preserve"> India ranks second among wheat-producing nations, accounting for about 13% of the global wheat production in 2022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2024.","type":"article-journal"},"uris":["http://www.mendeley.com/documents/?uuid=f2d49e43-0952-417d-b1ad-523252fde0a3"]}],"mendeley":{"formattedCitation":"(FAO, 2023)","plainTextFormattedCitation":"(FAO, 2023)","previouslyFormattedCitation":"(FAO, 2023)"},"properties":{"noteIndex":0},"schema":"https://github.com/citation-style-language/schema/raw/master/csl-citation.json"}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(FAO, 2023)</w:t>
      </w:r>
      <w:r w:rsidR="000B05B4" w:rsidRPr="0056551D">
        <w:rPr>
          <w:rFonts w:ascii="Arial" w:hAnsi="Arial" w:cs="Arial"/>
          <w:sz w:val="24"/>
          <w:szCs w:val="24"/>
        </w:rPr>
        <w:fldChar w:fldCharType="end"/>
      </w:r>
      <w:r w:rsidR="000B05B4" w:rsidRPr="0056551D">
        <w:rPr>
          <w:rFonts w:ascii="Arial" w:hAnsi="Arial" w:cs="Arial"/>
          <w:sz w:val="24"/>
          <w:szCs w:val="24"/>
        </w:rPr>
        <w:t>.</w:t>
      </w:r>
      <w:r w:rsidRPr="0056551D">
        <w:rPr>
          <w:rFonts w:ascii="Arial" w:hAnsi="Arial" w:cs="Arial"/>
          <w:sz w:val="24"/>
          <w:szCs w:val="24"/>
        </w:rPr>
        <w:t xml:space="preserve"> Within India, Uttar Pradesh is the leading wheat-growing state with about 35.34 </w:t>
      </w:r>
      <w:r w:rsidR="000B05B4" w:rsidRPr="0056551D">
        <w:rPr>
          <w:rFonts w:ascii="Arial" w:hAnsi="Arial" w:cs="Arial"/>
          <w:sz w:val="24"/>
          <w:szCs w:val="24"/>
        </w:rPr>
        <w:t xml:space="preserve">Million ton production of wheat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appendix","type":"article"},"uris":["http://www.mendeley.com/documents/?uuid=5b02a2c4-6b5a-4f5d-aa8c-73379275fe1e"]}],"mendeley":{"formattedCitation":"(GOI, 2024)","plainTextFormattedCitation":"(GOI, 2024)","previouslyFormattedCitation":"(GOI, 2024)"},"properties":{"noteIndex":0},"schema":"https://github.com/citation-style-language/schema/raw/master/csl-citation.json"}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(GOI, 2024)</w:t>
      </w:r>
      <w:r w:rsidR="000B05B4" w:rsidRPr="0056551D">
        <w:rPr>
          <w:rFonts w:ascii="Arial" w:hAnsi="Arial" w:cs="Arial"/>
          <w:sz w:val="24"/>
          <w:szCs w:val="24"/>
        </w:rPr>
        <w:fldChar w:fldCharType="end"/>
      </w:r>
      <w:r w:rsidR="000B05B4" w:rsidRPr="0056551D">
        <w:rPr>
          <w:rFonts w:ascii="Arial" w:hAnsi="Arial" w:cs="Arial"/>
          <w:sz w:val="24"/>
          <w:szCs w:val="24"/>
        </w:rPr>
        <w:t>.</w:t>
      </w:r>
      <w:r w:rsidR="00595235" w:rsidRPr="00595235">
        <w:rPr>
          <w:rFonts w:ascii="Arial" w:hAnsi="Arial" w:cs="Arial"/>
          <w:sz w:val="25"/>
          <w:szCs w:val="25"/>
          <w:shd w:val="clear" w:color="auto" w:fill="FFFFFF"/>
        </w:rPr>
        <w:t xml:space="preserve"> </w:t>
      </w:r>
      <w:r w:rsidR="00D20AEE">
        <w:rPr>
          <w:rFonts w:ascii="Arial" w:hAnsi="Arial" w:cs="Arial"/>
          <w:sz w:val="25"/>
          <w:szCs w:val="25"/>
          <w:shd w:val="clear" w:color="auto" w:fill="FFFFFF"/>
        </w:rPr>
        <w:t>“</w:t>
      </w:r>
      <w:r w:rsidR="00595235" w:rsidRPr="00595235">
        <w:rPr>
          <w:rFonts w:ascii="Arial" w:hAnsi="Arial" w:cs="Arial"/>
          <w:sz w:val="24"/>
          <w:szCs w:val="24"/>
          <w:shd w:val="clear" w:color="auto" w:fill="FFFFFF"/>
        </w:rPr>
        <w:t>Wheat  is  the  major  food  crop  in  India  after  rice and  it  is  highly  sensitive  to  various  biotic  and abiotic  stresses  like  weather  and  inter-seasonal climatic   variability   (in   terms   of   changes   in temperature,  rainfall,  sunshine  hours,  etc.),  soil conditions,  and  agricultural  inputs  like  irrigation and   fertilizer</w:t>
      </w:r>
      <w:r w:rsidR="00D20AEE">
        <w:rPr>
          <w:rFonts w:ascii="Arial" w:hAnsi="Arial" w:cs="Arial"/>
          <w:sz w:val="24"/>
          <w:szCs w:val="24"/>
          <w:shd w:val="clear" w:color="auto" w:fill="FFFFFF"/>
        </w:rPr>
        <w:t>”</w:t>
      </w:r>
      <w:r w:rsidR="00B9176A">
        <w:rPr>
          <w:rFonts w:ascii="Arial" w:hAnsi="Arial" w:cs="Arial"/>
          <w:sz w:val="24"/>
          <w:szCs w:val="24"/>
          <w:shd w:val="clear" w:color="auto" w:fill="FFFFFF"/>
        </w:rPr>
        <w:t xml:space="preserve"> </w:t>
      </w:r>
      <w:r w:rsidR="00B9176A">
        <w:rPr>
          <w:rFonts w:ascii="Arial" w:hAnsi="Arial" w:cs="Arial"/>
          <w:sz w:val="24"/>
          <w:szCs w:val="24"/>
          <w:shd w:val="clear" w:color="auto" w:fill="FFFFFF"/>
        </w:rPr>
        <w:fldChar w:fldCharType="begin" w:fldLock="1"/>
      </w:r>
      <w:r w:rsidR="00B9176A">
        <w:rPr>
          <w:rFonts w:ascii="Arial" w:hAnsi="Arial" w:cs="Arial"/>
          <w:sz w:val="24"/>
          <w:szCs w:val="24"/>
          <w:shd w:val="clear" w:color="auto" w:fill="FFFFFF"/>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L.)","type":"article-journal"},"uris":["http://www.mendeley.com/documents/?uuid=37bbd75e-7d68-4339-a902-18bdbc473c42"]}],"mendeley":{"formattedCitation":"(Bhayal et al., 2022)","plainTextFormattedCitation":"(Bhayal et al., 2022)","previouslyFormattedCitation":"(Bhayal et al., 2022)"},"properties":{"noteIndex":0},"schema":"https://github.com/citation-style-language/schema/raw/master/csl-citation.json"}</w:instrText>
      </w:r>
      <w:r w:rsidR="00B9176A">
        <w:rPr>
          <w:rFonts w:ascii="Arial" w:hAnsi="Arial" w:cs="Arial"/>
          <w:sz w:val="24"/>
          <w:szCs w:val="24"/>
          <w:shd w:val="clear" w:color="auto" w:fill="FFFFFF"/>
        </w:rPr>
        <w:fldChar w:fldCharType="separate"/>
      </w:r>
      <w:r w:rsidR="00B9176A" w:rsidRPr="00B9176A">
        <w:rPr>
          <w:rFonts w:ascii="Arial" w:hAnsi="Arial" w:cs="Arial"/>
          <w:noProof/>
          <w:sz w:val="24"/>
          <w:szCs w:val="24"/>
          <w:shd w:val="clear" w:color="auto" w:fill="FFFFFF"/>
        </w:rPr>
        <w:t xml:space="preserve">(Bhayal </w:t>
      </w:r>
      <w:r w:rsidR="00B9176A" w:rsidRPr="00B9176A">
        <w:rPr>
          <w:rFonts w:ascii="Arial" w:hAnsi="Arial" w:cs="Arial"/>
          <w:i/>
          <w:noProof/>
          <w:sz w:val="24"/>
          <w:szCs w:val="24"/>
          <w:shd w:val="clear" w:color="auto" w:fill="FFFFFF"/>
        </w:rPr>
        <w:t>et al</w:t>
      </w:r>
      <w:r w:rsidR="00E6630A">
        <w:rPr>
          <w:rFonts w:ascii="Arial" w:hAnsi="Arial" w:cs="Arial"/>
          <w:noProof/>
          <w:sz w:val="24"/>
          <w:szCs w:val="24"/>
          <w:shd w:val="clear" w:color="auto" w:fill="FFFFFF"/>
        </w:rPr>
        <w:t>.</w:t>
      </w:r>
      <w:r w:rsidR="00B9176A" w:rsidRPr="00B9176A">
        <w:rPr>
          <w:rFonts w:ascii="Arial" w:hAnsi="Arial" w:cs="Arial"/>
          <w:noProof/>
          <w:sz w:val="24"/>
          <w:szCs w:val="24"/>
          <w:shd w:val="clear" w:color="auto" w:fill="FFFFFF"/>
        </w:rPr>
        <w:t xml:space="preserve"> 2022)</w:t>
      </w:r>
      <w:r w:rsidR="00B9176A">
        <w:rPr>
          <w:rFonts w:ascii="Arial" w:hAnsi="Arial" w:cs="Arial"/>
          <w:sz w:val="24"/>
          <w:szCs w:val="24"/>
          <w:shd w:val="clear" w:color="auto" w:fill="FFFFFF"/>
        </w:rPr>
        <w:fldChar w:fldCharType="end"/>
      </w:r>
      <w:r w:rsidR="00B9176A">
        <w:rPr>
          <w:rFonts w:ascii="Arial" w:hAnsi="Arial" w:cs="Arial"/>
          <w:sz w:val="24"/>
          <w:szCs w:val="24"/>
          <w:shd w:val="clear" w:color="auto" w:fill="FFFFFF"/>
        </w:rPr>
        <w:t>.</w:t>
      </w:r>
    </w:p>
    <w:p w14:paraId="1F48C79A" w14:textId="6FE0D0F4" w:rsidR="00F54D89" w:rsidRPr="0056551D" w:rsidRDefault="00656D72" w:rsidP="000B05B4">
      <w:pPr>
        <w:spacing w:after="0" w:line="360" w:lineRule="auto"/>
        <w:ind w:firstLine="720"/>
        <w:jc w:val="both"/>
        <w:rPr>
          <w:rFonts w:ascii="Arial" w:hAnsi="Arial" w:cs="Arial"/>
          <w:sz w:val="24"/>
          <w:szCs w:val="24"/>
        </w:rPr>
      </w:pPr>
      <w:r w:rsidRPr="0056551D">
        <w:rPr>
          <w:rFonts w:ascii="Arial" w:hAnsi="Arial" w:cs="Arial"/>
          <w:sz w:val="24"/>
          <w:szCs w:val="24"/>
        </w:rPr>
        <w:t xml:space="preserve">In the Dhampur region of Uttar Pradesh, wheat is traditionally sown by the broadcasting method. However, this practice is associated with several limitations such as higher seed requirement, poor seed placement (too deep or left on the soil surface), low germination percentage due to predation by birds or unfavorable depth, and uneven distribution of plants in the field. These factors lead to poor crop stand, increased incidence of weeds and diseases, and limited scope for intercultural operations. Consequently, wheat productivity and soil fertility are adversely affected under the broadcasting method. The </w:t>
      </w:r>
      <w:r w:rsidR="00254441" w:rsidRPr="0056551D">
        <w:rPr>
          <w:rFonts w:ascii="Arial" w:hAnsi="Arial" w:cs="Arial"/>
          <w:sz w:val="24"/>
          <w:szCs w:val="24"/>
        </w:rPr>
        <w:t>executed a field experiment having three methods of sowing i.e. Broadcasting, Line sowing, SWI</w:t>
      </w:r>
      <w:r w:rsidR="00E12C89" w:rsidRPr="0056551D">
        <w:rPr>
          <w:rFonts w:ascii="Arial" w:hAnsi="Arial" w:cs="Arial"/>
          <w:sz w:val="24"/>
          <w:szCs w:val="24"/>
        </w:rPr>
        <w:t xml:space="preserve"> (20 cm × 20 cm)</w:t>
      </w:r>
      <w:r w:rsidR="00254441" w:rsidRPr="0056551D">
        <w:rPr>
          <w:rFonts w:ascii="Arial" w:hAnsi="Arial" w:cs="Arial"/>
          <w:sz w:val="24"/>
          <w:szCs w:val="24"/>
        </w:rPr>
        <w:t>. Results revealed that the maximum number of tillers</w:t>
      </w:r>
      <w:r w:rsidR="00E12C89" w:rsidRPr="0056551D">
        <w:rPr>
          <w:rFonts w:ascii="Arial" w:hAnsi="Arial" w:cs="Arial"/>
          <w:sz w:val="24"/>
          <w:szCs w:val="24"/>
        </w:rPr>
        <w:t xml:space="preserve"> (10.53/plant), dry weight (18.00 g/plant), effective tillers (10.43/plant) were found significantly higher with SWI as c</w:t>
      </w:r>
      <w:r w:rsidR="000B05B4" w:rsidRPr="0056551D">
        <w:rPr>
          <w:rFonts w:ascii="Arial" w:hAnsi="Arial" w:cs="Arial"/>
          <w:sz w:val="24"/>
          <w:szCs w:val="24"/>
        </w:rPr>
        <w:t xml:space="preserve">ompared to other sowing methods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L.)","type":"article-journal","volume":"23"},"uris":["http://www.mendeley.com/documents/?uuid=e2db2d94-54d0-48e9-be86-3fe9b3bbb39b"]}],"mendeley":{"formattedCitation":"(Prakash et al., 2022)","plainTextFormattedCitation":"(Prakash et al., 2022)","previouslyFormattedCitation":"(Prakash et al., 2022)"},"properties":{"noteIndex":0},"schema":"https://github.com/citation-style-language/schema/raw/master/csl-citation.json"}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 xml:space="preserve">(Prakash </w:t>
      </w:r>
      <w:r w:rsidR="000B05B4" w:rsidRPr="0056551D">
        <w:rPr>
          <w:rFonts w:ascii="Arial" w:hAnsi="Arial" w:cs="Arial"/>
          <w:i/>
          <w:noProof/>
          <w:sz w:val="24"/>
          <w:szCs w:val="24"/>
        </w:rPr>
        <w:t>et al</w:t>
      </w:r>
      <w:r w:rsidR="000B05B4" w:rsidRPr="0056551D">
        <w:rPr>
          <w:rFonts w:ascii="Arial" w:hAnsi="Arial" w:cs="Arial"/>
          <w:noProof/>
          <w:sz w:val="24"/>
          <w:szCs w:val="24"/>
        </w:rPr>
        <w:t>., 2022)</w:t>
      </w:r>
      <w:r w:rsidR="000B05B4" w:rsidRPr="0056551D">
        <w:rPr>
          <w:rFonts w:ascii="Arial" w:hAnsi="Arial" w:cs="Arial"/>
          <w:sz w:val="24"/>
          <w:szCs w:val="24"/>
        </w:rPr>
        <w:fldChar w:fldCharType="end"/>
      </w:r>
      <w:r w:rsidRPr="0056551D">
        <w:rPr>
          <w:rFonts w:ascii="Arial" w:hAnsi="Arial" w:cs="Arial"/>
          <w:sz w:val="24"/>
          <w:szCs w:val="24"/>
        </w:rPr>
        <w:t>.</w:t>
      </w:r>
      <w:r w:rsidR="00B62CA2" w:rsidRPr="0056551D">
        <w:rPr>
          <w:rFonts w:ascii="Arial" w:hAnsi="Arial" w:cs="Arial"/>
          <w:sz w:val="24"/>
          <w:szCs w:val="24"/>
        </w:rPr>
        <w:t xml:space="preserve"> Similarly </w:t>
      </w:r>
      <w:r w:rsidR="00F54D89" w:rsidRPr="0056551D">
        <w:rPr>
          <w:rFonts w:ascii="Arial" w:hAnsi="Arial" w:cs="Arial"/>
          <w:sz w:val="24"/>
          <w:szCs w:val="24"/>
        </w:rPr>
        <w:t xml:space="preserve">conducted a field experiment to determine </w:t>
      </w:r>
      <w:r w:rsidR="00D20AEE">
        <w:rPr>
          <w:rFonts w:ascii="Arial" w:hAnsi="Arial" w:cs="Arial"/>
          <w:sz w:val="24"/>
          <w:szCs w:val="24"/>
        </w:rPr>
        <w:t>“</w:t>
      </w:r>
      <w:r w:rsidR="00F54D89" w:rsidRPr="0056551D">
        <w:rPr>
          <w:rFonts w:ascii="Arial" w:hAnsi="Arial" w:cs="Arial"/>
          <w:sz w:val="24"/>
          <w:szCs w:val="24"/>
        </w:rPr>
        <w:t xml:space="preserve">the effect of different sowing methods on wheat during the </w:t>
      </w:r>
      <w:r w:rsidR="00F54D89" w:rsidRPr="0056551D">
        <w:rPr>
          <w:rFonts w:ascii="Arial" w:hAnsi="Arial" w:cs="Arial"/>
          <w:i/>
          <w:sz w:val="24"/>
          <w:szCs w:val="24"/>
        </w:rPr>
        <w:t>rabi</w:t>
      </w:r>
      <w:r w:rsidR="00F54D89" w:rsidRPr="0056551D">
        <w:rPr>
          <w:rFonts w:ascii="Arial" w:hAnsi="Arial" w:cs="Arial"/>
          <w:sz w:val="24"/>
          <w:szCs w:val="24"/>
        </w:rPr>
        <w:t xml:space="preserve"> season 2021 with various </w:t>
      </w:r>
      <w:r w:rsidR="00F54D89" w:rsidRPr="0056551D">
        <w:rPr>
          <w:rFonts w:ascii="Arial" w:hAnsi="Arial" w:cs="Arial"/>
          <w:sz w:val="24"/>
          <w:szCs w:val="24"/>
        </w:rPr>
        <w:lastRenderedPageBreak/>
        <w:t>methods of sowing. Record the highest number of effective tillers/hill (9.47), length of the spike (12.13 cm), maximum number of grains/spike (55.94) and test weight (44</w:t>
      </w:r>
      <w:r w:rsidR="00B62CA2" w:rsidRPr="0056551D">
        <w:rPr>
          <w:rFonts w:ascii="Arial" w:hAnsi="Arial" w:cs="Arial"/>
          <w:sz w:val="24"/>
          <w:szCs w:val="24"/>
        </w:rPr>
        <w:t>.37g) under SWI (20 cm × 20 cm)</w:t>
      </w:r>
      <w:r w:rsidR="00D20AEE">
        <w:rPr>
          <w:rFonts w:ascii="Arial" w:hAnsi="Arial" w:cs="Arial"/>
          <w:sz w:val="24"/>
          <w:szCs w:val="24"/>
        </w:rPr>
        <w:t>”</w:t>
      </w:r>
      <w:bookmarkStart w:id="0" w:name="_GoBack"/>
      <w:bookmarkEnd w:id="0"/>
      <w:r w:rsidR="00B62CA2" w:rsidRPr="0056551D">
        <w:rPr>
          <w:rFonts w:ascii="Arial" w:hAnsi="Arial" w:cs="Arial"/>
          <w:sz w:val="24"/>
          <w:szCs w:val="24"/>
        </w:rPr>
        <w:t xml:space="preserve"> </w:t>
      </w:r>
      <w:r w:rsidR="000B05B4" w:rsidRPr="0056551D">
        <w:rPr>
          <w:rFonts w:ascii="Arial" w:hAnsi="Arial" w:cs="Arial"/>
          <w:sz w:val="24"/>
          <w:szCs w:val="24"/>
        </w:rPr>
        <w:fldChar w:fldCharType="begin" w:fldLock="1"/>
      </w:r>
      <w:r w:rsidR="003323DD" w:rsidRPr="0056551D">
        <w:rPr>
          <w:rFonts w:ascii="Arial" w:hAnsi="Arial" w:cs="Arial"/>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0B05B4" w:rsidRPr="0056551D">
        <w:rPr>
          <w:rFonts w:ascii="Arial" w:hAnsi="Arial" w:cs="Arial"/>
          <w:sz w:val="24"/>
          <w:szCs w:val="24"/>
        </w:rPr>
        <w:fldChar w:fldCharType="separate"/>
      </w:r>
      <w:r w:rsidR="00E6630A">
        <w:rPr>
          <w:rFonts w:ascii="Arial" w:hAnsi="Arial" w:cs="Arial"/>
          <w:noProof/>
          <w:sz w:val="24"/>
          <w:szCs w:val="24"/>
        </w:rPr>
        <w:t>(Santhosh and Mehera</w:t>
      </w:r>
      <w:r w:rsidR="000B05B4" w:rsidRPr="0056551D">
        <w:rPr>
          <w:rFonts w:ascii="Arial" w:hAnsi="Arial" w:cs="Arial"/>
          <w:noProof/>
          <w:sz w:val="24"/>
          <w:szCs w:val="24"/>
        </w:rPr>
        <w:t xml:space="preserve"> 2022)</w:t>
      </w:r>
      <w:r w:rsidR="000B05B4" w:rsidRPr="0056551D">
        <w:rPr>
          <w:rFonts w:ascii="Arial" w:hAnsi="Arial" w:cs="Arial"/>
          <w:sz w:val="24"/>
          <w:szCs w:val="24"/>
        </w:rPr>
        <w:fldChar w:fldCharType="end"/>
      </w:r>
      <w:r w:rsidR="000B05B4" w:rsidRPr="0056551D">
        <w:rPr>
          <w:rFonts w:ascii="Arial" w:hAnsi="Arial" w:cs="Arial"/>
          <w:sz w:val="24"/>
          <w:szCs w:val="24"/>
        </w:rPr>
        <w:t>.</w:t>
      </w:r>
    </w:p>
    <w:p w14:paraId="461E17E4" w14:textId="77777777" w:rsidR="00B62CA2" w:rsidRPr="0056551D" w:rsidRDefault="00B62CA2" w:rsidP="003323DD">
      <w:pPr>
        <w:spacing w:after="0" w:line="360" w:lineRule="auto"/>
        <w:ind w:firstLine="720"/>
        <w:jc w:val="both"/>
        <w:rPr>
          <w:rFonts w:ascii="Arial" w:hAnsi="Arial" w:cs="Arial"/>
          <w:sz w:val="24"/>
          <w:szCs w:val="24"/>
        </w:rPr>
      </w:pPr>
      <w:r w:rsidRPr="0056551D">
        <w:rPr>
          <w:rFonts w:ascii="Arial" w:hAnsi="Arial" w:cs="Arial"/>
          <w:sz w:val="24"/>
          <w:szCs w:val="24"/>
        </w:rPr>
        <w:t>Despite these advancements, awareness and adoption of improved sowing methods among farmers of Dhampur remain limited. Broadcasting continues to dominate, leading to yield gaps and inefficiencies in input use. Hence, there is a need to scientifically evaluate different sowing methods under Dhampur conditions to identify the most efficient practice for maximizing wheat growth, yield, and resource use efficiency. Keeping in view the above facts a field study on “growth and yield of wheat as influenced by different sowing methods in Dhampur condition” was conducted at Agronomic Research Farm, Ranjeet Singh Memorial (P.G) College, Dhampur, Bijnor (U.P), during rabi seaso</w:t>
      </w:r>
      <w:r w:rsidR="002760EA">
        <w:rPr>
          <w:rFonts w:ascii="Arial" w:hAnsi="Arial" w:cs="Arial"/>
          <w:sz w:val="24"/>
          <w:szCs w:val="24"/>
        </w:rPr>
        <w:t>n 2024-25 with the objectives t</w:t>
      </w:r>
      <w:r w:rsidRPr="0056551D">
        <w:rPr>
          <w:rFonts w:ascii="Arial" w:hAnsi="Arial" w:cs="Arial"/>
          <w:sz w:val="24"/>
          <w:szCs w:val="24"/>
        </w:rPr>
        <w:t>o study the effect of different sowing methods on growth and yield attributes of wheat.</w:t>
      </w:r>
    </w:p>
    <w:p w14:paraId="0B876178" w14:textId="77777777" w:rsidR="00F54D89" w:rsidRPr="0056551D" w:rsidRDefault="00F54D89" w:rsidP="003323DD">
      <w:pPr>
        <w:pStyle w:val="ListParagraph"/>
        <w:numPr>
          <w:ilvl w:val="0"/>
          <w:numId w:val="4"/>
        </w:numPr>
        <w:spacing w:after="0" w:line="360" w:lineRule="auto"/>
        <w:ind w:left="270" w:hanging="270"/>
        <w:jc w:val="both"/>
        <w:rPr>
          <w:rFonts w:ascii="Arial" w:hAnsi="Arial" w:cs="Arial"/>
          <w:b/>
          <w:sz w:val="24"/>
          <w:szCs w:val="24"/>
        </w:rPr>
      </w:pPr>
      <w:r w:rsidRPr="0056551D">
        <w:rPr>
          <w:rFonts w:ascii="Arial" w:hAnsi="Arial" w:cs="Arial"/>
          <w:b/>
          <w:sz w:val="24"/>
          <w:szCs w:val="24"/>
        </w:rPr>
        <w:t>Method and Material</w:t>
      </w:r>
    </w:p>
    <w:p w14:paraId="63B2F1B0" w14:textId="77777777" w:rsidR="007F5AB1" w:rsidRPr="0056551D" w:rsidRDefault="00341484" w:rsidP="00E87A3D">
      <w:pPr>
        <w:spacing w:after="0" w:line="360" w:lineRule="auto"/>
        <w:jc w:val="both"/>
        <w:rPr>
          <w:rFonts w:ascii="Arial" w:hAnsi="Arial" w:cs="Arial"/>
          <w:sz w:val="24"/>
          <w:szCs w:val="24"/>
        </w:rPr>
      </w:pPr>
      <w:r w:rsidRPr="0056551D">
        <w:rPr>
          <w:rFonts w:ascii="Arial" w:hAnsi="Arial" w:cs="Arial"/>
          <w:b/>
          <w:sz w:val="24"/>
          <w:szCs w:val="24"/>
        </w:rPr>
        <w:tab/>
      </w:r>
      <w:r w:rsidRPr="0056551D">
        <w:rPr>
          <w:rFonts w:ascii="Arial" w:hAnsi="Arial" w:cs="Arial"/>
          <w:sz w:val="24"/>
          <w:szCs w:val="24"/>
        </w:rPr>
        <w:t>The current study was conducted as a field experiment during the rabi season, spanning from December 2024 to April 2025. The trial took place in Agronomic Research Farm located, R.S.M. College Research farm in Dhampur (Bijnor). This farm is positioned approximately 1 kilometer east of Dhampur town, situated along the Dhampur - Moradabad road. The farm stands at an elevation of 286 meters above mean sea level (MSL) and is situated at coordinates 29.021°N latitude and 78.508°E longitude. The location benefits from a range of amenities and resources. 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p>
    <w:p w14:paraId="62EED682" w14:textId="4BE43C73" w:rsidR="00B958D5" w:rsidRPr="00F30254" w:rsidRDefault="00B958D5" w:rsidP="00E87A3D">
      <w:pPr>
        <w:spacing w:after="0" w:line="360" w:lineRule="auto"/>
        <w:ind w:firstLine="720"/>
        <w:jc w:val="both"/>
        <w:rPr>
          <w:rFonts w:ascii="Arial" w:hAnsi="Arial" w:cs="Arial"/>
          <w:sz w:val="24"/>
          <w:szCs w:val="24"/>
        </w:rPr>
      </w:pPr>
      <w:r w:rsidRPr="00F30254">
        <w:rPr>
          <w:rFonts w:ascii="Arial" w:hAnsi="Arial" w:cs="Arial"/>
          <w:sz w:val="24"/>
          <w:szCs w:val="24"/>
        </w:rPr>
        <w:t xml:space="preserve">Plant growth observations were systematically recorded to </w:t>
      </w:r>
      <w:r w:rsidR="00D53ABD" w:rsidRPr="00F30254">
        <w:rPr>
          <w:rFonts w:ascii="Arial" w:hAnsi="Arial" w:cs="Arial"/>
          <w:sz w:val="24"/>
          <w:szCs w:val="24"/>
        </w:rPr>
        <w:t>assess the effect of different t</w:t>
      </w:r>
      <w:r w:rsidRPr="00F30254">
        <w:rPr>
          <w:rFonts w:ascii="Arial" w:hAnsi="Arial" w:cs="Arial"/>
          <w:sz w:val="24"/>
          <w:szCs w:val="24"/>
        </w:rPr>
        <w:t>reatments on wheat. For plant height, five plants were randomly tagged in each net plot</w:t>
      </w:r>
      <w:r w:rsidR="001E5E4E" w:rsidRPr="00F30254">
        <w:rPr>
          <w:rFonts w:ascii="Arial" w:hAnsi="Arial" w:cs="Arial"/>
          <w:sz w:val="24"/>
          <w:szCs w:val="24"/>
        </w:rPr>
        <w:t xml:space="preserve"> at 60 and 90</w:t>
      </w:r>
      <w:r w:rsidR="006153DD">
        <w:rPr>
          <w:rFonts w:ascii="Arial" w:hAnsi="Arial" w:cs="Arial"/>
          <w:sz w:val="24"/>
          <w:szCs w:val="24"/>
        </w:rPr>
        <w:t xml:space="preserve"> day after sowing (</w:t>
      </w:r>
      <w:r w:rsidR="001E5E4E" w:rsidRPr="00F30254">
        <w:rPr>
          <w:rFonts w:ascii="Arial" w:hAnsi="Arial" w:cs="Arial"/>
          <w:sz w:val="24"/>
          <w:szCs w:val="24"/>
        </w:rPr>
        <w:t>DAS</w:t>
      </w:r>
      <w:r w:rsidR="006153DD">
        <w:rPr>
          <w:rFonts w:ascii="Arial" w:hAnsi="Arial" w:cs="Arial"/>
          <w:sz w:val="24"/>
          <w:szCs w:val="24"/>
        </w:rPr>
        <w:t>)</w:t>
      </w:r>
      <w:r w:rsidRPr="00F30254">
        <w:rPr>
          <w:rFonts w:ascii="Arial" w:hAnsi="Arial" w:cs="Arial"/>
          <w:sz w:val="24"/>
          <w:szCs w:val="24"/>
        </w:rPr>
        <w:t xml:space="preserve">. The average height of the five tagged plants was computed in centimeters using a meter scale and utilized for statistical analysis. The number of leaves was determined by counting all leaves on these five tagged plants at the same growth intervals. Fresh weight of plants was </w:t>
      </w:r>
      <w:r w:rsidRPr="00F30254">
        <w:rPr>
          <w:rFonts w:ascii="Arial" w:hAnsi="Arial" w:cs="Arial"/>
          <w:sz w:val="24"/>
          <w:szCs w:val="24"/>
        </w:rPr>
        <w:lastRenderedPageBreak/>
        <w:t>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w:t>
      </w:r>
    </w:p>
    <w:p w14:paraId="7FA836CE" w14:textId="3C87A03C" w:rsidR="00045F33" w:rsidRPr="0056551D" w:rsidRDefault="0041165F" w:rsidP="007D38FD">
      <w:pPr>
        <w:spacing w:after="120" w:line="360" w:lineRule="auto"/>
        <w:jc w:val="both"/>
        <w:rPr>
          <w:rFonts w:ascii="Arial" w:hAnsi="Arial" w:cs="Arial"/>
          <w:sz w:val="24"/>
          <w:szCs w:val="24"/>
        </w:rPr>
      </w:pPr>
      <w:r w:rsidRPr="0056551D">
        <w:rPr>
          <w:rFonts w:ascii="Arial" w:hAnsi="Arial" w:cs="Arial"/>
          <w:sz w:val="24"/>
          <w:szCs w:val="24"/>
        </w:rPr>
        <w:tab/>
        <w:t>The spike length and awn length was measured in centimeters using a scale, and the average spike and awn length was calculated. For filled and unfilled grains</w:t>
      </w:r>
      <w:r w:rsidR="00786D39" w:rsidRPr="0056551D">
        <w:rPr>
          <w:rFonts w:ascii="Arial" w:hAnsi="Arial" w:cs="Arial"/>
          <w:sz w:val="24"/>
          <w:szCs w:val="24"/>
        </w:rPr>
        <w:t xml:space="preserve"> counted</w:t>
      </w:r>
      <w:r w:rsidRPr="0056551D">
        <w:rPr>
          <w:rFonts w:ascii="Arial" w:hAnsi="Arial" w:cs="Arial"/>
          <w:sz w:val="24"/>
          <w:szCs w:val="24"/>
        </w:rPr>
        <w:t xml:space="preserve"> from each spike within the net plots, and their mean values were u</w:t>
      </w:r>
      <w:r w:rsidR="00786D39" w:rsidRPr="0056551D">
        <w:rPr>
          <w:rFonts w:ascii="Arial" w:hAnsi="Arial" w:cs="Arial"/>
          <w:sz w:val="24"/>
          <w:szCs w:val="24"/>
        </w:rPr>
        <w:t>sed for statistical evaluation.</w:t>
      </w:r>
      <w:r w:rsidR="00045F33">
        <w:rPr>
          <w:rFonts w:ascii="Arial" w:hAnsi="Arial" w:cs="Arial"/>
          <w:sz w:val="24"/>
          <w:szCs w:val="24"/>
        </w:rPr>
        <w:t xml:space="preserve"> </w:t>
      </w:r>
      <w:r w:rsidR="00045F33" w:rsidRPr="00F9534E">
        <w:rPr>
          <w:rFonts w:ascii="Arial" w:hAnsi="Arial" w:cs="Arial"/>
          <w:sz w:val="24"/>
          <w:szCs w:val="24"/>
        </w:rPr>
        <w:t>The data obtained from gro</w:t>
      </w:r>
      <w:r w:rsidR="00045F33">
        <w:rPr>
          <w:rFonts w:ascii="Arial" w:hAnsi="Arial" w:cs="Arial"/>
          <w:sz w:val="24"/>
          <w:szCs w:val="24"/>
        </w:rPr>
        <w:t xml:space="preserve">wth and </w:t>
      </w:r>
      <w:r w:rsidR="00045F33" w:rsidRPr="00F9534E">
        <w:rPr>
          <w:rFonts w:ascii="Arial" w:hAnsi="Arial" w:cs="Arial"/>
          <w:sz w:val="24"/>
          <w:szCs w:val="24"/>
        </w:rPr>
        <w:t>yield attribute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5A3B5B">
        <w:rPr>
          <w:rFonts w:ascii="Arial" w:hAnsi="Arial" w:cs="Arial"/>
          <w:sz w:val="24"/>
          <w:szCs w:val="24"/>
        </w:rPr>
        <w:t>.</w:t>
      </w:r>
    </w:p>
    <w:p w14:paraId="18A17C36" w14:textId="43E4D203" w:rsidR="00BB2A3F" w:rsidRPr="00A970E8" w:rsidRDefault="00BB2A3F" w:rsidP="00CF73FF">
      <w:pPr>
        <w:pStyle w:val="ListParagraph"/>
        <w:numPr>
          <w:ilvl w:val="0"/>
          <w:numId w:val="4"/>
        </w:numPr>
        <w:spacing w:before="240" w:after="0" w:line="360" w:lineRule="auto"/>
        <w:ind w:left="270" w:hanging="270"/>
        <w:jc w:val="both"/>
        <w:rPr>
          <w:rFonts w:ascii="Arial" w:hAnsi="Arial" w:cs="Arial"/>
          <w:b/>
          <w:sz w:val="24"/>
          <w:szCs w:val="24"/>
        </w:rPr>
      </w:pPr>
      <w:r w:rsidRPr="00A970E8">
        <w:rPr>
          <w:rFonts w:ascii="Arial" w:hAnsi="Arial" w:cs="Arial"/>
          <w:b/>
          <w:sz w:val="24"/>
          <w:szCs w:val="24"/>
        </w:rPr>
        <w:t>Result and Discussion</w:t>
      </w:r>
    </w:p>
    <w:p w14:paraId="0626E628" w14:textId="2D4FC782" w:rsidR="00BB2A3F" w:rsidRPr="00A17C61" w:rsidRDefault="00A970E8" w:rsidP="002531B4">
      <w:pPr>
        <w:spacing w:after="120" w:line="360" w:lineRule="auto"/>
        <w:jc w:val="both"/>
        <w:rPr>
          <w:rFonts w:ascii="Arial" w:hAnsi="Arial" w:cs="Arial"/>
          <w:b/>
          <w:sz w:val="24"/>
          <w:szCs w:val="24"/>
        </w:rPr>
      </w:pPr>
      <w:r>
        <w:rPr>
          <w:rFonts w:ascii="Arial" w:hAnsi="Arial" w:cs="Arial"/>
          <w:b/>
          <w:sz w:val="24"/>
          <w:szCs w:val="24"/>
        </w:rPr>
        <w:t xml:space="preserve">3.1 </w:t>
      </w:r>
      <w:r w:rsidR="00BB2A3F" w:rsidRPr="00A17C61">
        <w:rPr>
          <w:rFonts w:ascii="Arial" w:hAnsi="Arial" w:cs="Arial"/>
          <w:b/>
          <w:sz w:val="24"/>
          <w:szCs w:val="24"/>
        </w:rPr>
        <w:t xml:space="preserve">Growth parameters </w:t>
      </w:r>
    </w:p>
    <w:p w14:paraId="1D584B66" w14:textId="77777777" w:rsidR="00BD4BDD" w:rsidRPr="0056551D" w:rsidRDefault="00BD4BDD" w:rsidP="002531B4">
      <w:pPr>
        <w:spacing w:after="120" w:line="360" w:lineRule="auto"/>
        <w:jc w:val="both"/>
        <w:rPr>
          <w:rFonts w:ascii="Arial" w:hAnsi="Arial" w:cs="Arial"/>
          <w:sz w:val="24"/>
          <w:szCs w:val="24"/>
        </w:rPr>
      </w:pPr>
      <w:r w:rsidRPr="00A17C61">
        <w:rPr>
          <w:rFonts w:ascii="Arial" w:hAnsi="Arial" w:cs="Arial"/>
          <w:b/>
          <w:sz w:val="24"/>
          <w:szCs w:val="24"/>
        </w:rPr>
        <w:tab/>
      </w:r>
      <w:r w:rsidRPr="0056551D">
        <w:rPr>
          <w:rFonts w:ascii="Arial" w:hAnsi="Arial" w:cs="Arial"/>
          <w:sz w:val="24"/>
          <w:szCs w:val="24"/>
        </w:rPr>
        <w:t xml:space="preserve">Data pertaining to the effect of sowing methods on growth parameters at 60 and 90 DAS are </w:t>
      </w:r>
      <w:r w:rsidR="00F30254">
        <w:rPr>
          <w:rFonts w:ascii="Arial" w:hAnsi="Arial" w:cs="Arial"/>
          <w:sz w:val="24"/>
          <w:szCs w:val="24"/>
        </w:rPr>
        <w:t>summarized in Table 1 and graphically illustrated in F</w:t>
      </w:r>
      <w:r w:rsidR="002531B4" w:rsidRPr="0056551D">
        <w:rPr>
          <w:rFonts w:ascii="Arial" w:hAnsi="Arial" w:cs="Arial"/>
          <w:sz w:val="24"/>
          <w:szCs w:val="24"/>
        </w:rPr>
        <w:t>igure 1 and 2.</w:t>
      </w:r>
    </w:p>
    <w:p w14:paraId="5F514ABD" w14:textId="77777777" w:rsidR="00BD4BDD" w:rsidRPr="0056551D" w:rsidRDefault="00A970E8" w:rsidP="002531B4">
      <w:pPr>
        <w:spacing w:after="120" w:line="360" w:lineRule="auto"/>
        <w:jc w:val="both"/>
        <w:rPr>
          <w:rFonts w:ascii="Arial" w:hAnsi="Arial" w:cs="Arial"/>
          <w:b/>
          <w:sz w:val="24"/>
          <w:szCs w:val="24"/>
        </w:rPr>
      </w:pPr>
      <w:r w:rsidRPr="0056551D">
        <w:rPr>
          <w:rFonts w:ascii="Arial" w:hAnsi="Arial" w:cs="Arial"/>
          <w:b/>
          <w:sz w:val="24"/>
          <w:szCs w:val="24"/>
        </w:rPr>
        <w:t xml:space="preserve">3.1.1 </w:t>
      </w:r>
      <w:r w:rsidR="00BD4BDD" w:rsidRPr="0056551D">
        <w:rPr>
          <w:rFonts w:ascii="Arial" w:hAnsi="Arial" w:cs="Arial"/>
          <w:b/>
          <w:sz w:val="24"/>
          <w:szCs w:val="24"/>
        </w:rPr>
        <w:t>Plant height</w:t>
      </w:r>
    </w:p>
    <w:p w14:paraId="4CAD27D3" w14:textId="2ACAABC7" w:rsidR="003B225E" w:rsidRPr="0056551D" w:rsidRDefault="00BD4BDD" w:rsidP="00F30254">
      <w:pPr>
        <w:spacing w:after="120" w:line="360" w:lineRule="auto"/>
        <w:ind w:firstLine="720"/>
        <w:jc w:val="both"/>
        <w:rPr>
          <w:rFonts w:ascii="Arial" w:hAnsi="Arial" w:cs="Arial"/>
          <w:sz w:val="24"/>
          <w:szCs w:val="24"/>
        </w:rPr>
      </w:pPr>
      <w:r w:rsidRPr="0056551D">
        <w:rPr>
          <w:rFonts w:ascii="Arial" w:hAnsi="Arial" w:cs="Arial"/>
          <w:sz w:val="24"/>
          <w:szCs w:val="24"/>
        </w:rPr>
        <w:t>At 60 DAS, maximum plant height recorded under square method (20 cm × 20 cm) (3 seed/hill) [T</w:t>
      </w:r>
      <w:r w:rsidRPr="001E5E4E">
        <w:rPr>
          <w:rFonts w:ascii="Arial" w:hAnsi="Arial" w:cs="Arial"/>
          <w:sz w:val="24"/>
          <w:szCs w:val="24"/>
          <w:vertAlign w:val="subscript"/>
        </w:rPr>
        <w:t>3</w:t>
      </w:r>
      <w:r w:rsidRPr="0056551D">
        <w:rPr>
          <w:rFonts w:ascii="Arial" w:hAnsi="Arial" w:cs="Arial"/>
          <w:sz w:val="24"/>
          <w:szCs w:val="24"/>
        </w:rPr>
        <w:t>], which was significantly equal to line sowing (row spacing - 20cm) [T</w:t>
      </w:r>
      <w:r w:rsidRPr="001E5E4E">
        <w:rPr>
          <w:rFonts w:ascii="Arial" w:hAnsi="Arial" w:cs="Arial"/>
          <w:sz w:val="24"/>
          <w:szCs w:val="24"/>
          <w:vertAlign w:val="subscript"/>
        </w:rPr>
        <w:t>2</w:t>
      </w:r>
      <w:r w:rsidRPr="0056551D">
        <w:rPr>
          <w:rFonts w:ascii="Arial" w:hAnsi="Arial" w:cs="Arial"/>
          <w:sz w:val="24"/>
          <w:szCs w:val="24"/>
        </w:rPr>
        <w:t>], sowing on ridge (45 cm) [T</w:t>
      </w:r>
      <w:r w:rsidRPr="001E5E4E">
        <w:rPr>
          <w:rFonts w:ascii="Arial" w:hAnsi="Arial" w:cs="Arial"/>
          <w:sz w:val="24"/>
          <w:szCs w:val="24"/>
          <w:vertAlign w:val="subscript"/>
        </w:rPr>
        <w:t>4</w:t>
      </w:r>
      <w:r w:rsidRPr="0056551D">
        <w:rPr>
          <w:rFonts w:ascii="Arial" w:hAnsi="Arial" w:cs="Arial"/>
          <w:sz w:val="24"/>
          <w:szCs w:val="24"/>
        </w:rPr>
        <w:t>], sowing in furrow (45 cm) [T</w:t>
      </w:r>
      <w:r w:rsidRPr="001E5E4E">
        <w:rPr>
          <w:rFonts w:ascii="Arial" w:hAnsi="Arial" w:cs="Arial"/>
          <w:sz w:val="24"/>
          <w:szCs w:val="24"/>
          <w:vertAlign w:val="subscript"/>
        </w:rPr>
        <w:t>5</w:t>
      </w:r>
      <w:r w:rsidRPr="0056551D">
        <w:rPr>
          <w:rFonts w:ascii="Arial" w:hAnsi="Arial" w:cs="Arial"/>
          <w:sz w:val="24"/>
          <w:szCs w:val="24"/>
        </w:rPr>
        <w:t>] and sowing on bed (3 rows) (row spacing – 20 cm, bed width – 60 cm) [T</w:t>
      </w:r>
      <w:r w:rsidRPr="001E5E4E">
        <w:rPr>
          <w:rFonts w:ascii="Arial" w:hAnsi="Arial" w:cs="Arial"/>
          <w:sz w:val="24"/>
          <w:szCs w:val="24"/>
          <w:vertAlign w:val="subscript"/>
        </w:rPr>
        <w:t>6</w:t>
      </w:r>
      <w:r w:rsidRPr="0056551D">
        <w:rPr>
          <w:rFonts w:ascii="Arial" w:hAnsi="Arial" w:cs="Arial"/>
          <w:sz w:val="24"/>
          <w:szCs w:val="24"/>
        </w:rPr>
        <w:t>], but found significantly better to leftover treatments.</w:t>
      </w:r>
      <w:r w:rsidR="00F30254">
        <w:rPr>
          <w:rFonts w:ascii="Arial" w:hAnsi="Arial" w:cs="Arial"/>
          <w:sz w:val="24"/>
          <w:szCs w:val="24"/>
        </w:rPr>
        <w:t xml:space="preserve"> </w:t>
      </w:r>
      <w:r w:rsidRPr="0056551D">
        <w:rPr>
          <w:rFonts w:ascii="Arial" w:hAnsi="Arial" w:cs="Arial"/>
          <w:sz w:val="24"/>
          <w:szCs w:val="24"/>
        </w:rPr>
        <w:t>At 90 DAS, the tallest plant noted into the treatment having square method (20 cm × 20 cm) (3 seed/hill) [T</w:t>
      </w:r>
      <w:r w:rsidRPr="001E5E4E">
        <w:rPr>
          <w:rFonts w:ascii="Arial" w:hAnsi="Arial" w:cs="Arial"/>
          <w:sz w:val="24"/>
          <w:szCs w:val="24"/>
          <w:vertAlign w:val="subscript"/>
        </w:rPr>
        <w:t>3</w:t>
      </w:r>
      <w:r w:rsidRPr="0056551D">
        <w:rPr>
          <w:rFonts w:ascii="Arial" w:hAnsi="Arial" w:cs="Arial"/>
          <w:sz w:val="24"/>
          <w:szCs w:val="24"/>
        </w:rPr>
        <w:t>] which was at par with sowing on bed (3 rows) (row spacing – 20 cm, bed width – 60 cm) [T</w:t>
      </w:r>
      <w:r w:rsidRPr="001E5E4E">
        <w:rPr>
          <w:rFonts w:ascii="Arial" w:hAnsi="Arial" w:cs="Arial"/>
          <w:sz w:val="24"/>
          <w:szCs w:val="24"/>
          <w:vertAlign w:val="subscript"/>
        </w:rPr>
        <w:t>6</w:t>
      </w:r>
      <w:r w:rsidRPr="0056551D">
        <w:rPr>
          <w:rFonts w:ascii="Arial" w:hAnsi="Arial" w:cs="Arial"/>
          <w:sz w:val="24"/>
          <w:szCs w:val="24"/>
        </w:rPr>
        <w:t>] but found significantly superior over remaining treatments.</w:t>
      </w:r>
      <w:r w:rsidR="00F30254">
        <w:rPr>
          <w:rFonts w:ascii="Arial" w:hAnsi="Arial" w:cs="Arial"/>
          <w:sz w:val="24"/>
          <w:szCs w:val="24"/>
        </w:rPr>
        <w:t xml:space="preserve"> </w:t>
      </w:r>
      <w:r w:rsidR="003B225E" w:rsidRPr="0056551D">
        <w:rPr>
          <w:rFonts w:ascii="Arial" w:eastAsia="Arial Unicode MS" w:hAnsi="Arial" w:cs="Arial"/>
          <w:color w:val="000000" w:themeColor="text1"/>
          <w:sz w:val="24"/>
          <w:szCs w:val="24"/>
        </w:rPr>
        <w:t xml:space="preserve">The superior performance of </w:t>
      </w:r>
      <w:r w:rsidR="003B225E" w:rsidRPr="0056551D">
        <w:rPr>
          <w:rFonts w:ascii="Arial" w:eastAsia="Arial Unicode MS" w:hAnsi="Arial" w:cs="Arial"/>
          <w:bCs/>
          <w:color w:val="000000" w:themeColor="text1"/>
          <w:sz w:val="24"/>
          <w:szCs w:val="24"/>
        </w:rPr>
        <w:t>T</w:t>
      </w:r>
      <w:r w:rsidR="003B225E" w:rsidRPr="0056551D">
        <w:rPr>
          <w:rFonts w:ascii="Cambria Math" w:eastAsia="Arial Unicode MS" w:hAnsi="Cambria Math" w:cs="Cambria Math"/>
          <w:bCs/>
          <w:color w:val="000000" w:themeColor="text1"/>
          <w:sz w:val="24"/>
          <w:szCs w:val="24"/>
        </w:rPr>
        <w:t>₃</w:t>
      </w:r>
      <w:r w:rsidR="001E5E4E">
        <w:rPr>
          <w:rFonts w:ascii="Arial" w:eastAsia="Arial Unicode MS" w:hAnsi="Arial" w:cs="Arial"/>
          <w:bCs/>
          <w:color w:val="000000" w:themeColor="text1"/>
          <w:sz w:val="24"/>
          <w:szCs w:val="24"/>
        </w:rPr>
        <w:t xml:space="preserve"> </w:t>
      </w:r>
      <w:r w:rsidR="003B225E" w:rsidRPr="0056551D">
        <w:rPr>
          <w:rFonts w:ascii="Arial" w:eastAsia="Arial Unicode MS" w:hAnsi="Arial" w:cs="Arial"/>
          <w:color w:val="000000" w:themeColor="text1"/>
          <w:sz w:val="24"/>
          <w:szCs w:val="24"/>
        </w:rPr>
        <w:t xml:space="preserve">may be attributed to optimum plant spacing that reduced intra-plant competition for essential growth resources like light, nutrients, moisture, and space. This optimum environment facilitated higher leaf area index, better light interception, efficient root distribution, and nutrient availability, ultimately contributing to increased plant height. These findings are in line with </w:t>
      </w:r>
      <w:r w:rsidR="003B225E" w:rsidRPr="0056551D">
        <w:rPr>
          <w:rFonts w:ascii="Arial" w:eastAsia="Arial Unicode MS" w:hAnsi="Arial" w:cs="Arial"/>
          <w:color w:val="000000" w:themeColor="text1"/>
          <w:sz w:val="24"/>
          <w:szCs w:val="24"/>
        </w:rPr>
        <w:lastRenderedPageBreak/>
        <w:fldChar w:fldCharType="begin" w:fldLock="1"/>
      </w:r>
      <w:r w:rsidR="003B225E"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3B225E" w:rsidRPr="0056551D">
        <w:rPr>
          <w:rFonts w:ascii="Arial" w:eastAsia="Arial Unicode MS" w:hAnsi="Arial" w:cs="Arial"/>
          <w:color w:val="000000" w:themeColor="text1"/>
          <w:sz w:val="24"/>
          <w:szCs w:val="24"/>
        </w:rPr>
        <w:fldChar w:fldCharType="separate"/>
      </w:r>
      <w:r w:rsidR="00E6630A">
        <w:rPr>
          <w:rFonts w:ascii="Arial" w:eastAsia="Arial Unicode MS" w:hAnsi="Arial" w:cs="Arial"/>
          <w:noProof/>
          <w:color w:val="000000" w:themeColor="text1"/>
          <w:sz w:val="24"/>
          <w:szCs w:val="24"/>
        </w:rPr>
        <w:t>(Santhosh and</w:t>
      </w:r>
      <w:r w:rsidR="003B225E" w:rsidRPr="0056551D">
        <w:rPr>
          <w:rFonts w:ascii="Arial" w:eastAsia="Arial Unicode MS" w:hAnsi="Arial" w:cs="Arial"/>
          <w:noProof/>
          <w:color w:val="000000" w:themeColor="text1"/>
          <w:sz w:val="24"/>
          <w:szCs w:val="24"/>
        </w:rPr>
        <w:t xml:space="preserve"> Mehera, 2022)</w:t>
      </w:r>
      <w:r w:rsidR="003B225E" w:rsidRPr="0056551D">
        <w:rPr>
          <w:rFonts w:ascii="Arial" w:eastAsia="Arial Unicode MS" w:hAnsi="Arial" w:cs="Arial"/>
          <w:color w:val="000000" w:themeColor="text1"/>
          <w:sz w:val="24"/>
          <w:szCs w:val="24"/>
        </w:rPr>
        <w:fldChar w:fldCharType="end"/>
      </w:r>
      <w:r w:rsidR="003B225E" w:rsidRPr="0056551D">
        <w:rPr>
          <w:rFonts w:ascii="Arial" w:eastAsia="Arial Unicode MS" w:hAnsi="Arial" w:cs="Arial"/>
          <w:color w:val="000000" w:themeColor="text1"/>
          <w:sz w:val="24"/>
          <w:szCs w:val="24"/>
        </w:rPr>
        <w:t>, who observed maximum plant height under square method (20 cm × 20 cm) (3 seed/hill)</w:t>
      </w:r>
      <w:r w:rsidR="003B225E" w:rsidRPr="0056551D">
        <w:rPr>
          <w:rFonts w:ascii="Arial" w:eastAsia="Arial Unicode MS" w:hAnsi="Arial" w:cs="Arial"/>
          <w:b/>
          <w:bCs/>
          <w:color w:val="000000" w:themeColor="text1"/>
          <w:sz w:val="24"/>
          <w:szCs w:val="24"/>
        </w:rPr>
        <w:t xml:space="preserve"> </w:t>
      </w:r>
      <w:r w:rsidR="003B225E" w:rsidRPr="0056551D">
        <w:rPr>
          <w:rFonts w:ascii="Arial" w:eastAsia="Arial Unicode MS" w:hAnsi="Arial" w:cs="Arial"/>
          <w:bCs/>
          <w:color w:val="000000" w:themeColor="text1"/>
          <w:sz w:val="24"/>
          <w:szCs w:val="24"/>
        </w:rPr>
        <w:t>[T</w:t>
      </w:r>
      <w:r w:rsidR="003B225E" w:rsidRPr="0056551D">
        <w:rPr>
          <w:rFonts w:ascii="Cambria Math" w:eastAsia="Arial Unicode MS" w:hAnsi="Cambria Math" w:cs="Cambria Math"/>
          <w:bCs/>
          <w:color w:val="000000" w:themeColor="text1"/>
          <w:sz w:val="24"/>
          <w:szCs w:val="24"/>
        </w:rPr>
        <w:t>₃</w:t>
      </w:r>
      <w:r w:rsidR="003B225E" w:rsidRPr="0056551D">
        <w:rPr>
          <w:rFonts w:ascii="Arial" w:eastAsia="Arial Unicode MS" w:hAnsi="Arial" w:cs="Arial"/>
          <w:bCs/>
          <w:color w:val="000000" w:themeColor="text1"/>
          <w:sz w:val="24"/>
          <w:szCs w:val="24"/>
        </w:rPr>
        <w:t>]</w:t>
      </w:r>
      <w:r w:rsidR="003B225E" w:rsidRPr="0056551D">
        <w:rPr>
          <w:rFonts w:ascii="Arial" w:eastAsia="Arial Unicode MS" w:hAnsi="Arial" w:cs="Arial"/>
          <w:color w:val="000000" w:themeColor="text1"/>
          <w:sz w:val="24"/>
          <w:szCs w:val="24"/>
        </w:rPr>
        <w:t xml:space="preserve"> sowing geometry due to less competition and better root activity.</w:t>
      </w:r>
    </w:p>
    <w:p w14:paraId="29DDAA76" w14:textId="77777777" w:rsidR="00BD4BDD" w:rsidRPr="0056551D" w:rsidRDefault="00A970E8" w:rsidP="002531B4">
      <w:pPr>
        <w:spacing w:after="120" w:line="360" w:lineRule="auto"/>
        <w:jc w:val="both"/>
        <w:rPr>
          <w:rFonts w:ascii="Arial" w:hAnsi="Arial" w:cs="Arial"/>
          <w:b/>
          <w:sz w:val="24"/>
          <w:szCs w:val="24"/>
        </w:rPr>
      </w:pPr>
      <w:r w:rsidRPr="0056551D">
        <w:rPr>
          <w:rFonts w:ascii="Arial" w:hAnsi="Arial" w:cs="Arial"/>
          <w:b/>
          <w:sz w:val="24"/>
          <w:szCs w:val="24"/>
        </w:rPr>
        <w:t xml:space="preserve">3.1.2 </w:t>
      </w:r>
      <w:r w:rsidR="00BD4BDD" w:rsidRPr="0056551D">
        <w:rPr>
          <w:rFonts w:ascii="Arial" w:hAnsi="Arial" w:cs="Arial"/>
          <w:b/>
          <w:sz w:val="24"/>
          <w:szCs w:val="24"/>
        </w:rPr>
        <w:t>Number of leaves</w:t>
      </w:r>
    </w:p>
    <w:p w14:paraId="37E13E6B" w14:textId="1B0CC4F6" w:rsidR="00A17C61" w:rsidRPr="0056551D" w:rsidRDefault="003B225E" w:rsidP="00F30254">
      <w:pPr>
        <w:spacing w:after="120" w:line="360" w:lineRule="auto"/>
        <w:ind w:firstLine="720"/>
        <w:jc w:val="both"/>
        <w:rPr>
          <w:rFonts w:ascii="Arial" w:eastAsia="Arial Unicode MS" w:hAnsi="Arial" w:cs="Arial"/>
          <w:color w:val="000000" w:themeColor="text1"/>
          <w:sz w:val="24"/>
          <w:szCs w:val="24"/>
          <w:lang w:val="en-IN"/>
        </w:rPr>
      </w:pPr>
      <w:r w:rsidRPr="0056551D">
        <w:rPr>
          <w:rFonts w:ascii="Arial" w:eastAsia="Arial Unicode MS" w:hAnsi="Arial" w:cs="Arial"/>
          <w:color w:val="000000" w:themeColor="text1"/>
          <w:sz w:val="24"/>
          <w:szCs w:val="24"/>
          <w:lang w:val="en-IN"/>
        </w:rPr>
        <w:t>At 60 DAS, the more number of leaves noted in treatment having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significantly better to leftover treatments.</w:t>
      </w:r>
      <w:r w:rsidR="00F30254">
        <w:rPr>
          <w:rFonts w:ascii="Arial" w:eastAsia="Arial Unicode MS" w:hAnsi="Arial" w:cs="Arial"/>
          <w:color w:val="000000" w:themeColor="text1"/>
          <w:sz w:val="24"/>
          <w:szCs w:val="24"/>
          <w:lang w:val="en-IN"/>
        </w:rPr>
        <w:t xml:space="preserve"> </w:t>
      </w:r>
      <w:r w:rsidRPr="0056551D">
        <w:rPr>
          <w:rFonts w:ascii="Arial" w:eastAsia="Arial Unicode MS" w:hAnsi="Arial" w:cs="Arial"/>
          <w:color w:val="000000" w:themeColor="text1"/>
          <w:sz w:val="24"/>
          <w:szCs w:val="24"/>
          <w:lang w:val="en-IN"/>
        </w:rPr>
        <w:t>At 90 DAS, the maximum number of leaves noted in treatment having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sowing on bed (5 rows) (row spacing - 20 cm, bed width - 100 cm) [T</w:t>
      </w:r>
      <w:r w:rsidRPr="0056551D">
        <w:rPr>
          <w:rFonts w:ascii="Arial" w:eastAsia="Arial Unicode MS" w:hAnsi="Arial" w:cs="Arial"/>
          <w:color w:val="000000" w:themeColor="text1"/>
          <w:sz w:val="24"/>
          <w:szCs w:val="24"/>
          <w:vertAlign w:val="subscript"/>
          <w:lang w:val="en-IN"/>
        </w:rPr>
        <w:t>7</w:t>
      </w:r>
      <w:r w:rsidRPr="0056551D">
        <w:rPr>
          <w:rFonts w:ascii="Arial" w:eastAsia="Arial Unicode MS" w:hAnsi="Arial" w:cs="Arial"/>
          <w:color w:val="000000" w:themeColor="text1"/>
          <w:sz w:val="24"/>
          <w:szCs w:val="24"/>
          <w:lang w:val="en-IN"/>
        </w:rPr>
        <w:t>] but found significantly higher to leftover treatments</w:t>
      </w:r>
      <w:r w:rsidR="00CF73FF" w:rsidRPr="0056551D">
        <w:rPr>
          <w:rFonts w:ascii="Arial" w:eastAsia="Arial Unicode MS" w:hAnsi="Arial" w:cs="Arial"/>
          <w:color w:val="000000" w:themeColor="text1"/>
          <w:sz w:val="24"/>
          <w:szCs w:val="24"/>
          <w:lang w:val="en-IN"/>
        </w:rPr>
        <w:t>.</w:t>
      </w:r>
      <w:r w:rsidR="00F30254">
        <w:rPr>
          <w:rFonts w:ascii="Arial" w:eastAsia="Arial Unicode MS" w:hAnsi="Arial" w:cs="Arial"/>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Square planting ensured optimum plant population and reduced overcrowding, which allowed each plant to exploit sunlight and soil nutrients more effectively, leading to greater photosynthetic activity and enhanced leaf production. Similar responses were noted by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{"citationItems":[{"id":"ITEM-1","itemData":{"DOI":"10.9734/jabb/2025/v28i21986","ISSN":"2394-1081","abstract":"Compared to the conventional way of sowing, drilling and dibbling assure a uniform distribution of seeds at the right depth, which improves germination, maximizes plant spacing, and eventually increases agricultural yields. So, current investigation was carried out in the Wheat Research Unit's research farm, Dr. Panjabrao Deshmukh Krishi Vidyapeeth, Akola, during the 2017–2018 Rabi seasons to evaluate the impacts of drilling and dibbling, the planting technique to assess the growth and reproductive characteristics and eventually, the yield of the wheat varieties being studied. Ten treatments were used in the Factorial Randomized Block design (FRBD) experiment, which was triple-replicated. First factors are varieties V1 (AKAW 4210-6) and V2 (AKAW 4627). Five different sowing techniques were used in the treatments: S1 (drilling at 20 cm @ 100 kg ha-1), S2 (drilling at 20 cm @ 50 kg ha-1), S3 (dibbling at 15 x 15 cm), S4 (dibbling at 15 x 20 cm), and S5 (dibbling at 20 x 20 cm) as the second component. In comparison to the other type chosen for the study, variety AKAW 4210-6 fared to be better in terms of in almost all the growth and reproductive traits and observed profitable. In the study comparatively, dibbling method of sowing at 20 × 20 cm possibly helped to improve the grain yield more than 10 percent because it significantly increased the growth attributes, such as number of leaves plant-1, leaf area plant-1, number of effective tillers m-2, chlorophyll content index (%), and dry matter accumulation plant-1 (g), when compared to the drilling technique of sowing.","author":[{"dropping-particle":"V.","family":"Kakade","given":"S.","non-dropping-particle":"","parse-names":false,"suffix":""},{"dropping-particle":"V.","family":"Mahatale","given":"P.","non-dropping-particle":"","parse-names":false,"suffix":""},{"dropping-particle":"","family":"Nandeshwar","given":"B.C.","non-dropping-particle":"","parse-names":false,"suffix":""},{"dropping-particle":"","family":"Chandankar","given":"G.D.","non-dropping-particle":"","parse-names":false,"suffix":""},{"dropping-particle":"","family":"Potkile","given":"S.N.","non-dropping-particle":"","parse-names":false,"suffix":""},{"dropping-particle":"","family":"Yenpreddiwar","given":"M.D.","non-dropping-particle":"","parse-names":false,"suffix":""},{"dropping-particle":"","family":"Nemade","given":"Devyanee K.","non-dropping-particle":"","parse-names":false,"suffix":""},{"dropping-particle":"","family":"Parshuramkar","given":"Subhangi G.","non-dropping-particle":"","parse-names":false,"suffix":""},{"dropping-particle":"","family":"Raut","given":"Maya M.","non-dropping-particle":"","parse-names":false,"suffix":""}],"container-title":"Journal of Advances in Biology &amp; Biotechnology","id":"ITEM-1","issue":"2","issued":{"date-parts":[["2025","2","13"]]},"page":"253-264","title":"Comparing the Dibbling and Drilling Techniques in Wheat (Triticum aestivum L.) Based on the Plants' Reproductive and Vegetative Growth","type":"article-journal","volume":"28"},"uris":["http://www.mendeley.com/documents/?uuid=4b4e0227-c0a2-4bf8-a936-9cd4f51321a8"]}],"mendeley":{"formattedCitation":"(Kakade et al., 2025)","plainTextFormattedCitation":"(Kakade et al., 2025)","previouslyFormattedCitation":"(Kakade et al., 2025)"},"properties":{"noteIndex":0},"schema":"https://github.com/citation-style-language/schema/raw/master/csl-citation.json"}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A17C61" w:rsidRPr="0056551D">
        <w:rPr>
          <w:rFonts w:ascii="Arial" w:eastAsia="Arial Unicode MS" w:hAnsi="Arial" w:cs="Arial"/>
          <w:noProof/>
          <w:color w:val="000000" w:themeColor="text1"/>
          <w:sz w:val="24"/>
          <w:szCs w:val="24"/>
        </w:rPr>
        <w:t xml:space="preserve">(Kakade </w:t>
      </w:r>
      <w:r w:rsidR="00A17C61" w:rsidRPr="0056551D">
        <w:rPr>
          <w:rFonts w:ascii="Arial" w:eastAsia="Arial Unicode MS" w:hAnsi="Arial" w:cs="Arial"/>
          <w:i/>
          <w:noProof/>
          <w:color w:val="000000" w:themeColor="text1"/>
          <w:sz w:val="24"/>
          <w:szCs w:val="24"/>
        </w:rPr>
        <w:t>et al</w:t>
      </w:r>
      <w:r w:rsidR="00E6630A">
        <w:rPr>
          <w:rFonts w:ascii="Arial" w:eastAsia="Arial Unicode MS" w:hAnsi="Arial" w:cs="Arial"/>
          <w:noProof/>
          <w:color w:val="000000" w:themeColor="text1"/>
          <w:sz w:val="24"/>
          <w:szCs w:val="24"/>
        </w:rPr>
        <w:t>.</w:t>
      </w:r>
      <w:r w:rsidR="00A17C61" w:rsidRPr="0056551D">
        <w:rPr>
          <w:rFonts w:ascii="Arial" w:eastAsia="Arial Unicode MS" w:hAnsi="Arial" w:cs="Arial"/>
          <w:noProof/>
          <w:color w:val="000000" w:themeColor="text1"/>
          <w:sz w:val="24"/>
          <w:szCs w:val="24"/>
        </w:rPr>
        <w:t xml:space="preserve"> 2025)</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higher numbers of leaves under dibbling at 20 cm × 20 cm compared to drilling due to wider space available for individual plant growth.</w:t>
      </w:r>
    </w:p>
    <w:p w14:paraId="572468A2" w14:textId="77777777" w:rsidR="003B225E" w:rsidRPr="0056551D" w:rsidRDefault="00A970E8"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3.1.3 </w:t>
      </w:r>
      <w:r w:rsidR="003B225E" w:rsidRPr="0056551D">
        <w:rPr>
          <w:rFonts w:ascii="Arial" w:eastAsia="Arial Unicode MS" w:hAnsi="Arial" w:cs="Arial"/>
          <w:b/>
          <w:bCs/>
          <w:color w:val="000000" w:themeColor="text1"/>
          <w:sz w:val="24"/>
          <w:szCs w:val="24"/>
          <w:lang w:val="en-IN"/>
        </w:rPr>
        <w:t>Plant fresh weight</w:t>
      </w:r>
    </w:p>
    <w:p w14:paraId="2ACEFFEC" w14:textId="542B1BC0" w:rsidR="00A17C61" w:rsidRPr="0056551D" w:rsidRDefault="003B225E" w:rsidP="00F30254">
      <w:pPr>
        <w:spacing w:after="120" w:line="360" w:lineRule="auto"/>
        <w:ind w:firstLine="720"/>
        <w:jc w:val="both"/>
        <w:rPr>
          <w:rFonts w:ascii="Arial" w:eastAsia="Arial Unicode MS" w:hAnsi="Arial" w:cs="Arial"/>
          <w:color w:val="000000" w:themeColor="text1"/>
          <w:sz w:val="24"/>
          <w:szCs w:val="24"/>
          <w:lang w:val="en-IN"/>
        </w:rPr>
      </w:pPr>
      <w:r w:rsidRPr="0056551D">
        <w:rPr>
          <w:rFonts w:ascii="Arial" w:eastAsia="Arial Unicode MS" w:hAnsi="Arial" w:cs="Arial"/>
          <w:color w:val="000000" w:themeColor="text1"/>
          <w:sz w:val="24"/>
          <w:szCs w:val="24"/>
          <w:lang w:val="en-IN"/>
        </w:rPr>
        <w:t>At 60 DAS, the maximum fresh weight recorded in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sowing on ridge (45 cm) [T</w:t>
      </w:r>
      <w:r w:rsidRPr="0056551D">
        <w:rPr>
          <w:rFonts w:ascii="Arial" w:eastAsia="Arial Unicode MS" w:hAnsi="Arial" w:cs="Arial"/>
          <w:color w:val="000000" w:themeColor="text1"/>
          <w:sz w:val="24"/>
          <w:szCs w:val="24"/>
          <w:vertAlign w:val="subscript"/>
          <w:lang w:val="en-IN"/>
        </w:rPr>
        <w:t>4</w:t>
      </w:r>
      <w:r w:rsidRPr="0056551D">
        <w:rPr>
          <w:rFonts w:ascii="Arial" w:eastAsia="Arial Unicode MS" w:hAnsi="Arial" w:cs="Arial"/>
          <w:color w:val="000000" w:themeColor="text1"/>
          <w:sz w:val="24"/>
          <w:szCs w:val="24"/>
          <w:lang w:val="en-IN"/>
        </w:rPr>
        <w:t>],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and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out performed to other treatments.</w:t>
      </w:r>
      <w:r w:rsidR="00F30254">
        <w:rPr>
          <w:rFonts w:ascii="Arial" w:eastAsia="Arial Unicode MS" w:hAnsi="Arial" w:cs="Arial"/>
          <w:color w:val="000000" w:themeColor="text1"/>
          <w:sz w:val="24"/>
          <w:szCs w:val="24"/>
          <w:lang w:val="en-IN"/>
        </w:rPr>
        <w:t xml:space="preserve"> </w:t>
      </w:r>
      <w:r w:rsidRPr="0056551D">
        <w:rPr>
          <w:rFonts w:ascii="Arial" w:eastAsia="Arial Unicode MS" w:hAnsi="Arial" w:cs="Arial"/>
          <w:color w:val="000000" w:themeColor="text1"/>
          <w:sz w:val="24"/>
          <w:szCs w:val="24"/>
          <w:lang w:val="en-IN"/>
        </w:rPr>
        <w:t>At 90 DAS, the more fresh weight noticed in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and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but found statistically surpassed the leftover treatments.</w:t>
      </w:r>
      <w:r w:rsidR="00F30254">
        <w:rPr>
          <w:rFonts w:ascii="Arial" w:eastAsia="Arial Unicode MS" w:hAnsi="Arial" w:cs="Arial"/>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Fresh weight accumulation was highest under the </w:t>
      </w:r>
      <w:r w:rsidR="00A17C61" w:rsidRPr="0056551D">
        <w:rPr>
          <w:rFonts w:ascii="Arial" w:eastAsia="Arial Unicode MS" w:hAnsi="Arial" w:cs="Arial"/>
          <w:bCs/>
          <w:color w:val="000000" w:themeColor="text1"/>
          <w:sz w:val="24"/>
          <w:szCs w:val="24"/>
        </w:rPr>
        <w:t>square method (20 cm × 20 cm, 3 seeds/hill) [T</w:t>
      </w:r>
      <w:r w:rsidR="00A17C61" w:rsidRPr="0056551D">
        <w:rPr>
          <w:rFonts w:ascii="Cambria Math" w:eastAsia="Arial Unicode MS" w:hAnsi="Cambria Math" w:cs="Cambria Math"/>
          <w:bCs/>
          <w:color w:val="000000" w:themeColor="text1"/>
          <w:sz w:val="24"/>
          <w:szCs w:val="24"/>
        </w:rPr>
        <w:t>₃</w:t>
      </w:r>
      <w:r w:rsidR="00A17C61" w:rsidRPr="0056551D">
        <w:rPr>
          <w:rFonts w:ascii="Arial" w:eastAsia="Arial Unicode MS" w:hAnsi="Arial" w:cs="Arial"/>
          <w:bCs/>
          <w:color w:val="000000" w:themeColor="text1"/>
          <w:sz w:val="24"/>
          <w:szCs w:val="24"/>
        </w:rPr>
        <w:t>]</w:t>
      </w:r>
      <w:r w:rsidR="00A17C61" w:rsidRPr="0056551D">
        <w:rPr>
          <w:rFonts w:ascii="Arial" w:eastAsia="Arial Unicode MS" w:hAnsi="Arial" w:cs="Arial"/>
          <w:color w:val="000000" w:themeColor="text1"/>
          <w:sz w:val="24"/>
          <w:szCs w:val="24"/>
        </w:rPr>
        <w:t xml:space="preserve">, as wider spacing allowed plants to grow vigorously with minimal competition. Increased leaf area under this treatment enhanced photosynthetic activity, ultimately contributing to higher fresh biomass. These results are supported by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E6630A">
        <w:rPr>
          <w:rFonts w:ascii="Arial" w:eastAsia="Arial Unicode MS" w:hAnsi="Arial" w:cs="Arial"/>
          <w:noProof/>
          <w:color w:val="000000" w:themeColor="text1"/>
          <w:sz w:val="24"/>
          <w:szCs w:val="24"/>
        </w:rPr>
        <w:t>(Santhosh and</w:t>
      </w:r>
      <w:r w:rsidR="00A17C61" w:rsidRPr="0056551D">
        <w:rPr>
          <w:rFonts w:ascii="Arial" w:eastAsia="Arial Unicode MS" w:hAnsi="Arial" w:cs="Arial"/>
          <w:noProof/>
          <w:color w:val="000000" w:themeColor="text1"/>
          <w:sz w:val="24"/>
          <w:szCs w:val="24"/>
        </w:rPr>
        <w:t xml:space="preserve"> Mehera, 2022)</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greater fresh weight under 20 cm × 20 cm sowing geometry due to higher assimilate production.</w:t>
      </w:r>
    </w:p>
    <w:p w14:paraId="623CB7E1" w14:textId="77777777" w:rsidR="003B225E" w:rsidRPr="0056551D" w:rsidRDefault="00A970E8"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lastRenderedPageBreak/>
        <w:t xml:space="preserve">3.1.4 </w:t>
      </w:r>
      <w:r w:rsidR="003B225E" w:rsidRPr="0056551D">
        <w:rPr>
          <w:rFonts w:ascii="Arial" w:eastAsia="Arial Unicode MS" w:hAnsi="Arial" w:cs="Arial"/>
          <w:b/>
          <w:bCs/>
          <w:color w:val="000000" w:themeColor="text1"/>
          <w:sz w:val="24"/>
          <w:szCs w:val="24"/>
          <w:lang w:val="en-IN"/>
        </w:rPr>
        <w:t>Plant dry matter</w:t>
      </w:r>
    </w:p>
    <w:p w14:paraId="4E6726F4" w14:textId="4A126DCE" w:rsidR="003B225E" w:rsidRPr="00F30254" w:rsidRDefault="003B225E"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tab/>
      </w:r>
      <w:r w:rsidRPr="0056551D">
        <w:rPr>
          <w:rFonts w:ascii="Arial" w:eastAsia="Arial Unicode MS" w:hAnsi="Arial" w:cs="Arial"/>
          <w:color w:val="000000" w:themeColor="text1"/>
          <w:sz w:val="24"/>
          <w:szCs w:val="24"/>
          <w:lang w:val="en-IN"/>
        </w:rPr>
        <w:t>At 60 and 90 DAS, the maximum dry weight per meter row length was recorded in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statistically higher to other treatments</w:t>
      </w:r>
      <w:r w:rsidR="00A17C61" w:rsidRPr="0056551D">
        <w:rPr>
          <w:rFonts w:ascii="Arial" w:eastAsia="Arial Unicode MS" w:hAnsi="Arial" w:cs="Arial"/>
          <w:color w:val="000000" w:themeColor="text1"/>
          <w:sz w:val="24"/>
          <w:szCs w:val="24"/>
          <w:lang w:val="en-IN"/>
        </w:rPr>
        <w:t>.</w:t>
      </w:r>
      <w:r w:rsidR="00F30254">
        <w:rPr>
          <w:rFonts w:ascii="Arial" w:eastAsia="Arial Unicode MS" w:hAnsi="Arial" w:cs="Arial"/>
          <w:b/>
          <w:bCs/>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Dry matter accumulation was also maximum under </w:t>
      </w:r>
      <w:r w:rsidR="00A17C61" w:rsidRPr="0056551D">
        <w:rPr>
          <w:rFonts w:ascii="Arial" w:eastAsia="Arial Unicode MS" w:hAnsi="Arial" w:cs="Arial"/>
          <w:bCs/>
          <w:color w:val="000000" w:themeColor="text1"/>
          <w:sz w:val="24"/>
          <w:szCs w:val="24"/>
        </w:rPr>
        <w:t>square method</w:t>
      </w:r>
      <w:r w:rsidR="00A17C61" w:rsidRPr="0056551D">
        <w:rPr>
          <w:rFonts w:ascii="Arial" w:eastAsia="Arial Unicode MS" w:hAnsi="Arial" w:cs="Arial"/>
          <w:color w:val="000000" w:themeColor="text1"/>
          <w:sz w:val="24"/>
          <w:szCs w:val="24"/>
        </w:rPr>
        <w:t xml:space="preserve"> </w:t>
      </w:r>
      <w:r w:rsidR="00A17C61" w:rsidRPr="0056551D">
        <w:rPr>
          <w:rFonts w:ascii="Arial" w:eastAsia="Arial Unicode MS" w:hAnsi="Arial" w:cs="Arial"/>
          <w:bCs/>
          <w:color w:val="000000" w:themeColor="text1"/>
          <w:sz w:val="24"/>
          <w:szCs w:val="24"/>
        </w:rPr>
        <w:t>(20 cm × 20 cm, 3 seeds/hill) [T</w:t>
      </w:r>
      <w:r w:rsidR="00A17C61" w:rsidRPr="0056551D">
        <w:rPr>
          <w:rFonts w:ascii="Cambria Math" w:eastAsia="Arial Unicode MS" w:hAnsi="Cambria Math" w:cs="Cambria Math"/>
          <w:bCs/>
          <w:color w:val="000000" w:themeColor="text1"/>
          <w:sz w:val="24"/>
          <w:szCs w:val="24"/>
        </w:rPr>
        <w:t>₃</w:t>
      </w:r>
      <w:r w:rsidR="00A17C61" w:rsidRPr="0056551D">
        <w:rPr>
          <w:rFonts w:ascii="Arial" w:eastAsia="Arial Unicode MS" w:hAnsi="Arial" w:cs="Arial"/>
          <w:bCs/>
          <w:color w:val="000000" w:themeColor="text1"/>
          <w:sz w:val="24"/>
          <w:szCs w:val="24"/>
        </w:rPr>
        <w:t>]</w:t>
      </w:r>
      <w:r w:rsidR="00A17C61" w:rsidRPr="0056551D">
        <w:rPr>
          <w:rFonts w:ascii="Arial" w:eastAsia="Arial Unicode MS" w:hAnsi="Arial" w:cs="Arial"/>
          <w:color w:val="000000" w:themeColor="text1"/>
          <w:sz w:val="24"/>
          <w:szCs w:val="24"/>
        </w:rPr>
        <w:t xml:space="preserve"> across all growth stages. Wider spacing and optimum plant stand facilitated greater light interception, efficient canopy photosynthesis, and higher assimilate partitioning into vegetative biomass. These findings align with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E6630A">
        <w:rPr>
          <w:rFonts w:ascii="Arial" w:eastAsia="Arial Unicode MS" w:hAnsi="Arial" w:cs="Arial"/>
          <w:noProof/>
          <w:color w:val="000000" w:themeColor="text1"/>
          <w:sz w:val="24"/>
          <w:szCs w:val="24"/>
        </w:rPr>
        <w:t>(Santhosh and</w:t>
      </w:r>
      <w:r w:rsidR="00A17C61" w:rsidRPr="0056551D">
        <w:rPr>
          <w:rFonts w:ascii="Arial" w:eastAsia="Arial Unicode MS" w:hAnsi="Arial" w:cs="Arial"/>
          <w:noProof/>
          <w:color w:val="000000" w:themeColor="text1"/>
          <w:sz w:val="24"/>
          <w:szCs w:val="24"/>
        </w:rPr>
        <w:t xml:space="preserve"> Mehera, 2022)</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maximum dry matter production under SWI sowing method</w:t>
      </w:r>
      <w:r w:rsidR="00A17C61" w:rsidRPr="00A17C61">
        <w:rPr>
          <w:rFonts w:ascii="Arial" w:eastAsia="Arial Unicode MS" w:hAnsi="Arial" w:cs="Arial"/>
          <w:color w:val="000000" w:themeColor="text1"/>
          <w:sz w:val="24"/>
          <w:szCs w:val="24"/>
        </w:rPr>
        <w:t>.</w:t>
      </w:r>
    </w:p>
    <w:p w14:paraId="664E2DEA" w14:textId="77777777" w:rsidR="00CF73FF" w:rsidRPr="00AE4765" w:rsidRDefault="00F30254" w:rsidP="00CF73FF">
      <w:pPr>
        <w:spacing w:after="0" w:line="360" w:lineRule="auto"/>
        <w:jc w:val="both"/>
        <w:rPr>
          <w:rFonts w:ascii="Arial" w:eastAsia="Arial Unicode MS" w:hAnsi="Arial" w:cs="Arial"/>
          <w:b/>
          <w:color w:val="000000" w:themeColor="text1"/>
          <w:szCs w:val="24"/>
        </w:rPr>
      </w:pPr>
      <w:r>
        <w:rPr>
          <w:rFonts w:ascii="Arial" w:eastAsia="Arial Unicode MS" w:hAnsi="Arial" w:cs="Arial"/>
          <w:b/>
          <w:color w:val="000000" w:themeColor="text1"/>
          <w:szCs w:val="24"/>
        </w:rPr>
        <w:t>Table 1</w:t>
      </w:r>
      <w:r w:rsidR="00CF73FF" w:rsidRPr="00AE4765">
        <w:rPr>
          <w:rFonts w:ascii="Arial" w:eastAsia="Arial Unicode MS" w:hAnsi="Arial" w:cs="Arial"/>
          <w:b/>
          <w:color w:val="000000" w:themeColor="text1"/>
          <w:szCs w:val="24"/>
        </w:rPr>
        <w:t xml:space="preserve"> Effect of different sowing methods on plant growth parameters</w:t>
      </w:r>
    </w:p>
    <w:tbl>
      <w:tblPr>
        <w:tblW w:w="10811" w:type="dxa"/>
        <w:tblInd w:w="-612" w:type="dxa"/>
        <w:tblLook w:val="04A0" w:firstRow="1" w:lastRow="0" w:firstColumn="1" w:lastColumn="0" w:noHBand="0" w:noVBand="1"/>
      </w:tblPr>
      <w:tblGrid>
        <w:gridCol w:w="1280"/>
        <w:gridCol w:w="1204"/>
        <w:gridCol w:w="1084"/>
        <w:gridCol w:w="1084"/>
        <w:gridCol w:w="1100"/>
        <w:gridCol w:w="1338"/>
        <w:gridCol w:w="1338"/>
        <w:gridCol w:w="1284"/>
        <w:gridCol w:w="1366"/>
      </w:tblGrid>
      <w:tr w:rsidR="002A0AE5" w:rsidRPr="002A0AE5" w14:paraId="48D96638" w14:textId="77777777" w:rsidTr="00B840C6">
        <w:trPr>
          <w:trHeight w:val="321"/>
        </w:trPr>
        <w:tc>
          <w:tcPr>
            <w:tcW w:w="1013" w:type="dxa"/>
            <w:vMerge w:val="restart"/>
            <w:tcBorders>
              <w:top w:val="single" w:sz="12" w:space="0" w:color="auto"/>
            </w:tcBorders>
            <w:noWrap/>
            <w:vAlign w:val="center"/>
            <w:hideMark/>
          </w:tcPr>
          <w:p w14:paraId="60444A97" w14:textId="77777777" w:rsidR="0038581D" w:rsidRPr="00B840C6" w:rsidRDefault="0038581D" w:rsidP="00545947">
            <w:pPr>
              <w:pStyle w:val="NoSpacing"/>
              <w:jc w:val="center"/>
              <w:rPr>
                <w:rFonts w:ascii="Arial" w:hAnsi="Arial" w:cs="Arial"/>
                <w:b/>
              </w:rPr>
            </w:pPr>
            <w:r w:rsidRPr="00B840C6">
              <w:rPr>
                <w:rFonts w:ascii="Arial" w:hAnsi="Arial" w:cs="Arial"/>
                <w:b/>
              </w:rPr>
              <w:t>Treatment</w:t>
            </w:r>
          </w:p>
        </w:tc>
        <w:tc>
          <w:tcPr>
            <w:tcW w:w="2288" w:type="dxa"/>
            <w:gridSpan w:val="2"/>
            <w:tcBorders>
              <w:top w:val="single" w:sz="12" w:space="0" w:color="auto"/>
              <w:bottom w:val="single" w:sz="12" w:space="0" w:color="auto"/>
            </w:tcBorders>
            <w:noWrap/>
            <w:vAlign w:val="center"/>
            <w:hideMark/>
          </w:tcPr>
          <w:p w14:paraId="36EE61DE" w14:textId="77777777" w:rsidR="0038581D" w:rsidRPr="00B840C6" w:rsidRDefault="0038581D" w:rsidP="00545947">
            <w:pPr>
              <w:pStyle w:val="NoSpacing"/>
              <w:jc w:val="center"/>
              <w:rPr>
                <w:rFonts w:ascii="Arial" w:hAnsi="Arial" w:cs="Arial"/>
                <w:b/>
              </w:rPr>
            </w:pPr>
            <w:r w:rsidRPr="00B840C6">
              <w:rPr>
                <w:rFonts w:ascii="Arial" w:hAnsi="Arial" w:cs="Arial"/>
                <w:b/>
              </w:rPr>
              <w:t>Plant height (cm)</w:t>
            </w:r>
          </w:p>
        </w:tc>
        <w:tc>
          <w:tcPr>
            <w:tcW w:w="2184" w:type="dxa"/>
            <w:gridSpan w:val="2"/>
            <w:tcBorders>
              <w:top w:val="single" w:sz="12" w:space="0" w:color="auto"/>
              <w:bottom w:val="single" w:sz="12" w:space="0" w:color="auto"/>
            </w:tcBorders>
            <w:noWrap/>
            <w:vAlign w:val="center"/>
            <w:hideMark/>
          </w:tcPr>
          <w:p w14:paraId="722D4169" w14:textId="77777777" w:rsidR="0038581D" w:rsidRPr="00B840C6" w:rsidRDefault="0038581D" w:rsidP="00545947">
            <w:pPr>
              <w:pStyle w:val="NoSpacing"/>
              <w:jc w:val="center"/>
              <w:rPr>
                <w:rFonts w:ascii="Arial" w:hAnsi="Arial" w:cs="Arial"/>
                <w:b/>
              </w:rPr>
            </w:pPr>
            <w:r w:rsidRPr="00B840C6">
              <w:rPr>
                <w:rFonts w:ascii="Arial" w:hAnsi="Arial" w:cs="Arial"/>
                <w:b/>
              </w:rPr>
              <w:t>No. of leaves/plant</w:t>
            </w:r>
          </w:p>
        </w:tc>
        <w:tc>
          <w:tcPr>
            <w:tcW w:w="2676" w:type="dxa"/>
            <w:gridSpan w:val="2"/>
            <w:tcBorders>
              <w:top w:val="single" w:sz="12" w:space="0" w:color="auto"/>
              <w:bottom w:val="single" w:sz="12" w:space="0" w:color="auto"/>
            </w:tcBorders>
            <w:noWrap/>
            <w:vAlign w:val="center"/>
            <w:hideMark/>
          </w:tcPr>
          <w:p w14:paraId="4D334916" w14:textId="77777777" w:rsidR="0038581D" w:rsidRPr="00B840C6" w:rsidRDefault="0038581D" w:rsidP="00545947">
            <w:pPr>
              <w:pStyle w:val="NoSpacing"/>
              <w:jc w:val="center"/>
              <w:rPr>
                <w:rFonts w:ascii="Arial" w:hAnsi="Arial" w:cs="Arial"/>
                <w:b/>
              </w:rPr>
            </w:pPr>
            <w:r w:rsidRPr="00B840C6">
              <w:rPr>
                <w:rFonts w:ascii="Arial" w:hAnsi="Arial" w:cs="Arial"/>
                <w:b/>
              </w:rPr>
              <w:t>Plant fresh weight (g per m row length)</w:t>
            </w:r>
          </w:p>
        </w:tc>
        <w:tc>
          <w:tcPr>
            <w:tcW w:w="2650" w:type="dxa"/>
            <w:gridSpan w:val="2"/>
            <w:tcBorders>
              <w:top w:val="single" w:sz="12" w:space="0" w:color="auto"/>
              <w:bottom w:val="single" w:sz="12" w:space="0" w:color="auto"/>
            </w:tcBorders>
            <w:noWrap/>
            <w:vAlign w:val="center"/>
            <w:hideMark/>
          </w:tcPr>
          <w:p w14:paraId="4387B938" w14:textId="77777777" w:rsidR="0038581D" w:rsidRPr="00B840C6" w:rsidRDefault="0038581D" w:rsidP="00545947">
            <w:pPr>
              <w:pStyle w:val="NoSpacing"/>
              <w:jc w:val="center"/>
              <w:rPr>
                <w:rFonts w:ascii="Arial" w:hAnsi="Arial" w:cs="Arial"/>
                <w:b/>
              </w:rPr>
            </w:pPr>
            <w:r w:rsidRPr="00B840C6">
              <w:rPr>
                <w:rFonts w:ascii="Arial" w:hAnsi="Arial" w:cs="Arial"/>
                <w:b/>
              </w:rPr>
              <w:t>Plant dry weight (g per m row length)</w:t>
            </w:r>
          </w:p>
        </w:tc>
      </w:tr>
      <w:tr w:rsidR="002A0AE5" w:rsidRPr="002A0AE5" w14:paraId="19E22E4E" w14:textId="77777777" w:rsidTr="00B840C6">
        <w:trPr>
          <w:trHeight w:val="321"/>
        </w:trPr>
        <w:tc>
          <w:tcPr>
            <w:tcW w:w="1013" w:type="dxa"/>
            <w:vMerge/>
            <w:tcBorders>
              <w:bottom w:val="single" w:sz="12" w:space="0" w:color="auto"/>
            </w:tcBorders>
            <w:vAlign w:val="center"/>
            <w:hideMark/>
          </w:tcPr>
          <w:p w14:paraId="57335A1E" w14:textId="77777777" w:rsidR="0038581D" w:rsidRPr="00B840C6" w:rsidRDefault="0038581D" w:rsidP="002A0AE5">
            <w:pPr>
              <w:pStyle w:val="NoSpacing"/>
              <w:rPr>
                <w:rFonts w:ascii="Arial" w:hAnsi="Arial" w:cs="Arial"/>
                <w:b/>
              </w:rPr>
            </w:pPr>
          </w:p>
        </w:tc>
        <w:tc>
          <w:tcPr>
            <w:tcW w:w="1204" w:type="dxa"/>
            <w:tcBorders>
              <w:top w:val="single" w:sz="12" w:space="0" w:color="auto"/>
              <w:bottom w:val="single" w:sz="12" w:space="0" w:color="auto"/>
            </w:tcBorders>
            <w:noWrap/>
            <w:vAlign w:val="center"/>
            <w:hideMark/>
          </w:tcPr>
          <w:p w14:paraId="681520B0"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084" w:type="dxa"/>
            <w:tcBorders>
              <w:top w:val="single" w:sz="12" w:space="0" w:color="auto"/>
              <w:bottom w:val="single" w:sz="12" w:space="0" w:color="auto"/>
            </w:tcBorders>
            <w:noWrap/>
            <w:vAlign w:val="center"/>
            <w:hideMark/>
          </w:tcPr>
          <w:p w14:paraId="0D940071"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084" w:type="dxa"/>
            <w:tcBorders>
              <w:top w:val="single" w:sz="12" w:space="0" w:color="auto"/>
              <w:bottom w:val="single" w:sz="12" w:space="0" w:color="auto"/>
            </w:tcBorders>
            <w:noWrap/>
            <w:vAlign w:val="center"/>
            <w:hideMark/>
          </w:tcPr>
          <w:p w14:paraId="01E1B63D"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100" w:type="dxa"/>
            <w:tcBorders>
              <w:top w:val="single" w:sz="12" w:space="0" w:color="auto"/>
              <w:bottom w:val="single" w:sz="12" w:space="0" w:color="auto"/>
            </w:tcBorders>
            <w:noWrap/>
            <w:vAlign w:val="center"/>
            <w:hideMark/>
          </w:tcPr>
          <w:p w14:paraId="4B18E4B4"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338" w:type="dxa"/>
            <w:tcBorders>
              <w:top w:val="single" w:sz="12" w:space="0" w:color="auto"/>
              <w:bottom w:val="single" w:sz="12" w:space="0" w:color="auto"/>
            </w:tcBorders>
            <w:noWrap/>
            <w:vAlign w:val="center"/>
            <w:hideMark/>
          </w:tcPr>
          <w:p w14:paraId="150A9D1F"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338" w:type="dxa"/>
            <w:tcBorders>
              <w:top w:val="single" w:sz="12" w:space="0" w:color="auto"/>
              <w:bottom w:val="single" w:sz="12" w:space="0" w:color="auto"/>
            </w:tcBorders>
            <w:noWrap/>
            <w:vAlign w:val="center"/>
            <w:hideMark/>
          </w:tcPr>
          <w:p w14:paraId="533A5C91"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284" w:type="dxa"/>
            <w:tcBorders>
              <w:top w:val="single" w:sz="12" w:space="0" w:color="auto"/>
              <w:bottom w:val="single" w:sz="12" w:space="0" w:color="auto"/>
            </w:tcBorders>
            <w:noWrap/>
            <w:vAlign w:val="center"/>
            <w:hideMark/>
          </w:tcPr>
          <w:p w14:paraId="00FE0A42"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366" w:type="dxa"/>
            <w:tcBorders>
              <w:top w:val="single" w:sz="12" w:space="0" w:color="auto"/>
              <w:bottom w:val="single" w:sz="12" w:space="0" w:color="auto"/>
            </w:tcBorders>
            <w:noWrap/>
            <w:vAlign w:val="center"/>
            <w:hideMark/>
          </w:tcPr>
          <w:p w14:paraId="2CDC48D0" w14:textId="77777777" w:rsidR="0038581D" w:rsidRPr="00B840C6" w:rsidRDefault="0038581D" w:rsidP="002A0AE5">
            <w:pPr>
              <w:pStyle w:val="NoSpacing"/>
              <w:rPr>
                <w:rFonts w:ascii="Arial" w:hAnsi="Arial" w:cs="Arial"/>
                <w:b/>
              </w:rPr>
            </w:pPr>
            <w:r w:rsidRPr="00B840C6">
              <w:rPr>
                <w:rFonts w:ascii="Arial" w:hAnsi="Arial" w:cs="Arial"/>
                <w:b/>
              </w:rPr>
              <w:t>90 DAS</w:t>
            </w:r>
          </w:p>
        </w:tc>
      </w:tr>
      <w:tr w:rsidR="002A0AE5" w:rsidRPr="002A0AE5" w14:paraId="550B8A85" w14:textId="77777777" w:rsidTr="00B840C6">
        <w:trPr>
          <w:trHeight w:val="321"/>
        </w:trPr>
        <w:tc>
          <w:tcPr>
            <w:tcW w:w="1013" w:type="dxa"/>
            <w:tcBorders>
              <w:top w:val="single" w:sz="12" w:space="0" w:color="auto"/>
            </w:tcBorders>
            <w:noWrap/>
            <w:vAlign w:val="center"/>
            <w:hideMark/>
          </w:tcPr>
          <w:p w14:paraId="1517240B"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₁</w:t>
            </w:r>
          </w:p>
        </w:tc>
        <w:tc>
          <w:tcPr>
            <w:tcW w:w="1204" w:type="dxa"/>
            <w:tcBorders>
              <w:top w:val="single" w:sz="12" w:space="0" w:color="auto"/>
            </w:tcBorders>
            <w:noWrap/>
            <w:vAlign w:val="center"/>
            <w:hideMark/>
          </w:tcPr>
          <w:p w14:paraId="33CE7095" w14:textId="77777777" w:rsidR="0038581D" w:rsidRPr="002A0AE5" w:rsidRDefault="0038581D" w:rsidP="00B840C6">
            <w:pPr>
              <w:pStyle w:val="NoSpacing"/>
              <w:rPr>
                <w:rFonts w:ascii="Arial" w:hAnsi="Arial" w:cs="Arial"/>
              </w:rPr>
            </w:pPr>
            <w:r w:rsidRPr="002A0AE5">
              <w:rPr>
                <w:rFonts w:ascii="Arial" w:hAnsi="Arial" w:cs="Arial"/>
              </w:rPr>
              <w:t>42.80</w:t>
            </w:r>
            <w:r w:rsidR="007E3117" w:rsidRPr="002A0AE5">
              <w:rPr>
                <w:rFonts w:ascii="Arial" w:hAnsi="Arial" w:cs="Arial"/>
              </w:rPr>
              <w:t>bc</w:t>
            </w:r>
          </w:p>
        </w:tc>
        <w:tc>
          <w:tcPr>
            <w:tcW w:w="1084" w:type="dxa"/>
            <w:tcBorders>
              <w:top w:val="single" w:sz="12" w:space="0" w:color="auto"/>
            </w:tcBorders>
            <w:noWrap/>
            <w:vAlign w:val="center"/>
            <w:hideMark/>
          </w:tcPr>
          <w:p w14:paraId="11C1D744" w14:textId="77777777" w:rsidR="0038581D" w:rsidRPr="002A0AE5" w:rsidRDefault="0038581D" w:rsidP="00B840C6">
            <w:pPr>
              <w:pStyle w:val="NoSpacing"/>
              <w:rPr>
                <w:rFonts w:ascii="Arial" w:hAnsi="Arial" w:cs="Arial"/>
              </w:rPr>
            </w:pPr>
            <w:r w:rsidRPr="002A0AE5">
              <w:rPr>
                <w:rFonts w:ascii="Arial" w:hAnsi="Arial" w:cs="Arial"/>
              </w:rPr>
              <w:t>79.67</w:t>
            </w:r>
            <w:r w:rsidR="007E3117" w:rsidRPr="002A0AE5">
              <w:rPr>
                <w:rFonts w:ascii="Arial" w:hAnsi="Arial" w:cs="Arial"/>
              </w:rPr>
              <w:t>cd</w:t>
            </w:r>
          </w:p>
        </w:tc>
        <w:tc>
          <w:tcPr>
            <w:tcW w:w="1084" w:type="dxa"/>
            <w:tcBorders>
              <w:top w:val="single" w:sz="12" w:space="0" w:color="auto"/>
            </w:tcBorders>
            <w:noWrap/>
            <w:vAlign w:val="center"/>
            <w:hideMark/>
          </w:tcPr>
          <w:p w14:paraId="546C0057" w14:textId="77777777" w:rsidR="0038581D" w:rsidRPr="002A0AE5" w:rsidRDefault="0038581D" w:rsidP="00B840C6">
            <w:pPr>
              <w:pStyle w:val="NoSpacing"/>
              <w:rPr>
                <w:rFonts w:ascii="Arial" w:hAnsi="Arial" w:cs="Arial"/>
              </w:rPr>
            </w:pPr>
            <w:r w:rsidRPr="002A0AE5">
              <w:rPr>
                <w:rFonts w:ascii="Arial" w:hAnsi="Arial" w:cs="Arial"/>
              </w:rPr>
              <w:t>15.20</w:t>
            </w:r>
            <w:r w:rsidR="007E3117" w:rsidRPr="002A0AE5">
              <w:rPr>
                <w:rFonts w:ascii="Arial" w:hAnsi="Arial" w:cs="Arial"/>
              </w:rPr>
              <w:t>c</w:t>
            </w:r>
          </w:p>
        </w:tc>
        <w:tc>
          <w:tcPr>
            <w:tcW w:w="1100" w:type="dxa"/>
            <w:tcBorders>
              <w:top w:val="single" w:sz="12" w:space="0" w:color="auto"/>
            </w:tcBorders>
            <w:noWrap/>
            <w:vAlign w:val="center"/>
            <w:hideMark/>
          </w:tcPr>
          <w:p w14:paraId="4E55E761" w14:textId="77777777" w:rsidR="0038581D" w:rsidRPr="002A0AE5" w:rsidRDefault="0038581D" w:rsidP="00B840C6">
            <w:pPr>
              <w:pStyle w:val="NoSpacing"/>
              <w:rPr>
                <w:rFonts w:ascii="Arial" w:hAnsi="Arial" w:cs="Arial"/>
              </w:rPr>
            </w:pPr>
            <w:r w:rsidRPr="002A0AE5">
              <w:rPr>
                <w:rFonts w:ascii="Arial" w:hAnsi="Arial" w:cs="Arial"/>
              </w:rPr>
              <w:t>13.73</w:t>
            </w:r>
            <w:r w:rsidR="007E3117" w:rsidRPr="002A0AE5">
              <w:rPr>
                <w:rFonts w:ascii="Arial" w:hAnsi="Arial" w:cs="Arial"/>
              </w:rPr>
              <w:t>cd</w:t>
            </w:r>
          </w:p>
        </w:tc>
        <w:tc>
          <w:tcPr>
            <w:tcW w:w="1338" w:type="dxa"/>
            <w:tcBorders>
              <w:top w:val="single" w:sz="12" w:space="0" w:color="auto"/>
            </w:tcBorders>
            <w:noWrap/>
            <w:vAlign w:val="center"/>
            <w:hideMark/>
          </w:tcPr>
          <w:p w14:paraId="509A4742" w14:textId="77777777" w:rsidR="0038581D" w:rsidRPr="002A0AE5" w:rsidRDefault="0038581D" w:rsidP="00B840C6">
            <w:pPr>
              <w:pStyle w:val="NoSpacing"/>
              <w:rPr>
                <w:rFonts w:ascii="Arial" w:hAnsi="Arial" w:cs="Arial"/>
              </w:rPr>
            </w:pPr>
            <w:r w:rsidRPr="002A0AE5">
              <w:rPr>
                <w:rFonts w:ascii="Arial" w:hAnsi="Arial" w:cs="Arial"/>
              </w:rPr>
              <w:t>262.00</w:t>
            </w:r>
            <w:r w:rsidR="007E3117" w:rsidRPr="002A0AE5">
              <w:rPr>
                <w:rFonts w:ascii="Arial" w:hAnsi="Arial" w:cs="Arial"/>
              </w:rPr>
              <w:t>bc</w:t>
            </w:r>
          </w:p>
        </w:tc>
        <w:tc>
          <w:tcPr>
            <w:tcW w:w="1338" w:type="dxa"/>
            <w:tcBorders>
              <w:top w:val="single" w:sz="12" w:space="0" w:color="auto"/>
            </w:tcBorders>
            <w:noWrap/>
            <w:vAlign w:val="center"/>
            <w:hideMark/>
          </w:tcPr>
          <w:p w14:paraId="49AC92B5" w14:textId="77777777" w:rsidR="0038581D" w:rsidRPr="002A0AE5" w:rsidRDefault="0038581D" w:rsidP="00B840C6">
            <w:pPr>
              <w:pStyle w:val="NoSpacing"/>
              <w:rPr>
                <w:rFonts w:ascii="Arial" w:hAnsi="Arial" w:cs="Arial"/>
              </w:rPr>
            </w:pPr>
            <w:r w:rsidRPr="002A0AE5">
              <w:rPr>
                <w:rFonts w:ascii="Arial" w:hAnsi="Arial" w:cs="Arial"/>
              </w:rPr>
              <w:t>780.00</w:t>
            </w:r>
            <w:r w:rsidR="007E3117" w:rsidRPr="002A0AE5">
              <w:rPr>
                <w:rFonts w:ascii="Arial" w:hAnsi="Arial" w:cs="Arial"/>
              </w:rPr>
              <w:t>cd</w:t>
            </w:r>
          </w:p>
        </w:tc>
        <w:tc>
          <w:tcPr>
            <w:tcW w:w="1284" w:type="dxa"/>
            <w:tcBorders>
              <w:top w:val="single" w:sz="12" w:space="0" w:color="auto"/>
            </w:tcBorders>
            <w:noWrap/>
            <w:vAlign w:val="center"/>
            <w:hideMark/>
          </w:tcPr>
          <w:p w14:paraId="7C84FA86" w14:textId="77777777" w:rsidR="0038581D" w:rsidRPr="002A0AE5" w:rsidRDefault="0038581D" w:rsidP="00B840C6">
            <w:pPr>
              <w:pStyle w:val="NoSpacing"/>
              <w:rPr>
                <w:rFonts w:ascii="Arial" w:hAnsi="Arial" w:cs="Arial"/>
              </w:rPr>
            </w:pPr>
            <w:r w:rsidRPr="002A0AE5">
              <w:rPr>
                <w:rFonts w:ascii="Arial" w:hAnsi="Arial" w:cs="Arial"/>
              </w:rPr>
              <w:t>80.33</w:t>
            </w:r>
            <w:r w:rsidR="002A0AE5" w:rsidRPr="002A0AE5">
              <w:rPr>
                <w:rFonts w:ascii="Arial" w:hAnsi="Arial" w:cs="Arial"/>
              </w:rPr>
              <w:t>c</w:t>
            </w:r>
          </w:p>
        </w:tc>
        <w:tc>
          <w:tcPr>
            <w:tcW w:w="1366" w:type="dxa"/>
            <w:tcBorders>
              <w:top w:val="single" w:sz="12" w:space="0" w:color="auto"/>
            </w:tcBorders>
            <w:noWrap/>
            <w:vAlign w:val="center"/>
            <w:hideMark/>
          </w:tcPr>
          <w:p w14:paraId="148BDF8B" w14:textId="77777777" w:rsidR="0038581D" w:rsidRPr="002A0AE5" w:rsidRDefault="0038581D" w:rsidP="00B840C6">
            <w:pPr>
              <w:pStyle w:val="NoSpacing"/>
              <w:rPr>
                <w:rFonts w:ascii="Arial" w:hAnsi="Arial" w:cs="Arial"/>
              </w:rPr>
            </w:pPr>
            <w:r w:rsidRPr="002A0AE5">
              <w:rPr>
                <w:rFonts w:ascii="Arial" w:hAnsi="Arial" w:cs="Arial"/>
              </w:rPr>
              <w:t>342.00</w:t>
            </w:r>
            <w:r w:rsidR="002A0AE5" w:rsidRPr="002A0AE5">
              <w:rPr>
                <w:rFonts w:ascii="Arial" w:hAnsi="Arial" w:cs="Arial"/>
              </w:rPr>
              <w:t>cd</w:t>
            </w:r>
          </w:p>
        </w:tc>
      </w:tr>
      <w:tr w:rsidR="002A0AE5" w:rsidRPr="002A0AE5" w14:paraId="4AF06FCD" w14:textId="77777777" w:rsidTr="00B840C6">
        <w:trPr>
          <w:trHeight w:val="321"/>
        </w:trPr>
        <w:tc>
          <w:tcPr>
            <w:tcW w:w="1013" w:type="dxa"/>
            <w:noWrap/>
            <w:vAlign w:val="center"/>
            <w:hideMark/>
          </w:tcPr>
          <w:p w14:paraId="36CE04E8"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₂</w:t>
            </w:r>
          </w:p>
        </w:tc>
        <w:tc>
          <w:tcPr>
            <w:tcW w:w="1204" w:type="dxa"/>
            <w:noWrap/>
            <w:vAlign w:val="center"/>
            <w:hideMark/>
          </w:tcPr>
          <w:p w14:paraId="189F0409" w14:textId="77777777" w:rsidR="0038581D" w:rsidRPr="002A0AE5" w:rsidRDefault="0038581D" w:rsidP="00B840C6">
            <w:pPr>
              <w:pStyle w:val="NoSpacing"/>
              <w:rPr>
                <w:rFonts w:ascii="Arial" w:hAnsi="Arial" w:cs="Arial"/>
              </w:rPr>
            </w:pPr>
            <w:r w:rsidRPr="002A0AE5">
              <w:rPr>
                <w:rFonts w:ascii="Arial" w:hAnsi="Arial" w:cs="Arial"/>
              </w:rPr>
              <w:t>48.43</w:t>
            </w:r>
            <w:r w:rsidR="007E3117" w:rsidRPr="002A0AE5">
              <w:rPr>
                <w:rFonts w:ascii="Arial" w:hAnsi="Arial" w:cs="Arial"/>
              </w:rPr>
              <w:t>ab</w:t>
            </w:r>
          </w:p>
        </w:tc>
        <w:tc>
          <w:tcPr>
            <w:tcW w:w="1084" w:type="dxa"/>
            <w:noWrap/>
            <w:vAlign w:val="center"/>
            <w:hideMark/>
          </w:tcPr>
          <w:p w14:paraId="276A9940" w14:textId="77777777" w:rsidR="0038581D" w:rsidRPr="002A0AE5" w:rsidRDefault="0038581D" w:rsidP="00B840C6">
            <w:pPr>
              <w:pStyle w:val="NoSpacing"/>
              <w:rPr>
                <w:rFonts w:ascii="Arial" w:hAnsi="Arial" w:cs="Arial"/>
              </w:rPr>
            </w:pPr>
            <w:r w:rsidRPr="002A0AE5">
              <w:rPr>
                <w:rFonts w:ascii="Arial" w:hAnsi="Arial" w:cs="Arial"/>
              </w:rPr>
              <w:t>80.13</w:t>
            </w:r>
            <w:r w:rsidR="007E3117" w:rsidRPr="002A0AE5">
              <w:rPr>
                <w:rFonts w:ascii="Arial" w:hAnsi="Arial" w:cs="Arial"/>
              </w:rPr>
              <w:t>cd</w:t>
            </w:r>
          </w:p>
        </w:tc>
        <w:tc>
          <w:tcPr>
            <w:tcW w:w="1084" w:type="dxa"/>
            <w:noWrap/>
            <w:vAlign w:val="center"/>
            <w:hideMark/>
          </w:tcPr>
          <w:p w14:paraId="3F85E6C5" w14:textId="77777777" w:rsidR="0038581D" w:rsidRPr="002A0AE5" w:rsidRDefault="0038581D" w:rsidP="00B840C6">
            <w:pPr>
              <w:pStyle w:val="NoSpacing"/>
              <w:rPr>
                <w:rFonts w:ascii="Arial" w:hAnsi="Arial" w:cs="Arial"/>
              </w:rPr>
            </w:pPr>
            <w:r w:rsidRPr="002A0AE5">
              <w:rPr>
                <w:rFonts w:ascii="Arial" w:hAnsi="Arial" w:cs="Arial"/>
              </w:rPr>
              <w:t>18.00</w:t>
            </w:r>
            <w:r w:rsidR="007E3117" w:rsidRPr="002A0AE5">
              <w:rPr>
                <w:rFonts w:ascii="Arial" w:hAnsi="Arial" w:cs="Arial"/>
              </w:rPr>
              <w:t>c</w:t>
            </w:r>
          </w:p>
        </w:tc>
        <w:tc>
          <w:tcPr>
            <w:tcW w:w="1100" w:type="dxa"/>
            <w:noWrap/>
            <w:vAlign w:val="center"/>
            <w:hideMark/>
          </w:tcPr>
          <w:p w14:paraId="0EF2E817" w14:textId="77777777" w:rsidR="0038581D" w:rsidRPr="002A0AE5" w:rsidRDefault="0038581D" w:rsidP="00B840C6">
            <w:pPr>
              <w:pStyle w:val="NoSpacing"/>
              <w:rPr>
                <w:rFonts w:ascii="Arial" w:hAnsi="Arial" w:cs="Arial"/>
              </w:rPr>
            </w:pPr>
            <w:r w:rsidRPr="002A0AE5">
              <w:rPr>
                <w:rFonts w:ascii="Arial" w:hAnsi="Arial" w:cs="Arial"/>
              </w:rPr>
              <w:t>16.80</w:t>
            </w:r>
            <w:r w:rsidR="007E3117" w:rsidRPr="002A0AE5">
              <w:rPr>
                <w:rFonts w:ascii="Arial" w:hAnsi="Arial" w:cs="Arial"/>
              </w:rPr>
              <w:t>bc</w:t>
            </w:r>
          </w:p>
        </w:tc>
        <w:tc>
          <w:tcPr>
            <w:tcW w:w="1338" w:type="dxa"/>
            <w:noWrap/>
            <w:vAlign w:val="center"/>
            <w:hideMark/>
          </w:tcPr>
          <w:p w14:paraId="17BE69A3" w14:textId="77777777" w:rsidR="0038581D" w:rsidRPr="002A0AE5" w:rsidRDefault="0038581D" w:rsidP="00B840C6">
            <w:pPr>
              <w:pStyle w:val="NoSpacing"/>
              <w:rPr>
                <w:rFonts w:ascii="Arial" w:hAnsi="Arial" w:cs="Arial"/>
              </w:rPr>
            </w:pPr>
            <w:r w:rsidRPr="002A0AE5">
              <w:rPr>
                <w:rFonts w:ascii="Arial" w:hAnsi="Arial" w:cs="Arial"/>
              </w:rPr>
              <w:t>292.00</w:t>
            </w:r>
            <w:r w:rsidR="007E3117" w:rsidRPr="002A0AE5">
              <w:rPr>
                <w:rFonts w:ascii="Arial" w:hAnsi="Arial" w:cs="Arial"/>
              </w:rPr>
              <w:t>ab</w:t>
            </w:r>
          </w:p>
        </w:tc>
        <w:tc>
          <w:tcPr>
            <w:tcW w:w="1338" w:type="dxa"/>
            <w:noWrap/>
            <w:vAlign w:val="center"/>
            <w:hideMark/>
          </w:tcPr>
          <w:p w14:paraId="7EE75D4A" w14:textId="77777777" w:rsidR="0038581D" w:rsidRPr="002A0AE5" w:rsidRDefault="0038581D" w:rsidP="00B840C6">
            <w:pPr>
              <w:pStyle w:val="NoSpacing"/>
              <w:rPr>
                <w:rFonts w:ascii="Arial" w:hAnsi="Arial" w:cs="Arial"/>
              </w:rPr>
            </w:pPr>
            <w:r w:rsidRPr="002A0AE5">
              <w:rPr>
                <w:rFonts w:ascii="Arial" w:hAnsi="Arial" w:cs="Arial"/>
              </w:rPr>
              <w:t>931.33</w:t>
            </w:r>
            <w:r w:rsidR="007E3117" w:rsidRPr="002A0AE5">
              <w:rPr>
                <w:rFonts w:ascii="Arial" w:hAnsi="Arial" w:cs="Arial"/>
              </w:rPr>
              <w:t>abc</w:t>
            </w:r>
          </w:p>
        </w:tc>
        <w:tc>
          <w:tcPr>
            <w:tcW w:w="1284" w:type="dxa"/>
            <w:noWrap/>
            <w:vAlign w:val="center"/>
            <w:hideMark/>
          </w:tcPr>
          <w:p w14:paraId="0CF2E03D" w14:textId="77777777" w:rsidR="0038581D" w:rsidRPr="002A0AE5" w:rsidRDefault="0038581D" w:rsidP="00B840C6">
            <w:pPr>
              <w:pStyle w:val="NoSpacing"/>
              <w:rPr>
                <w:rFonts w:ascii="Arial" w:hAnsi="Arial" w:cs="Arial"/>
              </w:rPr>
            </w:pPr>
            <w:r w:rsidRPr="002A0AE5">
              <w:rPr>
                <w:rFonts w:ascii="Arial" w:hAnsi="Arial" w:cs="Arial"/>
              </w:rPr>
              <w:t>104.00</w:t>
            </w:r>
            <w:r w:rsidR="002A0AE5" w:rsidRPr="002A0AE5">
              <w:rPr>
                <w:rFonts w:ascii="Arial" w:hAnsi="Arial" w:cs="Arial"/>
              </w:rPr>
              <w:t>abc</w:t>
            </w:r>
          </w:p>
        </w:tc>
        <w:tc>
          <w:tcPr>
            <w:tcW w:w="1366" w:type="dxa"/>
            <w:noWrap/>
            <w:vAlign w:val="center"/>
            <w:hideMark/>
          </w:tcPr>
          <w:p w14:paraId="5C913D7B" w14:textId="77777777" w:rsidR="0038581D" w:rsidRPr="002A0AE5" w:rsidRDefault="0038581D" w:rsidP="00B840C6">
            <w:pPr>
              <w:pStyle w:val="NoSpacing"/>
              <w:rPr>
                <w:rFonts w:ascii="Arial" w:hAnsi="Arial" w:cs="Arial"/>
              </w:rPr>
            </w:pPr>
            <w:r w:rsidRPr="002A0AE5">
              <w:rPr>
                <w:rFonts w:ascii="Arial" w:hAnsi="Arial" w:cs="Arial"/>
              </w:rPr>
              <w:t>377.33</w:t>
            </w:r>
            <w:r w:rsidR="002A0AE5" w:rsidRPr="002A0AE5">
              <w:rPr>
                <w:rFonts w:ascii="Arial" w:hAnsi="Arial" w:cs="Arial"/>
              </w:rPr>
              <w:t>ab</w:t>
            </w:r>
          </w:p>
        </w:tc>
      </w:tr>
      <w:tr w:rsidR="002A0AE5" w:rsidRPr="002A0AE5" w14:paraId="0AE4353B" w14:textId="77777777" w:rsidTr="00B840C6">
        <w:trPr>
          <w:trHeight w:val="321"/>
        </w:trPr>
        <w:tc>
          <w:tcPr>
            <w:tcW w:w="1013" w:type="dxa"/>
            <w:noWrap/>
            <w:vAlign w:val="center"/>
            <w:hideMark/>
          </w:tcPr>
          <w:p w14:paraId="04FDD654"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₃</w:t>
            </w:r>
          </w:p>
        </w:tc>
        <w:tc>
          <w:tcPr>
            <w:tcW w:w="1204" w:type="dxa"/>
            <w:noWrap/>
            <w:vAlign w:val="center"/>
            <w:hideMark/>
          </w:tcPr>
          <w:p w14:paraId="1914199A" w14:textId="77777777" w:rsidR="0038581D" w:rsidRPr="002A0AE5" w:rsidRDefault="0038581D" w:rsidP="00B840C6">
            <w:pPr>
              <w:pStyle w:val="NoSpacing"/>
              <w:rPr>
                <w:rFonts w:ascii="Arial" w:hAnsi="Arial" w:cs="Arial"/>
              </w:rPr>
            </w:pPr>
            <w:r w:rsidRPr="002A0AE5">
              <w:rPr>
                <w:rFonts w:ascii="Arial" w:hAnsi="Arial" w:cs="Arial"/>
              </w:rPr>
              <w:t>50.67</w:t>
            </w:r>
            <w:r w:rsidR="007E3117" w:rsidRPr="002A0AE5">
              <w:rPr>
                <w:rFonts w:ascii="Arial" w:hAnsi="Arial" w:cs="Arial"/>
              </w:rPr>
              <w:t>a</w:t>
            </w:r>
          </w:p>
        </w:tc>
        <w:tc>
          <w:tcPr>
            <w:tcW w:w="1084" w:type="dxa"/>
            <w:noWrap/>
            <w:vAlign w:val="center"/>
            <w:hideMark/>
          </w:tcPr>
          <w:p w14:paraId="3326EE8E" w14:textId="77777777" w:rsidR="0038581D" w:rsidRPr="002A0AE5" w:rsidRDefault="0038581D" w:rsidP="00B840C6">
            <w:pPr>
              <w:pStyle w:val="NoSpacing"/>
              <w:rPr>
                <w:rFonts w:ascii="Arial" w:hAnsi="Arial" w:cs="Arial"/>
              </w:rPr>
            </w:pPr>
            <w:r w:rsidRPr="002A0AE5">
              <w:rPr>
                <w:rFonts w:ascii="Arial" w:hAnsi="Arial" w:cs="Arial"/>
              </w:rPr>
              <w:t>84.27</w:t>
            </w:r>
            <w:r w:rsidR="007E3117" w:rsidRPr="002A0AE5">
              <w:rPr>
                <w:rFonts w:ascii="Arial" w:hAnsi="Arial" w:cs="Arial"/>
              </w:rPr>
              <w:t>a</w:t>
            </w:r>
          </w:p>
        </w:tc>
        <w:tc>
          <w:tcPr>
            <w:tcW w:w="1084" w:type="dxa"/>
            <w:noWrap/>
            <w:vAlign w:val="center"/>
            <w:hideMark/>
          </w:tcPr>
          <w:p w14:paraId="779A8D9B" w14:textId="77777777" w:rsidR="0038581D" w:rsidRPr="002A0AE5" w:rsidRDefault="0038581D" w:rsidP="00B840C6">
            <w:pPr>
              <w:pStyle w:val="NoSpacing"/>
              <w:rPr>
                <w:rFonts w:ascii="Arial" w:hAnsi="Arial" w:cs="Arial"/>
              </w:rPr>
            </w:pPr>
            <w:r w:rsidRPr="002A0AE5">
              <w:rPr>
                <w:rFonts w:ascii="Arial" w:hAnsi="Arial" w:cs="Arial"/>
              </w:rPr>
              <w:t>28.53</w:t>
            </w:r>
            <w:r w:rsidR="007E3117" w:rsidRPr="002A0AE5">
              <w:rPr>
                <w:rFonts w:ascii="Arial" w:hAnsi="Arial" w:cs="Arial"/>
              </w:rPr>
              <w:t>a</w:t>
            </w:r>
          </w:p>
        </w:tc>
        <w:tc>
          <w:tcPr>
            <w:tcW w:w="1100" w:type="dxa"/>
            <w:noWrap/>
            <w:vAlign w:val="center"/>
            <w:hideMark/>
          </w:tcPr>
          <w:p w14:paraId="7F377335" w14:textId="77777777" w:rsidR="0038581D" w:rsidRPr="002A0AE5" w:rsidRDefault="0038581D" w:rsidP="00B840C6">
            <w:pPr>
              <w:pStyle w:val="NoSpacing"/>
              <w:rPr>
                <w:rFonts w:ascii="Arial" w:hAnsi="Arial" w:cs="Arial"/>
              </w:rPr>
            </w:pPr>
            <w:r w:rsidRPr="002A0AE5">
              <w:rPr>
                <w:rFonts w:ascii="Arial" w:hAnsi="Arial" w:cs="Arial"/>
              </w:rPr>
              <w:t>21.33</w:t>
            </w:r>
            <w:r w:rsidR="007E3117" w:rsidRPr="002A0AE5">
              <w:rPr>
                <w:rFonts w:ascii="Arial" w:hAnsi="Arial" w:cs="Arial"/>
              </w:rPr>
              <w:t>a</w:t>
            </w:r>
          </w:p>
        </w:tc>
        <w:tc>
          <w:tcPr>
            <w:tcW w:w="1338" w:type="dxa"/>
            <w:noWrap/>
            <w:vAlign w:val="center"/>
            <w:hideMark/>
          </w:tcPr>
          <w:p w14:paraId="0D4BBADB" w14:textId="77777777" w:rsidR="0038581D" w:rsidRPr="002A0AE5" w:rsidRDefault="0038581D" w:rsidP="00B840C6">
            <w:pPr>
              <w:pStyle w:val="NoSpacing"/>
              <w:rPr>
                <w:rFonts w:ascii="Arial" w:hAnsi="Arial" w:cs="Arial"/>
              </w:rPr>
            </w:pPr>
            <w:r w:rsidRPr="002A0AE5">
              <w:rPr>
                <w:rFonts w:ascii="Arial" w:hAnsi="Arial" w:cs="Arial"/>
              </w:rPr>
              <w:t>342.00</w:t>
            </w:r>
            <w:r w:rsidR="007E3117" w:rsidRPr="002A0AE5">
              <w:rPr>
                <w:rFonts w:ascii="Arial" w:hAnsi="Arial" w:cs="Arial"/>
              </w:rPr>
              <w:t>a</w:t>
            </w:r>
          </w:p>
        </w:tc>
        <w:tc>
          <w:tcPr>
            <w:tcW w:w="1338" w:type="dxa"/>
            <w:noWrap/>
            <w:vAlign w:val="center"/>
            <w:hideMark/>
          </w:tcPr>
          <w:p w14:paraId="2D4C2E1D" w14:textId="77777777" w:rsidR="0038581D" w:rsidRPr="002A0AE5" w:rsidRDefault="0038581D" w:rsidP="00B840C6">
            <w:pPr>
              <w:pStyle w:val="NoSpacing"/>
              <w:rPr>
                <w:rFonts w:ascii="Arial" w:hAnsi="Arial" w:cs="Arial"/>
              </w:rPr>
            </w:pPr>
            <w:r w:rsidRPr="002A0AE5">
              <w:rPr>
                <w:rFonts w:ascii="Arial" w:hAnsi="Arial" w:cs="Arial"/>
              </w:rPr>
              <w:t>976.00</w:t>
            </w:r>
            <w:r w:rsidR="007E3117" w:rsidRPr="002A0AE5">
              <w:rPr>
                <w:rFonts w:ascii="Arial" w:hAnsi="Arial" w:cs="Arial"/>
              </w:rPr>
              <w:t>a</w:t>
            </w:r>
          </w:p>
        </w:tc>
        <w:tc>
          <w:tcPr>
            <w:tcW w:w="1284" w:type="dxa"/>
            <w:noWrap/>
            <w:vAlign w:val="center"/>
            <w:hideMark/>
          </w:tcPr>
          <w:p w14:paraId="5E91DE1C" w14:textId="77777777" w:rsidR="0038581D" w:rsidRPr="002A0AE5" w:rsidRDefault="0038581D" w:rsidP="00B840C6">
            <w:pPr>
              <w:pStyle w:val="NoSpacing"/>
              <w:rPr>
                <w:rFonts w:ascii="Arial" w:hAnsi="Arial" w:cs="Arial"/>
              </w:rPr>
            </w:pPr>
            <w:r w:rsidRPr="002A0AE5">
              <w:rPr>
                <w:rFonts w:ascii="Arial" w:hAnsi="Arial" w:cs="Arial"/>
              </w:rPr>
              <w:t>117.33</w:t>
            </w:r>
            <w:r w:rsidR="002A0AE5" w:rsidRPr="002A0AE5">
              <w:rPr>
                <w:rFonts w:ascii="Arial" w:hAnsi="Arial" w:cs="Arial"/>
              </w:rPr>
              <w:t>a</w:t>
            </w:r>
          </w:p>
        </w:tc>
        <w:tc>
          <w:tcPr>
            <w:tcW w:w="1366" w:type="dxa"/>
            <w:noWrap/>
            <w:vAlign w:val="center"/>
            <w:hideMark/>
          </w:tcPr>
          <w:p w14:paraId="1D02AE44" w14:textId="77777777" w:rsidR="0038581D" w:rsidRPr="002A0AE5" w:rsidRDefault="0038581D" w:rsidP="00B840C6">
            <w:pPr>
              <w:pStyle w:val="NoSpacing"/>
              <w:rPr>
                <w:rFonts w:ascii="Arial" w:hAnsi="Arial" w:cs="Arial"/>
              </w:rPr>
            </w:pPr>
            <w:r w:rsidRPr="002A0AE5">
              <w:rPr>
                <w:rFonts w:ascii="Arial" w:hAnsi="Arial" w:cs="Arial"/>
              </w:rPr>
              <w:t>396.67</w:t>
            </w:r>
            <w:r w:rsidR="002A0AE5" w:rsidRPr="002A0AE5">
              <w:rPr>
                <w:rFonts w:ascii="Arial" w:hAnsi="Arial" w:cs="Arial"/>
              </w:rPr>
              <w:t>a</w:t>
            </w:r>
          </w:p>
        </w:tc>
      </w:tr>
      <w:tr w:rsidR="002A0AE5" w:rsidRPr="002A0AE5" w14:paraId="23E94E83" w14:textId="77777777" w:rsidTr="00B840C6">
        <w:trPr>
          <w:trHeight w:val="321"/>
        </w:trPr>
        <w:tc>
          <w:tcPr>
            <w:tcW w:w="1013" w:type="dxa"/>
            <w:noWrap/>
            <w:vAlign w:val="center"/>
            <w:hideMark/>
          </w:tcPr>
          <w:p w14:paraId="6FDAD9B2"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₄</w:t>
            </w:r>
          </w:p>
        </w:tc>
        <w:tc>
          <w:tcPr>
            <w:tcW w:w="1204" w:type="dxa"/>
            <w:noWrap/>
            <w:vAlign w:val="center"/>
            <w:hideMark/>
          </w:tcPr>
          <w:p w14:paraId="39DE6385" w14:textId="77777777" w:rsidR="0038581D" w:rsidRPr="002A0AE5" w:rsidRDefault="0038581D" w:rsidP="00B840C6">
            <w:pPr>
              <w:pStyle w:val="NoSpacing"/>
              <w:rPr>
                <w:rFonts w:ascii="Arial" w:hAnsi="Arial" w:cs="Arial"/>
              </w:rPr>
            </w:pPr>
            <w:r w:rsidRPr="002A0AE5">
              <w:rPr>
                <w:rFonts w:ascii="Arial" w:hAnsi="Arial" w:cs="Arial"/>
              </w:rPr>
              <w:t>44.30</w:t>
            </w:r>
            <w:r w:rsidR="007E3117" w:rsidRPr="002A0AE5">
              <w:rPr>
                <w:rFonts w:ascii="Arial" w:hAnsi="Arial" w:cs="Arial"/>
              </w:rPr>
              <w:t>ab</w:t>
            </w:r>
          </w:p>
        </w:tc>
        <w:tc>
          <w:tcPr>
            <w:tcW w:w="1084" w:type="dxa"/>
            <w:noWrap/>
            <w:vAlign w:val="center"/>
            <w:hideMark/>
          </w:tcPr>
          <w:p w14:paraId="239CC7D9" w14:textId="77777777" w:rsidR="0038581D" w:rsidRPr="002A0AE5" w:rsidRDefault="0038581D" w:rsidP="00B840C6">
            <w:pPr>
              <w:pStyle w:val="NoSpacing"/>
              <w:rPr>
                <w:rFonts w:ascii="Arial" w:hAnsi="Arial" w:cs="Arial"/>
              </w:rPr>
            </w:pPr>
            <w:r w:rsidRPr="002A0AE5">
              <w:rPr>
                <w:rFonts w:ascii="Arial" w:hAnsi="Arial" w:cs="Arial"/>
              </w:rPr>
              <w:t>79.80</w:t>
            </w:r>
            <w:r w:rsidR="007E3117" w:rsidRPr="002A0AE5">
              <w:rPr>
                <w:rFonts w:ascii="Arial" w:hAnsi="Arial" w:cs="Arial"/>
              </w:rPr>
              <w:t>cd</w:t>
            </w:r>
          </w:p>
        </w:tc>
        <w:tc>
          <w:tcPr>
            <w:tcW w:w="1084" w:type="dxa"/>
            <w:noWrap/>
            <w:vAlign w:val="center"/>
            <w:hideMark/>
          </w:tcPr>
          <w:p w14:paraId="50ABA433" w14:textId="77777777" w:rsidR="0038581D" w:rsidRPr="002A0AE5" w:rsidRDefault="0038581D" w:rsidP="00B840C6">
            <w:pPr>
              <w:pStyle w:val="NoSpacing"/>
              <w:rPr>
                <w:rFonts w:ascii="Arial" w:hAnsi="Arial" w:cs="Arial"/>
              </w:rPr>
            </w:pPr>
            <w:r w:rsidRPr="002A0AE5">
              <w:rPr>
                <w:rFonts w:ascii="Arial" w:hAnsi="Arial" w:cs="Arial"/>
              </w:rPr>
              <w:t>19.90</w:t>
            </w:r>
            <w:r w:rsidR="007E3117" w:rsidRPr="002A0AE5">
              <w:rPr>
                <w:rFonts w:ascii="Arial" w:hAnsi="Arial" w:cs="Arial"/>
              </w:rPr>
              <w:t>bc</w:t>
            </w:r>
          </w:p>
        </w:tc>
        <w:tc>
          <w:tcPr>
            <w:tcW w:w="1100" w:type="dxa"/>
            <w:noWrap/>
            <w:vAlign w:val="center"/>
            <w:hideMark/>
          </w:tcPr>
          <w:p w14:paraId="63C72698" w14:textId="77777777" w:rsidR="0038581D" w:rsidRPr="002A0AE5" w:rsidRDefault="0038581D" w:rsidP="00B840C6">
            <w:pPr>
              <w:pStyle w:val="NoSpacing"/>
              <w:rPr>
                <w:rFonts w:ascii="Arial" w:hAnsi="Arial" w:cs="Arial"/>
              </w:rPr>
            </w:pPr>
            <w:r w:rsidRPr="002A0AE5">
              <w:rPr>
                <w:rFonts w:ascii="Arial" w:hAnsi="Arial" w:cs="Arial"/>
              </w:rPr>
              <w:t>15.03</w:t>
            </w:r>
            <w:r w:rsidR="007E3117" w:rsidRPr="002A0AE5">
              <w:rPr>
                <w:rFonts w:ascii="Arial" w:hAnsi="Arial" w:cs="Arial"/>
              </w:rPr>
              <w:t>bc</w:t>
            </w:r>
          </w:p>
        </w:tc>
        <w:tc>
          <w:tcPr>
            <w:tcW w:w="1338" w:type="dxa"/>
            <w:noWrap/>
            <w:vAlign w:val="center"/>
            <w:hideMark/>
          </w:tcPr>
          <w:p w14:paraId="6A208EE6" w14:textId="77777777" w:rsidR="0038581D" w:rsidRPr="002A0AE5" w:rsidRDefault="0038581D" w:rsidP="00B840C6">
            <w:pPr>
              <w:pStyle w:val="NoSpacing"/>
              <w:rPr>
                <w:rFonts w:ascii="Arial" w:hAnsi="Arial" w:cs="Arial"/>
              </w:rPr>
            </w:pPr>
            <w:r w:rsidRPr="002A0AE5">
              <w:rPr>
                <w:rFonts w:ascii="Arial" w:hAnsi="Arial" w:cs="Arial"/>
              </w:rPr>
              <w:t>285.33</w:t>
            </w:r>
            <w:r w:rsidR="007E3117" w:rsidRPr="002A0AE5">
              <w:rPr>
                <w:rFonts w:ascii="Arial" w:hAnsi="Arial" w:cs="Arial"/>
              </w:rPr>
              <w:t>ab</w:t>
            </w:r>
          </w:p>
        </w:tc>
        <w:tc>
          <w:tcPr>
            <w:tcW w:w="1338" w:type="dxa"/>
            <w:noWrap/>
            <w:vAlign w:val="center"/>
            <w:hideMark/>
          </w:tcPr>
          <w:p w14:paraId="7E170D27" w14:textId="77777777" w:rsidR="0038581D" w:rsidRPr="002A0AE5" w:rsidRDefault="0038581D" w:rsidP="00B840C6">
            <w:pPr>
              <w:pStyle w:val="NoSpacing"/>
              <w:rPr>
                <w:rFonts w:ascii="Arial" w:hAnsi="Arial" w:cs="Arial"/>
              </w:rPr>
            </w:pPr>
            <w:r w:rsidRPr="002A0AE5">
              <w:rPr>
                <w:rFonts w:ascii="Arial" w:hAnsi="Arial" w:cs="Arial"/>
              </w:rPr>
              <w:t>795.00</w:t>
            </w:r>
            <w:r w:rsidR="007E3117" w:rsidRPr="002A0AE5">
              <w:rPr>
                <w:rFonts w:ascii="Arial" w:hAnsi="Arial" w:cs="Arial"/>
              </w:rPr>
              <w:t>bcd</w:t>
            </w:r>
          </w:p>
        </w:tc>
        <w:tc>
          <w:tcPr>
            <w:tcW w:w="1284" w:type="dxa"/>
            <w:noWrap/>
            <w:vAlign w:val="center"/>
            <w:hideMark/>
          </w:tcPr>
          <w:p w14:paraId="55609E2F" w14:textId="77777777" w:rsidR="0038581D" w:rsidRPr="002A0AE5" w:rsidRDefault="0038581D" w:rsidP="00B840C6">
            <w:pPr>
              <w:pStyle w:val="NoSpacing"/>
              <w:rPr>
                <w:rFonts w:ascii="Arial" w:hAnsi="Arial" w:cs="Arial"/>
              </w:rPr>
            </w:pPr>
            <w:r w:rsidRPr="002A0AE5">
              <w:rPr>
                <w:rFonts w:ascii="Arial" w:hAnsi="Arial" w:cs="Arial"/>
              </w:rPr>
              <w:t>85.33</w:t>
            </w:r>
            <w:r w:rsidR="002A0AE5" w:rsidRPr="002A0AE5">
              <w:rPr>
                <w:rFonts w:ascii="Arial" w:hAnsi="Arial" w:cs="Arial"/>
              </w:rPr>
              <w:t>bc</w:t>
            </w:r>
          </w:p>
        </w:tc>
        <w:tc>
          <w:tcPr>
            <w:tcW w:w="1366" w:type="dxa"/>
            <w:noWrap/>
            <w:vAlign w:val="center"/>
            <w:hideMark/>
          </w:tcPr>
          <w:p w14:paraId="76A14537" w14:textId="77777777" w:rsidR="0038581D" w:rsidRPr="002A0AE5" w:rsidRDefault="0038581D" w:rsidP="00B840C6">
            <w:pPr>
              <w:pStyle w:val="NoSpacing"/>
              <w:rPr>
                <w:rFonts w:ascii="Arial" w:hAnsi="Arial" w:cs="Arial"/>
              </w:rPr>
            </w:pPr>
            <w:r w:rsidRPr="002A0AE5">
              <w:rPr>
                <w:rFonts w:ascii="Arial" w:hAnsi="Arial" w:cs="Arial"/>
              </w:rPr>
              <w:t>349.33</w:t>
            </w:r>
            <w:r w:rsidR="002A0AE5" w:rsidRPr="002A0AE5">
              <w:rPr>
                <w:rFonts w:ascii="Arial" w:hAnsi="Arial" w:cs="Arial"/>
              </w:rPr>
              <w:t>bcd</w:t>
            </w:r>
          </w:p>
        </w:tc>
      </w:tr>
      <w:tr w:rsidR="002A0AE5" w:rsidRPr="002A0AE5" w14:paraId="4B908133" w14:textId="77777777" w:rsidTr="00B840C6">
        <w:trPr>
          <w:trHeight w:val="321"/>
        </w:trPr>
        <w:tc>
          <w:tcPr>
            <w:tcW w:w="1013" w:type="dxa"/>
            <w:noWrap/>
            <w:vAlign w:val="center"/>
            <w:hideMark/>
          </w:tcPr>
          <w:p w14:paraId="4875B10F"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₅</w:t>
            </w:r>
          </w:p>
        </w:tc>
        <w:tc>
          <w:tcPr>
            <w:tcW w:w="1204" w:type="dxa"/>
            <w:noWrap/>
            <w:vAlign w:val="center"/>
            <w:hideMark/>
          </w:tcPr>
          <w:p w14:paraId="66167280" w14:textId="77777777" w:rsidR="0038581D" w:rsidRPr="002A0AE5" w:rsidRDefault="0038581D" w:rsidP="00B840C6">
            <w:pPr>
              <w:pStyle w:val="NoSpacing"/>
              <w:rPr>
                <w:rFonts w:ascii="Arial" w:hAnsi="Arial" w:cs="Arial"/>
              </w:rPr>
            </w:pPr>
            <w:r w:rsidRPr="002A0AE5">
              <w:rPr>
                <w:rFonts w:ascii="Arial" w:hAnsi="Arial" w:cs="Arial"/>
              </w:rPr>
              <w:t>46.87</w:t>
            </w:r>
            <w:r w:rsidR="007E3117" w:rsidRPr="002A0AE5">
              <w:rPr>
                <w:rFonts w:ascii="Arial" w:hAnsi="Arial" w:cs="Arial"/>
              </w:rPr>
              <w:t>abc</w:t>
            </w:r>
          </w:p>
        </w:tc>
        <w:tc>
          <w:tcPr>
            <w:tcW w:w="1084" w:type="dxa"/>
            <w:noWrap/>
            <w:vAlign w:val="center"/>
            <w:hideMark/>
          </w:tcPr>
          <w:p w14:paraId="0633817A" w14:textId="77777777" w:rsidR="0038581D" w:rsidRPr="002A0AE5" w:rsidRDefault="0038581D" w:rsidP="00B840C6">
            <w:pPr>
              <w:pStyle w:val="NoSpacing"/>
              <w:rPr>
                <w:rFonts w:ascii="Arial" w:hAnsi="Arial" w:cs="Arial"/>
              </w:rPr>
            </w:pPr>
            <w:r w:rsidRPr="002A0AE5">
              <w:rPr>
                <w:rFonts w:ascii="Arial" w:hAnsi="Arial" w:cs="Arial"/>
              </w:rPr>
              <w:t>81.40</w:t>
            </w:r>
            <w:r w:rsidR="007E3117" w:rsidRPr="002A0AE5">
              <w:rPr>
                <w:rFonts w:ascii="Arial" w:hAnsi="Arial" w:cs="Arial"/>
              </w:rPr>
              <w:t>bc</w:t>
            </w:r>
          </w:p>
        </w:tc>
        <w:tc>
          <w:tcPr>
            <w:tcW w:w="1084" w:type="dxa"/>
            <w:noWrap/>
            <w:vAlign w:val="center"/>
            <w:hideMark/>
          </w:tcPr>
          <w:p w14:paraId="00FAEB28" w14:textId="77777777" w:rsidR="0038581D" w:rsidRPr="002A0AE5" w:rsidRDefault="0038581D" w:rsidP="00B840C6">
            <w:pPr>
              <w:pStyle w:val="NoSpacing"/>
              <w:rPr>
                <w:rFonts w:ascii="Arial" w:hAnsi="Arial" w:cs="Arial"/>
              </w:rPr>
            </w:pPr>
            <w:r w:rsidRPr="002A0AE5">
              <w:rPr>
                <w:rFonts w:ascii="Arial" w:hAnsi="Arial" w:cs="Arial"/>
              </w:rPr>
              <w:t>18.67</w:t>
            </w:r>
            <w:r w:rsidR="007E3117" w:rsidRPr="002A0AE5">
              <w:rPr>
                <w:rFonts w:ascii="Arial" w:hAnsi="Arial" w:cs="Arial"/>
              </w:rPr>
              <w:t>bc</w:t>
            </w:r>
          </w:p>
        </w:tc>
        <w:tc>
          <w:tcPr>
            <w:tcW w:w="1100" w:type="dxa"/>
            <w:noWrap/>
            <w:vAlign w:val="center"/>
            <w:hideMark/>
          </w:tcPr>
          <w:p w14:paraId="351C1C19" w14:textId="77777777" w:rsidR="0038581D" w:rsidRPr="002A0AE5" w:rsidRDefault="0038581D" w:rsidP="00B840C6">
            <w:pPr>
              <w:pStyle w:val="NoSpacing"/>
              <w:rPr>
                <w:rFonts w:ascii="Arial" w:hAnsi="Arial" w:cs="Arial"/>
              </w:rPr>
            </w:pPr>
            <w:r w:rsidRPr="002A0AE5">
              <w:rPr>
                <w:rFonts w:ascii="Arial" w:hAnsi="Arial" w:cs="Arial"/>
              </w:rPr>
              <w:t>15.67</w:t>
            </w:r>
            <w:r w:rsidR="007E3117" w:rsidRPr="002A0AE5">
              <w:rPr>
                <w:rFonts w:ascii="Arial" w:hAnsi="Arial" w:cs="Arial"/>
              </w:rPr>
              <w:t>bc</w:t>
            </w:r>
          </w:p>
        </w:tc>
        <w:tc>
          <w:tcPr>
            <w:tcW w:w="1338" w:type="dxa"/>
            <w:noWrap/>
            <w:vAlign w:val="center"/>
            <w:hideMark/>
          </w:tcPr>
          <w:p w14:paraId="126EB843" w14:textId="77777777" w:rsidR="0038581D" w:rsidRPr="002A0AE5" w:rsidRDefault="0038581D" w:rsidP="00B840C6">
            <w:pPr>
              <w:pStyle w:val="NoSpacing"/>
              <w:rPr>
                <w:rFonts w:ascii="Arial" w:hAnsi="Arial" w:cs="Arial"/>
              </w:rPr>
            </w:pPr>
            <w:r w:rsidRPr="002A0AE5">
              <w:rPr>
                <w:rFonts w:ascii="Arial" w:hAnsi="Arial" w:cs="Arial"/>
              </w:rPr>
              <w:t>291.00</w:t>
            </w:r>
            <w:r w:rsidR="007E3117" w:rsidRPr="002A0AE5">
              <w:rPr>
                <w:rFonts w:ascii="Arial" w:hAnsi="Arial" w:cs="Arial"/>
              </w:rPr>
              <w:t>ab</w:t>
            </w:r>
          </w:p>
        </w:tc>
        <w:tc>
          <w:tcPr>
            <w:tcW w:w="1338" w:type="dxa"/>
            <w:noWrap/>
            <w:vAlign w:val="center"/>
            <w:hideMark/>
          </w:tcPr>
          <w:p w14:paraId="3C9FA4C4" w14:textId="77777777" w:rsidR="0038581D" w:rsidRPr="002A0AE5" w:rsidRDefault="0038581D" w:rsidP="00B840C6">
            <w:pPr>
              <w:pStyle w:val="NoSpacing"/>
              <w:rPr>
                <w:rFonts w:ascii="Arial" w:hAnsi="Arial" w:cs="Arial"/>
              </w:rPr>
            </w:pPr>
            <w:r w:rsidRPr="002A0AE5">
              <w:rPr>
                <w:rFonts w:ascii="Arial" w:hAnsi="Arial" w:cs="Arial"/>
              </w:rPr>
              <w:t>925.00</w:t>
            </w:r>
            <w:r w:rsidR="007E3117" w:rsidRPr="002A0AE5">
              <w:rPr>
                <w:rFonts w:ascii="Arial" w:hAnsi="Arial" w:cs="Arial"/>
              </w:rPr>
              <w:t>abc</w:t>
            </w:r>
          </w:p>
        </w:tc>
        <w:tc>
          <w:tcPr>
            <w:tcW w:w="1284" w:type="dxa"/>
            <w:noWrap/>
            <w:vAlign w:val="center"/>
            <w:hideMark/>
          </w:tcPr>
          <w:p w14:paraId="5380BACC" w14:textId="77777777" w:rsidR="0038581D" w:rsidRPr="002A0AE5" w:rsidRDefault="0038581D" w:rsidP="00B840C6">
            <w:pPr>
              <w:pStyle w:val="NoSpacing"/>
              <w:rPr>
                <w:rFonts w:ascii="Arial" w:hAnsi="Arial" w:cs="Arial"/>
              </w:rPr>
            </w:pPr>
            <w:r w:rsidRPr="002A0AE5">
              <w:rPr>
                <w:rFonts w:ascii="Arial" w:hAnsi="Arial" w:cs="Arial"/>
              </w:rPr>
              <w:t>98.67</w:t>
            </w:r>
            <w:r w:rsidR="002A0AE5" w:rsidRPr="002A0AE5">
              <w:rPr>
                <w:rFonts w:ascii="Arial" w:hAnsi="Arial" w:cs="Arial"/>
              </w:rPr>
              <w:t>ac</w:t>
            </w:r>
          </w:p>
        </w:tc>
        <w:tc>
          <w:tcPr>
            <w:tcW w:w="1366" w:type="dxa"/>
            <w:noWrap/>
            <w:vAlign w:val="center"/>
            <w:hideMark/>
          </w:tcPr>
          <w:p w14:paraId="0C8B0020" w14:textId="77777777" w:rsidR="0038581D" w:rsidRPr="002A0AE5" w:rsidRDefault="0038581D" w:rsidP="00B840C6">
            <w:pPr>
              <w:pStyle w:val="NoSpacing"/>
              <w:rPr>
                <w:rFonts w:ascii="Arial" w:hAnsi="Arial" w:cs="Arial"/>
              </w:rPr>
            </w:pPr>
            <w:r w:rsidRPr="002A0AE5">
              <w:rPr>
                <w:rFonts w:ascii="Arial" w:hAnsi="Arial" w:cs="Arial"/>
              </w:rPr>
              <w:t>358.00</w:t>
            </w:r>
            <w:r w:rsidR="002A0AE5" w:rsidRPr="002A0AE5">
              <w:rPr>
                <w:rFonts w:ascii="Arial" w:hAnsi="Arial" w:cs="Arial"/>
              </w:rPr>
              <w:t>abcd</w:t>
            </w:r>
          </w:p>
        </w:tc>
      </w:tr>
      <w:tr w:rsidR="002A0AE5" w:rsidRPr="002A0AE5" w14:paraId="747D4617" w14:textId="77777777" w:rsidTr="00B840C6">
        <w:trPr>
          <w:trHeight w:val="321"/>
        </w:trPr>
        <w:tc>
          <w:tcPr>
            <w:tcW w:w="1013" w:type="dxa"/>
            <w:noWrap/>
            <w:vAlign w:val="center"/>
            <w:hideMark/>
          </w:tcPr>
          <w:p w14:paraId="01B95680"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₆</w:t>
            </w:r>
          </w:p>
        </w:tc>
        <w:tc>
          <w:tcPr>
            <w:tcW w:w="1204" w:type="dxa"/>
            <w:noWrap/>
            <w:vAlign w:val="center"/>
            <w:hideMark/>
          </w:tcPr>
          <w:p w14:paraId="3E381F3A" w14:textId="77777777" w:rsidR="0038581D" w:rsidRPr="002A0AE5" w:rsidRDefault="0038581D" w:rsidP="00B840C6">
            <w:pPr>
              <w:pStyle w:val="NoSpacing"/>
              <w:rPr>
                <w:rFonts w:ascii="Arial" w:hAnsi="Arial" w:cs="Arial"/>
              </w:rPr>
            </w:pPr>
            <w:r w:rsidRPr="002A0AE5">
              <w:rPr>
                <w:rFonts w:ascii="Arial" w:hAnsi="Arial" w:cs="Arial"/>
              </w:rPr>
              <w:t>50.40</w:t>
            </w:r>
            <w:r w:rsidR="007E3117" w:rsidRPr="002A0AE5">
              <w:rPr>
                <w:rFonts w:ascii="Arial" w:hAnsi="Arial" w:cs="Arial"/>
              </w:rPr>
              <w:t>a</w:t>
            </w:r>
          </w:p>
        </w:tc>
        <w:tc>
          <w:tcPr>
            <w:tcW w:w="1084" w:type="dxa"/>
            <w:noWrap/>
            <w:vAlign w:val="center"/>
            <w:hideMark/>
          </w:tcPr>
          <w:p w14:paraId="0A12CCCB" w14:textId="77777777" w:rsidR="0038581D" w:rsidRPr="002A0AE5" w:rsidRDefault="0038581D" w:rsidP="00B840C6">
            <w:pPr>
              <w:pStyle w:val="NoSpacing"/>
              <w:rPr>
                <w:rFonts w:ascii="Arial" w:hAnsi="Arial" w:cs="Arial"/>
              </w:rPr>
            </w:pPr>
            <w:r w:rsidRPr="002A0AE5">
              <w:rPr>
                <w:rFonts w:ascii="Arial" w:hAnsi="Arial" w:cs="Arial"/>
              </w:rPr>
              <w:t>82.47</w:t>
            </w:r>
            <w:r w:rsidR="007E3117" w:rsidRPr="002A0AE5">
              <w:rPr>
                <w:rFonts w:ascii="Arial" w:hAnsi="Arial" w:cs="Arial"/>
              </w:rPr>
              <w:t>ab</w:t>
            </w:r>
          </w:p>
        </w:tc>
        <w:tc>
          <w:tcPr>
            <w:tcW w:w="1084" w:type="dxa"/>
            <w:noWrap/>
            <w:vAlign w:val="center"/>
            <w:hideMark/>
          </w:tcPr>
          <w:p w14:paraId="0E472E43" w14:textId="77777777" w:rsidR="0038581D" w:rsidRPr="002A0AE5" w:rsidRDefault="0038581D" w:rsidP="00B840C6">
            <w:pPr>
              <w:pStyle w:val="NoSpacing"/>
              <w:rPr>
                <w:rFonts w:ascii="Arial" w:hAnsi="Arial" w:cs="Arial"/>
              </w:rPr>
            </w:pPr>
            <w:r w:rsidRPr="002A0AE5">
              <w:rPr>
                <w:rFonts w:ascii="Arial" w:hAnsi="Arial" w:cs="Arial"/>
              </w:rPr>
              <w:t>24.33</w:t>
            </w:r>
            <w:r w:rsidR="007E3117" w:rsidRPr="002A0AE5">
              <w:rPr>
                <w:rFonts w:ascii="Arial" w:hAnsi="Arial" w:cs="Arial"/>
              </w:rPr>
              <w:t>ab</w:t>
            </w:r>
          </w:p>
        </w:tc>
        <w:tc>
          <w:tcPr>
            <w:tcW w:w="1100" w:type="dxa"/>
            <w:noWrap/>
            <w:vAlign w:val="center"/>
            <w:hideMark/>
          </w:tcPr>
          <w:p w14:paraId="5BC681C0" w14:textId="77777777" w:rsidR="0038581D" w:rsidRPr="002A0AE5" w:rsidRDefault="0038581D" w:rsidP="00B840C6">
            <w:pPr>
              <w:pStyle w:val="NoSpacing"/>
              <w:rPr>
                <w:rFonts w:ascii="Arial" w:hAnsi="Arial" w:cs="Arial"/>
              </w:rPr>
            </w:pPr>
            <w:r w:rsidRPr="002A0AE5">
              <w:rPr>
                <w:rFonts w:ascii="Arial" w:hAnsi="Arial" w:cs="Arial"/>
              </w:rPr>
              <w:t>10.27</w:t>
            </w:r>
            <w:r w:rsidR="007E3117" w:rsidRPr="002A0AE5">
              <w:rPr>
                <w:rFonts w:ascii="Arial" w:hAnsi="Arial" w:cs="Arial"/>
              </w:rPr>
              <w:t>d</w:t>
            </w:r>
          </w:p>
        </w:tc>
        <w:tc>
          <w:tcPr>
            <w:tcW w:w="1338" w:type="dxa"/>
            <w:noWrap/>
            <w:vAlign w:val="center"/>
            <w:hideMark/>
          </w:tcPr>
          <w:p w14:paraId="696C928A" w14:textId="77777777" w:rsidR="0038581D" w:rsidRPr="002A0AE5" w:rsidRDefault="0038581D" w:rsidP="00B840C6">
            <w:pPr>
              <w:pStyle w:val="NoSpacing"/>
              <w:rPr>
                <w:rFonts w:ascii="Arial" w:hAnsi="Arial" w:cs="Arial"/>
              </w:rPr>
            </w:pPr>
            <w:r w:rsidRPr="002A0AE5">
              <w:rPr>
                <w:rFonts w:ascii="Arial" w:hAnsi="Arial" w:cs="Arial"/>
              </w:rPr>
              <w:t>336.67</w:t>
            </w:r>
            <w:r w:rsidR="007E3117" w:rsidRPr="002A0AE5">
              <w:rPr>
                <w:rFonts w:ascii="Arial" w:hAnsi="Arial" w:cs="Arial"/>
              </w:rPr>
              <w:t>c</w:t>
            </w:r>
          </w:p>
        </w:tc>
        <w:tc>
          <w:tcPr>
            <w:tcW w:w="1338" w:type="dxa"/>
            <w:noWrap/>
            <w:vAlign w:val="center"/>
            <w:hideMark/>
          </w:tcPr>
          <w:p w14:paraId="053EB8A4" w14:textId="77777777" w:rsidR="0038581D" w:rsidRPr="002A0AE5" w:rsidRDefault="0038581D" w:rsidP="00B840C6">
            <w:pPr>
              <w:pStyle w:val="NoSpacing"/>
              <w:rPr>
                <w:rFonts w:ascii="Arial" w:hAnsi="Arial" w:cs="Arial"/>
              </w:rPr>
            </w:pPr>
            <w:r w:rsidRPr="002A0AE5">
              <w:rPr>
                <w:rFonts w:ascii="Arial" w:hAnsi="Arial" w:cs="Arial"/>
              </w:rPr>
              <w:t>942.67</w:t>
            </w:r>
            <w:r w:rsidR="007E3117" w:rsidRPr="002A0AE5">
              <w:rPr>
                <w:rFonts w:ascii="Arial" w:hAnsi="Arial" w:cs="Arial"/>
              </w:rPr>
              <w:t>ab</w:t>
            </w:r>
          </w:p>
        </w:tc>
        <w:tc>
          <w:tcPr>
            <w:tcW w:w="1284" w:type="dxa"/>
            <w:noWrap/>
            <w:vAlign w:val="center"/>
            <w:hideMark/>
          </w:tcPr>
          <w:p w14:paraId="523E0C65" w14:textId="77777777" w:rsidR="0038581D" w:rsidRPr="002A0AE5" w:rsidRDefault="0038581D" w:rsidP="00B840C6">
            <w:pPr>
              <w:pStyle w:val="NoSpacing"/>
              <w:rPr>
                <w:rFonts w:ascii="Arial" w:hAnsi="Arial" w:cs="Arial"/>
              </w:rPr>
            </w:pPr>
            <w:r w:rsidRPr="002A0AE5">
              <w:rPr>
                <w:rFonts w:ascii="Arial" w:hAnsi="Arial" w:cs="Arial"/>
              </w:rPr>
              <w:t>108.67</w:t>
            </w:r>
            <w:r w:rsidR="002A0AE5" w:rsidRPr="002A0AE5">
              <w:rPr>
                <w:rFonts w:ascii="Arial" w:hAnsi="Arial" w:cs="Arial"/>
              </w:rPr>
              <w:t>ab</w:t>
            </w:r>
          </w:p>
        </w:tc>
        <w:tc>
          <w:tcPr>
            <w:tcW w:w="1366" w:type="dxa"/>
            <w:noWrap/>
            <w:vAlign w:val="center"/>
            <w:hideMark/>
          </w:tcPr>
          <w:p w14:paraId="316E6DF6" w14:textId="77777777" w:rsidR="0038581D" w:rsidRPr="002A0AE5" w:rsidRDefault="0038581D" w:rsidP="00B840C6">
            <w:pPr>
              <w:pStyle w:val="NoSpacing"/>
              <w:rPr>
                <w:rFonts w:ascii="Arial" w:hAnsi="Arial" w:cs="Arial"/>
              </w:rPr>
            </w:pPr>
            <w:r w:rsidRPr="002A0AE5">
              <w:rPr>
                <w:rFonts w:ascii="Arial" w:hAnsi="Arial" w:cs="Arial"/>
              </w:rPr>
              <w:t>389.33</w:t>
            </w:r>
            <w:r w:rsidR="002A0AE5" w:rsidRPr="002A0AE5">
              <w:rPr>
                <w:rFonts w:ascii="Arial" w:hAnsi="Arial" w:cs="Arial"/>
              </w:rPr>
              <w:t>ab</w:t>
            </w:r>
          </w:p>
        </w:tc>
      </w:tr>
      <w:tr w:rsidR="002A0AE5" w:rsidRPr="002A0AE5" w14:paraId="05EC758C" w14:textId="77777777" w:rsidTr="00B840C6">
        <w:trPr>
          <w:trHeight w:val="321"/>
        </w:trPr>
        <w:tc>
          <w:tcPr>
            <w:tcW w:w="1013" w:type="dxa"/>
            <w:tcBorders>
              <w:bottom w:val="single" w:sz="12" w:space="0" w:color="auto"/>
            </w:tcBorders>
            <w:noWrap/>
            <w:vAlign w:val="center"/>
            <w:hideMark/>
          </w:tcPr>
          <w:p w14:paraId="04F6C464"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₇</w:t>
            </w:r>
          </w:p>
        </w:tc>
        <w:tc>
          <w:tcPr>
            <w:tcW w:w="1204" w:type="dxa"/>
            <w:tcBorders>
              <w:bottom w:val="single" w:sz="12" w:space="0" w:color="auto"/>
            </w:tcBorders>
            <w:noWrap/>
            <w:vAlign w:val="center"/>
            <w:hideMark/>
          </w:tcPr>
          <w:p w14:paraId="09D8D053" w14:textId="77777777" w:rsidR="0038581D" w:rsidRPr="002A0AE5" w:rsidRDefault="0038581D" w:rsidP="00B840C6">
            <w:pPr>
              <w:pStyle w:val="NoSpacing"/>
              <w:rPr>
                <w:rFonts w:ascii="Arial" w:hAnsi="Arial" w:cs="Arial"/>
              </w:rPr>
            </w:pPr>
            <w:r w:rsidRPr="002A0AE5">
              <w:rPr>
                <w:rFonts w:ascii="Arial" w:hAnsi="Arial" w:cs="Arial"/>
              </w:rPr>
              <w:t>40.20</w:t>
            </w:r>
            <w:r w:rsidR="007E3117" w:rsidRPr="002A0AE5">
              <w:rPr>
                <w:rFonts w:ascii="Arial" w:hAnsi="Arial" w:cs="Arial"/>
              </w:rPr>
              <w:t>c</w:t>
            </w:r>
          </w:p>
        </w:tc>
        <w:tc>
          <w:tcPr>
            <w:tcW w:w="1084" w:type="dxa"/>
            <w:tcBorders>
              <w:bottom w:val="single" w:sz="12" w:space="0" w:color="auto"/>
            </w:tcBorders>
            <w:noWrap/>
            <w:vAlign w:val="center"/>
            <w:hideMark/>
          </w:tcPr>
          <w:p w14:paraId="5DBCC922" w14:textId="77777777" w:rsidR="0038581D" w:rsidRPr="002A0AE5" w:rsidRDefault="0038581D" w:rsidP="00B840C6">
            <w:pPr>
              <w:pStyle w:val="NoSpacing"/>
              <w:rPr>
                <w:rFonts w:ascii="Arial" w:hAnsi="Arial" w:cs="Arial"/>
              </w:rPr>
            </w:pPr>
            <w:r w:rsidRPr="002A0AE5">
              <w:rPr>
                <w:rFonts w:ascii="Arial" w:hAnsi="Arial" w:cs="Arial"/>
              </w:rPr>
              <w:t>78.60</w:t>
            </w:r>
            <w:r w:rsidR="007E3117" w:rsidRPr="002A0AE5">
              <w:rPr>
                <w:rFonts w:ascii="Arial" w:hAnsi="Arial" w:cs="Arial"/>
              </w:rPr>
              <w:t>d</w:t>
            </w:r>
          </w:p>
        </w:tc>
        <w:tc>
          <w:tcPr>
            <w:tcW w:w="1084" w:type="dxa"/>
            <w:tcBorders>
              <w:bottom w:val="single" w:sz="12" w:space="0" w:color="auto"/>
            </w:tcBorders>
            <w:noWrap/>
            <w:vAlign w:val="center"/>
            <w:hideMark/>
          </w:tcPr>
          <w:p w14:paraId="2E7CF40C" w14:textId="77777777" w:rsidR="0038581D" w:rsidRPr="002A0AE5" w:rsidRDefault="0038581D" w:rsidP="00B840C6">
            <w:pPr>
              <w:pStyle w:val="NoSpacing"/>
              <w:rPr>
                <w:rFonts w:ascii="Arial" w:hAnsi="Arial" w:cs="Arial"/>
              </w:rPr>
            </w:pPr>
            <w:r w:rsidRPr="002A0AE5">
              <w:rPr>
                <w:rFonts w:ascii="Arial" w:hAnsi="Arial" w:cs="Arial"/>
              </w:rPr>
              <w:t>18.07</w:t>
            </w:r>
            <w:r w:rsidR="007E3117" w:rsidRPr="002A0AE5">
              <w:rPr>
                <w:rFonts w:ascii="Arial" w:hAnsi="Arial" w:cs="Arial"/>
              </w:rPr>
              <w:t>c</w:t>
            </w:r>
          </w:p>
        </w:tc>
        <w:tc>
          <w:tcPr>
            <w:tcW w:w="1100" w:type="dxa"/>
            <w:tcBorders>
              <w:bottom w:val="single" w:sz="12" w:space="0" w:color="auto"/>
            </w:tcBorders>
            <w:noWrap/>
            <w:vAlign w:val="center"/>
            <w:hideMark/>
          </w:tcPr>
          <w:p w14:paraId="0AAB29E8" w14:textId="77777777" w:rsidR="0038581D" w:rsidRPr="002A0AE5" w:rsidRDefault="0038581D" w:rsidP="00B840C6">
            <w:pPr>
              <w:pStyle w:val="NoSpacing"/>
              <w:rPr>
                <w:rFonts w:ascii="Arial" w:hAnsi="Arial" w:cs="Arial"/>
              </w:rPr>
            </w:pPr>
            <w:r w:rsidRPr="002A0AE5">
              <w:rPr>
                <w:rFonts w:ascii="Arial" w:hAnsi="Arial" w:cs="Arial"/>
              </w:rPr>
              <w:t>18.27</w:t>
            </w:r>
            <w:r w:rsidR="007E3117" w:rsidRPr="002A0AE5">
              <w:rPr>
                <w:rFonts w:ascii="Arial" w:hAnsi="Arial" w:cs="Arial"/>
              </w:rPr>
              <w:t>ab</w:t>
            </w:r>
          </w:p>
        </w:tc>
        <w:tc>
          <w:tcPr>
            <w:tcW w:w="1338" w:type="dxa"/>
            <w:tcBorders>
              <w:bottom w:val="single" w:sz="12" w:space="0" w:color="auto"/>
            </w:tcBorders>
            <w:noWrap/>
            <w:vAlign w:val="center"/>
            <w:hideMark/>
          </w:tcPr>
          <w:p w14:paraId="63736FF0" w14:textId="77777777" w:rsidR="0038581D" w:rsidRPr="002A0AE5" w:rsidRDefault="0038581D" w:rsidP="00B840C6">
            <w:pPr>
              <w:pStyle w:val="NoSpacing"/>
              <w:rPr>
                <w:rFonts w:ascii="Arial" w:hAnsi="Arial" w:cs="Arial"/>
              </w:rPr>
            </w:pPr>
            <w:r w:rsidRPr="002A0AE5">
              <w:rPr>
                <w:rFonts w:ascii="Arial" w:hAnsi="Arial" w:cs="Arial"/>
              </w:rPr>
              <w:t>198.00</w:t>
            </w:r>
            <w:r w:rsidR="007E3117" w:rsidRPr="002A0AE5">
              <w:rPr>
                <w:rFonts w:ascii="Arial" w:hAnsi="Arial" w:cs="Arial"/>
              </w:rPr>
              <w:t>c</w:t>
            </w:r>
          </w:p>
        </w:tc>
        <w:tc>
          <w:tcPr>
            <w:tcW w:w="1338" w:type="dxa"/>
            <w:tcBorders>
              <w:bottom w:val="single" w:sz="12" w:space="0" w:color="auto"/>
            </w:tcBorders>
            <w:noWrap/>
            <w:vAlign w:val="center"/>
            <w:hideMark/>
          </w:tcPr>
          <w:p w14:paraId="5E9A2F0A" w14:textId="77777777" w:rsidR="0038581D" w:rsidRPr="002A0AE5" w:rsidRDefault="0038581D" w:rsidP="00B840C6">
            <w:pPr>
              <w:pStyle w:val="NoSpacing"/>
              <w:rPr>
                <w:rFonts w:ascii="Arial" w:hAnsi="Arial" w:cs="Arial"/>
              </w:rPr>
            </w:pPr>
            <w:r w:rsidRPr="002A0AE5">
              <w:rPr>
                <w:rFonts w:ascii="Arial" w:hAnsi="Arial" w:cs="Arial"/>
              </w:rPr>
              <w:t>767.33</w:t>
            </w:r>
            <w:r w:rsidR="007E3117" w:rsidRPr="002A0AE5">
              <w:rPr>
                <w:rFonts w:ascii="Arial" w:hAnsi="Arial" w:cs="Arial"/>
              </w:rPr>
              <w:t>d</w:t>
            </w:r>
          </w:p>
        </w:tc>
        <w:tc>
          <w:tcPr>
            <w:tcW w:w="1284" w:type="dxa"/>
            <w:tcBorders>
              <w:bottom w:val="single" w:sz="12" w:space="0" w:color="auto"/>
            </w:tcBorders>
            <w:noWrap/>
            <w:vAlign w:val="center"/>
            <w:hideMark/>
          </w:tcPr>
          <w:p w14:paraId="5C0B7F34" w14:textId="77777777" w:rsidR="0038581D" w:rsidRPr="002A0AE5" w:rsidRDefault="0038581D" w:rsidP="00B840C6">
            <w:pPr>
              <w:pStyle w:val="NoSpacing"/>
              <w:rPr>
                <w:rFonts w:ascii="Arial" w:hAnsi="Arial" w:cs="Arial"/>
              </w:rPr>
            </w:pPr>
            <w:r w:rsidRPr="002A0AE5">
              <w:rPr>
                <w:rFonts w:ascii="Arial" w:hAnsi="Arial" w:cs="Arial"/>
              </w:rPr>
              <w:t>80.00</w:t>
            </w:r>
            <w:r w:rsidR="002A0AE5" w:rsidRPr="002A0AE5">
              <w:rPr>
                <w:rFonts w:ascii="Arial" w:hAnsi="Arial" w:cs="Arial"/>
              </w:rPr>
              <w:t>c</w:t>
            </w:r>
          </w:p>
        </w:tc>
        <w:tc>
          <w:tcPr>
            <w:tcW w:w="1366" w:type="dxa"/>
            <w:tcBorders>
              <w:bottom w:val="single" w:sz="12" w:space="0" w:color="auto"/>
            </w:tcBorders>
            <w:noWrap/>
            <w:vAlign w:val="center"/>
            <w:hideMark/>
          </w:tcPr>
          <w:p w14:paraId="401BCF4C" w14:textId="77777777" w:rsidR="0038581D" w:rsidRPr="002A0AE5" w:rsidRDefault="0038581D" w:rsidP="00B840C6">
            <w:pPr>
              <w:pStyle w:val="NoSpacing"/>
              <w:rPr>
                <w:rFonts w:ascii="Arial" w:hAnsi="Arial" w:cs="Arial"/>
              </w:rPr>
            </w:pPr>
            <w:r w:rsidRPr="002A0AE5">
              <w:rPr>
                <w:rFonts w:ascii="Arial" w:hAnsi="Arial" w:cs="Arial"/>
              </w:rPr>
              <w:t>335.33</w:t>
            </w:r>
            <w:r w:rsidR="002A0AE5" w:rsidRPr="002A0AE5">
              <w:rPr>
                <w:rFonts w:ascii="Arial" w:hAnsi="Arial" w:cs="Arial"/>
              </w:rPr>
              <w:t>d</w:t>
            </w:r>
          </w:p>
        </w:tc>
      </w:tr>
    </w:tbl>
    <w:p w14:paraId="5B6634A7" w14:textId="77777777" w:rsidR="0038581D" w:rsidRDefault="0038581D" w:rsidP="002A0AE5">
      <w:pPr>
        <w:spacing w:after="120" w:line="360" w:lineRule="auto"/>
        <w:rPr>
          <w:rFonts w:ascii="Arial" w:eastAsia="Arial Unicode MS" w:hAnsi="Arial" w:cs="Arial"/>
          <w:color w:val="000000" w:themeColor="text1"/>
          <w:sz w:val="24"/>
          <w:szCs w:val="24"/>
        </w:rPr>
      </w:pPr>
    </w:p>
    <w:p w14:paraId="7AFEDEBB" w14:textId="77777777" w:rsidR="00DD0B63" w:rsidRDefault="00DD0B63" w:rsidP="00CF73FF">
      <w:pPr>
        <w:spacing w:after="0" w:line="360" w:lineRule="auto"/>
        <w:jc w:val="both"/>
        <w:rPr>
          <w:rFonts w:ascii="Arial" w:eastAsia="Arial Unicode MS" w:hAnsi="Arial" w:cs="Arial"/>
          <w:color w:val="000000" w:themeColor="text1"/>
          <w:sz w:val="24"/>
          <w:szCs w:val="24"/>
        </w:rPr>
      </w:pPr>
      <w:r>
        <w:rPr>
          <w:noProof/>
          <w:lang w:bidi="hi-IN"/>
        </w:rPr>
        <w:lastRenderedPageBreak/>
        <w:drawing>
          <wp:inline distT="0" distB="0" distL="0" distR="0" wp14:anchorId="7E399AD6" wp14:editId="036B87AC">
            <wp:extent cx="6067425" cy="30289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B393A3" w14:textId="77777777" w:rsidR="00CF73FF" w:rsidRPr="00CF73FF" w:rsidRDefault="00CF73FF" w:rsidP="00CF73FF">
      <w:pPr>
        <w:spacing w:after="0" w:line="360" w:lineRule="auto"/>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Plant height and No. of leaves as influenced by different sowing methods</w:t>
      </w:r>
    </w:p>
    <w:p w14:paraId="6A3396AD" w14:textId="77777777" w:rsidR="00DD0B63" w:rsidRDefault="00DD0B63" w:rsidP="007D38FD">
      <w:pPr>
        <w:spacing w:after="120" w:line="360" w:lineRule="auto"/>
        <w:jc w:val="both"/>
        <w:rPr>
          <w:rFonts w:ascii="Arial" w:eastAsia="Arial Unicode MS" w:hAnsi="Arial" w:cs="Arial"/>
          <w:color w:val="000000" w:themeColor="text1"/>
          <w:sz w:val="24"/>
          <w:szCs w:val="24"/>
        </w:rPr>
      </w:pPr>
    </w:p>
    <w:p w14:paraId="5828491B" w14:textId="77777777" w:rsidR="00DD0B63" w:rsidRDefault="00EF73D1" w:rsidP="00AE4765">
      <w:pPr>
        <w:spacing w:after="0" w:line="360" w:lineRule="auto"/>
        <w:ind w:left="-270" w:firstLine="270"/>
        <w:jc w:val="both"/>
        <w:rPr>
          <w:rFonts w:ascii="Arial" w:eastAsia="Arial Unicode MS" w:hAnsi="Arial" w:cs="Arial"/>
          <w:color w:val="000000" w:themeColor="text1"/>
          <w:sz w:val="24"/>
          <w:szCs w:val="24"/>
        </w:rPr>
      </w:pPr>
      <w:r w:rsidRPr="00C838C2">
        <w:rPr>
          <w:rFonts w:ascii="Arial" w:hAnsi="Arial" w:cs="Arial"/>
          <w:noProof/>
          <w:lang w:bidi="hi-IN"/>
        </w:rPr>
        <w:drawing>
          <wp:inline distT="0" distB="0" distL="0" distR="0" wp14:anchorId="31EB5948" wp14:editId="719C239E">
            <wp:extent cx="6381750" cy="34385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897DFB" w14:textId="77777777" w:rsidR="00CF73FF" w:rsidRPr="00AE4765" w:rsidRDefault="00CF73FF" w:rsidP="00AE4765">
      <w:pPr>
        <w:spacing w:line="360" w:lineRule="auto"/>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w:t>
      </w:r>
      <w:r w:rsidRPr="00CF73FF">
        <w:rPr>
          <w:rFonts w:ascii="Arial" w:eastAsia="Arial Unicode MS" w:hAnsi="Arial" w:cs="Arial"/>
          <w:b/>
          <w:color w:val="000000" w:themeColor="text1"/>
          <w:lang w:val="en-IN"/>
        </w:rPr>
        <w:t xml:space="preserve"> as influenced by different sowing methods</w:t>
      </w:r>
    </w:p>
    <w:p w14:paraId="61B2D29C" w14:textId="77777777" w:rsidR="00AE4765" w:rsidRPr="0056551D" w:rsidRDefault="00AE4765" w:rsidP="002531B4">
      <w:pPr>
        <w:spacing w:after="120" w:line="360" w:lineRule="auto"/>
        <w:jc w:val="both"/>
        <w:rPr>
          <w:rFonts w:ascii="Arial" w:eastAsia="Arial Unicode MS" w:hAnsi="Arial" w:cs="Arial"/>
          <w:b/>
          <w:color w:val="000000" w:themeColor="text1"/>
          <w:sz w:val="24"/>
          <w:szCs w:val="24"/>
        </w:rPr>
      </w:pPr>
      <w:r w:rsidRPr="0056551D">
        <w:rPr>
          <w:rFonts w:ascii="Arial" w:eastAsia="Arial Unicode MS" w:hAnsi="Arial" w:cs="Arial"/>
          <w:b/>
          <w:color w:val="000000" w:themeColor="text1"/>
          <w:sz w:val="24"/>
          <w:szCs w:val="24"/>
        </w:rPr>
        <w:t xml:space="preserve">3.2 </w:t>
      </w:r>
      <w:r w:rsidR="007D38FD" w:rsidRPr="0056551D">
        <w:rPr>
          <w:rFonts w:ascii="Arial" w:eastAsia="Arial Unicode MS" w:hAnsi="Arial" w:cs="Arial"/>
          <w:b/>
          <w:color w:val="000000" w:themeColor="text1"/>
          <w:sz w:val="24"/>
          <w:szCs w:val="24"/>
        </w:rPr>
        <w:t>Yield parameters</w:t>
      </w:r>
    </w:p>
    <w:p w14:paraId="24468F01" w14:textId="77777777" w:rsidR="003B225E" w:rsidRPr="0056551D" w:rsidRDefault="007D38FD" w:rsidP="002531B4">
      <w:pPr>
        <w:spacing w:after="120" w:line="360" w:lineRule="auto"/>
        <w:ind w:firstLine="720"/>
        <w:jc w:val="both"/>
        <w:rPr>
          <w:rFonts w:ascii="Arial" w:eastAsia="Arial Unicode MS" w:hAnsi="Arial" w:cs="Arial"/>
          <w:b/>
          <w:color w:val="000000" w:themeColor="text1"/>
          <w:sz w:val="24"/>
          <w:szCs w:val="24"/>
        </w:rPr>
      </w:pPr>
      <w:r w:rsidRPr="0056551D">
        <w:rPr>
          <w:rFonts w:ascii="Arial" w:eastAsia="Arial Unicode MS" w:hAnsi="Arial" w:cs="Arial"/>
          <w:color w:val="000000" w:themeColor="text1"/>
          <w:sz w:val="24"/>
          <w:szCs w:val="24"/>
        </w:rPr>
        <w:t>An analysis of yiel</w:t>
      </w:r>
      <w:r w:rsidR="00AE4765" w:rsidRPr="0056551D">
        <w:rPr>
          <w:rFonts w:ascii="Arial" w:eastAsia="Arial Unicode MS" w:hAnsi="Arial" w:cs="Arial"/>
          <w:color w:val="000000" w:themeColor="text1"/>
          <w:sz w:val="24"/>
          <w:szCs w:val="24"/>
        </w:rPr>
        <w:t xml:space="preserve">d attributes </w:t>
      </w:r>
      <w:r w:rsidR="00F30254">
        <w:rPr>
          <w:rFonts w:ascii="Arial" w:eastAsia="Arial Unicode MS" w:hAnsi="Arial" w:cs="Arial"/>
          <w:color w:val="000000" w:themeColor="text1"/>
          <w:sz w:val="24"/>
          <w:szCs w:val="24"/>
        </w:rPr>
        <w:t>showed in Table 2 and F</w:t>
      </w:r>
      <w:r w:rsidR="002531B4" w:rsidRPr="0056551D">
        <w:rPr>
          <w:rFonts w:ascii="Arial" w:eastAsia="Arial Unicode MS" w:hAnsi="Arial" w:cs="Arial"/>
          <w:color w:val="000000" w:themeColor="text1"/>
          <w:sz w:val="24"/>
          <w:szCs w:val="24"/>
        </w:rPr>
        <w:t>igure 3.</w:t>
      </w:r>
      <w:r w:rsidR="00AE4765" w:rsidRPr="0056551D">
        <w:rPr>
          <w:rFonts w:ascii="Arial" w:eastAsia="Arial Unicode MS" w:hAnsi="Arial" w:cs="Arial"/>
          <w:color w:val="000000" w:themeColor="text1"/>
          <w:sz w:val="24"/>
          <w:szCs w:val="24"/>
        </w:rPr>
        <w:t xml:space="preserve"> </w:t>
      </w:r>
      <w:r w:rsidRPr="0056551D">
        <w:rPr>
          <w:rFonts w:ascii="Arial" w:eastAsia="Arial Unicode MS" w:hAnsi="Arial" w:cs="Arial"/>
          <w:color w:val="000000" w:themeColor="text1"/>
          <w:sz w:val="24"/>
          <w:szCs w:val="24"/>
        </w:rPr>
        <w:t xml:space="preserve"> </w:t>
      </w:r>
    </w:p>
    <w:p w14:paraId="41E8D528" w14:textId="77777777" w:rsidR="007D38FD" w:rsidRPr="0056551D" w:rsidRDefault="00AE4765" w:rsidP="002531B4">
      <w:pPr>
        <w:spacing w:after="120" w:line="360" w:lineRule="auto"/>
        <w:jc w:val="both"/>
        <w:rPr>
          <w:rFonts w:ascii="Arial" w:eastAsia="Arial Unicode MS" w:hAnsi="Arial" w:cs="Arial"/>
          <w:b/>
          <w:bCs/>
          <w:color w:val="000000" w:themeColor="text1"/>
          <w:sz w:val="24"/>
          <w:szCs w:val="24"/>
        </w:rPr>
      </w:pPr>
      <w:r w:rsidRPr="0056551D">
        <w:rPr>
          <w:rFonts w:ascii="Arial" w:eastAsia="Arial Unicode MS" w:hAnsi="Arial" w:cs="Arial"/>
          <w:b/>
          <w:bCs/>
          <w:color w:val="000000" w:themeColor="text1"/>
          <w:sz w:val="24"/>
          <w:szCs w:val="24"/>
        </w:rPr>
        <w:t xml:space="preserve">3.2.1 </w:t>
      </w:r>
      <w:r w:rsidR="007D38FD" w:rsidRPr="0056551D">
        <w:rPr>
          <w:rFonts w:ascii="Arial" w:eastAsia="Arial Unicode MS" w:hAnsi="Arial" w:cs="Arial"/>
          <w:b/>
          <w:bCs/>
          <w:color w:val="000000" w:themeColor="text1"/>
          <w:sz w:val="24"/>
          <w:szCs w:val="24"/>
        </w:rPr>
        <w:t xml:space="preserve">Spike length </w:t>
      </w:r>
    </w:p>
    <w:p w14:paraId="1C46376D" w14:textId="2706F8BD" w:rsidR="00F509AD" w:rsidRPr="0056551D" w:rsidRDefault="007D38FD" w:rsidP="00F30254">
      <w:pPr>
        <w:spacing w:after="120" w:line="360" w:lineRule="auto"/>
        <w:ind w:firstLine="720"/>
        <w:jc w:val="both"/>
        <w:rPr>
          <w:rFonts w:ascii="Arial" w:eastAsia="Arial Unicode MS" w:hAnsi="Arial" w:cs="Arial"/>
          <w:color w:val="000000" w:themeColor="text1"/>
          <w:sz w:val="24"/>
          <w:szCs w:val="24"/>
        </w:rPr>
      </w:pPr>
      <w:r w:rsidRPr="0056551D">
        <w:rPr>
          <w:rFonts w:ascii="Arial" w:eastAsia="Arial Unicode MS" w:hAnsi="Arial" w:cs="Arial"/>
          <w:color w:val="000000" w:themeColor="text1"/>
          <w:sz w:val="24"/>
          <w:szCs w:val="24"/>
        </w:rPr>
        <w:lastRenderedPageBreak/>
        <w:t>The maximum spike length noticed under square method (20 cm × 20 cm) (3 seed/hill) [T</w:t>
      </w:r>
      <w:r w:rsidRPr="0056551D">
        <w:rPr>
          <w:rFonts w:ascii="Arial" w:eastAsia="Arial Unicode MS" w:hAnsi="Arial" w:cs="Arial"/>
          <w:color w:val="000000" w:themeColor="text1"/>
          <w:sz w:val="24"/>
          <w:szCs w:val="24"/>
          <w:vertAlign w:val="subscript"/>
        </w:rPr>
        <w:t>3</w:t>
      </w:r>
      <w:r w:rsidRPr="0056551D">
        <w:rPr>
          <w:rFonts w:ascii="Arial" w:eastAsia="Arial Unicode MS" w:hAnsi="Arial" w:cs="Arial"/>
          <w:color w:val="000000" w:themeColor="text1"/>
          <w:sz w:val="24"/>
          <w:szCs w:val="24"/>
        </w:rPr>
        <w:t>], which was at par with line sowing (row spacing - 20 cm) [T</w:t>
      </w:r>
      <w:r w:rsidRPr="0056551D">
        <w:rPr>
          <w:rFonts w:ascii="Arial" w:eastAsia="Arial Unicode MS" w:hAnsi="Arial" w:cs="Arial"/>
          <w:color w:val="000000" w:themeColor="text1"/>
          <w:sz w:val="24"/>
          <w:szCs w:val="24"/>
          <w:vertAlign w:val="subscript"/>
        </w:rPr>
        <w:t>2</w:t>
      </w:r>
      <w:r w:rsidRPr="0056551D">
        <w:rPr>
          <w:rFonts w:ascii="Arial" w:eastAsia="Arial Unicode MS" w:hAnsi="Arial" w:cs="Arial"/>
          <w:color w:val="000000" w:themeColor="text1"/>
          <w:sz w:val="24"/>
          <w:szCs w:val="24"/>
        </w:rPr>
        <w:t>], sowing on ridge (45 cm) [T</w:t>
      </w:r>
      <w:r w:rsidRPr="0056551D">
        <w:rPr>
          <w:rFonts w:ascii="Arial" w:eastAsia="Arial Unicode MS" w:hAnsi="Arial" w:cs="Arial"/>
          <w:color w:val="000000" w:themeColor="text1"/>
          <w:sz w:val="24"/>
          <w:szCs w:val="24"/>
          <w:vertAlign w:val="subscript"/>
        </w:rPr>
        <w:t>4</w:t>
      </w:r>
      <w:r w:rsidRPr="0056551D">
        <w:rPr>
          <w:rFonts w:ascii="Arial" w:eastAsia="Arial Unicode MS" w:hAnsi="Arial" w:cs="Arial"/>
          <w:color w:val="000000" w:themeColor="text1"/>
          <w:sz w:val="24"/>
          <w:szCs w:val="24"/>
        </w:rPr>
        <w:t>], sowing in furrow (45 cm) [T</w:t>
      </w:r>
      <w:r w:rsidRPr="0056551D">
        <w:rPr>
          <w:rFonts w:ascii="Arial" w:eastAsia="Arial Unicode MS" w:hAnsi="Arial" w:cs="Arial"/>
          <w:color w:val="000000" w:themeColor="text1"/>
          <w:sz w:val="24"/>
          <w:szCs w:val="24"/>
          <w:vertAlign w:val="subscript"/>
        </w:rPr>
        <w:t>5</w:t>
      </w:r>
      <w:r w:rsidRPr="0056551D">
        <w:rPr>
          <w:rFonts w:ascii="Arial" w:eastAsia="Arial Unicode MS" w:hAnsi="Arial" w:cs="Arial"/>
          <w:color w:val="000000" w:themeColor="text1"/>
          <w:sz w:val="24"/>
          <w:szCs w:val="24"/>
        </w:rPr>
        <w:t>] and sowing on bed (3 rows) (row spacing - 20 cm, bed width - 60 cm) [T</w:t>
      </w:r>
      <w:r w:rsidRPr="0056551D">
        <w:rPr>
          <w:rFonts w:ascii="Arial" w:eastAsia="Arial Unicode MS" w:hAnsi="Arial" w:cs="Arial"/>
          <w:color w:val="000000" w:themeColor="text1"/>
          <w:sz w:val="24"/>
          <w:szCs w:val="24"/>
          <w:vertAlign w:val="subscript"/>
        </w:rPr>
        <w:t>6</w:t>
      </w:r>
      <w:r w:rsidRPr="0056551D">
        <w:rPr>
          <w:rFonts w:ascii="Arial" w:eastAsia="Arial Unicode MS" w:hAnsi="Arial" w:cs="Arial"/>
          <w:color w:val="000000" w:themeColor="text1"/>
          <w:sz w:val="24"/>
          <w:szCs w:val="24"/>
        </w:rPr>
        <w:t>]. The smallest spike length was found in Sowing on ridge (5 rows) (row spacing - 20 cm, bed width - 100 cm) [T</w:t>
      </w:r>
      <w:r w:rsidRPr="0056551D">
        <w:rPr>
          <w:rFonts w:ascii="Arial" w:eastAsia="Arial Unicode MS" w:hAnsi="Arial" w:cs="Arial"/>
          <w:color w:val="000000" w:themeColor="text1"/>
          <w:sz w:val="24"/>
          <w:szCs w:val="24"/>
          <w:vertAlign w:val="subscript"/>
        </w:rPr>
        <w:t>7</w:t>
      </w:r>
      <w:r w:rsidRPr="0056551D">
        <w:rPr>
          <w:rFonts w:ascii="Arial" w:eastAsia="Arial Unicode MS" w:hAnsi="Arial" w:cs="Arial"/>
          <w:color w:val="000000" w:themeColor="text1"/>
          <w:sz w:val="24"/>
          <w:szCs w:val="24"/>
        </w:rPr>
        <w:t>].</w:t>
      </w:r>
      <w:r w:rsidR="00F30254">
        <w:rPr>
          <w:rFonts w:ascii="Arial" w:eastAsia="Arial Unicode MS" w:hAnsi="Arial" w:cs="Arial"/>
          <w:color w:val="000000" w:themeColor="text1"/>
          <w:sz w:val="24"/>
          <w:szCs w:val="24"/>
        </w:rPr>
        <w:t xml:space="preserve"> </w:t>
      </w:r>
      <w:r w:rsidR="00F509AD" w:rsidRPr="0056551D">
        <w:rPr>
          <w:rFonts w:ascii="Arial" w:eastAsia="Arial Unicode MS" w:hAnsi="Arial" w:cs="Arial"/>
          <w:color w:val="000000" w:themeColor="text1"/>
          <w:sz w:val="24"/>
          <w:szCs w:val="24"/>
        </w:rPr>
        <w:t xml:space="preserve">The maximum spike length was also recorded in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₃</w:t>
      </w:r>
      <w:r w:rsidR="00F509AD" w:rsidRPr="0056551D">
        <w:rPr>
          <w:rFonts w:ascii="Arial" w:eastAsia="Arial Unicode MS" w:hAnsi="Arial" w:cs="Arial"/>
          <w:color w:val="000000" w:themeColor="text1"/>
          <w:sz w:val="24"/>
          <w:szCs w:val="24"/>
        </w:rPr>
        <w:t xml:space="preserve">, likely because of better root anchorage, higher photosynthate accumulation, and reduced intra-specific competition under optimum plant geometry. These results are in line with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E6630A">
        <w:rPr>
          <w:rFonts w:ascii="Arial" w:eastAsia="Arial Unicode MS" w:hAnsi="Arial" w:cs="Arial"/>
          <w:noProof/>
          <w:color w:val="000000" w:themeColor="text1"/>
          <w:sz w:val="24"/>
          <w:szCs w:val="24"/>
        </w:rPr>
        <w:t>(Santhosh and</w:t>
      </w:r>
      <w:r w:rsidR="00F509AD" w:rsidRPr="0056551D">
        <w:rPr>
          <w:rFonts w:ascii="Arial" w:eastAsia="Arial Unicode MS" w:hAnsi="Arial" w:cs="Arial"/>
          <w:noProof/>
          <w:color w:val="000000" w:themeColor="text1"/>
          <w:sz w:val="24"/>
          <w:szCs w:val="24"/>
        </w:rPr>
        <w:t xml:space="preserve"> Mehera,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L.)","type":"article-journal","volume":"23"},"uris":["http://www.mendeley.com/documents/?uuid=e2db2d94-54d0-48e9-be86-3fe9b3bbb39b","http://www.mendeley.com/documents/?uuid=ea036779-f994-4d6b-b9a2-a749f090dd2b"]}],"mendeley":{"formattedCitation":"(Prakash et al., 2022)","plainTextFormattedCitation":"(Prakash et al., 2022)","previouslyFormattedCitation":"(Prakash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(Prakash </w:t>
      </w:r>
      <w:r w:rsidR="00F509AD" w:rsidRPr="00E6630A">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xml:space="preserve">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who both reported significantly longer spike length under SWI</w:t>
      </w:r>
      <w:r w:rsidR="00E27034">
        <w:rPr>
          <w:rFonts w:ascii="Arial" w:eastAsia="Arial Unicode MS" w:hAnsi="Arial" w:cs="Arial"/>
          <w:color w:val="000000" w:themeColor="text1"/>
          <w:sz w:val="24"/>
          <w:szCs w:val="24"/>
        </w:rPr>
        <w:t xml:space="preserve"> (20 cm × 20 cm) </w:t>
      </w:r>
      <w:r w:rsidR="00F509AD" w:rsidRPr="0056551D">
        <w:rPr>
          <w:rFonts w:ascii="Arial" w:eastAsia="Arial Unicode MS" w:hAnsi="Arial" w:cs="Arial"/>
          <w:color w:val="000000" w:themeColor="text1"/>
          <w:sz w:val="24"/>
          <w:szCs w:val="24"/>
        </w:rPr>
        <w:t>sowing. Thus, optimum spacing or structured sowing geometry favors elongated spike growth.</w:t>
      </w:r>
    </w:p>
    <w:p w14:paraId="4CC9068C" w14:textId="77777777" w:rsidR="00D956ED" w:rsidRPr="0056551D" w:rsidRDefault="00AE4765"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3.2.2 </w:t>
      </w:r>
      <w:r w:rsidR="00D956ED" w:rsidRPr="0056551D">
        <w:rPr>
          <w:rFonts w:ascii="Arial" w:eastAsia="Arial Unicode MS" w:hAnsi="Arial" w:cs="Arial"/>
          <w:b/>
          <w:bCs/>
          <w:color w:val="000000" w:themeColor="text1"/>
          <w:sz w:val="24"/>
          <w:szCs w:val="24"/>
          <w:lang w:val="en-IN"/>
        </w:rPr>
        <w:t>Awn length</w:t>
      </w:r>
    </w:p>
    <w:p w14:paraId="570CFA4E" w14:textId="3796269E" w:rsidR="00F509AD" w:rsidRPr="00F30254" w:rsidRDefault="00D956ED" w:rsidP="00F30254">
      <w:pPr>
        <w:spacing w:after="120" w:line="360" w:lineRule="auto"/>
        <w:ind w:firstLine="720"/>
        <w:jc w:val="both"/>
        <w:rPr>
          <w:rFonts w:ascii="Arial" w:eastAsia="Arial Unicode MS" w:hAnsi="Arial" w:cs="Arial"/>
          <w:bCs/>
          <w:color w:val="000000" w:themeColor="text1"/>
          <w:sz w:val="24"/>
          <w:szCs w:val="24"/>
        </w:rPr>
      </w:pPr>
      <w:r w:rsidRPr="0056551D">
        <w:rPr>
          <w:rFonts w:ascii="Arial" w:eastAsia="Arial Unicode MS" w:hAnsi="Arial" w:cs="Arial"/>
          <w:bCs/>
          <w:color w:val="000000" w:themeColor="text1"/>
          <w:sz w:val="24"/>
          <w:szCs w:val="24"/>
        </w:rPr>
        <w:t>The longest awn length reported in square method (20 cm × 20 cm) (3 seed/hill) [T</w:t>
      </w:r>
      <w:r w:rsidRPr="0056551D">
        <w:rPr>
          <w:rFonts w:ascii="Arial" w:eastAsia="Arial Unicode MS" w:hAnsi="Arial" w:cs="Arial"/>
          <w:bCs/>
          <w:color w:val="000000" w:themeColor="text1"/>
          <w:sz w:val="24"/>
          <w:szCs w:val="24"/>
          <w:vertAlign w:val="subscript"/>
        </w:rPr>
        <w:t>3</w:t>
      </w:r>
      <w:r w:rsidRPr="0056551D">
        <w:rPr>
          <w:rFonts w:ascii="Arial" w:eastAsia="Arial Unicode MS" w:hAnsi="Arial" w:cs="Arial"/>
          <w:bCs/>
          <w:color w:val="000000" w:themeColor="text1"/>
          <w:sz w:val="24"/>
          <w:szCs w:val="24"/>
        </w:rPr>
        <w:t>], which was at par with the rest of treatment expect sowing on ridge (5 rows) (row spacing - 20 cm, bed width - 100 cm) [T</w:t>
      </w:r>
      <w:r w:rsidRPr="0056551D">
        <w:rPr>
          <w:rFonts w:ascii="Arial" w:eastAsia="Arial Unicode MS" w:hAnsi="Arial" w:cs="Arial"/>
          <w:bCs/>
          <w:color w:val="000000" w:themeColor="text1"/>
          <w:sz w:val="24"/>
          <w:szCs w:val="24"/>
          <w:vertAlign w:val="subscript"/>
        </w:rPr>
        <w:t>7</w:t>
      </w:r>
      <w:r w:rsidRPr="0056551D">
        <w:rPr>
          <w:rFonts w:ascii="Arial" w:eastAsia="Arial Unicode MS" w:hAnsi="Arial" w:cs="Arial"/>
          <w:bCs/>
          <w:color w:val="000000" w:themeColor="text1"/>
          <w:sz w:val="24"/>
          <w:szCs w:val="24"/>
        </w:rPr>
        <w:t>].</w:t>
      </w:r>
      <w:r w:rsidR="00F30254">
        <w:rPr>
          <w:rFonts w:ascii="Arial" w:eastAsia="Arial Unicode MS" w:hAnsi="Arial" w:cs="Arial"/>
          <w:bCs/>
          <w:color w:val="000000" w:themeColor="text1"/>
          <w:sz w:val="24"/>
          <w:szCs w:val="24"/>
        </w:rPr>
        <w:t xml:space="preserve"> </w:t>
      </w:r>
      <w:r w:rsidR="00F509AD" w:rsidRPr="0056551D">
        <w:rPr>
          <w:rFonts w:ascii="Arial" w:eastAsia="Arial Unicode MS" w:hAnsi="Arial" w:cs="Arial"/>
          <w:color w:val="000000" w:themeColor="text1"/>
          <w:sz w:val="24"/>
          <w:szCs w:val="24"/>
        </w:rPr>
        <w:t xml:space="preserve">Longer awns generally indicate better spike photosynthetic contribution and improved assimilate supply during grain filling. These results are supported by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L.)","type":"article-journal","volume":"23"},"uris":["http://www.mendeley.com/documents/?uuid=e2db2d94-54d0-48e9-be86-3fe9b3bbb39b","http://www.mendeley.com/documents/?uuid=ea036779-f994-4d6b-b9a2-a749f090dd2b"]}],"mendeley":{"formattedCitation":"(Prakash et al., 2022)","plainTextFormattedCitation":"(Prakash et al., 2022)","previouslyFormattedCitation":"(Prakash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(Prakash </w:t>
      </w:r>
      <w:r w:rsidR="00F509AD" w:rsidRPr="00E6630A">
        <w:rPr>
          <w:rFonts w:ascii="Arial" w:eastAsia="Arial Unicode MS" w:hAnsi="Arial" w:cs="Arial"/>
          <w:i/>
          <w:noProof/>
          <w:color w:val="000000" w:themeColor="text1"/>
          <w:sz w:val="24"/>
          <w:szCs w:val="24"/>
        </w:rPr>
        <w:t>et al</w:t>
      </w:r>
      <w:r w:rsidR="00E6630A">
        <w:rPr>
          <w:rFonts w:ascii="Arial" w:eastAsia="Arial Unicode MS" w:hAnsi="Arial" w:cs="Arial"/>
          <w:noProof/>
          <w:color w:val="000000" w:themeColor="text1"/>
          <w:sz w:val="24"/>
          <w:szCs w:val="24"/>
        </w:rPr>
        <w:t>.</w:t>
      </w:r>
      <w:r w:rsidR="00F509AD" w:rsidRPr="0056551D">
        <w:rPr>
          <w:rFonts w:ascii="Arial" w:eastAsia="Arial Unicode MS" w:hAnsi="Arial" w:cs="Arial"/>
          <w:noProof/>
          <w:color w:val="000000" w:themeColor="text1"/>
          <w:sz w:val="24"/>
          <w:szCs w:val="24"/>
        </w:rPr>
        <w:t xml:space="preserve">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w:t>
      </w:r>
      <w:r w:rsidR="00F509AD" w:rsidRPr="0056551D">
        <w:rPr>
          <w:rFonts w:ascii="Arial" w:eastAsia="Arial Unicode MS" w:hAnsi="Arial" w:cs="Arial"/>
          <w:b/>
          <w:bCs/>
          <w:color w:val="000000" w:themeColor="text1"/>
          <w:sz w:val="24"/>
          <w:szCs w:val="24"/>
        </w:rPr>
        <w:t xml:space="preserve"> </w:t>
      </w:r>
      <w:r w:rsidR="00F509AD" w:rsidRPr="0056551D">
        <w:rPr>
          <w:rFonts w:ascii="Arial" w:eastAsia="Arial Unicode MS" w:hAnsi="Arial" w:cs="Arial"/>
          <w:b/>
          <w:bCs/>
          <w:color w:val="000000" w:themeColor="text1"/>
          <w:sz w:val="24"/>
          <w:szCs w:val="24"/>
        </w:rPr>
        <w:fldChar w:fldCharType="begin" w:fldLock="1"/>
      </w:r>
      <w:r w:rsidR="00F509AD" w:rsidRPr="0056551D">
        <w:rPr>
          <w:rFonts w:ascii="Arial" w:eastAsia="Arial Unicode MS" w:hAnsi="Arial" w:cs="Arial"/>
          <w:b/>
          <w:bCs/>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b/>
          <w:bCs/>
          <w:color w:val="000000" w:themeColor="text1"/>
          <w:sz w:val="24"/>
          <w:szCs w:val="24"/>
        </w:rPr>
        <w:fldChar w:fldCharType="separate"/>
      </w:r>
      <w:r w:rsidR="00E6630A">
        <w:rPr>
          <w:rFonts w:ascii="Arial" w:eastAsia="Arial Unicode MS" w:hAnsi="Arial" w:cs="Arial"/>
          <w:bCs/>
          <w:noProof/>
          <w:color w:val="000000" w:themeColor="text1"/>
          <w:sz w:val="24"/>
          <w:szCs w:val="24"/>
        </w:rPr>
        <w:t>(Santhosh and</w:t>
      </w:r>
      <w:r w:rsidR="00F509AD" w:rsidRPr="0056551D">
        <w:rPr>
          <w:rFonts w:ascii="Arial" w:eastAsia="Arial Unicode MS" w:hAnsi="Arial" w:cs="Arial"/>
          <w:bCs/>
          <w:noProof/>
          <w:color w:val="000000" w:themeColor="text1"/>
          <w:sz w:val="24"/>
          <w:szCs w:val="24"/>
        </w:rPr>
        <w:t xml:space="preserve"> Mehera, 2022)</w:t>
      </w:r>
      <w:r w:rsidR="00F509AD" w:rsidRPr="0056551D">
        <w:rPr>
          <w:rFonts w:ascii="Arial" w:eastAsia="Arial Unicode MS" w:hAnsi="Arial" w:cs="Arial"/>
          <w:b/>
          <w:bCs/>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who found that wider spacing under SWI provided more assimilates for spike and awn development.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10.11648/j.jps.20200805.17","ISSN":"2331-0723","author":[{"dropping-particle":"","family":"Bakhsh","given":"Karim","non-dropping-particle":"","parse-names":false,"suffix":""},{"dropping-particle":"","family":"Mastoie","given":"Zulfiqar","non-dropping-particle":"Al","parse-names":false,"suffix":""},{"dropping-particle":"","family":"Sattar Khetran","given":"Abdul","non-dropping-particle":"","parse-names":false,"suffix":""},{"dropping-particle":"","family":"Mastoie","given":"Tariq","non-dropping-particle":"Al","parse-names":false,"suffix":""},{"dropping-particle":"","family":"Hussain Mastoie","given":"Bilal","non-dropping-particle":"","parse-names":false,"suffix":""},{"dropping-particle":"","family":"Jahangeer Shah","given":"Sayed","non-dropping-particle":"","parse-names":false,"suffix":""},{"dropping-particle":"","family":"Ahmed Khetran","given":"Zahoor","non-dropping-particle":"","parse-names":false,"suffix":""},{"dropping-particle":"","family":"Iqbal","given":"Khalid","non-dropping-particle":"","parse-names":false,"suffix":""},{"dropping-particle":"","family":"Baig","given":"Binish","non-dropping-particle":"","parse-names":false,"suffix":""}],"container-title":"Journal of Plant Sciences","id":"ITEM-1","issue":"5","issued":{"date-parts":[["2020"]]},"page":"152-157","title":"Effect of sowing methods on growth and yield of wheat (Triticum aestivum L.) through zero and other tillage method","type":"article-journal","volume":"8"},"uris":["http://www.mendeley.com/documents/?uuid=c0221023-9431-4f92-9932-ac2b0f38e9cc"]}],"mendeley":{"formattedCitation":"(Bakhsh et al., 2020)","plainTextFormattedCitation":"(Bakhsh et al., 2020)","previouslyFormattedCitation":"(Bakhsh et al., 2020)"},"properties":{"noteIndex":0},"schema":"https://github.com/citation-style-language/schema/raw/master/csl-citation.json"}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(Bakhsh </w:t>
      </w:r>
      <w:r w:rsidR="00F509AD" w:rsidRPr="00E6630A">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xml:space="preserve"> 2020)</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also noted significantly higher awn length under drilling compared to broadcasting, owing to proper stand establishment.</w:t>
      </w:r>
    </w:p>
    <w:p w14:paraId="27EB6D2F" w14:textId="77777777" w:rsidR="00D956ED" w:rsidRPr="0056551D" w:rsidRDefault="00AE4765"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3.2.3 </w:t>
      </w:r>
      <w:r w:rsidR="00D956ED" w:rsidRPr="0056551D">
        <w:rPr>
          <w:rFonts w:ascii="Arial" w:eastAsia="Arial Unicode MS" w:hAnsi="Arial" w:cs="Arial"/>
          <w:b/>
          <w:bCs/>
          <w:color w:val="000000" w:themeColor="text1"/>
          <w:sz w:val="24"/>
          <w:szCs w:val="24"/>
          <w:lang w:val="en-IN"/>
        </w:rPr>
        <w:t>Number of filled grain</w:t>
      </w:r>
    </w:p>
    <w:p w14:paraId="0DC87EAA" w14:textId="08EADC11" w:rsidR="00F509AD" w:rsidRPr="0056551D" w:rsidRDefault="00CA579B" w:rsidP="00F30254">
      <w:pPr>
        <w:spacing w:after="120" w:line="360" w:lineRule="auto"/>
        <w:ind w:firstLine="720"/>
        <w:jc w:val="both"/>
        <w:rPr>
          <w:rFonts w:ascii="Arial" w:eastAsia="Arial Unicode MS" w:hAnsi="Arial" w:cs="Arial"/>
          <w:color w:val="000000" w:themeColor="text1"/>
          <w:sz w:val="24"/>
          <w:szCs w:val="24"/>
          <w:lang w:val="en-IN"/>
        </w:rPr>
      </w:pPr>
      <w:r>
        <w:rPr>
          <w:rFonts w:ascii="Arial" w:eastAsia="Arial Unicode MS" w:hAnsi="Arial" w:cs="Arial"/>
          <w:color w:val="000000" w:themeColor="text1"/>
          <w:sz w:val="24"/>
          <w:szCs w:val="24"/>
          <w:lang w:val="en-IN"/>
        </w:rPr>
        <w:t>T</w:t>
      </w:r>
      <w:r w:rsidR="00D956ED" w:rsidRPr="0056551D">
        <w:rPr>
          <w:rFonts w:ascii="Arial" w:eastAsia="Arial Unicode MS" w:hAnsi="Arial" w:cs="Arial"/>
          <w:color w:val="000000" w:themeColor="text1"/>
          <w:sz w:val="24"/>
          <w:szCs w:val="24"/>
          <w:lang w:val="en-IN"/>
        </w:rPr>
        <w:t>he maximum number of filled grain achieved in square method (20 cm × 20 cm) (3 seed/hill) [T</w:t>
      </w:r>
      <w:r w:rsidR="00D956ED" w:rsidRPr="0056551D">
        <w:rPr>
          <w:rFonts w:ascii="Arial" w:eastAsia="Arial Unicode MS" w:hAnsi="Arial" w:cs="Arial"/>
          <w:color w:val="000000" w:themeColor="text1"/>
          <w:sz w:val="24"/>
          <w:szCs w:val="24"/>
          <w:vertAlign w:val="subscript"/>
          <w:lang w:val="en-IN"/>
        </w:rPr>
        <w:t>3</w:t>
      </w:r>
      <w:r w:rsidR="00D956ED" w:rsidRPr="0056551D">
        <w:rPr>
          <w:rFonts w:ascii="Arial" w:eastAsia="Arial Unicode MS" w:hAnsi="Arial" w:cs="Arial"/>
          <w:color w:val="000000" w:themeColor="text1"/>
          <w:sz w:val="24"/>
          <w:szCs w:val="24"/>
          <w:lang w:val="en-IN"/>
        </w:rPr>
        <w:t>], which was at par with the line sowing (row spacing - 20 cm) [T</w:t>
      </w:r>
      <w:r w:rsidR="00D956ED" w:rsidRPr="0056551D">
        <w:rPr>
          <w:rFonts w:ascii="Arial" w:eastAsia="Arial Unicode MS" w:hAnsi="Arial" w:cs="Arial"/>
          <w:color w:val="000000" w:themeColor="text1"/>
          <w:sz w:val="24"/>
          <w:szCs w:val="24"/>
          <w:vertAlign w:val="subscript"/>
          <w:lang w:val="en-IN"/>
        </w:rPr>
        <w:t>2</w:t>
      </w:r>
      <w:r w:rsidR="00D956ED" w:rsidRPr="0056551D">
        <w:rPr>
          <w:rFonts w:ascii="Arial" w:eastAsia="Arial Unicode MS" w:hAnsi="Arial" w:cs="Arial"/>
          <w:color w:val="000000" w:themeColor="text1"/>
          <w:sz w:val="24"/>
          <w:szCs w:val="24"/>
          <w:lang w:val="en-IN"/>
        </w:rPr>
        <w:t>],  sowing on ridge (45 cm) [T</w:t>
      </w:r>
      <w:r w:rsidR="00D956ED" w:rsidRPr="0056551D">
        <w:rPr>
          <w:rFonts w:ascii="Arial" w:eastAsia="Arial Unicode MS" w:hAnsi="Arial" w:cs="Arial"/>
          <w:color w:val="000000" w:themeColor="text1"/>
          <w:sz w:val="24"/>
          <w:szCs w:val="24"/>
          <w:vertAlign w:val="subscript"/>
          <w:lang w:val="en-IN"/>
        </w:rPr>
        <w:t>4</w:t>
      </w:r>
      <w:r w:rsidR="00D956ED" w:rsidRPr="0056551D">
        <w:rPr>
          <w:rFonts w:ascii="Arial" w:eastAsia="Arial Unicode MS" w:hAnsi="Arial" w:cs="Arial"/>
          <w:color w:val="000000" w:themeColor="text1"/>
          <w:sz w:val="24"/>
          <w:szCs w:val="24"/>
          <w:lang w:val="en-IN"/>
        </w:rPr>
        <w:t>], sowing in furrow (45 cm) [T</w:t>
      </w:r>
      <w:r w:rsidR="00D956ED" w:rsidRPr="0056551D">
        <w:rPr>
          <w:rFonts w:ascii="Arial" w:eastAsia="Arial Unicode MS" w:hAnsi="Arial" w:cs="Arial"/>
          <w:color w:val="000000" w:themeColor="text1"/>
          <w:sz w:val="24"/>
          <w:szCs w:val="24"/>
          <w:vertAlign w:val="subscript"/>
          <w:lang w:val="en-IN"/>
        </w:rPr>
        <w:t>5</w:t>
      </w:r>
      <w:r w:rsidR="00D956ED" w:rsidRPr="0056551D">
        <w:rPr>
          <w:rFonts w:ascii="Arial" w:eastAsia="Arial Unicode MS" w:hAnsi="Arial" w:cs="Arial"/>
          <w:color w:val="000000" w:themeColor="text1"/>
          <w:sz w:val="24"/>
          <w:szCs w:val="24"/>
          <w:lang w:val="en-IN"/>
        </w:rPr>
        <w:t>] and sowing on bed (3 rows) (row spacing - 20 cm, bed width - 60 cm) [T</w:t>
      </w:r>
      <w:r w:rsidR="00D956ED" w:rsidRPr="0056551D">
        <w:rPr>
          <w:rFonts w:ascii="Arial" w:eastAsia="Arial Unicode MS" w:hAnsi="Arial" w:cs="Arial"/>
          <w:color w:val="000000" w:themeColor="text1"/>
          <w:sz w:val="24"/>
          <w:szCs w:val="24"/>
          <w:vertAlign w:val="subscript"/>
          <w:lang w:val="en-IN"/>
        </w:rPr>
        <w:t>6</w:t>
      </w:r>
      <w:r w:rsidR="00D956ED" w:rsidRPr="0056551D">
        <w:rPr>
          <w:rFonts w:ascii="Arial" w:eastAsia="Arial Unicode MS" w:hAnsi="Arial" w:cs="Arial"/>
          <w:color w:val="000000" w:themeColor="text1"/>
          <w:sz w:val="24"/>
          <w:szCs w:val="24"/>
          <w:lang w:val="en-IN"/>
        </w:rPr>
        <w:t>], but found statistically superior to leftover treatments.</w:t>
      </w:r>
      <w:r w:rsidR="00F30254">
        <w:rPr>
          <w:rFonts w:ascii="Arial" w:eastAsia="Arial Unicode MS" w:hAnsi="Arial" w:cs="Arial"/>
          <w:color w:val="000000" w:themeColor="text1"/>
          <w:sz w:val="24"/>
          <w:szCs w:val="24"/>
          <w:lang w:val="en-IN"/>
        </w:rPr>
        <w:t xml:space="preserve"> </w:t>
      </w:r>
      <w:r w:rsidR="00F509AD" w:rsidRPr="0056551D">
        <w:rPr>
          <w:rFonts w:ascii="Arial" w:eastAsia="Arial Unicode MS" w:hAnsi="Arial" w:cs="Arial"/>
          <w:color w:val="000000" w:themeColor="text1"/>
          <w:sz w:val="24"/>
          <w:szCs w:val="24"/>
        </w:rPr>
        <w:t xml:space="preserve">The number of filled grains was also superior under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₃</w:t>
      </w:r>
      <w:r w:rsidR="00F509AD" w:rsidRPr="0056551D">
        <w:rPr>
          <w:rFonts w:ascii="Arial" w:eastAsia="Arial Unicode MS" w:hAnsi="Arial" w:cs="Arial"/>
          <w:color w:val="000000" w:themeColor="text1"/>
          <w:sz w:val="24"/>
          <w:szCs w:val="24"/>
        </w:rPr>
        <w:t xml:space="preserve">, due to optimum plant stand and better assimilate translocation towards reproductive parts, which favored complete grain filling. Similar trends were reported by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E6630A">
        <w:rPr>
          <w:rFonts w:ascii="Arial" w:eastAsia="Arial Unicode MS" w:hAnsi="Arial" w:cs="Arial"/>
          <w:noProof/>
          <w:color w:val="000000" w:themeColor="text1"/>
          <w:sz w:val="24"/>
          <w:szCs w:val="24"/>
        </w:rPr>
        <w:t>(Santhosh and</w:t>
      </w:r>
      <w:r w:rsidR="00F509AD" w:rsidRPr="0056551D">
        <w:rPr>
          <w:rFonts w:ascii="Arial" w:eastAsia="Arial Unicode MS" w:hAnsi="Arial" w:cs="Arial"/>
          <w:noProof/>
          <w:color w:val="000000" w:themeColor="text1"/>
          <w:sz w:val="24"/>
          <w:szCs w:val="24"/>
        </w:rPr>
        <w:t xml:space="preserve"> Mehera,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who recorded maximum grains per spike (55.94) under SWI. Likewise,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10.11648/j.jps.20200805.17","ISSN":"2331-0723","author":[{"dropping-particle":"","family":"Bakhsh","given":"Karim","non-dropping-particle":"","parse-names":false,"suffix":""},{"dropping-particle":"","family":"Mastoie","given":"Zulfiqar","non-dropping-particle":"Al","parse-names":false,"suffix":""},{"dropping-particle":"","family":"Sattar Khetran","given":"Abdul","non-dropping-particle":"","parse-names":false,"suffix":""},{"dropping-particle":"","family":"Mastoie","given":"Tariq","non-dropping-particle":"Al","parse-names":false,"suffix":""},{"dropping-particle":"","family":"Hussain Mastoie","given":"Bilal","non-dropping-particle":"","parse-names":false,"suffix":""},{"dropping-particle":"","family":"Jahangeer Shah","given":"Sayed","non-dropping-particle":"","parse-names":false,"suffix":""},{"dropping-particle":"","family":"Ahmed Khetran","given":"Zahoor","non-dropping-particle":"","parse-names":false,"suffix":""},{"dropping-particle":"","family":"Iqbal","given":"Khalid","non-dropping-particle":"","parse-names":false,"suffix":""},{"dropping-particle":"","family":"Baig","given":"Binish","non-dropping-particle":"","parse-names":false,"suffix":""}],"container-title":"Journal of Plant Sciences","id":"ITEM-1","issue":"5","issued":{"date-parts":[["2020"]]},"page":"152-157","title":"Effect of sowing methods on growth and yield of wheat (Triticum aestivum L.) through zero and other tillage method","type":"article-journal","volume":"8"},"uris":["http://www.mendeley.com/documents/?uuid=c0221023-9431-4f92-9932-ac2b0f38e9cc"]}],"mendeley":{"formattedCitation":"(Bakhsh et al., 2020)","plainTextFormattedCitation":"(Bakhsh et al., 2020)","previouslyFormattedCitation":"(Bakhsh et al., 2020)"},"properties":{"noteIndex":0},"schema":"https://github.com/citation-style-language/schema/raw/master/csl-citation.json"}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(Bakhsh </w:t>
      </w:r>
      <w:r w:rsidR="00F509AD" w:rsidRPr="0056551D">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xml:space="preserve"> 2020)</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Bhatii","given":"AS.","non-dropping-particle":"","parse-names":false,"suffix":""},{"dropping-particle":"","family":"Kandhro","given":"MN.","non-dropping-particle":"","parse-names":false,"suffix":""},{"dropping-particle":"","family":"Chang","given":"MS.","non-dropping-particle":"","parse-names":false,"suffix":""},{"dropping-particle":"","family":"Sootaher","given":"JK.","non-dropping-particle":"","parse-names":false,"suffix":""},{"dropping-particle":"","family":"Buriro","given":"KA.","non-dropping-particle":"","parse-names":false,"suffix":""},{"dropping-particle":"","family":"Mangrio","given":"N.","non-dropping-particle":"","parse-names":false,"suffix":""},{"dropping-particle":"","family":"Shar","given":"PA.","non-dropping-particle":"","parse-names":false,"suffix":""},{"dropping-particle":"","family":"MK","given":"Soothar","non-dropping-particle":"","parse-names":false,"suffix":""},{"dropping-particle":"","family":"Wadho","given":"M.","non-dropping-particle":"","parse-names":false,"suffix":""}],"container-title":"creative commons","id":"ITEM-1","issue":"1","issued":{"date-parts":[["2022"]]},"page":"33-42","title":"Effect of different sowing methods on the growth and yield of wheat (Triticum aestivum L.)","type":"article-journal","volume":"13"},"uris":["http://www.mendeley.com/documents/?uuid=ca9f3449-36c4-436f-83e0-519c670a5410"]}],"mendeley":{"formattedCitation":"(Bhatii et al., 2022)","plainTextFormattedCitation":"(Bhatii et al., 2022)","previouslyFormattedCitation":"(Bhatii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(Bhatii </w:t>
      </w:r>
      <w:r w:rsidR="00F509AD" w:rsidRPr="0056551D">
        <w:rPr>
          <w:rFonts w:ascii="Arial" w:eastAsia="Arial Unicode MS" w:hAnsi="Arial" w:cs="Arial"/>
          <w:i/>
          <w:noProof/>
          <w:color w:val="000000" w:themeColor="text1"/>
          <w:sz w:val="24"/>
          <w:szCs w:val="24"/>
        </w:rPr>
        <w:t>et al</w:t>
      </w:r>
      <w:r w:rsidR="00E6630A">
        <w:rPr>
          <w:rFonts w:ascii="Arial" w:eastAsia="Arial Unicode MS" w:hAnsi="Arial" w:cs="Arial"/>
          <w:noProof/>
          <w:color w:val="000000" w:themeColor="text1"/>
          <w:sz w:val="24"/>
          <w:szCs w:val="24"/>
        </w:rPr>
        <w:t>.</w:t>
      </w:r>
      <w:r w:rsidR="00F509AD" w:rsidRPr="0056551D">
        <w:rPr>
          <w:rFonts w:ascii="Arial" w:eastAsia="Arial Unicode MS" w:hAnsi="Arial" w:cs="Arial"/>
          <w:noProof/>
          <w:color w:val="000000" w:themeColor="text1"/>
          <w:sz w:val="24"/>
          <w:szCs w:val="24"/>
        </w:rPr>
        <w:t xml:space="preserve">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reported significantly higher grains per spike in drilling method than broadcasting, attributing it to uniform distribution of plants and efficient use of growth resources. </w:t>
      </w:r>
    </w:p>
    <w:p w14:paraId="5FB00A63" w14:textId="77777777" w:rsidR="00D956ED" w:rsidRPr="0056551D" w:rsidRDefault="00AE4765"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lastRenderedPageBreak/>
        <w:t xml:space="preserve">3.2.4 </w:t>
      </w:r>
      <w:r w:rsidR="00D956ED" w:rsidRPr="0056551D">
        <w:rPr>
          <w:rFonts w:ascii="Arial" w:eastAsia="Arial Unicode MS" w:hAnsi="Arial" w:cs="Arial"/>
          <w:b/>
          <w:bCs/>
          <w:color w:val="000000" w:themeColor="text1"/>
          <w:sz w:val="24"/>
          <w:szCs w:val="24"/>
          <w:lang w:val="en-IN"/>
        </w:rPr>
        <w:t>Number of Unfilled</w:t>
      </w:r>
    </w:p>
    <w:p w14:paraId="7F8B4E81" w14:textId="7FDEF803" w:rsidR="00F509AD" w:rsidRPr="00F30254" w:rsidRDefault="00CA579B" w:rsidP="00F30254">
      <w:pPr>
        <w:spacing w:after="120" w:line="360" w:lineRule="auto"/>
        <w:ind w:firstLine="720"/>
        <w:jc w:val="both"/>
        <w:rPr>
          <w:rFonts w:ascii="Arial" w:eastAsia="Arial Unicode MS" w:hAnsi="Arial" w:cs="Arial"/>
          <w:color w:val="000000" w:themeColor="text1"/>
          <w:sz w:val="24"/>
          <w:szCs w:val="24"/>
          <w:lang w:val="en-IN"/>
        </w:rPr>
      </w:pPr>
      <w:r>
        <w:rPr>
          <w:rFonts w:ascii="Arial" w:eastAsia="Arial Unicode MS" w:hAnsi="Arial" w:cs="Arial"/>
          <w:color w:val="000000" w:themeColor="text1"/>
          <w:sz w:val="24"/>
          <w:szCs w:val="24"/>
          <w:lang w:val="en-IN"/>
        </w:rPr>
        <w:t>T</w:t>
      </w:r>
      <w:r w:rsidR="00D956ED" w:rsidRPr="0056551D">
        <w:rPr>
          <w:rFonts w:ascii="Arial" w:eastAsia="Arial Unicode MS" w:hAnsi="Arial" w:cs="Arial"/>
          <w:color w:val="000000" w:themeColor="text1"/>
          <w:sz w:val="24"/>
          <w:szCs w:val="24"/>
          <w:lang w:val="en-IN"/>
        </w:rPr>
        <w:t>he maximum number of unfilled grain noticed in sowing on ridge (5 rows) (row spacing - 20 cm, bed width - 100 cm) [T</w:t>
      </w:r>
      <w:r w:rsidR="00D956ED" w:rsidRPr="0056551D">
        <w:rPr>
          <w:rFonts w:ascii="Arial" w:eastAsia="Arial Unicode MS" w:hAnsi="Arial" w:cs="Arial"/>
          <w:color w:val="000000" w:themeColor="text1"/>
          <w:sz w:val="24"/>
          <w:szCs w:val="24"/>
          <w:vertAlign w:val="subscript"/>
          <w:lang w:val="en-IN"/>
        </w:rPr>
        <w:t>7</w:t>
      </w:r>
      <w:r w:rsidR="00D956ED" w:rsidRPr="0056551D">
        <w:rPr>
          <w:rFonts w:ascii="Arial" w:eastAsia="Arial Unicode MS" w:hAnsi="Arial" w:cs="Arial"/>
          <w:color w:val="000000" w:themeColor="text1"/>
          <w:sz w:val="24"/>
          <w:szCs w:val="24"/>
          <w:lang w:val="en-IN"/>
        </w:rPr>
        <w:t>], which was at par with sowing on ridge (45 cm) [T</w:t>
      </w:r>
      <w:r w:rsidR="00D956ED" w:rsidRPr="0056551D">
        <w:rPr>
          <w:rFonts w:ascii="Arial" w:eastAsia="Arial Unicode MS" w:hAnsi="Arial" w:cs="Arial"/>
          <w:color w:val="000000" w:themeColor="text1"/>
          <w:sz w:val="24"/>
          <w:szCs w:val="24"/>
          <w:vertAlign w:val="subscript"/>
          <w:lang w:val="en-IN"/>
        </w:rPr>
        <w:t>4</w:t>
      </w:r>
      <w:r w:rsidR="00D956ED" w:rsidRPr="0056551D">
        <w:rPr>
          <w:rFonts w:ascii="Arial" w:eastAsia="Arial Unicode MS" w:hAnsi="Arial" w:cs="Arial"/>
          <w:color w:val="000000" w:themeColor="text1"/>
          <w:sz w:val="24"/>
          <w:szCs w:val="24"/>
          <w:lang w:val="en-IN"/>
        </w:rPr>
        <w:t>], but found statistically maximum to other treatments.</w:t>
      </w:r>
      <w:r w:rsidR="00F30254">
        <w:rPr>
          <w:rFonts w:ascii="Arial" w:eastAsia="Arial Unicode MS" w:hAnsi="Arial" w:cs="Arial"/>
          <w:color w:val="000000" w:themeColor="text1"/>
          <w:sz w:val="24"/>
          <w:szCs w:val="24"/>
          <w:lang w:val="en-IN"/>
        </w:rPr>
        <w:t xml:space="preserve"> </w:t>
      </w:r>
      <w:r>
        <w:rPr>
          <w:rFonts w:ascii="Arial" w:eastAsia="Arial Unicode MS" w:hAnsi="Arial" w:cs="Arial"/>
          <w:color w:val="000000" w:themeColor="text1"/>
          <w:sz w:val="24"/>
          <w:szCs w:val="24"/>
        </w:rPr>
        <w:t>The maximum</w:t>
      </w:r>
      <w:r w:rsidR="00F509AD" w:rsidRPr="0056551D">
        <w:rPr>
          <w:rFonts w:ascii="Arial" w:eastAsia="Arial Unicode MS" w:hAnsi="Arial" w:cs="Arial"/>
          <w:color w:val="000000" w:themeColor="text1"/>
          <w:sz w:val="24"/>
          <w:szCs w:val="24"/>
        </w:rPr>
        <w:t xml:space="preserve"> number of unfilled grains was observed under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₇</w:t>
      </w:r>
      <w:r w:rsidR="00F509AD" w:rsidRPr="0056551D">
        <w:rPr>
          <w:rFonts w:ascii="Arial" w:eastAsia="Arial Unicode MS" w:hAnsi="Arial" w:cs="Arial"/>
          <w:color w:val="000000" w:themeColor="text1"/>
          <w:sz w:val="24"/>
          <w:szCs w:val="24"/>
        </w:rPr>
        <w:t xml:space="preserve">, which may be due to excessive intra-row competition, reduced light penetration, and poor assimilate partitioning, particularly in the middle rows, leading to spikelet sterility.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{"citationItems":[{"id":"ITEM-1","itemData":{"DOI":"10.5897/AJAR2012.0027","ISSN":"1991-637X","author":[{"dropping-particle":"","family":"Benfreha","given":"Faouzia Zemouli","non-dropping-particle":"","parse-names":false,"suffix":""},{"dropping-particle":"","family":"Henni","given":"Djamel eddine","non-dropping-particle":"","parse-names":false,"suffix":""},{"dropping-particle":"","family":"Merzoug","given":"Aoumria","non-dropping-particle":"","parse-names":false,"suffix":""},{"dropping-particle":"","family":"Naresh","given":"R.K.","non-dropping-particle":"","parse-names":false,"suffix":""},{"dropping-particle":"","family":"Tomar","given":"S.S.","non-dropping-particle":"","parse-names":false,"suffix":""},{"dropping-particle":"","family":"Purushottam","given":"","non-dropping-particle":"","parse-names":false,"suffix":""},{"dropping-particle":"","family":"Singh","given":"S.P.","non-dropping-particle":"","parse-names":false,"suffix":""},{"dropping-particle":"","family":"Kumar","given":"Dipender","non-dropping-particle":"","parse-names":false,"suffix":""},{"dropping-particle":"","family":"Pratap","given":"Bhanu","non-dropping-particle":"","parse-names":false,"suffix":""},{"dropping-particle":"","family":"Kumar","given":"Vineet","non-dropping-particle":"","parse-names":false,"suffix":""},{"dropping-particle":"","family":"Nanher","given":"A.H.","non-dropping-particle":"","parse-names":false,"suffix":""}],"container-title":"African Journal of Agricultural Research","id":"ITEM-1","issue":"1","issued":{"date-parts":[["2014","1","2"]]},"page":"176-182","title":"Testing and evaluation of planting methods on wheat grain yield and yield contributing parameters in irrigated agro-ecosystem of western Uttar Pradesh, India","type":"article-journal","volume":"9"},"uris":["http://www.mendeley.com/documents/?uuid=9fa22fa1-3ce5-4563-b16a-5b4e7da63ffe"]}],"mendeley":{"formattedCitation":"(Benfreha et al., 2014)","plainTextFormattedCitation":"(Benfreha et al., 2014)","previouslyFormattedCitation":"(Benfreha et al., 2014)"},"properties":{"noteIndex":0},"schema":"https://github.com/citation-style-language/schema/raw/master/csl-citation.json"}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(Benfreha </w:t>
      </w:r>
      <w:r w:rsidR="00F509AD" w:rsidRPr="0056551D">
        <w:rPr>
          <w:rFonts w:ascii="Arial" w:eastAsia="Arial Unicode MS" w:hAnsi="Arial" w:cs="Arial"/>
          <w:i/>
          <w:noProof/>
          <w:color w:val="000000" w:themeColor="text1"/>
          <w:sz w:val="24"/>
          <w:szCs w:val="24"/>
        </w:rPr>
        <w:t>et al</w:t>
      </w:r>
      <w:r w:rsidR="00E6630A">
        <w:rPr>
          <w:rFonts w:ascii="Arial" w:eastAsia="Arial Unicode MS" w:hAnsi="Arial" w:cs="Arial"/>
          <w:noProof/>
          <w:color w:val="000000" w:themeColor="text1"/>
          <w:sz w:val="24"/>
          <w:szCs w:val="24"/>
        </w:rPr>
        <w:t>.</w:t>
      </w:r>
      <w:r w:rsidR="00F509AD" w:rsidRPr="0056551D">
        <w:rPr>
          <w:rFonts w:ascii="Arial" w:eastAsia="Arial Unicode MS" w:hAnsi="Arial" w:cs="Arial"/>
          <w:noProof/>
          <w:color w:val="000000" w:themeColor="text1"/>
          <w:sz w:val="24"/>
          <w:szCs w:val="24"/>
        </w:rPr>
        <w:t xml:space="preserve"> 2014)</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also observed that close planting geometries (15 cm spacing) or broadcasting reduced grain filling compared to optimum spacing (20 cm), due to competition for resources. Similarly,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10.3920/QAS2015.0685","ISSN":"1757-8361","author":[{"dropping-particle":"","family":"Chauhdary","given":"J.N.","non-dropping-particle":"","parse-names":false,"suffix":""},{"dropping-particle":"","family":"Khan","given":"U.D.","non-dropping-particle":"","parse-names":false,"suffix":""},{"dropping-particle":"","family":"Shah","given":"S.H.H.","non-dropping-particle":"","parse-names":false,"suffix":""},{"dropping-particle":"","family":"Shahid","given":"M.A.","non-dropping-particle":"","parse-names":false,"suffix":""},{"dropping-particle":"","family":"Arsalan","given":"M.","non-dropping-particle":"","parse-names":false,"suffix":""}],"container-title":"Quality Assurance and Safety of Crops &amp; Foods","id":"ITEM-1","issue":"2","issued":{"date-parts":[["2016","4","15"]]},"page":"267-272","title":"Effect of sowing methods and seed rates on wheat yield and water productivity","type":"article-journal","volume":"8"},"uris":["http://www.mendeley.com/documents/?uuid=b85b9c6a-ac42-4e77-a7a2-2c95af070d43"]}],"mendeley":{"formattedCitation":"(Chauhdary et al., 2016)","plainTextFormattedCitation":"(Chauhdary et al., 2016)","previouslyFormattedCitation":"(Chauhdary et al., 2016)"},"properties":{"noteIndex":0},"schema":"https://github.com/citation-style-language/schema/raw/master/csl-citation.json"}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i/>
          <w:noProof/>
          <w:color w:val="000000" w:themeColor="text1"/>
          <w:sz w:val="24"/>
          <w:szCs w:val="24"/>
        </w:rPr>
        <w:t>(</w:t>
      </w:r>
      <w:r w:rsidR="00F509AD" w:rsidRPr="00F30254">
        <w:rPr>
          <w:rFonts w:ascii="Arial" w:eastAsia="Arial Unicode MS" w:hAnsi="Arial" w:cs="Arial"/>
          <w:noProof/>
          <w:color w:val="000000" w:themeColor="text1"/>
          <w:sz w:val="24"/>
          <w:szCs w:val="24"/>
        </w:rPr>
        <w:t>Chauhdary</w:t>
      </w:r>
      <w:r w:rsidR="00F509AD" w:rsidRPr="0056551D">
        <w:rPr>
          <w:rFonts w:ascii="Arial" w:eastAsia="Arial Unicode MS" w:hAnsi="Arial" w:cs="Arial"/>
          <w:i/>
          <w:noProof/>
          <w:color w:val="000000" w:themeColor="text1"/>
          <w:sz w:val="24"/>
          <w:szCs w:val="24"/>
        </w:rPr>
        <w:t xml:space="preserve"> et al.</w:t>
      </w:r>
      <w:r w:rsidR="00F509AD" w:rsidRPr="0056551D">
        <w:rPr>
          <w:rFonts w:ascii="Arial" w:eastAsia="Arial Unicode MS" w:hAnsi="Arial" w:cs="Arial"/>
          <w:noProof/>
          <w:color w:val="000000" w:themeColor="text1"/>
          <w:sz w:val="24"/>
          <w:szCs w:val="24"/>
        </w:rPr>
        <w:t xml:space="preserve"> 2016)</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reported that broadcasting and dense planting reduced filled grain percentage because of limited resource availability. </w:t>
      </w:r>
    </w:p>
    <w:p w14:paraId="1E4FA333" w14:textId="29C74ED1" w:rsidR="00AE4765" w:rsidRPr="00AE4765" w:rsidRDefault="00AE4765" w:rsidP="00AE4765">
      <w:pPr>
        <w:spacing w:after="0" w:line="360" w:lineRule="auto"/>
        <w:jc w:val="both"/>
        <w:rPr>
          <w:rFonts w:ascii="Arial" w:eastAsia="Arial Unicode MS" w:hAnsi="Arial" w:cs="Arial"/>
          <w:b/>
          <w:color w:val="000000" w:themeColor="text1"/>
          <w:szCs w:val="24"/>
        </w:rPr>
      </w:pPr>
      <w:r w:rsidRPr="00AE4765">
        <w:rPr>
          <w:rFonts w:ascii="Arial" w:eastAsia="Arial Unicode MS" w:hAnsi="Arial" w:cs="Arial"/>
          <w:b/>
          <w:color w:val="000000" w:themeColor="text1"/>
          <w:szCs w:val="24"/>
        </w:rPr>
        <w:t xml:space="preserve">Table </w:t>
      </w:r>
      <w:r w:rsidR="00F1083B">
        <w:rPr>
          <w:rFonts w:ascii="Arial" w:eastAsia="Arial Unicode MS" w:hAnsi="Arial" w:cs="Arial"/>
          <w:b/>
          <w:color w:val="000000" w:themeColor="text1"/>
          <w:szCs w:val="24"/>
        </w:rPr>
        <w:t>2</w:t>
      </w:r>
      <w:r w:rsidRPr="00AE4765">
        <w:rPr>
          <w:rFonts w:ascii="Arial" w:eastAsia="Arial Unicode MS" w:hAnsi="Arial" w:cs="Arial"/>
          <w:b/>
          <w:color w:val="000000" w:themeColor="text1"/>
          <w:szCs w:val="24"/>
        </w:rPr>
        <w:t xml:space="preserve"> Effect of different sowing me</w:t>
      </w:r>
      <w:r>
        <w:rPr>
          <w:rFonts w:ascii="Arial" w:eastAsia="Arial Unicode MS" w:hAnsi="Arial" w:cs="Arial"/>
          <w:b/>
          <w:color w:val="000000" w:themeColor="text1"/>
          <w:szCs w:val="24"/>
        </w:rPr>
        <w:t>thods on plant yield attributes</w:t>
      </w:r>
    </w:p>
    <w:tbl>
      <w:tblPr>
        <w:tblW w:w="9825" w:type="dxa"/>
        <w:tblInd w:w="93" w:type="dxa"/>
        <w:tblLook w:val="04A0" w:firstRow="1" w:lastRow="0" w:firstColumn="1" w:lastColumn="0" w:noHBand="0" w:noVBand="1"/>
      </w:tblPr>
      <w:tblGrid>
        <w:gridCol w:w="1545"/>
        <w:gridCol w:w="2160"/>
        <w:gridCol w:w="1890"/>
        <w:gridCol w:w="1800"/>
        <w:gridCol w:w="2430"/>
      </w:tblGrid>
      <w:tr w:rsidR="002633DF" w:rsidRPr="002633DF" w14:paraId="6455A2A5" w14:textId="77777777" w:rsidTr="00D53ABD">
        <w:trPr>
          <w:trHeight w:val="300"/>
        </w:trPr>
        <w:tc>
          <w:tcPr>
            <w:tcW w:w="1545" w:type="dxa"/>
            <w:tcBorders>
              <w:top w:val="single" w:sz="12" w:space="0" w:color="auto"/>
              <w:bottom w:val="single" w:sz="12" w:space="0" w:color="auto"/>
            </w:tcBorders>
            <w:noWrap/>
            <w:vAlign w:val="center"/>
            <w:hideMark/>
          </w:tcPr>
          <w:p w14:paraId="7034AA93"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Treatment</w:t>
            </w:r>
          </w:p>
        </w:tc>
        <w:tc>
          <w:tcPr>
            <w:tcW w:w="2160" w:type="dxa"/>
            <w:tcBorders>
              <w:top w:val="single" w:sz="12" w:space="0" w:color="auto"/>
              <w:bottom w:val="single" w:sz="12" w:space="0" w:color="auto"/>
            </w:tcBorders>
            <w:noWrap/>
            <w:vAlign w:val="center"/>
            <w:hideMark/>
          </w:tcPr>
          <w:p w14:paraId="2F80BB72"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Spike length (cm)</w:t>
            </w:r>
          </w:p>
        </w:tc>
        <w:tc>
          <w:tcPr>
            <w:tcW w:w="1890" w:type="dxa"/>
            <w:tcBorders>
              <w:top w:val="single" w:sz="12" w:space="0" w:color="auto"/>
              <w:bottom w:val="single" w:sz="12" w:space="0" w:color="auto"/>
            </w:tcBorders>
            <w:noWrap/>
            <w:vAlign w:val="center"/>
            <w:hideMark/>
          </w:tcPr>
          <w:p w14:paraId="78A3C992"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Awn length (cm)</w:t>
            </w:r>
          </w:p>
        </w:tc>
        <w:tc>
          <w:tcPr>
            <w:tcW w:w="1800" w:type="dxa"/>
            <w:tcBorders>
              <w:top w:val="single" w:sz="12" w:space="0" w:color="auto"/>
              <w:bottom w:val="single" w:sz="12" w:space="0" w:color="auto"/>
            </w:tcBorders>
            <w:noWrap/>
            <w:vAlign w:val="center"/>
            <w:hideMark/>
          </w:tcPr>
          <w:p w14:paraId="3E78D8FB"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No. of filled grain / spike</w:t>
            </w:r>
          </w:p>
        </w:tc>
        <w:tc>
          <w:tcPr>
            <w:tcW w:w="2430" w:type="dxa"/>
            <w:tcBorders>
              <w:top w:val="single" w:sz="12" w:space="0" w:color="auto"/>
              <w:bottom w:val="single" w:sz="12" w:space="0" w:color="auto"/>
            </w:tcBorders>
            <w:noWrap/>
            <w:vAlign w:val="center"/>
            <w:hideMark/>
          </w:tcPr>
          <w:p w14:paraId="3D28E13C"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No. of unfilled grain/spike</w:t>
            </w:r>
          </w:p>
        </w:tc>
      </w:tr>
      <w:tr w:rsidR="002633DF" w:rsidRPr="002633DF" w14:paraId="7410C316" w14:textId="77777777" w:rsidTr="00B840C6">
        <w:trPr>
          <w:trHeight w:val="300"/>
        </w:trPr>
        <w:tc>
          <w:tcPr>
            <w:tcW w:w="1545" w:type="dxa"/>
            <w:tcBorders>
              <w:top w:val="single" w:sz="12" w:space="0" w:color="auto"/>
            </w:tcBorders>
            <w:noWrap/>
            <w:vAlign w:val="center"/>
            <w:hideMark/>
          </w:tcPr>
          <w:p w14:paraId="444D8AB4"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₁</w:t>
            </w:r>
          </w:p>
        </w:tc>
        <w:tc>
          <w:tcPr>
            <w:tcW w:w="2160" w:type="dxa"/>
            <w:tcBorders>
              <w:top w:val="single" w:sz="12" w:space="0" w:color="auto"/>
            </w:tcBorders>
            <w:noWrap/>
            <w:vAlign w:val="center"/>
            <w:hideMark/>
          </w:tcPr>
          <w:p w14:paraId="6DCEF168" w14:textId="77777777" w:rsidR="002633DF" w:rsidRPr="002633DF" w:rsidRDefault="002633DF" w:rsidP="00B840C6">
            <w:pPr>
              <w:pStyle w:val="NoSpacing"/>
              <w:rPr>
                <w:rFonts w:ascii="Arial" w:hAnsi="Arial" w:cs="Arial"/>
                <w:sz w:val="24"/>
              </w:rPr>
            </w:pPr>
            <w:r w:rsidRPr="002633DF">
              <w:rPr>
                <w:rFonts w:ascii="Arial" w:hAnsi="Arial" w:cs="Arial"/>
                <w:sz w:val="24"/>
              </w:rPr>
              <w:t>9.71</w:t>
            </w:r>
            <w:r w:rsidR="00CA579B">
              <w:rPr>
                <w:rFonts w:ascii="Arial" w:hAnsi="Arial" w:cs="Arial"/>
                <w:sz w:val="24"/>
              </w:rPr>
              <w:t>c</w:t>
            </w:r>
          </w:p>
        </w:tc>
        <w:tc>
          <w:tcPr>
            <w:tcW w:w="1890" w:type="dxa"/>
            <w:tcBorders>
              <w:top w:val="single" w:sz="12" w:space="0" w:color="auto"/>
            </w:tcBorders>
            <w:noWrap/>
            <w:vAlign w:val="center"/>
            <w:hideMark/>
          </w:tcPr>
          <w:p w14:paraId="371010B4" w14:textId="77777777" w:rsidR="002633DF" w:rsidRPr="002633DF" w:rsidRDefault="002633DF" w:rsidP="00B840C6">
            <w:pPr>
              <w:pStyle w:val="NoSpacing"/>
              <w:rPr>
                <w:rFonts w:ascii="Arial" w:hAnsi="Arial" w:cs="Arial"/>
                <w:sz w:val="24"/>
              </w:rPr>
            </w:pPr>
            <w:r w:rsidRPr="002633DF">
              <w:rPr>
                <w:rFonts w:ascii="Arial" w:hAnsi="Arial" w:cs="Arial"/>
                <w:sz w:val="24"/>
              </w:rPr>
              <w:t>6.20</w:t>
            </w:r>
            <w:r w:rsidR="007E3117">
              <w:rPr>
                <w:rFonts w:ascii="Arial" w:hAnsi="Arial" w:cs="Arial"/>
                <w:sz w:val="24"/>
              </w:rPr>
              <w:t>ab</w:t>
            </w:r>
          </w:p>
        </w:tc>
        <w:tc>
          <w:tcPr>
            <w:tcW w:w="1800" w:type="dxa"/>
            <w:tcBorders>
              <w:top w:val="single" w:sz="12" w:space="0" w:color="auto"/>
            </w:tcBorders>
            <w:noWrap/>
            <w:vAlign w:val="center"/>
            <w:hideMark/>
          </w:tcPr>
          <w:p w14:paraId="7E5D8ED8" w14:textId="77777777" w:rsidR="002633DF" w:rsidRPr="002633DF" w:rsidRDefault="002633DF" w:rsidP="00B840C6">
            <w:pPr>
              <w:pStyle w:val="NoSpacing"/>
              <w:rPr>
                <w:rFonts w:ascii="Arial" w:hAnsi="Arial" w:cs="Arial"/>
                <w:sz w:val="24"/>
              </w:rPr>
            </w:pPr>
            <w:r w:rsidRPr="002633DF">
              <w:rPr>
                <w:rFonts w:ascii="Arial" w:hAnsi="Arial" w:cs="Arial"/>
                <w:sz w:val="24"/>
              </w:rPr>
              <w:t>43.17</w:t>
            </w:r>
            <w:r w:rsidR="007E3117">
              <w:rPr>
                <w:rFonts w:ascii="Arial" w:hAnsi="Arial" w:cs="Arial"/>
                <w:sz w:val="24"/>
              </w:rPr>
              <w:t>bc</w:t>
            </w:r>
          </w:p>
        </w:tc>
        <w:tc>
          <w:tcPr>
            <w:tcW w:w="2430" w:type="dxa"/>
            <w:tcBorders>
              <w:top w:val="single" w:sz="12" w:space="0" w:color="auto"/>
            </w:tcBorders>
            <w:noWrap/>
            <w:vAlign w:val="center"/>
            <w:hideMark/>
          </w:tcPr>
          <w:p w14:paraId="663E0348" w14:textId="77777777" w:rsidR="002633DF" w:rsidRPr="002633DF" w:rsidRDefault="002633DF" w:rsidP="00B840C6">
            <w:pPr>
              <w:pStyle w:val="NoSpacing"/>
              <w:rPr>
                <w:rFonts w:ascii="Arial" w:hAnsi="Arial" w:cs="Arial"/>
                <w:sz w:val="24"/>
              </w:rPr>
            </w:pPr>
            <w:r w:rsidRPr="002633DF">
              <w:rPr>
                <w:rFonts w:ascii="Arial" w:hAnsi="Arial" w:cs="Arial"/>
                <w:sz w:val="24"/>
              </w:rPr>
              <w:t>3.00</w:t>
            </w:r>
            <w:r w:rsidR="007E3117">
              <w:rPr>
                <w:rFonts w:ascii="Arial" w:hAnsi="Arial" w:cs="Arial"/>
                <w:sz w:val="24"/>
              </w:rPr>
              <w:t>b</w:t>
            </w:r>
          </w:p>
        </w:tc>
      </w:tr>
      <w:tr w:rsidR="002633DF" w:rsidRPr="002633DF" w14:paraId="6DE23A91" w14:textId="77777777" w:rsidTr="00B840C6">
        <w:trPr>
          <w:trHeight w:val="300"/>
        </w:trPr>
        <w:tc>
          <w:tcPr>
            <w:tcW w:w="1545" w:type="dxa"/>
            <w:noWrap/>
            <w:vAlign w:val="center"/>
            <w:hideMark/>
          </w:tcPr>
          <w:p w14:paraId="42190C57"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₂</w:t>
            </w:r>
          </w:p>
        </w:tc>
        <w:tc>
          <w:tcPr>
            <w:tcW w:w="2160" w:type="dxa"/>
            <w:noWrap/>
            <w:vAlign w:val="center"/>
            <w:hideMark/>
          </w:tcPr>
          <w:p w14:paraId="55FB4E6E" w14:textId="77777777" w:rsidR="002633DF" w:rsidRPr="002633DF" w:rsidRDefault="002633DF" w:rsidP="00B840C6">
            <w:pPr>
              <w:pStyle w:val="NoSpacing"/>
              <w:rPr>
                <w:rFonts w:ascii="Arial" w:hAnsi="Arial" w:cs="Arial"/>
                <w:sz w:val="24"/>
              </w:rPr>
            </w:pPr>
            <w:r w:rsidRPr="002633DF">
              <w:rPr>
                <w:rFonts w:ascii="Arial" w:hAnsi="Arial" w:cs="Arial"/>
                <w:sz w:val="24"/>
              </w:rPr>
              <w:t>10.62</w:t>
            </w:r>
            <w:r w:rsidR="00CA579B">
              <w:rPr>
                <w:rFonts w:ascii="Arial" w:hAnsi="Arial" w:cs="Arial"/>
                <w:sz w:val="24"/>
              </w:rPr>
              <w:t>abc</w:t>
            </w:r>
          </w:p>
        </w:tc>
        <w:tc>
          <w:tcPr>
            <w:tcW w:w="1890" w:type="dxa"/>
            <w:noWrap/>
            <w:vAlign w:val="center"/>
            <w:hideMark/>
          </w:tcPr>
          <w:p w14:paraId="24FCB039" w14:textId="77777777" w:rsidR="002633DF" w:rsidRPr="002633DF" w:rsidRDefault="002633DF" w:rsidP="00B840C6">
            <w:pPr>
              <w:pStyle w:val="NoSpacing"/>
              <w:rPr>
                <w:rFonts w:ascii="Arial" w:hAnsi="Arial" w:cs="Arial"/>
                <w:sz w:val="24"/>
              </w:rPr>
            </w:pPr>
            <w:r w:rsidRPr="002633DF">
              <w:rPr>
                <w:rFonts w:ascii="Arial" w:hAnsi="Arial" w:cs="Arial"/>
                <w:sz w:val="24"/>
              </w:rPr>
              <w:t>7.20</w:t>
            </w:r>
            <w:r w:rsidR="007E3117">
              <w:rPr>
                <w:rFonts w:ascii="Arial" w:hAnsi="Arial" w:cs="Arial"/>
                <w:sz w:val="24"/>
              </w:rPr>
              <w:t>a</w:t>
            </w:r>
          </w:p>
        </w:tc>
        <w:tc>
          <w:tcPr>
            <w:tcW w:w="1800" w:type="dxa"/>
            <w:noWrap/>
            <w:vAlign w:val="center"/>
            <w:hideMark/>
          </w:tcPr>
          <w:p w14:paraId="0D014185" w14:textId="77777777" w:rsidR="002633DF" w:rsidRPr="002633DF" w:rsidRDefault="002633DF" w:rsidP="00B840C6">
            <w:pPr>
              <w:pStyle w:val="NoSpacing"/>
              <w:rPr>
                <w:rFonts w:ascii="Arial" w:hAnsi="Arial" w:cs="Arial"/>
                <w:sz w:val="24"/>
              </w:rPr>
            </w:pPr>
            <w:r w:rsidRPr="002633DF">
              <w:rPr>
                <w:rFonts w:ascii="Arial" w:hAnsi="Arial" w:cs="Arial"/>
                <w:sz w:val="24"/>
              </w:rPr>
              <w:t>50.67</w:t>
            </w:r>
            <w:r w:rsidR="007E3117">
              <w:rPr>
                <w:rFonts w:ascii="Arial" w:hAnsi="Arial" w:cs="Arial"/>
                <w:sz w:val="24"/>
              </w:rPr>
              <w:t>ab</w:t>
            </w:r>
          </w:p>
        </w:tc>
        <w:tc>
          <w:tcPr>
            <w:tcW w:w="2430" w:type="dxa"/>
            <w:noWrap/>
            <w:vAlign w:val="center"/>
            <w:hideMark/>
          </w:tcPr>
          <w:p w14:paraId="043B3162" w14:textId="77777777" w:rsidR="002633DF" w:rsidRPr="002633DF" w:rsidRDefault="002633DF" w:rsidP="00B840C6">
            <w:pPr>
              <w:pStyle w:val="NoSpacing"/>
              <w:rPr>
                <w:rFonts w:ascii="Arial" w:hAnsi="Arial" w:cs="Arial"/>
                <w:sz w:val="24"/>
              </w:rPr>
            </w:pPr>
            <w:r w:rsidRPr="002633DF">
              <w:rPr>
                <w:rFonts w:ascii="Arial" w:hAnsi="Arial" w:cs="Arial"/>
                <w:sz w:val="24"/>
              </w:rPr>
              <w:t>3.40</w:t>
            </w:r>
            <w:r w:rsidR="007E3117">
              <w:rPr>
                <w:rFonts w:ascii="Arial" w:hAnsi="Arial" w:cs="Arial"/>
                <w:sz w:val="24"/>
              </w:rPr>
              <w:t>b</w:t>
            </w:r>
          </w:p>
        </w:tc>
      </w:tr>
      <w:tr w:rsidR="002633DF" w:rsidRPr="002633DF" w14:paraId="74F8BE8F" w14:textId="77777777" w:rsidTr="00B840C6">
        <w:trPr>
          <w:trHeight w:val="300"/>
        </w:trPr>
        <w:tc>
          <w:tcPr>
            <w:tcW w:w="1545" w:type="dxa"/>
            <w:noWrap/>
            <w:vAlign w:val="center"/>
            <w:hideMark/>
          </w:tcPr>
          <w:p w14:paraId="1AEDAED6"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₃</w:t>
            </w:r>
          </w:p>
        </w:tc>
        <w:tc>
          <w:tcPr>
            <w:tcW w:w="2160" w:type="dxa"/>
            <w:noWrap/>
            <w:vAlign w:val="center"/>
            <w:hideMark/>
          </w:tcPr>
          <w:p w14:paraId="2B58F96C" w14:textId="77777777" w:rsidR="002633DF" w:rsidRPr="002633DF" w:rsidRDefault="002633DF" w:rsidP="00B840C6">
            <w:pPr>
              <w:pStyle w:val="NoSpacing"/>
              <w:rPr>
                <w:rFonts w:ascii="Arial" w:hAnsi="Arial" w:cs="Arial"/>
                <w:sz w:val="24"/>
              </w:rPr>
            </w:pPr>
            <w:r w:rsidRPr="002633DF">
              <w:rPr>
                <w:rFonts w:ascii="Arial" w:hAnsi="Arial" w:cs="Arial"/>
                <w:sz w:val="24"/>
              </w:rPr>
              <w:t>12.21</w:t>
            </w:r>
            <w:r w:rsidR="00CA579B">
              <w:rPr>
                <w:rFonts w:ascii="Arial" w:hAnsi="Arial" w:cs="Arial"/>
                <w:sz w:val="24"/>
              </w:rPr>
              <w:t>a</w:t>
            </w:r>
          </w:p>
        </w:tc>
        <w:tc>
          <w:tcPr>
            <w:tcW w:w="1890" w:type="dxa"/>
            <w:noWrap/>
            <w:vAlign w:val="center"/>
            <w:hideMark/>
          </w:tcPr>
          <w:p w14:paraId="0F65681F" w14:textId="77777777" w:rsidR="002633DF" w:rsidRPr="002633DF" w:rsidRDefault="002633DF" w:rsidP="00B840C6">
            <w:pPr>
              <w:pStyle w:val="NoSpacing"/>
              <w:rPr>
                <w:rFonts w:ascii="Arial" w:hAnsi="Arial" w:cs="Arial"/>
                <w:sz w:val="24"/>
              </w:rPr>
            </w:pPr>
            <w:r w:rsidRPr="002633DF">
              <w:rPr>
                <w:rFonts w:ascii="Arial" w:hAnsi="Arial" w:cs="Arial"/>
                <w:sz w:val="24"/>
              </w:rPr>
              <w:t>7.41</w:t>
            </w:r>
            <w:r w:rsidR="007E3117">
              <w:rPr>
                <w:rFonts w:ascii="Arial" w:hAnsi="Arial" w:cs="Arial"/>
                <w:sz w:val="24"/>
              </w:rPr>
              <w:t>a</w:t>
            </w:r>
          </w:p>
        </w:tc>
        <w:tc>
          <w:tcPr>
            <w:tcW w:w="1800" w:type="dxa"/>
            <w:noWrap/>
            <w:vAlign w:val="center"/>
            <w:hideMark/>
          </w:tcPr>
          <w:p w14:paraId="40583678" w14:textId="77777777" w:rsidR="002633DF" w:rsidRPr="002633DF" w:rsidRDefault="002633DF" w:rsidP="00B840C6">
            <w:pPr>
              <w:pStyle w:val="NoSpacing"/>
              <w:rPr>
                <w:rFonts w:ascii="Arial" w:hAnsi="Arial" w:cs="Arial"/>
                <w:sz w:val="24"/>
              </w:rPr>
            </w:pPr>
            <w:r w:rsidRPr="002633DF">
              <w:rPr>
                <w:rFonts w:ascii="Arial" w:hAnsi="Arial" w:cs="Arial"/>
                <w:sz w:val="24"/>
              </w:rPr>
              <w:t>54.87</w:t>
            </w:r>
            <w:r w:rsidR="007E3117">
              <w:rPr>
                <w:rFonts w:ascii="Arial" w:hAnsi="Arial" w:cs="Arial"/>
                <w:sz w:val="24"/>
              </w:rPr>
              <w:t>a</w:t>
            </w:r>
          </w:p>
        </w:tc>
        <w:tc>
          <w:tcPr>
            <w:tcW w:w="2430" w:type="dxa"/>
            <w:noWrap/>
            <w:vAlign w:val="center"/>
            <w:hideMark/>
          </w:tcPr>
          <w:p w14:paraId="132E5ED5" w14:textId="77777777" w:rsidR="002633DF" w:rsidRPr="002633DF" w:rsidRDefault="002633DF" w:rsidP="00B840C6">
            <w:pPr>
              <w:pStyle w:val="NoSpacing"/>
              <w:rPr>
                <w:rFonts w:ascii="Arial" w:hAnsi="Arial" w:cs="Arial"/>
                <w:sz w:val="24"/>
              </w:rPr>
            </w:pPr>
            <w:r w:rsidRPr="002633DF">
              <w:rPr>
                <w:rFonts w:ascii="Arial" w:hAnsi="Arial" w:cs="Arial"/>
                <w:sz w:val="24"/>
              </w:rPr>
              <w:t>3.20</w:t>
            </w:r>
            <w:r w:rsidR="007E3117">
              <w:rPr>
                <w:rFonts w:ascii="Arial" w:hAnsi="Arial" w:cs="Arial"/>
                <w:sz w:val="24"/>
              </w:rPr>
              <w:t>b</w:t>
            </w:r>
          </w:p>
        </w:tc>
      </w:tr>
      <w:tr w:rsidR="002633DF" w:rsidRPr="002633DF" w14:paraId="2C49D366" w14:textId="77777777" w:rsidTr="00B840C6">
        <w:trPr>
          <w:trHeight w:val="300"/>
        </w:trPr>
        <w:tc>
          <w:tcPr>
            <w:tcW w:w="1545" w:type="dxa"/>
            <w:noWrap/>
            <w:vAlign w:val="center"/>
            <w:hideMark/>
          </w:tcPr>
          <w:p w14:paraId="05B36219"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₄</w:t>
            </w:r>
          </w:p>
        </w:tc>
        <w:tc>
          <w:tcPr>
            <w:tcW w:w="2160" w:type="dxa"/>
            <w:noWrap/>
            <w:vAlign w:val="center"/>
            <w:hideMark/>
          </w:tcPr>
          <w:p w14:paraId="4DC70D28" w14:textId="77777777" w:rsidR="002633DF" w:rsidRPr="002633DF" w:rsidRDefault="002633DF" w:rsidP="00B840C6">
            <w:pPr>
              <w:pStyle w:val="NoSpacing"/>
              <w:rPr>
                <w:rFonts w:ascii="Arial" w:hAnsi="Arial" w:cs="Arial"/>
                <w:sz w:val="24"/>
              </w:rPr>
            </w:pPr>
            <w:r w:rsidRPr="002633DF">
              <w:rPr>
                <w:rFonts w:ascii="Arial" w:hAnsi="Arial" w:cs="Arial"/>
                <w:sz w:val="24"/>
              </w:rPr>
              <w:t>9.81</w:t>
            </w:r>
            <w:r w:rsidR="00CA579B">
              <w:rPr>
                <w:rFonts w:ascii="Arial" w:hAnsi="Arial" w:cs="Arial"/>
                <w:sz w:val="24"/>
              </w:rPr>
              <w:t>bc</w:t>
            </w:r>
          </w:p>
        </w:tc>
        <w:tc>
          <w:tcPr>
            <w:tcW w:w="1890" w:type="dxa"/>
            <w:noWrap/>
            <w:vAlign w:val="center"/>
            <w:hideMark/>
          </w:tcPr>
          <w:p w14:paraId="68509A96" w14:textId="77777777" w:rsidR="002633DF" w:rsidRPr="002633DF" w:rsidRDefault="002633DF" w:rsidP="00B840C6">
            <w:pPr>
              <w:pStyle w:val="NoSpacing"/>
              <w:rPr>
                <w:rFonts w:ascii="Arial" w:hAnsi="Arial" w:cs="Arial"/>
                <w:sz w:val="24"/>
              </w:rPr>
            </w:pPr>
            <w:r w:rsidRPr="002633DF">
              <w:rPr>
                <w:rFonts w:ascii="Arial" w:hAnsi="Arial" w:cs="Arial"/>
                <w:sz w:val="24"/>
              </w:rPr>
              <w:t>6.41</w:t>
            </w:r>
            <w:r w:rsidR="007E3117">
              <w:rPr>
                <w:rFonts w:ascii="Arial" w:hAnsi="Arial" w:cs="Arial"/>
                <w:sz w:val="24"/>
              </w:rPr>
              <w:t>ab</w:t>
            </w:r>
          </w:p>
        </w:tc>
        <w:tc>
          <w:tcPr>
            <w:tcW w:w="1800" w:type="dxa"/>
            <w:noWrap/>
            <w:vAlign w:val="center"/>
            <w:hideMark/>
          </w:tcPr>
          <w:p w14:paraId="77474B46" w14:textId="77777777" w:rsidR="002633DF" w:rsidRPr="002633DF" w:rsidRDefault="002633DF" w:rsidP="00B840C6">
            <w:pPr>
              <w:pStyle w:val="NoSpacing"/>
              <w:rPr>
                <w:rFonts w:ascii="Arial" w:hAnsi="Arial" w:cs="Arial"/>
                <w:sz w:val="24"/>
              </w:rPr>
            </w:pPr>
            <w:r w:rsidRPr="002633DF">
              <w:rPr>
                <w:rFonts w:ascii="Arial" w:hAnsi="Arial" w:cs="Arial"/>
                <w:sz w:val="24"/>
              </w:rPr>
              <w:t>46.15</w:t>
            </w:r>
            <w:r w:rsidR="007E3117">
              <w:rPr>
                <w:rFonts w:ascii="Arial" w:hAnsi="Arial" w:cs="Arial"/>
                <w:sz w:val="24"/>
              </w:rPr>
              <w:t>abc</w:t>
            </w:r>
          </w:p>
        </w:tc>
        <w:tc>
          <w:tcPr>
            <w:tcW w:w="2430" w:type="dxa"/>
            <w:noWrap/>
            <w:vAlign w:val="center"/>
            <w:hideMark/>
          </w:tcPr>
          <w:p w14:paraId="051FB405" w14:textId="77777777" w:rsidR="002633DF" w:rsidRPr="002633DF" w:rsidRDefault="002633DF" w:rsidP="00B840C6">
            <w:pPr>
              <w:pStyle w:val="NoSpacing"/>
              <w:rPr>
                <w:rFonts w:ascii="Arial" w:hAnsi="Arial" w:cs="Arial"/>
                <w:sz w:val="24"/>
              </w:rPr>
            </w:pPr>
            <w:r w:rsidRPr="002633DF">
              <w:rPr>
                <w:rFonts w:ascii="Arial" w:hAnsi="Arial" w:cs="Arial"/>
                <w:sz w:val="24"/>
              </w:rPr>
              <w:t>3.93</w:t>
            </w:r>
            <w:r w:rsidR="007E3117">
              <w:rPr>
                <w:rFonts w:ascii="Arial" w:hAnsi="Arial" w:cs="Arial"/>
                <w:sz w:val="24"/>
              </w:rPr>
              <w:t>ab</w:t>
            </w:r>
          </w:p>
        </w:tc>
      </w:tr>
      <w:tr w:rsidR="002633DF" w:rsidRPr="002633DF" w14:paraId="1BB5F68A" w14:textId="77777777" w:rsidTr="00B840C6">
        <w:trPr>
          <w:trHeight w:val="300"/>
        </w:trPr>
        <w:tc>
          <w:tcPr>
            <w:tcW w:w="1545" w:type="dxa"/>
            <w:noWrap/>
            <w:vAlign w:val="center"/>
            <w:hideMark/>
          </w:tcPr>
          <w:p w14:paraId="273FB0A5"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₅</w:t>
            </w:r>
          </w:p>
        </w:tc>
        <w:tc>
          <w:tcPr>
            <w:tcW w:w="2160" w:type="dxa"/>
            <w:noWrap/>
            <w:vAlign w:val="center"/>
            <w:hideMark/>
          </w:tcPr>
          <w:p w14:paraId="51687372" w14:textId="77777777" w:rsidR="002633DF" w:rsidRPr="002633DF" w:rsidRDefault="002633DF" w:rsidP="00B840C6">
            <w:pPr>
              <w:pStyle w:val="NoSpacing"/>
              <w:rPr>
                <w:rFonts w:ascii="Arial" w:hAnsi="Arial" w:cs="Arial"/>
                <w:sz w:val="24"/>
              </w:rPr>
            </w:pPr>
            <w:r w:rsidRPr="002633DF">
              <w:rPr>
                <w:rFonts w:ascii="Arial" w:hAnsi="Arial" w:cs="Arial"/>
                <w:sz w:val="24"/>
              </w:rPr>
              <w:t>10.37</w:t>
            </w:r>
            <w:r w:rsidR="00CA579B">
              <w:rPr>
                <w:rFonts w:ascii="Arial" w:hAnsi="Arial" w:cs="Arial"/>
                <w:sz w:val="24"/>
              </w:rPr>
              <w:t>abc</w:t>
            </w:r>
          </w:p>
        </w:tc>
        <w:tc>
          <w:tcPr>
            <w:tcW w:w="1890" w:type="dxa"/>
            <w:noWrap/>
            <w:vAlign w:val="center"/>
            <w:hideMark/>
          </w:tcPr>
          <w:p w14:paraId="2F21BD86" w14:textId="77777777" w:rsidR="002633DF" w:rsidRPr="002633DF" w:rsidRDefault="002633DF" w:rsidP="00B840C6">
            <w:pPr>
              <w:pStyle w:val="NoSpacing"/>
              <w:rPr>
                <w:rFonts w:ascii="Arial" w:hAnsi="Arial" w:cs="Arial"/>
                <w:sz w:val="24"/>
              </w:rPr>
            </w:pPr>
            <w:r w:rsidRPr="002633DF">
              <w:rPr>
                <w:rFonts w:ascii="Arial" w:hAnsi="Arial" w:cs="Arial"/>
                <w:sz w:val="24"/>
              </w:rPr>
              <w:t>6.84</w:t>
            </w:r>
            <w:r w:rsidR="007E3117">
              <w:rPr>
                <w:rFonts w:ascii="Arial" w:hAnsi="Arial" w:cs="Arial"/>
                <w:sz w:val="24"/>
              </w:rPr>
              <w:t>a</w:t>
            </w:r>
          </w:p>
        </w:tc>
        <w:tc>
          <w:tcPr>
            <w:tcW w:w="1800" w:type="dxa"/>
            <w:noWrap/>
            <w:vAlign w:val="center"/>
            <w:hideMark/>
          </w:tcPr>
          <w:p w14:paraId="3C7080BE" w14:textId="77777777" w:rsidR="002633DF" w:rsidRPr="002633DF" w:rsidRDefault="002633DF" w:rsidP="00B840C6">
            <w:pPr>
              <w:pStyle w:val="NoSpacing"/>
              <w:rPr>
                <w:rFonts w:ascii="Arial" w:hAnsi="Arial" w:cs="Arial"/>
                <w:sz w:val="24"/>
              </w:rPr>
            </w:pPr>
            <w:r w:rsidRPr="002633DF">
              <w:rPr>
                <w:rFonts w:ascii="Arial" w:hAnsi="Arial" w:cs="Arial"/>
                <w:sz w:val="24"/>
              </w:rPr>
              <w:t>48.29</w:t>
            </w:r>
            <w:r w:rsidR="007E3117">
              <w:rPr>
                <w:rFonts w:ascii="Arial" w:hAnsi="Arial" w:cs="Arial"/>
                <w:sz w:val="24"/>
              </w:rPr>
              <w:t>abc</w:t>
            </w:r>
          </w:p>
        </w:tc>
        <w:tc>
          <w:tcPr>
            <w:tcW w:w="2430" w:type="dxa"/>
            <w:noWrap/>
            <w:vAlign w:val="center"/>
            <w:hideMark/>
          </w:tcPr>
          <w:p w14:paraId="4307C24E" w14:textId="77777777" w:rsidR="002633DF" w:rsidRPr="002633DF" w:rsidRDefault="002633DF" w:rsidP="00B840C6">
            <w:pPr>
              <w:pStyle w:val="NoSpacing"/>
              <w:rPr>
                <w:rFonts w:ascii="Arial" w:hAnsi="Arial" w:cs="Arial"/>
                <w:sz w:val="24"/>
              </w:rPr>
            </w:pPr>
            <w:r w:rsidRPr="002633DF">
              <w:rPr>
                <w:rFonts w:ascii="Arial" w:hAnsi="Arial" w:cs="Arial"/>
                <w:sz w:val="24"/>
              </w:rPr>
              <w:t>3.73</w:t>
            </w:r>
            <w:r w:rsidR="007E3117">
              <w:rPr>
                <w:rFonts w:ascii="Arial" w:hAnsi="Arial" w:cs="Arial"/>
                <w:sz w:val="24"/>
              </w:rPr>
              <w:t>b</w:t>
            </w:r>
          </w:p>
        </w:tc>
      </w:tr>
      <w:tr w:rsidR="002633DF" w:rsidRPr="002633DF" w14:paraId="4A9E6487" w14:textId="77777777" w:rsidTr="00B840C6">
        <w:trPr>
          <w:trHeight w:val="300"/>
        </w:trPr>
        <w:tc>
          <w:tcPr>
            <w:tcW w:w="1545" w:type="dxa"/>
            <w:noWrap/>
            <w:vAlign w:val="center"/>
            <w:hideMark/>
          </w:tcPr>
          <w:p w14:paraId="2EBFDB8F"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₆</w:t>
            </w:r>
          </w:p>
        </w:tc>
        <w:tc>
          <w:tcPr>
            <w:tcW w:w="2160" w:type="dxa"/>
            <w:noWrap/>
            <w:vAlign w:val="center"/>
            <w:hideMark/>
          </w:tcPr>
          <w:p w14:paraId="1156C51C" w14:textId="77777777" w:rsidR="002633DF" w:rsidRPr="002633DF" w:rsidRDefault="002633DF" w:rsidP="00B840C6">
            <w:pPr>
              <w:pStyle w:val="NoSpacing"/>
              <w:rPr>
                <w:rFonts w:ascii="Arial" w:hAnsi="Arial" w:cs="Arial"/>
                <w:sz w:val="24"/>
              </w:rPr>
            </w:pPr>
            <w:r w:rsidRPr="002633DF">
              <w:rPr>
                <w:rFonts w:ascii="Arial" w:hAnsi="Arial" w:cs="Arial"/>
                <w:sz w:val="24"/>
              </w:rPr>
              <w:t>11.28</w:t>
            </w:r>
            <w:r w:rsidR="007E3117">
              <w:rPr>
                <w:rFonts w:ascii="Arial" w:hAnsi="Arial" w:cs="Arial"/>
                <w:sz w:val="24"/>
              </w:rPr>
              <w:t>ab</w:t>
            </w:r>
          </w:p>
        </w:tc>
        <w:tc>
          <w:tcPr>
            <w:tcW w:w="1890" w:type="dxa"/>
            <w:noWrap/>
            <w:vAlign w:val="center"/>
            <w:hideMark/>
          </w:tcPr>
          <w:p w14:paraId="48D47393" w14:textId="77777777" w:rsidR="002633DF" w:rsidRPr="002633DF" w:rsidRDefault="002633DF" w:rsidP="00B840C6">
            <w:pPr>
              <w:pStyle w:val="NoSpacing"/>
              <w:rPr>
                <w:rFonts w:ascii="Arial" w:hAnsi="Arial" w:cs="Arial"/>
                <w:sz w:val="24"/>
              </w:rPr>
            </w:pPr>
            <w:r w:rsidRPr="002633DF">
              <w:rPr>
                <w:rFonts w:ascii="Arial" w:hAnsi="Arial" w:cs="Arial"/>
                <w:sz w:val="24"/>
              </w:rPr>
              <w:t>7.26</w:t>
            </w:r>
            <w:r w:rsidR="007E3117">
              <w:rPr>
                <w:rFonts w:ascii="Arial" w:hAnsi="Arial" w:cs="Arial"/>
                <w:sz w:val="24"/>
              </w:rPr>
              <w:t>a</w:t>
            </w:r>
          </w:p>
        </w:tc>
        <w:tc>
          <w:tcPr>
            <w:tcW w:w="1800" w:type="dxa"/>
            <w:noWrap/>
            <w:vAlign w:val="center"/>
            <w:hideMark/>
          </w:tcPr>
          <w:p w14:paraId="1962B548" w14:textId="77777777" w:rsidR="002633DF" w:rsidRPr="002633DF" w:rsidRDefault="002633DF" w:rsidP="00B840C6">
            <w:pPr>
              <w:pStyle w:val="NoSpacing"/>
              <w:rPr>
                <w:rFonts w:ascii="Arial" w:hAnsi="Arial" w:cs="Arial"/>
                <w:sz w:val="24"/>
              </w:rPr>
            </w:pPr>
            <w:r w:rsidRPr="002633DF">
              <w:rPr>
                <w:rFonts w:ascii="Arial" w:hAnsi="Arial" w:cs="Arial"/>
                <w:sz w:val="24"/>
              </w:rPr>
              <w:t>52.67</w:t>
            </w:r>
            <w:r w:rsidR="007E3117">
              <w:rPr>
                <w:rFonts w:ascii="Arial" w:hAnsi="Arial" w:cs="Arial"/>
                <w:sz w:val="24"/>
              </w:rPr>
              <w:t>a</w:t>
            </w:r>
          </w:p>
        </w:tc>
        <w:tc>
          <w:tcPr>
            <w:tcW w:w="2430" w:type="dxa"/>
            <w:noWrap/>
            <w:vAlign w:val="center"/>
            <w:hideMark/>
          </w:tcPr>
          <w:p w14:paraId="7AD14DB0" w14:textId="77777777" w:rsidR="002633DF" w:rsidRPr="002633DF" w:rsidRDefault="002633DF" w:rsidP="00B840C6">
            <w:pPr>
              <w:pStyle w:val="NoSpacing"/>
              <w:rPr>
                <w:rFonts w:ascii="Arial" w:hAnsi="Arial" w:cs="Arial"/>
                <w:sz w:val="24"/>
              </w:rPr>
            </w:pPr>
            <w:r w:rsidRPr="002633DF">
              <w:rPr>
                <w:rFonts w:ascii="Arial" w:hAnsi="Arial" w:cs="Arial"/>
                <w:sz w:val="24"/>
              </w:rPr>
              <w:t>3.33</w:t>
            </w:r>
            <w:r w:rsidR="007E3117">
              <w:rPr>
                <w:rFonts w:ascii="Arial" w:hAnsi="Arial" w:cs="Arial"/>
                <w:sz w:val="24"/>
              </w:rPr>
              <w:t>b</w:t>
            </w:r>
          </w:p>
        </w:tc>
      </w:tr>
      <w:tr w:rsidR="002633DF" w:rsidRPr="002633DF" w14:paraId="7A235724" w14:textId="77777777" w:rsidTr="00B840C6">
        <w:trPr>
          <w:trHeight w:val="300"/>
        </w:trPr>
        <w:tc>
          <w:tcPr>
            <w:tcW w:w="1545" w:type="dxa"/>
            <w:tcBorders>
              <w:bottom w:val="single" w:sz="12" w:space="0" w:color="auto"/>
            </w:tcBorders>
            <w:noWrap/>
            <w:vAlign w:val="center"/>
            <w:hideMark/>
          </w:tcPr>
          <w:p w14:paraId="3983782B"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₇</w:t>
            </w:r>
          </w:p>
        </w:tc>
        <w:tc>
          <w:tcPr>
            <w:tcW w:w="2160" w:type="dxa"/>
            <w:tcBorders>
              <w:bottom w:val="single" w:sz="12" w:space="0" w:color="auto"/>
            </w:tcBorders>
            <w:noWrap/>
            <w:vAlign w:val="center"/>
            <w:hideMark/>
          </w:tcPr>
          <w:p w14:paraId="03A5DD65" w14:textId="77777777" w:rsidR="002633DF" w:rsidRPr="002633DF" w:rsidRDefault="002633DF" w:rsidP="00B840C6">
            <w:pPr>
              <w:pStyle w:val="NoSpacing"/>
              <w:rPr>
                <w:rFonts w:ascii="Arial" w:hAnsi="Arial" w:cs="Arial"/>
                <w:sz w:val="24"/>
              </w:rPr>
            </w:pPr>
            <w:r w:rsidRPr="002633DF">
              <w:rPr>
                <w:rFonts w:ascii="Arial" w:hAnsi="Arial" w:cs="Arial"/>
                <w:sz w:val="24"/>
              </w:rPr>
              <w:t>8.88</w:t>
            </w:r>
            <w:r w:rsidR="007E3117">
              <w:rPr>
                <w:rFonts w:ascii="Arial" w:hAnsi="Arial" w:cs="Arial"/>
                <w:sz w:val="24"/>
              </w:rPr>
              <w:t>c</w:t>
            </w:r>
          </w:p>
        </w:tc>
        <w:tc>
          <w:tcPr>
            <w:tcW w:w="1890" w:type="dxa"/>
            <w:tcBorders>
              <w:bottom w:val="single" w:sz="12" w:space="0" w:color="auto"/>
            </w:tcBorders>
            <w:noWrap/>
            <w:vAlign w:val="center"/>
            <w:hideMark/>
          </w:tcPr>
          <w:p w14:paraId="0D2B2205" w14:textId="77777777" w:rsidR="002633DF" w:rsidRPr="002633DF" w:rsidRDefault="002633DF" w:rsidP="00B840C6">
            <w:pPr>
              <w:pStyle w:val="NoSpacing"/>
              <w:rPr>
                <w:rFonts w:ascii="Arial" w:hAnsi="Arial" w:cs="Arial"/>
                <w:sz w:val="24"/>
              </w:rPr>
            </w:pPr>
            <w:r w:rsidRPr="002633DF">
              <w:rPr>
                <w:rFonts w:ascii="Arial" w:hAnsi="Arial" w:cs="Arial"/>
                <w:sz w:val="24"/>
              </w:rPr>
              <w:t>5.42</w:t>
            </w:r>
            <w:r w:rsidR="007E3117">
              <w:rPr>
                <w:rFonts w:ascii="Arial" w:hAnsi="Arial" w:cs="Arial"/>
                <w:sz w:val="24"/>
              </w:rPr>
              <w:t>b</w:t>
            </w:r>
          </w:p>
        </w:tc>
        <w:tc>
          <w:tcPr>
            <w:tcW w:w="1800" w:type="dxa"/>
            <w:tcBorders>
              <w:bottom w:val="single" w:sz="12" w:space="0" w:color="auto"/>
            </w:tcBorders>
            <w:noWrap/>
            <w:vAlign w:val="center"/>
            <w:hideMark/>
          </w:tcPr>
          <w:p w14:paraId="4AC4C161" w14:textId="77777777" w:rsidR="002633DF" w:rsidRPr="002633DF" w:rsidRDefault="002633DF" w:rsidP="00B840C6">
            <w:pPr>
              <w:pStyle w:val="NoSpacing"/>
              <w:rPr>
                <w:rFonts w:ascii="Arial" w:hAnsi="Arial" w:cs="Arial"/>
                <w:sz w:val="24"/>
              </w:rPr>
            </w:pPr>
            <w:r w:rsidRPr="002633DF">
              <w:rPr>
                <w:rFonts w:ascii="Arial" w:hAnsi="Arial" w:cs="Arial"/>
                <w:sz w:val="24"/>
              </w:rPr>
              <w:t>41.14</w:t>
            </w:r>
            <w:r w:rsidR="007E3117">
              <w:rPr>
                <w:rFonts w:ascii="Arial" w:hAnsi="Arial" w:cs="Arial"/>
                <w:sz w:val="24"/>
              </w:rPr>
              <w:t>c</w:t>
            </w:r>
          </w:p>
        </w:tc>
        <w:tc>
          <w:tcPr>
            <w:tcW w:w="2430" w:type="dxa"/>
            <w:tcBorders>
              <w:bottom w:val="single" w:sz="12" w:space="0" w:color="auto"/>
            </w:tcBorders>
            <w:noWrap/>
            <w:vAlign w:val="center"/>
            <w:hideMark/>
          </w:tcPr>
          <w:p w14:paraId="793B7C7A" w14:textId="77777777" w:rsidR="002633DF" w:rsidRPr="002633DF" w:rsidRDefault="002633DF" w:rsidP="00B840C6">
            <w:pPr>
              <w:pStyle w:val="NoSpacing"/>
              <w:rPr>
                <w:rFonts w:ascii="Arial" w:hAnsi="Arial" w:cs="Arial"/>
                <w:sz w:val="24"/>
              </w:rPr>
            </w:pPr>
            <w:r w:rsidRPr="002633DF">
              <w:rPr>
                <w:rFonts w:ascii="Arial" w:hAnsi="Arial" w:cs="Arial"/>
                <w:sz w:val="24"/>
              </w:rPr>
              <w:t>4.87</w:t>
            </w:r>
            <w:r w:rsidR="007E3117">
              <w:rPr>
                <w:rFonts w:ascii="Arial" w:hAnsi="Arial" w:cs="Arial"/>
                <w:sz w:val="24"/>
              </w:rPr>
              <w:t>a</w:t>
            </w:r>
          </w:p>
        </w:tc>
      </w:tr>
    </w:tbl>
    <w:p w14:paraId="38D305FA" w14:textId="77777777" w:rsidR="002633DF" w:rsidRDefault="002633DF" w:rsidP="00D956ED">
      <w:pPr>
        <w:spacing w:after="120" w:line="360" w:lineRule="auto"/>
        <w:ind w:firstLine="720"/>
        <w:jc w:val="both"/>
        <w:rPr>
          <w:rFonts w:ascii="Arial" w:eastAsia="Arial Unicode MS" w:hAnsi="Arial" w:cs="Arial"/>
          <w:color w:val="000000" w:themeColor="text1"/>
          <w:sz w:val="24"/>
          <w:szCs w:val="24"/>
        </w:rPr>
      </w:pPr>
    </w:p>
    <w:p w14:paraId="12991214" w14:textId="77777777" w:rsidR="002633DF" w:rsidRDefault="00417412" w:rsidP="000F4754">
      <w:pPr>
        <w:spacing w:after="0" w:line="360" w:lineRule="auto"/>
        <w:ind w:firstLine="180"/>
        <w:jc w:val="center"/>
        <w:rPr>
          <w:rFonts w:ascii="Arial" w:eastAsia="Arial Unicode MS" w:hAnsi="Arial" w:cs="Arial"/>
          <w:color w:val="000000" w:themeColor="text1"/>
          <w:sz w:val="24"/>
          <w:szCs w:val="24"/>
        </w:rPr>
      </w:pPr>
      <w:r>
        <w:rPr>
          <w:noProof/>
          <w:lang w:bidi="hi-IN"/>
        </w:rPr>
        <w:drawing>
          <wp:inline distT="0" distB="0" distL="0" distR="0" wp14:anchorId="4D28E671" wp14:editId="063538B5">
            <wp:extent cx="5943600" cy="27622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573CF8" w14:textId="77777777" w:rsidR="00AE4765" w:rsidRDefault="00AE4765" w:rsidP="0018744A">
      <w:pPr>
        <w:spacing w:after="120" w:line="360" w:lineRule="auto"/>
        <w:ind w:firstLine="18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w:t>
      </w:r>
      <w:r w:rsidRPr="00CF73FF">
        <w:rPr>
          <w:rFonts w:ascii="Arial" w:eastAsia="Arial Unicode MS" w:hAnsi="Arial" w:cs="Arial"/>
          <w:b/>
          <w:color w:val="000000" w:themeColor="text1"/>
          <w:lang w:val="en-IN"/>
        </w:rPr>
        <w:t xml:space="preserve"> as influenced by different sowing methods</w:t>
      </w:r>
    </w:p>
    <w:p w14:paraId="4ECAB64F" w14:textId="77777777" w:rsidR="00A6562E" w:rsidRPr="00AE4765" w:rsidRDefault="00A6562E" w:rsidP="00AE4765">
      <w:pPr>
        <w:pStyle w:val="ListParagraph"/>
        <w:numPr>
          <w:ilvl w:val="0"/>
          <w:numId w:val="4"/>
        </w:numPr>
        <w:spacing w:after="0" w:line="360" w:lineRule="auto"/>
        <w:ind w:left="270" w:hanging="270"/>
        <w:jc w:val="both"/>
        <w:rPr>
          <w:rFonts w:ascii="Arial" w:eastAsia="Arial Unicode MS" w:hAnsi="Arial" w:cs="Arial"/>
          <w:b/>
          <w:color w:val="000000" w:themeColor="text1"/>
          <w:sz w:val="24"/>
          <w:szCs w:val="24"/>
        </w:rPr>
      </w:pPr>
      <w:r w:rsidRPr="00AE4765">
        <w:rPr>
          <w:rFonts w:ascii="Arial" w:eastAsia="Arial Unicode MS" w:hAnsi="Arial" w:cs="Arial"/>
          <w:b/>
          <w:color w:val="000000" w:themeColor="text1"/>
          <w:sz w:val="24"/>
          <w:szCs w:val="24"/>
        </w:rPr>
        <w:lastRenderedPageBreak/>
        <w:t>Conclusion</w:t>
      </w:r>
    </w:p>
    <w:p w14:paraId="51C0C1BA" w14:textId="7294413C" w:rsidR="00925AEF" w:rsidRDefault="00925AEF" w:rsidP="00925AEF">
      <w:pPr>
        <w:spacing w:after="120" w:line="360" w:lineRule="auto"/>
        <w:ind w:firstLine="720"/>
        <w:jc w:val="both"/>
        <w:rPr>
          <w:rFonts w:ascii="Arial" w:eastAsia="Times New Roman" w:hAnsi="Arial" w:cs="Arial"/>
          <w:sz w:val="24"/>
          <w:szCs w:val="24"/>
        </w:rPr>
      </w:pPr>
      <w:r w:rsidRPr="0056551D">
        <w:rPr>
          <w:rFonts w:ascii="Arial" w:eastAsia="Times New Roman" w:hAnsi="Arial" w:cs="Arial"/>
          <w:sz w:val="24"/>
          <w:szCs w:val="24"/>
        </w:rPr>
        <w:t xml:space="preserve">The present investigation revealed that the sowing methods exerted a significant influence on the growth and yield performance of wheat. Among the treatments, the </w:t>
      </w:r>
      <w:r w:rsidRPr="0056551D">
        <w:rPr>
          <w:rFonts w:ascii="Arial" w:eastAsia="Arial Unicode MS" w:hAnsi="Arial" w:cs="Arial"/>
          <w:color w:val="000000" w:themeColor="text1"/>
          <w:sz w:val="24"/>
          <w:szCs w:val="24"/>
          <w:lang w:val="en-IN"/>
        </w:rPr>
        <w:t>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w:t>
      </w:r>
      <w:r w:rsidRPr="0056551D">
        <w:rPr>
          <w:rFonts w:ascii="Arial" w:eastAsia="Times New Roman" w:hAnsi="Arial" w:cs="Arial"/>
          <w:sz w:val="24"/>
          <w:szCs w:val="24"/>
        </w:rPr>
        <w:t xml:space="preserve"> consistently recorded superior results for plant height, number of leaves, fresh and dry matter accumulation, spike length, awn length, and number of filled grains. This superiority can be attributed to optimum plant geometry, which minimized intra-specific competition, improved resource utilization, enhanced photosynthetic efficiency, and facilitated better assimilate translocation towards reproductive parts.</w:t>
      </w:r>
      <w:r w:rsidR="00E943AD">
        <w:rPr>
          <w:rFonts w:ascii="Arial" w:eastAsia="Times New Roman" w:hAnsi="Arial" w:cs="Arial"/>
          <w:sz w:val="24"/>
          <w:szCs w:val="24"/>
        </w:rPr>
        <w:t xml:space="preserve"> </w:t>
      </w:r>
      <w:r w:rsidRPr="0056551D">
        <w:rPr>
          <w:rFonts w:ascii="Arial" w:eastAsia="Times New Roman" w:hAnsi="Arial" w:cs="Arial"/>
          <w:sz w:val="24"/>
          <w:szCs w:val="24"/>
        </w:rPr>
        <w:t xml:space="preserve">These findings suggest that adopting the </w:t>
      </w:r>
      <w:r w:rsidR="006D440D">
        <w:rPr>
          <w:rFonts w:ascii="Arial" w:eastAsia="Times New Roman" w:hAnsi="Arial" w:cs="Arial"/>
          <w:sz w:val="24"/>
          <w:szCs w:val="24"/>
        </w:rPr>
        <w:t xml:space="preserve">square method (20 cm × 20 cm, 3 </w:t>
      </w:r>
      <w:r w:rsidRPr="0056551D">
        <w:rPr>
          <w:rFonts w:ascii="Arial" w:eastAsia="Times New Roman" w:hAnsi="Arial" w:cs="Arial"/>
          <w:sz w:val="24"/>
          <w:szCs w:val="24"/>
        </w:rPr>
        <w:t xml:space="preserve">seeds/hill) can be a more efficient and sustainable practice for achieving higher </w:t>
      </w:r>
      <w:r w:rsidR="00914DB5">
        <w:rPr>
          <w:rFonts w:ascii="Arial" w:eastAsia="Times New Roman" w:hAnsi="Arial" w:cs="Arial"/>
          <w:sz w:val="24"/>
          <w:szCs w:val="24"/>
        </w:rPr>
        <w:t>growth and yield attributes</w:t>
      </w:r>
      <w:r w:rsidRPr="0056551D">
        <w:rPr>
          <w:rFonts w:ascii="Arial" w:eastAsia="Times New Roman" w:hAnsi="Arial" w:cs="Arial"/>
          <w:sz w:val="24"/>
          <w:szCs w:val="24"/>
        </w:rPr>
        <w:t>.</w:t>
      </w:r>
    </w:p>
    <w:p w14:paraId="3C9784F9" w14:textId="1BD506C5" w:rsidR="00DF5E9C" w:rsidRDefault="00DF5E9C" w:rsidP="00925AEF">
      <w:pPr>
        <w:spacing w:after="120" w:line="360" w:lineRule="auto"/>
        <w:ind w:firstLine="720"/>
        <w:jc w:val="both"/>
        <w:rPr>
          <w:rFonts w:ascii="Arial" w:eastAsia="Times New Roman" w:hAnsi="Arial" w:cs="Arial"/>
          <w:sz w:val="24"/>
          <w:szCs w:val="24"/>
        </w:rPr>
      </w:pPr>
    </w:p>
    <w:p w14:paraId="567183E3" w14:textId="5BDD90E0" w:rsidR="00DF5E9C" w:rsidRDefault="00DF5E9C" w:rsidP="00925AEF">
      <w:pPr>
        <w:spacing w:after="120" w:line="360" w:lineRule="auto"/>
        <w:ind w:firstLine="720"/>
        <w:jc w:val="both"/>
        <w:rPr>
          <w:rFonts w:ascii="Arial" w:eastAsia="Times New Roman" w:hAnsi="Arial" w:cs="Arial"/>
          <w:sz w:val="24"/>
          <w:szCs w:val="24"/>
        </w:rPr>
      </w:pPr>
    </w:p>
    <w:p w14:paraId="06BA74E2" w14:textId="77777777" w:rsidR="00DF5E9C" w:rsidRPr="0080076E" w:rsidRDefault="00DF5E9C" w:rsidP="00DF5E9C">
      <w:pPr>
        <w:rPr>
          <w:b/>
          <w:highlight w:val="yellow"/>
        </w:rPr>
      </w:pPr>
      <w:bookmarkStart w:id="1" w:name="_Hlk190852809"/>
      <w:r w:rsidRPr="0080076E">
        <w:rPr>
          <w:b/>
          <w:highlight w:val="yellow"/>
        </w:rPr>
        <w:t>Disclaimer (Artificial intelligence)</w:t>
      </w:r>
    </w:p>
    <w:p w14:paraId="62490D2B" w14:textId="77777777" w:rsidR="00DF5E9C" w:rsidRPr="000A6323" w:rsidRDefault="00DF5E9C" w:rsidP="00545947">
      <w:pPr>
        <w:jc w:val="both"/>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5E0BD36A" w14:textId="77777777" w:rsidR="00DF5E9C" w:rsidRPr="0056551D" w:rsidRDefault="00DF5E9C" w:rsidP="00925AEF">
      <w:pPr>
        <w:spacing w:after="120" w:line="360" w:lineRule="auto"/>
        <w:ind w:firstLine="720"/>
        <w:jc w:val="both"/>
        <w:rPr>
          <w:rFonts w:ascii="Arial" w:eastAsia="Times New Roman" w:hAnsi="Arial" w:cs="Arial"/>
          <w:sz w:val="24"/>
          <w:szCs w:val="24"/>
        </w:rPr>
      </w:pPr>
    </w:p>
    <w:p w14:paraId="6AD4CBEB" w14:textId="522428CE" w:rsidR="000B05B4" w:rsidRPr="0056551D" w:rsidRDefault="00F1083B" w:rsidP="003323DD">
      <w:pPr>
        <w:pStyle w:val="ListParagraph"/>
        <w:numPr>
          <w:ilvl w:val="0"/>
          <w:numId w:val="4"/>
        </w:numPr>
        <w:spacing w:after="120" w:line="360" w:lineRule="auto"/>
        <w:ind w:left="270" w:hanging="270"/>
        <w:jc w:val="both"/>
        <w:rPr>
          <w:rFonts w:ascii="Arial" w:eastAsia="Times New Roman" w:hAnsi="Arial" w:cs="Arial"/>
          <w:b/>
          <w:sz w:val="24"/>
          <w:szCs w:val="24"/>
        </w:rPr>
      </w:pPr>
      <w:r>
        <w:rPr>
          <w:rFonts w:ascii="Arial" w:eastAsia="Times New Roman" w:hAnsi="Arial" w:cs="Arial"/>
          <w:b/>
          <w:sz w:val="24"/>
          <w:szCs w:val="24"/>
        </w:rPr>
        <w:t xml:space="preserve">References </w:t>
      </w:r>
    </w:p>
    <w:p w14:paraId="315BFEC4" w14:textId="65A3EFB2" w:rsidR="00E6630A" w:rsidRPr="00E6630A" w:rsidRDefault="003323DD" w:rsidP="00E6630A">
      <w:pPr>
        <w:widowControl w:val="0"/>
        <w:autoSpaceDE w:val="0"/>
        <w:autoSpaceDN w:val="0"/>
        <w:adjustRightInd w:val="0"/>
        <w:spacing w:after="120" w:line="240" w:lineRule="auto"/>
        <w:ind w:left="480" w:hanging="480"/>
        <w:rPr>
          <w:rFonts w:ascii="Arial" w:hAnsi="Arial" w:cs="Arial"/>
          <w:noProof/>
          <w:szCs w:val="24"/>
        </w:rPr>
      </w:pPr>
      <w:r w:rsidRPr="0056551D">
        <w:rPr>
          <w:rFonts w:ascii="Arial" w:eastAsia="Times New Roman" w:hAnsi="Arial" w:cs="Arial"/>
          <w:b/>
        </w:rPr>
        <w:fldChar w:fldCharType="begin" w:fldLock="1"/>
      </w:r>
      <w:r w:rsidRPr="0056551D">
        <w:rPr>
          <w:rFonts w:ascii="Arial" w:eastAsia="Times New Roman" w:hAnsi="Arial" w:cs="Arial"/>
          <w:b/>
        </w:rPr>
        <w:instrText xml:space="preserve">ADDIN Mendeley Bibliography CSL_BIBLIOGRAPHY </w:instrText>
      </w:r>
      <w:r w:rsidRPr="0056551D">
        <w:rPr>
          <w:rFonts w:ascii="Arial" w:eastAsia="Times New Roman" w:hAnsi="Arial" w:cs="Arial"/>
          <w:b/>
        </w:rPr>
        <w:fldChar w:fldCharType="separate"/>
      </w:r>
      <w:r w:rsidR="00E6630A" w:rsidRPr="00E6630A">
        <w:rPr>
          <w:rFonts w:ascii="Arial" w:hAnsi="Arial" w:cs="Arial"/>
          <w:noProof/>
          <w:szCs w:val="24"/>
        </w:rPr>
        <w:t xml:space="preserve">Alam, M. S. (2013). Growth and yield potential of wheat as affected by management practices. </w:t>
      </w:r>
      <w:r w:rsidR="00E6630A" w:rsidRPr="00E6630A">
        <w:rPr>
          <w:rFonts w:ascii="Arial" w:hAnsi="Arial" w:cs="Arial"/>
          <w:i/>
          <w:iCs/>
          <w:noProof/>
          <w:szCs w:val="24"/>
        </w:rPr>
        <w:t>African Journal of Agricultural Research</w:t>
      </w:r>
      <w:r w:rsidR="00E6630A" w:rsidRPr="00E6630A">
        <w:rPr>
          <w:rFonts w:ascii="Arial" w:hAnsi="Arial" w:cs="Arial"/>
          <w:noProof/>
          <w:szCs w:val="24"/>
        </w:rPr>
        <w:t xml:space="preserve">, </w:t>
      </w:r>
      <w:r w:rsidR="00E6630A" w:rsidRPr="00E6630A">
        <w:rPr>
          <w:rFonts w:ascii="Arial" w:hAnsi="Arial" w:cs="Arial"/>
          <w:i/>
          <w:iCs/>
          <w:noProof/>
          <w:szCs w:val="24"/>
        </w:rPr>
        <w:t>8</w:t>
      </w:r>
      <w:r w:rsidR="00E6630A" w:rsidRPr="00E6630A">
        <w:rPr>
          <w:rFonts w:ascii="Arial" w:hAnsi="Arial" w:cs="Arial"/>
          <w:noProof/>
          <w:szCs w:val="24"/>
        </w:rPr>
        <w:t>(47), 6068–6072.</w:t>
      </w:r>
    </w:p>
    <w:p w14:paraId="3149821E"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Bakhsh, K., Al Mastoie, Z., Sattar Khetran, A., Al Mastoie, T., Hussain Mastoie, B., Jahangeer Shah, S., Ahmed Khetran, Z., Iqbal, K., &amp; Baig, B. (2020). Effect of sowing methods on growth and yield of wheat (Triticum aestivum L.) through zero and other tillage method. </w:t>
      </w:r>
      <w:r w:rsidRPr="00E6630A">
        <w:rPr>
          <w:rFonts w:ascii="Arial" w:hAnsi="Arial" w:cs="Arial"/>
          <w:i/>
          <w:iCs/>
          <w:noProof/>
          <w:szCs w:val="24"/>
        </w:rPr>
        <w:t>Journal of Plant Sciences</w:t>
      </w:r>
      <w:r w:rsidRPr="00E6630A">
        <w:rPr>
          <w:rFonts w:ascii="Arial" w:hAnsi="Arial" w:cs="Arial"/>
          <w:noProof/>
          <w:szCs w:val="24"/>
        </w:rPr>
        <w:t xml:space="preserve">, </w:t>
      </w:r>
      <w:r w:rsidRPr="00E6630A">
        <w:rPr>
          <w:rFonts w:ascii="Arial" w:hAnsi="Arial" w:cs="Arial"/>
          <w:i/>
          <w:iCs/>
          <w:noProof/>
          <w:szCs w:val="24"/>
        </w:rPr>
        <w:t>8</w:t>
      </w:r>
      <w:r w:rsidRPr="00E6630A">
        <w:rPr>
          <w:rFonts w:ascii="Arial" w:hAnsi="Arial" w:cs="Arial"/>
          <w:noProof/>
          <w:szCs w:val="24"/>
        </w:rPr>
        <w:t>(5), 152–157. https://doi.org/10.11648/j.jps.20200805.17</w:t>
      </w:r>
    </w:p>
    <w:p w14:paraId="6C11755D"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Benfreha, F. Z., Henni, D. eddine, Merzoug, A., Naresh, R. K., Tomar, S. S., Purushottam, Singh, S. P., Kumar, D., Pratap, B., Kumar, V., &amp; Nanher, A. H. (2014). Testing and evaluation of planting methods on wheat grain yield and yield contributing parameters in irrigated agro-ecosystem of western Uttar Pradesh, India. </w:t>
      </w:r>
      <w:r w:rsidRPr="00E6630A">
        <w:rPr>
          <w:rFonts w:ascii="Arial" w:hAnsi="Arial" w:cs="Arial"/>
          <w:i/>
          <w:iCs/>
          <w:noProof/>
          <w:szCs w:val="24"/>
        </w:rPr>
        <w:t>African Journal of Agricultural Research</w:t>
      </w:r>
      <w:r w:rsidRPr="00E6630A">
        <w:rPr>
          <w:rFonts w:ascii="Arial" w:hAnsi="Arial" w:cs="Arial"/>
          <w:noProof/>
          <w:szCs w:val="24"/>
        </w:rPr>
        <w:t xml:space="preserve">, </w:t>
      </w:r>
      <w:r w:rsidRPr="00E6630A">
        <w:rPr>
          <w:rFonts w:ascii="Arial" w:hAnsi="Arial" w:cs="Arial"/>
          <w:i/>
          <w:iCs/>
          <w:noProof/>
          <w:szCs w:val="24"/>
        </w:rPr>
        <w:t>9</w:t>
      </w:r>
      <w:r w:rsidRPr="00E6630A">
        <w:rPr>
          <w:rFonts w:ascii="Arial" w:hAnsi="Arial" w:cs="Arial"/>
          <w:noProof/>
          <w:szCs w:val="24"/>
        </w:rPr>
        <w:t>(1), 176–182. https://doi.org/10.5897/AJAR2012.0027</w:t>
      </w:r>
    </w:p>
    <w:p w14:paraId="74D06106"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Bhatii, A., Kandhro, M., Chang, M., Sootaher, J., Buriro, K., Mangrio, N., Shar, P., MK, S., &amp; Wadho, M. (2022). Effect of different sowing methods on the growth and yield of wheat (Triticum aestivum L.). </w:t>
      </w:r>
      <w:r w:rsidRPr="00E6630A">
        <w:rPr>
          <w:rFonts w:ascii="Arial" w:hAnsi="Arial" w:cs="Arial"/>
          <w:i/>
          <w:iCs/>
          <w:noProof/>
          <w:szCs w:val="24"/>
        </w:rPr>
        <w:t>Creative Commons</w:t>
      </w:r>
      <w:r w:rsidRPr="00E6630A">
        <w:rPr>
          <w:rFonts w:ascii="Arial" w:hAnsi="Arial" w:cs="Arial"/>
          <w:noProof/>
          <w:szCs w:val="24"/>
        </w:rPr>
        <w:t xml:space="preserve">, </w:t>
      </w:r>
      <w:r w:rsidRPr="00E6630A">
        <w:rPr>
          <w:rFonts w:ascii="Arial" w:hAnsi="Arial" w:cs="Arial"/>
          <w:i/>
          <w:iCs/>
          <w:noProof/>
          <w:szCs w:val="24"/>
        </w:rPr>
        <w:t>13</w:t>
      </w:r>
      <w:r w:rsidRPr="00E6630A">
        <w:rPr>
          <w:rFonts w:ascii="Arial" w:hAnsi="Arial" w:cs="Arial"/>
          <w:noProof/>
          <w:szCs w:val="24"/>
        </w:rPr>
        <w:t>(1), 33–42.</w:t>
      </w:r>
    </w:p>
    <w:p w14:paraId="79272720"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Bhayal, L., Kewat, M. L., Bhayal, D., Aakash, ., Jha, A. K., &amp; Badkul, A. J. (2022). Influence of Different Sowing Dates and Nutrient Management on Yield Attributes and Yield of Wheat (Triticum aestivum L.). </w:t>
      </w:r>
      <w:r w:rsidRPr="00E6630A">
        <w:rPr>
          <w:rFonts w:ascii="Arial" w:hAnsi="Arial" w:cs="Arial"/>
          <w:i/>
          <w:iCs/>
          <w:noProof/>
          <w:szCs w:val="24"/>
        </w:rPr>
        <w:t>International Journal of Plant &amp; Soil Science</w:t>
      </w:r>
      <w:r w:rsidRPr="00E6630A">
        <w:rPr>
          <w:rFonts w:ascii="Arial" w:hAnsi="Arial" w:cs="Arial"/>
          <w:noProof/>
          <w:szCs w:val="24"/>
        </w:rPr>
        <w:t>, 362–367. https://doi.org/10.9734/ijpss/2022/v34i2231385</w:t>
      </w:r>
    </w:p>
    <w:p w14:paraId="6E14F1E1"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lastRenderedPageBreak/>
        <w:t xml:space="preserve">Chauhdary, J. N., Khan, U. D., Shah, S. H. H., Shahid, M. A., &amp; Arsalan, M. (2016). Effect of sowing methods and seed rates on wheat yield and water productivity. </w:t>
      </w:r>
      <w:r w:rsidRPr="00E6630A">
        <w:rPr>
          <w:rFonts w:ascii="Arial" w:hAnsi="Arial" w:cs="Arial"/>
          <w:i/>
          <w:iCs/>
          <w:noProof/>
          <w:szCs w:val="24"/>
        </w:rPr>
        <w:t>Quality Assurance and Safety of Crops &amp; Foods</w:t>
      </w:r>
      <w:r w:rsidRPr="00E6630A">
        <w:rPr>
          <w:rFonts w:ascii="Arial" w:hAnsi="Arial" w:cs="Arial"/>
          <w:noProof/>
          <w:szCs w:val="24"/>
        </w:rPr>
        <w:t xml:space="preserve">, </w:t>
      </w:r>
      <w:r w:rsidRPr="00E6630A">
        <w:rPr>
          <w:rFonts w:ascii="Arial" w:hAnsi="Arial" w:cs="Arial"/>
          <w:i/>
          <w:iCs/>
          <w:noProof/>
          <w:szCs w:val="24"/>
        </w:rPr>
        <w:t>8</w:t>
      </w:r>
      <w:r w:rsidRPr="00E6630A">
        <w:rPr>
          <w:rFonts w:ascii="Arial" w:hAnsi="Arial" w:cs="Arial"/>
          <w:noProof/>
          <w:szCs w:val="24"/>
        </w:rPr>
        <w:t>(2), 267–272. https://doi.org/10.3920/QAS2015.0685</w:t>
      </w:r>
    </w:p>
    <w:p w14:paraId="34903D4D"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FAO. (2023). Agricultural production statistics 2000–2022. FAOSTAT Analytical Briefs, No. 79. Rome. https://doi.org/10.4060/cc9205en. Date accessed: 20th Npvember 2024. </w:t>
      </w:r>
      <w:r w:rsidRPr="00E6630A">
        <w:rPr>
          <w:rFonts w:ascii="Arial" w:hAnsi="Arial" w:cs="Arial"/>
          <w:i/>
          <w:iCs/>
          <w:noProof/>
          <w:szCs w:val="24"/>
        </w:rPr>
        <w:t>Agricultural Production Statistics 2000–2021</w:t>
      </w:r>
      <w:r w:rsidRPr="00E6630A">
        <w:rPr>
          <w:rFonts w:ascii="Arial" w:hAnsi="Arial" w:cs="Arial"/>
          <w:noProof/>
          <w:szCs w:val="24"/>
        </w:rPr>
        <w:t>, 1–16. https://www.fao.org/3/cc9205en/cc9205en.pdf</w:t>
      </w:r>
    </w:p>
    <w:p w14:paraId="1C8C707E"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GOI. (2024). </w:t>
      </w:r>
      <w:r w:rsidRPr="00E6630A">
        <w:rPr>
          <w:rFonts w:ascii="Arial" w:hAnsi="Arial" w:cs="Arial"/>
          <w:i/>
          <w:iCs/>
          <w:noProof/>
          <w:szCs w:val="24"/>
        </w:rPr>
        <w:t>Economic Survey 2024-25 Statistical appendix</w:t>
      </w:r>
      <w:r w:rsidRPr="00E6630A">
        <w:rPr>
          <w:rFonts w:ascii="Arial" w:hAnsi="Arial" w:cs="Arial"/>
          <w:noProof/>
          <w:szCs w:val="24"/>
        </w:rPr>
        <w:t xml:space="preserve"> (p. 43).</w:t>
      </w:r>
    </w:p>
    <w:p w14:paraId="52C44A1E"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Iqbal, M. J., Shams, N., &amp; Fatima, K. (2022). Nutritional Quality of Wheat. In </w:t>
      </w:r>
      <w:r w:rsidRPr="00E6630A">
        <w:rPr>
          <w:rFonts w:ascii="Arial" w:hAnsi="Arial" w:cs="Arial"/>
          <w:i/>
          <w:iCs/>
          <w:noProof/>
          <w:szCs w:val="24"/>
        </w:rPr>
        <w:t>Wheat</w:t>
      </w:r>
      <w:r w:rsidRPr="00E6630A">
        <w:rPr>
          <w:rFonts w:ascii="Arial" w:hAnsi="Arial" w:cs="Arial"/>
          <w:noProof/>
          <w:szCs w:val="24"/>
        </w:rPr>
        <w:t>. IntechOpen. https://doi.org/10.5772/intechopen.104659</w:t>
      </w:r>
    </w:p>
    <w:p w14:paraId="4F5C5184"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Kakade, S. V., Mahatale, P. V., Nandeshwar, B. C., Chandankar, G. D., Potkile, S. N., Yenpreddiwar, M. D., Nemade, D. K., Parshuramkar, S. G., &amp; Raut, M. M. (2025). Comparing the Dibbling and Drilling Techniques in Wheat (Triticum aestivum L.) Based on the Plants’ Reproductive and Vegetative Growth. </w:t>
      </w:r>
      <w:r w:rsidRPr="00E6630A">
        <w:rPr>
          <w:rFonts w:ascii="Arial" w:hAnsi="Arial" w:cs="Arial"/>
          <w:i/>
          <w:iCs/>
          <w:noProof/>
          <w:szCs w:val="24"/>
        </w:rPr>
        <w:t>Journal of Advances in Biology &amp; Biotechnology</w:t>
      </w:r>
      <w:r w:rsidRPr="00E6630A">
        <w:rPr>
          <w:rFonts w:ascii="Arial" w:hAnsi="Arial" w:cs="Arial"/>
          <w:noProof/>
          <w:szCs w:val="24"/>
        </w:rPr>
        <w:t xml:space="preserve">, </w:t>
      </w:r>
      <w:r w:rsidRPr="00E6630A">
        <w:rPr>
          <w:rFonts w:ascii="Arial" w:hAnsi="Arial" w:cs="Arial"/>
          <w:i/>
          <w:iCs/>
          <w:noProof/>
          <w:szCs w:val="24"/>
        </w:rPr>
        <w:t>28</w:t>
      </w:r>
      <w:r w:rsidRPr="00E6630A">
        <w:rPr>
          <w:rFonts w:ascii="Arial" w:hAnsi="Arial" w:cs="Arial"/>
          <w:noProof/>
          <w:szCs w:val="24"/>
        </w:rPr>
        <w:t>(2), 253–264. https://doi.org/10.9734/jabb/2025/v28i21986</w:t>
      </w:r>
    </w:p>
    <w:p w14:paraId="23B00F05"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Kumar, A., Singh, R. K., Singh, J. K., Aakash, Kumari, S., Chandel, S. K. S., Jyothsna, K., &amp; Solanki, A. (2023). Effect of Crop Establishment Methods and Irrigation Scheduling on Growth and Soil Nutrient Status of Wheat. </w:t>
      </w:r>
      <w:r w:rsidRPr="00E6630A">
        <w:rPr>
          <w:rFonts w:ascii="Arial" w:hAnsi="Arial" w:cs="Arial"/>
          <w:i/>
          <w:iCs/>
          <w:noProof/>
          <w:szCs w:val="24"/>
        </w:rPr>
        <w:t>Current Journal of Applied Science and Technology</w:t>
      </w:r>
      <w:r w:rsidRPr="00E6630A">
        <w:rPr>
          <w:rFonts w:ascii="Arial" w:hAnsi="Arial" w:cs="Arial"/>
          <w:noProof/>
          <w:szCs w:val="24"/>
        </w:rPr>
        <w:t xml:space="preserve">, </w:t>
      </w:r>
      <w:r w:rsidRPr="00E6630A">
        <w:rPr>
          <w:rFonts w:ascii="Arial" w:hAnsi="Arial" w:cs="Arial"/>
          <w:i/>
          <w:iCs/>
          <w:noProof/>
          <w:szCs w:val="24"/>
        </w:rPr>
        <w:t>42</w:t>
      </w:r>
      <w:r w:rsidRPr="00E6630A">
        <w:rPr>
          <w:rFonts w:ascii="Arial" w:hAnsi="Arial" w:cs="Arial"/>
          <w:noProof/>
          <w:szCs w:val="24"/>
        </w:rPr>
        <w:t>(47), 32–42. https://doi.org/https://doi.org/10.9734/cjast/2023/v42i474314</w:t>
      </w:r>
    </w:p>
    <w:p w14:paraId="343CF308"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MoA&amp;FW. (2024). </w:t>
      </w:r>
      <w:r w:rsidRPr="00E6630A">
        <w:rPr>
          <w:rFonts w:ascii="Arial" w:hAnsi="Arial" w:cs="Arial"/>
          <w:i/>
          <w:iCs/>
          <w:noProof/>
          <w:szCs w:val="24"/>
        </w:rPr>
        <w:t>Department of Agriculture and Farmers ’ Welfare releases Final Estimates of major agricultural crops for 2023-24 Record Foodgrains production of 3322 . 98 LMT Record Rice production of 1378 . 25 LMT Record Wheat production of 1132 . 92 LMT Record producti</w:t>
      </w:r>
      <w:r w:rsidRPr="00E6630A">
        <w:rPr>
          <w:rFonts w:ascii="Arial" w:hAnsi="Arial" w:cs="Arial"/>
          <w:noProof/>
          <w:szCs w:val="24"/>
        </w:rPr>
        <w:t>. 24–25.</w:t>
      </w:r>
    </w:p>
    <w:p w14:paraId="214446EF"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Nasir, A. U. R., Ammara, G., Azmat, M., Fatima, E., Hussain, M. Z., Zia, F., Aslam, M. U., Inqalabi, T. E. I., Abas, M., &amp; Ahmad, M. (2024). Evaluation of Wheat Genotypes for Growth and Yield Performance under Rainfed Conditions. </w:t>
      </w:r>
      <w:r w:rsidRPr="00E6630A">
        <w:rPr>
          <w:rFonts w:ascii="Arial" w:hAnsi="Arial" w:cs="Arial"/>
          <w:i/>
          <w:iCs/>
          <w:noProof/>
          <w:szCs w:val="24"/>
        </w:rPr>
        <w:t>Asian Journal of Research in Crop Science</w:t>
      </w:r>
      <w:r w:rsidRPr="00E6630A">
        <w:rPr>
          <w:rFonts w:ascii="Arial" w:hAnsi="Arial" w:cs="Arial"/>
          <w:noProof/>
          <w:szCs w:val="24"/>
        </w:rPr>
        <w:t xml:space="preserve">, </w:t>
      </w:r>
      <w:r w:rsidRPr="00E6630A">
        <w:rPr>
          <w:rFonts w:ascii="Arial" w:hAnsi="Arial" w:cs="Arial"/>
          <w:i/>
          <w:iCs/>
          <w:noProof/>
          <w:szCs w:val="24"/>
        </w:rPr>
        <w:t>9</w:t>
      </w:r>
      <w:r w:rsidRPr="00E6630A">
        <w:rPr>
          <w:rFonts w:ascii="Arial" w:hAnsi="Arial" w:cs="Arial"/>
          <w:noProof/>
          <w:szCs w:val="24"/>
        </w:rPr>
        <w:t>(4), 120–131. https://doi.org/10.9734/ajrcs/2024/v9i4304</w:t>
      </w:r>
    </w:p>
    <w:p w14:paraId="53620E2C"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Prakash, B. gana, Dawson, J., Abraham, T., &amp; Meshram, M. R. (2022). Response of different methods of sowing and organic manures on growth and yield of wheat (Triticum aestivum L.). </w:t>
      </w:r>
      <w:r w:rsidRPr="00E6630A">
        <w:rPr>
          <w:rFonts w:ascii="Arial" w:hAnsi="Arial" w:cs="Arial"/>
          <w:i/>
          <w:iCs/>
          <w:noProof/>
          <w:szCs w:val="24"/>
        </w:rPr>
        <w:t>Environment Conservation Journal</w:t>
      </w:r>
      <w:r w:rsidRPr="00E6630A">
        <w:rPr>
          <w:rFonts w:ascii="Arial" w:hAnsi="Arial" w:cs="Arial"/>
          <w:noProof/>
          <w:szCs w:val="24"/>
        </w:rPr>
        <w:t xml:space="preserve">, </w:t>
      </w:r>
      <w:r w:rsidRPr="00E6630A">
        <w:rPr>
          <w:rFonts w:ascii="Arial" w:hAnsi="Arial" w:cs="Arial"/>
          <w:i/>
          <w:iCs/>
          <w:noProof/>
          <w:szCs w:val="24"/>
        </w:rPr>
        <w:t>23</w:t>
      </w:r>
      <w:r w:rsidRPr="00E6630A">
        <w:rPr>
          <w:rFonts w:ascii="Arial" w:hAnsi="Arial" w:cs="Arial"/>
          <w:noProof/>
          <w:szCs w:val="24"/>
        </w:rPr>
        <w:t>(1&amp;2), 107–113. https://doi.org/10.36953/ECJ.021845-2157</w:t>
      </w:r>
    </w:p>
    <w:p w14:paraId="73C69588"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szCs w:val="24"/>
        </w:rPr>
      </w:pPr>
      <w:r w:rsidRPr="00E6630A">
        <w:rPr>
          <w:rFonts w:ascii="Arial" w:hAnsi="Arial" w:cs="Arial"/>
          <w:noProof/>
          <w:szCs w:val="24"/>
        </w:rPr>
        <w:t xml:space="preserve">Santhosh, G., &amp; Mehera, B. (2022). Effect of different sowing methods on wheat (Triticum aestivum L.) cultivars on growth and yield attributing characters. </w:t>
      </w:r>
      <w:r w:rsidRPr="00E6630A">
        <w:rPr>
          <w:rFonts w:ascii="Arial" w:hAnsi="Arial" w:cs="Arial"/>
          <w:i/>
          <w:iCs/>
          <w:noProof/>
          <w:szCs w:val="24"/>
        </w:rPr>
        <w:t>The Pharma Innovation Journal</w:t>
      </w:r>
      <w:r w:rsidRPr="00E6630A">
        <w:rPr>
          <w:rFonts w:ascii="Arial" w:hAnsi="Arial" w:cs="Arial"/>
          <w:noProof/>
          <w:szCs w:val="24"/>
        </w:rPr>
        <w:t xml:space="preserve">, </w:t>
      </w:r>
      <w:r w:rsidRPr="00E6630A">
        <w:rPr>
          <w:rFonts w:ascii="Arial" w:hAnsi="Arial" w:cs="Arial"/>
          <w:i/>
          <w:iCs/>
          <w:noProof/>
          <w:szCs w:val="24"/>
        </w:rPr>
        <w:t>11</w:t>
      </w:r>
      <w:r w:rsidRPr="00E6630A">
        <w:rPr>
          <w:rFonts w:ascii="Arial" w:hAnsi="Arial" w:cs="Arial"/>
          <w:noProof/>
          <w:szCs w:val="24"/>
        </w:rPr>
        <w:t>(5), 325–327.</w:t>
      </w:r>
    </w:p>
    <w:p w14:paraId="246383A9" w14:textId="77777777" w:rsidR="00E6630A" w:rsidRPr="00E6630A" w:rsidRDefault="00E6630A" w:rsidP="00E6630A">
      <w:pPr>
        <w:widowControl w:val="0"/>
        <w:autoSpaceDE w:val="0"/>
        <w:autoSpaceDN w:val="0"/>
        <w:adjustRightInd w:val="0"/>
        <w:spacing w:after="120" w:line="240" w:lineRule="auto"/>
        <w:ind w:left="480" w:hanging="480"/>
        <w:rPr>
          <w:rFonts w:ascii="Arial" w:hAnsi="Arial" w:cs="Arial"/>
          <w:noProof/>
        </w:rPr>
      </w:pPr>
      <w:r w:rsidRPr="00E6630A">
        <w:rPr>
          <w:rFonts w:ascii="Arial" w:hAnsi="Arial" w:cs="Arial"/>
          <w:noProof/>
          <w:szCs w:val="24"/>
        </w:rPr>
        <w:t xml:space="preserve">USDA. (2025). </w:t>
      </w:r>
      <w:r w:rsidRPr="00E6630A">
        <w:rPr>
          <w:rFonts w:ascii="Arial" w:hAnsi="Arial" w:cs="Arial"/>
          <w:i/>
          <w:iCs/>
          <w:noProof/>
          <w:szCs w:val="24"/>
        </w:rPr>
        <w:t>Top wheat producing countries</w:t>
      </w:r>
      <w:r w:rsidRPr="00E6630A">
        <w:rPr>
          <w:rFonts w:ascii="Arial" w:hAnsi="Arial" w:cs="Arial"/>
          <w:noProof/>
          <w:szCs w:val="24"/>
        </w:rPr>
        <w:t>. Foreign Agricultural Service (FAS) IUnited States Department of Agriculture’s (USDA). https://www.fas.usda.gov/data/production/commodity/0410000</w:t>
      </w:r>
    </w:p>
    <w:p w14:paraId="5A9388D8" w14:textId="1DE56A36" w:rsidR="003323DD" w:rsidRPr="00322366" w:rsidRDefault="003323DD" w:rsidP="00E6630A">
      <w:pPr>
        <w:widowControl w:val="0"/>
        <w:autoSpaceDE w:val="0"/>
        <w:autoSpaceDN w:val="0"/>
        <w:adjustRightInd w:val="0"/>
        <w:spacing w:after="120" w:line="240" w:lineRule="auto"/>
        <w:ind w:left="480" w:hanging="480"/>
        <w:jc w:val="both"/>
        <w:rPr>
          <w:rFonts w:ascii="Arial" w:eastAsia="Times New Roman" w:hAnsi="Arial" w:cs="Arial"/>
          <w:b/>
        </w:rPr>
      </w:pPr>
      <w:r w:rsidRPr="0056551D">
        <w:rPr>
          <w:rFonts w:ascii="Arial" w:eastAsia="Times New Roman" w:hAnsi="Arial" w:cs="Arial"/>
          <w:b/>
        </w:rPr>
        <w:fldChar w:fldCharType="end"/>
      </w:r>
    </w:p>
    <w:p w14:paraId="68F5A853" w14:textId="77777777" w:rsidR="00A6562E" w:rsidRPr="00A6562E" w:rsidRDefault="00A6562E" w:rsidP="00D956ED">
      <w:pPr>
        <w:spacing w:after="120" w:line="360" w:lineRule="auto"/>
        <w:ind w:firstLine="720"/>
        <w:jc w:val="both"/>
        <w:rPr>
          <w:rFonts w:ascii="Arial" w:hAnsi="Arial" w:cs="Arial"/>
          <w:b/>
          <w:sz w:val="24"/>
          <w:szCs w:val="24"/>
        </w:rPr>
      </w:pPr>
    </w:p>
    <w:sectPr w:rsidR="00A6562E" w:rsidRPr="00A6562E" w:rsidSect="00E943AD">
      <w:headerReference w:type="even" r:id="rId11"/>
      <w:headerReference w:type="default" r:id="rId12"/>
      <w:headerReference w:type="first" r:id="rId13"/>
      <w:pgSz w:w="12240" w:h="15840"/>
      <w:pgMar w:top="72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D902" w14:textId="77777777" w:rsidR="009A059A" w:rsidRDefault="009A059A" w:rsidP="00322366">
      <w:pPr>
        <w:spacing w:after="0" w:line="240" w:lineRule="auto"/>
      </w:pPr>
      <w:r>
        <w:separator/>
      </w:r>
    </w:p>
  </w:endnote>
  <w:endnote w:type="continuationSeparator" w:id="0">
    <w:p w14:paraId="387DE9F6" w14:textId="77777777" w:rsidR="009A059A" w:rsidRDefault="009A059A" w:rsidP="0032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0EF8A" w14:textId="77777777" w:rsidR="009A059A" w:rsidRDefault="009A059A" w:rsidP="00322366">
      <w:pPr>
        <w:spacing w:after="0" w:line="240" w:lineRule="auto"/>
      </w:pPr>
      <w:r>
        <w:separator/>
      </w:r>
    </w:p>
  </w:footnote>
  <w:footnote w:type="continuationSeparator" w:id="0">
    <w:p w14:paraId="545E8977" w14:textId="77777777" w:rsidR="009A059A" w:rsidRDefault="009A059A" w:rsidP="0032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0E6" w14:textId="51370594" w:rsidR="00CF3A33" w:rsidRDefault="009A059A">
    <w:pPr>
      <w:pStyle w:val="Header"/>
    </w:pPr>
    <w:r>
      <w:rPr>
        <w:noProof/>
      </w:rPr>
      <w:pict w14:anchorId="3581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9DE6" w14:textId="2807A8F7" w:rsidR="00CF3A33" w:rsidRDefault="009A059A">
    <w:pPr>
      <w:pStyle w:val="Header"/>
    </w:pPr>
    <w:r>
      <w:rPr>
        <w:noProof/>
      </w:rPr>
      <w:pict w14:anchorId="19CB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2AF4" w14:textId="1D8AB474" w:rsidR="00CF3A33" w:rsidRDefault="009A059A">
    <w:pPr>
      <w:pStyle w:val="Header"/>
    </w:pPr>
    <w:r>
      <w:rPr>
        <w:noProof/>
      </w:rPr>
      <w:pict w14:anchorId="2A1F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C7A3D"/>
    <w:multiLevelType w:val="multilevel"/>
    <w:tmpl w:val="896447A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A40648"/>
    <w:multiLevelType w:val="multilevel"/>
    <w:tmpl w:val="4F8C4668"/>
    <w:lvl w:ilvl="0">
      <w:start w:val="4"/>
      <w:numFmt w:val="decimal"/>
      <w:lvlText w:val="%1"/>
      <w:lvlJc w:val="left"/>
      <w:pPr>
        <w:ind w:left="525" w:hanging="525"/>
      </w:pPr>
      <w:rPr>
        <w:rFonts w:eastAsia="Times New Roman" w:hint="default"/>
        <w:b/>
        <w:color w:val="000000"/>
      </w:rPr>
    </w:lvl>
    <w:lvl w:ilvl="1">
      <w:start w:val="1"/>
      <w:numFmt w:val="decimal"/>
      <w:lvlText w:val="%1.%2"/>
      <w:lvlJc w:val="left"/>
      <w:pPr>
        <w:ind w:left="885" w:hanging="525"/>
      </w:pPr>
      <w:rPr>
        <w:rFonts w:eastAsia="Times New Roman" w:hint="default"/>
        <w:b/>
        <w:color w:val="000000"/>
      </w:rPr>
    </w:lvl>
    <w:lvl w:ilvl="2">
      <w:start w:val="6"/>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 w15:restartNumberingAfterBreak="0">
    <w:nsid w:val="5BE707BA"/>
    <w:multiLevelType w:val="hybridMultilevel"/>
    <w:tmpl w:val="C0E2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F56"/>
    <w:rsid w:val="0000441F"/>
    <w:rsid w:val="00045F33"/>
    <w:rsid w:val="0004757E"/>
    <w:rsid w:val="000B05B4"/>
    <w:rsid w:val="000E3250"/>
    <w:rsid w:val="000E4D5A"/>
    <w:rsid w:val="000F4754"/>
    <w:rsid w:val="00125FFD"/>
    <w:rsid w:val="00131C81"/>
    <w:rsid w:val="0013320A"/>
    <w:rsid w:val="00171384"/>
    <w:rsid w:val="00172C84"/>
    <w:rsid w:val="00175FCE"/>
    <w:rsid w:val="0018744A"/>
    <w:rsid w:val="001A4F68"/>
    <w:rsid w:val="001C5483"/>
    <w:rsid w:val="001E5E4E"/>
    <w:rsid w:val="0021695B"/>
    <w:rsid w:val="002531B4"/>
    <w:rsid w:val="00254441"/>
    <w:rsid w:val="002633DF"/>
    <w:rsid w:val="002760EA"/>
    <w:rsid w:val="002A00B3"/>
    <w:rsid w:val="002A0AE5"/>
    <w:rsid w:val="002F2BCF"/>
    <w:rsid w:val="00322366"/>
    <w:rsid w:val="00330157"/>
    <w:rsid w:val="003323DD"/>
    <w:rsid w:val="00341484"/>
    <w:rsid w:val="00362050"/>
    <w:rsid w:val="0038581D"/>
    <w:rsid w:val="003B225E"/>
    <w:rsid w:val="0041165F"/>
    <w:rsid w:val="00417412"/>
    <w:rsid w:val="0044417F"/>
    <w:rsid w:val="00451DFE"/>
    <w:rsid w:val="004926DE"/>
    <w:rsid w:val="00495F77"/>
    <w:rsid w:val="00545947"/>
    <w:rsid w:val="0056551D"/>
    <w:rsid w:val="00574F62"/>
    <w:rsid w:val="00575360"/>
    <w:rsid w:val="00577485"/>
    <w:rsid w:val="00595235"/>
    <w:rsid w:val="005A3B5B"/>
    <w:rsid w:val="006153DD"/>
    <w:rsid w:val="00656D72"/>
    <w:rsid w:val="0066267D"/>
    <w:rsid w:val="0069031E"/>
    <w:rsid w:val="006C1057"/>
    <w:rsid w:val="006D3735"/>
    <w:rsid w:val="006D440D"/>
    <w:rsid w:val="006E2B94"/>
    <w:rsid w:val="007367DB"/>
    <w:rsid w:val="00773527"/>
    <w:rsid w:val="007768B8"/>
    <w:rsid w:val="00786D39"/>
    <w:rsid w:val="007C302C"/>
    <w:rsid w:val="007D38FD"/>
    <w:rsid w:val="007E3117"/>
    <w:rsid w:val="007F5AB1"/>
    <w:rsid w:val="0080076E"/>
    <w:rsid w:val="008067E1"/>
    <w:rsid w:val="00832ADC"/>
    <w:rsid w:val="00880D55"/>
    <w:rsid w:val="008A6562"/>
    <w:rsid w:val="00914DB5"/>
    <w:rsid w:val="00925AEF"/>
    <w:rsid w:val="0095556D"/>
    <w:rsid w:val="00990F28"/>
    <w:rsid w:val="009A059A"/>
    <w:rsid w:val="009B07C7"/>
    <w:rsid w:val="009B630B"/>
    <w:rsid w:val="009D697F"/>
    <w:rsid w:val="00A04D46"/>
    <w:rsid w:val="00A17C61"/>
    <w:rsid w:val="00A2644E"/>
    <w:rsid w:val="00A31AFF"/>
    <w:rsid w:val="00A6562E"/>
    <w:rsid w:val="00A916A6"/>
    <w:rsid w:val="00A970E8"/>
    <w:rsid w:val="00AD6F0C"/>
    <w:rsid w:val="00AE4765"/>
    <w:rsid w:val="00AE6685"/>
    <w:rsid w:val="00AF42AD"/>
    <w:rsid w:val="00B0352F"/>
    <w:rsid w:val="00B21861"/>
    <w:rsid w:val="00B62CA2"/>
    <w:rsid w:val="00B67EFC"/>
    <w:rsid w:val="00B80483"/>
    <w:rsid w:val="00B8249F"/>
    <w:rsid w:val="00B840C6"/>
    <w:rsid w:val="00B9176A"/>
    <w:rsid w:val="00B958D5"/>
    <w:rsid w:val="00BA3D44"/>
    <w:rsid w:val="00BB2A3F"/>
    <w:rsid w:val="00BB49B7"/>
    <w:rsid w:val="00BC083B"/>
    <w:rsid w:val="00BD4BDD"/>
    <w:rsid w:val="00C30F56"/>
    <w:rsid w:val="00C539BA"/>
    <w:rsid w:val="00C63FEF"/>
    <w:rsid w:val="00C658D2"/>
    <w:rsid w:val="00C838C2"/>
    <w:rsid w:val="00CA579B"/>
    <w:rsid w:val="00CC0A11"/>
    <w:rsid w:val="00CE50AE"/>
    <w:rsid w:val="00CF3A33"/>
    <w:rsid w:val="00CF73FF"/>
    <w:rsid w:val="00D133CE"/>
    <w:rsid w:val="00D20AEE"/>
    <w:rsid w:val="00D43BE6"/>
    <w:rsid w:val="00D4433C"/>
    <w:rsid w:val="00D50A03"/>
    <w:rsid w:val="00D53ABD"/>
    <w:rsid w:val="00D723CB"/>
    <w:rsid w:val="00D956ED"/>
    <w:rsid w:val="00DA1C89"/>
    <w:rsid w:val="00DC7D6C"/>
    <w:rsid w:val="00DD0B63"/>
    <w:rsid w:val="00DF5E9C"/>
    <w:rsid w:val="00E04112"/>
    <w:rsid w:val="00E12C89"/>
    <w:rsid w:val="00E27034"/>
    <w:rsid w:val="00E6630A"/>
    <w:rsid w:val="00E87A3D"/>
    <w:rsid w:val="00E943AD"/>
    <w:rsid w:val="00EA55C1"/>
    <w:rsid w:val="00EB63B2"/>
    <w:rsid w:val="00EE330E"/>
    <w:rsid w:val="00EF73D1"/>
    <w:rsid w:val="00F1083B"/>
    <w:rsid w:val="00F30254"/>
    <w:rsid w:val="00F33E5F"/>
    <w:rsid w:val="00F509AD"/>
    <w:rsid w:val="00F53216"/>
    <w:rsid w:val="00F54D89"/>
    <w:rsid w:val="00FB3C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9AE59"/>
  <w15:docId w15:val="{F389B407-BF06-45F3-9CAF-5D1C6B6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76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8B8"/>
    <w:rPr>
      <w:b/>
      <w:bCs/>
    </w:rPr>
  </w:style>
  <w:style w:type="character" w:styleId="Emphasis">
    <w:name w:val="Emphasis"/>
    <w:basedOn w:val="DefaultParagraphFont"/>
    <w:uiPriority w:val="20"/>
    <w:qFormat/>
    <w:rsid w:val="007768B8"/>
    <w:rPr>
      <w:i/>
      <w:iCs/>
    </w:rPr>
  </w:style>
  <w:style w:type="paragraph" w:styleId="BalloonText">
    <w:name w:val="Balloon Text"/>
    <w:basedOn w:val="Normal"/>
    <w:link w:val="BalloonTextChar"/>
    <w:uiPriority w:val="99"/>
    <w:semiHidden/>
    <w:unhideWhenUsed/>
    <w:rsid w:val="00BB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3F"/>
    <w:rPr>
      <w:rFonts w:ascii="Tahoma" w:hAnsi="Tahoma" w:cs="Tahoma"/>
      <w:sz w:val="16"/>
      <w:szCs w:val="16"/>
    </w:rPr>
  </w:style>
  <w:style w:type="table" w:styleId="TableGrid">
    <w:name w:val="Table Grid"/>
    <w:basedOn w:val="TableNormal"/>
    <w:uiPriority w:val="59"/>
    <w:rsid w:val="00BB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BB2A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NormalWebChar">
    <w:name w:val="Normal (Web) Char"/>
    <w:basedOn w:val="DefaultParagraphFont"/>
    <w:link w:val="NormalWeb"/>
    <w:uiPriority w:val="99"/>
    <w:locked/>
    <w:rsid w:val="00A6562E"/>
    <w:rPr>
      <w:rFonts w:ascii="Times New Roman" w:eastAsia="Times New Roman" w:hAnsi="Times New Roman" w:cs="Times New Roman"/>
      <w:sz w:val="24"/>
      <w:szCs w:val="24"/>
    </w:rPr>
  </w:style>
  <w:style w:type="paragraph" w:styleId="NoSpacing">
    <w:name w:val="No Spacing"/>
    <w:uiPriority w:val="1"/>
    <w:qFormat/>
    <w:rsid w:val="0038581D"/>
    <w:pPr>
      <w:spacing w:after="0" w:line="240" w:lineRule="auto"/>
    </w:pPr>
  </w:style>
  <w:style w:type="paragraph" w:styleId="ListParagraph">
    <w:name w:val="List Paragraph"/>
    <w:basedOn w:val="Normal"/>
    <w:uiPriority w:val="34"/>
    <w:qFormat/>
    <w:rsid w:val="00A970E8"/>
    <w:pPr>
      <w:ind w:left="720"/>
      <w:contextualSpacing/>
    </w:pPr>
  </w:style>
  <w:style w:type="paragraph" w:styleId="Header">
    <w:name w:val="header"/>
    <w:basedOn w:val="Normal"/>
    <w:link w:val="HeaderChar"/>
    <w:uiPriority w:val="99"/>
    <w:unhideWhenUsed/>
    <w:rsid w:val="00322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66"/>
  </w:style>
  <w:style w:type="paragraph" w:styleId="Footer">
    <w:name w:val="footer"/>
    <w:basedOn w:val="Normal"/>
    <w:link w:val="FooterChar"/>
    <w:uiPriority w:val="99"/>
    <w:unhideWhenUsed/>
    <w:rsid w:val="00322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66"/>
  </w:style>
  <w:style w:type="character" w:styleId="Hyperlink">
    <w:name w:val="Hyperlink"/>
    <w:basedOn w:val="DefaultParagraphFont"/>
    <w:uiPriority w:val="99"/>
    <w:unhideWhenUsed/>
    <w:rsid w:val="00574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005">
      <w:bodyDiv w:val="1"/>
      <w:marLeft w:val="0"/>
      <w:marRight w:val="0"/>
      <w:marTop w:val="0"/>
      <w:marBottom w:val="0"/>
      <w:divBdr>
        <w:top w:val="none" w:sz="0" w:space="0" w:color="auto"/>
        <w:left w:val="none" w:sz="0" w:space="0" w:color="auto"/>
        <w:bottom w:val="none" w:sz="0" w:space="0" w:color="auto"/>
        <w:right w:val="none" w:sz="0" w:space="0" w:color="auto"/>
      </w:divBdr>
    </w:div>
    <w:div w:id="499008450">
      <w:bodyDiv w:val="1"/>
      <w:marLeft w:val="0"/>
      <w:marRight w:val="0"/>
      <w:marTop w:val="0"/>
      <w:marBottom w:val="0"/>
      <w:divBdr>
        <w:top w:val="none" w:sz="0" w:space="0" w:color="auto"/>
        <w:left w:val="none" w:sz="0" w:space="0" w:color="auto"/>
        <w:bottom w:val="none" w:sz="0" w:space="0" w:color="auto"/>
        <w:right w:val="none" w:sz="0" w:space="0" w:color="auto"/>
      </w:divBdr>
    </w:div>
    <w:div w:id="563104016">
      <w:bodyDiv w:val="1"/>
      <w:marLeft w:val="0"/>
      <w:marRight w:val="0"/>
      <w:marTop w:val="0"/>
      <w:marBottom w:val="0"/>
      <w:divBdr>
        <w:top w:val="none" w:sz="0" w:space="0" w:color="auto"/>
        <w:left w:val="none" w:sz="0" w:space="0" w:color="auto"/>
        <w:bottom w:val="none" w:sz="0" w:space="0" w:color="auto"/>
        <w:right w:val="none" w:sz="0" w:space="0" w:color="auto"/>
      </w:divBdr>
    </w:div>
    <w:div w:id="665480645">
      <w:bodyDiv w:val="1"/>
      <w:marLeft w:val="0"/>
      <w:marRight w:val="0"/>
      <w:marTop w:val="0"/>
      <w:marBottom w:val="0"/>
      <w:divBdr>
        <w:top w:val="none" w:sz="0" w:space="0" w:color="auto"/>
        <w:left w:val="none" w:sz="0" w:space="0" w:color="auto"/>
        <w:bottom w:val="none" w:sz="0" w:space="0" w:color="auto"/>
        <w:right w:val="none" w:sz="0" w:space="0" w:color="auto"/>
      </w:divBdr>
    </w:div>
    <w:div w:id="936867424">
      <w:bodyDiv w:val="1"/>
      <w:marLeft w:val="0"/>
      <w:marRight w:val="0"/>
      <w:marTop w:val="0"/>
      <w:marBottom w:val="0"/>
      <w:divBdr>
        <w:top w:val="none" w:sz="0" w:space="0" w:color="auto"/>
        <w:left w:val="none" w:sz="0" w:space="0" w:color="auto"/>
        <w:bottom w:val="none" w:sz="0" w:space="0" w:color="auto"/>
        <w:right w:val="none" w:sz="0" w:space="0" w:color="auto"/>
      </w:divBdr>
    </w:div>
    <w:div w:id="1224294070">
      <w:bodyDiv w:val="1"/>
      <w:marLeft w:val="0"/>
      <w:marRight w:val="0"/>
      <w:marTop w:val="0"/>
      <w:marBottom w:val="0"/>
      <w:divBdr>
        <w:top w:val="none" w:sz="0" w:space="0" w:color="auto"/>
        <w:left w:val="none" w:sz="0" w:space="0" w:color="auto"/>
        <w:bottom w:val="none" w:sz="0" w:space="0" w:color="auto"/>
        <w:right w:val="none" w:sz="0" w:space="0" w:color="auto"/>
      </w:divBdr>
    </w:div>
    <w:div w:id="13772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ell%20E5440\Documents\Copy%20of%20Data_analysis_Aashish_final(1).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ll%20E5440\Documents\Copy%20of%20Data_analysis_Aashish_final(1).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Dell%20E5440\Documents\Copy%20of%20Data_analysis_Aashish_final(1).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'!$M$47:$M$48</c:f>
              <c:strCache>
                <c:ptCount val="1"/>
                <c:pt idx="0">
                  <c:v>Plant height (cm) 60 DAS</c:v>
                </c:pt>
              </c:strCache>
            </c:strRef>
          </c:tx>
          <c:spPr>
            <a:solidFill>
              <a:schemeClr val="accent6">
                <a:lumMod val="75000"/>
              </a:schemeClr>
            </a:solidFill>
            <a:ln>
              <a:solidFill>
                <a:schemeClr val="tx1"/>
              </a:solidFill>
            </a:ln>
            <a:effectLst>
              <a:outerShdw blurRad="50800" dist="38100" dir="2700000" algn="tl" rotWithShape="0">
                <a:prstClr val="black">
                  <a:alpha val="40000"/>
                </a:prstClr>
              </a:outerShdw>
            </a:effectLst>
            <a:scene3d>
              <a:camera prst="orthographicFront"/>
              <a:lightRig rig="threePt" dir="t"/>
            </a:scene3d>
            <a:sp3d/>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'!$M$49:$M$55</c:f>
              <c:numCache>
                <c:formatCode>0.00</c:formatCode>
                <c:ptCount val="7"/>
                <c:pt idx="0">
                  <c:v>42.800000000000004</c:v>
                </c:pt>
                <c:pt idx="1">
                  <c:v>48.433333333333337</c:v>
                </c:pt>
                <c:pt idx="2">
                  <c:v>50.666666666666664</c:v>
                </c:pt>
                <c:pt idx="3">
                  <c:v>44.29999999999999</c:v>
                </c:pt>
                <c:pt idx="4">
                  <c:v>46.866666666666667</c:v>
                </c:pt>
                <c:pt idx="5">
                  <c:v>50.4</c:v>
                </c:pt>
                <c:pt idx="6">
                  <c:v>40.200000000000003</c:v>
                </c:pt>
              </c:numCache>
            </c:numRef>
          </c:val>
          <c:extLst>
            <c:ext xmlns:c16="http://schemas.microsoft.com/office/drawing/2014/chart" uri="{C3380CC4-5D6E-409C-BE32-E72D297353CC}">
              <c16:uniqueId val="{00000000-D296-41D6-9E00-2C501ECB2C66}"/>
            </c:ext>
          </c:extLst>
        </c:ser>
        <c:ser>
          <c:idx val="1"/>
          <c:order val="1"/>
          <c:tx>
            <c:strRef>
              <c:f>'chart '!$N$47:$N$48</c:f>
              <c:strCache>
                <c:ptCount val="1"/>
                <c:pt idx="0">
                  <c:v>Plant height (cm) 90 DAS</c:v>
                </c:pt>
              </c:strCache>
            </c:strRef>
          </c:tx>
          <c:spPr>
            <a:solidFill>
              <a:srgbClr val="92D05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'!$N$49:$N$55</c:f>
              <c:numCache>
                <c:formatCode>0.00</c:formatCode>
                <c:ptCount val="7"/>
                <c:pt idx="0">
                  <c:v>79.666666666666671</c:v>
                </c:pt>
                <c:pt idx="1">
                  <c:v>80.133333333333326</c:v>
                </c:pt>
                <c:pt idx="2">
                  <c:v>84.266666666666666</c:v>
                </c:pt>
                <c:pt idx="3">
                  <c:v>79.8</c:v>
                </c:pt>
                <c:pt idx="4">
                  <c:v>81.400000000000006</c:v>
                </c:pt>
                <c:pt idx="5">
                  <c:v>82.466666666666654</c:v>
                </c:pt>
                <c:pt idx="6">
                  <c:v>78.599999999999994</c:v>
                </c:pt>
              </c:numCache>
            </c:numRef>
          </c:val>
          <c:extLst>
            <c:ext xmlns:c16="http://schemas.microsoft.com/office/drawing/2014/chart" uri="{C3380CC4-5D6E-409C-BE32-E72D297353CC}">
              <c16:uniqueId val="{00000001-D296-41D6-9E00-2C501ECB2C66}"/>
            </c:ext>
          </c:extLst>
        </c:ser>
        <c:ser>
          <c:idx val="2"/>
          <c:order val="2"/>
          <c:tx>
            <c:strRef>
              <c:f>'chart '!$O$47:$O$48</c:f>
              <c:strCache>
                <c:ptCount val="1"/>
                <c:pt idx="0">
                  <c:v>No. of leaves/plant 60 DAS</c:v>
                </c:pt>
              </c:strCache>
            </c:strRef>
          </c:tx>
          <c:spPr>
            <a:solidFill>
              <a:srgbClr val="00B0F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'!$O$49:$O$55</c:f>
              <c:numCache>
                <c:formatCode>0.00</c:formatCode>
                <c:ptCount val="7"/>
                <c:pt idx="0">
                  <c:v>15.199999999999998</c:v>
                </c:pt>
                <c:pt idx="1">
                  <c:v>18</c:v>
                </c:pt>
                <c:pt idx="2">
                  <c:v>28.533333333333335</c:v>
                </c:pt>
                <c:pt idx="3">
                  <c:v>19.900000000000002</c:v>
                </c:pt>
                <c:pt idx="4">
                  <c:v>18.666666666666668</c:v>
                </c:pt>
                <c:pt idx="5">
                  <c:v>24.333333333333332</c:v>
                </c:pt>
                <c:pt idx="6">
                  <c:v>18.066666666666666</c:v>
                </c:pt>
              </c:numCache>
            </c:numRef>
          </c:val>
          <c:extLst>
            <c:ext xmlns:c16="http://schemas.microsoft.com/office/drawing/2014/chart" uri="{C3380CC4-5D6E-409C-BE32-E72D297353CC}">
              <c16:uniqueId val="{00000002-D296-41D6-9E00-2C501ECB2C66}"/>
            </c:ext>
          </c:extLst>
        </c:ser>
        <c:ser>
          <c:idx val="3"/>
          <c:order val="3"/>
          <c:tx>
            <c:strRef>
              <c:f>'chart '!$P$47:$P$48</c:f>
              <c:strCache>
                <c:ptCount val="1"/>
                <c:pt idx="0">
                  <c:v>No. of leaves/plant 90 DAS</c:v>
                </c:pt>
              </c:strCache>
            </c:strRef>
          </c:tx>
          <c:spPr>
            <a:solidFill>
              <a:srgbClr val="FFC00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'!$P$49:$P$55</c:f>
              <c:numCache>
                <c:formatCode>0.00</c:formatCode>
                <c:ptCount val="7"/>
                <c:pt idx="0">
                  <c:v>13.733333333333334</c:v>
                </c:pt>
                <c:pt idx="1">
                  <c:v>16.8</c:v>
                </c:pt>
                <c:pt idx="2">
                  <c:v>21.333333333333332</c:v>
                </c:pt>
                <c:pt idx="3">
                  <c:v>15.033333333333333</c:v>
                </c:pt>
                <c:pt idx="4">
                  <c:v>15.666666666666666</c:v>
                </c:pt>
                <c:pt idx="5">
                  <c:v>10.266666666666667</c:v>
                </c:pt>
                <c:pt idx="6">
                  <c:v>18.266666666666666</c:v>
                </c:pt>
              </c:numCache>
            </c:numRef>
          </c:val>
          <c:extLst>
            <c:ext xmlns:c16="http://schemas.microsoft.com/office/drawing/2014/chart" uri="{C3380CC4-5D6E-409C-BE32-E72D297353CC}">
              <c16:uniqueId val="{00000003-D296-41D6-9E00-2C501ECB2C66}"/>
            </c:ext>
          </c:extLst>
        </c:ser>
        <c:dLbls>
          <c:showLegendKey val="0"/>
          <c:showVal val="0"/>
          <c:showCatName val="0"/>
          <c:showSerName val="0"/>
          <c:showPercent val="0"/>
          <c:showBubbleSize val="0"/>
        </c:dLbls>
        <c:gapWidth val="150"/>
        <c:axId val="258213760"/>
        <c:axId val="258215936"/>
      </c:barChart>
      <c:catAx>
        <c:axId val="258213760"/>
        <c:scaling>
          <c:orientation val="minMax"/>
        </c:scaling>
        <c:delete val="0"/>
        <c:axPos val="b"/>
        <c:title>
          <c:tx>
            <c:rich>
              <a:bodyPr/>
              <a:lstStyle/>
              <a:p>
                <a:pPr>
                  <a:defRPr sz="1100">
                    <a:latin typeface="Arial" pitchFamily="34" charset="0"/>
                    <a:cs typeface="Arial" pitchFamily="34" charset="0"/>
                  </a:defRPr>
                </a:pPr>
                <a:r>
                  <a:rPr lang="en-US" sz="1100">
                    <a:latin typeface="Arial" pitchFamily="34" charset="0"/>
                    <a:cs typeface="Arial" pitchFamily="34" charset="0"/>
                  </a:rPr>
                  <a:t>Treatment</a:t>
                </a:r>
              </a:p>
            </c:rich>
          </c:tx>
          <c:layout>
            <c:manualLayout>
              <c:xMode val="edge"/>
              <c:yMode val="edge"/>
              <c:x val="0.44920505815893891"/>
              <c:y val="0.89964476138595884"/>
            </c:manualLayout>
          </c:layout>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58215936"/>
        <c:crosses val="autoZero"/>
        <c:auto val="1"/>
        <c:lblAlgn val="ctr"/>
        <c:lblOffset val="100"/>
        <c:noMultiLvlLbl val="0"/>
      </c:catAx>
      <c:valAx>
        <c:axId val="258215936"/>
        <c:scaling>
          <c:orientation val="minMax"/>
        </c:scaling>
        <c:delete val="0"/>
        <c:axPos val="l"/>
        <c:majorGridlines>
          <c:spPr>
            <a:ln w="19050">
              <a:solidFill>
                <a:schemeClr val="tx1"/>
              </a:solidFill>
            </a:ln>
          </c:spPr>
        </c:majorGridlines>
        <c:title>
          <c:tx>
            <c:rich>
              <a:bodyPr rot="-5400000" vert="horz"/>
              <a:lstStyle/>
              <a:p>
                <a:pPr>
                  <a:defRPr sz="1050">
                    <a:latin typeface="Arial" pitchFamily="34" charset="0"/>
                    <a:cs typeface="Arial" pitchFamily="34" charset="0"/>
                  </a:defRPr>
                </a:pPr>
                <a:r>
                  <a:rPr lang="en-US" sz="1050">
                    <a:latin typeface="Arial" pitchFamily="34" charset="0"/>
                    <a:cs typeface="Arial" pitchFamily="34" charset="0"/>
                  </a:rPr>
                  <a:t>Plant</a:t>
                </a:r>
                <a:r>
                  <a:rPr lang="en-US" sz="1050" baseline="0">
                    <a:latin typeface="Arial" pitchFamily="34" charset="0"/>
                    <a:cs typeface="Arial" pitchFamily="34" charset="0"/>
                  </a:rPr>
                  <a:t> Height/No. of leaves</a:t>
                </a:r>
                <a:endParaRPr lang="en-US" sz="1050">
                  <a:latin typeface="Arial" pitchFamily="34" charset="0"/>
                  <a:cs typeface="Arial" pitchFamily="34" charset="0"/>
                </a:endParaRPr>
              </a:p>
            </c:rich>
          </c:tx>
          <c:layout>
            <c:manualLayout>
              <c:xMode val="edge"/>
              <c:yMode val="edge"/>
              <c:x val="1.8700725401450805E-2"/>
              <c:y val="0.17433617672790902"/>
            </c:manualLayout>
          </c:layout>
          <c:overlay val="0"/>
        </c:title>
        <c:numFmt formatCode="0.00" sourceLinked="1"/>
        <c:majorTickMark val="out"/>
        <c:minorTickMark val="none"/>
        <c:tickLblPos val="nextTo"/>
        <c:spPr>
          <a:ln w="19050">
            <a:solidFill>
              <a:schemeClr val="tx1"/>
            </a:solidFill>
          </a:ln>
        </c:spPr>
        <c:txPr>
          <a:bodyPr/>
          <a:lstStyle/>
          <a:p>
            <a:pPr>
              <a:defRPr b="1">
                <a:solidFill>
                  <a:sysClr val="windowText" lastClr="000000"/>
                </a:solidFill>
                <a:latin typeface="Arial" pitchFamily="34" charset="0"/>
                <a:cs typeface="Arial" pitchFamily="34" charset="0"/>
              </a:defRPr>
            </a:pPr>
            <a:endParaRPr lang="en-US"/>
          </a:p>
        </c:txPr>
        <c:crossAx val="258213760"/>
        <c:crosses val="autoZero"/>
        <c:crossBetween val="between"/>
      </c:valAx>
      <c:spPr>
        <a:noFill/>
      </c:spPr>
    </c:plotArea>
    <c:legend>
      <c:legendPos val="t"/>
      <c:layout>
        <c:manualLayout>
          <c:xMode val="edge"/>
          <c:yMode val="edge"/>
          <c:x val="0.16437472874945752"/>
          <c:y val="2.7777777777777776E-2"/>
          <c:w val="0.69644722756112176"/>
          <c:h val="0.16126859142607175"/>
        </c:manualLayout>
      </c:layout>
      <c:overlay val="0"/>
      <c:txPr>
        <a:bodyPr/>
        <a:lstStyle/>
        <a:p>
          <a:pPr>
            <a:defRPr sz="11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1">
        <a:alphaModFix amt="57000"/>
      </a:blip>
      <a:tile tx="0" ty="0" sx="100000" sy="100000" flip="none" algn="tl"/>
    </a:blipFill>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41872352391648"/>
          <c:y val="0.2382775590551181"/>
          <c:w val="0.87394902810504449"/>
          <c:h val="0.64118985126859152"/>
        </c:manualLayout>
      </c:layout>
      <c:barChart>
        <c:barDir val="col"/>
        <c:grouping val="clustered"/>
        <c:varyColors val="0"/>
        <c:ser>
          <c:idx val="0"/>
          <c:order val="0"/>
          <c:tx>
            <c:strRef>
              <c:f>'chart '!$W$47:$W$48</c:f>
              <c:strCache>
                <c:ptCount val="1"/>
                <c:pt idx="0">
                  <c:v>Plant fresh weight (g per m row length) 60 DAS</c:v>
                </c:pt>
              </c:strCache>
            </c:strRef>
          </c:tx>
          <c:spPr>
            <a:solidFill>
              <a:schemeClr val="accent6">
                <a:lumMod val="75000"/>
              </a:schemeClr>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'!$W$49:$W$55</c:f>
              <c:numCache>
                <c:formatCode>0.00</c:formatCode>
                <c:ptCount val="7"/>
                <c:pt idx="0">
                  <c:v>262</c:v>
                </c:pt>
                <c:pt idx="1">
                  <c:v>292</c:v>
                </c:pt>
                <c:pt idx="2">
                  <c:v>342</c:v>
                </c:pt>
                <c:pt idx="3">
                  <c:v>285.33333333333331</c:v>
                </c:pt>
                <c:pt idx="4">
                  <c:v>291</c:v>
                </c:pt>
                <c:pt idx="5">
                  <c:v>336.66666666666669</c:v>
                </c:pt>
                <c:pt idx="6">
                  <c:v>198</c:v>
                </c:pt>
              </c:numCache>
            </c:numRef>
          </c:val>
          <c:extLst>
            <c:ext xmlns:c16="http://schemas.microsoft.com/office/drawing/2014/chart" uri="{C3380CC4-5D6E-409C-BE32-E72D297353CC}">
              <c16:uniqueId val="{00000000-5710-4486-A341-3AD5F4E3FD3D}"/>
            </c:ext>
          </c:extLst>
        </c:ser>
        <c:ser>
          <c:idx val="1"/>
          <c:order val="1"/>
          <c:tx>
            <c:strRef>
              <c:f>'chart '!$X$47:$X$48</c:f>
              <c:strCache>
                <c:ptCount val="1"/>
                <c:pt idx="0">
                  <c:v>Plant fresh weight (g per m row length) 90 DAS</c:v>
                </c:pt>
              </c:strCache>
            </c:strRef>
          </c:tx>
          <c:spPr>
            <a:solidFill>
              <a:srgbClr val="92D05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'!$X$49:$X$55</c:f>
              <c:numCache>
                <c:formatCode>0.00</c:formatCode>
                <c:ptCount val="7"/>
                <c:pt idx="0">
                  <c:v>780</c:v>
                </c:pt>
                <c:pt idx="1">
                  <c:v>931.33333333333337</c:v>
                </c:pt>
                <c:pt idx="2">
                  <c:v>976</c:v>
                </c:pt>
                <c:pt idx="3">
                  <c:v>795</c:v>
                </c:pt>
                <c:pt idx="4">
                  <c:v>925</c:v>
                </c:pt>
                <c:pt idx="5">
                  <c:v>942.66666666666663</c:v>
                </c:pt>
                <c:pt idx="6">
                  <c:v>767.33333333333337</c:v>
                </c:pt>
              </c:numCache>
            </c:numRef>
          </c:val>
          <c:extLst>
            <c:ext xmlns:c16="http://schemas.microsoft.com/office/drawing/2014/chart" uri="{C3380CC4-5D6E-409C-BE32-E72D297353CC}">
              <c16:uniqueId val="{00000001-5710-4486-A341-3AD5F4E3FD3D}"/>
            </c:ext>
          </c:extLst>
        </c:ser>
        <c:ser>
          <c:idx val="2"/>
          <c:order val="2"/>
          <c:tx>
            <c:strRef>
              <c:f>'chart '!$Y$47:$Y$48</c:f>
              <c:strCache>
                <c:ptCount val="1"/>
                <c:pt idx="0">
                  <c:v>Plant dry weight (g per m row length) 60 DAS</c:v>
                </c:pt>
              </c:strCache>
            </c:strRef>
          </c:tx>
          <c:spPr>
            <a:solidFill>
              <a:srgbClr val="00B0F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'!$Y$49:$Y$55</c:f>
              <c:numCache>
                <c:formatCode>0.00</c:formatCode>
                <c:ptCount val="7"/>
                <c:pt idx="0">
                  <c:v>80.333333333333329</c:v>
                </c:pt>
                <c:pt idx="1">
                  <c:v>104</c:v>
                </c:pt>
                <c:pt idx="2">
                  <c:v>117.33333333333333</c:v>
                </c:pt>
                <c:pt idx="3">
                  <c:v>85.333333333333329</c:v>
                </c:pt>
                <c:pt idx="4">
                  <c:v>98.666666666666671</c:v>
                </c:pt>
                <c:pt idx="5">
                  <c:v>108.66666666666667</c:v>
                </c:pt>
                <c:pt idx="6">
                  <c:v>80</c:v>
                </c:pt>
              </c:numCache>
            </c:numRef>
          </c:val>
          <c:extLst>
            <c:ext xmlns:c16="http://schemas.microsoft.com/office/drawing/2014/chart" uri="{C3380CC4-5D6E-409C-BE32-E72D297353CC}">
              <c16:uniqueId val="{00000002-5710-4486-A341-3AD5F4E3FD3D}"/>
            </c:ext>
          </c:extLst>
        </c:ser>
        <c:ser>
          <c:idx val="3"/>
          <c:order val="3"/>
          <c:tx>
            <c:strRef>
              <c:f>'chart '!$Z$47:$Z$48</c:f>
              <c:strCache>
                <c:ptCount val="1"/>
                <c:pt idx="0">
                  <c:v>Plant dry weight (g per m row length) 90 DAS</c:v>
                </c:pt>
              </c:strCache>
            </c:strRef>
          </c:tx>
          <c:spPr>
            <a:solidFill>
              <a:srgbClr val="FFC00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'!$Z$49:$Z$55</c:f>
              <c:numCache>
                <c:formatCode>0.00</c:formatCode>
                <c:ptCount val="7"/>
                <c:pt idx="0">
                  <c:v>342</c:v>
                </c:pt>
                <c:pt idx="1">
                  <c:v>377.33333333333331</c:v>
                </c:pt>
                <c:pt idx="2">
                  <c:v>396.66666666666669</c:v>
                </c:pt>
                <c:pt idx="3">
                  <c:v>349.33333333333331</c:v>
                </c:pt>
                <c:pt idx="4">
                  <c:v>358</c:v>
                </c:pt>
                <c:pt idx="5">
                  <c:v>389.33333333333331</c:v>
                </c:pt>
                <c:pt idx="6">
                  <c:v>335.33333333333331</c:v>
                </c:pt>
              </c:numCache>
            </c:numRef>
          </c:val>
          <c:extLst>
            <c:ext xmlns:c16="http://schemas.microsoft.com/office/drawing/2014/chart" uri="{C3380CC4-5D6E-409C-BE32-E72D297353CC}">
              <c16:uniqueId val="{00000003-5710-4486-A341-3AD5F4E3FD3D}"/>
            </c:ext>
          </c:extLst>
        </c:ser>
        <c:dLbls>
          <c:showLegendKey val="0"/>
          <c:showVal val="0"/>
          <c:showCatName val="0"/>
          <c:showSerName val="0"/>
          <c:showPercent val="0"/>
          <c:showBubbleSize val="0"/>
        </c:dLbls>
        <c:gapWidth val="150"/>
        <c:axId val="258238336"/>
        <c:axId val="258239872"/>
      </c:barChart>
      <c:catAx>
        <c:axId val="258238336"/>
        <c:scaling>
          <c:orientation val="minMax"/>
        </c:scaling>
        <c:delete val="0"/>
        <c:axPos val="b"/>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58239872"/>
        <c:crosses val="autoZero"/>
        <c:auto val="1"/>
        <c:lblAlgn val="ctr"/>
        <c:lblOffset val="100"/>
        <c:noMultiLvlLbl val="0"/>
      </c:catAx>
      <c:valAx>
        <c:axId val="258239872"/>
        <c:scaling>
          <c:orientation val="minMax"/>
        </c:scaling>
        <c:delete val="0"/>
        <c:axPos val="l"/>
        <c:majorGridlines>
          <c:spPr>
            <a:ln w="22225">
              <a:solidFill>
                <a:schemeClr val="tx1"/>
              </a:solidFill>
            </a:ln>
          </c:spPr>
        </c:majorGridlines>
        <c:numFmt formatCode="0.00" sourceLinked="1"/>
        <c:majorTickMark val="out"/>
        <c:minorTickMark val="none"/>
        <c:tickLblPos val="nextTo"/>
        <c:spPr>
          <a:noFill/>
          <a:ln w="19050">
            <a:solidFill>
              <a:schemeClr val="tx1"/>
            </a:solidFill>
          </a:ln>
        </c:spPr>
        <c:txPr>
          <a:bodyPr/>
          <a:lstStyle/>
          <a:p>
            <a:pPr>
              <a:defRPr sz="1100" b="1"/>
            </a:pPr>
            <a:endParaRPr lang="en-US"/>
          </a:p>
        </c:txPr>
        <c:crossAx val="258238336"/>
        <c:crosses val="autoZero"/>
        <c:crossBetween val="between"/>
      </c:valAx>
      <c:spPr>
        <a:solidFill>
          <a:schemeClr val="accent6">
            <a:lumMod val="20000"/>
            <a:lumOff val="80000"/>
            <a:alpha val="22000"/>
          </a:schemeClr>
        </a:solidFill>
      </c:spPr>
    </c:plotArea>
    <c:legend>
      <c:legendPos val="t"/>
      <c:layout>
        <c:manualLayout>
          <c:xMode val="edge"/>
          <c:yMode val="edge"/>
          <c:x val="2.9188347654261836E-2"/>
          <c:y val="2.7777777777777776E-2"/>
          <c:w val="0.95683243016676145"/>
          <c:h val="0.15199839603382909"/>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solidFill>
      <a:schemeClr val="accent6">
        <a:lumMod val="20000"/>
        <a:lumOff val="80000"/>
        <a:alpha val="39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'!$BL$25</c:f>
              <c:strCache>
                <c:ptCount val="1"/>
                <c:pt idx="0">
                  <c:v>Spike length (cm)</c:v>
                </c:pt>
              </c:strCache>
            </c:strRef>
          </c:tx>
          <c:spPr>
            <a:solidFill>
              <a:schemeClr val="tx2">
                <a:lumMod val="20000"/>
                <a:lumOff val="80000"/>
              </a:schemeClr>
            </a:solidFill>
            <a:ln w="12700">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'!$BL$26:$BL$32</c:f>
              <c:numCache>
                <c:formatCode>0.00</c:formatCode>
                <c:ptCount val="7"/>
                <c:pt idx="0">
                  <c:v>9.706666666666667</c:v>
                </c:pt>
                <c:pt idx="1">
                  <c:v>10.62</c:v>
                </c:pt>
                <c:pt idx="2">
                  <c:v>12.206666666666665</c:v>
                </c:pt>
                <c:pt idx="3">
                  <c:v>9.81</c:v>
                </c:pt>
                <c:pt idx="4">
                  <c:v>10.366666666666667</c:v>
                </c:pt>
                <c:pt idx="5">
                  <c:v>11.276666666666666</c:v>
                </c:pt>
                <c:pt idx="6">
                  <c:v>8.8766666666666669</c:v>
                </c:pt>
              </c:numCache>
            </c:numRef>
          </c:val>
          <c:extLst>
            <c:ext xmlns:c16="http://schemas.microsoft.com/office/drawing/2014/chart" uri="{C3380CC4-5D6E-409C-BE32-E72D297353CC}">
              <c16:uniqueId val="{00000000-2D8D-49D6-A624-26B84526F3E8}"/>
            </c:ext>
          </c:extLst>
        </c:ser>
        <c:ser>
          <c:idx val="1"/>
          <c:order val="1"/>
          <c:tx>
            <c:strRef>
              <c:f>'chart '!$BM$25</c:f>
              <c:strCache>
                <c:ptCount val="1"/>
                <c:pt idx="0">
                  <c:v>Awn length (cm)</c:v>
                </c:pt>
              </c:strCache>
            </c:strRef>
          </c:tx>
          <c:spPr>
            <a:solidFill>
              <a:schemeClr val="accent6"/>
            </a:solidFill>
            <a:ln w="12700">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'!$BM$26:$BM$32</c:f>
              <c:numCache>
                <c:formatCode>0.00</c:formatCode>
                <c:ptCount val="7"/>
                <c:pt idx="0">
                  <c:v>6.2</c:v>
                </c:pt>
                <c:pt idx="1">
                  <c:v>7.2</c:v>
                </c:pt>
                <c:pt idx="2">
                  <c:v>7.413333333333334</c:v>
                </c:pt>
                <c:pt idx="3">
                  <c:v>6.413333333333334</c:v>
                </c:pt>
                <c:pt idx="4">
                  <c:v>6.84</c:v>
                </c:pt>
                <c:pt idx="5">
                  <c:v>7.2566666666666677</c:v>
                </c:pt>
                <c:pt idx="6">
                  <c:v>5.419999999999999</c:v>
                </c:pt>
              </c:numCache>
            </c:numRef>
          </c:val>
          <c:extLst>
            <c:ext xmlns:c16="http://schemas.microsoft.com/office/drawing/2014/chart" uri="{C3380CC4-5D6E-409C-BE32-E72D297353CC}">
              <c16:uniqueId val="{00000001-2D8D-49D6-A624-26B84526F3E8}"/>
            </c:ext>
          </c:extLst>
        </c:ser>
        <c:ser>
          <c:idx val="2"/>
          <c:order val="2"/>
          <c:tx>
            <c:strRef>
              <c:f>'chart '!$BN$25</c:f>
              <c:strCache>
                <c:ptCount val="1"/>
                <c:pt idx="0">
                  <c:v>No. of filled grain / spike</c:v>
                </c:pt>
              </c:strCache>
            </c:strRef>
          </c:tx>
          <c:spPr>
            <a:ln>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'!$BN$26:$BN$32</c:f>
              <c:numCache>
                <c:formatCode>0.00</c:formatCode>
                <c:ptCount val="7"/>
                <c:pt idx="0">
                  <c:v>43.166666666666664</c:v>
                </c:pt>
                <c:pt idx="1">
                  <c:v>50.666666666666664</c:v>
                </c:pt>
                <c:pt idx="2">
                  <c:v>54.866666666666667</c:v>
                </c:pt>
                <c:pt idx="3">
                  <c:v>46.153333333333336</c:v>
                </c:pt>
                <c:pt idx="4">
                  <c:v>48.286666666666669</c:v>
                </c:pt>
                <c:pt idx="5">
                  <c:v>52.666666666666664</c:v>
                </c:pt>
                <c:pt idx="6">
                  <c:v>41.143333333333338</c:v>
                </c:pt>
              </c:numCache>
            </c:numRef>
          </c:val>
          <c:extLst>
            <c:ext xmlns:c16="http://schemas.microsoft.com/office/drawing/2014/chart" uri="{C3380CC4-5D6E-409C-BE32-E72D297353CC}">
              <c16:uniqueId val="{00000002-2D8D-49D6-A624-26B84526F3E8}"/>
            </c:ext>
          </c:extLst>
        </c:ser>
        <c:ser>
          <c:idx val="3"/>
          <c:order val="3"/>
          <c:tx>
            <c:strRef>
              <c:f>'chart '!$BO$25</c:f>
              <c:strCache>
                <c:ptCount val="1"/>
                <c:pt idx="0">
                  <c:v>No. of unfilled grain/spike</c:v>
                </c:pt>
              </c:strCache>
            </c:strRef>
          </c:tx>
          <c:spPr>
            <a:solidFill>
              <a:srgbClr val="00B0F0"/>
            </a:solidFill>
            <a:ln>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'!$BO$26:$BO$32</c:f>
              <c:numCache>
                <c:formatCode>0.00</c:formatCode>
                <c:ptCount val="7"/>
                <c:pt idx="0">
                  <c:v>3</c:v>
                </c:pt>
                <c:pt idx="1">
                  <c:v>3.4</c:v>
                </c:pt>
                <c:pt idx="2">
                  <c:v>3.1999999999999997</c:v>
                </c:pt>
                <c:pt idx="3">
                  <c:v>3.9333333333333336</c:v>
                </c:pt>
                <c:pt idx="4">
                  <c:v>3.7333333333333329</c:v>
                </c:pt>
                <c:pt idx="5">
                  <c:v>3.3333333333333335</c:v>
                </c:pt>
                <c:pt idx="6">
                  <c:v>4.8666666666666663</c:v>
                </c:pt>
              </c:numCache>
            </c:numRef>
          </c:val>
          <c:extLst>
            <c:ext xmlns:c16="http://schemas.microsoft.com/office/drawing/2014/chart" uri="{C3380CC4-5D6E-409C-BE32-E72D297353CC}">
              <c16:uniqueId val="{00000003-2D8D-49D6-A624-26B84526F3E8}"/>
            </c:ext>
          </c:extLst>
        </c:ser>
        <c:dLbls>
          <c:showLegendKey val="0"/>
          <c:showVal val="0"/>
          <c:showCatName val="0"/>
          <c:showSerName val="0"/>
          <c:showPercent val="0"/>
          <c:showBubbleSize val="0"/>
        </c:dLbls>
        <c:gapWidth val="150"/>
        <c:axId val="274596224"/>
        <c:axId val="274598144"/>
      </c:barChart>
      <c:catAx>
        <c:axId val="274596224"/>
        <c:scaling>
          <c:orientation val="minMax"/>
        </c:scaling>
        <c:delete val="0"/>
        <c:axPos val="b"/>
        <c:title>
          <c:tx>
            <c:rich>
              <a:bodyPr/>
              <a:lstStyle/>
              <a:p>
                <a:pPr>
                  <a:defRPr/>
                </a:pPr>
                <a:r>
                  <a:rPr lang="en-US" sz="1100"/>
                  <a:t>Treatments</a:t>
                </a:r>
              </a:p>
            </c:rich>
          </c:tx>
          <c:layout>
            <c:manualLayout>
              <c:xMode val="edge"/>
              <c:yMode val="edge"/>
              <c:x val="0.43194553805774283"/>
              <c:y val="0.87868037328667248"/>
            </c:manualLayout>
          </c:layout>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74598144"/>
        <c:crosses val="autoZero"/>
        <c:auto val="1"/>
        <c:lblAlgn val="ctr"/>
        <c:lblOffset val="100"/>
        <c:noMultiLvlLbl val="0"/>
      </c:catAx>
      <c:valAx>
        <c:axId val="274598144"/>
        <c:scaling>
          <c:orientation val="minMax"/>
        </c:scaling>
        <c:delete val="0"/>
        <c:axPos val="l"/>
        <c:majorGridlines>
          <c:spPr>
            <a:ln w="22225">
              <a:solidFill>
                <a:schemeClr val="tx1"/>
              </a:solidFill>
            </a:ln>
          </c:spPr>
        </c:majorGridlines>
        <c:title>
          <c:tx>
            <c:rich>
              <a:bodyPr rot="-5400000" vert="horz"/>
              <a:lstStyle/>
              <a:p>
                <a:pPr>
                  <a:defRPr/>
                </a:pPr>
                <a:r>
                  <a:rPr lang="en-US" sz="1100">
                    <a:latin typeface="Arial" pitchFamily="34" charset="0"/>
                    <a:cs typeface="Arial" pitchFamily="34" charset="0"/>
                  </a:rPr>
                  <a:t>Yield</a:t>
                </a:r>
                <a:r>
                  <a:rPr lang="en-US" sz="1100" baseline="0">
                    <a:latin typeface="Arial" pitchFamily="34" charset="0"/>
                    <a:cs typeface="Arial" pitchFamily="34" charset="0"/>
                  </a:rPr>
                  <a:t> attributes</a:t>
                </a:r>
                <a:endParaRPr lang="en-US" sz="1100">
                  <a:latin typeface="Arial" pitchFamily="34" charset="0"/>
                  <a:cs typeface="Arial" pitchFamily="34" charset="0"/>
                </a:endParaRPr>
              </a:p>
            </c:rich>
          </c:tx>
          <c:overlay val="0"/>
        </c:title>
        <c:numFmt formatCode="0.00" sourceLinked="1"/>
        <c:majorTickMark val="out"/>
        <c:minorTickMark val="none"/>
        <c:tickLblPos val="nextTo"/>
        <c:txPr>
          <a:bodyPr/>
          <a:lstStyle/>
          <a:p>
            <a:pPr>
              <a:defRPr b="1"/>
            </a:pPr>
            <a:endParaRPr lang="en-US"/>
          </a:p>
        </c:txPr>
        <c:crossAx val="274596224"/>
        <c:crosses val="autoZero"/>
        <c:crossBetween val="between"/>
      </c:valAx>
      <c:spPr>
        <a:blipFill dpi="0" rotWithShape="1">
          <a:blip xmlns:r="http://schemas.openxmlformats.org/officeDocument/2006/relationships" r:embed="rId1">
            <a:alphaModFix amt="9000"/>
          </a:blip>
          <a:srcRect/>
          <a:tile tx="0" ty="0" sx="100000" sy="100000" flip="none" algn="tl"/>
        </a:blipFill>
      </c:spPr>
    </c:plotArea>
    <c:legend>
      <c:legendPos val="t"/>
      <c:overlay val="0"/>
      <c:txPr>
        <a:bodyPr/>
        <a:lstStyle/>
        <a:p>
          <a:pPr>
            <a:defRPr sz="1200" b="1"/>
          </a:pPr>
          <a:endParaRPr lang="en-US"/>
        </a:p>
      </c:txPr>
    </c:legend>
    <c:plotVisOnly val="1"/>
    <c:dispBlanksAs val="gap"/>
    <c:showDLblsOverMax val="0"/>
  </c:chart>
  <c:spPr>
    <a:blipFill dpi="0" rotWithShape="1">
      <a:blip xmlns:r="http://schemas.openxmlformats.org/officeDocument/2006/relationships" r:embed="rId1">
        <a:alphaModFix amt="57000"/>
      </a:blip>
      <a:srcRect/>
      <a:tile tx="0" ty="0" sx="100000" sy="100000" flip="none" algn="tl"/>
    </a:blip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0.15745</cdr:x>
      <cdr:y>0.48888</cdr:y>
    </cdr:from>
    <cdr:to>
      <cdr:x>0.30816</cdr:x>
      <cdr:y>0.79076</cdr:y>
    </cdr:to>
    <cdr:sp macro="" textlink="">
      <cdr:nvSpPr>
        <cdr:cNvPr id="2" name="Text Box 1"/>
        <cdr:cNvSpPr txBox="1"/>
      </cdr:nvSpPr>
      <cdr:spPr>
        <a:xfrm xmlns:a="http://schemas.openxmlformats.org/drawingml/2006/main">
          <a:off x="955343" y="148078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0.12596</cdr:x>
      <cdr:y>0.45058</cdr:y>
    </cdr:from>
    <cdr:to>
      <cdr:x>0.16083</cdr:x>
      <cdr:y>0.52042</cdr:y>
    </cdr:to>
    <cdr:sp macro="" textlink="">
      <cdr:nvSpPr>
        <cdr:cNvPr id="3" name="Text Box 2"/>
        <cdr:cNvSpPr txBox="1"/>
      </cdr:nvSpPr>
      <cdr:spPr>
        <a:xfrm xmlns:a="http://schemas.openxmlformats.org/drawingml/2006/main">
          <a:off x="764275" y="1364776"/>
          <a:ext cx="211540"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effectLst/>
              <a:latin typeface="Arial" pitchFamily="34" charset="0"/>
              <a:ea typeface="+mn-ea"/>
              <a:cs typeface="Arial" pitchFamily="34" charset="0"/>
            </a:rPr>
            <a:t>bc</a:t>
          </a:r>
          <a:endParaRPr lang="en-US" sz="1100" b="1">
            <a:latin typeface="Arial" pitchFamily="34" charset="0"/>
            <a:cs typeface="Arial" pitchFamily="34" charset="0"/>
          </a:endParaRPr>
        </a:p>
      </cdr:txBody>
    </cdr:sp>
  </cdr:relSizeAnchor>
  <cdr:relSizeAnchor xmlns:cdr="http://schemas.openxmlformats.org/drawingml/2006/chartDrawing">
    <cdr:from>
      <cdr:x>0.14396</cdr:x>
      <cdr:y>0.20727</cdr:y>
    </cdr:from>
    <cdr:to>
      <cdr:x>0.18782</cdr:x>
      <cdr:y>0.27485</cdr:y>
    </cdr:to>
    <cdr:sp macro="" textlink="">
      <cdr:nvSpPr>
        <cdr:cNvPr id="4" name="Text Box 3"/>
        <cdr:cNvSpPr txBox="1"/>
      </cdr:nvSpPr>
      <cdr:spPr>
        <a:xfrm xmlns:a="http://schemas.openxmlformats.org/drawingml/2006/main">
          <a:off x="873456" y="627797"/>
          <a:ext cx="266132" cy="2047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cd</a:t>
          </a:r>
        </a:p>
      </cdr:txBody>
    </cdr:sp>
  </cdr:relSizeAnchor>
  <cdr:relSizeAnchor xmlns:cdr="http://schemas.openxmlformats.org/drawingml/2006/chartDrawing">
    <cdr:from>
      <cdr:x>0.20357</cdr:x>
      <cdr:y>0.63531</cdr:y>
    </cdr:from>
    <cdr:to>
      <cdr:x>0.25755</cdr:x>
      <cdr:y>0.72768</cdr:y>
    </cdr:to>
    <cdr:sp macro="" textlink="">
      <cdr:nvSpPr>
        <cdr:cNvPr id="5" name="Text Box 4"/>
        <cdr:cNvSpPr txBox="1"/>
      </cdr:nvSpPr>
      <cdr:spPr>
        <a:xfrm xmlns:a="http://schemas.openxmlformats.org/drawingml/2006/main">
          <a:off x="1235122" y="1924334"/>
          <a:ext cx="327547" cy="27977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0.18332</cdr:x>
      <cdr:y>0.63757</cdr:y>
    </cdr:from>
    <cdr:to>
      <cdr:x>0.20806</cdr:x>
      <cdr:y>0.7029</cdr:y>
    </cdr:to>
    <cdr:sp macro="" textlink="">
      <cdr:nvSpPr>
        <cdr:cNvPr id="6" name="Text Box 5"/>
        <cdr:cNvSpPr txBox="1"/>
      </cdr:nvSpPr>
      <cdr:spPr>
        <a:xfrm xmlns:a="http://schemas.openxmlformats.org/drawingml/2006/main">
          <a:off x="1112293" y="1931158"/>
          <a:ext cx="150125" cy="1978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c</a:t>
          </a:r>
        </a:p>
      </cdr:txBody>
    </cdr:sp>
  </cdr:relSizeAnchor>
  <cdr:relSizeAnchor xmlns:cdr="http://schemas.openxmlformats.org/drawingml/2006/chartDrawing">
    <cdr:from>
      <cdr:x>0.22269</cdr:x>
      <cdr:y>0.68037</cdr:y>
    </cdr:from>
    <cdr:to>
      <cdr:x>0.37339</cdr:x>
      <cdr:y>0.98226</cdr:y>
    </cdr:to>
    <cdr:sp macro="" textlink="">
      <cdr:nvSpPr>
        <cdr:cNvPr id="7" name="Text Box 6"/>
        <cdr:cNvSpPr txBox="1"/>
      </cdr:nvSpPr>
      <cdr:spPr>
        <a:xfrm xmlns:a="http://schemas.openxmlformats.org/drawingml/2006/main">
          <a:off x="1351128" y="206081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0.21144</cdr:x>
      <cdr:y>0.64658</cdr:y>
    </cdr:from>
    <cdr:to>
      <cdr:x>0.2463</cdr:x>
      <cdr:y>0.71867</cdr:y>
    </cdr:to>
    <cdr:sp macro="" textlink="">
      <cdr:nvSpPr>
        <cdr:cNvPr id="8" name="Text Box 7"/>
        <cdr:cNvSpPr txBox="1"/>
      </cdr:nvSpPr>
      <cdr:spPr>
        <a:xfrm xmlns:a="http://schemas.openxmlformats.org/drawingml/2006/main">
          <a:off x="1282889" y="1958453"/>
          <a:ext cx="211540" cy="218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cd</a:t>
          </a:r>
        </a:p>
      </cdr:txBody>
    </cdr:sp>
  </cdr:relSizeAnchor>
  <cdr:relSizeAnchor xmlns:cdr="http://schemas.openxmlformats.org/drawingml/2006/chartDrawing">
    <cdr:from>
      <cdr:x>0.2463</cdr:x>
      <cdr:y>0.392</cdr:y>
    </cdr:from>
    <cdr:to>
      <cdr:x>0.28904</cdr:x>
      <cdr:y>0.47536</cdr:y>
    </cdr:to>
    <cdr:sp macro="" textlink="">
      <cdr:nvSpPr>
        <cdr:cNvPr id="9" name="Text Box 8"/>
        <cdr:cNvSpPr txBox="1"/>
      </cdr:nvSpPr>
      <cdr:spPr>
        <a:xfrm xmlns:a="http://schemas.openxmlformats.org/drawingml/2006/main">
          <a:off x="1494430" y="1187355"/>
          <a:ext cx="259308" cy="2524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0.25468</cdr:x>
      <cdr:y>0.40877</cdr:y>
    </cdr:from>
    <cdr:to>
      <cdr:x>0.29741</cdr:x>
      <cdr:y>0.49213</cdr:y>
    </cdr:to>
    <cdr:sp macro="" textlink="">
      <cdr:nvSpPr>
        <cdr:cNvPr id="10" name="Text Box 1"/>
        <cdr:cNvSpPr txBox="1"/>
      </cdr:nvSpPr>
      <cdr:spPr>
        <a:xfrm xmlns:a="http://schemas.openxmlformats.org/drawingml/2006/main">
          <a:off x="1545230" y="1238155"/>
          <a:ext cx="259308" cy="252484"/>
        </a:xfrm>
        <a:prstGeom xmlns:a="http://schemas.openxmlformats.org/drawingml/2006/main" prst="rect">
          <a:avLst/>
        </a:prstGeom>
      </cdr:spPr>
    </cdr:sp>
  </cdr:relSizeAnchor>
  <cdr:relSizeAnchor xmlns:cdr="http://schemas.openxmlformats.org/drawingml/2006/chartDrawing">
    <cdr:from>
      <cdr:x>0.25468</cdr:x>
      <cdr:y>0.39426</cdr:y>
    </cdr:from>
    <cdr:to>
      <cdr:x>0.29916</cdr:x>
      <cdr:y>0.49213</cdr:y>
    </cdr:to>
    <cdr:sp macro="" textlink="">
      <cdr:nvSpPr>
        <cdr:cNvPr id="11" name="Text Box 1"/>
        <cdr:cNvSpPr txBox="1"/>
      </cdr:nvSpPr>
      <cdr:spPr>
        <a:xfrm xmlns:a="http://schemas.openxmlformats.org/drawingml/2006/main">
          <a:off x="1545229" y="1194179"/>
          <a:ext cx="269923" cy="296460"/>
        </a:xfrm>
        <a:prstGeom xmlns:a="http://schemas.openxmlformats.org/drawingml/2006/main" prst="rect">
          <a:avLst/>
        </a:prstGeom>
      </cdr:spPr>
    </cdr:sp>
  </cdr:relSizeAnchor>
  <cdr:relSizeAnchor xmlns:cdr="http://schemas.openxmlformats.org/drawingml/2006/chartDrawing">
    <cdr:from>
      <cdr:x>0.29804</cdr:x>
      <cdr:y>0.25683</cdr:y>
    </cdr:from>
    <cdr:to>
      <cdr:x>0.44875</cdr:x>
      <cdr:y>0.55872</cdr:y>
    </cdr:to>
    <cdr:sp macro="" textlink="">
      <cdr:nvSpPr>
        <cdr:cNvPr id="12" name="Text Box 11"/>
        <cdr:cNvSpPr txBox="1"/>
      </cdr:nvSpPr>
      <cdr:spPr>
        <a:xfrm xmlns:a="http://schemas.openxmlformats.org/drawingml/2006/main">
          <a:off x="1808328" y="77792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0.28229</cdr:x>
      <cdr:y>0.20727</cdr:y>
    </cdr:from>
    <cdr:to>
      <cdr:x>0.31828</cdr:x>
      <cdr:y>0.28161</cdr:y>
    </cdr:to>
    <cdr:sp macro="" textlink="">
      <cdr:nvSpPr>
        <cdr:cNvPr id="13" name="Text Box 12"/>
        <cdr:cNvSpPr txBox="1"/>
      </cdr:nvSpPr>
      <cdr:spPr>
        <a:xfrm xmlns:a="http://schemas.openxmlformats.org/drawingml/2006/main">
          <a:off x="1712794" y="627797"/>
          <a:ext cx="218364"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cd</a:t>
          </a:r>
        </a:p>
      </cdr:txBody>
    </cdr:sp>
  </cdr:relSizeAnchor>
  <cdr:relSizeAnchor xmlns:cdr="http://schemas.openxmlformats.org/drawingml/2006/chartDrawing">
    <cdr:from>
      <cdr:x>0.29916</cdr:x>
      <cdr:y>0.61053</cdr:y>
    </cdr:from>
    <cdr:to>
      <cdr:x>0.33065</cdr:x>
      <cdr:y>0.67812</cdr:y>
    </cdr:to>
    <cdr:sp macro="" textlink="">
      <cdr:nvSpPr>
        <cdr:cNvPr id="14" name="Text Box 13"/>
        <cdr:cNvSpPr txBox="1"/>
      </cdr:nvSpPr>
      <cdr:spPr>
        <a:xfrm xmlns:a="http://schemas.openxmlformats.org/drawingml/2006/main">
          <a:off x="1815153" y="1849272"/>
          <a:ext cx="191068" cy="2047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0.32166</cdr:x>
      <cdr:y>0.61504</cdr:y>
    </cdr:from>
    <cdr:to>
      <cdr:x>0.36327</cdr:x>
      <cdr:y>0.68713</cdr:y>
    </cdr:to>
    <cdr:sp macro="" textlink="">
      <cdr:nvSpPr>
        <cdr:cNvPr id="15" name="Text Box 14"/>
        <cdr:cNvSpPr txBox="1"/>
      </cdr:nvSpPr>
      <cdr:spPr>
        <a:xfrm xmlns:a="http://schemas.openxmlformats.org/drawingml/2006/main">
          <a:off x="1951631" y="1862920"/>
          <a:ext cx="252484" cy="218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0.38014</cdr:x>
      <cdr:y>0.41453</cdr:y>
    </cdr:from>
    <cdr:to>
      <cdr:x>0.53085</cdr:x>
      <cdr:y>0.71642</cdr:y>
    </cdr:to>
    <cdr:sp macro="" textlink="">
      <cdr:nvSpPr>
        <cdr:cNvPr id="16" name="Text Box 15"/>
        <cdr:cNvSpPr txBox="1"/>
      </cdr:nvSpPr>
      <cdr:spPr>
        <a:xfrm xmlns:a="http://schemas.openxmlformats.org/drawingml/2006/main">
          <a:off x="2306472" y="125559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0.37677</cdr:x>
      <cdr:y>0.38975</cdr:y>
    </cdr:from>
    <cdr:to>
      <cdr:x>0.41501</cdr:x>
      <cdr:y>0.46409</cdr:y>
    </cdr:to>
    <cdr:sp macro="" textlink="">
      <cdr:nvSpPr>
        <cdr:cNvPr id="17" name="Text Box 16"/>
        <cdr:cNvSpPr txBox="1"/>
      </cdr:nvSpPr>
      <cdr:spPr>
        <a:xfrm xmlns:a="http://schemas.openxmlformats.org/drawingml/2006/main">
          <a:off x="2286000" y="1180530"/>
          <a:ext cx="232012"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0.39926</cdr:x>
      <cdr:y>0.18924</cdr:y>
    </cdr:from>
    <cdr:to>
      <cdr:x>0.43412</cdr:x>
      <cdr:y>0.25908</cdr:y>
    </cdr:to>
    <cdr:sp macro="" textlink="">
      <cdr:nvSpPr>
        <cdr:cNvPr id="18" name="Text Box 17"/>
        <cdr:cNvSpPr txBox="1"/>
      </cdr:nvSpPr>
      <cdr:spPr>
        <a:xfrm xmlns:a="http://schemas.openxmlformats.org/drawingml/2006/main">
          <a:off x="2422478" y="573206"/>
          <a:ext cx="211540"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0.4195</cdr:x>
      <cdr:y>0.54069</cdr:y>
    </cdr:from>
    <cdr:to>
      <cdr:x>0.4465</cdr:x>
      <cdr:y>0.61278</cdr:y>
    </cdr:to>
    <cdr:sp macro="" textlink="">
      <cdr:nvSpPr>
        <cdr:cNvPr id="19" name="Text Box 18"/>
        <cdr:cNvSpPr txBox="1"/>
      </cdr:nvSpPr>
      <cdr:spPr>
        <a:xfrm xmlns:a="http://schemas.openxmlformats.org/drawingml/2006/main">
          <a:off x="2545308" y="1637730"/>
          <a:ext cx="163773" cy="218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0.44762</cdr:x>
      <cdr:y>0.59476</cdr:y>
    </cdr:from>
    <cdr:to>
      <cdr:x>0.48698</cdr:x>
      <cdr:y>0.65784</cdr:y>
    </cdr:to>
    <cdr:sp macro="" textlink="">
      <cdr:nvSpPr>
        <cdr:cNvPr id="20" name="Text Box 19"/>
        <cdr:cNvSpPr txBox="1"/>
      </cdr:nvSpPr>
      <cdr:spPr>
        <a:xfrm xmlns:a="http://schemas.openxmlformats.org/drawingml/2006/main">
          <a:off x="2715906" y="1801504"/>
          <a:ext cx="238836" cy="1910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0.49036</cdr:x>
      <cdr:y>0.44157</cdr:y>
    </cdr:from>
    <cdr:to>
      <cdr:x>0.5331</cdr:x>
      <cdr:y>0.52042</cdr:y>
    </cdr:to>
    <cdr:sp macro="" textlink="">
      <cdr:nvSpPr>
        <cdr:cNvPr id="21" name="Text Box 20"/>
        <cdr:cNvSpPr txBox="1"/>
      </cdr:nvSpPr>
      <cdr:spPr>
        <a:xfrm xmlns:a="http://schemas.openxmlformats.org/drawingml/2006/main">
          <a:off x="2975212" y="1337480"/>
          <a:ext cx="259307" cy="2388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0.51173</cdr:x>
      <cdr:y>0.20276</cdr:y>
    </cdr:from>
    <cdr:to>
      <cdr:x>0.55671</cdr:x>
      <cdr:y>0.28161</cdr:y>
    </cdr:to>
    <cdr:sp macro="" textlink="">
      <cdr:nvSpPr>
        <cdr:cNvPr id="22" name="Text Box 21"/>
        <cdr:cNvSpPr txBox="1"/>
      </cdr:nvSpPr>
      <cdr:spPr>
        <a:xfrm xmlns:a="http://schemas.openxmlformats.org/drawingml/2006/main">
          <a:off x="3104866" y="614150"/>
          <a:ext cx="272956" cy="2388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cd</a:t>
          </a:r>
        </a:p>
      </cdr:txBody>
    </cdr:sp>
  </cdr:relSizeAnchor>
  <cdr:relSizeAnchor xmlns:cdr="http://schemas.openxmlformats.org/drawingml/2006/chartDrawing">
    <cdr:from>
      <cdr:x>0.53647</cdr:x>
      <cdr:y>0.59476</cdr:y>
    </cdr:from>
    <cdr:to>
      <cdr:x>0.58371</cdr:x>
      <cdr:y>0.68488</cdr:y>
    </cdr:to>
    <cdr:sp macro="" textlink="">
      <cdr:nvSpPr>
        <cdr:cNvPr id="23" name="Text Box 22"/>
        <cdr:cNvSpPr txBox="1"/>
      </cdr:nvSpPr>
      <cdr:spPr>
        <a:xfrm xmlns:a="http://schemas.openxmlformats.org/drawingml/2006/main">
          <a:off x="3254991" y="1801503"/>
          <a:ext cx="286603" cy="2729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0.56346</cdr:x>
      <cdr:y>0.64658</cdr:y>
    </cdr:from>
    <cdr:to>
      <cdr:x>0.60957</cdr:x>
      <cdr:y>0.72768</cdr:y>
    </cdr:to>
    <cdr:sp macro="" textlink="">
      <cdr:nvSpPr>
        <cdr:cNvPr id="24" name="Text Box 23"/>
        <cdr:cNvSpPr txBox="1"/>
      </cdr:nvSpPr>
      <cdr:spPr>
        <a:xfrm xmlns:a="http://schemas.openxmlformats.org/drawingml/2006/main">
          <a:off x="3418764" y="1958453"/>
          <a:ext cx="279779" cy="2456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0.59945</cdr:x>
      <cdr:y>0.41228</cdr:y>
    </cdr:from>
    <cdr:to>
      <cdr:x>0.64444</cdr:x>
      <cdr:y>0.49113</cdr:y>
    </cdr:to>
    <cdr:sp macro="" textlink="">
      <cdr:nvSpPr>
        <cdr:cNvPr id="25" name="Text Box 24"/>
        <cdr:cNvSpPr txBox="1"/>
      </cdr:nvSpPr>
      <cdr:spPr>
        <a:xfrm xmlns:a="http://schemas.openxmlformats.org/drawingml/2006/main">
          <a:off x="3637128" y="1248770"/>
          <a:ext cx="272955" cy="2388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abc</a:t>
          </a:r>
        </a:p>
      </cdr:txBody>
    </cdr:sp>
  </cdr:relSizeAnchor>
  <cdr:relSizeAnchor xmlns:cdr="http://schemas.openxmlformats.org/drawingml/2006/chartDrawing">
    <cdr:from>
      <cdr:x>0.63769</cdr:x>
      <cdr:y>0.20276</cdr:y>
    </cdr:from>
    <cdr:to>
      <cdr:x>0.68155</cdr:x>
      <cdr:y>0.29062</cdr:y>
    </cdr:to>
    <cdr:sp macro="" textlink="">
      <cdr:nvSpPr>
        <cdr:cNvPr id="26" name="Text Box 25"/>
        <cdr:cNvSpPr txBox="1"/>
      </cdr:nvSpPr>
      <cdr:spPr>
        <a:xfrm xmlns:a="http://schemas.openxmlformats.org/drawingml/2006/main">
          <a:off x="3869141" y="614149"/>
          <a:ext cx="266131" cy="2661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0.66131</cdr:x>
      <cdr:y>0.60152</cdr:y>
    </cdr:from>
    <cdr:to>
      <cdr:x>0.6973</cdr:x>
      <cdr:y>0.67812</cdr:y>
    </cdr:to>
    <cdr:sp macro="" textlink="">
      <cdr:nvSpPr>
        <cdr:cNvPr id="27" name="Text Box 26"/>
        <cdr:cNvSpPr txBox="1"/>
      </cdr:nvSpPr>
      <cdr:spPr>
        <a:xfrm xmlns:a="http://schemas.openxmlformats.org/drawingml/2006/main">
          <a:off x="4012442" y="1821976"/>
          <a:ext cx="218365"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0.68718</cdr:x>
      <cdr:y>0.63306</cdr:y>
    </cdr:from>
    <cdr:to>
      <cdr:x>0.73329</cdr:x>
      <cdr:y>0.70966</cdr:y>
    </cdr:to>
    <cdr:sp macro="" textlink="">
      <cdr:nvSpPr>
        <cdr:cNvPr id="28" name="Text Box 27"/>
        <cdr:cNvSpPr txBox="1"/>
      </cdr:nvSpPr>
      <cdr:spPr>
        <a:xfrm xmlns:a="http://schemas.openxmlformats.org/drawingml/2006/main">
          <a:off x="4169391" y="1917509"/>
          <a:ext cx="279779"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0.74004</cdr:x>
      <cdr:y>0.39876</cdr:y>
    </cdr:from>
    <cdr:to>
      <cdr:x>0.77828</cdr:x>
      <cdr:y>0.47085</cdr:y>
    </cdr:to>
    <cdr:sp macro="" textlink="">
      <cdr:nvSpPr>
        <cdr:cNvPr id="29" name="Text Box 28"/>
        <cdr:cNvSpPr txBox="1"/>
      </cdr:nvSpPr>
      <cdr:spPr>
        <a:xfrm xmlns:a="http://schemas.openxmlformats.org/drawingml/2006/main">
          <a:off x="4490114" y="1207827"/>
          <a:ext cx="232012" cy="218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a:t>
          </a:r>
        </a:p>
      </cdr:txBody>
    </cdr:sp>
  </cdr:relSizeAnchor>
  <cdr:relSizeAnchor xmlns:cdr="http://schemas.openxmlformats.org/drawingml/2006/chartDrawing">
    <cdr:from>
      <cdr:x>0.75353</cdr:x>
      <cdr:y>0.19825</cdr:y>
    </cdr:from>
    <cdr:to>
      <cdr:x>0.79852</cdr:x>
      <cdr:y>0.28386</cdr:y>
    </cdr:to>
    <cdr:sp macro="" textlink="">
      <cdr:nvSpPr>
        <cdr:cNvPr id="30" name="Text Box 29"/>
        <cdr:cNvSpPr txBox="1"/>
      </cdr:nvSpPr>
      <cdr:spPr>
        <a:xfrm xmlns:a="http://schemas.openxmlformats.org/drawingml/2006/main">
          <a:off x="4572000" y="600502"/>
          <a:ext cx="272955" cy="2593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0.78727</cdr:x>
      <cdr:y>0.57223</cdr:y>
    </cdr:from>
    <cdr:to>
      <cdr:x>0.82101</cdr:x>
      <cdr:y>0.64207</cdr:y>
    </cdr:to>
    <cdr:sp macro="" textlink="">
      <cdr:nvSpPr>
        <cdr:cNvPr id="31" name="Text Box 30"/>
        <cdr:cNvSpPr txBox="1"/>
      </cdr:nvSpPr>
      <cdr:spPr>
        <a:xfrm xmlns:a="http://schemas.openxmlformats.org/drawingml/2006/main">
          <a:off x="4776716" y="1733266"/>
          <a:ext cx="204717"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d</a:t>
          </a:r>
        </a:p>
      </cdr:txBody>
    </cdr:sp>
  </cdr:relSizeAnchor>
  <cdr:relSizeAnchor xmlns:cdr="http://schemas.openxmlformats.org/drawingml/2006/chartDrawing">
    <cdr:from>
      <cdr:x>0.80752</cdr:x>
      <cdr:y>0.66657</cdr:y>
    </cdr:from>
    <cdr:to>
      <cdr:x>0.84351</cdr:x>
      <cdr:y>0.73895</cdr:y>
    </cdr:to>
    <cdr:sp macro="" textlink="">
      <cdr:nvSpPr>
        <cdr:cNvPr id="32" name="Text Box 31"/>
        <cdr:cNvSpPr txBox="1"/>
      </cdr:nvSpPr>
      <cdr:spPr>
        <a:xfrm xmlns:a="http://schemas.openxmlformats.org/drawingml/2006/main">
          <a:off x="4899547" y="2019016"/>
          <a:ext cx="218364" cy="2192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0.86504</cdr:x>
      <cdr:y>0.46409</cdr:y>
    </cdr:from>
    <cdr:to>
      <cdr:x>0.89974</cdr:x>
      <cdr:y>0.53844</cdr:y>
    </cdr:to>
    <cdr:sp macro="" textlink="">
      <cdr:nvSpPr>
        <cdr:cNvPr id="33" name="Text Box 32"/>
        <cdr:cNvSpPr txBox="1"/>
      </cdr:nvSpPr>
      <cdr:spPr>
        <a:xfrm xmlns:a="http://schemas.openxmlformats.org/drawingml/2006/main">
          <a:off x="5248561" y="1405720"/>
          <a:ext cx="210544"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c</a:t>
          </a:r>
        </a:p>
      </cdr:txBody>
    </cdr:sp>
  </cdr:relSizeAnchor>
  <cdr:relSizeAnchor xmlns:cdr="http://schemas.openxmlformats.org/drawingml/2006/chartDrawing">
    <cdr:from>
      <cdr:x>0.88191</cdr:x>
      <cdr:y>0.20727</cdr:y>
    </cdr:from>
    <cdr:to>
      <cdr:x>0.92336</cdr:x>
      <cdr:y>0.27936</cdr:y>
    </cdr:to>
    <cdr:sp macro="" textlink="">
      <cdr:nvSpPr>
        <cdr:cNvPr id="34" name="Text Box 33"/>
        <cdr:cNvSpPr txBox="1"/>
      </cdr:nvSpPr>
      <cdr:spPr>
        <a:xfrm xmlns:a="http://schemas.openxmlformats.org/drawingml/2006/main">
          <a:off x="5350919" y="627796"/>
          <a:ext cx="251488" cy="218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d</a:t>
          </a:r>
        </a:p>
      </cdr:txBody>
    </cdr:sp>
  </cdr:relSizeAnchor>
  <cdr:relSizeAnchor xmlns:cdr="http://schemas.openxmlformats.org/drawingml/2006/chartDrawing">
    <cdr:from>
      <cdr:x>0.90778</cdr:x>
      <cdr:y>0.59251</cdr:y>
    </cdr:from>
    <cdr:to>
      <cdr:x>0.94585</cdr:x>
      <cdr:y>0.67136</cdr:y>
    </cdr:to>
    <cdr:sp macro="" textlink="">
      <cdr:nvSpPr>
        <cdr:cNvPr id="35" name="Text Box 34"/>
        <cdr:cNvSpPr txBox="1"/>
      </cdr:nvSpPr>
      <cdr:spPr>
        <a:xfrm xmlns:a="http://schemas.openxmlformats.org/drawingml/2006/main">
          <a:off x="5507867" y="1794680"/>
          <a:ext cx="231017" cy="2388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0.92915</cdr:x>
      <cdr:y>0.59927</cdr:y>
    </cdr:from>
    <cdr:to>
      <cdr:x>0.96947</cdr:x>
      <cdr:y>0.66685</cdr:y>
    </cdr:to>
    <cdr:sp macro="" textlink="">
      <cdr:nvSpPr>
        <cdr:cNvPr id="36" name="Text Box 35"/>
        <cdr:cNvSpPr txBox="1"/>
      </cdr:nvSpPr>
      <cdr:spPr>
        <a:xfrm xmlns:a="http://schemas.openxmlformats.org/drawingml/2006/main">
          <a:off x="5637521" y="1815151"/>
          <a:ext cx="244664" cy="2047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userShapes>
</file>

<file path=word/drawings/drawing2.xml><?xml version="1.0" encoding="utf-8"?>
<c:userShapes xmlns:c="http://schemas.openxmlformats.org/drawingml/2006/chart">
  <cdr:relSizeAnchor xmlns:cdr="http://schemas.openxmlformats.org/drawingml/2006/chartDrawing">
    <cdr:from>
      <cdr:x>0.13045</cdr:x>
      <cdr:y>0.58742</cdr:y>
    </cdr:from>
    <cdr:to>
      <cdr:x>0.27374</cdr:x>
      <cdr:y>0.85335</cdr:y>
    </cdr:to>
    <cdr:sp macro="" textlink="">
      <cdr:nvSpPr>
        <cdr:cNvPr id="2" name="Text Box 1"/>
        <cdr:cNvSpPr txBox="1"/>
      </cdr:nvSpPr>
      <cdr:spPr>
        <a:xfrm xmlns:a="http://schemas.openxmlformats.org/drawingml/2006/main">
          <a:off x="832513" y="201986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0.10051</cdr:x>
      <cdr:y>0.66482</cdr:y>
    </cdr:from>
    <cdr:to>
      <cdr:x>0.14435</cdr:x>
      <cdr:y>0.73229</cdr:y>
    </cdr:to>
    <cdr:sp macro="" textlink="">
      <cdr:nvSpPr>
        <cdr:cNvPr id="3" name="Text Box 2"/>
        <cdr:cNvSpPr txBox="1"/>
      </cdr:nvSpPr>
      <cdr:spPr>
        <a:xfrm xmlns:a="http://schemas.openxmlformats.org/drawingml/2006/main">
          <a:off x="641444" y="2286000"/>
          <a:ext cx="279779"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0.13152</cdr:x>
      <cdr:y>0.39492</cdr:y>
    </cdr:from>
    <cdr:to>
      <cdr:x>0.18178</cdr:x>
      <cdr:y>0.45247</cdr:y>
    </cdr:to>
    <cdr:sp macro="" textlink="">
      <cdr:nvSpPr>
        <cdr:cNvPr id="4" name="Text Box 3"/>
        <cdr:cNvSpPr txBox="1"/>
      </cdr:nvSpPr>
      <cdr:spPr>
        <a:xfrm xmlns:a="http://schemas.openxmlformats.org/drawingml/2006/main">
          <a:off x="839339" y="1357952"/>
          <a:ext cx="320722" cy="1978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cd</a:t>
          </a:r>
        </a:p>
      </cdr:txBody>
    </cdr:sp>
  </cdr:relSizeAnchor>
  <cdr:relSizeAnchor xmlns:cdr="http://schemas.openxmlformats.org/drawingml/2006/chartDrawing">
    <cdr:from>
      <cdr:x>0.16039</cdr:x>
      <cdr:y>0.77178</cdr:y>
    </cdr:from>
    <cdr:to>
      <cdr:x>0.19033</cdr:x>
      <cdr:y>0.83549</cdr:y>
    </cdr:to>
    <cdr:sp macro="" textlink="">
      <cdr:nvSpPr>
        <cdr:cNvPr id="5" name="Text Box 4"/>
        <cdr:cNvSpPr txBox="1"/>
      </cdr:nvSpPr>
      <cdr:spPr>
        <a:xfrm xmlns:a="http://schemas.openxmlformats.org/drawingml/2006/main">
          <a:off x="1023582" y="2653779"/>
          <a:ext cx="191069"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0.17429</cdr:x>
      <cdr:y>0.61322</cdr:y>
    </cdr:from>
    <cdr:to>
      <cdr:x>0.21813</cdr:x>
      <cdr:y>0.6807</cdr:y>
    </cdr:to>
    <cdr:sp macro="" textlink="">
      <cdr:nvSpPr>
        <cdr:cNvPr id="6" name="Text Box 5"/>
        <cdr:cNvSpPr txBox="1"/>
      </cdr:nvSpPr>
      <cdr:spPr>
        <a:xfrm xmlns:a="http://schemas.openxmlformats.org/drawingml/2006/main">
          <a:off x="1112293" y="2108578"/>
          <a:ext cx="279779"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cd</a:t>
          </a:r>
        </a:p>
      </cdr:txBody>
    </cdr:sp>
  </cdr:relSizeAnchor>
  <cdr:relSizeAnchor xmlns:cdr="http://schemas.openxmlformats.org/drawingml/2006/chartDrawing">
    <cdr:from>
      <cdr:x>0.26625</cdr:x>
      <cdr:y>0.30959</cdr:y>
    </cdr:from>
    <cdr:to>
      <cdr:x>0.40953</cdr:x>
      <cdr:y>0.57552</cdr:y>
    </cdr:to>
    <cdr:sp macro="" textlink="">
      <cdr:nvSpPr>
        <cdr:cNvPr id="7" name="Text Box 6"/>
        <cdr:cNvSpPr txBox="1"/>
      </cdr:nvSpPr>
      <cdr:spPr>
        <a:xfrm xmlns:a="http://schemas.openxmlformats.org/drawingml/2006/main">
          <a:off x="1699146" y="10645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0.22883</cdr:x>
      <cdr:y>0.6668</cdr:y>
    </cdr:from>
    <cdr:to>
      <cdr:x>0.2716</cdr:x>
      <cdr:y>0.7442</cdr:y>
    </cdr:to>
    <cdr:sp macro="" textlink="">
      <cdr:nvSpPr>
        <cdr:cNvPr id="8" name="Text Box 7"/>
        <cdr:cNvSpPr txBox="1"/>
      </cdr:nvSpPr>
      <cdr:spPr>
        <a:xfrm xmlns:a="http://schemas.openxmlformats.org/drawingml/2006/main">
          <a:off x="1460311" y="2292824"/>
          <a:ext cx="272956" cy="2661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0.25342</cdr:x>
      <cdr:y>0.32546</cdr:y>
    </cdr:from>
    <cdr:to>
      <cdr:x>0.30475</cdr:x>
      <cdr:y>0.39294</cdr:y>
    </cdr:to>
    <cdr:sp macro="" textlink="">
      <cdr:nvSpPr>
        <cdr:cNvPr id="9" name="Text Box 8"/>
        <cdr:cNvSpPr txBox="1"/>
      </cdr:nvSpPr>
      <cdr:spPr>
        <a:xfrm xmlns:a="http://schemas.openxmlformats.org/drawingml/2006/main">
          <a:off x="1617261" y="1119115"/>
          <a:ext cx="327546"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abc</a:t>
          </a:r>
        </a:p>
      </cdr:txBody>
    </cdr:sp>
  </cdr:relSizeAnchor>
  <cdr:relSizeAnchor xmlns:cdr="http://schemas.openxmlformats.org/drawingml/2006/chartDrawing">
    <cdr:from>
      <cdr:x>0.28015</cdr:x>
      <cdr:y>0.76206</cdr:y>
    </cdr:from>
    <cdr:to>
      <cdr:x>0.32292</cdr:x>
      <cdr:y>0.82358</cdr:y>
    </cdr:to>
    <cdr:sp macro="" textlink="">
      <cdr:nvSpPr>
        <cdr:cNvPr id="10" name="Text Box 9"/>
        <cdr:cNvSpPr txBox="1"/>
      </cdr:nvSpPr>
      <cdr:spPr>
        <a:xfrm xmlns:a="http://schemas.openxmlformats.org/drawingml/2006/main">
          <a:off x="1787857" y="2620370"/>
          <a:ext cx="272955"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abc</a:t>
          </a:r>
        </a:p>
      </cdr:txBody>
    </cdr:sp>
  </cdr:relSizeAnchor>
  <cdr:relSizeAnchor xmlns:cdr="http://schemas.openxmlformats.org/drawingml/2006/chartDrawing">
    <cdr:from>
      <cdr:x>0.29512</cdr:x>
      <cdr:y>0.60528</cdr:y>
    </cdr:from>
    <cdr:to>
      <cdr:x>0.33896</cdr:x>
      <cdr:y>0.65887</cdr:y>
    </cdr:to>
    <cdr:sp macro="" textlink="">
      <cdr:nvSpPr>
        <cdr:cNvPr id="11" name="Text Box 10"/>
        <cdr:cNvSpPr txBox="1"/>
      </cdr:nvSpPr>
      <cdr:spPr>
        <a:xfrm xmlns:a="http://schemas.openxmlformats.org/drawingml/2006/main">
          <a:off x="1883392" y="2081283"/>
          <a:ext cx="279779" cy="18424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0.36249</cdr:x>
      <cdr:y>0.64101</cdr:y>
    </cdr:from>
    <cdr:to>
      <cdr:x>0.40419</cdr:x>
      <cdr:y>0.70848</cdr:y>
    </cdr:to>
    <cdr:sp macro="" textlink="">
      <cdr:nvSpPr>
        <cdr:cNvPr id="12" name="Text Box 11"/>
        <cdr:cNvSpPr txBox="1"/>
      </cdr:nvSpPr>
      <cdr:spPr>
        <a:xfrm xmlns:a="http://schemas.openxmlformats.org/drawingml/2006/main">
          <a:off x="2313295" y="2204113"/>
          <a:ext cx="266132"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0.38601</cdr:x>
      <cdr:y>0.28577</cdr:y>
    </cdr:from>
    <cdr:to>
      <cdr:x>0.4245</cdr:x>
      <cdr:y>0.34729</cdr:y>
    </cdr:to>
    <cdr:sp macro="" textlink="">
      <cdr:nvSpPr>
        <cdr:cNvPr id="13" name="Text Box 12"/>
        <cdr:cNvSpPr txBox="1"/>
      </cdr:nvSpPr>
      <cdr:spPr>
        <a:xfrm xmlns:a="http://schemas.openxmlformats.org/drawingml/2006/main">
          <a:off x="2463421" y="982638"/>
          <a:ext cx="245660" cy="2115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0.43627</cdr:x>
      <cdr:y>0.57155</cdr:y>
    </cdr:from>
    <cdr:to>
      <cdr:x>0.48225</cdr:x>
      <cdr:y>0.65093</cdr:y>
    </cdr:to>
    <cdr:sp macro="" textlink="">
      <cdr:nvSpPr>
        <cdr:cNvPr id="14" name="Text Box 13"/>
        <cdr:cNvSpPr txBox="1"/>
      </cdr:nvSpPr>
      <cdr:spPr>
        <a:xfrm xmlns:a="http://schemas.openxmlformats.org/drawingml/2006/main">
          <a:off x="2784143" y="1965277"/>
          <a:ext cx="293427" cy="27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0.40633</cdr:x>
      <cdr:y>0.75809</cdr:y>
    </cdr:from>
    <cdr:to>
      <cdr:x>0.44482</cdr:x>
      <cdr:y>0.81168</cdr:y>
    </cdr:to>
    <cdr:sp macro="" textlink="">
      <cdr:nvSpPr>
        <cdr:cNvPr id="15" name="Text Box 14"/>
        <cdr:cNvSpPr txBox="1"/>
      </cdr:nvSpPr>
      <cdr:spPr>
        <a:xfrm xmlns:a="http://schemas.openxmlformats.org/drawingml/2006/main">
          <a:off x="2593075" y="2606722"/>
          <a:ext cx="245660" cy="1842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0.42557</cdr:x>
      <cdr:y>0.59933</cdr:y>
    </cdr:from>
    <cdr:to>
      <cdr:x>0.47583</cdr:x>
      <cdr:y>0.66482</cdr:y>
    </cdr:to>
    <cdr:sp macro="" textlink="">
      <cdr:nvSpPr>
        <cdr:cNvPr id="16" name="Text Box 15"/>
        <cdr:cNvSpPr txBox="1"/>
      </cdr:nvSpPr>
      <cdr:spPr>
        <a:xfrm xmlns:a="http://schemas.openxmlformats.org/drawingml/2006/main">
          <a:off x="2715904" y="2060812"/>
          <a:ext cx="320723"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0.49294</cdr:x>
      <cdr:y>0.68268</cdr:y>
    </cdr:from>
    <cdr:to>
      <cdr:x>0.63622</cdr:x>
      <cdr:y>0.94861</cdr:y>
    </cdr:to>
    <cdr:sp macro="" textlink="">
      <cdr:nvSpPr>
        <cdr:cNvPr id="17" name="Text Box 16"/>
        <cdr:cNvSpPr txBox="1"/>
      </cdr:nvSpPr>
      <cdr:spPr>
        <a:xfrm xmlns:a="http://schemas.openxmlformats.org/drawingml/2006/main">
          <a:off x="3145809" y="234741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0.47476</cdr:x>
      <cdr:y>0.66284</cdr:y>
    </cdr:from>
    <cdr:to>
      <cdr:x>0.52609</cdr:x>
      <cdr:y>0.73626</cdr:y>
    </cdr:to>
    <cdr:sp macro="" textlink="">
      <cdr:nvSpPr>
        <cdr:cNvPr id="18" name="Text Box 17"/>
        <cdr:cNvSpPr txBox="1"/>
      </cdr:nvSpPr>
      <cdr:spPr>
        <a:xfrm xmlns:a="http://schemas.openxmlformats.org/drawingml/2006/main">
          <a:off x="3029802" y="2279176"/>
          <a:ext cx="327546" cy="2524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0.49615</cdr:x>
      <cdr:y>0.38698</cdr:y>
    </cdr:from>
    <cdr:to>
      <cdr:x>0.55603</cdr:x>
      <cdr:y>0.45843</cdr:y>
    </cdr:to>
    <cdr:sp macro="" textlink="">
      <cdr:nvSpPr>
        <cdr:cNvPr id="19" name="Text Box 18"/>
        <cdr:cNvSpPr txBox="1"/>
      </cdr:nvSpPr>
      <cdr:spPr>
        <a:xfrm xmlns:a="http://schemas.openxmlformats.org/drawingml/2006/main">
          <a:off x="3166280" y="1330656"/>
          <a:ext cx="382138" cy="2456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bcd</a:t>
          </a:r>
        </a:p>
      </cdr:txBody>
    </cdr:sp>
  </cdr:relSizeAnchor>
  <cdr:relSizeAnchor xmlns:cdr="http://schemas.openxmlformats.org/drawingml/2006/chartDrawing">
    <cdr:from>
      <cdr:x>0.52716</cdr:x>
      <cdr:y>0.77199</cdr:y>
    </cdr:from>
    <cdr:to>
      <cdr:x>0.57741</cdr:x>
      <cdr:y>0.83946</cdr:y>
    </cdr:to>
    <cdr:sp macro="" textlink="">
      <cdr:nvSpPr>
        <cdr:cNvPr id="20" name="Text Box 19"/>
        <cdr:cNvSpPr txBox="1"/>
      </cdr:nvSpPr>
      <cdr:spPr>
        <a:xfrm xmlns:a="http://schemas.openxmlformats.org/drawingml/2006/main">
          <a:off x="3364174" y="2654490"/>
          <a:ext cx="320722"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0.54319</cdr:x>
      <cdr:y>0.60925</cdr:y>
    </cdr:from>
    <cdr:to>
      <cdr:x>0.61056</cdr:x>
      <cdr:y>0.67673</cdr:y>
    </cdr:to>
    <cdr:sp macro="" textlink="">
      <cdr:nvSpPr>
        <cdr:cNvPr id="21" name="Text Box 20"/>
        <cdr:cNvSpPr txBox="1"/>
      </cdr:nvSpPr>
      <cdr:spPr>
        <a:xfrm xmlns:a="http://schemas.openxmlformats.org/drawingml/2006/main">
          <a:off x="3466532" y="2094930"/>
          <a:ext cx="429904"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bcd</a:t>
          </a:r>
        </a:p>
      </cdr:txBody>
    </cdr:sp>
  </cdr:relSizeAnchor>
  <cdr:relSizeAnchor xmlns:cdr="http://schemas.openxmlformats.org/drawingml/2006/chartDrawing">
    <cdr:from>
      <cdr:x>0.60307</cdr:x>
      <cdr:y>0.6549</cdr:y>
    </cdr:from>
    <cdr:to>
      <cdr:x>0.65547</cdr:x>
      <cdr:y>0.72634</cdr:y>
    </cdr:to>
    <cdr:sp macro="" textlink="">
      <cdr:nvSpPr>
        <cdr:cNvPr id="22" name="Text Box 21"/>
        <cdr:cNvSpPr txBox="1"/>
      </cdr:nvSpPr>
      <cdr:spPr>
        <a:xfrm xmlns:a="http://schemas.openxmlformats.org/drawingml/2006/main">
          <a:off x="3848669" y="2251880"/>
          <a:ext cx="334370" cy="2456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0.61911</cdr:x>
      <cdr:y>0.32745</cdr:y>
    </cdr:from>
    <cdr:to>
      <cdr:x>0.68434</cdr:x>
      <cdr:y>0.40088</cdr:y>
    </cdr:to>
    <cdr:sp macro="" textlink="">
      <cdr:nvSpPr>
        <cdr:cNvPr id="23" name="Text Box 22"/>
        <cdr:cNvSpPr txBox="1"/>
      </cdr:nvSpPr>
      <cdr:spPr>
        <a:xfrm xmlns:a="http://schemas.openxmlformats.org/drawingml/2006/main">
          <a:off x="3951027" y="1125939"/>
          <a:ext cx="416257" cy="2524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bcd</a:t>
          </a:r>
        </a:p>
      </cdr:txBody>
    </cdr:sp>
  </cdr:relSizeAnchor>
  <cdr:relSizeAnchor xmlns:cdr="http://schemas.openxmlformats.org/drawingml/2006/chartDrawing">
    <cdr:from>
      <cdr:x>0.65333</cdr:x>
      <cdr:y>0.76582</cdr:y>
    </cdr:from>
    <cdr:to>
      <cdr:x>0.70466</cdr:x>
      <cdr:y>0.83351</cdr:y>
    </cdr:to>
    <cdr:sp macro="" textlink="">
      <cdr:nvSpPr>
        <cdr:cNvPr id="24" name="Text Box 23"/>
        <cdr:cNvSpPr txBox="1"/>
      </cdr:nvSpPr>
      <cdr:spPr>
        <a:xfrm xmlns:a="http://schemas.openxmlformats.org/drawingml/2006/main">
          <a:off x="4169391" y="2633307"/>
          <a:ext cx="327547" cy="2327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0.66509</cdr:x>
      <cdr:y>0.61322</cdr:y>
    </cdr:from>
    <cdr:to>
      <cdr:x>0.72711</cdr:x>
      <cdr:y>0.67871</cdr:y>
    </cdr:to>
    <cdr:sp macro="" textlink="">
      <cdr:nvSpPr>
        <cdr:cNvPr id="25" name="Text Box 24"/>
        <cdr:cNvSpPr txBox="1"/>
      </cdr:nvSpPr>
      <cdr:spPr>
        <a:xfrm xmlns:a="http://schemas.openxmlformats.org/drawingml/2006/main">
          <a:off x="4244454" y="2108579"/>
          <a:ext cx="395785" cy="225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bcd</a:t>
          </a:r>
        </a:p>
      </cdr:txBody>
    </cdr:sp>
  </cdr:relSizeAnchor>
  <cdr:relSizeAnchor xmlns:cdr="http://schemas.openxmlformats.org/drawingml/2006/chartDrawing">
    <cdr:from>
      <cdr:x>0.73566</cdr:x>
      <cdr:y>0.64299</cdr:y>
    </cdr:from>
    <cdr:to>
      <cdr:x>0.7763</cdr:x>
      <cdr:y>0.71245</cdr:y>
    </cdr:to>
    <cdr:sp macro="" textlink="">
      <cdr:nvSpPr>
        <cdr:cNvPr id="26" name="Text Box 25"/>
        <cdr:cNvSpPr txBox="1"/>
      </cdr:nvSpPr>
      <cdr:spPr>
        <a:xfrm xmlns:a="http://schemas.openxmlformats.org/drawingml/2006/main">
          <a:off x="4694830" y="2210937"/>
          <a:ext cx="259308" cy="2388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0.75384</cdr:x>
      <cdr:y>0.32546</cdr:y>
    </cdr:from>
    <cdr:to>
      <cdr:x>0.80838</cdr:x>
      <cdr:y>0.41278</cdr:y>
    </cdr:to>
    <cdr:sp macro="" textlink="">
      <cdr:nvSpPr>
        <cdr:cNvPr id="27" name="Text Box 26"/>
        <cdr:cNvSpPr txBox="1"/>
      </cdr:nvSpPr>
      <cdr:spPr>
        <a:xfrm xmlns:a="http://schemas.openxmlformats.org/drawingml/2006/main">
          <a:off x="4810835" y="1119117"/>
          <a:ext cx="348018" cy="300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0.77844</cdr:x>
      <cdr:y>0.75809</cdr:y>
    </cdr:from>
    <cdr:to>
      <cdr:x>0.82655</cdr:x>
      <cdr:y>0.83747</cdr:y>
    </cdr:to>
    <cdr:sp macro="" textlink="">
      <cdr:nvSpPr>
        <cdr:cNvPr id="28" name="Text Box 27"/>
        <cdr:cNvSpPr txBox="1"/>
      </cdr:nvSpPr>
      <cdr:spPr>
        <a:xfrm xmlns:a="http://schemas.openxmlformats.org/drawingml/2006/main">
          <a:off x="4967786" y="2606721"/>
          <a:ext cx="307074" cy="2729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0.80089</cdr:x>
      <cdr:y>0.60727</cdr:y>
    </cdr:from>
    <cdr:to>
      <cdr:x>0.85435</cdr:x>
      <cdr:y>0.6668</cdr:y>
    </cdr:to>
    <cdr:sp macro="" textlink="">
      <cdr:nvSpPr>
        <cdr:cNvPr id="29" name="Text Box 28"/>
        <cdr:cNvSpPr txBox="1"/>
      </cdr:nvSpPr>
      <cdr:spPr>
        <a:xfrm xmlns:a="http://schemas.openxmlformats.org/drawingml/2006/main">
          <a:off x="5111086" y="2088109"/>
          <a:ext cx="341194" cy="2047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ab</a:t>
          </a:r>
        </a:p>
      </cdr:txBody>
    </cdr:sp>
  </cdr:relSizeAnchor>
  <cdr:relSizeAnchor xmlns:cdr="http://schemas.openxmlformats.org/drawingml/2006/chartDrawing">
    <cdr:from>
      <cdr:x>0.85992</cdr:x>
      <cdr:y>0.71224</cdr:y>
    </cdr:from>
    <cdr:to>
      <cdr:x>0.89713</cdr:x>
      <cdr:y>0.77794</cdr:y>
    </cdr:to>
    <cdr:sp macro="" textlink="">
      <cdr:nvSpPr>
        <cdr:cNvPr id="30" name="Text Box 29"/>
        <cdr:cNvSpPr txBox="1"/>
      </cdr:nvSpPr>
      <cdr:spPr>
        <a:xfrm xmlns:a="http://schemas.openxmlformats.org/drawingml/2006/main">
          <a:off x="5487821" y="2449062"/>
          <a:ext cx="237415" cy="2258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0.88964</cdr:x>
      <cdr:y>0.39889</cdr:y>
    </cdr:from>
    <cdr:to>
      <cdr:x>0.91744</cdr:x>
      <cdr:y>0.45247</cdr:y>
    </cdr:to>
    <cdr:sp macro="" textlink="">
      <cdr:nvSpPr>
        <cdr:cNvPr id="31" name="Text Box 30"/>
        <cdr:cNvSpPr txBox="1"/>
      </cdr:nvSpPr>
      <cdr:spPr>
        <a:xfrm xmlns:a="http://schemas.openxmlformats.org/drawingml/2006/main">
          <a:off x="5677469" y="1371600"/>
          <a:ext cx="177421" cy="1842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latin typeface="Arial" pitchFamily="34" charset="0"/>
              <a:cs typeface="Arial" pitchFamily="34" charset="0"/>
            </a:rPr>
            <a:t>d</a:t>
          </a:r>
        </a:p>
      </cdr:txBody>
    </cdr:sp>
  </cdr:relSizeAnchor>
  <cdr:relSizeAnchor xmlns:cdr="http://schemas.openxmlformats.org/drawingml/2006/chartDrawing">
    <cdr:from>
      <cdr:x>0.84816</cdr:x>
      <cdr:y>0.69459</cdr:y>
    </cdr:from>
    <cdr:to>
      <cdr:x>0.99122</cdr:x>
      <cdr:y>0.92876</cdr:y>
    </cdr:to>
    <cdr:sp macro="" textlink="">
      <cdr:nvSpPr>
        <cdr:cNvPr id="32" name="Text Box 31"/>
        <cdr:cNvSpPr txBox="1"/>
      </cdr:nvSpPr>
      <cdr:spPr>
        <a:xfrm xmlns:a="http://schemas.openxmlformats.org/drawingml/2006/main">
          <a:off x="5412759" y="2388358"/>
          <a:ext cx="912978" cy="8052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0.90889</cdr:x>
      <cdr:y>0.77992</cdr:y>
    </cdr:from>
    <cdr:to>
      <cdr:x>0.94524</cdr:x>
      <cdr:y>0.84144</cdr:y>
    </cdr:to>
    <cdr:sp macro="" textlink="">
      <cdr:nvSpPr>
        <cdr:cNvPr id="33" name="Text Box 32"/>
        <cdr:cNvSpPr txBox="1"/>
      </cdr:nvSpPr>
      <cdr:spPr>
        <a:xfrm xmlns:a="http://schemas.openxmlformats.org/drawingml/2006/main">
          <a:off x="5800299" y="2681784"/>
          <a:ext cx="232012"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0.92493</cdr:x>
      <cdr:y>0.64894</cdr:y>
    </cdr:from>
    <cdr:to>
      <cdr:x>0.97091</cdr:x>
      <cdr:y>0.7184</cdr:y>
    </cdr:to>
    <cdr:sp macro="" textlink="">
      <cdr:nvSpPr>
        <cdr:cNvPr id="34" name="Text Box 33"/>
        <cdr:cNvSpPr txBox="1"/>
      </cdr:nvSpPr>
      <cdr:spPr>
        <a:xfrm xmlns:a="http://schemas.openxmlformats.org/drawingml/2006/main">
          <a:off x="5902657" y="2231408"/>
          <a:ext cx="293426" cy="23883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d</a:t>
          </a:r>
        </a:p>
      </cdr:txBody>
    </cdr:sp>
  </cdr:relSizeAnchor>
</c:userShapes>
</file>

<file path=word/drawings/drawing3.xml><?xml version="1.0" encoding="utf-8"?>
<c:userShapes xmlns:c="http://schemas.openxmlformats.org/drawingml/2006/chart">
  <cdr:relSizeAnchor xmlns:cdr="http://schemas.openxmlformats.org/drawingml/2006/chartDrawing">
    <cdr:from>
      <cdr:x>0.00625</cdr:x>
      <cdr:y>0.29514</cdr:y>
    </cdr:from>
    <cdr:to>
      <cdr:x>0.11667</cdr:x>
      <cdr:y>0.68403</cdr:y>
    </cdr:to>
    <cdr:sp macro="" textlink="">
      <cdr:nvSpPr>
        <cdr:cNvPr id="2" name="TextBox 1"/>
        <cdr:cNvSpPr txBox="1"/>
      </cdr:nvSpPr>
      <cdr:spPr>
        <a:xfrm xmlns:a="http://schemas.openxmlformats.org/drawingml/2006/main">
          <a:off x="28575" y="809625"/>
          <a:ext cx="504825" cy="1066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0.13892</cdr:x>
      <cdr:y>0.6176</cdr:y>
    </cdr:from>
    <cdr:to>
      <cdr:x>0.17222</cdr:x>
      <cdr:y>0.68924</cdr:y>
    </cdr:to>
    <cdr:sp macro="" textlink="">
      <cdr:nvSpPr>
        <cdr:cNvPr id="3" name="Text Box 2"/>
        <cdr:cNvSpPr txBox="1"/>
      </cdr:nvSpPr>
      <cdr:spPr>
        <a:xfrm xmlns:a="http://schemas.openxmlformats.org/drawingml/2006/main">
          <a:off x="825690" y="1705972"/>
          <a:ext cx="197892" cy="1978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c</a:t>
          </a:r>
        </a:p>
      </cdr:txBody>
    </cdr:sp>
  </cdr:relSizeAnchor>
  <cdr:relSizeAnchor xmlns:cdr="http://schemas.openxmlformats.org/drawingml/2006/chartDrawing">
    <cdr:from>
      <cdr:x>0.19518</cdr:x>
      <cdr:y>0.30954</cdr:y>
    </cdr:from>
    <cdr:to>
      <cdr:x>0.21814</cdr:x>
      <cdr:y>0.36068</cdr:y>
    </cdr:to>
    <cdr:sp macro="" textlink="">
      <cdr:nvSpPr>
        <cdr:cNvPr id="4" name="Text Box 3"/>
        <cdr:cNvSpPr txBox="1"/>
      </cdr:nvSpPr>
      <cdr:spPr>
        <a:xfrm xmlns:a="http://schemas.openxmlformats.org/drawingml/2006/main">
          <a:off x="1160060" y="855033"/>
          <a:ext cx="136477" cy="1412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0.1504</cdr:x>
      <cdr:y>0.67689</cdr:y>
    </cdr:from>
    <cdr:to>
      <cdr:x>0.19633</cdr:x>
      <cdr:y>0.751</cdr:y>
    </cdr:to>
    <cdr:sp macro="" textlink="">
      <cdr:nvSpPr>
        <cdr:cNvPr id="5" name="Text Box 4"/>
        <cdr:cNvSpPr txBox="1"/>
      </cdr:nvSpPr>
      <cdr:spPr>
        <a:xfrm xmlns:a="http://schemas.openxmlformats.org/drawingml/2006/main">
          <a:off x="893928" y="1869743"/>
          <a:ext cx="272955" cy="2047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a:t>
          </a:r>
        </a:p>
      </cdr:txBody>
    </cdr:sp>
  </cdr:relSizeAnchor>
  <cdr:relSizeAnchor xmlns:cdr="http://schemas.openxmlformats.org/drawingml/2006/chartDrawing">
    <cdr:from>
      <cdr:x>0.17222</cdr:x>
      <cdr:y>0.33845</cdr:y>
    </cdr:from>
    <cdr:to>
      <cdr:x>0.23077</cdr:x>
      <cdr:y>0.42491</cdr:y>
    </cdr:to>
    <cdr:sp macro="" textlink="">
      <cdr:nvSpPr>
        <cdr:cNvPr id="6" name="Text Box 5"/>
        <cdr:cNvSpPr txBox="1"/>
      </cdr:nvSpPr>
      <cdr:spPr>
        <a:xfrm xmlns:a="http://schemas.openxmlformats.org/drawingml/2006/main">
          <a:off x="1023582" y="934871"/>
          <a:ext cx="348018" cy="2388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bc</a:t>
          </a:r>
        </a:p>
      </cdr:txBody>
    </cdr:sp>
  </cdr:relSizeAnchor>
  <cdr:relSizeAnchor xmlns:cdr="http://schemas.openxmlformats.org/drawingml/2006/chartDrawing">
    <cdr:from>
      <cdr:x>0.20436</cdr:x>
      <cdr:y>0.67391</cdr:y>
    </cdr:from>
    <cdr:to>
      <cdr:x>0.24684</cdr:x>
      <cdr:y>0.75347</cdr:y>
    </cdr:to>
    <cdr:sp macro="" textlink="">
      <cdr:nvSpPr>
        <cdr:cNvPr id="7" name="Text Box 6"/>
        <cdr:cNvSpPr txBox="1"/>
      </cdr:nvSpPr>
      <cdr:spPr>
        <a:xfrm xmlns:a="http://schemas.openxmlformats.org/drawingml/2006/main">
          <a:off x="1214650" y="1861498"/>
          <a:ext cx="252484" cy="2197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0.24225</cdr:x>
      <cdr:y>0.61513</cdr:y>
    </cdr:from>
    <cdr:to>
      <cdr:x>0.30769</cdr:x>
      <cdr:y>0.69418</cdr:y>
    </cdr:to>
    <cdr:sp macro="" textlink="">
      <cdr:nvSpPr>
        <cdr:cNvPr id="8" name="Text Box 7"/>
        <cdr:cNvSpPr txBox="1"/>
      </cdr:nvSpPr>
      <cdr:spPr>
        <a:xfrm xmlns:a="http://schemas.openxmlformats.org/drawingml/2006/main">
          <a:off x="1439839" y="1699146"/>
          <a:ext cx="388961" cy="218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abc</a:t>
          </a:r>
        </a:p>
      </cdr:txBody>
    </cdr:sp>
  </cdr:relSizeAnchor>
  <cdr:relSizeAnchor xmlns:cdr="http://schemas.openxmlformats.org/drawingml/2006/chartDrawing">
    <cdr:from>
      <cdr:x>0.27555</cdr:x>
      <cdr:y>0.6596</cdr:y>
    </cdr:from>
    <cdr:to>
      <cdr:x>0.31917</cdr:x>
      <cdr:y>0.75347</cdr:y>
    </cdr:to>
    <cdr:sp macro="" textlink="">
      <cdr:nvSpPr>
        <cdr:cNvPr id="9" name="Text Box 8"/>
        <cdr:cNvSpPr txBox="1"/>
      </cdr:nvSpPr>
      <cdr:spPr>
        <a:xfrm xmlns:a="http://schemas.openxmlformats.org/drawingml/2006/main">
          <a:off x="1637732" y="1821975"/>
          <a:ext cx="259307" cy="2593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latin typeface="Arial" pitchFamily="34" charset="0"/>
              <a:cs typeface="Arial" pitchFamily="34" charset="0"/>
            </a:rPr>
            <a:t>a</a:t>
          </a:r>
        </a:p>
      </cdr:txBody>
    </cdr:sp>
  </cdr:relSizeAnchor>
  <cdr:relSizeAnchor xmlns:cdr="http://schemas.openxmlformats.org/drawingml/2006/chartDrawing">
    <cdr:from>
      <cdr:x>0.29277</cdr:x>
      <cdr:y>0.2668</cdr:y>
    </cdr:from>
    <cdr:to>
      <cdr:x>0.35017</cdr:x>
      <cdr:y>0.37056</cdr:y>
    </cdr:to>
    <cdr:sp macro="" textlink="">
      <cdr:nvSpPr>
        <cdr:cNvPr id="10" name="Text Box 9"/>
        <cdr:cNvSpPr txBox="1"/>
      </cdr:nvSpPr>
      <cdr:spPr>
        <a:xfrm xmlns:a="http://schemas.openxmlformats.org/drawingml/2006/main">
          <a:off x="1740091" y="736979"/>
          <a:ext cx="341194" cy="286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0.32721</cdr:x>
      <cdr:y>0.67195</cdr:y>
    </cdr:from>
    <cdr:to>
      <cdr:x>0.3628</cdr:x>
      <cdr:y>0.75347</cdr:y>
    </cdr:to>
    <cdr:sp macro="" textlink="">
      <cdr:nvSpPr>
        <cdr:cNvPr id="11" name="Text Box 10"/>
        <cdr:cNvSpPr txBox="1"/>
      </cdr:nvSpPr>
      <cdr:spPr>
        <a:xfrm xmlns:a="http://schemas.openxmlformats.org/drawingml/2006/main">
          <a:off x="1944807" y="1856095"/>
          <a:ext cx="211540" cy="225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Arial" pitchFamily="34" charset="0"/>
              <a:cs typeface="Arial" pitchFamily="34" charset="0"/>
            </a:rPr>
            <a:t>b</a:t>
          </a:r>
        </a:p>
      </cdr:txBody>
    </cdr:sp>
  </cdr:relSizeAnchor>
  <cdr:relSizeAnchor xmlns:cdr="http://schemas.openxmlformats.org/drawingml/2006/chartDrawing">
    <cdr:from>
      <cdr:x>0.37773</cdr:x>
      <cdr:y>0.59784</cdr:y>
    </cdr:from>
    <cdr:to>
      <cdr:x>0.41447</cdr:x>
      <cdr:y>0.69665</cdr:y>
    </cdr:to>
    <cdr:sp macro="" textlink="">
      <cdr:nvSpPr>
        <cdr:cNvPr id="12" name="Text Box 11"/>
        <cdr:cNvSpPr txBox="1"/>
      </cdr:nvSpPr>
      <cdr:spPr>
        <a:xfrm xmlns:a="http://schemas.openxmlformats.org/drawingml/2006/main">
          <a:off x="2245057" y="1651380"/>
          <a:ext cx="218364" cy="2729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0.39954</cdr:x>
      <cdr:y>0.66207</cdr:y>
    </cdr:from>
    <cdr:to>
      <cdr:x>0.43743</cdr:x>
      <cdr:y>0.73865</cdr:y>
    </cdr:to>
    <cdr:sp macro="" textlink="">
      <cdr:nvSpPr>
        <cdr:cNvPr id="13" name="Text Box 12"/>
        <cdr:cNvSpPr txBox="1"/>
      </cdr:nvSpPr>
      <cdr:spPr>
        <a:xfrm xmlns:a="http://schemas.openxmlformats.org/drawingml/2006/main">
          <a:off x="2374711" y="1828800"/>
          <a:ext cx="225188" cy="2115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0.42021</cdr:x>
      <cdr:y>0.23716</cdr:y>
    </cdr:from>
    <cdr:to>
      <cdr:x>0.46039</cdr:x>
      <cdr:y>0.32115</cdr:y>
    </cdr:to>
    <cdr:sp macro="" textlink="">
      <cdr:nvSpPr>
        <cdr:cNvPr id="14" name="Text Box 13"/>
        <cdr:cNvSpPr txBox="1"/>
      </cdr:nvSpPr>
      <cdr:spPr>
        <a:xfrm xmlns:a="http://schemas.openxmlformats.org/drawingml/2006/main">
          <a:off x="2497540" y="655093"/>
          <a:ext cx="238835"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0.47302</cdr:x>
      <cdr:y>0.66897</cdr:y>
    </cdr:from>
    <cdr:to>
      <cdr:x>0.62687</cdr:x>
      <cdr:y>1</cdr:y>
    </cdr:to>
    <cdr:sp macro="" textlink="">
      <cdr:nvSpPr>
        <cdr:cNvPr id="15" name="Text Box 14"/>
        <cdr:cNvSpPr txBox="1"/>
      </cdr:nvSpPr>
      <cdr:spPr>
        <a:xfrm xmlns:a="http://schemas.openxmlformats.org/drawingml/2006/main">
          <a:off x="2811439" y="196527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0.44547</cdr:x>
      <cdr:y>0.66948</cdr:y>
    </cdr:from>
    <cdr:to>
      <cdr:x>0.48335</cdr:x>
      <cdr:y>0.751</cdr:y>
    </cdr:to>
    <cdr:sp macro="" textlink="">
      <cdr:nvSpPr>
        <cdr:cNvPr id="16" name="Text Box 15"/>
        <cdr:cNvSpPr txBox="1"/>
      </cdr:nvSpPr>
      <cdr:spPr>
        <a:xfrm xmlns:a="http://schemas.openxmlformats.org/drawingml/2006/main">
          <a:off x="2647666" y="1849271"/>
          <a:ext cx="225188"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0.48794</cdr:x>
      <cdr:y>0.6176</cdr:y>
    </cdr:from>
    <cdr:to>
      <cdr:x>0.52928</cdr:x>
      <cdr:y>0.71395</cdr:y>
    </cdr:to>
    <cdr:sp macro="" textlink="">
      <cdr:nvSpPr>
        <cdr:cNvPr id="17" name="Text Box 16"/>
        <cdr:cNvSpPr txBox="1"/>
      </cdr:nvSpPr>
      <cdr:spPr>
        <a:xfrm xmlns:a="http://schemas.openxmlformats.org/drawingml/2006/main">
          <a:off x="2900149" y="1705970"/>
          <a:ext cx="245659" cy="2661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bc</a:t>
          </a:r>
        </a:p>
      </cdr:txBody>
    </cdr:sp>
  </cdr:relSizeAnchor>
  <cdr:relSizeAnchor xmlns:cdr="http://schemas.openxmlformats.org/drawingml/2006/chartDrawing">
    <cdr:from>
      <cdr:x>0.51435</cdr:x>
      <cdr:y>0.66897</cdr:y>
    </cdr:from>
    <cdr:to>
      <cdr:x>0.55568</cdr:x>
      <cdr:y>0.75841</cdr:y>
    </cdr:to>
    <cdr:sp macro="" textlink="">
      <cdr:nvSpPr>
        <cdr:cNvPr id="18" name="Text Box 17"/>
        <cdr:cNvSpPr txBox="1"/>
      </cdr:nvSpPr>
      <cdr:spPr>
        <a:xfrm xmlns:a="http://schemas.openxmlformats.org/drawingml/2006/main">
          <a:off x="3057099" y="1847850"/>
          <a:ext cx="245660" cy="2470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a:t>
          </a:r>
        </a:p>
      </cdr:txBody>
    </cdr:sp>
  </cdr:relSizeAnchor>
  <cdr:relSizeAnchor xmlns:cdr="http://schemas.openxmlformats.org/drawingml/2006/chartDrawing">
    <cdr:from>
      <cdr:x>0.53272</cdr:x>
      <cdr:y>0.3088</cdr:y>
    </cdr:from>
    <cdr:to>
      <cdr:x>0.59931</cdr:x>
      <cdr:y>0.39032</cdr:y>
    </cdr:to>
    <cdr:sp macro="" textlink="">
      <cdr:nvSpPr>
        <cdr:cNvPr id="19" name="Text Box 18"/>
        <cdr:cNvSpPr txBox="1"/>
      </cdr:nvSpPr>
      <cdr:spPr>
        <a:xfrm xmlns:a="http://schemas.openxmlformats.org/drawingml/2006/main">
          <a:off x="3166280" y="852986"/>
          <a:ext cx="395785"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abc</a:t>
          </a:r>
        </a:p>
      </cdr:txBody>
    </cdr:sp>
  </cdr:relSizeAnchor>
  <cdr:relSizeAnchor xmlns:cdr="http://schemas.openxmlformats.org/drawingml/2006/chartDrawing">
    <cdr:from>
      <cdr:x>0.56028</cdr:x>
      <cdr:y>0.67144</cdr:y>
    </cdr:from>
    <cdr:to>
      <cdr:x>0.60276</cdr:x>
      <cdr:y>0.76583</cdr:y>
    </cdr:to>
    <cdr:sp macro="" textlink="">
      <cdr:nvSpPr>
        <cdr:cNvPr id="20" name="Text Box 19"/>
        <cdr:cNvSpPr txBox="1"/>
      </cdr:nvSpPr>
      <cdr:spPr>
        <a:xfrm xmlns:a="http://schemas.openxmlformats.org/drawingml/2006/main">
          <a:off x="3330054" y="1854674"/>
          <a:ext cx="252484" cy="2607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a:t>
          </a:r>
        </a:p>
      </cdr:txBody>
    </cdr:sp>
  </cdr:relSizeAnchor>
  <cdr:relSizeAnchor xmlns:cdr="http://schemas.openxmlformats.org/drawingml/2006/chartDrawing">
    <cdr:from>
      <cdr:x>0.60046</cdr:x>
      <cdr:y>0.61513</cdr:y>
    </cdr:from>
    <cdr:to>
      <cdr:x>0.64868</cdr:x>
      <cdr:y>0.71395</cdr:y>
    </cdr:to>
    <cdr:sp macro="" textlink="">
      <cdr:nvSpPr>
        <cdr:cNvPr id="21" name="Text Box 20"/>
        <cdr:cNvSpPr txBox="1"/>
      </cdr:nvSpPr>
      <cdr:spPr>
        <a:xfrm xmlns:a="http://schemas.openxmlformats.org/drawingml/2006/main">
          <a:off x="3568890" y="1699146"/>
          <a:ext cx="286603" cy="2729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abc</a:t>
          </a:r>
        </a:p>
      </cdr:txBody>
    </cdr:sp>
  </cdr:relSizeAnchor>
  <cdr:relSizeAnchor xmlns:cdr="http://schemas.openxmlformats.org/drawingml/2006/chartDrawing">
    <cdr:from>
      <cdr:x>0.64064</cdr:x>
      <cdr:y>0.66402</cdr:y>
    </cdr:from>
    <cdr:to>
      <cdr:x>0.67623</cdr:x>
      <cdr:y>0.73618</cdr:y>
    </cdr:to>
    <cdr:sp macro="" textlink="">
      <cdr:nvSpPr>
        <cdr:cNvPr id="22" name="Text Box 21"/>
        <cdr:cNvSpPr txBox="1"/>
      </cdr:nvSpPr>
      <cdr:spPr>
        <a:xfrm xmlns:a="http://schemas.openxmlformats.org/drawingml/2006/main">
          <a:off x="3807725" y="1834203"/>
          <a:ext cx="211540" cy="19931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0.64983</cdr:x>
      <cdr:y>0.27422</cdr:y>
    </cdr:from>
    <cdr:to>
      <cdr:x>0.72101</cdr:x>
      <cdr:y>0.35574</cdr:y>
    </cdr:to>
    <cdr:sp macro="" textlink="">
      <cdr:nvSpPr>
        <cdr:cNvPr id="23" name="Text Box 22"/>
        <cdr:cNvSpPr txBox="1"/>
      </cdr:nvSpPr>
      <cdr:spPr>
        <a:xfrm xmlns:a="http://schemas.openxmlformats.org/drawingml/2006/main">
          <a:off x="3862318" y="757451"/>
          <a:ext cx="423080"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abc</a:t>
          </a:r>
        </a:p>
      </cdr:txBody>
    </cdr:sp>
  </cdr:relSizeAnchor>
  <cdr:relSizeAnchor xmlns:cdr="http://schemas.openxmlformats.org/drawingml/2006/chartDrawing">
    <cdr:from>
      <cdr:x>0.68772</cdr:x>
      <cdr:y>0.67195</cdr:y>
    </cdr:from>
    <cdr:to>
      <cdr:x>0.72905</cdr:x>
      <cdr:y>0.76089</cdr:y>
    </cdr:to>
    <cdr:sp macro="" textlink="">
      <cdr:nvSpPr>
        <cdr:cNvPr id="24" name="Text Box 23"/>
        <cdr:cNvSpPr txBox="1"/>
      </cdr:nvSpPr>
      <cdr:spPr>
        <a:xfrm xmlns:a="http://schemas.openxmlformats.org/drawingml/2006/main">
          <a:off x="4087504" y="1856095"/>
          <a:ext cx="245660" cy="2456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0.73134</cdr:x>
      <cdr:y>0.61019</cdr:y>
    </cdr:from>
    <cdr:to>
      <cdr:x>0.77497</cdr:x>
      <cdr:y>0.69665</cdr:y>
    </cdr:to>
    <cdr:sp macro="" textlink="">
      <cdr:nvSpPr>
        <cdr:cNvPr id="25" name="Text Box 24"/>
        <cdr:cNvSpPr txBox="1"/>
      </cdr:nvSpPr>
      <cdr:spPr>
        <a:xfrm xmlns:a="http://schemas.openxmlformats.org/drawingml/2006/main">
          <a:off x="4346812" y="1685499"/>
          <a:ext cx="259307" cy="2388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Arial" pitchFamily="34" charset="0"/>
              <a:cs typeface="Arial" pitchFamily="34" charset="0"/>
            </a:rPr>
            <a:t>ab</a:t>
          </a:r>
        </a:p>
      </cdr:txBody>
    </cdr:sp>
  </cdr:relSizeAnchor>
  <cdr:relSizeAnchor xmlns:cdr="http://schemas.openxmlformats.org/drawingml/2006/chartDrawing">
    <cdr:from>
      <cdr:x>0.76234</cdr:x>
      <cdr:y>0.66207</cdr:y>
    </cdr:from>
    <cdr:to>
      <cdr:x>0.79793</cdr:x>
      <cdr:y>0.74112</cdr:y>
    </cdr:to>
    <cdr:sp macro="" textlink="">
      <cdr:nvSpPr>
        <cdr:cNvPr id="26" name="Text Box 25"/>
        <cdr:cNvSpPr txBox="1"/>
      </cdr:nvSpPr>
      <cdr:spPr>
        <a:xfrm xmlns:a="http://schemas.openxmlformats.org/drawingml/2006/main">
          <a:off x="4531057" y="1828800"/>
          <a:ext cx="211540" cy="218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0.78301</cdr:x>
      <cdr:y>0.2421</cdr:y>
    </cdr:from>
    <cdr:to>
      <cdr:x>0.82778</cdr:x>
      <cdr:y>0.31621</cdr:y>
    </cdr:to>
    <cdr:sp macro="" textlink="">
      <cdr:nvSpPr>
        <cdr:cNvPr id="27" name="Text Box 26"/>
        <cdr:cNvSpPr txBox="1"/>
      </cdr:nvSpPr>
      <cdr:spPr>
        <a:xfrm xmlns:a="http://schemas.openxmlformats.org/drawingml/2006/main">
          <a:off x="4653887" y="668740"/>
          <a:ext cx="266131" cy="2047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dr:relSizeAnchor xmlns:cdr="http://schemas.openxmlformats.org/drawingml/2006/chartDrawing">
    <cdr:from>
      <cdr:x>0.80597</cdr:x>
      <cdr:y>0.67638</cdr:y>
    </cdr:from>
    <cdr:to>
      <cdr:x>0.84501</cdr:x>
      <cdr:y>0.751</cdr:y>
    </cdr:to>
    <cdr:sp macro="" textlink="">
      <cdr:nvSpPr>
        <cdr:cNvPr id="28" name="Text Box 27"/>
        <cdr:cNvSpPr txBox="1"/>
      </cdr:nvSpPr>
      <cdr:spPr>
        <a:xfrm xmlns:a="http://schemas.openxmlformats.org/drawingml/2006/main">
          <a:off x="4790364" y="1868322"/>
          <a:ext cx="232012" cy="20613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0.86108</cdr:x>
      <cdr:y>0.62007</cdr:y>
    </cdr:from>
    <cdr:to>
      <cdr:x>0.90126</cdr:x>
      <cdr:y>0.69418</cdr:y>
    </cdr:to>
    <cdr:sp macro="" textlink="">
      <cdr:nvSpPr>
        <cdr:cNvPr id="29" name="Text Box 28"/>
        <cdr:cNvSpPr txBox="1"/>
      </cdr:nvSpPr>
      <cdr:spPr>
        <a:xfrm xmlns:a="http://schemas.openxmlformats.org/drawingml/2006/main">
          <a:off x="5117910" y="1712795"/>
          <a:ext cx="238836" cy="2047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0.88519</cdr:x>
      <cdr:y>0.67689</cdr:y>
    </cdr:from>
    <cdr:to>
      <cdr:x>0.92537</cdr:x>
      <cdr:y>0.75842</cdr:y>
    </cdr:to>
    <cdr:sp macro="" textlink="">
      <cdr:nvSpPr>
        <cdr:cNvPr id="30" name="Text Box 29"/>
        <cdr:cNvSpPr txBox="1"/>
      </cdr:nvSpPr>
      <cdr:spPr>
        <a:xfrm xmlns:a="http://schemas.openxmlformats.org/drawingml/2006/main">
          <a:off x="5261212" y="1869744"/>
          <a:ext cx="238836"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b</a:t>
          </a:r>
        </a:p>
      </cdr:txBody>
    </cdr:sp>
  </cdr:relSizeAnchor>
  <cdr:relSizeAnchor xmlns:cdr="http://schemas.openxmlformats.org/drawingml/2006/chartDrawing">
    <cdr:from>
      <cdr:x>0.90586</cdr:x>
      <cdr:y>0.35574</cdr:y>
    </cdr:from>
    <cdr:to>
      <cdr:x>0.94948</cdr:x>
      <cdr:y>0.43973</cdr:y>
    </cdr:to>
    <cdr:sp macro="" textlink="">
      <cdr:nvSpPr>
        <cdr:cNvPr id="31" name="Text Box 30"/>
        <cdr:cNvSpPr txBox="1"/>
      </cdr:nvSpPr>
      <cdr:spPr>
        <a:xfrm xmlns:a="http://schemas.openxmlformats.org/drawingml/2006/main">
          <a:off x="5384041" y="982639"/>
          <a:ext cx="259307" cy="232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c</a:t>
          </a:r>
        </a:p>
      </cdr:txBody>
    </cdr:sp>
  </cdr:relSizeAnchor>
  <cdr:relSizeAnchor xmlns:cdr="http://schemas.openxmlformats.org/drawingml/2006/chartDrawing">
    <cdr:from>
      <cdr:x>0.92882</cdr:x>
      <cdr:y>0.66701</cdr:y>
    </cdr:from>
    <cdr:to>
      <cdr:x>0.96671</cdr:x>
      <cdr:y>0.74853</cdr:y>
    </cdr:to>
    <cdr:sp macro="" textlink="">
      <cdr:nvSpPr>
        <cdr:cNvPr id="32" name="Text Box 31"/>
        <cdr:cNvSpPr txBox="1"/>
      </cdr:nvSpPr>
      <cdr:spPr>
        <a:xfrm xmlns:a="http://schemas.openxmlformats.org/drawingml/2006/main">
          <a:off x="5520520" y="1842448"/>
          <a:ext cx="225188" cy="225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Arial" pitchFamily="34" charset="0"/>
              <a:cs typeface="Arial" pitchFamily="34"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C007D2-6EF9-4DEB-838B-412EB1C1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9743</Words>
  <Characters>55541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E5440</dc:creator>
  <cp:lastModifiedBy>SDI 1183</cp:lastModifiedBy>
  <cp:revision>9</cp:revision>
  <dcterms:created xsi:type="dcterms:W3CDTF">2025-09-24T12:45:00Z</dcterms:created>
  <dcterms:modified xsi:type="dcterms:W3CDTF">2025-10-10T11:07:00Z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64caac13-04b9-3f0f-810d-4ea6becc2307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