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7EA18" w14:textId="77777777" w:rsidR="006B63EA" w:rsidRPr="009D57D0" w:rsidRDefault="006B63EA" w:rsidP="00BB5A23">
      <w:pPr>
        <w:pStyle w:val="BodyText"/>
        <w:spacing w:before="87"/>
        <w:ind w:left="0"/>
        <w:jc w:val="right"/>
        <w:rPr>
          <w:b/>
          <w:sz w:val="28"/>
          <w:szCs w:val="28"/>
        </w:rPr>
      </w:pPr>
      <w:bookmarkStart w:id="0" w:name="_GoBack"/>
      <w:r>
        <w:rPr>
          <w:b/>
          <w:bCs/>
          <w:sz w:val="28"/>
          <w:szCs w:val="28"/>
        </w:rPr>
        <w:t>Testosterone and PSA Dynamics in Benign Prostatic Hyperplasia and Prostate Cancer: Evidence from P</w:t>
      </w:r>
      <w:r w:rsidRPr="009D57D0">
        <w:rPr>
          <w:b/>
          <w:bCs/>
          <w:sz w:val="28"/>
          <w:szCs w:val="28"/>
        </w:rPr>
        <w:t>atient</w:t>
      </w:r>
      <w:r>
        <w:rPr>
          <w:b/>
          <w:bCs/>
          <w:sz w:val="28"/>
          <w:szCs w:val="28"/>
        </w:rPr>
        <w:t>s at La</w:t>
      </w:r>
      <w:r w:rsidRPr="009D57D0">
        <w:rPr>
          <w:b/>
          <w:bCs/>
          <w:sz w:val="28"/>
          <w:szCs w:val="28"/>
        </w:rPr>
        <w:t>gos University Teaching Hospital, Nigeria</w:t>
      </w:r>
      <w:bookmarkEnd w:id="0"/>
      <w:r>
        <w:rPr>
          <w:b/>
          <w:bCs/>
          <w:sz w:val="28"/>
          <w:szCs w:val="28"/>
        </w:rPr>
        <w:t>.</w:t>
      </w:r>
    </w:p>
    <w:p w14:paraId="0A70188A" w14:textId="77777777" w:rsidR="007228F7" w:rsidRDefault="007228F7" w:rsidP="007228F7">
      <w:pPr>
        <w:pStyle w:val="BodyText"/>
        <w:spacing w:before="87"/>
        <w:ind w:left="0"/>
        <w:jc w:val="left"/>
        <w:rPr>
          <w:b/>
        </w:rPr>
      </w:pPr>
    </w:p>
    <w:p w14:paraId="096A297F" w14:textId="77777777" w:rsidR="007228F7" w:rsidRDefault="007228F7" w:rsidP="006B63EA">
      <w:pPr>
        <w:ind w:left="732"/>
        <w:rPr>
          <w:b/>
          <w:spacing w:val="-2"/>
          <w:sz w:val="24"/>
        </w:rPr>
      </w:pPr>
    </w:p>
    <w:p w14:paraId="48C6ABED" w14:textId="77777777" w:rsidR="006B63EA" w:rsidRPr="00D73E3F" w:rsidRDefault="006B63EA" w:rsidP="006B63EA">
      <w:pPr>
        <w:jc w:val="both"/>
        <w:rPr>
          <w:b/>
          <w:sz w:val="24"/>
          <w:szCs w:val="24"/>
        </w:rPr>
      </w:pPr>
      <w:r w:rsidRPr="00D73E3F">
        <w:rPr>
          <w:b/>
          <w:sz w:val="24"/>
          <w:szCs w:val="24"/>
        </w:rPr>
        <w:t>Abstract</w:t>
      </w:r>
    </w:p>
    <w:p w14:paraId="08BE852F" w14:textId="77777777" w:rsidR="006B63EA" w:rsidRPr="00667624" w:rsidRDefault="006B63EA" w:rsidP="006B63EA">
      <w:pPr>
        <w:pStyle w:val="NormalWeb"/>
        <w:spacing w:after="240" w:afterAutospacing="0"/>
        <w:jc w:val="both"/>
        <w:rPr>
          <w:color w:val="1B1C1D"/>
        </w:rPr>
      </w:pPr>
      <w:r w:rsidRPr="00667624">
        <w:rPr>
          <w:color w:val="1B1C1D"/>
          <w:bdr w:val="none" w:sz="0" w:space="0" w:color="auto" w:frame="1"/>
        </w:rPr>
        <w:t xml:space="preserve">Introduction: </w:t>
      </w:r>
      <w:r w:rsidRPr="00667624">
        <w:rPr>
          <w:color w:val="1B1C1D"/>
        </w:rPr>
        <w:t>Prostatic diseases, including prostate cancer (CAP) and benign prostatic hyperplasia (BPH), are prevalent pathologies in ageing men. While prostate-specific antigen (PSA) is a well-established diagnostic marker, the role of serum testosterone in distinguishing between these conditions remains a subject of debate. This study examines the dynamics of serum testosterone and PSA levels to determine their clinical utility in distinguishing between CAP, BPH, and healthy control subjects within a Nigerian population.</w:t>
      </w:r>
    </w:p>
    <w:p w14:paraId="100806A3" w14:textId="77777777" w:rsidR="006B63EA" w:rsidRPr="00667624" w:rsidRDefault="006B63EA" w:rsidP="006B63EA">
      <w:pPr>
        <w:pStyle w:val="NormalWeb"/>
        <w:spacing w:after="0" w:afterAutospacing="0"/>
        <w:jc w:val="both"/>
        <w:rPr>
          <w:color w:val="1B1C1D"/>
        </w:rPr>
      </w:pPr>
      <w:r w:rsidRPr="00D73E3F">
        <w:rPr>
          <w:b/>
          <w:color w:val="1B1C1D"/>
        </w:rPr>
        <w:t>Aim:</w:t>
      </w:r>
      <w:r w:rsidRPr="00667624">
        <w:rPr>
          <w:color w:val="1B1C1D"/>
        </w:rPr>
        <w:t xml:space="preserve"> The primary objective of this study was to compare the mean serum PSA and testosterone levels among patients with prostate cancer, benign prostatic hyperplasia, and a healthy control group to assess their discriminatory power. </w:t>
      </w:r>
    </w:p>
    <w:p w14:paraId="1EF35549" w14:textId="0358E37F" w:rsidR="006B63EA" w:rsidRPr="00D73E3F" w:rsidRDefault="006B63EA" w:rsidP="006B63EA">
      <w:pPr>
        <w:pStyle w:val="NormalWeb"/>
        <w:spacing w:after="0" w:afterAutospacing="0"/>
        <w:jc w:val="both"/>
        <w:rPr>
          <w:color w:val="1B1C1D"/>
        </w:rPr>
      </w:pPr>
      <w:r w:rsidRPr="00D73E3F">
        <w:rPr>
          <w:b/>
          <w:color w:val="1B1C1D"/>
          <w:bdr w:val="none" w:sz="0" w:space="0" w:color="auto" w:frame="1"/>
        </w:rPr>
        <w:t xml:space="preserve">Methods: </w:t>
      </w:r>
      <w:r w:rsidRPr="00196B52">
        <w:rPr>
          <w:color w:val="1B1C1D"/>
          <w:highlight w:val="yellow"/>
        </w:rPr>
        <w:t xml:space="preserve">This </w:t>
      </w:r>
      <w:r w:rsidRPr="00196B52">
        <w:rPr>
          <w:highlight w:val="yellow"/>
        </w:rPr>
        <w:t>cross-sectional</w:t>
      </w:r>
      <w:r w:rsidRPr="00196B52">
        <w:rPr>
          <w:spacing w:val="-15"/>
          <w:highlight w:val="yellow"/>
        </w:rPr>
        <w:t xml:space="preserve"> </w:t>
      </w:r>
      <w:r w:rsidRPr="00196B52">
        <w:rPr>
          <w:highlight w:val="yellow"/>
        </w:rPr>
        <w:t>hospital-based</w:t>
      </w:r>
      <w:r w:rsidRPr="00196B52">
        <w:rPr>
          <w:spacing w:val="-7"/>
          <w:highlight w:val="yellow"/>
        </w:rPr>
        <w:t xml:space="preserve"> </w:t>
      </w:r>
      <w:r w:rsidRPr="00196B52">
        <w:rPr>
          <w:highlight w:val="yellow"/>
        </w:rPr>
        <w:t>study</w:t>
      </w:r>
      <w:r w:rsidRPr="00196B52">
        <w:rPr>
          <w:spacing w:val="-5"/>
          <w:highlight w:val="yellow"/>
        </w:rPr>
        <w:t xml:space="preserve"> </w:t>
      </w:r>
      <w:r w:rsidRPr="00196B52">
        <w:rPr>
          <w:highlight w:val="yellow"/>
        </w:rPr>
        <w:t>was</w:t>
      </w:r>
      <w:r w:rsidRPr="00196B52">
        <w:rPr>
          <w:spacing w:val="-8"/>
          <w:highlight w:val="yellow"/>
        </w:rPr>
        <w:t xml:space="preserve"> </w:t>
      </w:r>
      <w:r w:rsidRPr="00196B52">
        <w:rPr>
          <w:highlight w:val="yellow"/>
        </w:rPr>
        <w:t>conducted</w:t>
      </w:r>
      <w:r w:rsidRPr="00196B52">
        <w:rPr>
          <w:spacing w:val="-8"/>
          <w:highlight w:val="yellow"/>
        </w:rPr>
        <w:t xml:space="preserve"> </w:t>
      </w:r>
      <w:r w:rsidRPr="00196B52">
        <w:rPr>
          <w:highlight w:val="yellow"/>
        </w:rPr>
        <w:t>at</w:t>
      </w:r>
      <w:r w:rsidRPr="00196B52">
        <w:rPr>
          <w:spacing w:val="-5"/>
          <w:highlight w:val="yellow"/>
        </w:rPr>
        <w:t xml:space="preserve"> </w:t>
      </w:r>
      <w:r w:rsidRPr="00196B52">
        <w:rPr>
          <w:highlight w:val="yellow"/>
        </w:rPr>
        <w:t>Lagos</w:t>
      </w:r>
      <w:r w:rsidRPr="00196B52">
        <w:rPr>
          <w:spacing w:val="-6"/>
          <w:highlight w:val="yellow"/>
        </w:rPr>
        <w:t xml:space="preserve"> </w:t>
      </w:r>
      <w:r w:rsidRPr="00196B52">
        <w:rPr>
          <w:highlight w:val="yellow"/>
        </w:rPr>
        <w:t>University</w:t>
      </w:r>
      <w:r w:rsidRPr="00196B52">
        <w:rPr>
          <w:spacing w:val="-11"/>
          <w:highlight w:val="yellow"/>
        </w:rPr>
        <w:t xml:space="preserve"> </w:t>
      </w:r>
      <w:r w:rsidRPr="00196B52">
        <w:rPr>
          <w:highlight w:val="yellow"/>
        </w:rPr>
        <w:t xml:space="preserve">Teaching Hospital (LUTH), Idi-Araba, Lagos, Nigeria and </w:t>
      </w:r>
      <w:r w:rsidRPr="00196B52">
        <w:rPr>
          <w:color w:val="1B1C1D"/>
          <w:highlight w:val="yellow"/>
        </w:rPr>
        <w:t>included 70 patients with CAP, 68 patients with BPH, and 69 healthy control subjects</w:t>
      </w:r>
      <w:r w:rsidRPr="00D73E3F">
        <w:rPr>
          <w:color w:val="1B1C1D"/>
        </w:rPr>
        <w:t>. Serum levels of total PSA and total testosterone were measured fo</w:t>
      </w:r>
      <w:r w:rsidR="00196B52">
        <w:rPr>
          <w:color w:val="1B1C1D"/>
        </w:rPr>
        <w:t>r each participant. Independent-</w:t>
      </w:r>
      <w:r w:rsidRPr="00D73E3F">
        <w:rPr>
          <w:color w:val="1B1C1D"/>
        </w:rPr>
        <w:t xml:space="preserve">samples </w:t>
      </w:r>
      <w:r w:rsidRPr="00D73E3F">
        <w:rPr>
          <w:rStyle w:val="mord"/>
          <w:color w:val="1B1C1D"/>
          <w:bdr w:val="none" w:sz="0" w:space="0" w:color="auto" w:frame="1"/>
        </w:rPr>
        <w:t>t</w:t>
      </w:r>
      <w:r w:rsidRPr="00D73E3F">
        <w:rPr>
          <w:color w:val="1B1C1D"/>
        </w:rPr>
        <w:t xml:space="preserve">-tests were used to perform pairwise comparisons of the mean PSA and testosterone levels between the three groups. A </w:t>
      </w:r>
      <w:r w:rsidRPr="00D73E3F">
        <w:rPr>
          <w:rStyle w:val="mord"/>
          <w:color w:val="1B1C1D"/>
          <w:bdr w:val="none" w:sz="0" w:space="0" w:color="auto" w:frame="1"/>
        </w:rPr>
        <w:t>p</w:t>
      </w:r>
      <w:r w:rsidRPr="00D73E3F">
        <w:rPr>
          <w:color w:val="1B1C1D"/>
        </w:rPr>
        <w:t xml:space="preserve">-value of </w:t>
      </w:r>
      <w:r w:rsidRPr="00D73E3F">
        <w:rPr>
          <w:rStyle w:val="mrel"/>
          <w:rFonts w:eastAsiaTheme="majorEastAsia"/>
          <w:color w:val="1B1C1D"/>
          <w:bdr w:val="none" w:sz="0" w:space="0" w:color="auto" w:frame="1"/>
        </w:rPr>
        <w:t>&lt;</w:t>
      </w:r>
      <w:r w:rsidRPr="00D73E3F">
        <w:rPr>
          <w:rStyle w:val="mord"/>
          <w:color w:val="1B1C1D"/>
          <w:bdr w:val="none" w:sz="0" w:space="0" w:color="auto" w:frame="1"/>
        </w:rPr>
        <w:t>0.05</w:t>
      </w:r>
      <w:r w:rsidRPr="00D73E3F">
        <w:rPr>
          <w:color w:val="1B1C1D"/>
        </w:rPr>
        <w:t xml:space="preserve"> was considered statistically significant. </w:t>
      </w:r>
    </w:p>
    <w:p w14:paraId="781BA297" w14:textId="77777777" w:rsidR="006B63EA" w:rsidRDefault="006B63EA" w:rsidP="006B63EA">
      <w:pPr>
        <w:pStyle w:val="Heading4"/>
        <w:jc w:val="both"/>
        <w:rPr>
          <w:rFonts w:ascii="Times New Roman" w:hAnsi="Times New Roman" w:cs="Times New Roman"/>
          <w:i w:val="0"/>
          <w:color w:val="1B1C1D"/>
          <w:sz w:val="24"/>
          <w:szCs w:val="24"/>
          <w:bdr w:val="none" w:sz="0" w:space="0" w:color="auto" w:frame="1"/>
        </w:rPr>
      </w:pPr>
    </w:p>
    <w:p w14:paraId="57396939" w14:textId="77777777" w:rsidR="006B63EA" w:rsidRPr="00D73E3F" w:rsidRDefault="006B63EA" w:rsidP="006B63EA">
      <w:pPr>
        <w:pStyle w:val="Heading4"/>
        <w:jc w:val="both"/>
        <w:rPr>
          <w:rFonts w:ascii="Times New Roman" w:hAnsi="Times New Roman" w:cs="Times New Roman"/>
          <w:i w:val="0"/>
          <w:color w:val="1B1C1D"/>
          <w:sz w:val="24"/>
          <w:szCs w:val="24"/>
        </w:rPr>
      </w:pPr>
      <w:r w:rsidRPr="00D73E3F">
        <w:rPr>
          <w:rFonts w:ascii="Times New Roman" w:hAnsi="Times New Roman" w:cs="Times New Roman"/>
          <w:b/>
          <w:i w:val="0"/>
          <w:color w:val="1B1C1D"/>
          <w:sz w:val="24"/>
          <w:szCs w:val="24"/>
          <w:bdr w:val="none" w:sz="0" w:space="0" w:color="auto" w:frame="1"/>
        </w:rPr>
        <w:t xml:space="preserve">Results: </w:t>
      </w:r>
      <w:r w:rsidRPr="00D73E3F">
        <w:rPr>
          <w:rFonts w:ascii="Times New Roman" w:hAnsi="Times New Roman" w:cs="Times New Roman"/>
          <w:i w:val="0"/>
          <w:color w:val="1B1C1D"/>
          <w:sz w:val="24"/>
          <w:szCs w:val="24"/>
        </w:rPr>
        <w:t xml:space="preserve">A statistically significant difference in mean PSA levels was observed across all pairwise comparisons: </w:t>
      </w:r>
      <w:r w:rsidRPr="00D73E3F">
        <w:rPr>
          <w:rFonts w:ascii="Times New Roman" w:hAnsi="Times New Roman" w:cs="Times New Roman"/>
          <w:i w:val="0"/>
          <w:color w:val="1B1C1D"/>
        </w:rPr>
        <w:t xml:space="preserve">The </w:t>
      </w:r>
      <w:r w:rsidRPr="00D73E3F">
        <w:rPr>
          <w:rStyle w:val="mord"/>
          <w:rFonts w:ascii="Times New Roman" w:hAnsi="Times New Roman" w:cs="Times New Roman"/>
          <w:i w:val="0"/>
          <w:color w:val="1B1C1D"/>
          <w:sz w:val="24"/>
          <w:szCs w:val="24"/>
          <w:bdr w:val="none" w:sz="0" w:space="0" w:color="auto" w:frame="1"/>
        </w:rPr>
        <w:t>Control</w:t>
      </w:r>
      <w:r w:rsidRPr="00D73E3F">
        <w:rPr>
          <w:rStyle w:val="mopen"/>
          <w:rFonts w:ascii="Times New Roman" w:hAnsi="Times New Roman" w:cs="Times New Roman"/>
          <w:i w:val="0"/>
          <w:color w:val="1B1C1D"/>
          <w:bdr w:val="none" w:sz="0" w:space="0" w:color="auto" w:frame="1"/>
        </w:rPr>
        <w:t xml:space="preserve"> </w:t>
      </w:r>
      <w:r w:rsidRPr="00D73E3F">
        <w:rPr>
          <w:rStyle w:val="mord"/>
          <w:rFonts w:ascii="Times New Roman" w:hAnsi="Times New Roman" w:cs="Times New Roman"/>
          <w:i w:val="0"/>
          <w:color w:val="1B1C1D"/>
          <w:sz w:val="24"/>
          <w:szCs w:val="24"/>
          <w:bdr w:val="none" w:sz="0" w:space="0" w:color="auto" w:frame="1"/>
        </w:rPr>
        <w:t>1.22</w:t>
      </w:r>
      <w:r w:rsidRPr="00D73E3F">
        <w:rPr>
          <w:rStyle w:val="mbin"/>
          <w:rFonts w:ascii="Times New Roman" w:hAnsi="Times New Roman" w:cs="Times New Roman"/>
          <w:i w:val="0"/>
          <w:color w:val="1B1C1D"/>
          <w:sz w:val="24"/>
          <w:szCs w:val="24"/>
          <w:bdr w:val="none" w:sz="0" w:space="0" w:color="auto" w:frame="1"/>
        </w:rPr>
        <w:t>±</w:t>
      </w:r>
      <w:r w:rsidRPr="00D73E3F">
        <w:rPr>
          <w:rStyle w:val="mord"/>
          <w:rFonts w:ascii="Times New Roman" w:hAnsi="Times New Roman" w:cs="Times New Roman"/>
          <w:i w:val="0"/>
          <w:color w:val="1B1C1D"/>
          <w:sz w:val="24"/>
          <w:szCs w:val="24"/>
          <w:bdr w:val="none" w:sz="0" w:space="0" w:color="auto" w:frame="1"/>
        </w:rPr>
        <w:t>0.68</w:t>
      </w:r>
      <w:r w:rsidRPr="00D73E3F">
        <w:rPr>
          <w:rStyle w:val="mclose"/>
          <w:rFonts w:ascii="Times New Roman" w:hAnsi="Times New Roman" w:cs="Times New Roman"/>
          <w:i w:val="0"/>
          <w:color w:val="1B1C1D"/>
          <w:bdr w:val="none" w:sz="0" w:space="0" w:color="auto" w:frame="1"/>
        </w:rPr>
        <w:t xml:space="preserve"> </w:t>
      </w:r>
      <w:r w:rsidRPr="00D73E3F">
        <w:rPr>
          <w:rStyle w:val="mrel"/>
          <w:rFonts w:ascii="Times New Roman" w:hAnsi="Times New Roman" w:cs="Times New Roman"/>
          <w:i w:val="0"/>
          <w:color w:val="1B1C1D"/>
          <w:sz w:val="24"/>
          <w:szCs w:val="24"/>
          <w:bdr w:val="none" w:sz="0" w:space="0" w:color="auto" w:frame="1"/>
        </w:rPr>
        <w:t>&lt;</w:t>
      </w:r>
      <w:r w:rsidRPr="00D73E3F">
        <w:rPr>
          <w:rStyle w:val="mrel"/>
          <w:rFonts w:ascii="Times New Roman" w:hAnsi="Times New Roman" w:cs="Times New Roman"/>
          <w:i w:val="0"/>
          <w:color w:val="1B1C1D"/>
          <w:bdr w:val="none" w:sz="0" w:space="0" w:color="auto" w:frame="1"/>
        </w:rPr>
        <w:t xml:space="preserve"> </w:t>
      </w:r>
      <w:r w:rsidRPr="00D73E3F">
        <w:rPr>
          <w:rStyle w:val="mord"/>
          <w:rFonts w:ascii="Times New Roman" w:hAnsi="Times New Roman" w:cs="Times New Roman"/>
          <w:i w:val="0"/>
          <w:color w:val="1B1C1D"/>
          <w:sz w:val="24"/>
          <w:szCs w:val="24"/>
          <w:bdr w:val="none" w:sz="0" w:space="0" w:color="auto" w:frame="1"/>
        </w:rPr>
        <w:t>BPH</w:t>
      </w:r>
      <w:r w:rsidRPr="00D73E3F">
        <w:rPr>
          <w:rStyle w:val="mopen"/>
          <w:rFonts w:ascii="Times New Roman" w:hAnsi="Times New Roman" w:cs="Times New Roman"/>
          <w:i w:val="0"/>
          <w:color w:val="1B1C1D"/>
          <w:bdr w:val="none" w:sz="0" w:space="0" w:color="auto" w:frame="1"/>
        </w:rPr>
        <w:t xml:space="preserve"> </w:t>
      </w:r>
      <w:r w:rsidRPr="00D73E3F">
        <w:rPr>
          <w:rStyle w:val="mord"/>
          <w:rFonts w:ascii="Times New Roman" w:hAnsi="Times New Roman" w:cs="Times New Roman"/>
          <w:i w:val="0"/>
          <w:color w:val="1B1C1D"/>
          <w:sz w:val="24"/>
          <w:szCs w:val="24"/>
          <w:bdr w:val="none" w:sz="0" w:space="0" w:color="auto" w:frame="1"/>
        </w:rPr>
        <w:t>15.13</w:t>
      </w:r>
      <w:r w:rsidRPr="00D73E3F">
        <w:rPr>
          <w:rStyle w:val="mbin"/>
          <w:rFonts w:ascii="Times New Roman" w:hAnsi="Times New Roman" w:cs="Times New Roman"/>
          <w:i w:val="0"/>
          <w:color w:val="1B1C1D"/>
          <w:sz w:val="24"/>
          <w:szCs w:val="24"/>
          <w:bdr w:val="none" w:sz="0" w:space="0" w:color="auto" w:frame="1"/>
        </w:rPr>
        <w:t>±</w:t>
      </w:r>
      <w:r w:rsidRPr="00D73E3F">
        <w:rPr>
          <w:rStyle w:val="mord"/>
          <w:rFonts w:ascii="Times New Roman" w:hAnsi="Times New Roman" w:cs="Times New Roman"/>
          <w:i w:val="0"/>
          <w:color w:val="1B1C1D"/>
          <w:sz w:val="24"/>
          <w:szCs w:val="24"/>
          <w:bdr w:val="none" w:sz="0" w:space="0" w:color="auto" w:frame="1"/>
        </w:rPr>
        <w:t>9.49</w:t>
      </w:r>
      <w:r w:rsidRPr="00D73E3F">
        <w:rPr>
          <w:rStyle w:val="mclose"/>
          <w:rFonts w:ascii="Times New Roman" w:hAnsi="Times New Roman" w:cs="Times New Roman"/>
          <w:i w:val="0"/>
          <w:color w:val="1B1C1D"/>
          <w:bdr w:val="none" w:sz="0" w:space="0" w:color="auto" w:frame="1"/>
        </w:rPr>
        <w:t xml:space="preserve"> </w:t>
      </w:r>
      <w:r w:rsidRPr="00D73E3F">
        <w:rPr>
          <w:rStyle w:val="mrel"/>
          <w:rFonts w:ascii="Times New Roman" w:hAnsi="Times New Roman" w:cs="Times New Roman"/>
          <w:i w:val="0"/>
          <w:color w:val="1B1C1D"/>
          <w:sz w:val="24"/>
          <w:szCs w:val="24"/>
          <w:bdr w:val="none" w:sz="0" w:space="0" w:color="auto" w:frame="1"/>
        </w:rPr>
        <w:t>&lt;</w:t>
      </w:r>
      <w:r w:rsidRPr="00D73E3F">
        <w:rPr>
          <w:rStyle w:val="mrel"/>
          <w:rFonts w:ascii="Times New Roman" w:hAnsi="Times New Roman" w:cs="Times New Roman"/>
          <w:i w:val="0"/>
          <w:color w:val="1B1C1D"/>
          <w:bdr w:val="none" w:sz="0" w:space="0" w:color="auto" w:frame="1"/>
        </w:rPr>
        <w:t xml:space="preserve"> </w:t>
      </w:r>
      <w:r w:rsidRPr="00D73E3F">
        <w:rPr>
          <w:rStyle w:val="mord"/>
          <w:rFonts w:ascii="Times New Roman" w:hAnsi="Times New Roman" w:cs="Times New Roman"/>
          <w:i w:val="0"/>
          <w:color w:val="1B1C1D"/>
          <w:sz w:val="24"/>
          <w:szCs w:val="24"/>
          <w:bdr w:val="none" w:sz="0" w:space="0" w:color="auto" w:frame="1"/>
        </w:rPr>
        <w:t>CAP</w:t>
      </w:r>
      <w:r w:rsidRPr="00D73E3F">
        <w:rPr>
          <w:rStyle w:val="mopen"/>
          <w:rFonts w:ascii="Times New Roman" w:hAnsi="Times New Roman" w:cs="Times New Roman"/>
          <w:i w:val="0"/>
          <w:color w:val="1B1C1D"/>
          <w:bdr w:val="none" w:sz="0" w:space="0" w:color="auto" w:frame="1"/>
        </w:rPr>
        <w:t xml:space="preserve"> </w:t>
      </w:r>
      <w:r w:rsidRPr="00D73E3F">
        <w:rPr>
          <w:rStyle w:val="mord"/>
          <w:rFonts w:ascii="Times New Roman" w:hAnsi="Times New Roman" w:cs="Times New Roman"/>
          <w:i w:val="0"/>
          <w:color w:val="1B1C1D"/>
          <w:sz w:val="24"/>
          <w:szCs w:val="24"/>
          <w:bdr w:val="none" w:sz="0" w:space="0" w:color="auto" w:frame="1"/>
        </w:rPr>
        <w:t>59.42</w:t>
      </w:r>
      <w:r w:rsidRPr="00D73E3F">
        <w:rPr>
          <w:rStyle w:val="mbin"/>
          <w:rFonts w:ascii="Times New Roman" w:hAnsi="Times New Roman" w:cs="Times New Roman"/>
          <w:i w:val="0"/>
          <w:color w:val="1B1C1D"/>
          <w:sz w:val="24"/>
          <w:szCs w:val="24"/>
          <w:bdr w:val="none" w:sz="0" w:space="0" w:color="auto" w:frame="1"/>
        </w:rPr>
        <w:t>±</w:t>
      </w:r>
      <w:r w:rsidRPr="00D73E3F">
        <w:rPr>
          <w:rStyle w:val="mord"/>
          <w:rFonts w:ascii="Times New Roman" w:hAnsi="Times New Roman" w:cs="Times New Roman"/>
          <w:i w:val="0"/>
          <w:color w:val="1B1C1D"/>
          <w:sz w:val="24"/>
          <w:szCs w:val="24"/>
          <w:bdr w:val="none" w:sz="0" w:space="0" w:color="auto" w:frame="1"/>
        </w:rPr>
        <w:t>55.36</w:t>
      </w:r>
      <w:r w:rsidRPr="00D73E3F">
        <w:rPr>
          <w:rFonts w:ascii="Times New Roman" w:hAnsi="Times New Roman" w:cs="Times New Roman"/>
          <w:i w:val="0"/>
          <w:color w:val="1B1C1D"/>
        </w:rPr>
        <w:t>. The testosterone levels in both the CAP (18.02±8.87 nmol/L) and BPH (16.78±8.36 nmol/L) groups were significantly higher than those in</w:t>
      </w:r>
      <w:r w:rsidRPr="00D73E3F">
        <w:rPr>
          <w:rFonts w:ascii="Times New Roman" w:hAnsi="Times New Roman" w:cs="Times New Roman"/>
          <w:i w:val="0"/>
          <w:color w:val="1B1C1D"/>
          <w:sz w:val="24"/>
          <w:szCs w:val="24"/>
        </w:rPr>
        <w:t xml:space="preserve"> the control group (</w:t>
      </w:r>
      <w:r w:rsidRPr="00D73E3F">
        <w:rPr>
          <w:rStyle w:val="mord"/>
          <w:rFonts w:ascii="Times New Roman" w:hAnsi="Times New Roman" w:cs="Times New Roman"/>
          <w:i w:val="0"/>
          <w:color w:val="1B1C1D"/>
          <w:sz w:val="24"/>
          <w:szCs w:val="24"/>
          <w:bdr w:val="none" w:sz="0" w:space="0" w:color="auto" w:frame="1"/>
        </w:rPr>
        <w:t>10.52</w:t>
      </w:r>
      <w:r w:rsidRPr="00D73E3F">
        <w:rPr>
          <w:rStyle w:val="mbin"/>
          <w:rFonts w:ascii="Times New Roman" w:hAnsi="Times New Roman" w:cs="Times New Roman"/>
          <w:i w:val="0"/>
          <w:color w:val="1B1C1D"/>
          <w:sz w:val="24"/>
          <w:szCs w:val="24"/>
          <w:bdr w:val="none" w:sz="0" w:space="0" w:color="auto" w:frame="1"/>
        </w:rPr>
        <w:t>±</w:t>
      </w:r>
      <w:r w:rsidRPr="00D73E3F">
        <w:rPr>
          <w:rStyle w:val="mord"/>
          <w:rFonts w:ascii="Times New Roman" w:hAnsi="Times New Roman" w:cs="Times New Roman"/>
          <w:i w:val="0"/>
          <w:color w:val="1B1C1D"/>
          <w:sz w:val="24"/>
          <w:szCs w:val="24"/>
          <w:bdr w:val="none" w:sz="0" w:space="0" w:color="auto" w:frame="1"/>
        </w:rPr>
        <w:t>8.79</w:t>
      </w:r>
      <w:r w:rsidRPr="00D73E3F">
        <w:rPr>
          <w:rFonts w:ascii="Times New Roman" w:hAnsi="Times New Roman" w:cs="Times New Roman"/>
          <w:i w:val="0"/>
          <w:color w:val="1B1C1D"/>
          <w:sz w:val="24"/>
          <w:szCs w:val="24"/>
        </w:rPr>
        <w:t xml:space="preserve"> nmol/L) (all </w:t>
      </w:r>
      <w:r w:rsidRPr="00D73E3F">
        <w:rPr>
          <w:rStyle w:val="mord"/>
          <w:rFonts w:ascii="Times New Roman" w:hAnsi="Times New Roman" w:cs="Times New Roman"/>
          <w:i w:val="0"/>
          <w:color w:val="1B1C1D"/>
          <w:sz w:val="24"/>
          <w:szCs w:val="24"/>
          <w:bdr w:val="none" w:sz="0" w:space="0" w:color="auto" w:frame="1"/>
        </w:rPr>
        <w:t>p</w:t>
      </w:r>
      <w:r w:rsidRPr="00D73E3F">
        <w:rPr>
          <w:rStyle w:val="mrel"/>
          <w:rFonts w:ascii="Times New Roman" w:hAnsi="Times New Roman" w:cs="Times New Roman"/>
          <w:i w:val="0"/>
          <w:color w:val="1B1C1D"/>
          <w:sz w:val="24"/>
          <w:szCs w:val="24"/>
          <w:bdr w:val="none" w:sz="0" w:space="0" w:color="auto" w:frame="1"/>
        </w:rPr>
        <w:t>&lt;</w:t>
      </w:r>
      <w:r w:rsidRPr="00D73E3F">
        <w:rPr>
          <w:rStyle w:val="mord"/>
          <w:rFonts w:ascii="Times New Roman" w:hAnsi="Times New Roman" w:cs="Times New Roman"/>
          <w:i w:val="0"/>
          <w:color w:val="1B1C1D"/>
          <w:sz w:val="24"/>
          <w:szCs w:val="24"/>
          <w:bdr w:val="none" w:sz="0" w:space="0" w:color="auto" w:frame="1"/>
        </w:rPr>
        <w:t>0.001</w:t>
      </w:r>
      <w:r w:rsidRPr="00D73E3F">
        <w:rPr>
          <w:rFonts w:ascii="Times New Roman" w:hAnsi="Times New Roman" w:cs="Times New Roman"/>
          <w:i w:val="0"/>
          <w:color w:val="1B1C1D"/>
          <w:sz w:val="24"/>
          <w:szCs w:val="24"/>
        </w:rPr>
        <w:t xml:space="preserve">). Crucially, there was </w:t>
      </w:r>
      <w:r w:rsidRPr="00D73E3F">
        <w:rPr>
          <w:rFonts w:ascii="Times New Roman" w:hAnsi="Times New Roman" w:cs="Times New Roman"/>
          <w:bCs/>
          <w:i w:val="0"/>
          <w:color w:val="1B1C1D"/>
          <w:sz w:val="24"/>
          <w:szCs w:val="24"/>
          <w:bdr w:val="none" w:sz="0" w:space="0" w:color="auto" w:frame="1"/>
        </w:rPr>
        <w:t>no significant difference</w:t>
      </w:r>
      <w:r w:rsidRPr="00D73E3F">
        <w:rPr>
          <w:rFonts w:ascii="Times New Roman" w:hAnsi="Times New Roman" w:cs="Times New Roman"/>
          <w:i w:val="0"/>
          <w:color w:val="1B1C1D"/>
          <w:sz w:val="24"/>
          <w:szCs w:val="24"/>
        </w:rPr>
        <w:t xml:space="preserve"> in mean testosterone levels between the CAP and BPH groups (</w:t>
      </w:r>
      <w:r w:rsidRPr="00D73E3F">
        <w:rPr>
          <w:rStyle w:val="mord"/>
          <w:rFonts w:ascii="Times New Roman" w:hAnsi="Times New Roman" w:cs="Times New Roman"/>
          <w:i w:val="0"/>
          <w:color w:val="1B1C1D"/>
          <w:sz w:val="24"/>
          <w:szCs w:val="24"/>
          <w:bdr w:val="none" w:sz="0" w:space="0" w:color="auto" w:frame="1"/>
        </w:rPr>
        <w:t>p = 0.399</w:t>
      </w:r>
      <w:r w:rsidRPr="00D73E3F">
        <w:rPr>
          <w:rFonts w:ascii="Times New Roman" w:hAnsi="Times New Roman" w:cs="Times New Roman"/>
          <w:i w:val="0"/>
          <w:color w:val="1B1C1D"/>
          <w:sz w:val="24"/>
          <w:szCs w:val="24"/>
        </w:rPr>
        <w:t xml:space="preserve">). </w:t>
      </w:r>
    </w:p>
    <w:p w14:paraId="50869EFA" w14:textId="77777777" w:rsidR="006B63EA" w:rsidRDefault="006B63EA" w:rsidP="006B63EA">
      <w:pPr>
        <w:pStyle w:val="Heading4"/>
        <w:jc w:val="both"/>
        <w:rPr>
          <w:rFonts w:ascii="Times New Roman" w:hAnsi="Times New Roman" w:cs="Times New Roman"/>
          <w:i w:val="0"/>
          <w:color w:val="1B1C1D"/>
          <w:sz w:val="24"/>
          <w:szCs w:val="24"/>
          <w:bdr w:val="none" w:sz="0" w:space="0" w:color="auto" w:frame="1"/>
        </w:rPr>
      </w:pPr>
    </w:p>
    <w:p w14:paraId="578DAC8B" w14:textId="77777777" w:rsidR="006B63EA" w:rsidRPr="00D73E3F" w:rsidRDefault="006B63EA" w:rsidP="006B63EA">
      <w:pPr>
        <w:pStyle w:val="Heading4"/>
        <w:jc w:val="both"/>
        <w:rPr>
          <w:rFonts w:ascii="Times New Roman" w:hAnsi="Times New Roman" w:cs="Times New Roman"/>
          <w:i w:val="0"/>
          <w:color w:val="1B1C1D"/>
          <w:sz w:val="24"/>
          <w:szCs w:val="24"/>
        </w:rPr>
      </w:pPr>
      <w:r w:rsidRPr="00D73E3F">
        <w:rPr>
          <w:rFonts w:ascii="Times New Roman" w:hAnsi="Times New Roman" w:cs="Times New Roman"/>
          <w:b/>
          <w:i w:val="0"/>
          <w:color w:val="1B1C1D"/>
          <w:sz w:val="24"/>
          <w:szCs w:val="24"/>
          <w:bdr w:val="none" w:sz="0" w:space="0" w:color="auto" w:frame="1"/>
        </w:rPr>
        <w:t>Conclusion:</w:t>
      </w:r>
      <w:r w:rsidRPr="00D73E3F">
        <w:rPr>
          <w:rFonts w:ascii="Times New Roman" w:hAnsi="Times New Roman" w:cs="Times New Roman"/>
          <w:i w:val="0"/>
          <w:color w:val="1B1C1D"/>
          <w:sz w:val="24"/>
          <w:szCs w:val="24"/>
          <w:bdr w:val="none" w:sz="0" w:space="0" w:color="auto" w:frame="1"/>
        </w:rPr>
        <w:t xml:space="preserve"> </w:t>
      </w:r>
      <w:r w:rsidRPr="00D73E3F">
        <w:rPr>
          <w:rFonts w:ascii="Times New Roman" w:hAnsi="Times New Roman" w:cs="Times New Roman"/>
          <w:i w:val="0"/>
          <w:color w:val="1B1C1D"/>
          <w:sz w:val="24"/>
          <w:szCs w:val="24"/>
        </w:rPr>
        <w:t xml:space="preserve">Total PSA remains a robust biomarker for differentiating between prostate cancer, BPH, and healthy subjects. In contrast, total serum testosterone, while elevated in patients with prostatic disease compared to controls, </w:t>
      </w:r>
      <w:r w:rsidRPr="00D73E3F">
        <w:rPr>
          <w:rFonts w:ascii="Times New Roman" w:hAnsi="Times New Roman" w:cs="Times New Roman"/>
          <w:bCs/>
          <w:i w:val="0"/>
          <w:color w:val="1B1C1D"/>
          <w:sz w:val="24"/>
          <w:szCs w:val="24"/>
          <w:bdr w:val="none" w:sz="0" w:space="0" w:color="auto" w:frame="1"/>
        </w:rPr>
        <w:t>lacks the discriminatory power</w:t>
      </w:r>
      <w:r w:rsidRPr="00D73E3F">
        <w:rPr>
          <w:rFonts w:ascii="Times New Roman" w:hAnsi="Times New Roman" w:cs="Times New Roman"/>
          <w:i w:val="0"/>
          <w:color w:val="1B1C1D"/>
          <w:sz w:val="24"/>
          <w:szCs w:val="24"/>
        </w:rPr>
        <w:t xml:space="preserve"> to distinguish between benign prostatic hyperplasia and prostate cancer. This suggests that total testosterone should not be used as a standalone marker for differentiating these conditions in this population</w:t>
      </w:r>
      <w:r w:rsidRPr="00D73E3F">
        <w:rPr>
          <w:rFonts w:ascii="Times New Roman" w:hAnsi="Times New Roman" w:cs="Times New Roman"/>
          <w:i w:val="0"/>
          <w:color w:val="1B1C1D"/>
        </w:rPr>
        <w:t>.</w:t>
      </w:r>
    </w:p>
    <w:p w14:paraId="71213486" w14:textId="77777777" w:rsidR="006B63EA" w:rsidRPr="00D73E3F" w:rsidRDefault="006B63EA" w:rsidP="006B63EA">
      <w:pPr>
        <w:pStyle w:val="NormalWeb"/>
        <w:spacing w:after="0" w:afterAutospacing="0"/>
        <w:jc w:val="both"/>
        <w:rPr>
          <w:color w:val="1B1C1D"/>
        </w:rPr>
      </w:pPr>
    </w:p>
    <w:p w14:paraId="21E8E554" w14:textId="77777777" w:rsidR="006B63EA" w:rsidRPr="00D6322D" w:rsidRDefault="006B63EA" w:rsidP="006B63EA">
      <w:pPr>
        <w:pStyle w:val="NormalWeb"/>
      </w:pPr>
      <w:r w:rsidRPr="00667624">
        <w:rPr>
          <w:color w:val="1B1C1D"/>
        </w:rPr>
        <w:t xml:space="preserve">Keywords: </w:t>
      </w:r>
      <w:r w:rsidRPr="00667624">
        <w:rPr>
          <w:bCs/>
        </w:rPr>
        <w:t xml:space="preserve">Prostate Cancer, </w:t>
      </w:r>
      <w:r w:rsidRPr="00D6322D">
        <w:rPr>
          <w:bCs/>
        </w:rPr>
        <w:t>Benign Prostatic Hyperplasia</w:t>
      </w:r>
      <w:r w:rsidRPr="00667624">
        <w:rPr>
          <w:bCs/>
        </w:rPr>
        <w:t xml:space="preserve">, </w:t>
      </w:r>
      <w:r w:rsidRPr="00D6322D">
        <w:rPr>
          <w:bCs/>
        </w:rPr>
        <w:t>Prostate-Specific Antigen (PSA)</w:t>
      </w:r>
      <w:r w:rsidRPr="00667624">
        <w:rPr>
          <w:bCs/>
        </w:rPr>
        <w:t xml:space="preserve">, </w:t>
      </w:r>
      <w:r w:rsidRPr="00D6322D">
        <w:rPr>
          <w:bCs/>
        </w:rPr>
        <w:t>Testosterone</w:t>
      </w:r>
    </w:p>
    <w:p w14:paraId="7EB289AC" w14:textId="77777777" w:rsidR="006B63EA" w:rsidRDefault="006B63EA" w:rsidP="006B63EA">
      <w:pPr>
        <w:pStyle w:val="BodyText"/>
        <w:spacing w:before="87"/>
        <w:ind w:left="0"/>
        <w:jc w:val="left"/>
      </w:pPr>
    </w:p>
    <w:p w14:paraId="22589A99" w14:textId="77777777" w:rsidR="006B63EA" w:rsidRDefault="006B63EA" w:rsidP="006B63EA">
      <w:pPr>
        <w:pStyle w:val="BodyText"/>
        <w:spacing w:before="87"/>
        <w:ind w:left="0"/>
        <w:jc w:val="left"/>
      </w:pPr>
    </w:p>
    <w:p w14:paraId="3C2FB706" w14:textId="77777777" w:rsidR="006B63EA" w:rsidRDefault="006B63EA" w:rsidP="006B63EA">
      <w:pPr>
        <w:pStyle w:val="BodyText"/>
        <w:spacing w:before="87"/>
        <w:ind w:left="0"/>
        <w:jc w:val="left"/>
      </w:pPr>
      <w:r>
        <w:lastRenderedPageBreak/>
        <w:t>Introduction</w:t>
      </w:r>
    </w:p>
    <w:p w14:paraId="0D8D3A0C" w14:textId="77777777" w:rsidR="00532DC5" w:rsidRDefault="00532DC5" w:rsidP="00532DC5">
      <w:pPr>
        <w:pStyle w:val="NormalWeb"/>
        <w:jc w:val="both"/>
      </w:pPr>
      <w:r>
        <w:rPr>
          <w:rStyle w:val="selected"/>
        </w:rPr>
        <w:t>Prostate cancer (CAP) and benign prostatic hyperplasia (BPH) represent the most prevalent urological conditions affecting men globally, particular</w:t>
      </w:r>
      <w:r w:rsidR="00875FE3">
        <w:rPr>
          <w:rStyle w:val="selected"/>
        </w:rPr>
        <w:t xml:space="preserve">ly in ageing populations </w:t>
      </w:r>
      <w:r w:rsidR="00C81445">
        <w:rPr>
          <w:rStyle w:val="selected"/>
        </w:rPr>
        <w:fldChar w:fldCharType="begin" w:fldLock="1"/>
      </w:r>
      <w:r w:rsidR="00005C96">
        <w:rPr>
          <w:rStyle w:val="selected"/>
        </w:rPr>
        <w:instrText>ADDIN CSL_CITATION {"citationItems":[{"id":"ITEM-1","itemData":{"DOI":"10.1186/s12301-024-00470-x","ISSN":"1961-9987","abstract":"The prostate gland plays a vital role in the production of seminal fluid, which serves to nourish and transport sperm. Prostate-related conditions, particularly benign prostatic hyperplasia (BPH) and prostate cancer (PC), represent significant health concerns among men globally, with a notable impact in African regions. This study investigated the prevalence of BPH and PC among men in the suburban towns of Cross River State, Nigeria. The research aims to provide critical data for healthcare planning and intervention.","author":[{"dropping-particle":"","family":"Esomonu","given":"Ugochukwu","non-dropping-particle":"","parse-names":false,"suffix":""},{"dropping-particle":"","family":"Obun","given":"Cletus","non-dropping-particle":"","parse-names":false,"suffix":""},{"dropping-particle":"","family":"Ude","given":"Raymond","non-dropping-particle":"","parse-names":false,"suffix":""},{"dropping-particle":"","family":"Igwe","given":"Solomon","non-dropping-particle":"","parse-names":false,"suffix":""},{"dropping-particle":"","family":"Esomchi","given":"Collins","non-dropping-particle":"","parse-names":false,"suffix":""},{"dropping-particle":"","family":"Ogolekwu","given":"Sylvanus","non-dropping-particle":"","parse-names":false,"suffix":""}],"container-title":"African Journal of Urology","id":"ITEM-1","issue":"1","issued":{"date-parts":[["2024"]]},"page":"66","title":"Prevalence of benign prostatic hyperplasia and prostrate cancer among suburban residents in Southern Nigeria","type":"article-journal","volume":"30"},"uris":["http://www.mendeley.com/documents/?uuid=ec2c50fa-8857-4c6e-b510-989b83c81dd2"]}],"mendeley":{"formattedCitation":"(Esomonu et al., 2024)","plainTextFormattedCitation":"(Esomonu et al., 2024)","previouslyFormattedCitation":"(Esomonu et al., 2024)"},"properties":{"noteIndex":0},"schema":"https://github.com/citation-style-language/schema/raw/master/csl-citation.json"}</w:instrText>
      </w:r>
      <w:r w:rsidR="00C81445">
        <w:rPr>
          <w:rStyle w:val="selected"/>
        </w:rPr>
        <w:fldChar w:fldCharType="separate"/>
      </w:r>
      <w:r w:rsidR="00005C96" w:rsidRPr="00005C96">
        <w:rPr>
          <w:rStyle w:val="selected"/>
          <w:noProof/>
        </w:rPr>
        <w:t>(Esomonu et al., 2024)</w:t>
      </w:r>
      <w:r w:rsidR="00C81445">
        <w:rPr>
          <w:rStyle w:val="selected"/>
        </w:rPr>
        <w:fldChar w:fldCharType="end"/>
      </w:r>
      <w:r w:rsidR="00C81445">
        <w:rPr>
          <w:rStyle w:val="selected"/>
        </w:rPr>
        <w:t>.</w:t>
      </w:r>
      <w:r>
        <w:rPr>
          <w:rStyle w:val="selected"/>
        </w:rPr>
        <w:t xml:space="preserve"> </w:t>
      </w:r>
      <w:r w:rsidR="00C81445">
        <w:rPr>
          <w:rStyle w:val="selected"/>
        </w:rPr>
        <w:t xml:space="preserve"> </w:t>
      </w:r>
      <w:r>
        <w:rPr>
          <w:rStyle w:val="selected"/>
        </w:rPr>
        <w:t xml:space="preserve">While BPH is characterized by non-malignant cellular proliferation leading to lower urinary tract symptoms, CAP is the second most commonly diagnosed cancer in men worldwide, presenting a significant public health challenge </w:t>
      </w:r>
      <w:r w:rsidR="00C81445">
        <w:rPr>
          <w:rStyle w:val="selected"/>
        </w:rPr>
        <w:fldChar w:fldCharType="begin" w:fldLock="1"/>
      </w:r>
      <w:r w:rsidR="00005C96">
        <w:rPr>
          <w:rStyle w:val="selected"/>
        </w:rPr>
        <w:instrText>ADDIN CSL_CITATION {"citationItems":[{"id":"ITEM-1","itemData":{"DOI":"10.1007/s11934-019-0917-1","ISSN":"1534-6285 (Electronic)","PMID":"31377881","abstract":"PURPOSE OF REVIEW: The purpose of this review is to summarize the role and  significance of inflammation as a putative additional factor contributing to lower urinary tract symptoms and the progression of benign prostatic hyperplasia. We review (1) the histologic definition of prostatic inflammation and its prevalence, (2) the effects inflammation in the prostate including on risk of acute urinary retention, and (3) the effects of systemic inflammation on the prostate and on voiding. RECENT FINDINGS: Inflammation is a highly prevalent finding in the prostate, both on a histological and biochemical level. Men with inflammation have higher IPSS scores and increased prostate size; however, these differences appear to be imperceptibly small. Men with inflammation do experience a significantly increased risk of developing acute urinary retention, an event that is associated with significant morbidity. Recently, attempts have been made to identify more specific biochemical markers of local inflammation, and to identify regional patterns of inflamed tissue within the prostate which may be associated with higher IPSS scores, accelerated progression, and AUR. The effects of systemic inflammatory states, most notably MetS, and their role in LUTS have also been examined. Inflammation is a common finding in prostates of aging men, but its contribution to lower urinary tract symptoms and benign prostatic hyperplasia progression appears to be small when considered as a clinically relevant entity. Advances in the understanding of different forms of inflammation, and their impact when experienced in different locations within the prostate, may refine this knowledge. Systemic inflammation affects voiding, including in the absence of a prostate, but again significant effects of systemic inflammation on the prostate itself are also difficult to demonstrate. Prostatic inflammation is associated with a significantly increased risk of acute urinary retention.","author":[{"dropping-particle":"","family":"Lloyd","given":"Granville L","non-dropping-particle":"","parse-names":false,"suffix":""},{"dropping-particle":"","family":"Marks","given":"Jeffrey M","non-dropping-particle":"","parse-names":false,"suffix":""},{"dropping-particle":"","family":"Ricke","given":"William A","non-dropping-particle":"","parse-names":false,"suffix":""}],"container-title":"Current urology reports","id":"ITEM-1","issue":"9","issued":{"date-parts":[["2019","8"]]},"language":"eng","page":"54","publisher-place":"United States","title":"Benign Prostatic Hyperplasia and Lower Urinary Tract Symptoms: What Is the Role  and Significance of Inflammation?","type":"article-journal","volume":"20"},"uris":["http://www.mendeley.com/documents/?uuid=ef2480fa-93e2-4aac-b22f-c07250b02ee4"]}],"mendeley":{"formattedCitation":"(Lloyd et al., 2019)","plainTextFormattedCitation":"(Lloyd et al., 2019)","previouslyFormattedCitation":"(Lloyd et al., 2019)"},"properties":{"noteIndex":0},"schema":"https://github.com/citation-style-language/schema/raw/master/csl-citation.json"}</w:instrText>
      </w:r>
      <w:r w:rsidR="00C81445">
        <w:rPr>
          <w:rStyle w:val="selected"/>
        </w:rPr>
        <w:fldChar w:fldCharType="separate"/>
      </w:r>
      <w:r w:rsidR="00005C96" w:rsidRPr="00005C96">
        <w:rPr>
          <w:rStyle w:val="selected"/>
          <w:noProof/>
        </w:rPr>
        <w:t>(Lloyd et al., 2019)</w:t>
      </w:r>
      <w:r w:rsidR="00C81445">
        <w:rPr>
          <w:rStyle w:val="selected"/>
        </w:rPr>
        <w:fldChar w:fldCharType="end"/>
      </w:r>
      <w:r w:rsidR="00C81445">
        <w:rPr>
          <w:rStyle w:val="selected"/>
        </w:rPr>
        <w:t xml:space="preserve">. </w:t>
      </w:r>
      <w:r>
        <w:rPr>
          <w:rStyle w:val="selected"/>
        </w:rPr>
        <w:t>In the sub-Saharan African context, and specifically in Nigeria, studies have indicated a rising incidence and often late-stage presentation of prostate cancer, making effective diagnostic differentiation between these prostatic pathologies critically important for clinical ma</w:t>
      </w:r>
      <w:r w:rsidR="00C81445">
        <w:rPr>
          <w:rStyle w:val="selected"/>
        </w:rPr>
        <w:t xml:space="preserve">nagement </w:t>
      </w:r>
      <w:r w:rsidR="00C81445">
        <w:rPr>
          <w:rStyle w:val="selected"/>
        </w:rPr>
        <w:fldChar w:fldCharType="begin" w:fldLock="1"/>
      </w:r>
      <w:r w:rsidR="00005C96">
        <w:rPr>
          <w:rStyle w:val="selected"/>
        </w:rPr>
        <w:instrText>ADDIN CSL_CITATION {"citationItems":[{"id":"ITEM-1","itemData":{"DOI":"10.2147/CLEP.S23536","ISSN":"11791349","abstract":"Background: To date there has not been any nationwide age-standardized incidence data reported for prostate cancer in Nigeria. We examined and integrated diverse trends in the agespecific incidence of prostate cancer into a comprehensive trend for Nigeria, and examined how best the existing data could generate a countrywide age-standardized incidence rate for the disease. Methods: Data were obtained from studies undertaken between 1970 and 2007 in referral hospital-based cancer registries. Records from at least one tertiary hospital in each of the six geopolitical zones of Nigeria were examined retrospectively. Data were also reported for the rural population in cross-sectional prospective studies. Age-standardized incidence rates and the annual incidence of disease were calculated. Results: Higher incidence rates for prostate cancer during this period were recorded for patients aged 60-69 years and 70-79 years, with a lower incidence rate for patients aged younger than 50 years. An exponential annual incidence rate of disease was observed in the 50-79 year age group and peaked at 70-79 years before dropping again at age 80 years. The results showed metastasis in more than half of these hospital-based prostate tumors. Conclusion: Our results suggest that prostate cancer occurs at a relatively young age in Nigerians and that hospital-based registry reports may not appropriately reflect the incidence of the disease in Nigeria. A countrywide screening program is urgently needed. Finally, the difference in reported stages of disease found in Nigerians and African-Americans versus Caucasians suggests biological differences in the prognosis. Nigeria may thus typify one of the ancestral populations that harbor inherited genes predisposing African-Americans to high-risk prostate cancer. © 2012 Ifere et al, publisher and licensee Dove Medical Press Ltd.","author":[{"dropping-particle":"","family":"Ifere","given":"Godwin O.","non-dropping-particle":"","parse-names":false,"suffix":""},{"dropping-particle":"","family":"Abebe","given":"Fisseha","non-dropping-particle":"","parse-names":false,"suffix":""},{"dropping-particle":"","family":"Ananaba","given":"Godwin A.","non-dropping-particle":"","parse-names":false,"suffix":""}],"container-title":"Clinical Epidemiology","id":"ITEM-1","issue":"1","issued":{"date-parts":[["2012"]]},"page":"19-32","title":"Emergent trends in the reported incidence of prostate cancer in Nigeria","type":"article-journal","volume":"4"},"uris":["http://www.mendeley.com/documents/?uuid=0ccc9053-184e-42bb-ab5b-e35150852d8a"]}],"mendeley":{"formattedCitation":"(Ifere et al., 2012)","plainTextFormattedCitation":"(Ifere et al., 2012)","previouslyFormattedCitation":"(Ifere et al., 2012)"},"properties":{"noteIndex":0},"schema":"https://github.com/citation-style-language/schema/raw/master/csl-citation.json"}</w:instrText>
      </w:r>
      <w:r w:rsidR="00C81445">
        <w:rPr>
          <w:rStyle w:val="selected"/>
        </w:rPr>
        <w:fldChar w:fldCharType="separate"/>
      </w:r>
      <w:r w:rsidR="00005C96" w:rsidRPr="00005C96">
        <w:rPr>
          <w:rStyle w:val="selected"/>
          <w:noProof/>
        </w:rPr>
        <w:t>(Ifere et al., 2012)</w:t>
      </w:r>
      <w:r w:rsidR="00C81445">
        <w:rPr>
          <w:rStyle w:val="selected"/>
        </w:rPr>
        <w:fldChar w:fldCharType="end"/>
      </w:r>
      <w:r>
        <w:rPr>
          <w:rStyle w:val="selected"/>
        </w:rPr>
        <w:t>.</w:t>
      </w:r>
    </w:p>
    <w:p w14:paraId="7DF8A22B" w14:textId="7ACB040C" w:rsidR="00532DC5" w:rsidRDefault="00532DC5" w:rsidP="00532DC5">
      <w:pPr>
        <w:pStyle w:val="NormalWeb"/>
        <w:jc w:val="both"/>
      </w:pPr>
      <w:r>
        <w:rPr>
          <w:rStyle w:val="selected"/>
        </w:rPr>
        <w:t xml:space="preserve">The primary serum biomarker used for the screening and monitoring of prostate disease is </w:t>
      </w:r>
      <w:r w:rsidRPr="00F34BFB">
        <w:rPr>
          <w:rStyle w:val="selected"/>
          <w:bCs/>
        </w:rPr>
        <w:t>prostate-specific antigen (PSA)</w:t>
      </w:r>
      <w:r w:rsidRPr="00F34BFB">
        <w:rPr>
          <w:rStyle w:val="selected"/>
        </w:rPr>
        <w:t xml:space="preserve">. </w:t>
      </w:r>
      <w:r>
        <w:rPr>
          <w:rStyle w:val="selected"/>
        </w:rPr>
        <w:t xml:space="preserve">PSA is a glycoprotein produced by both normal and malignant prostatic epithelial cells. Its utility lies in its ability </w:t>
      </w:r>
      <w:r w:rsidRPr="00196B52">
        <w:rPr>
          <w:rStyle w:val="selected"/>
          <w:highlight w:val="yellow"/>
        </w:rPr>
        <w:t>to detect disease,</w:t>
      </w:r>
      <w:r>
        <w:rPr>
          <w:rStyle w:val="selected"/>
        </w:rPr>
        <w:t xml:space="preserve"> with higher levels generally correlating with a greater likelihood</w:t>
      </w:r>
      <w:r w:rsidR="00F34BFB">
        <w:rPr>
          <w:rStyle w:val="selected"/>
        </w:rPr>
        <w:t xml:space="preserve"> of CAP </w:t>
      </w:r>
      <w:r w:rsidR="00F34BFB">
        <w:rPr>
          <w:rStyle w:val="selected"/>
        </w:rPr>
        <w:fldChar w:fldCharType="begin" w:fldLock="1"/>
      </w:r>
      <w:r w:rsidR="00005C96">
        <w:rPr>
          <w:rStyle w:val="selected"/>
        </w:rPr>
        <w:instrText>ADDIN CSL_CITATION {"citationItems":[{"id":"ITEM-1","itemData":{"DOI":"10.1007/s13193-012-0142-6","ISSN":"0975-7651 (Print)","PMID":"23730101","abstract":"Prostate cancer has come to share the oncological centrestage among male cancers.  The availability of Serum Prostate Specific Antigen, PSA, as a marker has encouraged it's use to diagnose both cancer and cancer recurrence. Some clarity is required about its precise role in clinical practice. The available literature on Prostate Specific Antigen was reviewed; Articles were reviewed for content, applicability to the problem at hand, availability of data about sensitivity and specificity of values, refinements in measurements and finally for impact of screening programmes using these values on survival and quality of life. The data in the literature was critically re-evaluated and analysed to draw reasonable conclusions. Serum PSA measurements show variable reliability when it comes to diagnosis of Prostate cancer, given the dynamics of PSA physiology. Surrogate measures like PSA density, PSA velocity, free-to-complexed PSA ratio, percentage Pro-PSA, etc., have been used to improve the predictive utility of this assay for Prostate cancer. The ability of PSA to detect those cancers that will cost life, and thereby permit early curative treatment, is as yet unclear. It's most definitive role appears to be in diagnosing recurrences after adequate surgical treatment, and in evaluating response to treatment.","author":[{"dropping-particle":"","family":"Adhyam","given":"Mohan","non-dropping-particle":"","parse-names":false,"suffix":""},{"dropping-particle":"","family":"Gupta","given":"Anish Kumar","non-dropping-particle":"","parse-names":false,"suffix":""}],"container-title":"Indian journal of surgical oncology","id":"ITEM-1","issue":"2","issued":{"date-parts":[["2012","6"]]},"language":"eng","page":"120-129","publisher-place":"India","title":"A Review on the Clinical Utility of PSA in Cancer Prostate.","type":"article-journal","volume":"3"},"uris":["http://www.mendeley.com/documents/?uuid=8d0727df-e61a-48c9-b3fd-12ada0374d5d"]}],"mendeley":{"formattedCitation":"(Adhyam &amp; Gupta, 2012)","plainTextFormattedCitation":"(Adhyam &amp; Gupta, 2012)","previouslyFormattedCitation":"(Adhyam &amp; Gupta, 2012)"},"properties":{"noteIndex":0},"schema":"https://github.com/citation-style-language/schema/raw/master/csl-citation.json"}</w:instrText>
      </w:r>
      <w:r w:rsidR="00F34BFB">
        <w:rPr>
          <w:rStyle w:val="selected"/>
        </w:rPr>
        <w:fldChar w:fldCharType="separate"/>
      </w:r>
      <w:r w:rsidR="00005C96" w:rsidRPr="00005C96">
        <w:rPr>
          <w:rStyle w:val="selected"/>
          <w:noProof/>
        </w:rPr>
        <w:t>(Adhyam &amp; Gupta, 2012)</w:t>
      </w:r>
      <w:r w:rsidR="00F34BFB">
        <w:rPr>
          <w:rStyle w:val="selected"/>
        </w:rPr>
        <w:fldChar w:fldCharType="end"/>
      </w:r>
      <w:r w:rsidR="00F34BFB">
        <w:rPr>
          <w:rStyle w:val="selected"/>
        </w:rPr>
        <w:t>.</w:t>
      </w:r>
      <w:r>
        <w:rPr>
          <w:rStyle w:val="selected"/>
        </w:rPr>
        <w:t xml:space="preserve"> However, a key limitation of PSA is its lack of specificity; elevated levels are also commonly observed in BPH due to increased prostate </w:t>
      </w:r>
      <w:r w:rsidR="00F34BFB">
        <w:rPr>
          <w:rStyle w:val="selected"/>
        </w:rPr>
        <w:t xml:space="preserve">volume and inflammation </w:t>
      </w:r>
      <w:r w:rsidR="00F34BFB">
        <w:rPr>
          <w:rStyle w:val="selected"/>
        </w:rPr>
        <w:fldChar w:fldCharType="begin" w:fldLock="1"/>
      </w:r>
      <w:r w:rsidR="00005C96">
        <w:rPr>
          <w:rStyle w:val="selected"/>
        </w:rPr>
        <w:instrText>ADDIN CSL_CITATION {"citationItems":[{"id":"ITEM-1","itemData":{"DOI":"10.12954/PI.14054","ISSN":"2287-8882 (Print)","PMID":"25325025","abstract":"PURPOSE: The common tool for diagnosing prostate cancer is serum  prostate-specific antigen (PSA) testing and digital rectal examination, but the disadvantage of the high sensitivity and low specificity of PSA testing in the diagnosis of prostate cancer is a problem in clinical practice. We studied the correlation and diagnostic performance of the PSA level with cancer diagnosis, aggressiveness of prostate cancer (Gleason score&gt;7), and bone metastasis. METHODS: A total 1,116 patients who underwent transrectal ultrasound and prostate biopsy were retrospectively studied. The patients were divided into subgroups by baseline PSA level as follows: ≤4, 4.1-10, 10.1-20, 20.1-50, 50.1-100, and &gt;100 ng/mL. The area under the receiver operating characteristic curve (AuROC), sensitivity, specificity, positive predictive value, negative predictive value, positive likelihood ratio, and negative likelihood ratio of each PSA level were evaluated for correlation and diagnostic performance with positive biopsy, Gleason score for aggressiveness, and bone metastasis. RESULTS: A positive biopsy result was found in 395 patients (35.39%). The PSA level corresponded well with the diagnosis of prostate cancer and a positive bone scan but moderately well with Gleason score as shown by AuROC for diagnosis of prostate cancer (0.82), positive bone scan (0.88), and Gleason score&gt;7 (0.78). The specificity of a PSA level of 4.1-10, 10.1-20, 21.1-50, 50.1-100, and &gt;100 ng/mL in the diagnosis prostate cancer was 9.3, 55.5, 87.5, 98.2, and 99.7, respectively. CONCLUSIONS: The data showed a strong correlation of PSA level with tumor diagnosis, tumor aggressiveness, and bone metastasis. The prevalence of prostate cancer in this cohort was 35.39%. The chance of diagnosis of prostate cancer was greater than that for benign prostatic hyperplasia when the PSA level was higher than 20 ng/mL.","author":[{"dropping-particle":"","family":"Lojanapiwat","given":"Bannakij","non-dropping-particle":"","parse-names":false,"suffix":""},{"dropping-particle":"","family":"Anutrakulchai","given":"Wisan","non-dropping-particle":"","parse-names":false,"suffix":""},{"dropping-particle":"","family":"Chongruksut","given":"Wilaiwan","non-dropping-particle":"","parse-names":false,"suffix":""},{"dropping-particle":"","family":"Udomphot","given":"Chaichawan","non-dropping-particle":"","parse-names":false,"suffix":""}],"container-title":"Prostate international","id":"ITEM-1","issue":"3","issued":{"date-parts":[["2014","9"]]},"language":"eng","page":"133-139","publisher-place":"Korea (South)","title":"Correlation and diagnostic performance of the prostate-specific antigen level  with the diagnosis, aggressiveness, and bone metastasis of prostate cancer in clinical practice.","type":"article-journal","volume":"2"},"uris":["http://www.mendeley.com/documents/?uuid=03bbb644-13a1-434f-b2d7-debb80723557"]}],"mendeley":{"formattedCitation":"(Lojanapiwat et al., 2014)","plainTextFormattedCitation":"(Lojanapiwat et al., 2014)","previouslyFormattedCitation":"(Lojanapiwat et al., 2014)"},"properties":{"noteIndex":0},"schema":"https://github.com/citation-style-language/schema/raw/master/csl-citation.json"}</w:instrText>
      </w:r>
      <w:r w:rsidR="00F34BFB">
        <w:rPr>
          <w:rStyle w:val="selected"/>
        </w:rPr>
        <w:fldChar w:fldCharType="separate"/>
      </w:r>
      <w:r w:rsidR="00005C96" w:rsidRPr="00005C96">
        <w:rPr>
          <w:rStyle w:val="selected"/>
          <w:noProof/>
        </w:rPr>
        <w:t>(Lojanapiwat et al., 2014)</w:t>
      </w:r>
      <w:r w:rsidR="00F34BFB">
        <w:rPr>
          <w:rStyle w:val="selected"/>
        </w:rPr>
        <w:fldChar w:fldCharType="end"/>
      </w:r>
      <w:r>
        <w:rPr>
          <w:rStyle w:val="selected"/>
        </w:rPr>
        <w:t>. The inherent overlap in PSA values between BPH and early-stage CAP necessitates the exploration of additional biomarkers to improve diagnostic accuracy and reduce unnecessary biopsies.</w:t>
      </w:r>
      <w:r w:rsidR="00B0421F">
        <w:rPr>
          <w:rStyle w:val="selected"/>
        </w:rPr>
        <w:t xml:space="preserve"> </w:t>
      </w:r>
      <w:r w:rsidR="00B0421F" w:rsidRPr="00B0421F">
        <w:rPr>
          <w:rStyle w:val="selected"/>
          <w:highlight w:val="yellow"/>
        </w:rPr>
        <w:t xml:space="preserve">Reports have shown that </w:t>
      </w:r>
      <w:r w:rsidR="00B0421F" w:rsidRPr="00B0421F">
        <w:rPr>
          <w:highlight w:val="yellow"/>
        </w:rPr>
        <w:t>the final, lowest recorded level of prostate-specific antigen (PSA) after a period of prostate cancer treatment</w:t>
      </w:r>
      <w:r w:rsidR="00B0421F" w:rsidRPr="00B0421F">
        <w:rPr>
          <w:highlight w:val="yellow"/>
        </w:rPr>
        <w:t xml:space="preserve"> </w:t>
      </w:r>
      <w:r w:rsidR="00B0421F" w:rsidRPr="00B0421F">
        <w:rPr>
          <w:highlight w:val="yellow"/>
        </w:rPr>
        <w:t>corresponds closely with the degree of post-operative improvement and durability of the procedure</w:t>
      </w:r>
      <w:r w:rsidR="00B0421F" w:rsidRPr="00B0421F">
        <w:rPr>
          <w:highlight w:val="yellow"/>
        </w:rPr>
        <w:t xml:space="preserve"> </w:t>
      </w:r>
      <w:r w:rsidR="00B0421F" w:rsidRPr="00B0421F">
        <w:rPr>
          <w:highlight w:val="yellow"/>
        </w:rPr>
        <w:fldChar w:fldCharType="begin" w:fldLock="1"/>
      </w:r>
      <w:r w:rsidR="00300415">
        <w:rPr>
          <w:highlight w:val="yellow"/>
        </w:rPr>
        <w:instrText>ADDIN CSL_CITATION {"citationItems":[{"id":"ITEM-1","itemData":{"DOI":"10.1007/s00345-021-03771-w","ISSN":"1433-8726 (Electronic)","PMID":"34212237","abstract":"PURPOSE: To evaluate and provide a comprehensive literature review of Prostate  specific antigen (PSA) dynamics after various surgical procedures for benign prostatic hyperplasia (BPH). METHODS: A thorough PubMed database search was performed over last 30 years including terms \"PSA\" and various surgical procedures for BPH. PSA nadir after various procedure was evaluated. The post-operative improvement in International Prostate Symptom Score, maximum void rates and post-void residue after surgeries were recorded. An indirect correlation was made between PSA nadir and outcome of various BPH surgical procedures. RESULTS: Enucleation procedures like simple prostatectomy and endoscopic enucleation of prostate (EEP) produced maximum drop in PSA level after surgery and were associated with the highest improvement in post-operative parameters. The PSA nadir following resection techniques like transurethral resection of prostate and Holmium laser resection of prostate and vaporization technique was variable and less robust when compared to EEP. Newer techniques like Aquablation, Rezum, Urolift, Prostate artery embolization and Temporary implantable nitinol devices (iTIND) produce relatively less reduction in PSA and lesser percentile improvement in post-operative parameters. CONCLUSIONS: Various surgical procedures for BPH result in varying PSA nadirs level. Enucleation procedures and simple prostatectomy produce the most drastic and sustained decrease in PSA. There is a possible indirect evidence suggesting that the level of PSA nadir corresponds closely with the degree of post-operative improvement and durability of the procedure. Establishing the new PSA nadir at 3-6 months after the procedure is recommended as a part of routine surveillance for prostate cancer in eligible patients.","author":[{"dropping-particle":"","family":"Bhat","given":"Abhishek","non-dropping-particle":"","parse-names":false,"suffix":""},{"dropping-particle":"","family":"Blachman-Braun","given":"Ruben","non-dropping-particle":"","parse-names":false,"suffix":""},{"dropping-particle":"","family":"Herrmann","given":"Thomas R W","non-dropping-particle":"","parse-names":false,"suffix":""},{"dropping-particle":"","family":"Shah","given":"Hemendra N","non-dropping-particle":"","parse-names":false,"suffix":""}],"container-title":"World journal of urology","id":"ITEM-1","issue":"4","issued":{"date-parts":[["2022","4"]]},"language":"eng","page":"889-905","publisher-place":"Germany","title":"Are all procedures for benign prostatic hyperplasia created equal? A systematic  review on post-procedural PSA dynamics and its correlation with relief of bladder outlet obstruction.","type":"article-journal","volume":"40"},"uris":["http://www.mendeley.com/documents/?uuid=67ad3eb1-2f0d-4bf5-b4f0-767efce59b29"]}],"mendeley":{"formattedCitation":"(Bhat et al., 2022)","plainTextFormattedCitation":"(Bhat et al., 2022)","previouslyFormattedCitation":"(Bhat et al., 2022)"},"properties":{"noteIndex":0},"schema":"https://github.com/citation-style-language/schema/raw/master/csl-citation.json"}</w:instrText>
      </w:r>
      <w:r w:rsidR="00B0421F" w:rsidRPr="00B0421F">
        <w:rPr>
          <w:highlight w:val="yellow"/>
        </w:rPr>
        <w:fldChar w:fldCharType="separate"/>
      </w:r>
      <w:r w:rsidR="00B0421F" w:rsidRPr="00B0421F">
        <w:rPr>
          <w:noProof/>
          <w:highlight w:val="yellow"/>
        </w:rPr>
        <w:t>(Bhat et al., 2022)</w:t>
      </w:r>
      <w:r w:rsidR="00B0421F" w:rsidRPr="00B0421F">
        <w:rPr>
          <w:highlight w:val="yellow"/>
        </w:rPr>
        <w:fldChar w:fldCharType="end"/>
      </w:r>
      <w:r w:rsidR="00B0421F" w:rsidRPr="00B0421F">
        <w:rPr>
          <w:highlight w:val="yellow"/>
        </w:rPr>
        <w:t>.</w:t>
      </w:r>
    </w:p>
    <w:p w14:paraId="46723439" w14:textId="19C31085" w:rsidR="00532DC5" w:rsidRDefault="00532DC5" w:rsidP="00532DC5">
      <w:pPr>
        <w:pStyle w:val="NormalWeb"/>
        <w:jc w:val="both"/>
      </w:pPr>
      <w:r>
        <w:rPr>
          <w:rStyle w:val="selected"/>
        </w:rPr>
        <w:t>Historically, the relationship between</w:t>
      </w:r>
      <w:r w:rsidRPr="008E2CD0">
        <w:rPr>
          <w:rStyle w:val="selected"/>
        </w:rPr>
        <w:t xml:space="preserve"> </w:t>
      </w:r>
      <w:r w:rsidRPr="008E2CD0">
        <w:rPr>
          <w:rStyle w:val="selected"/>
          <w:bCs/>
        </w:rPr>
        <w:t>testosterone</w:t>
      </w:r>
      <w:r w:rsidRPr="008E2CD0">
        <w:rPr>
          <w:rStyle w:val="selected"/>
        </w:rPr>
        <w:t xml:space="preserve"> </w:t>
      </w:r>
      <w:r>
        <w:rPr>
          <w:rStyle w:val="selected"/>
        </w:rPr>
        <w:t>and prostate disease has been dominated by the androgen hypothesis, suggesting that testosterone fuels both BPH and CAP</w:t>
      </w:r>
      <w:r w:rsidR="00005C96">
        <w:rPr>
          <w:rStyle w:val="selected"/>
        </w:rPr>
        <w:t xml:space="preserve"> growth </w:t>
      </w:r>
      <w:r w:rsidR="00005C96">
        <w:rPr>
          <w:rStyle w:val="selected"/>
        </w:rPr>
        <w:fldChar w:fldCharType="begin" w:fldLock="1"/>
      </w:r>
      <w:r w:rsidR="00005C96">
        <w:rPr>
          <w:rStyle w:val="selected"/>
        </w:rPr>
        <w:instrText>ADDIN CSL_CITATION {"citationItems":[{"id":"ITEM-1","itemData":{"DOI":"10.1186/s12885-015-1833-5","ISSN":"1471-2407 (Electronic)","PMID":"26502956","abstract":"BACKGROUND: Since the landmark study conducted by Huggins and Hodges in 1941, a  failure to distinguish between the role of testosterone in prostate cancer development and progression has led to the prevailing opinion that high levels of testosterone increase the risk of prostate cancer. To date, this claim remains unproven. PRESENTATION OF THE HYPOTHESIS: We present a novel dynamic mode of the relationship between testosterone and prostate cancer by hypothesizing that the magnitude of age-related declines in testosterone, rather than a static level of testosterone measured at a single point, may trigger and promote the development of prostate cancer. TESTING THE HYPOTHESIS: Although not easily testable currently, prospective cohort studies with population-representative samples and repeated measurements of testosterone or retrospective cohorts with stored blood samples from different ages are warranted in future to test the hypothesis. IMPLICATIONS OF THE HYPOTHESIS: Our dynamic model can satisfactorily explain the observed age patterns of prostate cancer incidence, the apparent conflicts in epidemiological findings on testosterone and risk of prostate cancer, racial disparities in prostate cancer incidence, risk factors associated with prostate cancer, and the role of testosterone in prostate cancer progression. Our dynamic model may also have implications for testosterone replacement therapy.","author":[{"dropping-particle":"","family":"Xu","given":"Xiaohui","non-dropping-particle":"","parse-names":false,"suffix":""},{"dropping-particle":"","family":"Chen","given":"Xinguang","non-dropping-particle":"","parse-names":false,"suffix":""},{"dropping-particle":"","family":"Hu","given":"Hui","non-dropping-particle":"","parse-names":false,"suffix":""},{"dropping-particle":"","family":"Dailey","given":"Amy B","non-dropping-particle":"","parse-names":false,"suffix":""},{"dropping-particle":"","family":"Taylor","given":"Brandie D","non-dropping-particle":"","parse-names":false,"suffix":""}],"container-title":"BMC cancer","id":"ITEM-1","issued":{"date-parts":[["2015","10"]]},"language":"eng","page":"806","publisher-place":"England","title":"Current opinion on the role of testosterone in the development of prostate  cancer: a dynamic model.","type":"article-journal","volume":"15"},"uris":["http://www.mendeley.com/documents/?uuid=32efd198-21ef-4ead-aadc-79c192184dd5"]}],"mendeley":{"formattedCitation":"(Xu et al., 2015)","plainTextFormattedCitation":"(Xu et al., 2015)","previouslyFormattedCitation":"(Xu et al., 2015)"},"properties":{"noteIndex":0},"schema":"https://github.com/citation-style-language/schema/raw/master/csl-citation.json"}</w:instrText>
      </w:r>
      <w:r w:rsidR="00005C96">
        <w:rPr>
          <w:rStyle w:val="selected"/>
        </w:rPr>
        <w:fldChar w:fldCharType="separate"/>
      </w:r>
      <w:r w:rsidR="00005C96" w:rsidRPr="00005C96">
        <w:rPr>
          <w:rStyle w:val="selected"/>
          <w:noProof/>
        </w:rPr>
        <w:t>(Xu et al., 2015)</w:t>
      </w:r>
      <w:r w:rsidR="00005C96">
        <w:rPr>
          <w:rStyle w:val="selected"/>
        </w:rPr>
        <w:fldChar w:fldCharType="end"/>
      </w:r>
      <w:r>
        <w:rPr>
          <w:rStyle w:val="selected"/>
        </w:rPr>
        <w:t xml:space="preserve">. </w:t>
      </w:r>
      <w:r w:rsidRPr="00196B52">
        <w:rPr>
          <w:rStyle w:val="selected"/>
          <w:highlight w:val="yellow"/>
        </w:rPr>
        <w:t xml:space="preserve">However, the specific serum </w:t>
      </w:r>
      <w:r w:rsidR="00196B52" w:rsidRPr="00196B52">
        <w:rPr>
          <w:rStyle w:val="selected"/>
          <w:highlight w:val="yellow"/>
        </w:rPr>
        <w:t xml:space="preserve">total testosterone concentrations </w:t>
      </w:r>
      <w:r w:rsidRPr="00196B52">
        <w:rPr>
          <w:rStyle w:val="selected"/>
          <w:highlight w:val="yellow"/>
        </w:rPr>
        <w:t>required to differentiate between BPH and malignant transformation are not universally established</w:t>
      </w:r>
      <w:r>
        <w:rPr>
          <w:rStyle w:val="selected"/>
        </w:rPr>
        <w:t>. Furthermore, contemporary literature often presents conflicting evidence, with some studies indicating that men with low testosterone are at higher risk for aggressive CAP</w:t>
      </w:r>
      <w:r w:rsidR="00C270A3">
        <w:rPr>
          <w:rStyle w:val="selected"/>
        </w:rPr>
        <w:t xml:space="preserve">. </w:t>
      </w:r>
      <w:r w:rsidR="00C270A3" w:rsidRPr="008F041E">
        <w:rPr>
          <w:rStyle w:val="selected"/>
          <w:highlight w:val="yellow"/>
        </w:rPr>
        <w:t>In contrast,</w:t>
      </w:r>
      <w:r w:rsidRPr="008F041E">
        <w:rPr>
          <w:rStyle w:val="selected"/>
          <w:highlight w:val="yellow"/>
        </w:rPr>
        <w:t xml:space="preserve"> others suggest </w:t>
      </w:r>
      <w:r w:rsidR="008F041E" w:rsidRPr="008F041E">
        <w:rPr>
          <w:rStyle w:val="selected"/>
          <w:highlight w:val="yellow"/>
        </w:rPr>
        <w:t>that levels are prese</w:t>
      </w:r>
      <w:r w:rsidR="008F041E">
        <w:rPr>
          <w:rStyle w:val="selected"/>
          <w:highlight w:val="yellow"/>
        </w:rPr>
        <w:t>rved or even elevated in localiz</w:t>
      </w:r>
      <w:r w:rsidR="008F041E" w:rsidRPr="008F041E">
        <w:rPr>
          <w:rStyle w:val="selected"/>
          <w:highlight w:val="yellow"/>
        </w:rPr>
        <w:t>ed</w:t>
      </w:r>
      <w:r w:rsidR="00005C96" w:rsidRPr="008F041E">
        <w:rPr>
          <w:rStyle w:val="selected"/>
          <w:highlight w:val="yellow"/>
        </w:rPr>
        <w:t xml:space="preserve"> disease </w:t>
      </w:r>
      <w:r w:rsidR="00C270A3" w:rsidRPr="008F041E">
        <w:rPr>
          <w:rStyle w:val="selected"/>
          <w:highlight w:val="yellow"/>
        </w:rPr>
        <w:t>(</w:t>
      </w:r>
      <w:r w:rsidR="00005C96" w:rsidRPr="008F041E">
        <w:rPr>
          <w:rStyle w:val="selected"/>
          <w:highlight w:val="yellow"/>
        </w:rPr>
        <w:fldChar w:fldCharType="begin" w:fldLock="1"/>
      </w:r>
      <w:r w:rsidR="00FA424F" w:rsidRPr="008F041E">
        <w:rPr>
          <w:rStyle w:val="selected"/>
          <w:highlight w:val="yellow"/>
        </w:rPr>
        <w:instrText>ADDIN CSL_CITATION {"citationItems":[{"id":"ITEM-1","itemData":{"DOI":"10.1177/1756287215597633","ISSN":"1756-2872 (Print)","PMID":"26622322","abstract":"Testosterone plays a central role in male development and health. Likewise,  androgen deficiency, or hypogonadism, is associated with a variety of symptoms including decreased energy, diminished libido and erectile dysfunction, among others. Male androgen levels steadily decline with age, and, in a subset of symptomatic older men, can result in late-onset hypogonadism (LOH). Over the last decade, increased awareness of hypogonadism among patients and providers has led to a significant rise in the use of testosterone replacement therapy (TRT) for hypogonadism, and especially in LOH. Accompanying the rise in TRT are concerns of potential adverse effects, including cardiovascular risks and the promotion of prostate cancer. The 'androgen hypothesis' asserts that prostate cancer development and progression is driven by androgens, and thus TRT has the theoretical potential to drive prostate cancer development and progression. In this review, we examine existing data surrounding testosterone and prostate cancer. There is significant evidence that androgens promote prostate cancer in experimental systems. However, there is no clear evidence that elevations in endogenous testosterone levels promote the development of prostate cancer in humans. As a result of experimental and historical data on the progression of prostate cancer following TRT, there has been widespread belief that TRT will promote disease progression in prostate cancer patients. Despite these fears, there are a growing number of studies demonstrating no increase in prostate cancer incidence among men on TRT. Furthermore, in studies involving a small number of patients, there has been no discernable increase in disease progression in prostate cancer patients on TRT. While data from large, prospective, randomized, controlled trials are absent, TRT in select prostate cancer patients is likely safe. In the end, the use of TRT in prostate cancer patients is still considered experimental and should only be offered after well-informed shared decision making and with close monitoring.","author":[{"dropping-particle":"","family":"Michaud","given":"Jason E","non-dropping-particle":"","parse-names":false,"suffix":""},{"dropping-particle":"","family":"Billups","given":"Kevin L","non-dropping-particle":"","parse-names":false,"suffix":""},{"dropping-particle":"","family":"Partin","given":"Alan W","non-dropping-particle":"","parse-names":false,"suffix":""}],"container-title":"Therapeutic advances in urology","id":"ITEM-1","issue":"6","issued":{"date-parts":[["2015","12"]]},"language":"eng","page":"378-387","publisher-place":"England","title":"Testosterone and prostate cancer: an evidence-based review of pathogenesis and  oncologic risk.","type":"article-journal","volume":"7"},"uris":["http://www.mendeley.com/documents/?uuid=fd1c2a9f-8645-43d0-b14c-f8341b2a5b45"]}],"mendeley":{"formattedCitation":"(Michaud et al., 2015)","manualFormatting":"Michaud et al., 2015)","plainTextFormattedCitation":"(Michaud et al., 2015)","previouslyFormattedCitation":"(Michaud et al., 2015)"},"properties":{"noteIndex":0},"schema":"https://github.com/citation-style-language/schema/raw/master/csl-citation.json"}</w:instrText>
      </w:r>
      <w:r w:rsidR="00005C96" w:rsidRPr="008F041E">
        <w:rPr>
          <w:rStyle w:val="selected"/>
          <w:highlight w:val="yellow"/>
        </w:rPr>
        <w:fldChar w:fldCharType="separate"/>
      </w:r>
      <w:r w:rsidR="00005C96" w:rsidRPr="008F041E">
        <w:rPr>
          <w:rStyle w:val="selected"/>
          <w:noProof/>
          <w:highlight w:val="yellow"/>
        </w:rPr>
        <w:t>Michaud et al., 2015)</w:t>
      </w:r>
      <w:r w:rsidR="00005C96" w:rsidRPr="008F041E">
        <w:rPr>
          <w:rStyle w:val="selected"/>
          <w:highlight w:val="yellow"/>
        </w:rPr>
        <w:fldChar w:fldCharType="end"/>
      </w:r>
      <w:r w:rsidR="008E2CD0" w:rsidRPr="008F041E">
        <w:rPr>
          <w:rStyle w:val="selected"/>
          <w:highlight w:val="yellow"/>
        </w:rPr>
        <w:t>.</w:t>
      </w:r>
      <w:r w:rsidR="00FA424F">
        <w:rPr>
          <w:rStyle w:val="selected"/>
        </w:rPr>
        <w:t xml:space="preserve"> </w:t>
      </w:r>
      <w:r w:rsidR="00FA424F">
        <w:t xml:space="preserve">Thus, one out of every seven men will be diagnosed with prostate cancer, and half of the male population in their 60s will have BPH at one point or another </w:t>
      </w:r>
      <w:r w:rsidR="00FA424F">
        <w:fldChar w:fldCharType="begin" w:fldLock="1"/>
      </w:r>
      <w:r w:rsidR="00FA424F">
        <w:instrText>ADDIN CSL_CITATION {"citationItems":[{"id":"ITEM-1","itemData":{"DOI":"10.1016/j.euros.2022.07.004","ISSN":"2666-1683 (Electronic)","PMID":"36353071","abstract":"BACKGROUND: The association between benign prostatic hyperplasia (BPH) and  prostate cancer (PCa) remains controversial, largely due to a detection bias in traditional observational studies. OBJECTIVE: To assess the association between BPH and PCa using inherited single nucleotide polymorphisms (SNPs). DESIGN SETTING AND PARTICIPANTS: The participants were White men from the population-based UK Biobank (UKB). OUTCOME MEASUREMENTS AND STATISTICAL ANALYSIS: The association between BPH and PCa was tested for (1) phenotypic correlation using chi-square, (2) genetic correlation (r (g)) based on genome-wide SNPs using linkage disequilibrium score regression, and (3) cross-disease genetic associations based on known risk-associated SNPs (15 for BPH and 239 for PCa), individually and cumulatively using genetic risk score (GRS). RESULTS AND LIMITATIONS: Among 214 717 White men in the UKB, 24 623 (11%) and 14 311 (6.7%) had a diagnosis of BPH and PCa, respectively. Diagnoses of these two diseases were significantly correlated (χ(2) = 1862.80, p &lt; 0.001). A significant genetic correlation was found (r (g) = 0.16; 95% confidence interval 0.03-0.28, p = 0.01). In addition, significant cross-disease genetic associations for established risk-associated SNPs were also found. Among the 250 established genome-wide association study-significant SNPs of PCa or BPH, 49 were significantly associated with the risk of the other disease at p &lt; 0.05, significantly more than expected by chance (N = 12, p &lt; 0.001; χ(2) test). Furthermore, significant cross-disease GRS associations were also found; GRS(BPH) was significantly associated with PCa risk (odds ratio [OR] = 1.26 [1.18-1.36], p &lt; 0.001), and GRS(PCa) was significantly associated with BPH risk (OR = 1.03 [1.02-1.04], p &lt; 0.001). Moreover, GRS(BPH) was significantly and inversely associated with lethal PCa risk in a PCa case-case analysis (OR = 0.58 [0.41-0.81], p = 0.002). Only White men were studied. CONCLUSIONS: BPH and PCa share common inherited genetics, which suggests that the phenotypic association of these two diseases in observational studies is not entirely caused by the detection bias. PATIENT SUMMARY: For the first time, we found that benign prostatic hyperplasia and prostate cancer are genetically related. This finding may have implications in disease etiology and risk stratification.","author":[{"dropping-particle":"","family":"Glaser","given":"Alexander","non-dropping-particle":"","parse-names":false,"suffix":""},{"dropping-particle":"","family":"Shi","given":"Zhuqing","non-dropping-particle":"","parse-names":false,"suffix":""},{"dropping-particle":"","family":"Wei","given":"Jun","non-dropping-particle":"","parse-names":false,"suffix":""},{"dropping-particle":"","family":"Lanman","given":"Nadia A","non-dropping-particle":"","parse-names":false,"suffix":""},{"dropping-particle":"","family":"Ladson-Gary","given":"Skylar","non-dropping-particle":"","parse-names":false,"suffix":""},{"dropping-particle":"","family":"Vickman","given":"Renee E","non-dropping-particle":"","parse-names":false,"suffix":""},{"dropping-particle":"","family":"Franco","given":"Omar E","non-dropping-particle":"","parse-names":false,"suffix":""},{"dropping-particle":"","family":"Crawford","given":"Susan E","non-dropping-particle":"","parse-names":false,"suffix":""},{"dropping-particle":"","family":"Lilly Zheng","given":"S","non-dropping-particle":"","parse-names":false,"suffix":""},{"dropping-particle":"","family":"Hayward","given":"Simon W","non-dropping-particle":"","parse-names":false,"suffix":""},{"dropping-particle":"","family":"Isaacs","given":"William B","non-dropping-particle":"","parse-names":false,"suffix":""},{"dropping-particle":"","family":"Helfand","given":"Brian T","non-dropping-particle":"","parse-names":false,"suffix":""},{"dropping-particle":"","family":"Xu","given":"Jianfeng","non-dropping-particle":"","parse-names":false,"suffix":""}],"container-title":"European urology open science","id":"ITEM-1","issued":{"date-parts":[["2022","9"]]},"language":"eng","page":"54-61","publisher-place":"Netherlands","title":"Shared Inherited Genetics of Benign Prostatic Hyperplasia and Prostate Cancer.","type":"article-journal","volume":"43"},"uris":["http://www.mendeley.com/documents/?uuid=584209a1-2e1d-4a0f-8b01-9ce6308571e2"]}],"mendeley":{"formattedCitation":"(Glaser et al., 2022)","plainTextFormattedCitation":"(Glaser et al., 2022)","previouslyFormattedCitation":"(Glaser et al., 2022)"},"properties":{"noteIndex":0},"schema":"https://github.com/citation-style-language/schema/raw/master/csl-citation.json"}</w:instrText>
      </w:r>
      <w:r w:rsidR="00FA424F">
        <w:fldChar w:fldCharType="separate"/>
      </w:r>
      <w:r w:rsidR="00FA424F" w:rsidRPr="00FA424F">
        <w:rPr>
          <w:noProof/>
        </w:rPr>
        <w:t>(Glaser et al., 2022)</w:t>
      </w:r>
      <w:r w:rsidR="00FA424F">
        <w:fldChar w:fldCharType="end"/>
      </w:r>
      <w:r w:rsidR="00FA424F">
        <w:t>. Hence,</w:t>
      </w:r>
      <w:r w:rsidR="00FA424F">
        <w:rPr>
          <w:spacing w:val="-5"/>
        </w:rPr>
        <w:t xml:space="preserve"> </w:t>
      </w:r>
      <w:r w:rsidR="00FA424F">
        <w:t>specifically</w:t>
      </w:r>
      <w:r w:rsidR="00FA424F">
        <w:rPr>
          <w:spacing w:val="-5"/>
        </w:rPr>
        <w:t xml:space="preserve"> </w:t>
      </w:r>
      <w:r w:rsidR="00FA424F">
        <w:t>in</w:t>
      </w:r>
      <w:r w:rsidR="00FA424F">
        <w:rPr>
          <w:spacing w:val="-3"/>
        </w:rPr>
        <w:t xml:space="preserve"> </w:t>
      </w:r>
      <w:r w:rsidR="00FA424F">
        <w:t>Nigeria,</w:t>
      </w:r>
      <w:r w:rsidR="00FA424F">
        <w:rPr>
          <w:spacing w:val="-5"/>
        </w:rPr>
        <w:t xml:space="preserve"> </w:t>
      </w:r>
      <w:r w:rsidR="00FA424F">
        <w:t>the</w:t>
      </w:r>
      <w:r w:rsidR="00FA424F">
        <w:rPr>
          <w:spacing w:val="-5"/>
        </w:rPr>
        <w:t xml:space="preserve"> </w:t>
      </w:r>
      <w:r w:rsidR="00FA424F">
        <w:t>prevalence</w:t>
      </w:r>
      <w:r w:rsidR="00FA424F">
        <w:rPr>
          <w:spacing w:val="-4"/>
        </w:rPr>
        <w:t xml:space="preserve"> </w:t>
      </w:r>
      <w:r w:rsidR="00FA424F">
        <w:t>of reported BPH was 23.7%</w:t>
      </w:r>
      <w:r w:rsidR="00FA424F">
        <w:rPr>
          <w:spacing w:val="80"/>
          <w:w w:val="150"/>
        </w:rPr>
        <w:t xml:space="preserve"> </w:t>
      </w:r>
      <w:r w:rsidR="00FA424F">
        <w:t xml:space="preserve">while prostate cancer was 8.8% in men older than 50 years </w:t>
      </w:r>
      <w:r w:rsidR="00FA424F">
        <w:fldChar w:fldCharType="begin" w:fldLock="1"/>
      </w:r>
      <w:r w:rsidR="00FA424F">
        <w:instrText>ADDIN CSL_CITATION {"citationItems":[{"id":"ITEM-1","itemData":{"DOI":"10.9790/0853-2108085560","author":[{"dropping-particle":"","family":"Adebayo","given":"Teslim","non-dropping-particle":"","parse-names":false,"suffix":""},{"dropping-particle":"","family":"Olaniyan","given":"Olayinka","non-dropping-particle":"","parse-names":false,"suffix":""}],"container-title":"IOSR Journal of Dental and Medical Sciences","id":"ITEM-1","issued":{"date-parts":[["2022","8","28"]]},"page":"55-60","title":"Lipids and Testosterone Levels in Benign Prostatic Hyperplasia versus Prostate Cancer Patients attending Federal Teaching Hospital, Ido Ekiti, Nigeria","type":"article-journal","volume":"Volume 21"},"uris":["http://www.mendeley.com/documents/?uuid=f3eafc97-1374-4db5-bca0-9be257b4c7b5"]}],"mendeley":{"formattedCitation":"(Adebayo &amp; Olaniyan, 2022)","plainTextFormattedCitation":"(Adebayo &amp; Olaniyan, 2022)","previouslyFormattedCitation":"(Adebayo &amp; Olaniyan, 2022)"},"properties":{"noteIndex":0},"schema":"https://github.com/citation-style-language/schema/raw/master/csl-citation.json"}</w:instrText>
      </w:r>
      <w:r w:rsidR="00FA424F">
        <w:fldChar w:fldCharType="separate"/>
      </w:r>
      <w:r w:rsidR="00FA424F" w:rsidRPr="00FA424F">
        <w:rPr>
          <w:noProof/>
        </w:rPr>
        <w:t>(Adebayo &amp; Olaniyan, 2022)</w:t>
      </w:r>
      <w:r w:rsidR="00FA424F">
        <w:fldChar w:fldCharType="end"/>
      </w:r>
      <w:r w:rsidR="00FA424F">
        <w:t xml:space="preserve">. Recent studies have shown that maintaining normal serum vitamin A and D levels among males will not only help to reduce the risk or severity of prostate cancer but also be of great benefit to prostate health </w:t>
      </w:r>
      <w:r w:rsidR="00CC2F4D">
        <w:fldChar w:fldCharType="begin" w:fldLock="1"/>
      </w:r>
      <w:r w:rsidR="00CC2F4D">
        <w:instrText>ADDIN CSL_CITATION {"citationItems":[{"id":"ITEM-1","itemData":{"DOI":"10.9734/jcti/2025/v15i3311","ISBN":"0000000159937","abstract":"Background: Vitamin A and D are both fat-soluble vitamins that are crucial for maintaining overall health and are highly indispensable, despite their minimal daily requirements. Their involvement in cell proliferation, differentiation, and apoptosis has linked them to the development of various tumours, particularly those associated with an increased risk of benign prostatic hyperplasia (BPH) and cancer of the prostate (CAP).\r Objective: This study aims to assess the levels of vitamin A and D among adult men with BPH and prostate cancers attending the clinic at the Lagos University Teaching Hospital, to establish any form of relationship between these vitamins and the disease conditions.\r Methods: A total of one hundred thirty-eight consenting male subjects 50 years and above diagnosed with prostate enlargement (68) and prostate cancer (70) with Prostate Specific Antigen (PSA) above 4ng/ml and attended the urology clinic as well as healthy non-prostate diseased subjects’ men (69) attending general clinic all at the Lagos University Teaching Hospital, Idi-araba were recruited for the study. A 5 mL venous blood sample was collected from subjects and controls, and the samples were dispensed into specimen containers to determine the total PSA and Vitamins A and D levels using the ELISA method.  Data generated were subjected to statistical analysis using SPSS version 20 with the application of mean, student’s test, one-way ANOVA and Pearson’s correlation coefficient, adopting a p-value less than 0.05 (p&lt;0.05) as statistically significant.\r Results: Vitamin D levels among individuals in the hyperplasia and prostate cancer group were significantly higher than those in the control subjects. In contrast, vitamin A levels showed no significant difference compared to the hyperplasia and prostate cancer group. Additionally, a positive correlation was observed between vitamin A and D, as well as between serum total PSA and both disease conditions. However, no correlation was found between the vitamins (A and D) and serum PSA in the control group.\r Conclusion: Maintaining normal serum vitamin A and D levels among males will not only help to reduce the risk or severity of prostate cancer but also be of great benefit to prostate health.","author":[{"dropping-particle":"","family":"Ifionu","given":"Bart I.","non-dropping-particle":"","parse-names":false,"suffix":""},{"dropping-particle":"","family":"Okafor","given":"Chukwuma J.","non-dropping-particle":"","parse-names":false,"suffix":""},{"dropping-particle":"","family":"Ohwo","given":"Ufuoma","non-dropping-particle":"","parse-names":false,"suffix":""},{"dropping-particle":"","family":"Obianagha","given":"Nkem F.","non-dropping-particle":"","parse-names":false,"suffix":""},{"dropping-particle":"","family":"Obeagu","given":"Emmanuel Ifeanyi","non-dropping-particle":"","parse-names":false,"suffix":""},{"dropping-particle":"","family":"Ogundahunsi","given":"Omobolanle Abioye","non-dropping-particle":"","parse-names":false,"suffix":""},{"dropping-particle":"","family":"Adejumo","given":"E. N","non-dropping-particle":"","parse-names":false,"suffix":""},{"dropping-particle":"","family":"Enitan","given":"Seyi Samson","non-dropping-particle":"","parse-names":false,"suffix":""}],"container-title":"Journal of Cancer and Tumor International","id":"ITEM-1","issue":"3","issued":{"date-parts":[["2025"]]},"page":"171-178","title":"Assessment of Vitamin A and D Status in Male Patients with Prostate Disorders in Lagos, Nigeria","type":"article-journal","volume":"15"},"uris":["http://www.mendeley.com/documents/?uuid=74a77370-fb0b-4980-a448-4308a97c0e3e"]}],"mendeley":{"formattedCitation":"(Ifionu et al., 2025)","plainTextFormattedCitation":"(Ifionu et al., 2025)","previouslyFormattedCitation":"(Ifionu et al., 2025)"},"properties":{"noteIndex":0},"schema":"https://github.com/citation-style-language/schema/raw/master/csl-citation.json"}</w:instrText>
      </w:r>
      <w:r w:rsidR="00CC2F4D">
        <w:fldChar w:fldCharType="separate"/>
      </w:r>
      <w:r w:rsidR="00CC2F4D" w:rsidRPr="00CC2F4D">
        <w:rPr>
          <w:noProof/>
        </w:rPr>
        <w:t>(Ifionu et al., 2025)</w:t>
      </w:r>
      <w:r w:rsidR="00CC2F4D">
        <w:fldChar w:fldCharType="end"/>
      </w:r>
      <w:r w:rsidR="00CC2F4D">
        <w:t>.</w:t>
      </w:r>
      <w:r w:rsidR="00005C96">
        <w:rPr>
          <w:rStyle w:val="selected"/>
        </w:rPr>
        <w:t xml:space="preserve"> </w:t>
      </w:r>
      <w:r>
        <w:rPr>
          <w:rStyle w:val="selected"/>
        </w:rPr>
        <w:t xml:space="preserve">The precise differential diagnostic value of total serum testosterone, especially when </w:t>
      </w:r>
      <w:r w:rsidR="008E2CD0">
        <w:rPr>
          <w:rStyle w:val="selected"/>
        </w:rPr>
        <w:t>directly compared with</w:t>
      </w:r>
      <w:r>
        <w:rPr>
          <w:rStyle w:val="selected"/>
        </w:rPr>
        <w:t xml:space="preserve"> the known changes induced by BPH and CAP in a Nigerian setting, remains poorly defined.</w:t>
      </w:r>
    </w:p>
    <w:p w14:paraId="264A3810" w14:textId="77777777" w:rsidR="00532DC5" w:rsidRDefault="00532DC5" w:rsidP="00532DC5">
      <w:pPr>
        <w:pStyle w:val="NormalWeb"/>
        <w:jc w:val="both"/>
      </w:pPr>
      <w:r>
        <w:rPr>
          <w:rStyle w:val="selected"/>
        </w:rPr>
        <w:t xml:space="preserve">Therefore, </w:t>
      </w:r>
      <w:r w:rsidR="008E2CD0">
        <w:rPr>
          <w:rStyle w:val="selected"/>
        </w:rPr>
        <w:t>this study aimed</w:t>
      </w:r>
      <w:r>
        <w:rPr>
          <w:rStyle w:val="selected"/>
        </w:rPr>
        <w:t xml:space="preserve"> to compare the mean serum total PSA and total testosterone levels among patients diagnosed with prostate cancer, benign prostatic hyperplasia, and a healthy control group to determine their respective roles in the differential diagnosis of prostatic diseases in patients presenting at the Lagos University Teaching Hospital, Nigeria.</w:t>
      </w:r>
    </w:p>
    <w:p w14:paraId="085590FD" w14:textId="77777777" w:rsidR="00532DC5" w:rsidRDefault="00532DC5" w:rsidP="00532DC5">
      <w:pPr>
        <w:jc w:val="both"/>
      </w:pPr>
    </w:p>
    <w:p w14:paraId="3EECBBF0" w14:textId="5960AA28" w:rsidR="00C81445" w:rsidRDefault="00C81445" w:rsidP="006B63EA">
      <w:pPr>
        <w:pStyle w:val="BodyText"/>
        <w:spacing w:before="87"/>
        <w:ind w:left="0"/>
        <w:jc w:val="left"/>
      </w:pPr>
    </w:p>
    <w:p w14:paraId="1AF2B9D0" w14:textId="77777777" w:rsidR="00B943E6" w:rsidRDefault="00B943E6" w:rsidP="006B63EA">
      <w:pPr>
        <w:pStyle w:val="BodyText"/>
        <w:spacing w:before="87"/>
        <w:ind w:left="0"/>
        <w:jc w:val="left"/>
      </w:pPr>
    </w:p>
    <w:p w14:paraId="6CCF1469" w14:textId="77777777" w:rsidR="00CC2F4D" w:rsidRDefault="00CC2F4D" w:rsidP="00CC2F4D">
      <w:pPr>
        <w:spacing w:before="151"/>
        <w:jc w:val="both"/>
        <w:rPr>
          <w:b/>
          <w:spacing w:val="-2"/>
          <w:sz w:val="24"/>
        </w:rPr>
      </w:pPr>
      <w:r>
        <w:rPr>
          <w:b/>
          <w:sz w:val="24"/>
        </w:rPr>
        <w:t>Material</w:t>
      </w:r>
      <w:r>
        <w:rPr>
          <w:b/>
          <w:spacing w:val="-17"/>
          <w:sz w:val="24"/>
        </w:rPr>
        <w:t xml:space="preserve"> </w:t>
      </w:r>
      <w:r>
        <w:rPr>
          <w:b/>
          <w:sz w:val="24"/>
        </w:rPr>
        <w:t>and</w:t>
      </w:r>
      <w:r>
        <w:rPr>
          <w:b/>
          <w:spacing w:val="-2"/>
          <w:sz w:val="24"/>
        </w:rPr>
        <w:t xml:space="preserve"> Methods</w:t>
      </w:r>
    </w:p>
    <w:p w14:paraId="5F4EF4A8" w14:textId="77777777" w:rsidR="00CC2F4D" w:rsidRDefault="00CC2F4D" w:rsidP="00CC2F4D">
      <w:pPr>
        <w:spacing w:before="151"/>
        <w:jc w:val="both"/>
        <w:rPr>
          <w:b/>
          <w:spacing w:val="-2"/>
          <w:sz w:val="24"/>
        </w:rPr>
      </w:pPr>
    </w:p>
    <w:p w14:paraId="730CBC40" w14:textId="77777777" w:rsidR="00CC2F4D" w:rsidRDefault="00CC2F4D" w:rsidP="00CC2F4D">
      <w:pPr>
        <w:spacing w:before="151"/>
        <w:jc w:val="both"/>
        <w:rPr>
          <w:b/>
          <w:sz w:val="24"/>
        </w:rPr>
      </w:pPr>
      <w:r>
        <w:rPr>
          <w:b/>
          <w:spacing w:val="-2"/>
          <w:sz w:val="24"/>
        </w:rPr>
        <w:t>Human Subjects</w:t>
      </w:r>
    </w:p>
    <w:p w14:paraId="4A9EE0AE" w14:textId="1D11E432" w:rsidR="005F046B" w:rsidRDefault="005F046B" w:rsidP="005F046B">
      <w:pPr>
        <w:pStyle w:val="NormalWeb"/>
      </w:pPr>
      <w:r w:rsidRPr="005F046B">
        <w:t xml:space="preserve">A </w:t>
      </w:r>
      <w:r w:rsidRPr="005F046B">
        <w:rPr>
          <w:bCs/>
        </w:rPr>
        <w:t>cross-sectional study design</w:t>
      </w:r>
      <w:r w:rsidRPr="005F046B">
        <w:t xml:space="preserve"> was employed at the </w:t>
      </w:r>
      <w:r w:rsidRPr="005F046B">
        <w:rPr>
          <w:bCs/>
        </w:rPr>
        <w:t>Lagos University Teaching Hospital (LUTH), Idi Araba</w:t>
      </w:r>
      <w:r w:rsidRPr="005F046B">
        <w:t xml:space="preserve">, over </w:t>
      </w:r>
      <w:r w:rsidR="003F7AA6">
        <w:t>nine months</w:t>
      </w:r>
      <w:r w:rsidRPr="005F046B">
        <w:t xml:space="preserve"> from </w:t>
      </w:r>
      <w:r w:rsidRPr="005F046B">
        <w:rPr>
          <w:bCs/>
        </w:rPr>
        <w:t>January to September 2018</w:t>
      </w:r>
      <w:r w:rsidRPr="005F046B">
        <w:t xml:space="preserve">. </w:t>
      </w:r>
      <w:r w:rsidRPr="00B0421F">
        <w:rPr>
          <w:highlight w:val="yellow"/>
        </w:rPr>
        <w:t xml:space="preserve">A total of </w:t>
      </w:r>
      <w:r w:rsidRPr="00B0421F">
        <w:rPr>
          <w:bCs/>
          <w:highlight w:val="yellow"/>
        </w:rPr>
        <w:t>208 male patients</w:t>
      </w:r>
      <w:r w:rsidR="00B0421F" w:rsidRPr="00B0421F">
        <w:rPr>
          <w:bCs/>
          <w:highlight w:val="yellow"/>
        </w:rPr>
        <w:t xml:space="preserve"> aged 50 years and older</w:t>
      </w:r>
      <w:r w:rsidRPr="00B0421F">
        <w:rPr>
          <w:highlight w:val="yellow"/>
        </w:rPr>
        <w:t xml:space="preserve"> were </w:t>
      </w:r>
      <w:r w:rsidRPr="00B0421F">
        <w:rPr>
          <w:bCs/>
          <w:highlight w:val="yellow"/>
        </w:rPr>
        <w:t>randomly selected</w:t>
      </w:r>
      <w:r w:rsidRPr="00B0421F">
        <w:rPr>
          <w:highlight w:val="yellow"/>
        </w:rPr>
        <w:t>.</w:t>
      </w:r>
      <w:r w:rsidRPr="005F046B">
        <w:t xml:space="preserve"> The sample size calculation was based on a reported local prevalence rate of 7.9% in this demographic</w:t>
      </w:r>
      <w:r>
        <w:t xml:space="preserve"> </w:t>
      </w:r>
      <w:r w:rsidR="00CC2F4D">
        <w:fldChar w:fldCharType="begin" w:fldLock="1"/>
      </w:r>
      <w:r w:rsidR="00772F4D">
        <w:instrText>ADDIN CSL_CITATION {"citationItems":[{"id":"ITEM-1","itemData":{"DOI":"10.1002/9780470773666.refs","ISSN":"9780632052578","author":[{"dropping-particle":"","family":"Armitage","given":"P","non-dropping-particle":"","parse-names":false,"suffix":""},{"dropping-particle":"","family":"Berry","given":"G","non-dropping-particle":"","parse-names":false,"suffix":""},{"dropping-particle":"","family":"Matthews","given":"J N S","non-dropping-particle":"","parse-names":false,"suffix":""}],"id":"ITEM-1","issued":{"date-parts":[["2008","2","1"]]},"page":"760-783","title":"Statistical Methods in Medical Research, Fourth Edition","type":"article-journal"},"uris":["http://www.mendeley.com/documents/?uuid=e60a4b07-f221-4a2f-8fac-bd755856f056"]}],"mendeley":{"formattedCitation":"(Armitage et al., 2008)","plainTextFormattedCitation":"(Armitage et al., 2008)","previouslyFormattedCitation":"(Armitage et al., 2008)"},"properties":{"noteIndex":0},"schema":"https://github.com/citation-style-language/schema/raw/master/csl-citation.json"}</w:instrText>
      </w:r>
      <w:r w:rsidR="00CC2F4D">
        <w:fldChar w:fldCharType="separate"/>
      </w:r>
      <w:r w:rsidR="00CC2F4D" w:rsidRPr="00CC2F4D">
        <w:rPr>
          <w:noProof/>
        </w:rPr>
        <w:t>(Armitage et al., 2008)</w:t>
      </w:r>
      <w:r w:rsidR="00CC2F4D">
        <w:fldChar w:fldCharType="end"/>
      </w:r>
      <w:r w:rsidR="00CC2F4D">
        <w:t>.</w:t>
      </w:r>
      <w:r w:rsidR="00CC2F4D">
        <w:rPr>
          <w:spacing w:val="-15"/>
        </w:rPr>
        <w:t xml:space="preserve"> </w:t>
      </w:r>
      <w:r>
        <w:t>The study population comprised:</w:t>
      </w:r>
    </w:p>
    <w:p w14:paraId="4C1E4FBF" w14:textId="77777777" w:rsidR="005F046B" w:rsidRPr="005F046B" w:rsidRDefault="005F046B" w:rsidP="005F046B">
      <w:pPr>
        <w:pStyle w:val="NormalWeb"/>
        <w:numPr>
          <w:ilvl w:val="0"/>
          <w:numId w:val="4"/>
        </w:numPr>
      </w:pPr>
      <w:r w:rsidRPr="005F046B">
        <w:rPr>
          <w:bCs/>
        </w:rPr>
        <w:t>138 subjects</w:t>
      </w:r>
      <w:r w:rsidRPr="005F046B">
        <w:t xml:space="preserve"> with an existing diagnosis of prostate enlargement or cancer (PSA </w:t>
      </w:r>
      <w:r w:rsidRPr="005F046B">
        <w:rPr>
          <w:rStyle w:val="mrel"/>
        </w:rPr>
        <w:t>&gt;</w:t>
      </w:r>
      <w:r w:rsidRPr="005F046B">
        <w:rPr>
          <w:rStyle w:val="mord"/>
        </w:rPr>
        <w:t>4</w:t>
      </w:r>
      <w:r>
        <w:t xml:space="preserve"> ng/mL). This study</w:t>
      </w:r>
      <w:r w:rsidRPr="005F046B">
        <w:t xml:space="preserve"> included </w:t>
      </w:r>
      <w:r w:rsidRPr="005F046B">
        <w:rPr>
          <w:bCs/>
        </w:rPr>
        <w:t>70 patients with prostate cancer</w:t>
      </w:r>
      <w:r w:rsidRPr="005F046B">
        <w:t xml:space="preserve"> and </w:t>
      </w:r>
      <w:r w:rsidRPr="005F046B">
        <w:rPr>
          <w:bCs/>
        </w:rPr>
        <w:t>68 patients with Benign Prostatic Hyperplasia (BPH)</w:t>
      </w:r>
      <w:r w:rsidRPr="005F046B">
        <w:t>.</w:t>
      </w:r>
    </w:p>
    <w:p w14:paraId="41E638BD" w14:textId="77777777" w:rsidR="005F046B" w:rsidRPr="005F046B" w:rsidRDefault="005F046B" w:rsidP="005F046B">
      <w:pPr>
        <w:pStyle w:val="NormalWeb"/>
        <w:numPr>
          <w:ilvl w:val="0"/>
          <w:numId w:val="4"/>
        </w:numPr>
      </w:pPr>
      <w:r w:rsidRPr="005F046B">
        <w:rPr>
          <w:bCs/>
        </w:rPr>
        <w:t>69 age-matched</w:t>
      </w:r>
      <w:r w:rsidRPr="005F046B">
        <w:t xml:space="preserve"> subjects without prostate disease, who served as the </w:t>
      </w:r>
      <w:r w:rsidRPr="005F046B">
        <w:rPr>
          <w:bCs/>
        </w:rPr>
        <w:t>negative control group</w:t>
      </w:r>
      <w:r w:rsidRPr="005F046B">
        <w:t>.</w:t>
      </w:r>
    </w:p>
    <w:p w14:paraId="381B8925" w14:textId="77777777" w:rsidR="00CC2F4D" w:rsidRDefault="00CC2F4D" w:rsidP="00CC2F4D">
      <w:pPr>
        <w:pStyle w:val="BodyText"/>
        <w:spacing w:before="204" w:line="278" w:lineRule="auto"/>
        <w:ind w:left="0" w:right="726"/>
        <w:rPr>
          <w:spacing w:val="-4"/>
        </w:rPr>
      </w:pPr>
    </w:p>
    <w:p w14:paraId="13692C28" w14:textId="77777777" w:rsidR="00CC2F4D" w:rsidRPr="00804BC5" w:rsidRDefault="00CC2F4D" w:rsidP="00CC2F4D">
      <w:pPr>
        <w:pStyle w:val="BodyText"/>
        <w:spacing w:before="204" w:line="278" w:lineRule="auto"/>
        <w:ind w:left="0" w:right="726"/>
        <w:rPr>
          <w:b/>
          <w:spacing w:val="-13"/>
        </w:rPr>
      </w:pPr>
      <w:r w:rsidRPr="00804BC5">
        <w:rPr>
          <w:b/>
        </w:rPr>
        <w:t xml:space="preserve"> Exclusion Criteria</w:t>
      </w:r>
    </w:p>
    <w:p w14:paraId="44CFBA98" w14:textId="77777777" w:rsidR="00CC2F4D" w:rsidRDefault="00CC2F4D" w:rsidP="00CC2F4D">
      <w:pPr>
        <w:pStyle w:val="BodyText"/>
        <w:spacing w:before="204" w:line="278" w:lineRule="auto"/>
        <w:ind w:left="0" w:right="726"/>
      </w:pPr>
      <w:r>
        <w:t>All male subjects below 50 years of age, those who have had their prostate</w:t>
      </w:r>
      <w:r>
        <w:rPr>
          <w:spacing w:val="-15"/>
        </w:rPr>
        <w:t xml:space="preserve"> </w:t>
      </w:r>
      <w:r>
        <w:t>gland</w:t>
      </w:r>
      <w:r>
        <w:rPr>
          <w:spacing w:val="-15"/>
        </w:rPr>
        <w:t xml:space="preserve"> </w:t>
      </w:r>
      <w:r>
        <w:t>examination</w:t>
      </w:r>
      <w:r>
        <w:rPr>
          <w:spacing w:val="-15"/>
        </w:rPr>
        <w:t xml:space="preserve"> </w:t>
      </w:r>
      <w:r>
        <w:t>before</w:t>
      </w:r>
      <w:r>
        <w:rPr>
          <w:spacing w:val="-14"/>
        </w:rPr>
        <w:t xml:space="preserve"> </w:t>
      </w:r>
      <w:r>
        <w:t>sample</w:t>
      </w:r>
      <w:r>
        <w:rPr>
          <w:spacing w:val="-15"/>
        </w:rPr>
        <w:t xml:space="preserve"> </w:t>
      </w:r>
      <w:r>
        <w:t>collection</w:t>
      </w:r>
      <w:r>
        <w:rPr>
          <w:spacing w:val="-15"/>
        </w:rPr>
        <w:t xml:space="preserve"> </w:t>
      </w:r>
      <w:r>
        <w:t>through</w:t>
      </w:r>
      <w:r>
        <w:rPr>
          <w:spacing w:val="-15"/>
        </w:rPr>
        <w:t xml:space="preserve"> </w:t>
      </w:r>
      <w:r>
        <w:t>Direct</w:t>
      </w:r>
      <w:r>
        <w:rPr>
          <w:spacing w:val="-14"/>
        </w:rPr>
        <w:t xml:space="preserve"> </w:t>
      </w:r>
      <w:r>
        <w:t>Rectal</w:t>
      </w:r>
      <w:r>
        <w:rPr>
          <w:spacing w:val="-15"/>
        </w:rPr>
        <w:t xml:space="preserve"> </w:t>
      </w:r>
      <w:r>
        <w:t>Examination</w:t>
      </w:r>
      <w:r>
        <w:rPr>
          <w:spacing w:val="-15"/>
        </w:rPr>
        <w:t xml:space="preserve"> </w:t>
      </w:r>
      <w:r>
        <w:t>(DRE), as well as those with obvious morbidity, were excluded.</w:t>
      </w:r>
    </w:p>
    <w:p w14:paraId="70363EAB" w14:textId="77777777" w:rsidR="00CC2F4D" w:rsidRPr="00804BC5" w:rsidRDefault="00CC2F4D" w:rsidP="00CC2F4D">
      <w:pPr>
        <w:pStyle w:val="BodyText"/>
        <w:spacing w:before="204" w:line="278" w:lineRule="auto"/>
        <w:ind w:left="0" w:right="726"/>
        <w:rPr>
          <w:b/>
        </w:rPr>
      </w:pPr>
      <w:r w:rsidRPr="00804BC5">
        <w:rPr>
          <w:b/>
        </w:rPr>
        <w:t>Inclusion Criteria</w:t>
      </w:r>
    </w:p>
    <w:p w14:paraId="6C0F2413" w14:textId="77777777" w:rsidR="00CC2F4D" w:rsidRDefault="00CC2F4D" w:rsidP="00CC2F4D">
      <w:pPr>
        <w:pStyle w:val="BodyText"/>
        <w:spacing w:before="204" w:line="278" w:lineRule="auto"/>
        <w:ind w:left="0" w:right="726"/>
      </w:pPr>
      <w:r>
        <w:t>Male subjects 50 years and above diagnosed with prostate cancer or BPH.</w:t>
      </w:r>
    </w:p>
    <w:p w14:paraId="1BE7D3C8" w14:textId="77777777" w:rsidR="00CC2F4D" w:rsidRDefault="00CC2F4D" w:rsidP="00CC2F4D">
      <w:pPr>
        <w:pStyle w:val="BodyText"/>
        <w:spacing w:before="204" w:line="278" w:lineRule="auto"/>
        <w:ind w:left="0" w:right="726"/>
      </w:pPr>
    </w:p>
    <w:p w14:paraId="27B46245" w14:textId="77777777" w:rsidR="00CC2F4D" w:rsidRPr="00F716E5" w:rsidRDefault="00CC2F4D" w:rsidP="00CC2F4D">
      <w:pPr>
        <w:spacing w:line="276" w:lineRule="auto"/>
        <w:jc w:val="both"/>
        <w:rPr>
          <w:b/>
        </w:rPr>
      </w:pPr>
      <w:r w:rsidRPr="00F716E5">
        <w:rPr>
          <w:b/>
        </w:rPr>
        <w:t xml:space="preserve">Sample Collection </w:t>
      </w:r>
      <w:proofErr w:type="gramStart"/>
      <w:r w:rsidRPr="00F716E5">
        <w:rPr>
          <w:b/>
        </w:rPr>
        <w:t>And</w:t>
      </w:r>
      <w:proofErr w:type="gramEnd"/>
      <w:r w:rsidRPr="00F716E5">
        <w:rPr>
          <w:b/>
        </w:rPr>
        <w:t xml:space="preserve"> Methods</w:t>
      </w:r>
    </w:p>
    <w:p w14:paraId="4E2AB6E6" w14:textId="77777777" w:rsidR="00CC2F4D" w:rsidRPr="00F716E5" w:rsidRDefault="00CC2F4D" w:rsidP="00CC2F4D">
      <w:pPr>
        <w:pStyle w:val="BodyText"/>
        <w:spacing w:before="204" w:line="278" w:lineRule="auto"/>
        <w:ind w:left="0" w:right="726"/>
        <w:rPr>
          <w:b/>
        </w:rPr>
      </w:pPr>
    </w:p>
    <w:p w14:paraId="57B77A7B" w14:textId="7CD773E9" w:rsidR="00CC2F4D" w:rsidRDefault="00CC2F4D" w:rsidP="00CC2F4D">
      <w:pPr>
        <w:pStyle w:val="BodyText"/>
        <w:spacing w:before="155" w:line="278" w:lineRule="auto"/>
        <w:ind w:left="0" w:right="724"/>
      </w:pPr>
      <w:r w:rsidRPr="008F041E">
        <w:rPr>
          <w:highlight w:val="yellow"/>
        </w:rPr>
        <w:t xml:space="preserve">A </w:t>
      </w:r>
      <w:r w:rsidR="008F041E" w:rsidRPr="008F041E">
        <w:rPr>
          <w:highlight w:val="yellow"/>
        </w:rPr>
        <w:t xml:space="preserve">5 mL venous blood sample was collected from subjects and controls and dispensed into specimen containers to determine serum total PSA and </w:t>
      </w:r>
      <w:r w:rsidRPr="008F041E">
        <w:rPr>
          <w:highlight w:val="yellow"/>
        </w:rPr>
        <w:t>testosterone</w:t>
      </w:r>
      <w:r w:rsidRPr="008F041E">
        <w:rPr>
          <w:spacing w:val="-14"/>
          <w:highlight w:val="yellow"/>
        </w:rPr>
        <w:t xml:space="preserve"> </w:t>
      </w:r>
      <w:r w:rsidRPr="008F041E">
        <w:rPr>
          <w:highlight w:val="yellow"/>
        </w:rPr>
        <w:t>levels</w:t>
      </w:r>
      <w:r>
        <w:t>.</w:t>
      </w:r>
      <w:r>
        <w:rPr>
          <w:spacing w:val="-14"/>
        </w:rPr>
        <w:t xml:space="preserve"> </w:t>
      </w:r>
      <w:r>
        <w:t>Samples</w:t>
      </w:r>
      <w:r>
        <w:rPr>
          <w:spacing w:val="-14"/>
        </w:rPr>
        <w:t xml:space="preserve"> </w:t>
      </w:r>
      <w:r>
        <w:t>were allowed</w:t>
      </w:r>
      <w:r>
        <w:rPr>
          <w:spacing w:val="-2"/>
        </w:rPr>
        <w:t xml:space="preserve"> </w:t>
      </w:r>
      <w:r>
        <w:t>to</w:t>
      </w:r>
      <w:r>
        <w:rPr>
          <w:spacing w:val="-2"/>
        </w:rPr>
        <w:t xml:space="preserve"> </w:t>
      </w:r>
      <w:r>
        <w:t>retract</w:t>
      </w:r>
      <w:r>
        <w:rPr>
          <w:spacing w:val="-2"/>
        </w:rPr>
        <w:t xml:space="preserve"> </w:t>
      </w:r>
      <w:r>
        <w:t>and</w:t>
      </w:r>
      <w:r>
        <w:rPr>
          <w:spacing w:val="-2"/>
        </w:rPr>
        <w:t xml:space="preserve"> </w:t>
      </w:r>
      <w:r>
        <w:t>spun</w:t>
      </w:r>
      <w:r>
        <w:rPr>
          <w:spacing w:val="-2"/>
        </w:rPr>
        <w:t xml:space="preserve"> </w:t>
      </w:r>
      <w:r>
        <w:t>at</w:t>
      </w:r>
      <w:r>
        <w:rPr>
          <w:spacing w:val="-2"/>
        </w:rPr>
        <w:t xml:space="preserve"> </w:t>
      </w:r>
      <w:r>
        <w:t>3000 rpm</w:t>
      </w:r>
      <w:r>
        <w:rPr>
          <w:spacing w:val="-2"/>
        </w:rPr>
        <w:t xml:space="preserve"> </w:t>
      </w:r>
      <w:r>
        <w:t>for</w:t>
      </w:r>
      <w:r>
        <w:rPr>
          <w:spacing w:val="-1"/>
        </w:rPr>
        <w:t xml:space="preserve"> </w:t>
      </w:r>
      <w:r>
        <w:t>5</w:t>
      </w:r>
      <w:r>
        <w:rPr>
          <w:spacing w:val="-2"/>
        </w:rPr>
        <w:t xml:space="preserve"> </w:t>
      </w:r>
      <w:r>
        <w:t>minutes.</w:t>
      </w:r>
      <w:r>
        <w:rPr>
          <w:spacing w:val="40"/>
        </w:rPr>
        <w:t xml:space="preserve"> </w:t>
      </w:r>
      <w:r>
        <w:t>The</w:t>
      </w:r>
      <w:r>
        <w:rPr>
          <w:spacing w:val="-1"/>
        </w:rPr>
        <w:t xml:space="preserve"> </w:t>
      </w:r>
      <w:r>
        <w:t>supernatant</w:t>
      </w:r>
      <w:r>
        <w:rPr>
          <w:spacing w:val="-2"/>
        </w:rPr>
        <w:t xml:space="preserve"> </w:t>
      </w:r>
      <w:r>
        <w:t>plasma</w:t>
      </w:r>
      <w:r>
        <w:rPr>
          <w:spacing w:val="-2"/>
        </w:rPr>
        <w:t xml:space="preserve"> </w:t>
      </w:r>
      <w:r>
        <w:t>was separated and stored at -20°C for batch analysis.</w:t>
      </w:r>
      <w:r>
        <w:rPr>
          <w:spacing w:val="-5"/>
        </w:rPr>
        <w:t xml:space="preserve"> </w:t>
      </w:r>
      <w:r>
        <w:t>The plasma</w:t>
      </w:r>
      <w:r>
        <w:rPr>
          <w:spacing w:val="-1"/>
        </w:rPr>
        <w:t xml:space="preserve"> </w:t>
      </w:r>
      <w:r>
        <w:t>concentrations of prostate-specific antigen and testosterone were measured using an Enzyme-Linked Immunosorbent</w:t>
      </w:r>
      <w:r>
        <w:rPr>
          <w:spacing w:val="-6"/>
        </w:rPr>
        <w:t xml:space="preserve"> </w:t>
      </w:r>
      <w:r>
        <w:t xml:space="preserve">Assay (ELISA) </w:t>
      </w:r>
      <w:r w:rsidR="00772F4D">
        <w:fldChar w:fldCharType="begin" w:fldLock="1"/>
      </w:r>
      <w:r w:rsidR="00772F4D">
        <w:instrText>ADDIN CSL_CITATION {"citationItems":[{"id":"ITEM-1","itemData":{"DOI":"10.9790/0853-2108085560","author":[{"dropping-particle":"","family":"Adebayo","given":"Teslim","non-dropping-particle":"","parse-names":false,"suffix":""},{"dropping-particle":"","family":"Olaniyan","given":"Olayinka","non-dropping-particle":"","parse-names":false,"suffix":""}],"container-title":"IOSR Journal of Dental and Medical Sciences","id":"ITEM-1","issued":{"date-parts":[["2022","8","28"]]},"page":"55-60","title":"Lipids and Testosterone Levels in Benign Prostatic Hyperplasia versus Prostate Cancer Patients attending Federal Teaching Hospital, Ido Ekiti, Nigeria","type":"article-journal","volume":"Volume 21"},"uris":["http://www.mendeley.com/documents/?uuid=f3eafc97-1374-4db5-bca0-9be257b4c7b5"]}],"mendeley":{"formattedCitation":"(Adebayo &amp; Olaniyan, 2022)","plainTextFormattedCitation":"(Adebayo &amp; Olaniyan, 2022)","previouslyFormattedCitation":"(Adebayo &amp; Olaniyan, 2022)"},"properties":{"noteIndex":0},"schema":"https://github.com/citation-style-language/schema/raw/master/csl-citation.json"}</w:instrText>
      </w:r>
      <w:r w:rsidR="00772F4D">
        <w:fldChar w:fldCharType="separate"/>
      </w:r>
      <w:r w:rsidR="00772F4D" w:rsidRPr="00772F4D">
        <w:rPr>
          <w:noProof/>
        </w:rPr>
        <w:t>(Adebayo &amp; Olaniyan, 2022)</w:t>
      </w:r>
      <w:r w:rsidR="00772F4D">
        <w:fldChar w:fldCharType="end"/>
      </w:r>
      <w:r>
        <w:rPr>
          <w:spacing w:val="-15"/>
        </w:rPr>
        <w:t xml:space="preserve"> </w:t>
      </w:r>
      <w:r>
        <w:t xml:space="preserve"> </w:t>
      </w:r>
    </w:p>
    <w:p w14:paraId="34E2B439" w14:textId="77777777" w:rsidR="00CC2F4D" w:rsidRDefault="00CC2F4D" w:rsidP="00CC2F4D">
      <w:pPr>
        <w:pStyle w:val="BodyText"/>
        <w:spacing w:before="155" w:line="278" w:lineRule="auto"/>
        <w:ind w:left="0" w:right="724"/>
        <w:rPr>
          <w:b/>
        </w:rPr>
      </w:pPr>
      <w:r w:rsidRPr="00804BC5">
        <w:rPr>
          <w:b/>
        </w:rPr>
        <w:t>Processing and Analysis</w:t>
      </w:r>
    </w:p>
    <w:p w14:paraId="7828CBFD" w14:textId="0653DE1C" w:rsidR="00CC2F4D" w:rsidRDefault="00CC2F4D" w:rsidP="00CC2F4D">
      <w:pPr>
        <w:pStyle w:val="BodyText"/>
        <w:spacing w:before="155" w:line="278" w:lineRule="auto"/>
        <w:ind w:left="0" w:right="724"/>
        <w:rPr>
          <w:b/>
        </w:rPr>
      </w:pPr>
      <w:r w:rsidRPr="00B0421F">
        <w:rPr>
          <w:highlight w:val="yellow"/>
        </w:rPr>
        <w:t xml:space="preserve">The </w:t>
      </w:r>
      <w:r w:rsidR="00B0421F">
        <w:rPr>
          <w:highlight w:val="yellow"/>
        </w:rPr>
        <w:t>collected data were analyz</w:t>
      </w:r>
      <w:r w:rsidR="00B0421F" w:rsidRPr="00B0421F">
        <w:rPr>
          <w:highlight w:val="yellow"/>
        </w:rPr>
        <w:t>ed statistically using Welch's independent-samples t-tests to compare</w:t>
      </w:r>
      <w:r w:rsidR="00772F4D" w:rsidRPr="00B0421F">
        <w:rPr>
          <w:color w:val="1B1C1D"/>
          <w:highlight w:val="yellow"/>
        </w:rPr>
        <w:t xml:space="preserve"> mean PSA and testosterone levels between the three groups. A </w:t>
      </w:r>
      <w:r w:rsidR="00772F4D" w:rsidRPr="00B0421F">
        <w:rPr>
          <w:rStyle w:val="mord"/>
          <w:color w:val="1B1C1D"/>
          <w:highlight w:val="yellow"/>
          <w:bdr w:val="none" w:sz="0" w:space="0" w:color="auto" w:frame="1"/>
        </w:rPr>
        <w:t>p</w:t>
      </w:r>
      <w:r w:rsidR="00772F4D" w:rsidRPr="00B0421F">
        <w:rPr>
          <w:color w:val="1B1C1D"/>
          <w:highlight w:val="yellow"/>
        </w:rPr>
        <w:t xml:space="preserve">-value of </w:t>
      </w:r>
      <w:r w:rsidR="00772F4D" w:rsidRPr="00B0421F">
        <w:rPr>
          <w:rStyle w:val="mrel"/>
          <w:rFonts w:eastAsiaTheme="majorEastAsia"/>
          <w:color w:val="1B1C1D"/>
          <w:highlight w:val="yellow"/>
          <w:bdr w:val="none" w:sz="0" w:space="0" w:color="auto" w:frame="1"/>
        </w:rPr>
        <w:t>&lt;</w:t>
      </w:r>
      <w:r w:rsidR="00772F4D" w:rsidRPr="00B0421F">
        <w:rPr>
          <w:rStyle w:val="mord"/>
          <w:color w:val="1B1C1D"/>
          <w:highlight w:val="yellow"/>
          <w:bdr w:val="none" w:sz="0" w:space="0" w:color="auto" w:frame="1"/>
        </w:rPr>
        <w:t>0.05</w:t>
      </w:r>
      <w:r w:rsidR="00772F4D" w:rsidRPr="00B0421F">
        <w:rPr>
          <w:color w:val="1B1C1D"/>
          <w:highlight w:val="yellow"/>
        </w:rPr>
        <w:t xml:space="preserve"> </w:t>
      </w:r>
      <w:r w:rsidR="00772F4D" w:rsidRPr="00B0421F">
        <w:rPr>
          <w:color w:val="1B1C1D"/>
          <w:highlight w:val="yellow"/>
        </w:rPr>
        <w:lastRenderedPageBreak/>
        <w:t>was considered statistically significant.</w:t>
      </w:r>
      <w:r w:rsidR="00772F4D" w:rsidRPr="00D73E3F">
        <w:rPr>
          <w:color w:val="1B1C1D"/>
        </w:rPr>
        <w:t xml:space="preserve"> </w:t>
      </w:r>
    </w:p>
    <w:p w14:paraId="5026AE95" w14:textId="77777777" w:rsidR="00CC2F4D" w:rsidRDefault="00CC2F4D" w:rsidP="00CC2F4D">
      <w:pPr>
        <w:pStyle w:val="BodyText"/>
        <w:spacing w:before="155" w:line="278" w:lineRule="auto"/>
        <w:ind w:left="0" w:right="724"/>
        <w:rPr>
          <w:b/>
        </w:rPr>
      </w:pPr>
    </w:p>
    <w:p w14:paraId="770465C3" w14:textId="77777777" w:rsidR="00CC2F4D" w:rsidRDefault="00CC2F4D" w:rsidP="00CC2F4D">
      <w:pPr>
        <w:pStyle w:val="BodyText"/>
        <w:spacing w:before="155" w:line="278" w:lineRule="auto"/>
        <w:ind w:left="0" w:right="724"/>
        <w:rPr>
          <w:b/>
        </w:rPr>
      </w:pPr>
    </w:p>
    <w:p w14:paraId="7EC0EFA9" w14:textId="77777777" w:rsidR="00CC2F4D" w:rsidRDefault="00CC2F4D" w:rsidP="00CC2F4D">
      <w:pPr>
        <w:pStyle w:val="BodyText"/>
        <w:spacing w:before="155" w:line="278" w:lineRule="auto"/>
        <w:ind w:left="0" w:right="724"/>
        <w:rPr>
          <w:b/>
        </w:rPr>
      </w:pPr>
      <w:r w:rsidRPr="00804BC5">
        <w:rPr>
          <w:b/>
        </w:rPr>
        <w:t xml:space="preserve">Estimation of </w:t>
      </w:r>
      <w:r>
        <w:rPr>
          <w:b/>
        </w:rPr>
        <w:t>Testosterone</w:t>
      </w:r>
    </w:p>
    <w:p w14:paraId="4AB7101E" w14:textId="77777777" w:rsidR="00CC2F4D" w:rsidRDefault="00CC2F4D" w:rsidP="00CC2F4D">
      <w:pPr>
        <w:pStyle w:val="BodyText"/>
        <w:spacing w:before="155" w:line="278" w:lineRule="auto"/>
        <w:ind w:left="0" w:right="724"/>
        <w:rPr>
          <w:b/>
        </w:rPr>
      </w:pPr>
    </w:p>
    <w:p w14:paraId="6BF23420" w14:textId="77777777" w:rsidR="00CC2F4D" w:rsidRDefault="00CC2F4D" w:rsidP="00326C36">
      <w:pPr>
        <w:pStyle w:val="BodyText"/>
        <w:spacing w:before="155"/>
        <w:ind w:left="0" w:right="724"/>
        <w:rPr>
          <w:b/>
        </w:rPr>
      </w:pPr>
      <w:r>
        <w:rPr>
          <w:b/>
        </w:rPr>
        <w:t>Principle</w:t>
      </w:r>
    </w:p>
    <w:p w14:paraId="45C698AD" w14:textId="7473EE97" w:rsidR="00CC2F4D" w:rsidRPr="005361F9" w:rsidRDefault="00CC2F4D" w:rsidP="00326C36">
      <w:pPr>
        <w:jc w:val="both"/>
      </w:pPr>
      <w:r w:rsidRPr="00196B52">
        <w:rPr>
          <w:highlight w:val="yellow"/>
        </w:rPr>
        <w:t xml:space="preserve">The </w:t>
      </w:r>
      <w:r w:rsidR="00772F4D" w:rsidRPr="00196B52">
        <w:rPr>
          <w:highlight w:val="yellow"/>
        </w:rPr>
        <w:t>Testosterone</w:t>
      </w:r>
      <w:r w:rsidRPr="00196B52">
        <w:rPr>
          <w:highlight w:val="yellow"/>
        </w:rPr>
        <w:t xml:space="preserve"> kit was a one-step immunoassay </w:t>
      </w:r>
      <w:r w:rsidR="00196B52" w:rsidRPr="00196B52">
        <w:rPr>
          <w:highlight w:val="yellow"/>
        </w:rPr>
        <w:t>for determining testosterone in human serum, using</w:t>
      </w:r>
      <w:r w:rsidRPr="00196B52">
        <w:rPr>
          <w:highlight w:val="yellow"/>
        </w:rPr>
        <w:t xml:space="preserve"> a competitive microplate enzyme-linked immunosorbent assay (ELISA).</w:t>
      </w:r>
      <w:r>
        <w:t xml:space="preserve"> The </w:t>
      </w:r>
      <w:proofErr w:type="spellStart"/>
      <w:r>
        <w:t>microtitre</w:t>
      </w:r>
      <w:proofErr w:type="spellEnd"/>
      <w:r>
        <w:t xml:space="preserve"> wells were</w:t>
      </w:r>
      <w:r w:rsidRPr="005361F9">
        <w:t xml:space="preserve"> coated</w:t>
      </w:r>
      <w:r>
        <w:t xml:space="preserve"> with an antibody directed towards a</w:t>
      </w:r>
      <w:r w:rsidRPr="005361F9">
        <w:t xml:space="preserve"> unique </w:t>
      </w:r>
      <w:r>
        <w:t>antigenic</w:t>
      </w:r>
      <w:r w:rsidRPr="005361F9">
        <w:t xml:space="preserve"> site on the Testosterone molecule. </w:t>
      </w:r>
      <w:r>
        <w:t xml:space="preserve">The endogenous testosterone in a patient sample is labelled with a Testosterone-horseradish peroxidase conjugate to form </w:t>
      </w:r>
      <w:r w:rsidRPr="005361F9">
        <w:t>the coated antibody.</w:t>
      </w:r>
      <w:r>
        <w:t xml:space="preserve"> After incubation, the wells were</w:t>
      </w:r>
      <w:r w:rsidRPr="005361F9">
        <w:t xml:space="preserve"> washed with washing buffer to remove unbound </w:t>
      </w:r>
      <w:r>
        <w:t>labelled</w:t>
      </w:r>
      <w:r w:rsidRPr="005361F9">
        <w:t xml:space="preserve"> testosterone. A so</w:t>
      </w:r>
      <w:r>
        <w:t>lution of TMB Reagent was</w:t>
      </w:r>
      <w:r w:rsidRPr="005361F9">
        <w:t xml:space="preserve"> added and incubated, resulting in the development of a blue </w:t>
      </w:r>
      <w:proofErr w:type="spellStart"/>
      <w:r w:rsidRPr="005361F9">
        <w:t>colour</w:t>
      </w:r>
      <w:proofErr w:type="spellEnd"/>
      <w:r w:rsidRPr="005361F9">
        <w:t xml:space="preserve">. </w:t>
      </w:r>
      <w:r w:rsidRPr="008F041E">
        <w:rPr>
          <w:highlight w:val="yellow"/>
        </w:rPr>
        <w:t xml:space="preserve">The </w:t>
      </w:r>
      <w:proofErr w:type="spellStart"/>
      <w:r w:rsidRPr="008F041E">
        <w:rPr>
          <w:highlight w:val="yellow"/>
        </w:rPr>
        <w:t>colour</w:t>
      </w:r>
      <w:proofErr w:type="spellEnd"/>
      <w:r w:rsidRPr="008F041E">
        <w:rPr>
          <w:highlight w:val="yellow"/>
        </w:rPr>
        <w:t xml:space="preserve"> development was stopped </w:t>
      </w:r>
      <w:r w:rsidR="00196B52" w:rsidRPr="008F041E">
        <w:rPr>
          <w:highlight w:val="yellow"/>
        </w:rPr>
        <w:t>by adding</w:t>
      </w:r>
      <w:r w:rsidRPr="008F041E">
        <w:rPr>
          <w:highlight w:val="yellow"/>
        </w:rPr>
        <w:t xml:space="preserve"> Stop Solution, resulting in a </w:t>
      </w:r>
      <w:r w:rsidR="008F041E" w:rsidRPr="008F041E">
        <w:rPr>
          <w:highlight w:val="yellow"/>
        </w:rPr>
        <w:t xml:space="preserve">yellow </w:t>
      </w:r>
      <w:proofErr w:type="spellStart"/>
      <w:r w:rsidR="008F041E" w:rsidRPr="008F041E">
        <w:rPr>
          <w:highlight w:val="yellow"/>
        </w:rPr>
        <w:t>colour</w:t>
      </w:r>
      <w:proofErr w:type="spellEnd"/>
      <w:r w:rsidRPr="008F041E">
        <w:rPr>
          <w:highlight w:val="yellow"/>
        </w:rPr>
        <w:t>.</w:t>
      </w:r>
      <w:r w:rsidRPr="005361F9">
        <w:t xml:space="preserve"> Absorbance is measured spectrophotometrically at 450 </w:t>
      </w:r>
      <w:r>
        <w:t>nm</w:t>
      </w:r>
      <w:r w:rsidRPr="005361F9">
        <w:t xml:space="preserve">. </w:t>
      </w:r>
      <w:r w:rsidRPr="00B0421F">
        <w:rPr>
          <w:highlight w:val="yellow"/>
        </w:rPr>
        <w:t xml:space="preserve">The amount of bound peroxidase conjugate was inversely proportional to the </w:t>
      </w:r>
      <w:r w:rsidR="00B0421F" w:rsidRPr="00B0421F">
        <w:rPr>
          <w:highlight w:val="yellow"/>
        </w:rPr>
        <w:t>sample's testosterone concentration</w:t>
      </w:r>
      <w:r w:rsidR="00B0421F">
        <w:t xml:space="preserve"> </w:t>
      </w:r>
      <w:r>
        <w:fldChar w:fldCharType="begin" w:fldLock="1"/>
      </w:r>
      <w:r>
        <w:instrText>ADDIN CSL_CITATION {"citationItems":[{"id":"ITEM-1","itemData":{"DOI":"10.1016/0009-8981(89)90335-5","ISSN":"0009-8981 (Print)","PMID":"2676245","abstract":"An enzyme immunoassay for plasma testosterone was developed based on competition  between an immobilised testosterone-casein conjugate and the analyte for polyclonal anti-testosterone immunoglobulins, followed by the use of enzyme-labelled second antibodies to determine the degree of competition. The quantity of immobilised testosterone-casein conjugate was optimised so that the lower affinity anti-testosterone antibody populations present did not affect the assay. The assay standard curve covered a range of 11-300 fmol/well. Testosterone levels in small amounts of male and female plasma could be assayed with good reproducibility and correlated well with results obtained by radioimmunoassay. By comparison with an analogous assay using monoclonal antibodies it appears that, given that the assay sensitivity is the most important criterion for choice, the use a polyclonal antiserum with this type of reactive antibody selection is preferable to the use of monoclonal antibodies.","author":[{"dropping-particle":"","family":"Rajkowski","given":"K M","non-dropping-particle":"","parse-names":false,"suffix":""},{"dropping-particle":"","family":"Hanquez","given":"C","non-dropping-particle":"","parse-names":false,"suffix":""},{"dropping-particle":"","family":"Bouzoumou","given":"A","non-dropping-particle":"","parse-names":false,"suffix":""},{"dropping-particle":"","family":"Cittanova","given":"N","non-dropping-particle":"","parse-names":false,"suffix":""}],"container-title":"Clinica chimica acta; international journal of clinical chemistry","id":"ITEM-1","issue":"2","issued":{"date-parts":[["1989","8"]]},"language":"eng","page":"197-206","publisher-place":"Netherlands","title":"A competitive microtitre plate enzyme immunoassay for plasma testosterone using  polyclonal anti-testosterone immunoglobulins.","type":"article-journal","volume":"183"},"uris":["http://www.mendeley.com/documents/?uuid=bd34848d-f8ec-4098-917e-22e644b2ccd1"]}],"mendeley":{"formattedCitation":"(Rajkowski et al., 1989)","plainTextFormattedCitation":"(Rajkowski et al., 1989)","previouslyFormattedCitation":"(Rajkowski et al., 1989)"},"properties":{"noteIndex":0},"schema":"https://github.com/citation-style-language/schema/raw/master/csl-citation.json"}</w:instrText>
      </w:r>
      <w:r>
        <w:fldChar w:fldCharType="separate"/>
      </w:r>
      <w:r w:rsidRPr="00173400">
        <w:rPr>
          <w:noProof/>
        </w:rPr>
        <w:t>(Rajkowski et al., 1989)</w:t>
      </w:r>
      <w:r>
        <w:fldChar w:fldCharType="end"/>
      </w:r>
      <w:r w:rsidRPr="005361F9">
        <w:t>.</w:t>
      </w:r>
    </w:p>
    <w:p w14:paraId="6EDBF1CC" w14:textId="77777777" w:rsidR="00CC2F4D" w:rsidRPr="00804BC5" w:rsidRDefault="00CC2F4D" w:rsidP="00CC2F4D">
      <w:pPr>
        <w:pStyle w:val="BodyText"/>
        <w:spacing w:before="155" w:line="278" w:lineRule="auto"/>
        <w:ind w:left="0" w:right="724"/>
        <w:rPr>
          <w:b/>
        </w:rPr>
      </w:pPr>
    </w:p>
    <w:p w14:paraId="06D80DDB" w14:textId="77777777" w:rsidR="00CC2F4D" w:rsidRDefault="00CC2F4D" w:rsidP="00CC2F4D">
      <w:pPr>
        <w:pStyle w:val="BodyText"/>
        <w:spacing w:before="155" w:line="278" w:lineRule="auto"/>
        <w:ind w:left="0" w:right="724"/>
        <w:rPr>
          <w:b/>
        </w:rPr>
      </w:pPr>
      <w:r>
        <w:rPr>
          <w:b/>
        </w:rPr>
        <w:t>Estimation of PSA</w:t>
      </w:r>
    </w:p>
    <w:p w14:paraId="29985005" w14:textId="77777777" w:rsidR="00CC2F4D" w:rsidRPr="00804BC5" w:rsidRDefault="00CC2F4D" w:rsidP="00CC2F4D">
      <w:pPr>
        <w:pStyle w:val="BodyText"/>
        <w:spacing w:before="155" w:line="278" w:lineRule="auto"/>
        <w:ind w:left="0" w:right="724"/>
        <w:rPr>
          <w:b/>
        </w:rPr>
      </w:pPr>
      <w:r>
        <w:rPr>
          <w:b/>
        </w:rPr>
        <w:t>Principle</w:t>
      </w:r>
    </w:p>
    <w:p w14:paraId="534291E7" w14:textId="7F5F2B6A" w:rsidR="00CC2F4D" w:rsidRPr="00E04E9F" w:rsidRDefault="00CC2F4D" w:rsidP="00CC2F4D">
      <w:pPr>
        <w:spacing w:before="158" w:line="276" w:lineRule="auto"/>
        <w:jc w:val="both"/>
        <w:rPr>
          <w:spacing w:val="-2"/>
          <w:sz w:val="24"/>
        </w:rPr>
      </w:pPr>
      <w:r w:rsidRPr="00E04E9F">
        <w:t xml:space="preserve">In this method, a sample containing </w:t>
      </w:r>
      <w:r w:rsidRPr="00E04E9F">
        <w:rPr>
          <w:bCs/>
        </w:rPr>
        <w:t>prostate-specific antigen (PSA)</w:t>
      </w:r>
      <w:r w:rsidRPr="00E04E9F">
        <w:t xml:space="preserve">, such as a patient specimen or a control, is added to a well coated with </w:t>
      </w:r>
      <w:r w:rsidRPr="00E04E9F">
        <w:rPr>
          <w:bCs/>
        </w:rPr>
        <w:t>streptavidin</w:t>
      </w:r>
      <w:r w:rsidRPr="00E04E9F">
        <w:t xml:space="preserve">. Subsequently, two different types of antibodies are introduced: a </w:t>
      </w:r>
      <w:r w:rsidRPr="00E04E9F">
        <w:rPr>
          <w:bCs/>
        </w:rPr>
        <w:t>biotinylated monoclonal antibody</w:t>
      </w:r>
      <w:r w:rsidRPr="00E04E9F">
        <w:t xml:space="preserve"> and an </w:t>
      </w:r>
      <w:r w:rsidRPr="00E04E9F">
        <w:rPr>
          <w:bCs/>
        </w:rPr>
        <w:t>enzyme-labelled antibody</w:t>
      </w:r>
      <w:r w:rsidRPr="00E04E9F">
        <w:t xml:space="preserve">. Both antibodies are designed to bind to other, specific parts (epitopes) of the PSA molecule. </w:t>
      </w:r>
      <w:r w:rsidRPr="00B0421F">
        <w:rPr>
          <w:highlight w:val="yellow"/>
        </w:rPr>
        <w:t xml:space="preserve">This process creates a "sandwich" </w:t>
      </w:r>
      <w:r w:rsidR="00B0421F" w:rsidRPr="00B0421F">
        <w:rPr>
          <w:highlight w:val="yellow"/>
        </w:rPr>
        <w:t>structure in which the PSA molecule is sandwiched</w:t>
      </w:r>
      <w:r w:rsidRPr="00B0421F">
        <w:rPr>
          <w:highlight w:val="yellow"/>
        </w:rPr>
        <w:t xml:space="preserve"> between the two antibodies.</w:t>
      </w:r>
      <w:r w:rsidRPr="00E04E9F">
        <w:t xml:space="preserve"> This entire complex then binds to the streptavidin-coated well due to the strong affinity between biotin and streptavidin. </w:t>
      </w:r>
      <w:r w:rsidRPr="00B0421F">
        <w:rPr>
          <w:highlight w:val="yellow"/>
        </w:rPr>
        <w:t xml:space="preserve">After </w:t>
      </w:r>
      <w:r w:rsidR="00B0421F" w:rsidRPr="00B0421F">
        <w:rPr>
          <w:highlight w:val="yellow"/>
        </w:rPr>
        <w:t>incubation, any unbound material is washed away, leaving only the bound complexes in</w:t>
      </w:r>
      <w:r w:rsidRPr="00B0421F">
        <w:rPr>
          <w:highlight w:val="yellow"/>
        </w:rPr>
        <w:t xml:space="preserve"> the well.</w:t>
      </w:r>
      <w:r w:rsidRPr="00E04E9F">
        <w:t xml:space="preserve"> A </w:t>
      </w:r>
      <w:r w:rsidRPr="00E04E9F">
        <w:rPr>
          <w:bCs/>
        </w:rPr>
        <w:t>substrate</w:t>
      </w:r>
      <w:r w:rsidRPr="00E04E9F">
        <w:t xml:space="preserve"> is then added, which reacts with the enzyme attached to the enzyme-labelled antibody. </w:t>
      </w:r>
      <w:r w:rsidRPr="00B0421F">
        <w:rPr>
          <w:highlight w:val="yellow"/>
        </w:rPr>
        <w:t xml:space="preserve">This reaction produces a </w:t>
      </w:r>
      <w:proofErr w:type="spellStart"/>
      <w:r w:rsidRPr="00B0421F">
        <w:rPr>
          <w:highlight w:val="yellow"/>
        </w:rPr>
        <w:t>colour</w:t>
      </w:r>
      <w:proofErr w:type="spellEnd"/>
      <w:r w:rsidRPr="00B0421F">
        <w:rPr>
          <w:highlight w:val="yellow"/>
        </w:rPr>
        <w:t xml:space="preserve">, and the intensity of </w:t>
      </w:r>
      <w:r w:rsidR="00B0421F" w:rsidRPr="00B0421F">
        <w:rPr>
          <w:highlight w:val="yellow"/>
        </w:rPr>
        <w:t xml:space="preserve">the </w:t>
      </w:r>
      <w:proofErr w:type="spellStart"/>
      <w:r w:rsidR="00B0421F" w:rsidRPr="00B0421F">
        <w:rPr>
          <w:highlight w:val="yellow"/>
        </w:rPr>
        <w:t>colour</w:t>
      </w:r>
      <w:proofErr w:type="spellEnd"/>
      <w:r w:rsidR="00B0421F" w:rsidRPr="00B0421F">
        <w:rPr>
          <w:highlight w:val="yellow"/>
        </w:rPr>
        <w:t xml:space="preserve"> is directly proportional to the amount of enzyme present, which, in turn, reflects the amount of PSA </w:t>
      </w:r>
      <w:r w:rsidRPr="00B0421F">
        <w:rPr>
          <w:highlight w:val="yellow"/>
        </w:rPr>
        <w:t>in the original sample.</w:t>
      </w:r>
      <w:r w:rsidRPr="00E04E9F">
        <w:t xml:space="preserve"> </w:t>
      </w:r>
      <w:r>
        <w:t>U</w:t>
      </w:r>
      <w:r w:rsidRPr="00E04E9F">
        <w:t xml:space="preserve">sing a series of reference samples with known PSA concentrations, a </w:t>
      </w:r>
      <w:r w:rsidRPr="00E04E9F">
        <w:rPr>
          <w:bCs/>
        </w:rPr>
        <w:t>dose-response curve</w:t>
      </w:r>
      <w:r w:rsidRPr="00E04E9F">
        <w:t xml:space="preserve"> can be created. This curve plots the </w:t>
      </w:r>
      <w:proofErr w:type="spellStart"/>
      <w:r w:rsidRPr="00E04E9F">
        <w:t>colour</w:t>
      </w:r>
      <w:proofErr w:type="spellEnd"/>
      <w:r w:rsidRPr="00E04E9F">
        <w:t xml:space="preserve"> intensity (enzyme activity) against the known PSA concentration. The concentration of PSA in an unknown patient sample can then be determined by measuring its </w:t>
      </w:r>
      <w:proofErr w:type="spellStart"/>
      <w:r w:rsidRPr="00E04E9F">
        <w:t>colour</w:t>
      </w:r>
      <w:proofErr w:type="spellEnd"/>
      <w:r w:rsidRPr="00E04E9F">
        <w:t xml:space="preserve"> intensity and comp</w:t>
      </w:r>
      <w:r w:rsidR="008F041E">
        <w:t xml:space="preserve">aring it to this standard </w:t>
      </w:r>
      <w:r w:rsidR="008F041E" w:rsidRPr="008F041E">
        <w:rPr>
          <w:highlight w:val="yellow"/>
        </w:rPr>
        <w:t>curve</w:t>
      </w:r>
      <w:r w:rsidR="00300415">
        <w:rPr>
          <w:highlight w:val="yellow"/>
        </w:rPr>
        <w:t xml:space="preserve"> </w:t>
      </w:r>
      <w:r w:rsidR="00300415">
        <w:rPr>
          <w:highlight w:val="yellow"/>
        </w:rPr>
        <w:fldChar w:fldCharType="begin" w:fldLock="1"/>
      </w:r>
      <w:r w:rsidR="00300415">
        <w:rPr>
          <w:highlight w:val="yellow"/>
        </w:rPr>
        <w:instrText>ADDIN CSL_CITATION {"citationItems":[{"id":"ITEM-1","itemData":{"DOI":"https://doi.org/10.1016/j.jim.2004.09.002","ISSN":"0022-1759","abstract":"Nanoparticle labels conjugated with biomolecules are used in a variety of different assay applications. We investigated the possibility of using europium(III)-labeled 68-nm nanoparticles coated with monoclonal antibodies or streptavidin (SA) to detect prostate-specific antigen (PSA) in serum. The selection of a suitable antibody pair and interference caused by the combination of nanoparticle label and structurally complex analyte were of special interest. A set of antibodies recognizing different epitope areas of PSA was mapped to find the optimal antibody pair for the immunometric nanoparticle-based assay. Different assay configurations were tested to obtain a good correlation with a conventional method based on biotinylated detection antibodies and europium(III) chelate-labeled streptavidin. Monoclonal capture antibody 5E4 was covalently coated on a microtitration well surface; biotinylated 5H6 monoclonal antibody (Mab) was used for detection, and europium(III)-labeled streptavidin-coated nanoparticles were utilized for signal generation. Total PSA concentrations were determined from a panel of male serum samples to test the developed assay. The correlation of the nanoparticle-based and reference assays was good; y=0.9844x−0.1252, R2=0.98, n=27; and the lowest limit of detection of the assay (LLD=0.83 ng/l) was 35-fold lower than for the reference method. The assay application presented here, where a structurally complex analyte is detected, combines the exceptionally high affinity of streptavidin–biotin technology and the high specific activity of long lifetime fluorescence nanoparticle labels. The general characteristics of this combination should permit the development of various immunoassay applications featuring high sensitivity, rapidity, and low consumption of reagents.","author":[{"dropping-particle":"","family":"Huhtinen","given":"Petri","non-dropping-particle":"","parse-names":false,"suffix":""},{"dropping-particle":"","family":"Soukka","given":"Tero","non-dropping-particle":"","parse-names":false,"suffix":""},{"dropping-particle":"","family":"Lövgren","given":"Timo","non-dropping-particle":"","parse-names":false,"suffix":""},{"dropping-particle":"","family":"Härmä","given":"Harri","non-dropping-particle":"","parse-names":false,"suffix":""}],"container-title":"Journal of Immunological Methods","id":"ITEM-1","issue":"1","issued":{"date-parts":[["2004"]]},"page":"111-122","title":"Immunoassay of total prostate-specific antigen using europium(III) nanoparticle labels and streptavidin–biotin technology","type":"article-journal","volume":"294"},"uris":["http://www.mendeley.com/documents/?uuid=812e2ab1-05eb-466c-94e0-6bb41086b6eb"]}],"mendeley":{"formattedCitation":"(Huhtinen et al., 2004)","plainTextFormattedCitation":"(Huhtinen et al., 2004)"},"properties":{"noteIndex":0},"schema":"https://github.com/citation-style-language/schema/raw/master/csl-citation.json"}</w:instrText>
      </w:r>
      <w:r w:rsidR="00300415">
        <w:rPr>
          <w:highlight w:val="yellow"/>
        </w:rPr>
        <w:fldChar w:fldCharType="separate"/>
      </w:r>
      <w:r w:rsidR="00300415" w:rsidRPr="00300415">
        <w:rPr>
          <w:noProof/>
          <w:highlight w:val="yellow"/>
        </w:rPr>
        <w:t>(Huhtinen et al., 2004)</w:t>
      </w:r>
      <w:r w:rsidR="00300415">
        <w:rPr>
          <w:highlight w:val="yellow"/>
        </w:rPr>
        <w:fldChar w:fldCharType="end"/>
      </w:r>
      <w:r w:rsidR="00772F4D" w:rsidRPr="008F041E">
        <w:rPr>
          <w:highlight w:val="yellow"/>
        </w:rPr>
        <w:t>.</w:t>
      </w:r>
    </w:p>
    <w:p w14:paraId="3BE42CB3" w14:textId="77777777" w:rsidR="00CC2F4D" w:rsidRDefault="00772F4D" w:rsidP="00CC2F4D">
      <w:pPr>
        <w:pStyle w:val="BodyText"/>
        <w:ind w:left="0"/>
        <w:jc w:val="left"/>
      </w:pPr>
      <w:r>
        <w:t xml:space="preserve"> </w:t>
      </w:r>
    </w:p>
    <w:p w14:paraId="3B93AA71" w14:textId="77777777" w:rsidR="00F21B5F" w:rsidRDefault="00F21B5F" w:rsidP="00CC2F4D">
      <w:pPr>
        <w:pStyle w:val="BodyText"/>
        <w:ind w:left="0"/>
        <w:jc w:val="left"/>
      </w:pPr>
    </w:p>
    <w:p w14:paraId="2AFE7B9B" w14:textId="77777777" w:rsidR="0014443D" w:rsidRDefault="0014443D" w:rsidP="00CC2F4D">
      <w:pPr>
        <w:pStyle w:val="BodyText"/>
        <w:ind w:left="0"/>
        <w:jc w:val="left"/>
      </w:pPr>
    </w:p>
    <w:p w14:paraId="7FD8B8E1" w14:textId="77777777" w:rsidR="0014443D" w:rsidRDefault="0014443D" w:rsidP="00CC2F4D">
      <w:pPr>
        <w:pStyle w:val="BodyText"/>
        <w:ind w:left="0"/>
        <w:jc w:val="left"/>
      </w:pPr>
    </w:p>
    <w:p w14:paraId="38398C32" w14:textId="77777777" w:rsidR="0014443D" w:rsidRDefault="0014443D" w:rsidP="00CC2F4D">
      <w:pPr>
        <w:pStyle w:val="BodyText"/>
        <w:ind w:left="0"/>
        <w:jc w:val="left"/>
      </w:pPr>
    </w:p>
    <w:p w14:paraId="12C428C4" w14:textId="77777777" w:rsidR="0014443D" w:rsidRDefault="0014443D" w:rsidP="00CC2F4D">
      <w:pPr>
        <w:pStyle w:val="BodyText"/>
        <w:ind w:left="0"/>
        <w:jc w:val="left"/>
      </w:pPr>
    </w:p>
    <w:p w14:paraId="0A5CAF70" w14:textId="77777777" w:rsidR="0014443D" w:rsidRDefault="0014443D" w:rsidP="00CC2F4D">
      <w:pPr>
        <w:pStyle w:val="BodyText"/>
        <w:ind w:left="0"/>
        <w:jc w:val="left"/>
      </w:pPr>
    </w:p>
    <w:p w14:paraId="20C31310" w14:textId="77777777" w:rsidR="0014443D" w:rsidRDefault="0014443D" w:rsidP="00CC2F4D">
      <w:pPr>
        <w:pStyle w:val="BodyText"/>
        <w:ind w:left="0"/>
        <w:jc w:val="left"/>
      </w:pPr>
    </w:p>
    <w:p w14:paraId="76BF0934" w14:textId="77777777" w:rsidR="0014443D" w:rsidRDefault="0014443D" w:rsidP="00CC2F4D">
      <w:pPr>
        <w:pStyle w:val="BodyText"/>
        <w:ind w:left="0"/>
        <w:jc w:val="left"/>
      </w:pPr>
    </w:p>
    <w:p w14:paraId="19D0F92B" w14:textId="77777777" w:rsidR="0014443D" w:rsidRDefault="0014443D" w:rsidP="00CC2F4D">
      <w:pPr>
        <w:pStyle w:val="BodyText"/>
        <w:ind w:left="0"/>
        <w:jc w:val="left"/>
      </w:pPr>
    </w:p>
    <w:p w14:paraId="00F3A20B" w14:textId="77777777" w:rsidR="0014443D" w:rsidRDefault="0014443D" w:rsidP="00CC2F4D">
      <w:pPr>
        <w:pStyle w:val="BodyText"/>
        <w:ind w:left="0"/>
        <w:jc w:val="left"/>
      </w:pPr>
    </w:p>
    <w:p w14:paraId="1D9C350C" w14:textId="77777777" w:rsidR="0014443D" w:rsidRDefault="0014443D" w:rsidP="00CC2F4D">
      <w:pPr>
        <w:pStyle w:val="BodyText"/>
        <w:ind w:left="0"/>
        <w:jc w:val="left"/>
      </w:pPr>
    </w:p>
    <w:p w14:paraId="0EBAAE1E" w14:textId="77777777" w:rsidR="00512362" w:rsidRPr="00512362" w:rsidRDefault="00772F4D" w:rsidP="00512362">
      <w:pPr>
        <w:pStyle w:val="BodyText"/>
        <w:ind w:left="0"/>
        <w:jc w:val="left"/>
        <w:rPr>
          <w:b/>
          <w:bCs/>
        </w:rPr>
      </w:pPr>
      <w:r w:rsidRPr="00512362">
        <w:rPr>
          <w:b/>
          <w:bCs/>
        </w:rPr>
        <w:t>Results</w:t>
      </w:r>
      <w:r w:rsidR="00512362" w:rsidRPr="00512362">
        <w:rPr>
          <w:b/>
          <w:bCs/>
        </w:rPr>
        <w:t xml:space="preserve"> and Discussion</w:t>
      </w:r>
    </w:p>
    <w:p w14:paraId="0CABD7EB" w14:textId="2AB67710" w:rsidR="00772F4D" w:rsidRDefault="00772F4D" w:rsidP="00CC2F4D">
      <w:pPr>
        <w:pStyle w:val="BodyText"/>
        <w:ind w:left="0"/>
        <w:jc w:val="left"/>
      </w:pPr>
    </w:p>
    <w:p w14:paraId="37870716" w14:textId="77777777" w:rsidR="00CC2F4D" w:rsidRDefault="00772F4D" w:rsidP="006B63EA">
      <w:pPr>
        <w:pStyle w:val="BodyText"/>
        <w:spacing w:before="87"/>
        <w:ind w:left="0"/>
        <w:jc w:val="left"/>
      </w:pPr>
      <w:r>
        <w:t>Table 1</w:t>
      </w:r>
      <w:r w:rsidR="006A3D92">
        <w:t>: Levels of PSA and Testosterone in CAP</w:t>
      </w:r>
      <w:r w:rsidR="002C42F1">
        <w:t xml:space="preserve"> (70)</w:t>
      </w:r>
      <w:r w:rsidR="006A3D92">
        <w:t>, BPH</w:t>
      </w:r>
      <w:r w:rsidR="002C42F1">
        <w:t xml:space="preserve"> (68)</w:t>
      </w:r>
      <w:r w:rsidR="006A3D92">
        <w:t xml:space="preserve"> and Control</w:t>
      </w:r>
      <w:r w:rsidR="002C42F1">
        <w:t xml:space="preserve"> (69)</w:t>
      </w:r>
      <w:r w:rsidR="006A3D92">
        <w:t xml:space="preserve"> Subjects</w:t>
      </w:r>
    </w:p>
    <w:p w14:paraId="5227955F" w14:textId="77777777" w:rsidR="00772F4D" w:rsidRDefault="00772F4D" w:rsidP="006B63EA">
      <w:pPr>
        <w:pStyle w:val="BodyText"/>
        <w:spacing w:before="87"/>
        <w:ind w:left="0"/>
        <w:jc w:val="left"/>
      </w:pPr>
    </w:p>
    <w:tbl>
      <w:tblPr>
        <w:tblW w:w="0" w:type="auto"/>
        <w:tblCellSpacing w:w="15" w:type="dxa"/>
        <w:tblCellMar>
          <w:left w:w="0" w:type="dxa"/>
          <w:right w:w="0" w:type="dxa"/>
        </w:tblCellMar>
        <w:tblLook w:val="04A0" w:firstRow="1" w:lastRow="0" w:firstColumn="1" w:lastColumn="0" w:noHBand="0" w:noVBand="1"/>
      </w:tblPr>
      <w:tblGrid>
        <w:gridCol w:w="2629"/>
        <w:gridCol w:w="2322"/>
        <w:gridCol w:w="2027"/>
        <w:gridCol w:w="1232"/>
        <w:gridCol w:w="1134"/>
      </w:tblGrid>
      <w:tr w:rsidR="00483AC7" w:rsidRPr="002F460A" w14:paraId="515D462E" w14:textId="77777777" w:rsidTr="0042609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9A2C7C" w14:textId="77777777" w:rsidR="00772F4D" w:rsidRPr="002F460A" w:rsidRDefault="00772F4D" w:rsidP="0042609A">
            <w:pPr>
              <w:rPr>
                <w:color w:val="1B1C1D"/>
                <w:sz w:val="24"/>
                <w:szCs w:val="24"/>
              </w:rPr>
            </w:pPr>
            <w:r w:rsidRPr="002F460A">
              <w:rPr>
                <w:color w:val="1B1C1D"/>
                <w:sz w:val="24"/>
                <w:szCs w:val="24"/>
              </w:rPr>
              <w:t>Comparison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A97C1E" w14:textId="77777777" w:rsidR="00483AC7" w:rsidRDefault="00483AC7" w:rsidP="0042609A">
            <w:pPr>
              <w:rPr>
                <w:color w:val="1B1C1D"/>
                <w:sz w:val="24"/>
                <w:szCs w:val="24"/>
              </w:rPr>
            </w:pPr>
            <w:r>
              <w:rPr>
                <w:color w:val="1B1C1D"/>
                <w:sz w:val="24"/>
                <w:szCs w:val="24"/>
              </w:rPr>
              <w:t>Mean</w:t>
            </w:r>
            <w:r w:rsidR="00772F4D" w:rsidRPr="002F460A">
              <w:rPr>
                <w:color w:val="1B1C1D"/>
                <w:sz w:val="24"/>
                <w:szCs w:val="24"/>
              </w:rPr>
              <w:t xml:space="preserve"> </w:t>
            </w:r>
            <w:r w:rsidR="00772F4D" w:rsidRPr="002F460A">
              <w:rPr>
                <w:color w:val="1B1C1D"/>
                <w:sz w:val="24"/>
                <w:szCs w:val="24"/>
                <w:bdr w:val="none" w:sz="0" w:space="0" w:color="auto" w:frame="1"/>
              </w:rPr>
              <w:t>±</w:t>
            </w:r>
            <w:r>
              <w:rPr>
                <w:color w:val="1B1C1D"/>
                <w:sz w:val="24"/>
                <w:szCs w:val="24"/>
              </w:rPr>
              <w:t xml:space="preserve"> SD (CAP&amp;BPH)</w:t>
            </w:r>
            <w:r w:rsidR="00772F4D" w:rsidRPr="002F460A">
              <w:rPr>
                <w:color w:val="1B1C1D"/>
                <w:sz w:val="24"/>
                <w:szCs w:val="24"/>
              </w:rPr>
              <w:t xml:space="preserve"> </w:t>
            </w:r>
          </w:p>
          <w:p w14:paraId="6D0B7A64" w14:textId="77777777" w:rsidR="00772F4D" w:rsidRPr="002F460A" w:rsidRDefault="00772F4D" w:rsidP="0042609A">
            <w:pPr>
              <w:rPr>
                <w:color w:val="1B1C1D"/>
                <w:sz w:val="24"/>
                <w:szCs w:val="24"/>
              </w:rPr>
            </w:pPr>
            <w:r w:rsidRPr="002F460A">
              <w:rPr>
                <w:color w:val="1B1C1D"/>
                <w:sz w:val="24"/>
                <w:szCs w:val="24"/>
              </w:rPr>
              <w:t>(</w:t>
            </w:r>
            <w:r w:rsidR="00483AC7">
              <w:rPr>
                <w:color w:val="1B1C1D"/>
                <w:sz w:val="24"/>
                <w:szCs w:val="24"/>
                <w:bdr w:val="none" w:sz="0" w:space="0" w:color="auto" w:frame="1"/>
              </w:rPr>
              <w:t>n=13</w:t>
            </w:r>
            <w:r w:rsidR="002C42F1">
              <w:rPr>
                <w:color w:val="1B1C1D"/>
                <w:sz w:val="24"/>
                <w:szCs w:val="24"/>
                <w:bdr w:val="none" w:sz="0" w:space="0" w:color="auto" w:frame="1"/>
              </w:rPr>
              <w:t>8</w:t>
            </w:r>
            <w:r w:rsidRPr="002F460A">
              <w:rPr>
                <w:color w:val="1B1C1D"/>
                <w:sz w:val="24"/>
                <w:szCs w:val="24"/>
                <w:bdr w:val="none" w:sz="0" w:space="0" w:color="auto" w:frame="1"/>
              </w:rPr>
              <w:t>​</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6332F4" w14:textId="77777777" w:rsidR="00483AC7" w:rsidRDefault="00483AC7" w:rsidP="0042609A">
            <w:pPr>
              <w:rPr>
                <w:color w:val="1B1C1D"/>
                <w:sz w:val="24"/>
                <w:szCs w:val="24"/>
              </w:rPr>
            </w:pPr>
            <w:r>
              <w:rPr>
                <w:color w:val="1B1C1D"/>
                <w:sz w:val="24"/>
                <w:szCs w:val="24"/>
              </w:rPr>
              <w:t>Mean</w:t>
            </w:r>
            <w:r w:rsidR="00772F4D" w:rsidRPr="002F460A">
              <w:rPr>
                <w:color w:val="1B1C1D"/>
                <w:sz w:val="24"/>
                <w:szCs w:val="24"/>
              </w:rPr>
              <w:t xml:space="preserve"> </w:t>
            </w:r>
            <w:r w:rsidR="00772F4D" w:rsidRPr="002F460A">
              <w:rPr>
                <w:color w:val="1B1C1D"/>
                <w:sz w:val="24"/>
                <w:szCs w:val="24"/>
                <w:bdr w:val="none" w:sz="0" w:space="0" w:color="auto" w:frame="1"/>
              </w:rPr>
              <w:t>±</w:t>
            </w:r>
            <w:r>
              <w:rPr>
                <w:color w:val="1B1C1D"/>
                <w:sz w:val="24"/>
                <w:szCs w:val="24"/>
              </w:rPr>
              <w:t xml:space="preserve"> SD (Control)</w:t>
            </w:r>
          </w:p>
          <w:p w14:paraId="34A6B8BF" w14:textId="77777777" w:rsidR="00772F4D" w:rsidRPr="002F460A" w:rsidRDefault="00772F4D" w:rsidP="0042609A">
            <w:pPr>
              <w:rPr>
                <w:color w:val="1B1C1D"/>
                <w:sz w:val="24"/>
                <w:szCs w:val="24"/>
              </w:rPr>
            </w:pPr>
            <w:r w:rsidRPr="002F460A">
              <w:rPr>
                <w:color w:val="1B1C1D"/>
                <w:sz w:val="24"/>
                <w:szCs w:val="24"/>
              </w:rPr>
              <w:t>(</w:t>
            </w:r>
            <w:r w:rsidR="002C42F1">
              <w:rPr>
                <w:color w:val="1B1C1D"/>
                <w:sz w:val="24"/>
                <w:szCs w:val="24"/>
                <w:bdr w:val="none" w:sz="0" w:space="0" w:color="auto" w:frame="1"/>
              </w:rPr>
              <w:t>n=69</w:t>
            </w:r>
            <w:r w:rsidRPr="002F460A">
              <w:rPr>
                <w:color w:val="1B1C1D"/>
                <w:sz w:val="24"/>
                <w:szCs w:val="24"/>
                <w:bdr w:val="none" w:sz="0" w:space="0" w:color="auto" w:frame="1"/>
              </w:rPr>
              <w:t>​</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0A45D5" w14:textId="77777777" w:rsidR="00772F4D" w:rsidRPr="002F460A" w:rsidRDefault="00772F4D" w:rsidP="0042609A">
            <w:pPr>
              <w:rPr>
                <w:color w:val="1B1C1D"/>
                <w:sz w:val="24"/>
                <w:szCs w:val="24"/>
              </w:rPr>
            </w:pPr>
            <w:r w:rsidRPr="002F460A">
              <w:rPr>
                <w:color w:val="1B1C1D"/>
                <w:sz w:val="24"/>
                <w:szCs w:val="24"/>
                <w:bdr w:val="none" w:sz="0" w:space="0" w:color="auto" w:frame="1"/>
              </w:rPr>
              <w:t>t</w:t>
            </w:r>
            <w:r w:rsidRPr="002F460A">
              <w:rPr>
                <w:color w:val="1B1C1D"/>
                <w:sz w:val="24"/>
                <w:szCs w:val="24"/>
              </w:rPr>
              <w:t>-statistic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260366" w14:textId="77777777" w:rsidR="00772F4D" w:rsidRPr="002F460A" w:rsidRDefault="00772F4D" w:rsidP="0042609A">
            <w:pPr>
              <w:rPr>
                <w:color w:val="1B1C1D"/>
                <w:sz w:val="24"/>
                <w:szCs w:val="24"/>
              </w:rPr>
            </w:pPr>
            <w:r w:rsidRPr="002F460A">
              <w:rPr>
                <w:color w:val="1B1C1D"/>
                <w:sz w:val="24"/>
                <w:szCs w:val="24"/>
                <w:bdr w:val="none" w:sz="0" w:space="0" w:color="auto" w:frame="1"/>
              </w:rPr>
              <w:t>p</w:t>
            </w:r>
            <w:r w:rsidRPr="002F460A">
              <w:rPr>
                <w:color w:val="1B1C1D"/>
                <w:sz w:val="24"/>
                <w:szCs w:val="24"/>
              </w:rPr>
              <w:t>-value</w:t>
            </w:r>
          </w:p>
        </w:tc>
      </w:tr>
      <w:tr w:rsidR="00483AC7" w:rsidRPr="002F460A" w14:paraId="04ACD574" w14:textId="77777777" w:rsidTr="0042609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5A42A8" w14:textId="77777777" w:rsidR="00772F4D" w:rsidRPr="00CD02D9" w:rsidRDefault="00772F4D" w:rsidP="0042609A">
            <w:pPr>
              <w:rPr>
                <w:color w:val="1B1C1D"/>
                <w:sz w:val="24"/>
                <w:szCs w:val="24"/>
              </w:rPr>
            </w:pPr>
            <w:r w:rsidRPr="00CD02D9">
              <w:rPr>
                <w:bCs/>
                <w:color w:val="1B1C1D"/>
                <w:sz w:val="24"/>
                <w:szCs w:val="24"/>
                <w:bdr w:val="none" w:sz="0" w:space="0" w:color="auto" w:frame="1"/>
              </w:rPr>
              <w:t>Total PSA (CAP vs. Control)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BBE8BE" w14:textId="77777777" w:rsidR="00772F4D" w:rsidRPr="002F460A" w:rsidRDefault="00772F4D" w:rsidP="0042609A">
            <w:pPr>
              <w:rPr>
                <w:color w:val="1B1C1D"/>
                <w:sz w:val="24"/>
                <w:szCs w:val="24"/>
              </w:rPr>
            </w:pPr>
            <w:r w:rsidRPr="002F460A">
              <w:rPr>
                <w:color w:val="1B1C1D"/>
                <w:sz w:val="24"/>
                <w:szCs w:val="24"/>
                <w:bdr w:val="none" w:sz="0" w:space="0" w:color="auto" w:frame="1"/>
              </w:rPr>
              <w:t>59.42±55.36</w:t>
            </w:r>
            <w:r w:rsidRPr="002F460A">
              <w:rPr>
                <w:color w:val="1B1C1D"/>
                <w:sz w:val="24"/>
                <w:szCs w:val="24"/>
              </w:rPr>
              <w:t xml:space="preserve"> (</w:t>
            </w:r>
            <w:r w:rsidRPr="002F460A">
              <w:rPr>
                <w:color w:val="1B1C1D"/>
                <w:sz w:val="24"/>
                <w:szCs w:val="24"/>
                <w:bdr w:val="none" w:sz="0" w:space="0" w:color="auto" w:frame="1"/>
              </w:rPr>
              <w:t>n=70</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DCA654" w14:textId="77777777" w:rsidR="00772F4D" w:rsidRPr="002F460A" w:rsidRDefault="00772F4D" w:rsidP="0042609A">
            <w:pPr>
              <w:rPr>
                <w:color w:val="1B1C1D"/>
                <w:sz w:val="24"/>
                <w:szCs w:val="24"/>
              </w:rPr>
            </w:pPr>
            <w:r w:rsidRPr="002F460A">
              <w:rPr>
                <w:color w:val="1B1C1D"/>
                <w:sz w:val="24"/>
                <w:szCs w:val="24"/>
                <w:bdr w:val="none" w:sz="0" w:space="0" w:color="auto" w:frame="1"/>
              </w:rPr>
              <w:t>1.22±0.68</w:t>
            </w:r>
            <w:r w:rsidRPr="002F460A">
              <w:rPr>
                <w:color w:val="1B1C1D"/>
                <w:sz w:val="24"/>
                <w:szCs w:val="24"/>
              </w:rPr>
              <w:t xml:space="preserve"> (</w:t>
            </w:r>
            <w:r w:rsidRPr="002F460A">
              <w:rPr>
                <w:color w:val="1B1C1D"/>
                <w:sz w:val="24"/>
                <w:szCs w:val="24"/>
                <w:bdr w:val="none" w:sz="0" w:space="0" w:color="auto" w:frame="1"/>
              </w:rPr>
              <w:t>n=69</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E5C52C" w14:textId="77777777" w:rsidR="00772F4D" w:rsidRPr="002F460A" w:rsidRDefault="00772F4D" w:rsidP="0042609A">
            <w:pPr>
              <w:rPr>
                <w:color w:val="1B1C1D"/>
                <w:sz w:val="24"/>
                <w:szCs w:val="24"/>
              </w:rPr>
            </w:pPr>
            <w:r w:rsidRPr="002F460A">
              <w:rPr>
                <w:color w:val="1B1C1D"/>
                <w:sz w:val="24"/>
                <w:szCs w:val="24"/>
                <w:bdr w:val="none" w:sz="0" w:space="0" w:color="auto" w:frame="1"/>
              </w:rPr>
              <w:t>8.795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CA0EF7" w14:textId="77777777" w:rsidR="00772F4D" w:rsidRPr="00CD02D9" w:rsidRDefault="00772F4D" w:rsidP="0042609A">
            <w:pPr>
              <w:rPr>
                <w:color w:val="1B1C1D"/>
                <w:sz w:val="24"/>
                <w:szCs w:val="24"/>
              </w:rPr>
            </w:pPr>
            <w:r w:rsidRPr="00CD02D9">
              <w:rPr>
                <w:bCs/>
                <w:color w:val="1B1C1D"/>
                <w:sz w:val="24"/>
                <w:szCs w:val="24"/>
                <w:bdr w:val="none" w:sz="0" w:space="0" w:color="auto" w:frame="1"/>
              </w:rPr>
              <w:t>&lt;0.001</w:t>
            </w:r>
          </w:p>
        </w:tc>
      </w:tr>
      <w:tr w:rsidR="00483AC7" w:rsidRPr="002F460A" w14:paraId="4ADA5672" w14:textId="77777777" w:rsidTr="0042609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856DB2" w14:textId="77777777" w:rsidR="00772F4D" w:rsidRPr="00CD02D9" w:rsidRDefault="00772F4D" w:rsidP="0042609A">
            <w:pPr>
              <w:rPr>
                <w:color w:val="1B1C1D"/>
                <w:sz w:val="24"/>
                <w:szCs w:val="24"/>
              </w:rPr>
            </w:pPr>
            <w:r w:rsidRPr="00CD02D9">
              <w:rPr>
                <w:bCs/>
                <w:color w:val="1B1C1D"/>
                <w:sz w:val="24"/>
                <w:szCs w:val="24"/>
                <w:bdr w:val="none" w:sz="0" w:space="0" w:color="auto" w:frame="1"/>
              </w:rPr>
              <w:t>Total PSA (BPH vs. Control)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CE4C76" w14:textId="77777777" w:rsidR="00483AC7" w:rsidRDefault="00772F4D" w:rsidP="0042609A">
            <w:pPr>
              <w:rPr>
                <w:color w:val="1B1C1D"/>
                <w:sz w:val="24"/>
                <w:szCs w:val="24"/>
              </w:rPr>
            </w:pPr>
            <w:r w:rsidRPr="002F460A">
              <w:rPr>
                <w:color w:val="1B1C1D"/>
                <w:sz w:val="24"/>
                <w:szCs w:val="24"/>
                <w:bdr w:val="none" w:sz="0" w:space="0" w:color="auto" w:frame="1"/>
              </w:rPr>
              <w:t>15.13±9.49</w:t>
            </w:r>
            <w:r w:rsidRPr="002F460A">
              <w:rPr>
                <w:color w:val="1B1C1D"/>
                <w:sz w:val="24"/>
                <w:szCs w:val="24"/>
              </w:rPr>
              <w:t xml:space="preserve"> </w:t>
            </w:r>
          </w:p>
          <w:p w14:paraId="77581C03" w14:textId="77777777" w:rsidR="00772F4D" w:rsidRPr="002F460A" w:rsidRDefault="00772F4D" w:rsidP="0042609A">
            <w:pPr>
              <w:rPr>
                <w:color w:val="1B1C1D"/>
                <w:sz w:val="24"/>
                <w:szCs w:val="24"/>
              </w:rPr>
            </w:pPr>
            <w:r w:rsidRPr="002F460A">
              <w:rPr>
                <w:color w:val="1B1C1D"/>
                <w:sz w:val="24"/>
                <w:szCs w:val="24"/>
              </w:rPr>
              <w:t>(</w:t>
            </w:r>
            <w:r w:rsidRPr="002F460A">
              <w:rPr>
                <w:color w:val="1B1C1D"/>
                <w:sz w:val="24"/>
                <w:szCs w:val="24"/>
                <w:bdr w:val="none" w:sz="0" w:space="0" w:color="auto" w:frame="1"/>
              </w:rPr>
              <w:t>n=68</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37946E" w14:textId="77777777" w:rsidR="00772F4D" w:rsidRPr="002F460A" w:rsidRDefault="00772F4D" w:rsidP="0042609A">
            <w:pPr>
              <w:rPr>
                <w:color w:val="1B1C1D"/>
                <w:sz w:val="24"/>
                <w:szCs w:val="24"/>
              </w:rPr>
            </w:pPr>
            <w:r w:rsidRPr="002F460A">
              <w:rPr>
                <w:color w:val="1B1C1D"/>
                <w:sz w:val="24"/>
                <w:szCs w:val="24"/>
                <w:bdr w:val="none" w:sz="0" w:space="0" w:color="auto" w:frame="1"/>
              </w:rPr>
              <w:t>1.22±0.68</w:t>
            </w:r>
            <w:r w:rsidRPr="002F460A">
              <w:rPr>
                <w:color w:val="1B1C1D"/>
                <w:sz w:val="24"/>
                <w:szCs w:val="24"/>
              </w:rPr>
              <w:t xml:space="preserve"> (</w:t>
            </w:r>
            <w:r w:rsidRPr="002F460A">
              <w:rPr>
                <w:color w:val="1B1C1D"/>
                <w:sz w:val="24"/>
                <w:szCs w:val="24"/>
                <w:bdr w:val="none" w:sz="0" w:space="0" w:color="auto" w:frame="1"/>
              </w:rPr>
              <w:t>n=69</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4604D3" w14:textId="77777777" w:rsidR="00772F4D" w:rsidRPr="002F460A" w:rsidRDefault="00772F4D" w:rsidP="0042609A">
            <w:pPr>
              <w:rPr>
                <w:color w:val="1B1C1D"/>
                <w:sz w:val="24"/>
                <w:szCs w:val="24"/>
              </w:rPr>
            </w:pPr>
            <w:r w:rsidRPr="002F460A">
              <w:rPr>
                <w:color w:val="1B1C1D"/>
                <w:sz w:val="24"/>
                <w:szCs w:val="24"/>
                <w:bdr w:val="none" w:sz="0" w:space="0" w:color="auto" w:frame="1"/>
              </w:rPr>
              <w:t>12.056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33C35B" w14:textId="77777777" w:rsidR="00772F4D" w:rsidRPr="00CD02D9" w:rsidRDefault="00772F4D" w:rsidP="0042609A">
            <w:pPr>
              <w:rPr>
                <w:color w:val="1B1C1D"/>
                <w:sz w:val="24"/>
                <w:szCs w:val="24"/>
              </w:rPr>
            </w:pPr>
            <w:r w:rsidRPr="00CD02D9">
              <w:rPr>
                <w:bCs/>
                <w:color w:val="1B1C1D"/>
                <w:sz w:val="24"/>
                <w:szCs w:val="24"/>
                <w:bdr w:val="none" w:sz="0" w:space="0" w:color="auto" w:frame="1"/>
              </w:rPr>
              <w:t>&lt;0.001</w:t>
            </w:r>
          </w:p>
        </w:tc>
      </w:tr>
      <w:tr w:rsidR="00483AC7" w:rsidRPr="002F460A" w14:paraId="79701D32" w14:textId="77777777" w:rsidTr="0042609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5332BD5" w14:textId="77777777" w:rsidR="002C42F1" w:rsidRPr="002F460A" w:rsidRDefault="002C42F1" w:rsidP="002C42F1">
            <w:pPr>
              <w:rPr>
                <w:color w:val="1B1C1D"/>
                <w:sz w:val="24"/>
                <w:szCs w:val="24"/>
              </w:rPr>
            </w:pPr>
            <w:r w:rsidRPr="002F460A">
              <w:rPr>
                <w:color w:val="1B1C1D"/>
                <w:sz w:val="24"/>
                <w:szCs w:val="24"/>
              </w:rPr>
              <w:t>Comparison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7254ABF" w14:textId="77777777" w:rsidR="002C42F1" w:rsidRDefault="00483AC7" w:rsidP="002C42F1">
            <w:pPr>
              <w:rPr>
                <w:color w:val="1B1C1D"/>
                <w:sz w:val="24"/>
                <w:szCs w:val="24"/>
              </w:rPr>
            </w:pPr>
            <w:r>
              <w:rPr>
                <w:color w:val="1B1C1D"/>
                <w:sz w:val="24"/>
                <w:szCs w:val="24"/>
              </w:rPr>
              <w:t xml:space="preserve">Mean </w:t>
            </w:r>
            <w:r w:rsidR="002C42F1" w:rsidRPr="002F460A">
              <w:rPr>
                <w:color w:val="1B1C1D"/>
                <w:sz w:val="24"/>
                <w:szCs w:val="24"/>
                <w:bdr w:val="none" w:sz="0" w:space="0" w:color="auto" w:frame="1"/>
              </w:rPr>
              <w:t>±</w:t>
            </w:r>
            <w:r>
              <w:rPr>
                <w:color w:val="1B1C1D"/>
                <w:sz w:val="24"/>
                <w:szCs w:val="24"/>
              </w:rPr>
              <w:t xml:space="preserve"> SD (CAP&amp;BPH)</w:t>
            </w:r>
            <w:r w:rsidRPr="002F460A">
              <w:rPr>
                <w:color w:val="1B1C1D"/>
                <w:sz w:val="24"/>
                <w:szCs w:val="24"/>
              </w:rPr>
              <w:t xml:space="preserve"> </w:t>
            </w:r>
            <w:r w:rsidR="002C42F1" w:rsidRPr="002F460A">
              <w:rPr>
                <w:color w:val="1B1C1D"/>
                <w:sz w:val="24"/>
                <w:szCs w:val="24"/>
              </w:rPr>
              <w:t xml:space="preserve"> </w:t>
            </w:r>
          </w:p>
          <w:p w14:paraId="3CB135FD" w14:textId="77777777" w:rsidR="002C42F1" w:rsidRPr="002F460A" w:rsidRDefault="00483AC7" w:rsidP="002C42F1">
            <w:pPr>
              <w:rPr>
                <w:color w:val="1B1C1D"/>
                <w:sz w:val="24"/>
                <w:szCs w:val="24"/>
              </w:rPr>
            </w:pPr>
            <w:r w:rsidRPr="002F460A">
              <w:rPr>
                <w:color w:val="1B1C1D"/>
                <w:sz w:val="24"/>
                <w:szCs w:val="24"/>
              </w:rPr>
              <w:t>(</w:t>
            </w:r>
            <w:r>
              <w:rPr>
                <w:color w:val="1B1C1D"/>
                <w:sz w:val="24"/>
                <w:szCs w:val="24"/>
                <w:bdr w:val="none" w:sz="0" w:space="0" w:color="auto" w:frame="1"/>
              </w:rPr>
              <w:t>n=138</w:t>
            </w:r>
            <w:r w:rsidRPr="002F460A">
              <w:rPr>
                <w:color w:val="1B1C1D"/>
                <w:sz w:val="24"/>
                <w:szCs w:val="24"/>
                <w:bdr w:val="none" w:sz="0" w:space="0" w:color="auto" w:frame="1"/>
              </w:rPr>
              <w:t>​</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570F204" w14:textId="77777777" w:rsidR="00483AC7" w:rsidRDefault="00483AC7" w:rsidP="002C42F1">
            <w:pPr>
              <w:rPr>
                <w:color w:val="1B1C1D"/>
                <w:sz w:val="24"/>
                <w:szCs w:val="24"/>
              </w:rPr>
            </w:pPr>
            <w:r>
              <w:rPr>
                <w:color w:val="1B1C1D"/>
                <w:sz w:val="24"/>
                <w:szCs w:val="24"/>
              </w:rPr>
              <w:t>Mean</w:t>
            </w:r>
            <w:r w:rsidR="002C42F1" w:rsidRPr="002F460A">
              <w:rPr>
                <w:color w:val="1B1C1D"/>
                <w:sz w:val="24"/>
                <w:szCs w:val="24"/>
              </w:rPr>
              <w:t xml:space="preserve"> </w:t>
            </w:r>
            <w:r w:rsidR="002C42F1" w:rsidRPr="002F460A">
              <w:rPr>
                <w:color w:val="1B1C1D"/>
                <w:sz w:val="24"/>
                <w:szCs w:val="24"/>
                <w:bdr w:val="none" w:sz="0" w:space="0" w:color="auto" w:frame="1"/>
              </w:rPr>
              <w:t>±</w:t>
            </w:r>
            <w:r>
              <w:rPr>
                <w:color w:val="1B1C1D"/>
                <w:sz w:val="24"/>
                <w:szCs w:val="24"/>
              </w:rPr>
              <w:t xml:space="preserve"> SD (Control)</w:t>
            </w:r>
          </w:p>
          <w:p w14:paraId="09016BC2" w14:textId="77777777" w:rsidR="002C42F1" w:rsidRPr="002F460A" w:rsidRDefault="002C42F1" w:rsidP="002C42F1">
            <w:pPr>
              <w:rPr>
                <w:color w:val="1B1C1D"/>
                <w:sz w:val="24"/>
                <w:szCs w:val="24"/>
              </w:rPr>
            </w:pPr>
            <w:r w:rsidRPr="002F460A">
              <w:rPr>
                <w:color w:val="1B1C1D"/>
                <w:sz w:val="24"/>
                <w:szCs w:val="24"/>
              </w:rPr>
              <w:t>(</w:t>
            </w:r>
            <w:r>
              <w:rPr>
                <w:color w:val="1B1C1D"/>
                <w:sz w:val="24"/>
                <w:szCs w:val="24"/>
                <w:bdr w:val="none" w:sz="0" w:space="0" w:color="auto" w:frame="1"/>
              </w:rPr>
              <w:t>n= 69</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68F9EF6" w14:textId="77777777" w:rsidR="002C42F1" w:rsidRPr="002F460A" w:rsidRDefault="002C42F1" w:rsidP="002C42F1">
            <w:pPr>
              <w:rPr>
                <w:color w:val="1B1C1D"/>
                <w:sz w:val="24"/>
                <w:szCs w:val="24"/>
              </w:rPr>
            </w:pPr>
            <w:r w:rsidRPr="002F460A">
              <w:rPr>
                <w:color w:val="1B1C1D"/>
                <w:sz w:val="24"/>
                <w:szCs w:val="24"/>
                <w:bdr w:val="none" w:sz="0" w:space="0" w:color="auto" w:frame="1"/>
              </w:rPr>
              <w:t>t</w:t>
            </w:r>
            <w:r w:rsidRPr="002F460A">
              <w:rPr>
                <w:color w:val="1B1C1D"/>
                <w:sz w:val="24"/>
                <w:szCs w:val="24"/>
              </w:rPr>
              <w:t>-statistic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ED200A9" w14:textId="77777777" w:rsidR="002C42F1" w:rsidRPr="002F460A" w:rsidRDefault="002C42F1" w:rsidP="002C42F1">
            <w:pPr>
              <w:rPr>
                <w:color w:val="1B1C1D"/>
                <w:sz w:val="24"/>
                <w:szCs w:val="24"/>
              </w:rPr>
            </w:pPr>
            <w:r w:rsidRPr="002F460A">
              <w:rPr>
                <w:color w:val="1B1C1D"/>
                <w:sz w:val="24"/>
                <w:szCs w:val="24"/>
                <w:bdr w:val="none" w:sz="0" w:space="0" w:color="auto" w:frame="1"/>
              </w:rPr>
              <w:t>p</w:t>
            </w:r>
            <w:r w:rsidRPr="002F460A">
              <w:rPr>
                <w:color w:val="1B1C1D"/>
                <w:sz w:val="24"/>
                <w:szCs w:val="24"/>
              </w:rPr>
              <w:t>-value</w:t>
            </w:r>
          </w:p>
        </w:tc>
      </w:tr>
      <w:tr w:rsidR="00483AC7" w:rsidRPr="002F460A" w14:paraId="68FED9C8" w14:textId="77777777" w:rsidTr="0042609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1D0425" w14:textId="77777777" w:rsidR="002C42F1" w:rsidRPr="00CD02D9" w:rsidRDefault="002C42F1" w:rsidP="002C42F1">
            <w:pPr>
              <w:rPr>
                <w:color w:val="1B1C1D"/>
                <w:sz w:val="24"/>
                <w:szCs w:val="24"/>
              </w:rPr>
            </w:pPr>
            <w:r w:rsidRPr="00CD02D9">
              <w:rPr>
                <w:bCs/>
                <w:color w:val="1B1C1D"/>
                <w:sz w:val="24"/>
                <w:szCs w:val="24"/>
                <w:bdr w:val="none" w:sz="0" w:space="0" w:color="auto" w:frame="1"/>
              </w:rPr>
              <w:t>Testosterone (CAP vs. Control)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34D862" w14:textId="77777777" w:rsidR="00483AC7" w:rsidRDefault="002C42F1" w:rsidP="002C42F1">
            <w:pPr>
              <w:rPr>
                <w:color w:val="1B1C1D"/>
                <w:sz w:val="24"/>
                <w:szCs w:val="24"/>
              </w:rPr>
            </w:pPr>
            <w:r w:rsidRPr="002F460A">
              <w:rPr>
                <w:color w:val="1B1C1D"/>
                <w:sz w:val="24"/>
                <w:szCs w:val="24"/>
                <w:bdr w:val="none" w:sz="0" w:space="0" w:color="auto" w:frame="1"/>
              </w:rPr>
              <w:t>18.02±8.87</w:t>
            </w:r>
            <w:r w:rsidRPr="002F460A">
              <w:rPr>
                <w:color w:val="1B1C1D"/>
                <w:sz w:val="24"/>
                <w:szCs w:val="24"/>
              </w:rPr>
              <w:t xml:space="preserve"> </w:t>
            </w:r>
          </w:p>
          <w:p w14:paraId="2F5DF262" w14:textId="77777777" w:rsidR="002C42F1" w:rsidRPr="002F460A" w:rsidRDefault="002C42F1" w:rsidP="002C42F1">
            <w:pPr>
              <w:rPr>
                <w:color w:val="1B1C1D"/>
                <w:sz w:val="24"/>
                <w:szCs w:val="24"/>
              </w:rPr>
            </w:pPr>
            <w:r w:rsidRPr="002F460A">
              <w:rPr>
                <w:color w:val="1B1C1D"/>
                <w:sz w:val="24"/>
                <w:szCs w:val="24"/>
              </w:rPr>
              <w:t>(</w:t>
            </w:r>
            <w:r w:rsidRPr="002F460A">
              <w:rPr>
                <w:color w:val="1B1C1D"/>
                <w:sz w:val="24"/>
                <w:szCs w:val="24"/>
                <w:bdr w:val="none" w:sz="0" w:space="0" w:color="auto" w:frame="1"/>
              </w:rPr>
              <w:t>n=70</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2857B8" w14:textId="77777777" w:rsidR="002C42F1" w:rsidRPr="002F460A" w:rsidRDefault="002C42F1" w:rsidP="002C42F1">
            <w:pPr>
              <w:rPr>
                <w:color w:val="1B1C1D"/>
                <w:sz w:val="24"/>
                <w:szCs w:val="24"/>
              </w:rPr>
            </w:pPr>
            <w:r w:rsidRPr="002F460A">
              <w:rPr>
                <w:color w:val="1B1C1D"/>
                <w:sz w:val="24"/>
                <w:szCs w:val="24"/>
                <w:bdr w:val="none" w:sz="0" w:space="0" w:color="auto" w:frame="1"/>
              </w:rPr>
              <w:t>10.52±8.79</w:t>
            </w:r>
            <w:r w:rsidRPr="002F460A">
              <w:rPr>
                <w:color w:val="1B1C1D"/>
                <w:sz w:val="24"/>
                <w:szCs w:val="24"/>
              </w:rPr>
              <w:t xml:space="preserve"> (</w:t>
            </w:r>
            <w:r w:rsidRPr="002F460A">
              <w:rPr>
                <w:color w:val="1B1C1D"/>
                <w:sz w:val="24"/>
                <w:szCs w:val="24"/>
                <w:bdr w:val="none" w:sz="0" w:space="0" w:color="auto" w:frame="1"/>
              </w:rPr>
              <w:t>n=69</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B9F793" w14:textId="77777777" w:rsidR="002C42F1" w:rsidRPr="002F460A" w:rsidRDefault="002C42F1" w:rsidP="002C42F1">
            <w:pPr>
              <w:rPr>
                <w:color w:val="1B1C1D"/>
                <w:sz w:val="24"/>
                <w:szCs w:val="24"/>
              </w:rPr>
            </w:pPr>
            <w:r w:rsidRPr="002F460A">
              <w:rPr>
                <w:color w:val="1B1C1D"/>
                <w:sz w:val="24"/>
                <w:szCs w:val="24"/>
                <w:bdr w:val="none" w:sz="0" w:space="0" w:color="auto" w:frame="1"/>
              </w:rPr>
              <w:t>5.007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5B920E" w14:textId="77777777" w:rsidR="002C42F1" w:rsidRPr="00CD02D9" w:rsidRDefault="002C42F1" w:rsidP="002C42F1">
            <w:pPr>
              <w:rPr>
                <w:color w:val="1B1C1D"/>
                <w:sz w:val="24"/>
                <w:szCs w:val="24"/>
              </w:rPr>
            </w:pPr>
            <w:r w:rsidRPr="00CD02D9">
              <w:rPr>
                <w:bCs/>
                <w:color w:val="1B1C1D"/>
                <w:sz w:val="24"/>
                <w:szCs w:val="24"/>
                <w:bdr w:val="none" w:sz="0" w:space="0" w:color="auto" w:frame="1"/>
              </w:rPr>
              <w:t>&lt;0.001</w:t>
            </w:r>
          </w:p>
        </w:tc>
      </w:tr>
      <w:tr w:rsidR="00483AC7" w:rsidRPr="002F460A" w14:paraId="0EB042EA" w14:textId="77777777" w:rsidTr="0042609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F5BE6D" w14:textId="77777777" w:rsidR="002C42F1" w:rsidRPr="00CD02D9" w:rsidRDefault="002C42F1" w:rsidP="002C42F1">
            <w:pPr>
              <w:rPr>
                <w:color w:val="1B1C1D"/>
                <w:sz w:val="24"/>
                <w:szCs w:val="24"/>
              </w:rPr>
            </w:pPr>
            <w:r w:rsidRPr="00CD02D9">
              <w:rPr>
                <w:bCs/>
                <w:color w:val="1B1C1D"/>
                <w:sz w:val="24"/>
                <w:szCs w:val="24"/>
                <w:bdr w:val="none" w:sz="0" w:space="0" w:color="auto" w:frame="1"/>
              </w:rPr>
              <w:t>Testosterone (BPH vs. Control)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971D3C" w14:textId="77777777" w:rsidR="00483AC7" w:rsidRDefault="002C42F1" w:rsidP="002C42F1">
            <w:pPr>
              <w:rPr>
                <w:color w:val="1B1C1D"/>
                <w:sz w:val="24"/>
                <w:szCs w:val="24"/>
              </w:rPr>
            </w:pPr>
            <w:r w:rsidRPr="002F460A">
              <w:rPr>
                <w:color w:val="1B1C1D"/>
                <w:sz w:val="24"/>
                <w:szCs w:val="24"/>
                <w:bdr w:val="none" w:sz="0" w:space="0" w:color="auto" w:frame="1"/>
              </w:rPr>
              <w:t>16.78±8.36</w:t>
            </w:r>
            <w:r w:rsidRPr="002F460A">
              <w:rPr>
                <w:color w:val="1B1C1D"/>
                <w:sz w:val="24"/>
                <w:szCs w:val="24"/>
              </w:rPr>
              <w:t xml:space="preserve"> </w:t>
            </w:r>
          </w:p>
          <w:p w14:paraId="21496522" w14:textId="77777777" w:rsidR="002C42F1" w:rsidRPr="002F460A" w:rsidRDefault="002C42F1" w:rsidP="002C42F1">
            <w:pPr>
              <w:rPr>
                <w:color w:val="1B1C1D"/>
                <w:sz w:val="24"/>
                <w:szCs w:val="24"/>
              </w:rPr>
            </w:pPr>
            <w:r w:rsidRPr="002F460A">
              <w:rPr>
                <w:color w:val="1B1C1D"/>
                <w:sz w:val="24"/>
                <w:szCs w:val="24"/>
              </w:rPr>
              <w:t>(</w:t>
            </w:r>
            <w:r w:rsidRPr="002F460A">
              <w:rPr>
                <w:color w:val="1B1C1D"/>
                <w:sz w:val="24"/>
                <w:szCs w:val="24"/>
                <w:bdr w:val="none" w:sz="0" w:space="0" w:color="auto" w:frame="1"/>
              </w:rPr>
              <w:t>n=68</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B99721" w14:textId="77777777" w:rsidR="002C42F1" w:rsidRPr="002F460A" w:rsidRDefault="002C42F1" w:rsidP="002C42F1">
            <w:pPr>
              <w:rPr>
                <w:color w:val="1B1C1D"/>
                <w:sz w:val="24"/>
                <w:szCs w:val="24"/>
              </w:rPr>
            </w:pPr>
            <w:r w:rsidRPr="002F460A">
              <w:rPr>
                <w:color w:val="1B1C1D"/>
                <w:sz w:val="24"/>
                <w:szCs w:val="24"/>
                <w:bdr w:val="none" w:sz="0" w:space="0" w:color="auto" w:frame="1"/>
              </w:rPr>
              <w:t>10.52±8.79</w:t>
            </w:r>
            <w:r w:rsidRPr="002F460A">
              <w:rPr>
                <w:color w:val="1B1C1D"/>
                <w:sz w:val="24"/>
                <w:szCs w:val="24"/>
              </w:rPr>
              <w:t xml:space="preserve"> (</w:t>
            </w:r>
            <w:r w:rsidRPr="002F460A">
              <w:rPr>
                <w:color w:val="1B1C1D"/>
                <w:sz w:val="24"/>
                <w:szCs w:val="24"/>
                <w:bdr w:val="none" w:sz="0" w:space="0" w:color="auto" w:frame="1"/>
              </w:rPr>
              <w:t>n=69</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E7954B" w14:textId="77777777" w:rsidR="002C42F1" w:rsidRPr="002F460A" w:rsidRDefault="002C42F1" w:rsidP="002C42F1">
            <w:pPr>
              <w:rPr>
                <w:color w:val="1B1C1D"/>
                <w:sz w:val="24"/>
                <w:szCs w:val="24"/>
              </w:rPr>
            </w:pPr>
            <w:r w:rsidRPr="002F460A">
              <w:rPr>
                <w:color w:val="1B1C1D"/>
                <w:sz w:val="24"/>
                <w:szCs w:val="24"/>
                <w:bdr w:val="none" w:sz="0" w:space="0" w:color="auto" w:frame="1"/>
              </w:rPr>
              <w:t>4.272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5742F3" w14:textId="77777777" w:rsidR="002C42F1" w:rsidRPr="00CD02D9" w:rsidRDefault="002C42F1" w:rsidP="002C42F1">
            <w:pPr>
              <w:rPr>
                <w:color w:val="1B1C1D"/>
                <w:sz w:val="24"/>
                <w:szCs w:val="24"/>
              </w:rPr>
            </w:pPr>
            <w:r w:rsidRPr="00CD02D9">
              <w:rPr>
                <w:bCs/>
                <w:color w:val="1B1C1D"/>
                <w:sz w:val="24"/>
                <w:szCs w:val="24"/>
                <w:bdr w:val="none" w:sz="0" w:space="0" w:color="auto" w:frame="1"/>
              </w:rPr>
              <w:t>&lt;0.001</w:t>
            </w:r>
          </w:p>
        </w:tc>
      </w:tr>
    </w:tbl>
    <w:p w14:paraId="1B03CE4C" w14:textId="77777777" w:rsidR="00772F4D" w:rsidRDefault="006A3D92" w:rsidP="006B63EA">
      <w:pPr>
        <w:pStyle w:val="BodyText"/>
        <w:spacing w:before="87"/>
        <w:ind w:left="0"/>
        <w:jc w:val="left"/>
      </w:pPr>
      <w:r>
        <w:t xml:space="preserve">The </w:t>
      </w:r>
      <w:r w:rsidRPr="002F460A">
        <w:rPr>
          <w:color w:val="1B1C1D"/>
        </w:rPr>
        <w:t>mean Total PSA</w:t>
      </w:r>
      <w:r>
        <w:rPr>
          <w:color w:val="1B1C1D"/>
        </w:rPr>
        <w:t xml:space="preserve"> and Testosterone levels in both the </w:t>
      </w:r>
      <w:r w:rsidRPr="002F460A">
        <w:rPr>
          <w:color w:val="1B1C1D"/>
        </w:rPr>
        <w:t xml:space="preserve">CAP </w:t>
      </w:r>
      <w:r>
        <w:rPr>
          <w:color w:val="1B1C1D"/>
        </w:rPr>
        <w:t xml:space="preserve">and BPH group were </w:t>
      </w:r>
      <w:r w:rsidRPr="002F460A">
        <w:rPr>
          <w:bCs/>
          <w:color w:val="1B1C1D"/>
          <w:bdr w:val="none" w:sz="0" w:space="0" w:color="auto" w:frame="1"/>
        </w:rPr>
        <w:t>significantly higher</w:t>
      </w:r>
      <w:r w:rsidRPr="002F460A">
        <w:rPr>
          <w:color w:val="1B1C1D"/>
        </w:rPr>
        <w:t xml:space="preserve"> than in the Control</w:t>
      </w:r>
      <w:r>
        <w:rPr>
          <w:color w:val="1B1C1D"/>
        </w:rPr>
        <w:t xml:space="preserve">s </w:t>
      </w:r>
      <w:r w:rsidRPr="006A3D92">
        <w:rPr>
          <w:color w:val="1B1C1D"/>
        </w:rPr>
        <w:t>(p</w:t>
      </w:r>
      <w:r w:rsidRPr="006A3D92">
        <w:rPr>
          <w:bCs/>
          <w:color w:val="1B1C1D"/>
          <w:bdr w:val="none" w:sz="0" w:space="0" w:color="auto" w:frame="1"/>
        </w:rPr>
        <w:t>&lt;0.001)</w:t>
      </w:r>
    </w:p>
    <w:p w14:paraId="7C0DF16D" w14:textId="77777777" w:rsidR="00C81445" w:rsidRDefault="00C81445" w:rsidP="006B63EA">
      <w:pPr>
        <w:pStyle w:val="BodyText"/>
        <w:spacing w:before="87"/>
        <w:ind w:left="0"/>
        <w:jc w:val="left"/>
      </w:pPr>
    </w:p>
    <w:p w14:paraId="3DF3EF2A" w14:textId="77777777" w:rsidR="00C81445" w:rsidRDefault="00C81445" w:rsidP="006B63EA">
      <w:pPr>
        <w:pStyle w:val="BodyText"/>
        <w:spacing w:before="87"/>
        <w:ind w:left="0"/>
        <w:jc w:val="left"/>
      </w:pPr>
    </w:p>
    <w:p w14:paraId="522AEECE" w14:textId="77777777" w:rsidR="008E2CD0" w:rsidRDefault="00ED14B1" w:rsidP="006B63EA">
      <w:pPr>
        <w:pStyle w:val="BodyText"/>
        <w:spacing w:before="87"/>
        <w:ind w:left="0"/>
        <w:jc w:val="left"/>
      </w:pPr>
      <w:r>
        <w:t xml:space="preserve">Table 2: </w:t>
      </w:r>
      <w:r w:rsidRPr="00CD02D9">
        <w:rPr>
          <w:bCs/>
          <w:color w:val="1B1C1D"/>
          <w:bdr w:val="none" w:sz="0" w:space="0" w:color="auto" w:frame="1"/>
        </w:rPr>
        <w:t>Welch's independent samples t-test comparison</w:t>
      </w:r>
      <w:r w:rsidRPr="00CD02D9">
        <w:rPr>
          <w:color w:val="1B1C1D"/>
        </w:rPr>
        <w:t xml:space="preserve"> for CAP</w:t>
      </w:r>
      <w:r w:rsidR="002C42F1">
        <w:rPr>
          <w:color w:val="1B1C1D"/>
        </w:rPr>
        <w:t xml:space="preserve"> (70)</w:t>
      </w:r>
      <w:r w:rsidRPr="00CD02D9">
        <w:rPr>
          <w:color w:val="1B1C1D"/>
        </w:rPr>
        <w:t xml:space="preserve"> and BPH</w:t>
      </w:r>
      <w:r w:rsidR="002C42F1">
        <w:rPr>
          <w:color w:val="1B1C1D"/>
        </w:rPr>
        <w:t xml:space="preserve"> (68)</w:t>
      </w:r>
      <w:r w:rsidRPr="00CD02D9">
        <w:rPr>
          <w:color w:val="1B1C1D"/>
        </w:rPr>
        <w:t xml:space="preserve"> groups:</w:t>
      </w:r>
    </w:p>
    <w:p w14:paraId="541838CA" w14:textId="77777777" w:rsidR="00ED14B1" w:rsidRDefault="00ED14B1" w:rsidP="006B63EA">
      <w:pPr>
        <w:pStyle w:val="BodyText"/>
        <w:spacing w:before="87"/>
        <w:ind w:left="0"/>
        <w:jc w:val="left"/>
      </w:pPr>
    </w:p>
    <w:tbl>
      <w:tblPr>
        <w:tblW w:w="0" w:type="auto"/>
        <w:tblCellSpacing w:w="15" w:type="dxa"/>
        <w:tblCellMar>
          <w:left w:w="0" w:type="dxa"/>
          <w:right w:w="0" w:type="dxa"/>
        </w:tblCellMar>
        <w:tblLook w:val="04A0" w:firstRow="1" w:lastRow="0" w:firstColumn="1" w:lastColumn="0" w:noHBand="0" w:noVBand="1"/>
      </w:tblPr>
      <w:tblGrid>
        <w:gridCol w:w="2442"/>
        <w:gridCol w:w="2315"/>
        <w:gridCol w:w="2226"/>
        <w:gridCol w:w="1228"/>
        <w:gridCol w:w="1133"/>
      </w:tblGrid>
      <w:tr w:rsidR="00483AC7" w:rsidRPr="002F460A" w14:paraId="0BEE7BFF" w14:textId="77777777" w:rsidTr="0042609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478310" w14:textId="77777777" w:rsidR="00ED14B1" w:rsidRPr="002F460A" w:rsidRDefault="00ED14B1" w:rsidP="0042609A">
            <w:pPr>
              <w:rPr>
                <w:color w:val="1B1C1D"/>
                <w:sz w:val="24"/>
                <w:szCs w:val="24"/>
              </w:rPr>
            </w:pPr>
            <w:r w:rsidRPr="002F460A">
              <w:rPr>
                <w:color w:val="1B1C1D"/>
                <w:sz w:val="24"/>
                <w:szCs w:val="24"/>
              </w:rPr>
              <w:t>Comparison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7BC2F3" w14:textId="77777777" w:rsidR="00ED14B1" w:rsidRPr="002F460A" w:rsidRDefault="00483AC7" w:rsidP="0042609A">
            <w:pPr>
              <w:rPr>
                <w:color w:val="1B1C1D"/>
                <w:sz w:val="24"/>
                <w:szCs w:val="24"/>
              </w:rPr>
            </w:pPr>
            <w:r>
              <w:rPr>
                <w:color w:val="1B1C1D"/>
                <w:sz w:val="24"/>
                <w:szCs w:val="24"/>
              </w:rPr>
              <w:t xml:space="preserve">Mean </w:t>
            </w:r>
            <w:r w:rsidR="00ED14B1" w:rsidRPr="002F460A">
              <w:rPr>
                <w:color w:val="1B1C1D"/>
                <w:sz w:val="24"/>
                <w:szCs w:val="24"/>
              </w:rPr>
              <w:t xml:space="preserve"> </w:t>
            </w:r>
            <w:r w:rsidR="00ED14B1" w:rsidRPr="002F460A">
              <w:rPr>
                <w:color w:val="1B1C1D"/>
                <w:sz w:val="24"/>
                <w:szCs w:val="24"/>
                <w:bdr w:val="none" w:sz="0" w:space="0" w:color="auto" w:frame="1"/>
              </w:rPr>
              <w:t>±</w:t>
            </w:r>
            <w:r>
              <w:rPr>
                <w:color w:val="1B1C1D"/>
                <w:sz w:val="24"/>
                <w:szCs w:val="24"/>
              </w:rPr>
              <w:t xml:space="preserve"> SD (CAP)</w:t>
            </w:r>
            <w:r w:rsidR="00ED14B1" w:rsidRPr="002F460A">
              <w:rPr>
                <w:color w:val="1B1C1D"/>
                <w:sz w:val="24"/>
                <w:szCs w:val="24"/>
              </w:rPr>
              <w:t xml:space="preserve"> (</w:t>
            </w:r>
            <w:r w:rsidR="002C42F1">
              <w:rPr>
                <w:color w:val="1B1C1D"/>
                <w:sz w:val="24"/>
                <w:szCs w:val="24"/>
                <w:bdr w:val="none" w:sz="0" w:space="0" w:color="auto" w:frame="1"/>
              </w:rPr>
              <w:t>n=70</w:t>
            </w:r>
            <w:r w:rsidR="00ED14B1" w:rsidRPr="002F460A">
              <w:rPr>
                <w:color w:val="1B1C1D"/>
                <w:sz w:val="24"/>
                <w:szCs w:val="24"/>
                <w:bdr w:val="none" w:sz="0" w:space="0" w:color="auto" w:frame="1"/>
              </w:rPr>
              <w:t>​</w:t>
            </w:r>
            <w:r w:rsidR="00ED14B1"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F2985B" w14:textId="77777777" w:rsidR="00ED14B1" w:rsidRPr="002F460A" w:rsidRDefault="00483AC7" w:rsidP="0042609A">
            <w:pPr>
              <w:rPr>
                <w:color w:val="1B1C1D"/>
                <w:sz w:val="24"/>
                <w:szCs w:val="24"/>
              </w:rPr>
            </w:pPr>
            <w:r>
              <w:rPr>
                <w:color w:val="1B1C1D"/>
                <w:sz w:val="24"/>
                <w:szCs w:val="24"/>
              </w:rPr>
              <w:t xml:space="preserve">Mean </w:t>
            </w:r>
            <w:r w:rsidR="00ED14B1" w:rsidRPr="002F460A">
              <w:rPr>
                <w:color w:val="1B1C1D"/>
                <w:sz w:val="24"/>
                <w:szCs w:val="24"/>
                <w:bdr w:val="none" w:sz="0" w:space="0" w:color="auto" w:frame="1"/>
              </w:rPr>
              <w:t>±</w:t>
            </w:r>
            <w:r>
              <w:rPr>
                <w:color w:val="1B1C1D"/>
                <w:sz w:val="24"/>
                <w:szCs w:val="24"/>
              </w:rPr>
              <w:t xml:space="preserve"> SD (BPH)</w:t>
            </w:r>
            <w:r w:rsidR="00ED14B1" w:rsidRPr="002F460A">
              <w:rPr>
                <w:color w:val="1B1C1D"/>
                <w:sz w:val="24"/>
                <w:szCs w:val="24"/>
              </w:rPr>
              <w:t xml:space="preserve"> (</w:t>
            </w:r>
            <w:r w:rsidR="002C42F1">
              <w:rPr>
                <w:color w:val="1B1C1D"/>
                <w:sz w:val="24"/>
                <w:szCs w:val="24"/>
                <w:bdr w:val="none" w:sz="0" w:space="0" w:color="auto" w:frame="1"/>
              </w:rPr>
              <w:t>n=68</w:t>
            </w:r>
            <w:r w:rsidR="00ED14B1" w:rsidRPr="002F460A">
              <w:rPr>
                <w:color w:val="1B1C1D"/>
                <w:sz w:val="24"/>
                <w:szCs w:val="24"/>
                <w:bdr w:val="none" w:sz="0" w:space="0" w:color="auto" w:frame="1"/>
              </w:rPr>
              <w:t>​</w:t>
            </w:r>
            <w:r w:rsidR="00ED14B1"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CB97C0" w14:textId="77777777" w:rsidR="00ED14B1" w:rsidRPr="002F460A" w:rsidRDefault="00ED14B1" w:rsidP="0042609A">
            <w:pPr>
              <w:rPr>
                <w:color w:val="1B1C1D"/>
                <w:sz w:val="24"/>
                <w:szCs w:val="24"/>
              </w:rPr>
            </w:pPr>
            <w:r w:rsidRPr="002F460A">
              <w:rPr>
                <w:color w:val="1B1C1D"/>
                <w:sz w:val="24"/>
                <w:szCs w:val="24"/>
                <w:bdr w:val="none" w:sz="0" w:space="0" w:color="auto" w:frame="1"/>
              </w:rPr>
              <w:t>t</w:t>
            </w:r>
            <w:r w:rsidRPr="002F460A">
              <w:rPr>
                <w:color w:val="1B1C1D"/>
                <w:sz w:val="24"/>
                <w:szCs w:val="24"/>
              </w:rPr>
              <w:t>-statistic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897F89" w14:textId="77777777" w:rsidR="00ED14B1" w:rsidRPr="002F460A" w:rsidRDefault="00ED14B1" w:rsidP="0042609A">
            <w:pPr>
              <w:rPr>
                <w:color w:val="1B1C1D"/>
                <w:sz w:val="24"/>
                <w:szCs w:val="24"/>
              </w:rPr>
            </w:pPr>
            <w:r w:rsidRPr="002F460A">
              <w:rPr>
                <w:color w:val="1B1C1D"/>
                <w:sz w:val="24"/>
                <w:szCs w:val="24"/>
                <w:bdr w:val="none" w:sz="0" w:space="0" w:color="auto" w:frame="1"/>
              </w:rPr>
              <w:t>p</w:t>
            </w:r>
            <w:r w:rsidRPr="002F460A">
              <w:rPr>
                <w:color w:val="1B1C1D"/>
                <w:sz w:val="24"/>
                <w:szCs w:val="24"/>
              </w:rPr>
              <w:t>-value</w:t>
            </w:r>
          </w:p>
        </w:tc>
      </w:tr>
      <w:tr w:rsidR="00483AC7" w:rsidRPr="002F460A" w14:paraId="0C9669B9" w14:textId="77777777" w:rsidTr="0042609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179537" w14:textId="77777777" w:rsidR="00ED14B1" w:rsidRPr="00CD02D9" w:rsidRDefault="00ED14B1" w:rsidP="0042609A">
            <w:pPr>
              <w:rPr>
                <w:color w:val="1B1C1D"/>
                <w:sz w:val="24"/>
                <w:szCs w:val="24"/>
              </w:rPr>
            </w:pPr>
            <w:r w:rsidRPr="00CD02D9">
              <w:rPr>
                <w:bCs/>
                <w:color w:val="1B1C1D"/>
                <w:sz w:val="24"/>
                <w:szCs w:val="24"/>
                <w:bdr w:val="none" w:sz="0" w:space="0" w:color="auto" w:frame="1"/>
              </w:rPr>
              <w:t>Total PSA (CAP vs. BPH)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C445EF" w14:textId="77777777" w:rsidR="00ED14B1" w:rsidRPr="002F460A" w:rsidRDefault="00ED14B1" w:rsidP="0042609A">
            <w:pPr>
              <w:rPr>
                <w:color w:val="1B1C1D"/>
                <w:sz w:val="24"/>
                <w:szCs w:val="24"/>
              </w:rPr>
            </w:pPr>
            <w:r w:rsidRPr="002F460A">
              <w:rPr>
                <w:color w:val="1B1C1D"/>
                <w:sz w:val="24"/>
                <w:szCs w:val="24"/>
                <w:bdr w:val="none" w:sz="0" w:space="0" w:color="auto" w:frame="1"/>
              </w:rPr>
              <w:t>59.42±55.36</w:t>
            </w:r>
            <w:r w:rsidRPr="002F460A">
              <w:rPr>
                <w:color w:val="1B1C1D"/>
                <w:sz w:val="24"/>
                <w:szCs w:val="24"/>
              </w:rPr>
              <w:t xml:space="preserve"> (</w:t>
            </w:r>
            <w:r w:rsidRPr="002F460A">
              <w:rPr>
                <w:color w:val="1B1C1D"/>
                <w:sz w:val="24"/>
                <w:szCs w:val="24"/>
                <w:bdr w:val="none" w:sz="0" w:space="0" w:color="auto" w:frame="1"/>
              </w:rPr>
              <w:t>n=70</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BBAB55" w14:textId="77777777" w:rsidR="00ED14B1" w:rsidRPr="002F460A" w:rsidRDefault="00ED14B1" w:rsidP="0042609A">
            <w:pPr>
              <w:rPr>
                <w:color w:val="1B1C1D"/>
                <w:sz w:val="24"/>
                <w:szCs w:val="24"/>
              </w:rPr>
            </w:pPr>
            <w:r w:rsidRPr="002F460A">
              <w:rPr>
                <w:color w:val="1B1C1D"/>
                <w:sz w:val="24"/>
                <w:szCs w:val="24"/>
                <w:bdr w:val="none" w:sz="0" w:space="0" w:color="auto" w:frame="1"/>
              </w:rPr>
              <w:t>15.13±9.49</w:t>
            </w:r>
            <w:r w:rsidRPr="002F460A">
              <w:rPr>
                <w:color w:val="1B1C1D"/>
                <w:sz w:val="24"/>
                <w:szCs w:val="24"/>
              </w:rPr>
              <w:t xml:space="preserve"> (</w:t>
            </w:r>
            <w:r w:rsidRPr="002F460A">
              <w:rPr>
                <w:color w:val="1B1C1D"/>
                <w:sz w:val="24"/>
                <w:szCs w:val="24"/>
                <w:bdr w:val="none" w:sz="0" w:space="0" w:color="auto" w:frame="1"/>
              </w:rPr>
              <w:t>n=68</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A8969F" w14:textId="77777777" w:rsidR="00ED14B1" w:rsidRPr="002F460A" w:rsidRDefault="00ED14B1" w:rsidP="0042609A">
            <w:pPr>
              <w:rPr>
                <w:color w:val="1B1C1D"/>
                <w:sz w:val="24"/>
                <w:szCs w:val="24"/>
              </w:rPr>
            </w:pPr>
            <w:r w:rsidRPr="002F460A">
              <w:rPr>
                <w:color w:val="1B1C1D"/>
                <w:sz w:val="24"/>
                <w:szCs w:val="24"/>
                <w:bdr w:val="none" w:sz="0" w:space="0" w:color="auto" w:frame="1"/>
              </w:rPr>
              <w:t>6.595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A73B2F" w14:textId="77777777" w:rsidR="00ED14B1" w:rsidRPr="00CD02D9" w:rsidRDefault="00ED14B1" w:rsidP="0042609A">
            <w:pPr>
              <w:rPr>
                <w:color w:val="1B1C1D"/>
                <w:sz w:val="24"/>
                <w:szCs w:val="24"/>
              </w:rPr>
            </w:pPr>
            <w:r w:rsidRPr="00CD02D9">
              <w:rPr>
                <w:bCs/>
                <w:color w:val="1B1C1D"/>
                <w:sz w:val="24"/>
                <w:szCs w:val="24"/>
                <w:bdr w:val="none" w:sz="0" w:space="0" w:color="auto" w:frame="1"/>
              </w:rPr>
              <w:t>&lt;0.001</w:t>
            </w:r>
          </w:p>
        </w:tc>
      </w:tr>
      <w:tr w:rsidR="00483AC7" w:rsidRPr="002F460A" w14:paraId="6BED1050" w14:textId="77777777" w:rsidTr="0042609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62840D" w14:textId="77777777" w:rsidR="00ED14B1" w:rsidRPr="00CD02D9" w:rsidRDefault="00ED14B1" w:rsidP="0042609A">
            <w:pPr>
              <w:rPr>
                <w:color w:val="1B1C1D"/>
                <w:sz w:val="24"/>
                <w:szCs w:val="24"/>
              </w:rPr>
            </w:pPr>
            <w:r w:rsidRPr="00CD02D9">
              <w:rPr>
                <w:bCs/>
                <w:color w:val="1B1C1D"/>
                <w:sz w:val="24"/>
                <w:szCs w:val="24"/>
                <w:bdr w:val="none" w:sz="0" w:space="0" w:color="auto" w:frame="1"/>
              </w:rPr>
              <w:t>Testosterone (CAP vs. BPH)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708FC9" w14:textId="77777777" w:rsidR="00ED14B1" w:rsidRPr="002F460A" w:rsidRDefault="00ED14B1" w:rsidP="0042609A">
            <w:pPr>
              <w:rPr>
                <w:color w:val="1B1C1D"/>
                <w:sz w:val="24"/>
                <w:szCs w:val="24"/>
              </w:rPr>
            </w:pPr>
            <w:r w:rsidRPr="002F460A">
              <w:rPr>
                <w:color w:val="1B1C1D"/>
                <w:sz w:val="24"/>
                <w:szCs w:val="24"/>
                <w:bdr w:val="none" w:sz="0" w:space="0" w:color="auto" w:frame="1"/>
              </w:rPr>
              <w:t>18.02±8.87</w:t>
            </w:r>
            <w:r w:rsidRPr="002F460A">
              <w:rPr>
                <w:color w:val="1B1C1D"/>
                <w:sz w:val="24"/>
                <w:szCs w:val="24"/>
              </w:rPr>
              <w:t xml:space="preserve"> (</w:t>
            </w:r>
            <w:r w:rsidRPr="002F460A">
              <w:rPr>
                <w:color w:val="1B1C1D"/>
                <w:sz w:val="24"/>
                <w:szCs w:val="24"/>
                <w:bdr w:val="none" w:sz="0" w:space="0" w:color="auto" w:frame="1"/>
              </w:rPr>
              <w:t>n=70</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48DA2D" w14:textId="77777777" w:rsidR="00ED14B1" w:rsidRPr="002F460A" w:rsidRDefault="00ED14B1" w:rsidP="0042609A">
            <w:pPr>
              <w:rPr>
                <w:color w:val="1B1C1D"/>
                <w:sz w:val="24"/>
                <w:szCs w:val="24"/>
              </w:rPr>
            </w:pPr>
            <w:r w:rsidRPr="002F460A">
              <w:rPr>
                <w:color w:val="1B1C1D"/>
                <w:sz w:val="24"/>
                <w:szCs w:val="24"/>
                <w:bdr w:val="none" w:sz="0" w:space="0" w:color="auto" w:frame="1"/>
              </w:rPr>
              <w:t>16.78±8.36</w:t>
            </w:r>
            <w:r w:rsidRPr="002F460A">
              <w:rPr>
                <w:color w:val="1B1C1D"/>
                <w:sz w:val="24"/>
                <w:szCs w:val="24"/>
              </w:rPr>
              <w:t xml:space="preserve"> (</w:t>
            </w:r>
            <w:r w:rsidRPr="002F460A">
              <w:rPr>
                <w:color w:val="1B1C1D"/>
                <w:sz w:val="24"/>
                <w:szCs w:val="24"/>
                <w:bdr w:val="none" w:sz="0" w:space="0" w:color="auto" w:frame="1"/>
              </w:rPr>
              <w:t>n=68</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E6D294" w14:textId="77777777" w:rsidR="00ED14B1" w:rsidRPr="002F460A" w:rsidRDefault="00ED14B1" w:rsidP="0042609A">
            <w:pPr>
              <w:rPr>
                <w:color w:val="1B1C1D"/>
                <w:sz w:val="24"/>
                <w:szCs w:val="24"/>
              </w:rPr>
            </w:pPr>
            <w:r w:rsidRPr="002F460A">
              <w:rPr>
                <w:color w:val="1B1C1D"/>
                <w:sz w:val="24"/>
                <w:szCs w:val="24"/>
                <w:bdr w:val="none" w:sz="0" w:space="0" w:color="auto" w:frame="1"/>
              </w:rPr>
              <w:t>0.845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2956A0" w14:textId="77777777" w:rsidR="00ED14B1" w:rsidRPr="00CD02D9" w:rsidRDefault="00ED14B1" w:rsidP="0042609A">
            <w:pPr>
              <w:rPr>
                <w:color w:val="1B1C1D"/>
                <w:sz w:val="24"/>
                <w:szCs w:val="24"/>
              </w:rPr>
            </w:pPr>
            <w:r w:rsidRPr="00CD02D9">
              <w:rPr>
                <w:bCs/>
                <w:color w:val="1B1C1D"/>
                <w:sz w:val="24"/>
                <w:szCs w:val="24"/>
                <w:bdr w:val="none" w:sz="0" w:space="0" w:color="auto" w:frame="1"/>
              </w:rPr>
              <w:t>0.399</w:t>
            </w:r>
          </w:p>
        </w:tc>
      </w:tr>
    </w:tbl>
    <w:p w14:paraId="0097C540" w14:textId="0EA37C10" w:rsidR="00ED14B1" w:rsidRDefault="00ED14B1" w:rsidP="006B63EA">
      <w:pPr>
        <w:pStyle w:val="BodyText"/>
        <w:spacing w:before="87"/>
        <w:ind w:left="0"/>
        <w:jc w:val="left"/>
      </w:pPr>
      <w:r w:rsidRPr="002F460A">
        <w:rPr>
          <w:color w:val="1B1C1D"/>
        </w:rPr>
        <w:lastRenderedPageBreak/>
        <w:t>The mean To</w:t>
      </w:r>
      <w:r>
        <w:rPr>
          <w:color w:val="1B1C1D"/>
        </w:rPr>
        <w:t>tal PSA level in the CAP group</w:t>
      </w:r>
      <w:r w:rsidRPr="002F460A">
        <w:rPr>
          <w:color w:val="1B1C1D"/>
        </w:rPr>
        <w:t xml:space="preserve"> is </w:t>
      </w:r>
      <w:r w:rsidRPr="002F460A">
        <w:rPr>
          <w:bCs/>
          <w:color w:val="1B1C1D"/>
          <w:bdr w:val="none" w:sz="0" w:space="0" w:color="auto" w:frame="1"/>
        </w:rPr>
        <w:t>significantly higher</w:t>
      </w:r>
      <w:r w:rsidRPr="002F460A">
        <w:rPr>
          <w:color w:val="1B1C1D"/>
        </w:rPr>
        <w:t xml:space="preserve"> than the mean To</w:t>
      </w:r>
      <w:r>
        <w:rPr>
          <w:color w:val="1B1C1D"/>
        </w:rPr>
        <w:t>tal PSA level in the BPH group</w:t>
      </w:r>
      <w:r w:rsidRPr="002F460A">
        <w:rPr>
          <w:color w:val="1B1C1D"/>
        </w:rPr>
        <w:t>. This difference is expected, as CAP is typically associated with much higher PSA levels.</w:t>
      </w:r>
      <w:r>
        <w:rPr>
          <w:color w:val="1B1C1D"/>
        </w:rPr>
        <w:t xml:space="preserve"> (p&lt;0.001). </w:t>
      </w:r>
      <w:r w:rsidRPr="00230ADF">
        <w:rPr>
          <w:color w:val="1B1C1D"/>
          <w:highlight w:val="yellow"/>
        </w:rPr>
        <w:t xml:space="preserve">However, there is </w:t>
      </w:r>
      <w:r w:rsidRPr="00230ADF">
        <w:rPr>
          <w:bCs/>
          <w:color w:val="1B1C1D"/>
          <w:highlight w:val="yellow"/>
          <w:bdr w:val="none" w:sz="0" w:space="0" w:color="auto" w:frame="1"/>
        </w:rPr>
        <w:t>no statistically significant difference</w:t>
      </w:r>
      <w:r w:rsidRPr="00230ADF">
        <w:rPr>
          <w:color w:val="1B1C1D"/>
          <w:highlight w:val="yellow"/>
        </w:rPr>
        <w:t xml:space="preserve"> in </w:t>
      </w:r>
      <w:r w:rsidR="00230ADF" w:rsidRPr="00230ADF">
        <w:rPr>
          <w:color w:val="1B1C1D"/>
          <w:highlight w:val="yellow"/>
        </w:rPr>
        <w:t>mean Testosterone levels between the CAP and BPH groups</w:t>
      </w:r>
      <w:r>
        <w:rPr>
          <w:color w:val="1B1C1D"/>
        </w:rPr>
        <w:t xml:space="preserve"> (p&gt;0.05).</w:t>
      </w:r>
    </w:p>
    <w:p w14:paraId="5976E936" w14:textId="77777777" w:rsidR="00DF482D" w:rsidRDefault="00DF482D" w:rsidP="006B63EA">
      <w:pPr>
        <w:pStyle w:val="BodyText"/>
        <w:spacing w:before="87"/>
        <w:ind w:left="0"/>
        <w:jc w:val="left"/>
      </w:pPr>
    </w:p>
    <w:p w14:paraId="41DDA8F7" w14:textId="77777777" w:rsidR="00DF482D" w:rsidRDefault="00DF482D" w:rsidP="006B63EA">
      <w:pPr>
        <w:pStyle w:val="BodyText"/>
        <w:spacing w:before="87"/>
        <w:ind w:left="0"/>
        <w:jc w:val="left"/>
      </w:pPr>
    </w:p>
    <w:p w14:paraId="6FA7E3B2" w14:textId="77777777" w:rsidR="00DF482D" w:rsidRDefault="00DF482D" w:rsidP="006B63EA">
      <w:pPr>
        <w:pStyle w:val="BodyText"/>
        <w:spacing w:before="87"/>
        <w:ind w:left="0"/>
        <w:jc w:val="left"/>
      </w:pPr>
    </w:p>
    <w:p w14:paraId="16D706F2" w14:textId="77777777" w:rsidR="00DF482D" w:rsidRDefault="00DF482D" w:rsidP="006B63EA">
      <w:pPr>
        <w:pStyle w:val="BodyText"/>
        <w:spacing w:before="87"/>
        <w:ind w:left="0"/>
        <w:jc w:val="left"/>
      </w:pPr>
    </w:p>
    <w:p w14:paraId="6CB3D240" w14:textId="77777777" w:rsidR="0096186F" w:rsidRDefault="0096186F" w:rsidP="006B63EA">
      <w:pPr>
        <w:pStyle w:val="BodyText"/>
        <w:spacing w:before="87"/>
        <w:ind w:left="0"/>
        <w:jc w:val="left"/>
      </w:pPr>
    </w:p>
    <w:p w14:paraId="4995DA8F" w14:textId="54F599BD" w:rsidR="00836A4A" w:rsidRDefault="0096186F" w:rsidP="00836A4A">
      <w:pPr>
        <w:pStyle w:val="NormalWeb"/>
        <w:spacing w:after="0" w:afterAutospacing="0"/>
        <w:jc w:val="both"/>
        <w:rPr>
          <w:color w:val="1B1C1D"/>
        </w:rPr>
      </w:pPr>
      <w:r>
        <w:rPr>
          <w:color w:val="1B1C1D"/>
        </w:rPr>
        <w:t xml:space="preserve">The study demonstrates a </w:t>
      </w:r>
      <w:r w:rsidRPr="008F041E">
        <w:rPr>
          <w:color w:val="FF0000"/>
        </w:rPr>
        <w:t>highly significant</w:t>
      </w:r>
      <w:r w:rsidR="008F041E" w:rsidRPr="008F041E">
        <w:rPr>
          <w:color w:val="FF0000"/>
        </w:rPr>
        <w:t>,</w:t>
      </w:r>
      <w:r w:rsidRPr="008F041E">
        <w:rPr>
          <w:color w:val="FF0000"/>
        </w:rPr>
        <w:t xml:space="preserve"> stepwise increase </w:t>
      </w:r>
      <w:r>
        <w:rPr>
          <w:color w:val="1B1C1D"/>
        </w:rPr>
        <w:t xml:space="preserve">in mean </w:t>
      </w:r>
      <w:r w:rsidRPr="0096186F">
        <w:rPr>
          <w:bCs/>
          <w:color w:val="1B1C1D"/>
          <w:bdr w:val="none" w:sz="0" w:space="0" w:color="auto" w:frame="1"/>
        </w:rPr>
        <w:t>Total PSA</w:t>
      </w:r>
      <w:r>
        <w:rPr>
          <w:color w:val="1B1C1D"/>
        </w:rPr>
        <w:t xml:space="preserve"> across the groups. The stark, highly significant difference in PSA between the CAP and BPH groups confirms the utility of PSA as a key differentiator between the two major prostatic pathologies. </w:t>
      </w:r>
      <w:r w:rsidR="00036152" w:rsidRPr="00230ADF">
        <w:rPr>
          <w:color w:val="FF0000"/>
        </w:rPr>
        <w:t xml:space="preserve">The significantly higher mean PSA in CAP patients aligns with decades of clinical evidence </w:t>
      </w:r>
      <w:r w:rsidR="00DF482D" w:rsidRPr="00230ADF">
        <w:rPr>
          <w:color w:val="FF0000"/>
        </w:rPr>
        <w:t xml:space="preserve">indicating that malignant transformation leads to greater disruption of prostatic tissue and </w:t>
      </w:r>
      <w:r w:rsidR="00230ADF" w:rsidRPr="00230ADF">
        <w:rPr>
          <w:color w:val="FF0000"/>
        </w:rPr>
        <w:t>greater release of PSA into the serum than</w:t>
      </w:r>
      <w:r w:rsidR="00036152" w:rsidRPr="00230ADF">
        <w:rPr>
          <w:color w:val="FF0000"/>
        </w:rPr>
        <w:t xml:space="preserve"> benign enlargement</w:t>
      </w:r>
      <w:r w:rsidR="00E34F03" w:rsidRPr="00230ADF">
        <w:rPr>
          <w:color w:val="FF0000"/>
        </w:rPr>
        <w:t xml:space="preserve"> </w:t>
      </w:r>
      <w:r w:rsidR="00E34F03">
        <w:rPr>
          <w:color w:val="1B1C1D"/>
        </w:rPr>
        <w:fldChar w:fldCharType="begin" w:fldLock="1"/>
      </w:r>
      <w:r w:rsidR="00836A4A">
        <w:rPr>
          <w:color w:val="1B1C1D"/>
        </w:rPr>
        <w:instrText>ADDIN CSL_CITATION {"citationItems":[{"id":"ITEM-1","itemData":{"DOI":"10.1016/j.canlet.2024.217432","ISSN":"18727980","PMID":"39730087","abstract":"Major histocompatibility complex (MHC) class I load antigens and present them on the cell surface, which transduces the tumor-associated antigens to CD8+ T cells, activating the acquired immune system. However, many tumors downregulate MHC I expression to evade immune surveillance. The low expression of MHC I not only reduce recognition by- and cytotoxicity of CD8+ T cells, but also seriously weakens the anti-tumor effect of immunotherapy by restoring CD8+ T cells, such as immune checkpoint inhibitors (ICIs). Accumulated evidence suggested that restoring MHC I expression is an effective strategy for enhancing tumor immunotherapy. This review focuses on mechanisms underlying MHC I downregulation include gene deletion and mutation, transcriptional inhibition, reduced mRNA stability, increased protein degradation, and disruption of endocytic trafficking. We also provide a comprehensive review of small molecules that restore or upregulate MHC I expression, as well as clinical trials involving the combination of ICIs and these small molecule drugs.","author":[{"dropping-particle":"","family":"Kong","given":"Shijia","non-dropping-particle":"","parse-names":false,"suffix":""},{"dropping-particle":"","family":"Zhang","given":"Jie","non-dropping-particle":"","parse-names":false,"suffix":""},{"dropping-particle":"","family":"Wang","given":"Longsheng","non-dropping-particle":"","parse-names":false,"suffix":""},{"dropping-particle":"","family":"Li","given":"Wen","non-dropping-particle":"","parse-names":false,"suffix":""},{"dropping-particle":"","family":"Guo","given":"Hongjie","non-dropping-particle":"","parse-names":false,"suffix":""},{"dropping-particle":"","family":"Weng","given":"Qinjie","non-dropping-particle":"","parse-names":false,"suffix":""},{"dropping-particle":"","family":"He","given":"Qiaojun","non-dropping-particle":"","parse-names":false,"suffix":""},{"dropping-particle":"","family":"Lou","given":"Honggang","non-dropping-particle":"","parse-names":false,"suffix":""},{"dropping-particle":"","family":"Ding","given":"Ling","non-dropping-particle":"","parse-names":false,"suffix":""},{"dropping-particle":"","family":"Yang","given":"Bo","non-dropping-particle":"","parse-names":false,"suffix":""}],"container-title":"Cancer Letters","id":"ITEM-1","issue":"December 2024","issued":{"date-parts":[["2025"]]},"page":"217432","publisher":"Elsevier B.V.","title":"Mechanisms of low MHC I expression and strategies for targeting MHC I with small molecules in cancer immunotherapy","type":"article-journal","volume":"611"},"uris":["http://www.mendeley.com/documents/?uuid=3ac914f3-b497-499b-aa4d-e5020a6d29a1"]}],"mendeley":{"formattedCitation":"(Kong et al., 2025)","plainTextFormattedCitation":"(Kong et al., 2025)","previouslyFormattedCitation":"(Kong et al., 2025)"},"properties":{"noteIndex":0},"schema":"https://github.com/citation-style-language/schema/raw/master/csl-citation.json"}</w:instrText>
      </w:r>
      <w:r w:rsidR="00E34F03">
        <w:rPr>
          <w:color w:val="1B1C1D"/>
        </w:rPr>
        <w:fldChar w:fldCharType="separate"/>
      </w:r>
      <w:r w:rsidR="00E34F03" w:rsidRPr="00E34F03">
        <w:rPr>
          <w:noProof/>
          <w:color w:val="1B1C1D"/>
        </w:rPr>
        <w:t>(Kong et al., 2025)</w:t>
      </w:r>
      <w:r w:rsidR="00E34F03">
        <w:rPr>
          <w:color w:val="1B1C1D"/>
        </w:rPr>
        <w:fldChar w:fldCharType="end"/>
      </w:r>
      <w:r w:rsidR="00E34F03">
        <w:rPr>
          <w:color w:val="1B1C1D"/>
        </w:rPr>
        <w:t>. The large standard deviation</w:t>
      </w:r>
      <w:r w:rsidR="00836A4A">
        <w:rPr>
          <w:color w:val="1B1C1D"/>
        </w:rPr>
        <w:t xml:space="preserve"> of </w:t>
      </w:r>
      <w:r w:rsidR="00836A4A">
        <w:rPr>
          <w:rStyle w:val="mord"/>
          <w:color w:val="1B1C1D"/>
          <w:bdr w:val="none" w:sz="0" w:space="0" w:color="auto" w:frame="1"/>
        </w:rPr>
        <w:t>55.36</w:t>
      </w:r>
      <w:r w:rsidR="00836A4A">
        <w:rPr>
          <w:color w:val="1B1C1D"/>
        </w:rPr>
        <w:t xml:space="preserve"> </w:t>
      </w:r>
      <w:r w:rsidR="00E34F03">
        <w:rPr>
          <w:color w:val="1B1C1D"/>
        </w:rPr>
        <w:t xml:space="preserve"> in the CAP grou</w:t>
      </w:r>
      <w:r w:rsidR="00836A4A">
        <w:rPr>
          <w:color w:val="1B1C1D"/>
        </w:rPr>
        <w:t xml:space="preserve">p </w:t>
      </w:r>
      <w:r w:rsidR="00E34F03">
        <w:rPr>
          <w:color w:val="1B1C1D"/>
        </w:rPr>
        <w:t xml:space="preserve">is notable, reflecting the heterogeneity of prostate cancer, which includes localized, low-volume disease and advanced, high-volume </w:t>
      </w:r>
      <w:proofErr w:type="spellStart"/>
      <w:r w:rsidR="00E34F03">
        <w:rPr>
          <w:color w:val="1B1C1D"/>
        </w:rPr>
        <w:t>tumo</w:t>
      </w:r>
      <w:r w:rsidR="00836A4A">
        <w:rPr>
          <w:color w:val="1B1C1D"/>
        </w:rPr>
        <w:t>urs</w:t>
      </w:r>
      <w:proofErr w:type="spellEnd"/>
      <w:r w:rsidR="00836A4A">
        <w:rPr>
          <w:color w:val="1B1C1D"/>
        </w:rPr>
        <w:t xml:space="preserve"> </w:t>
      </w:r>
      <w:r w:rsidR="00836A4A">
        <w:rPr>
          <w:color w:val="1B1C1D"/>
        </w:rPr>
        <w:fldChar w:fldCharType="begin" w:fldLock="1"/>
      </w:r>
      <w:r w:rsidR="00836A4A">
        <w:rPr>
          <w:color w:val="1B1C1D"/>
        </w:rPr>
        <w:instrText>ADDIN CSL_CITATION {"citationItems":[{"id":"ITEM-1","itemData":{"DOI":"https://doi.org/10.1016/j.eururo.2021.03.009","ISSN":"0302-2838","abstract":"Background Patients diagnosed with high risk localized prostate cancer have variable outcomes following surgery. Trials of intense neoadjuvant androgen deprivation therapy (NADT) have shown lower rates of recurrence among patients with minimal residual disease after treatment. The molecular features that distinguish exceptional responders from poor responders are not known. Objective To identify genomic and histologic features associated with treatment resistance at baseline. Design, setting, and participants Targeted biopsies were obtained from 37 men with intermediate- to high-risk prostate cancer before receiving 6 mo of ADT plus enzalutamide. Biopsy tissues were used for whole-exome sequencing and immunohistochemistry (IHC). Outcome measurements and statistical analysis We assessed the relationship of molecular features with final pathologic response using a cutpoint of 0.05 cm3 for residual cancer burden to compare exceptional responders to incomplete and nonresponders. We assessed intratumoral heterogeneity at the tissue and genomic level, and compared the volume of residual disease to the Shannon diversity index for each tumor. We generated multivariate models of resistance based on three molecular features and one histologic feature, with and without multiparametric magnetic resonance imaging estimates of baseline tumor volume. Results and limitations Loss of chromosome 10q (containing PTEN) and alterations to TP53 were predictive of poor response, as were the expression of nuclear ERG on IHC and the presence of intraductal carcinoma of the prostate. Patients with incompletely and nonresponding tumors harbored greater tumor diversity as estimated via phylogenetic tree reconstruction from DNA sequencing and analysis of IHC staining. Our four-factor binary model (area under the receiver operating characteristic curve [AUC] 0.89) to predict poor response correlated with greater diversity in our cohort and a validation cohort of 57 Gleason score 8–10 prostate cancers from The Cancer Genome Atlas. When baseline tumor volume was added to the model, it distinguished poor response to NADT with an AUC of 0.98. Prospective use of this model requires further retrospective validation with biopsies from additional trials. Conclusions A subset of prostate cancers exhibit greater histologic and genomic diversity at the time of diagnosis, and these localized tumors have greater fitness to resist therapy. Patient summary Some prostate cancer tumors do not respon…","author":[{"dropping-particle":"","family":"Wilkinson","given":"Scott","non-dropping-particle":"","parse-names":false,"suffix":""},{"dropping-particle":"","family":"Ye","given":"Huihui","non-dropping-particle":"","parse-names":false,"suffix":""},{"dropping-particle":"","family":"Karzai","given":"Fatima","non-dropping-particle":"","parse-names":false,"suffix":""},{"dropping-particle":"","family":"Harmon","given":"Stephanie A","non-dropping-particle":"","parse-names":false,"suffix":""},{"dropping-particle":"","family":"Terrigino","given":"Nicholas T","non-dropping-particle":"","parse-names":false,"suffix":""},{"dropping-particle":"","family":"VanderWeele","given":"David J","non-dropping-particle":"","parse-names":false,"suffix":""},{"dropping-particle":"","family":"Bright","given":"John R","non-dropping-particle":"","parse-names":false,"suffix":""},{"dropping-particle":"","family":"Atway","given":"Rayann","non-dropping-particle":"","parse-names":false,"suffix":""},{"dropping-particle":"","family":"Trostel","given":"Shana Y","non-dropping-particle":"","parse-names":false,"suffix":""},{"dropping-particle":"V","family":"Carrabba","given":"Nicole","non-dropping-particle":"","parse-names":false,"suffix":""},{"dropping-particle":"","family":"Whitlock","given":"Nichelle C","non-dropping-particle":"","parse-names":false,"suffix":""},{"dropping-particle":"","family":"Walker","given":"Stephanie M","non-dropping-particle":"","parse-names":false,"suffix":""},{"dropping-particle":"","family":"Lis","given":"Rosina T","non-dropping-particle":"","parse-names":false,"suffix":""},{"dropping-particle":"","family":"Abdul Sater","given":"Houssein","non-dropping-particle":"","parse-names":false,"suffix":""},{"dropping-particle":"","family":"Capaldo","given":"Brian J","non-dropping-particle":"","parse-names":false,"suffix":""},{"dropping-particle":"","family":"Madan","given":"Ravi A","non-dropping-particle":"","parse-names":false,"suffix":""},{"dropping-particle":"","family":"Gulley","given":"James L","non-dropping-particle":"","parse-names":false,"suffix":""},{"dropping-particle":"","family":"Chun","given":"Guinevere","non-dropping-particle":"","parse-names":false,"suffix":""},{"dropping-particle":"","family":"Merino","given":"Maria J","non-dropping-particle":"","parse-names":false,"suffix":""},{"dropping-particle":"","family":"Pinto","given":"Peter A","non-dropping-particle":"","parse-names":false,"suffix":""},{"dropping-particle":"","family":"Salles","given":"Daniela C","non-dropping-particle":"","parse-names":false,"suffix":""},{"dropping-particle":"","family":"Kaur","given":"Harsimar B","non-dropping-particle":"","parse-names":false,"suffix":""},{"dropping-particle":"","family":"Lotan","given":"Tamara L","non-dropping-particle":"","parse-names":false,"suffix":""},{"dropping-particle":"","family":"Venzon","given":"David J","non-dropping-particle":"","parse-names":false,"suffix":""},{"dropping-particle":"","family":"Choyke","given":"Peter L","non-dropping-particle":"","parse-names":false,"suffix":""},{"dropping-particle":"","family":"Turkbey","given":"Baris","non-dropping-particle":"","parse-names":false,"suffix":""},{"dropping-particle":"","family":"Dahut","given":"William L","non-dropping-particle":"","parse-names":false,"suffix":""},{"dropping-particle":"","family":"Sowalsky","given":"Adam G","non-dropping-particle":"","parse-names":false,"suffix":""}],"container-title":"European Urology","id":"ITEM-1","issue":"6","issued":{"date-parts":[["2021"]]},"page":"746-757","title":"Nascent Prostate Cancer Heterogeneity Drives Evolution and Resistance to Intense Hormonal Therapy","type":"article-journal","volume":"80"},"uris":["http://www.mendeley.com/documents/?uuid=0c702ed4-3419-4d71-b272-f85a72d26d90"]}],"mendeley":{"formattedCitation":"(Wilkinson et al., 2021)","plainTextFormattedCitation":"(Wilkinson et al., 2021)","previouslyFormattedCitation":"(Wilkinson et al., 2021)"},"properties":{"noteIndex":0},"schema":"https://github.com/citation-style-language/schema/raw/master/csl-citation.json"}</w:instrText>
      </w:r>
      <w:r w:rsidR="00836A4A">
        <w:rPr>
          <w:color w:val="1B1C1D"/>
        </w:rPr>
        <w:fldChar w:fldCharType="separate"/>
      </w:r>
      <w:r w:rsidR="00836A4A" w:rsidRPr="00836A4A">
        <w:rPr>
          <w:noProof/>
          <w:color w:val="1B1C1D"/>
        </w:rPr>
        <w:t>(Wilkinson et al., 2021)</w:t>
      </w:r>
      <w:r w:rsidR="00836A4A">
        <w:rPr>
          <w:color w:val="1B1C1D"/>
        </w:rPr>
        <w:fldChar w:fldCharType="end"/>
      </w:r>
      <w:r w:rsidR="00836A4A">
        <w:rPr>
          <w:color w:val="1B1C1D"/>
        </w:rPr>
        <w:t xml:space="preserve">. The BPH group showed a significantly higher mean PSA </w:t>
      </w:r>
      <w:r w:rsidR="00DF482D">
        <w:rPr>
          <w:color w:val="1B1C1D"/>
        </w:rPr>
        <w:t xml:space="preserve">level than the control group (t = 12.056, p &lt; </w:t>
      </w:r>
      <w:r w:rsidR="00836A4A">
        <w:rPr>
          <w:rStyle w:val="mord"/>
          <w:color w:val="1B1C1D"/>
          <w:bdr w:val="none" w:sz="0" w:space="0" w:color="auto" w:frame="1"/>
        </w:rPr>
        <w:t>0.001</w:t>
      </w:r>
      <w:r w:rsidR="00836A4A">
        <w:rPr>
          <w:color w:val="1B1C1D"/>
        </w:rPr>
        <w:t xml:space="preserve">). </w:t>
      </w:r>
      <w:r w:rsidR="00836A4A" w:rsidRPr="00230ADF">
        <w:rPr>
          <w:color w:val="1B1C1D"/>
          <w:highlight w:val="yellow"/>
        </w:rPr>
        <w:t xml:space="preserve">This result is consistent with the pathophysiology of BPH, </w:t>
      </w:r>
      <w:r w:rsidR="00230ADF" w:rsidRPr="00230ADF">
        <w:rPr>
          <w:color w:val="1B1C1D"/>
          <w:highlight w:val="yellow"/>
        </w:rPr>
        <w:t>in which increased prostatic volume and inflammation lead to elevated, though typically less pronounced, serum PSA levels compared with</w:t>
      </w:r>
      <w:r w:rsidR="00836A4A" w:rsidRPr="00230ADF">
        <w:rPr>
          <w:color w:val="1B1C1D"/>
          <w:highlight w:val="yellow"/>
        </w:rPr>
        <w:t xml:space="preserve"> healthy controls</w:t>
      </w:r>
      <w:r w:rsidR="00836A4A">
        <w:rPr>
          <w:color w:val="1B1C1D"/>
        </w:rPr>
        <w:t xml:space="preserve"> </w:t>
      </w:r>
      <w:r w:rsidR="00836A4A">
        <w:rPr>
          <w:color w:val="1B1C1D"/>
        </w:rPr>
        <w:fldChar w:fldCharType="begin" w:fldLock="1"/>
      </w:r>
      <w:r w:rsidR="00B30A65">
        <w:rPr>
          <w:color w:val="1B1C1D"/>
        </w:rPr>
        <w:instrText>ADDIN CSL_CITATION {"citationItems":[{"id":"ITEM-1","itemData":{"DOI":"10.1097/00005392-199508000-00023","ISSN":"0022-5347 (Print)","PMID":"7541857","abstract":"PURPOSE: We quantify the causes of elevated serum prostate specific antigen (PSA)  concentrations in men whose prostate biopsies repeatedly showed no cancer. MATERIALS AND METHODS: The effects of prostate volume, inflammation, echogenicity on ultrasound and calculi were examined in a large PSA-based screening population of 148 men with serum PSA concentrations greater than 4.0 ng./ml., findings suspicious for cancer on digital rectal examination and multiple negative biopsies. These men were selected and compared to 64 men with suspicious rectal examinations, multiple negative biopsies and serum PSA concentrations of 4.0 ng./ml. or less. RESULTS: The high PSA group had larger prostates (68 versus 33 cc, p = 0.0001) and significantly more subclinical prostatic inflammation. Acute and chronic inflammation was more prevalent in the high PSA group (63% versus 27%, p = 0.0001 and 99% versus 77%, p = 0.0001, respectively). A simultaneous regression analysis showed that prostatic size accounted for 23%, inflammation 7%, prostatic calculi 3% and nonisoechoic ultrasound lesions 1% of the serum PSA variance. CONCLUSIONS: Prostate volume and inflammation are the most important factors contributing to serum PSA elevation in men without clinically detectable prostate cancer.","author":[{"dropping-particle":"","family":"Nadler","given":"R B","non-dropping-particle":"","parse-names":false,"suffix":""},{"dropping-particle":"","family":"Humphrey","given":"P A","non-dropping-particle":"","parse-names":false,"suffix":""},{"dropping-particle":"","family":"Smith","given":"D S","non-dropping-particle":"","parse-names":false,"suffix":""},{"dropping-particle":"","family":"Catalona","given":"W J","non-dropping-particle":"","parse-names":false,"suffix":""},{"dropping-particle":"","family":"Ratliff","given":"T L","non-dropping-particle":"","parse-names":false,"suffix":""}],"container-title":"The Journal of urology","id":"ITEM-1","issue":"2 Pt 1","issued":{"date-parts":[["1995","8"]]},"language":"eng","page":"407-413","publisher-place":"United States","title":"Effect of inflammation and benign prostatic hyperplasia on elevated serum  prostate specific antigen levels.","type":"article-journal","volume":"154"},"uris":["http://www.mendeley.com/documents/?uuid=cbf3359b-de8c-4ba5-b777-250e4c026a37"]}],"mendeley":{"formattedCitation":"(Nadler et al., 1995)","plainTextFormattedCitation":"(Nadler et al., 1995)","previouslyFormattedCitation":"(Nadler et al., 1995)"},"properties":{"noteIndex":0},"schema":"https://github.com/citation-style-language/schema/raw/master/csl-citation.json"}</w:instrText>
      </w:r>
      <w:r w:rsidR="00836A4A">
        <w:rPr>
          <w:color w:val="1B1C1D"/>
        </w:rPr>
        <w:fldChar w:fldCharType="separate"/>
      </w:r>
      <w:r w:rsidR="00836A4A" w:rsidRPr="00836A4A">
        <w:rPr>
          <w:noProof/>
          <w:color w:val="1B1C1D"/>
        </w:rPr>
        <w:t>(Nadler et al., 1995)</w:t>
      </w:r>
      <w:r w:rsidR="00836A4A">
        <w:rPr>
          <w:color w:val="1B1C1D"/>
        </w:rPr>
        <w:fldChar w:fldCharType="end"/>
      </w:r>
      <w:r w:rsidR="00B30A65">
        <w:rPr>
          <w:color w:val="1B1C1D"/>
        </w:rPr>
        <w:t>.</w:t>
      </w:r>
    </w:p>
    <w:p w14:paraId="14EE7CCA" w14:textId="42224BC9" w:rsidR="00E476CD" w:rsidRDefault="00B30A65" w:rsidP="00E476CD">
      <w:pPr>
        <w:pStyle w:val="NormalWeb"/>
        <w:spacing w:after="0" w:afterAutospacing="0"/>
        <w:jc w:val="both"/>
        <w:rPr>
          <w:color w:val="1B1C1D"/>
        </w:rPr>
      </w:pPr>
      <w:r>
        <w:rPr>
          <w:color w:val="1B1C1D"/>
        </w:rPr>
        <w:t xml:space="preserve">The analysis of </w:t>
      </w:r>
      <w:r w:rsidRPr="00B30A65">
        <w:rPr>
          <w:bCs/>
          <w:color w:val="1B1C1D"/>
          <w:bdr w:val="none" w:sz="0" w:space="0" w:color="auto" w:frame="1"/>
        </w:rPr>
        <w:t>Testosterone</w:t>
      </w:r>
      <w:r>
        <w:rPr>
          <w:color w:val="1B1C1D"/>
        </w:rPr>
        <w:t xml:space="preserve"> levels revealed nuanced findings that challenge historical views on androgen dynamics in prostate disease. Both the CAP and BPH groups exhibited </w:t>
      </w:r>
      <w:r w:rsidRPr="00130466">
        <w:rPr>
          <w:bCs/>
          <w:color w:val="1B1C1D"/>
          <w:bdr w:val="none" w:sz="0" w:space="0" w:color="auto" w:frame="1"/>
        </w:rPr>
        <w:t>significantly higher</w:t>
      </w:r>
      <w:r w:rsidRPr="00130466">
        <w:rPr>
          <w:color w:val="1B1C1D"/>
        </w:rPr>
        <w:t xml:space="preserve"> mean testosterone levels compared to the Control group (</w:t>
      </w:r>
      <w:r w:rsidRPr="00130466">
        <w:rPr>
          <w:rStyle w:val="mord"/>
          <w:color w:val="1B1C1D"/>
          <w:bdr w:val="none" w:sz="0" w:space="0" w:color="auto" w:frame="1"/>
        </w:rPr>
        <w:t>p</w:t>
      </w:r>
      <w:r w:rsidRPr="00130466">
        <w:rPr>
          <w:rStyle w:val="mrel"/>
          <w:color w:val="1B1C1D"/>
          <w:bdr w:val="none" w:sz="0" w:space="0" w:color="auto" w:frame="1"/>
        </w:rPr>
        <w:t>&lt;</w:t>
      </w:r>
      <w:r w:rsidRPr="00130466">
        <w:rPr>
          <w:rStyle w:val="mord"/>
          <w:color w:val="1B1C1D"/>
          <w:bdr w:val="none" w:sz="0" w:space="0" w:color="auto" w:frame="1"/>
        </w:rPr>
        <w:t>0.001</w:t>
      </w:r>
      <w:r w:rsidRPr="00130466">
        <w:rPr>
          <w:color w:val="1B1C1D"/>
        </w:rPr>
        <w:t xml:space="preserve"> for both). This finding</w:t>
      </w:r>
      <w:r>
        <w:rPr>
          <w:color w:val="1B1C1D"/>
        </w:rPr>
        <w:t xml:space="preserve"> contrasts with some older findings and the long-held paradigm of low testosterone in advanced CAP </w:t>
      </w:r>
      <w:r>
        <w:rPr>
          <w:color w:val="1B1C1D"/>
        </w:rPr>
        <w:fldChar w:fldCharType="begin" w:fldLock="1"/>
      </w:r>
      <w:r w:rsidR="00BA3971">
        <w:rPr>
          <w:color w:val="1B1C1D"/>
        </w:rPr>
        <w:instrText>ADDIN CSL_CITATION {"citationItems":[{"id":"ITEM-1","itemData":{"DOI":"https://doi.org/10.1111/jgh.12695","ISSN":"0815-9319","abstract":"Abstract Serum testosterone is reduced in up to 90% of men with cirrhosis, with levels falling as liver disease advances. Testosterone is an important anabolic hormone, with effects on muscle, bone, and hematopoiesis. Many of the features of advanced liver disease are similar to those seen in hypogonadal men, including sarcopenia, osteoporosis, gynecomastia, and low libido. However, the relative contribution of testosterone deficiency to the symptomatology of advanced liver disease has not been well established. More recently, it has been demonstrated that low testosterone in men with cirrhosis is associated with increased mortality, independent of the classically recognized prognostic factors, such as the Model for End-Stage Liver Disease score. Only several small clinical trials have examined the role of testosterone therapy in men with cirrhosis, none of which have resolved the issue of whether or not testosterone is beneficial. However, in men with organic hypogonadism due to structural hypothalamic?pituitary?testicular axis disease, testosterone therapy has been shown to improve muscle mass and bone mineral density, increase hemoglobin, and reduce insulin resistance. Despite initial concerns linking testosterone with hepatocellular carcinoma, more recent data suggest that this risk has been overstated. There is, therefore, now a strong rationale to assess the efficacy and safety of testosterone therapy in cirrhosis in well-designed randomized controlled trials.","author":[{"dropping-particle":"","family":"Sinclair","given":"Marie","non-dropping-particle":"","parse-names":false,"suffix":""},{"dropping-particle":"","family":"Grossmann","given":"Mathis","non-dropping-particle":"","parse-names":false,"suffix":""},{"dropping-particle":"","family":"Gow","given":"Paul J","non-dropping-particle":"","parse-names":false,"suffix":""},{"dropping-particle":"","family":"Angus","given":"Peter W","non-dropping-particle":"","parse-names":false,"suffix":""}],"container-title":"Journal of Gastroenterology and Hepatology","id":"ITEM-1","issue":"2","issued":{"date-parts":[["2015","2","1"]]},"page":"244-251","publisher":"John Wiley &amp; Sons, Ltd","title":"Testosterone in men with advanced liver disease: Abnormalities and implications","type":"article-journal","volume":"30"},"uris":["http://www.mendeley.com/documents/?uuid=b8e1439c-867a-4ba2-94be-f45c2fad8b59"]}],"mendeley":{"formattedCitation":"(Sinclair et al., 2015)","plainTextFormattedCitation":"(Sinclair et al., 2015)","previouslyFormattedCitation":"(Sinclair et al., 2015)"},"properties":{"noteIndex":0},"schema":"https://github.com/citation-style-language/schema/raw/master/csl-citation.json"}</w:instrText>
      </w:r>
      <w:r>
        <w:rPr>
          <w:color w:val="1B1C1D"/>
        </w:rPr>
        <w:fldChar w:fldCharType="separate"/>
      </w:r>
      <w:r w:rsidRPr="00B30A65">
        <w:rPr>
          <w:noProof/>
          <w:color w:val="1B1C1D"/>
        </w:rPr>
        <w:t>(Sinclair et al., 2015)</w:t>
      </w:r>
      <w:r>
        <w:rPr>
          <w:color w:val="1B1C1D"/>
        </w:rPr>
        <w:fldChar w:fldCharType="end"/>
      </w:r>
      <w:r>
        <w:rPr>
          <w:color w:val="1B1C1D"/>
        </w:rPr>
        <w:t xml:space="preserve">. The high mean values in both patient groups at the Lagos University Teaching Hospital (LUTH) may suggest that patients presenting for evaluation are in the early-to-moderate stage of disease (BPH) or CAP, </w:t>
      </w:r>
      <w:r w:rsidR="00230ADF" w:rsidRPr="00230ADF">
        <w:rPr>
          <w:color w:val="1B1C1D"/>
          <w:highlight w:val="yellow"/>
        </w:rPr>
        <w:t>in which</w:t>
      </w:r>
      <w:r w:rsidR="00230ADF">
        <w:rPr>
          <w:color w:val="1B1C1D"/>
        </w:rPr>
        <w:t xml:space="preserve"> testosterone levels are typically preserved, or </w:t>
      </w:r>
      <w:r w:rsidR="00230ADF" w:rsidRPr="00230ADF">
        <w:rPr>
          <w:color w:val="FF0000"/>
        </w:rPr>
        <w:t>they</w:t>
      </w:r>
      <w:r w:rsidRPr="00230ADF">
        <w:rPr>
          <w:color w:val="FF0000"/>
        </w:rPr>
        <w:t xml:space="preserve"> may </w:t>
      </w:r>
      <w:r>
        <w:rPr>
          <w:color w:val="1B1C1D"/>
        </w:rPr>
        <w:t>reflect a population-specific physiological norm</w:t>
      </w:r>
      <w:r w:rsidR="00BA3971">
        <w:rPr>
          <w:color w:val="1B1C1D"/>
        </w:rPr>
        <w:t>. Other workers</w:t>
      </w:r>
      <w:r w:rsidR="00DF482D">
        <w:rPr>
          <w:color w:val="1B1C1D"/>
        </w:rPr>
        <w:t>, however, are</w:t>
      </w:r>
      <w:r w:rsidR="00BA3971">
        <w:rPr>
          <w:color w:val="1B1C1D"/>
        </w:rPr>
        <w:t xml:space="preserve"> against this assertion </w:t>
      </w:r>
      <w:r w:rsidR="00BA3971">
        <w:rPr>
          <w:color w:val="1B1C1D"/>
        </w:rPr>
        <w:fldChar w:fldCharType="begin" w:fldLock="1"/>
      </w:r>
      <w:r w:rsidR="00130466">
        <w:rPr>
          <w:color w:val="1B1C1D"/>
        </w:rPr>
        <w:instrText>ADDIN CSL_CITATION {"citationItems":[{"id":"ITEM-1","itemData":{"DOI":"10.1186/s12894-024-01585-7","ISSN":"1471-2490","abstract":"Autophagy is a cellular homeostatic mechanism characterized by cyclic degradation. It plays an essential role in maintaining cellular quality and survival by eliminating dysfunctional cellular components. This process is pivotal in various pathophysiological processes. Benign prostatic hyperplasia (BPH) is a common urological disorder in middle-aged and elderly men. It frequently presents as lower urinary tract symptoms due to an increase in epithelial and stromal cells surrounding the prostatic urethra. The precise pathogenesis of BPH is complex. In recent years, research on autophagy in BPH has gained significant momentum, with accumulating evidence indicating its crucial role in the onset and progression of the disease. This review aims to outline the various roles of autophagy in BPH and elucidate potential therapeutic strategies targeting autophagy for managing BPH.","author":[{"dropping-particle":"","family":"Zhou","given":"Xian-Zhao","non-dropping-particle":"","parse-names":false,"suffix":""},{"dropping-particle":"","family":"Huang","given":"Pei","non-dropping-particle":"","parse-names":false,"suffix":""},{"dropping-particle":"","family":"Wu","given":"Yao-Kan","non-dropping-particle":"","parse-names":false,"suffix":""},{"dropping-particle":"","family":"Yu","given":"Jin-Ben","non-dropping-particle":"","parse-names":false,"suffix":""},{"dropping-particle":"","family":"Sun","given":"Jie","non-dropping-particle":"","parse-names":false,"suffix":""}],"container-title":"BMC Urology","id":"ITEM-1","issue":"1","issued":{"date-parts":[["2024"]]},"page":"198","title":"Autophagy in benign prostatic hyperplasia: insights and therapeutic potential","type":"article-journal","volume":"24"},"uris":["http://www.mendeley.com/documents/?uuid=a103084b-f6b0-43fc-93d2-d25cb52f775b"]}],"mendeley":{"formattedCitation":"(Zhou et al., 2024)","plainTextFormattedCitation":"(Zhou et al., 2024)","previouslyFormattedCitation":"(Zhou et al., 2024)"},"properties":{"noteIndex":0},"schema":"https://github.com/citation-style-language/schema/raw/master/csl-citation.json"}</w:instrText>
      </w:r>
      <w:r w:rsidR="00BA3971">
        <w:rPr>
          <w:color w:val="1B1C1D"/>
        </w:rPr>
        <w:fldChar w:fldCharType="separate"/>
      </w:r>
      <w:r w:rsidR="00BA3971" w:rsidRPr="00BA3971">
        <w:rPr>
          <w:noProof/>
          <w:color w:val="1B1C1D"/>
        </w:rPr>
        <w:t>(Zhou et al., 2024)</w:t>
      </w:r>
      <w:r w:rsidR="00BA3971">
        <w:rPr>
          <w:color w:val="1B1C1D"/>
        </w:rPr>
        <w:fldChar w:fldCharType="end"/>
      </w:r>
      <w:r w:rsidR="00E476CD">
        <w:rPr>
          <w:color w:val="1B1C1D"/>
        </w:rPr>
        <w:t xml:space="preserve">. Crucially, there was </w:t>
      </w:r>
      <w:r w:rsidR="00E476CD" w:rsidRPr="00E476CD">
        <w:rPr>
          <w:bCs/>
          <w:color w:val="1B1C1D"/>
          <w:bdr w:val="none" w:sz="0" w:space="0" w:color="auto" w:frame="1"/>
        </w:rPr>
        <w:t>no statistically significant difference</w:t>
      </w:r>
      <w:r w:rsidR="00E476CD" w:rsidRPr="00E476CD">
        <w:rPr>
          <w:color w:val="1B1C1D"/>
        </w:rPr>
        <w:t xml:space="preserve"> in </w:t>
      </w:r>
      <w:r w:rsidR="00E476CD">
        <w:rPr>
          <w:color w:val="1B1C1D"/>
        </w:rPr>
        <w:t>mean testosterone levels between the CAP and BPH patients (</w:t>
      </w:r>
      <w:r w:rsidR="00DF482D">
        <w:rPr>
          <w:rStyle w:val="mord"/>
          <w:color w:val="1B1C1D"/>
          <w:bdr w:val="none" w:sz="0" w:space="0" w:color="auto" w:frame="1"/>
        </w:rPr>
        <w:t>t = 0.845, p = 0.399</w:t>
      </w:r>
      <w:r w:rsidR="00E476CD">
        <w:rPr>
          <w:color w:val="1B1C1D"/>
        </w:rPr>
        <w:t>). This finding implies t</w:t>
      </w:r>
      <w:r w:rsidR="00E476CD" w:rsidRPr="00E476CD">
        <w:rPr>
          <w:color w:val="1B1C1D"/>
        </w:rPr>
        <w:t xml:space="preserve">hat </w:t>
      </w:r>
      <w:r w:rsidR="00E476CD" w:rsidRPr="00E476CD">
        <w:rPr>
          <w:bCs/>
          <w:color w:val="1B1C1D"/>
          <w:bdr w:val="none" w:sz="0" w:space="0" w:color="auto" w:frame="1"/>
        </w:rPr>
        <w:t>serum testosterone alone is not a viable biomarker for distinguishing between BPH and CAP</w:t>
      </w:r>
      <w:r w:rsidR="00E476CD">
        <w:rPr>
          <w:color w:val="1B1C1D"/>
        </w:rPr>
        <w:t xml:space="preserve"> in these patient studies. This supports the modern understanding that prostate disease is complex, and early-stage CAP is not </w:t>
      </w:r>
      <w:r w:rsidR="00130466">
        <w:rPr>
          <w:color w:val="1B1C1D"/>
        </w:rPr>
        <w:t xml:space="preserve">necessarily a </w:t>
      </w:r>
      <w:proofErr w:type="spellStart"/>
      <w:r w:rsidR="00130466">
        <w:rPr>
          <w:color w:val="1B1C1D"/>
        </w:rPr>
        <w:t>hypogonadal</w:t>
      </w:r>
      <w:proofErr w:type="spellEnd"/>
      <w:r w:rsidR="00130466">
        <w:rPr>
          <w:color w:val="1B1C1D"/>
        </w:rPr>
        <w:t xml:space="preserve"> state </w:t>
      </w:r>
      <w:r w:rsidR="00130466">
        <w:rPr>
          <w:color w:val="1B1C1D"/>
        </w:rPr>
        <w:fldChar w:fldCharType="begin" w:fldLock="1"/>
      </w:r>
      <w:r w:rsidR="00B0421F">
        <w:rPr>
          <w:color w:val="1B1C1D"/>
        </w:rPr>
        <w:instrText>ADDIN CSL_CITATION {"citationItems":[{"id":"ITEM-1","itemData":{"DOI":"https://doi.org/10.1002/cam4.6939","abstract":"Abstract Intraductal carcinoma of the prostate (IDC-P) is an aggressive subtype of prostate cancer characterized by the growth of tumor cells within the prostate ducts. It is often found alongside invasive carcinoma and is associated with poor prognosis. Understanding the molecular mechanisms driving IDC-P is crucial for improved diagnosis, prognosis, and treatment strategies. This review summarizes the molecular characteristics of IDC-P and their prognostic indications, comparing them to conventional prostate acinar adenocarcinoma, to gain insights into its unique behavior and identify potential therapeutic targets.","author":[{"dropping-particle":"","family":"Zhu","given":"Sha","non-dropping-particle":"","parse-names":false,"suffix":""},{"dropping-particle":"","family":"Xu","given":"Nanwei","non-dropping-particle":"","parse-names":false,"suffix":""},{"dropping-particle":"","family":"Zeng","given":"Hao","non-dropping-particle":"","parse-names":false,"suffix":""}],"container-title":"Cancer Medicine","id":"ITEM-1","issue":"2","issued":{"date-parts":[["2024","1","1"]]},"page":"e6939","publisher":"John Wiley &amp; Sons, Ltd","title":"Molecular complexity of intraductal carcinoma of the prostate","type":"article-journal","volume":"13"},"uris":["http://www.mendeley.com/documents/?uuid=c9b3ae42-b1c7-41eb-83eb-1d8535c37d65"]}],"mendeley":{"formattedCitation":"(Zhu et al., 2024)","plainTextFormattedCitation":"(Zhu et al., 2024)","previouslyFormattedCitation":"(Zhu et al., 2024)"},"properties":{"noteIndex":0},"schema":"https://github.com/citation-style-language/schema/raw/master/csl-citation.json"}</w:instrText>
      </w:r>
      <w:r w:rsidR="00130466">
        <w:rPr>
          <w:color w:val="1B1C1D"/>
        </w:rPr>
        <w:fldChar w:fldCharType="separate"/>
      </w:r>
      <w:r w:rsidR="00130466" w:rsidRPr="00130466">
        <w:rPr>
          <w:noProof/>
          <w:color w:val="1B1C1D"/>
        </w:rPr>
        <w:t>(Zhu et al., 2024)</w:t>
      </w:r>
      <w:r w:rsidR="00130466">
        <w:rPr>
          <w:color w:val="1B1C1D"/>
        </w:rPr>
        <w:fldChar w:fldCharType="end"/>
      </w:r>
    </w:p>
    <w:p w14:paraId="1C3606E2" w14:textId="77777777" w:rsidR="005E58FD" w:rsidRDefault="00E476CD" w:rsidP="00E476CD">
      <w:pPr>
        <w:pStyle w:val="NormalWeb"/>
        <w:spacing w:after="0" w:afterAutospacing="0"/>
        <w:jc w:val="both"/>
        <w:rPr>
          <w:color w:val="1B1C1D"/>
        </w:rPr>
      </w:pPr>
      <w:r>
        <w:rPr>
          <w:b/>
          <w:bCs/>
          <w:color w:val="1B1C1D"/>
          <w:bdr w:val="none" w:sz="0" w:space="0" w:color="auto" w:frame="1"/>
        </w:rPr>
        <w:t xml:space="preserve"> </w:t>
      </w:r>
    </w:p>
    <w:p w14:paraId="5FB2DA1A" w14:textId="77777777" w:rsidR="005E58FD" w:rsidRDefault="005E58FD" w:rsidP="005E58FD">
      <w:pPr>
        <w:pStyle w:val="Heading2"/>
        <w:spacing w:after="120"/>
        <w:rPr>
          <w:color w:val="1B1C1D"/>
        </w:rPr>
      </w:pPr>
      <w:r>
        <w:rPr>
          <w:color w:val="1B1C1D"/>
        </w:rPr>
        <w:t>Conclusion</w:t>
      </w:r>
    </w:p>
    <w:p w14:paraId="6B65F4A7" w14:textId="77777777" w:rsidR="005E58FD" w:rsidRPr="00E476CD" w:rsidRDefault="005E58FD" w:rsidP="00E476CD">
      <w:pPr>
        <w:pStyle w:val="BodyText"/>
        <w:spacing w:before="87"/>
        <w:ind w:left="0"/>
      </w:pPr>
      <w:r>
        <w:rPr>
          <w:color w:val="1B1C1D"/>
        </w:rPr>
        <w:t xml:space="preserve">The study provides clear evidence of distinct PSA dynamics among the three groups. Total PSA is confirmed as an effective tool for differentiating BPH and CAP from healthy controls and for distinguishing between BPH and CAP. However, mean serum testosterone levels, while significantly higher in both patient groups (CAP and BPH) compared to healthy controls, </w:t>
      </w:r>
      <w:r w:rsidRPr="00E476CD">
        <w:rPr>
          <w:bCs/>
          <w:color w:val="1B1C1D"/>
          <w:bdr w:val="none" w:sz="0" w:space="0" w:color="auto" w:frame="1"/>
        </w:rPr>
        <w:t>do not differ significantly between the CAP and BPH groups</w:t>
      </w:r>
      <w:r w:rsidRPr="00E476CD">
        <w:rPr>
          <w:color w:val="1B1C1D"/>
        </w:rPr>
        <w:t xml:space="preserve">. This suggests that </w:t>
      </w:r>
      <w:r w:rsidRPr="00E476CD">
        <w:rPr>
          <w:bCs/>
          <w:color w:val="1B1C1D"/>
          <w:bdr w:val="none" w:sz="0" w:space="0" w:color="auto" w:frame="1"/>
        </w:rPr>
        <w:t xml:space="preserve">total serum testosterone </w:t>
      </w:r>
      <w:r w:rsidRPr="00E476CD">
        <w:rPr>
          <w:bCs/>
          <w:color w:val="1B1C1D"/>
          <w:bdr w:val="none" w:sz="0" w:space="0" w:color="auto" w:frame="1"/>
        </w:rPr>
        <w:lastRenderedPageBreak/>
        <w:t>is not an independent marker</w:t>
      </w:r>
      <w:r w:rsidRPr="00E476CD">
        <w:rPr>
          <w:color w:val="1B1C1D"/>
        </w:rPr>
        <w:t xml:space="preserve"> for differentiating benign prostatic hyperplasia from prostate cancer in the population studied at LUTH, Nigeria</w:t>
      </w:r>
      <w:r w:rsidR="00E476CD">
        <w:rPr>
          <w:color w:val="1B1C1D"/>
        </w:rPr>
        <w:t>.</w:t>
      </w:r>
    </w:p>
    <w:p w14:paraId="4167A95F" w14:textId="77777777" w:rsidR="00ED14B1" w:rsidRDefault="00ED14B1" w:rsidP="00E476CD">
      <w:pPr>
        <w:pStyle w:val="BodyText"/>
        <w:spacing w:before="87"/>
        <w:ind w:left="0"/>
      </w:pPr>
    </w:p>
    <w:p w14:paraId="40D98158" w14:textId="77777777" w:rsidR="005E58FD" w:rsidRDefault="005E58FD" w:rsidP="005E58FD">
      <w:pPr>
        <w:pStyle w:val="Heading2"/>
        <w:spacing w:after="120"/>
        <w:rPr>
          <w:color w:val="1B1C1D"/>
        </w:rPr>
      </w:pPr>
      <w:r>
        <w:rPr>
          <w:color w:val="1B1C1D"/>
        </w:rPr>
        <w:t>Recommendations</w:t>
      </w:r>
    </w:p>
    <w:p w14:paraId="7343F305" w14:textId="4FEB1DE1" w:rsidR="005E58FD" w:rsidRPr="00C47175" w:rsidRDefault="005E58FD" w:rsidP="0069691F">
      <w:pPr>
        <w:pStyle w:val="NormalWeb"/>
        <w:spacing w:after="0" w:afterAutospacing="0"/>
        <w:jc w:val="both"/>
        <w:rPr>
          <w:color w:val="1B1C1D"/>
        </w:rPr>
      </w:pPr>
      <w:r w:rsidRPr="008F041E">
        <w:rPr>
          <w:color w:val="1B1C1D"/>
          <w:highlight w:val="yellow"/>
        </w:rPr>
        <w:t>Based on these findings, the following recommendations are pertinent for clinicians and future researchers at LUTH and similar settings:</w:t>
      </w:r>
      <w:r w:rsidR="00C47175" w:rsidRPr="008F041E">
        <w:rPr>
          <w:color w:val="1B1C1D"/>
          <w:highlight w:val="yellow"/>
        </w:rPr>
        <w:t xml:space="preserve"> Clinicians should continue to rely on </w:t>
      </w:r>
      <w:r w:rsidR="00C47175" w:rsidRPr="008F041E">
        <w:rPr>
          <w:bCs/>
          <w:color w:val="1B1C1D"/>
          <w:highlight w:val="yellow"/>
          <w:bdr w:val="none" w:sz="0" w:space="0" w:color="auto" w:frame="1"/>
        </w:rPr>
        <w:t>Total PSA, while further research on the Free:</w:t>
      </w:r>
      <w:r w:rsidR="00EF7041">
        <w:rPr>
          <w:bCs/>
          <w:color w:val="1B1C1D"/>
          <w:highlight w:val="yellow"/>
          <w:bdr w:val="none" w:sz="0" w:space="0" w:color="auto" w:frame="1"/>
        </w:rPr>
        <w:t xml:space="preserve"> </w:t>
      </w:r>
      <w:r w:rsidR="00230ADF">
        <w:rPr>
          <w:bCs/>
          <w:color w:val="1B1C1D"/>
          <w:highlight w:val="yellow"/>
          <w:bdr w:val="none" w:sz="0" w:space="0" w:color="auto" w:frame="1"/>
        </w:rPr>
        <w:t xml:space="preserve">Total PSA ratio or PSA Density is explored, provided that </w:t>
      </w:r>
      <w:r w:rsidR="008F041E" w:rsidRPr="008F041E">
        <w:rPr>
          <w:bCs/>
          <w:color w:val="1B1C1D"/>
          <w:highlight w:val="yellow"/>
          <w:bdr w:val="none" w:sz="0" w:space="0" w:color="auto" w:frame="1"/>
        </w:rPr>
        <w:t>prostate volume data is available</w:t>
      </w:r>
      <w:r w:rsidR="00C47175" w:rsidRPr="008F041E">
        <w:rPr>
          <w:color w:val="1B1C1D"/>
          <w:highlight w:val="yellow"/>
        </w:rPr>
        <w:t>.</w:t>
      </w:r>
      <w:r w:rsidR="00C47175">
        <w:rPr>
          <w:color w:val="1B1C1D"/>
        </w:rPr>
        <w:t xml:space="preserve"> It is also recommended that while patients with prostatic disease (CAP or BPH) may present with higher mean testosterone than controls, serum testosterone </w:t>
      </w:r>
      <w:r w:rsidR="00C47175" w:rsidRPr="00911B1A">
        <w:rPr>
          <w:color w:val="1B1C1D"/>
        </w:rPr>
        <w:t xml:space="preserve">should </w:t>
      </w:r>
      <w:r w:rsidR="00C47175" w:rsidRPr="00911B1A">
        <w:rPr>
          <w:bCs/>
          <w:color w:val="1B1C1D"/>
          <w:bdr w:val="none" w:sz="0" w:space="0" w:color="auto" w:frame="1"/>
        </w:rPr>
        <w:t>not be</w:t>
      </w:r>
      <w:r w:rsidR="00C47175">
        <w:rPr>
          <w:b/>
          <w:bCs/>
          <w:color w:val="1B1C1D"/>
          <w:bdr w:val="none" w:sz="0" w:space="0" w:color="auto" w:frame="1"/>
        </w:rPr>
        <w:t xml:space="preserve"> </w:t>
      </w:r>
      <w:r w:rsidR="00C47175" w:rsidRPr="00911B1A">
        <w:rPr>
          <w:bCs/>
          <w:color w:val="1B1C1D"/>
          <w:bdr w:val="none" w:sz="0" w:space="0" w:color="auto" w:frame="1"/>
        </w:rPr>
        <w:t>used in isolation</w:t>
      </w:r>
      <w:r w:rsidR="00C47175">
        <w:rPr>
          <w:color w:val="1B1C1D"/>
        </w:rPr>
        <w:t xml:space="preserve"> to exclude or diagnose prostate cancer, as its levels do not distinguish between BPH and CAP. The association between testosterone levels and disease </w:t>
      </w:r>
      <w:r w:rsidR="00C47175" w:rsidRPr="00911B1A">
        <w:rPr>
          <w:bCs/>
          <w:color w:val="1B1C1D"/>
          <w:bdr w:val="none" w:sz="0" w:space="0" w:color="auto" w:frame="1"/>
        </w:rPr>
        <w:t>aggressiveness</w:t>
      </w:r>
      <w:r w:rsidR="00C47175" w:rsidRPr="00911B1A">
        <w:rPr>
          <w:color w:val="1B1C1D"/>
        </w:rPr>
        <w:t xml:space="preserve"> </w:t>
      </w:r>
      <w:r w:rsidR="00C47175">
        <w:rPr>
          <w:color w:val="1B1C1D"/>
        </w:rPr>
        <w:t>or Gleason score within the CAP group is also necessary to better characterize the proper relationship between androgens and malignancy.</w:t>
      </w:r>
    </w:p>
    <w:p w14:paraId="10CEEFCB" w14:textId="77777777" w:rsidR="005E58FD" w:rsidRDefault="005E58FD" w:rsidP="005E58FD"/>
    <w:p w14:paraId="6DD204A7" w14:textId="77777777" w:rsidR="005E58FD" w:rsidRDefault="005E58FD" w:rsidP="005E58FD">
      <w:pPr>
        <w:spacing w:before="151"/>
        <w:jc w:val="both"/>
        <w:rPr>
          <w:b/>
          <w:sz w:val="24"/>
        </w:rPr>
      </w:pPr>
      <w:r>
        <w:rPr>
          <w:b/>
          <w:sz w:val="24"/>
        </w:rPr>
        <w:t>Limitations of the Study</w:t>
      </w:r>
    </w:p>
    <w:p w14:paraId="2D096691" w14:textId="08147B81" w:rsidR="005E58FD" w:rsidRDefault="005E58FD" w:rsidP="005E58FD">
      <w:pPr>
        <w:spacing w:before="151"/>
        <w:jc w:val="both"/>
        <w:rPr>
          <w:b/>
          <w:sz w:val="24"/>
        </w:rPr>
      </w:pPr>
      <w:r w:rsidRPr="008F041E">
        <w:rPr>
          <w:highlight w:val="yellow"/>
        </w:rPr>
        <w:t xml:space="preserve">Since the study didn't classify participants by </w:t>
      </w:r>
      <w:r w:rsidR="008F041E" w:rsidRPr="008F041E">
        <w:rPr>
          <w:highlight w:val="yellow"/>
        </w:rPr>
        <w:t xml:space="preserve">disease severity, it's possible that most participants had </w:t>
      </w:r>
      <w:r w:rsidR="00230ADF">
        <w:rPr>
          <w:highlight w:val="yellow"/>
        </w:rPr>
        <w:t xml:space="preserve">more advanced </w:t>
      </w:r>
      <w:r w:rsidR="008F041E" w:rsidRPr="008F041E">
        <w:rPr>
          <w:highlight w:val="yellow"/>
        </w:rPr>
        <w:t>disease</w:t>
      </w:r>
      <w:r w:rsidRPr="008F041E">
        <w:rPr>
          <w:highlight w:val="yellow"/>
        </w:rPr>
        <w:t>. This could skew the results and affect the validity of the relationship being studied. A more specific evaluation could be needed in future</w:t>
      </w:r>
      <w:r>
        <w:t>.</w:t>
      </w:r>
    </w:p>
    <w:p w14:paraId="5CB091BB" w14:textId="77777777" w:rsidR="005E58FD" w:rsidRDefault="005E58FD" w:rsidP="005E58FD">
      <w:pPr>
        <w:spacing w:before="151"/>
        <w:jc w:val="both"/>
        <w:rPr>
          <w:b/>
          <w:sz w:val="24"/>
        </w:rPr>
      </w:pPr>
      <w:r>
        <w:rPr>
          <w:b/>
          <w:sz w:val="24"/>
        </w:rPr>
        <w:t>Ethical Approval</w:t>
      </w:r>
    </w:p>
    <w:p w14:paraId="7CD39097" w14:textId="77777777" w:rsidR="005E58FD" w:rsidRDefault="005E58FD" w:rsidP="005E58FD">
      <w:pPr>
        <w:spacing w:before="151"/>
        <w:jc w:val="both"/>
        <w:rPr>
          <w:sz w:val="24"/>
          <w:szCs w:val="24"/>
        </w:rPr>
      </w:pPr>
      <w:r w:rsidRPr="00BD0A17">
        <w:rPr>
          <w:sz w:val="24"/>
          <w:szCs w:val="24"/>
        </w:rPr>
        <w:t xml:space="preserve">This study received approval from the ethics committee of Lagos University Teaching Hospital, Idi-Araba (Ref. No. ADM/DCST/221). Following a comprehensive explanation of the research, informed consent was obtained from all </w:t>
      </w:r>
      <w:r>
        <w:rPr>
          <w:sz w:val="24"/>
          <w:szCs w:val="24"/>
        </w:rPr>
        <w:t>participants</w:t>
      </w:r>
      <w:r w:rsidRPr="00BD0A17">
        <w:rPr>
          <w:sz w:val="24"/>
          <w:szCs w:val="24"/>
        </w:rPr>
        <w:t>.</w:t>
      </w:r>
    </w:p>
    <w:p w14:paraId="5B5EF301" w14:textId="77777777" w:rsidR="005E58FD" w:rsidRDefault="005E58FD" w:rsidP="005E58FD">
      <w:pPr>
        <w:spacing w:before="151"/>
        <w:jc w:val="both"/>
        <w:rPr>
          <w:b/>
          <w:sz w:val="24"/>
          <w:szCs w:val="24"/>
        </w:rPr>
      </w:pPr>
    </w:p>
    <w:p w14:paraId="649D5AD5" w14:textId="77777777" w:rsidR="005E58FD" w:rsidRDefault="005E58FD" w:rsidP="005E58FD">
      <w:pPr>
        <w:spacing w:before="151"/>
        <w:jc w:val="both"/>
        <w:rPr>
          <w:b/>
          <w:sz w:val="24"/>
          <w:szCs w:val="24"/>
        </w:rPr>
      </w:pPr>
    </w:p>
    <w:p w14:paraId="03B285AF" w14:textId="77777777" w:rsidR="005E58FD" w:rsidRPr="000847EB" w:rsidRDefault="005E58FD" w:rsidP="005E58FD">
      <w:pPr>
        <w:rPr>
          <w:rFonts w:ascii="Calibri" w:eastAsia="Calibri" w:hAnsi="Calibri"/>
          <w:kern w:val="2"/>
        </w:rPr>
      </w:pPr>
      <w:r w:rsidRPr="000847EB">
        <w:rPr>
          <w:rFonts w:ascii="Calibri" w:eastAsia="Calibri" w:hAnsi="Calibri"/>
          <w:kern w:val="2"/>
        </w:rPr>
        <w:t>Disclaimer (Artificial intelligence)</w:t>
      </w:r>
    </w:p>
    <w:p w14:paraId="72BF380E" w14:textId="77777777" w:rsidR="005E58FD" w:rsidRPr="000847EB" w:rsidRDefault="005E58FD" w:rsidP="005E58FD">
      <w:pPr>
        <w:rPr>
          <w:rFonts w:ascii="Calibri" w:eastAsia="Calibri" w:hAnsi="Calibri"/>
          <w:kern w:val="2"/>
        </w:rPr>
      </w:pPr>
    </w:p>
    <w:p w14:paraId="2CD654BE" w14:textId="77777777" w:rsidR="005E58FD" w:rsidRPr="000847EB" w:rsidRDefault="005E58FD" w:rsidP="005E58FD">
      <w:pPr>
        <w:rPr>
          <w:rFonts w:ascii="Calibri" w:eastAsia="Calibri" w:hAnsi="Calibri"/>
          <w:kern w:val="2"/>
        </w:rPr>
      </w:pPr>
      <w:r w:rsidRPr="000847EB">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p w14:paraId="357DC6FB" w14:textId="77777777" w:rsidR="005E58FD" w:rsidRPr="000847EB" w:rsidRDefault="005E58FD" w:rsidP="005E58FD">
      <w:pPr>
        <w:rPr>
          <w:rFonts w:ascii="Calibri" w:eastAsia="Calibri" w:hAnsi="Calibri"/>
          <w:kern w:val="2"/>
        </w:rPr>
      </w:pPr>
      <w:r w:rsidRPr="000847EB">
        <w:rPr>
          <w:rFonts w:ascii="Calibri" w:eastAsia="Calibri" w:hAnsi="Calibri"/>
          <w:kern w:val="2"/>
        </w:rPr>
        <w:t xml:space="preserve"> </w:t>
      </w:r>
    </w:p>
    <w:p w14:paraId="35474960" w14:textId="77777777" w:rsidR="008E2CD0" w:rsidRDefault="008E2CD0" w:rsidP="006B63EA">
      <w:pPr>
        <w:pStyle w:val="BodyText"/>
        <w:spacing w:before="87"/>
        <w:ind w:left="0"/>
        <w:jc w:val="left"/>
      </w:pPr>
    </w:p>
    <w:p w14:paraId="0AD6B894" w14:textId="77777777" w:rsidR="005E58FD" w:rsidRDefault="005E58FD" w:rsidP="006B63EA">
      <w:pPr>
        <w:pStyle w:val="BodyText"/>
        <w:spacing w:before="87"/>
        <w:ind w:left="0"/>
        <w:jc w:val="left"/>
      </w:pPr>
    </w:p>
    <w:p w14:paraId="6A73AAEE" w14:textId="77777777" w:rsidR="00C81445" w:rsidRDefault="00C81445" w:rsidP="006B63EA">
      <w:pPr>
        <w:pStyle w:val="BodyText"/>
        <w:spacing w:before="87"/>
        <w:ind w:left="0"/>
        <w:jc w:val="left"/>
      </w:pPr>
      <w:r>
        <w:t>References</w:t>
      </w:r>
    </w:p>
    <w:p w14:paraId="196E7792" w14:textId="257B4315" w:rsidR="00300415" w:rsidRPr="00300415" w:rsidRDefault="00C81445" w:rsidP="00300415">
      <w:pPr>
        <w:adjustRightInd w:val="0"/>
        <w:spacing w:before="80"/>
        <w:ind w:left="480" w:hanging="480"/>
        <w:rPr>
          <w:noProof/>
          <w:sz w:val="24"/>
          <w:szCs w:val="24"/>
        </w:rPr>
      </w:pPr>
      <w:r>
        <w:fldChar w:fldCharType="begin" w:fldLock="1"/>
      </w:r>
      <w:r>
        <w:instrText xml:space="preserve">ADDIN Mendeley Bibliography CSL_BIBLIOGRAPHY </w:instrText>
      </w:r>
      <w:r>
        <w:fldChar w:fldCharType="separate"/>
      </w:r>
      <w:r w:rsidR="00300415" w:rsidRPr="00300415">
        <w:rPr>
          <w:noProof/>
          <w:sz w:val="24"/>
          <w:szCs w:val="24"/>
        </w:rPr>
        <w:t xml:space="preserve">Adebayo, T., &amp; Olaniyan, O. (2022). Lipids and Testosterone Levels in Benign Prostatic Hyperplasia versus Prostate Cancer Patients attending Federal Teaching Hospital, Ido Ekiti, Nigeria. </w:t>
      </w:r>
      <w:r w:rsidR="00300415" w:rsidRPr="00300415">
        <w:rPr>
          <w:i/>
          <w:iCs/>
          <w:noProof/>
          <w:sz w:val="24"/>
          <w:szCs w:val="24"/>
        </w:rPr>
        <w:t>IOSR Journal of Dental and Medical Sciences</w:t>
      </w:r>
      <w:r w:rsidR="00300415" w:rsidRPr="00300415">
        <w:rPr>
          <w:noProof/>
          <w:sz w:val="24"/>
          <w:szCs w:val="24"/>
        </w:rPr>
        <w:t xml:space="preserve">, </w:t>
      </w:r>
      <w:r w:rsidR="00300415" w:rsidRPr="00300415">
        <w:rPr>
          <w:i/>
          <w:iCs/>
          <w:noProof/>
          <w:sz w:val="24"/>
          <w:szCs w:val="24"/>
        </w:rPr>
        <w:t>Volume 21</w:t>
      </w:r>
      <w:r w:rsidR="00300415" w:rsidRPr="00300415">
        <w:rPr>
          <w:noProof/>
          <w:sz w:val="24"/>
          <w:szCs w:val="24"/>
        </w:rPr>
        <w:t>, 55–60. https://doi.org/10.9790/0853-2108085560</w:t>
      </w:r>
    </w:p>
    <w:p w14:paraId="3DEDDBA7" w14:textId="387DB318" w:rsidR="00300415" w:rsidRPr="00300415" w:rsidRDefault="00300415" w:rsidP="00300415">
      <w:pPr>
        <w:adjustRightInd w:val="0"/>
        <w:spacing w:before="80"/>
        <w:ind w:left="480" w:hanging="480"/>
        <w:rPr>
          <w:noProof/>
          <w:sz w:val="24"/>
          <w:szCs w:val="24"/>
        </w:rPr>
      </w:pPr>
      <w:r w:rsidRPr="00300415">
        <w:rPr>
          <w:noProof/>
          <w:sz w:val="24"/>
          <w:szCs w:val="24"/>
        </w:rPr>
        <w:t xml:space="preserve">Adhyam, M., &amp; Gupta, A. K. (2012). A Review on the Clinical Utility of PSA in </w:t>
      </w:r>
      <w:r w:rsidR="000619FA">
        <w:rPr>
          <w:noProof/>
          <w:sz w:val="24"/>
          <w:szCs w:val="24"/>
        </w:rPr>
        <w:t>Prostate Cancer</w:t>
      </w:r>
      <w:r w:rsidRPr="00300415">
        <w:rPr>
          <w:noProof/>
          <w:sz w:val="24"/>
          <w:szCs w:val="24"/>
        </w:rPr>
        <w:t xml:space="preserve">. </w:t>
      </w:r>
      <w:r w:rsidRPr="00300415">
        <w:rPr>
          <w:i/>
          <w:iCs/>
          <w:noProof/>
          <w:sz w:val="24"/>
          <w:szCs w:val="24"/>
        </w:rPr>
        <w:t>Indian Journal of Surgical Oncology</w:t>
      </w:r>
      <w:r w:rsidRPr="00300415">
        <w:rPr>
          <w:noProof/>
          <w:sz w:val="24"/>
          <w:szCs w:val="24"/>
        </w:rPr>
        <w:t xml:space="preserve">, </w:t>
      </w:r>
      <w:r w:rsidRPr="00300415">
        <w:rPr>
          <w:i/>
          <w:iCs/>
          <w:noProof/>
          <w:sz w:val="24"/>
          <w:szCs w:val="24"/>
        </w:rPr>
        <w:t>3</w:t>
      </w:r>
      <w:r w:rsidRPr="00300415">
        <w:rPr>
          <w:noProof/>
          <w:sz w:val="24"/>
          <w:szCs w:val="24"/>
        </w:rPr>
        <w:t>(2), 120–129. https://doi.org/10.1007/s13193-012-0142-6</w:t>
      </w:r>
    </w:p>
    <w:p w14:paraId="691077AC" w14:textId="77777777" w:rsidR="00300415" w:rsidRPr="00300415" w:rsidRDefault="00300415" w:rsidP="00300415">
      <w:pPr>
        <w:adjustRightInd w:val="0"/>
        <w:spacing w:before="80"/>
        <w:ind w:left="480" w:hanging="480"/>
        <w:rPr>
          <w:noProof/>
          <w:sz w:val="24"/>
          <w:szCs w:val="24"/>
        </w:rPr>
      </w:pPr>
      <w:r w:rsidRPr="00300415">
        <w:rPr>
          <w:noProof/>
          <w:sz w:val="24"/>
          <w:szCs w:val="24"/>
        </w:rPr>
        <w:lastRenderedPageBreak/>
        <w:t xml:space="preserve">Armitage, P., Berry, G., &amp; Matthews, J. N. S. (2008). </w:t>
      </w:r>
      <w:r w:rsidRPr="00300415">
        <w:rPr>
          <w:i/>
          <w:iCs/>
          <w:noProof/>
          <w:sz w:val="24"/>
          <w:szCs w:val="24"/>
        </w:rPr>
        <w:t>Statistical Methods in Medical Research, Fourth Edition</w:t>
      </w:r>
      <w:r w:rsidRPr="00300415">
        <w:rPr>
          <w:noProof/>
          <w:sz w:val="24"/>
          <w:szCs w:val="24"/>
        </w:rPr>
        <w:t>. 760–783. https://doi.org/10.1002/9780470773666.refs</w:t>
      </w:r>
    </w:p>
    <w:p w14:paraId="37CBF1CD" w14:textId="6C85A8B7" w:rsidR="00300415" w:rsidRPr="00300415" w:rsidRDefault="00300415" w:rsidP="00300415">
      <w:pPr>
        <w:adjustRightInd w:val="0"/>
        <w:spacing w:before="80"/>
        <w:ind w:left="480" w:hanging="480"/>
        <w:rPr>
          <w:noProof/>
          <w:sz w:val="24"/>
          <w:szCs w:val="24"/>
        </w:rPr>
      </w:pPr>
      <w:r w:rsidRPr="00300415">
        <w:rPr>
          <w:noProof/>
          <w:sz w:val="24"/>
          <w:szCs w:val="24"/>
        </w:rPr>
        <w:t xml:space="preserve">Bhat, A., Blachman-Braun, R., Herrmann, T. R. W., &amp; Shah, H. N. (2022). Are all procedures for benign prostatic hyperplasia created equal? A </w:t>
      </w:r>
      <w:r w:rsidRPr="0050152C">
        <w:rPr>
          <w:noProof/>
          <w:sz w:val="24"/>
          <w:szCs w:val="24"/>
          <w:highlight w:val="yellow"/>
        </w:rPr>
        <w:t>systematic review</w:t>
      </w:r>
      <w:r w:rsidRPr="00300415">
        <w:rPr>
          <w:noProof/>
          <w:sz w:val="24"/>
          <w:szCs w:val="24"/>
        </w:rPr>
        <w:t xml:space="preserve"> on post-procedural PSA dynamics and its correlation with relief of bladder outlet obstruction. </w:t>
      </w:r>
      <w:r w:rsidRPr="00300415">
        <w:rPr>
          <w:i/>
          <w:iCs/>
          <w:noProof/>
          <w:sz w:val="24"/>
          <w:szCs w:val="24"/>
        </w:rPr>
        <w:t>World Journal of Urology</w:t>
      </w:r>
      <w:r w:rsidRPr="00300415">
        <w:rPr>
          <w:noProof/>
          <w:sz w:val="24"/>
          <w:szCs w:val="24"/>
        </w:rPr>
        <w:t xml:space="preserve">, </w:t>
      </w:r>
      <w:r w:rsidRPr="00300415">
        <w:rPr>
          <w:i/>
          <w:iCs/>
          <w:noProof/>
          <w:sz w:val="24"/>
          <w:szCs w:val="24"/>
        </w:rPr>
        <w:t>40</w:t>
      </w:r>
      <w:r w:rsidRPr="00300415">
        <w:rPr>
          <w:noProof/>
          <w:sz w:val="24"/>
          <w:szCs w:val="24"/>
        </w:rPr>
        <w:t>(4), 889–905. https://doi.org/10.1007/s00345-021-03771-w</w:t>
      </w:r>
    </w:p>
    <w:p w14:paraId="26082A07" w14:textId="15089E53" w:rsidR="00300415" w:rsidRPr="00300415" w:rsidRDefault="00300415" w:rsidP="00300415">
      <w:pPr>
        <w:adjustRightInd w:val="0"/>
        <w:spacing w:before="80"/>
        <w:ind w:left="480" w:hanging="480"/>
        <w:rPr>
          <w:noProof/>
          <w:sz w:val="24"/>
          <w:szCs w:val="24"/>
        </w:rPr>
      </w:pPr>
      <w:r w:rsidRPr="00300415">
        <w:rPr>
          <w:noProof/>
          <w:sz w:val="24"/>
          <w:szCs w:val="24"/>
        </w:rPr>
        <w:t xml:space="preserve">Esomonu, U., Obun, C., Ude, R., Igwe, S., Esomchi, C., &amp; Ogolekwu, S. (2024). Prevalence of benign prostatic hyperplasia and </w:t>
      </w:r>
      <w:r w:rsidR="000619FA">
        <w:rPr>
          <w:noProof/>
          <w:sz w:val="24"/>
          <w:szCs w:val="24"/>
        </w:rPr>
        <w:t>prostate</w:t>
      </w:r>
      <w:r w:rsidRPr="00300415">
        <w:rPr>
          <w:noProof/>
          <w:sz w:val="24"/>
          <w:szCs w:val="24"/>
        </w:rPr>
        <w:t xml:space="preserve"> cancer among suburban residents in Southern Nigeria. </w:t>
      </w:r>
      <w:r w:rsidRPr="00300415">
        <w:rPr>
          <w:i/>
          <w:iCs/>
          <w:noProof/>
          <w:sz w:val="24"/>
          <w:szCs w:val="24"/>
        </w:rPr>
        <w:t>African Journal of Urology</w:t>
      </w:r>
      <w:r w:rsidRPr="00300415">
        <w:rPr>
          <w:noProof/>
          <w:sz w:val="24"/>
          <w:szCs w:val="24"/>
        </w:rPr>
        <w:t xml:space="preserve">, </w:t>
      </w:r>
      <w:r w:rsidRPr="00300415">
        <w:rPr>
          <w:i/>
          <w:iCs/>
          <w:noProof/>
          <w:sz w:val="24"/>
          <w:szCs w:val="24"/>
        </w:rPr>
        <w:t>30</w:t>
      </w:r>
      <w:r w:rsidRPr="00300415">
        <w:rPr>
          <w:noProof/>
          <w:sz w:val="24"/>
          <w:szCs w:val="24"/>
        </w:rPr>
        <w:t>(1), 66. https://doi.org/10.1186/s12301-024-00470-x</w:t>
      </w:r>
    </w:p>
    <w:p w14:paraId="22411F3E" w14:textId="77777777" w:rsidR="00300415" w:rsidRPr="00300415" w:rsidRDefault="00300415" w:rsidP="00300415">
      <w:pPr>
        <w:adjustRightInd w:val="0"/>
        <w:spacing w:before="80"/>
        <w:ind w:left="480" w:hanging="480"/>
        <w:rPr>
          <w:noProof/>
          <w:sz w:val="24"/>
          <w:szCs w:val="24"/>
        </w:rPr>
      </w:pPr>
      <w:r w:rsidRPr="00300415">
        <w:rPr>
          <w:noProof/>
          <w:sz w:val="24"/>
          <w:szCs w:val="24"/>
        </w:rPr>
        <w:t xml:space="preserve">Glaser, A., Shi, Z., Wei, J., Lanman, N. A., Ladson-Gary, S., Vickman, R. E., Franco, O. E., Crawford, S. E., Lilly Zheng, S., Hayward, S. W., Isaacs, W. B., Helfand, B. T., &amp; Xu, J. (2022). Shared Inherited Genetics of Benign Prostatic Hyperplasia and Prostate Cancer. </w:t>
      </w:r>
      <w:r w:rsidRPr="00300415">
        <w:rPr>
          <w:i/>
          <w:iCs/>
          <w:noProof/>
          <w:sz w:val="24"/>
          <w:szCs w:val="24"/>
        </w:rPr>
        <w:t>European Urology Open Science</w:t>
      </w:r>
      <w:r w:rsidRPr="00300415">
        <w:rPr>
          <w:noProof/>
          <w:sz w:val="24"/>
          <w:szCs w:val="24"/>
        </w:rPr>
        <w:t xml:space="preserve">, </w:t>
      </w:r>
      <w:r w:rsidRPr="00300415">
        <w:rPr>
          <w:i/>
          <w:iCs/>
          <w:noProof/>
          <w:sz w:val="24"/>
          <w:szCs w:val="24"/>
        </w:rPr>
        <w:t>43</w:t>
      </w:r>
      <w:r w:rsidRPr="00300415">
        <w:rPr>
          <w:noProof/>
          <w:sz w:val="24"/>
          <w:szCs w:val="24"/>
        </w:rPr>
        <w:t>, 54–61. https://doi.org/10.1016/j.euros.2022.07.004</w:t>
      </w:r>
    </w:p>
    <w:p w14:paraId="3758590D" w14:textId="77777777" w:rsidR="00300415" w:rsidRPr="00300415" w:rsidRDefault="00300415" w:rsidP="00300415">
      <w:pPr>
        <w:adjustRightInd w:val="0"/>
        <w:spacing w:before="80"/>
        <w:ind w:left="480" w:hanging="480"/>
        <w:rPr>
          <w:noProof/>
          <w:sz w:val="24"/>
          <w:szCs w:val="24"/>
        </w:rPr>
      </w:pPr>
      <w:r w:rsidRPr="00300415">
        <w:rPr>
          <w:noProof/>
          <w:sz w:val="24"/>
          <w:szCs w:val="24"/>
          <w:highlight w:val="yellow"/>
        </w:rPr>
        <w:t xml:space="preserve">Huhtinen, P., Soukka, T., Lövgren, T., &amp; Härmä, H. (2004). Immunoassay of total prostate-specific antigen using europium(III) nanoparticle labels and streptavidin–biotin technology. </w:t>
      </w:r>
      <w:r w:rsidRPr="00300415">
        <w:rPr>
          <w:i/>
          <w:iCs/>
          <w:noProof/>
          <w:sz w:val="24"/>
          <w:szCs w:val="24"/>
          <w:highlight w:val="yellow"/>
        </w:rPr>
        <w:t>Journal of Immunological Methods</w:t>
      </w:r>
      <w:r w:rsidRPr="00300415">
        <w:rPr>
          <w:noProof/>
          <w:sz w:val="24"/>
          <w:szCs w:val="24"/>
          <w:highlight w:val="yellow"/>
        </w:rPr>
        <w:t xml:space="preserve">, </w:t>
      </w:r>
      <w:r w:rsidRPr="00300415">
        <w:rPr>
          <w:i/>
          <w:iCs/>
          <w:noProof/>
          <w:sz w:val="24"/>
          <w:szCs w:val="24"/>
          <w:highlight w:val="yellow"/>
        </w:rPr>
        <w:t>294</w:t>
      </w:r>
      <w:r w:rsidRPr="00300415">
        <w:rPr>
          <w:noProof/>
          <w:sz w:val="24"/>
          <w:szCs w:val="24"/>
          <w:highlight w:val="yellow"/>
        </w:rPr>
        <w:t>(1), 111–122. https://doi.org/https://doi.org/10.1016/j.jim.2004.09.002</w:t>
      </w:r>
    </w:p>
    <w:p w14:paraId="535D2528" w14:textId="77777777" w:rsidR="00300415" w:rsidRPr="00300415" w:rsidRDefault="00300415" w:rsidP="00300415">
      <w:pPr>
        <w:adjustRightInd w:val="0"/>
        <w:spacing w:before="80"/>
        <w:ind w:left="480" w:hanging="480"/>
        <w:rPr>
          <w:noProof/>
          <w:sz w:val="24"/>
          <w:szCs w:val="24"/>
        </w:rPr>
      </w:pPr>
      <w:r w:rsidRPr="00300415">
        <w:rPr>
          <w:noProof/>
          <w:sz w:val="24"/>
          <w:szCs w:val="24"/>
        </w:rPr>
        <w:t xml:space="preserve">Ifere, G. O., Abebe, F., &amp; Ananaba, G. A. (2012). Emergent trends in the reported incidence of prostate cancer in Nigeria. </w:t>
      </w:r>
      <w:r w:rsidRPr="00300415">
        <w:rPr>
          <w:i/>
          <w:iCs/>
          <w:noProof/>
          <w:sz w:val="24"/>
          <w:szCs w:val="24"/>
        </w:rPr>
        <w:t>Clinical Epidemiology</w:t>
      </w:r>
      <w:r w:rsidRPr="00300415">
        <w:rPr>
          <w:noProof/>
          <w:sz w:val="24"/>
          <w:szCs w:val="24"/>
        </w:rPr>
        <w:t xml:space="preserve">, </w:t>
      </w:r>
      <w:r w:rsidRPr="00300415">
        <w:rPr>
          <w:i/>
          <w:iCs/>
          <w:noProof/>
          <w:sz w:val="24"/>
          <w:szCs w:val="24"/>
        </w:rPr>
        <w:t>4</w:t>
      </w:r>
      <w:r w:rsidRPr="00300415">
        <w:rPr>
          <w:noProof/>
          <w:sz w:val="24"/>
          <w:szCs w:val="24"/>
        </w:rPr>
        <w:t>(1), 19–32. https://doi.org/10.2147/CLEP.S23536</w:t>
      </w:r>
    </w:p>
    <w:p w14:paraId="37675CC7" w14:textId="0F8DCF79" w:rsidR="00300415" w:rsidRPr="00300415" w:rsidRDefault="00300415" w:rsidP="00300415">
      <w:pPr>
        <w:adjustRightInd w:val="0"/>
        <w:spacing w:before="80"/>
        <w:ind w:left="480" w:hanging="480"/>
        <w:rPr>
          <w:noProof/>
          <w:sz w:val="24"/>
          <w:szCs w:val="24"/>
        </w:rPr>
      </w:pPr>
      <w:r w:rsidRPr="00300415">
        <w:rPr>
          <w:noProof/>
          <w:sz w:val="24"/>
          <w:szCs w:val="24"/>
        </w:rPr>
        <w:t xml:space="preserve">Ifionu, B. I., Okafor, C. J., Ohwo, U., Obianagha, N. F., Obeagu, E. I., Ogundahunsi, O. A., Adejumo, E. N., &amp; Enitan, S. S. (2025). Assessment of Vitamin A and D Status in Male Patients with Prostate Disorders in Lagos, Nigeria. </w:t>
      </w:r>
      <w:r w:rsidRPr="00300415">
        <w:rPr>
          <w:i/>
          <w:iCs/>
          <w:noProof/>
          <w:sz w:val="24"/>
          <w:szCs w:val="24"/>
        </w:rPr>
        <w:t xml:space="preserve">Journal of Cancer and </w:t>
      </w:r>
      <w:r w:rsidR="0050152C">
        <w:rPr>
          <w:i/>
          <w:iCs/>
          <w:noProof/>
          <w:sz w:val="24"/>
          <w:szCs w:val="24"/>
        </w:rPr>
        <w:t>Tumour</w:t>
      </w:r>
      <w:r w:rsidRPr="00300415">
        <w:rPr>
          <w:i/>
          <w:iCs/>
          <w:noProof/>
          <w:sz w:val="24"/>
          <w:szCs w:val="24"/>
        </w:rPr>
        <w:t xml:space="preserve"> International</w:t>
      </w:r>
      <w:r w:rsidRPr="00300415">
        <w:rPr>
          <w:noProof/>
          <w:sz w:val="24"/>
          <w:szCs w:val="24"/>
        </w:rPr>
        <w:t xml:space="preserve">, </w:t>
      </w:r>
      <w:r w:rsidRPr="00300415">
        <w:rPr>
          <w:i/>
          <w:iCs/>
          <w:noProof/>
          <w:sz w:val="24"/>
          <w:szCs w:val="24"/>
        </w:rPr>
        <w:t>15</w:t>
      </w:r>
      <w:r w:rsidRPr="00300415">
        <w:rPr>
          <w:noProof/>
          <w:sz w:val="24"/>
          <w:szCs w:val="24"/>
        </w:rPr>
        <w:t>(3), 171–178. https://doi.org/10.9734/jcti/2025/v15i3311</w:t>
      </w:r>
    </w:p>
    <w:p w14:paraId="135F11B1" w14:textId="77777777" w:rsidR="00300415" w:rsidRPr="00300415" w:rsidRDefault="00300415" w:rsidP="00300415">
      <w:pPr>
        <w:adjustRightInd w:val="0"/>
        <w:spacing w:before="80"/>
        <w:ind w:left="480" w:hanging="480"/>
        <w:rPr>
          <w:noProof/>
          <w:sz w:val="24"/>
          <w:szCs w:val="24"/>
        </w:rPr>
      </w:pPr>
      <w:r w:rsidRPr="00300415">
        <w:rPr>
          <w:noProof/>
          <w:sz w:val="24"/>
          <w:szCs w:val="24"/>
        </w:rPr>
        <w:t xml:space="preserve">Kong, S., Zhang, J., Wang, L., Li, W., Guo, H., Weng, Q., He, Q., Lou, H., Ding, L., &amp; Yang, B. (2025). Mechanisms of low MHC I expression and strategies for targeting MHC I with small molecules in cancer immunotherapy. </w:t>
      </w:r>
      <w:r w:rsidRPr="00300415">
        <w:rPr>
          <w:i/>
          <w:iCs/>
          <w:noProof/>
          <w:sz w:val="24"/>
          <w:szCs w:val="24"/>
        </w:rPr>
        <w:t>Cancer Letters</w:t>
      </w:r>
      <w:r w:rsidRPr="00300415">
        <w:rPr>
          <w:noProof/>
          <w:sz w:val="24"/>
          <w:szCs w:val="24"/>
        </w:rPr>
        <w:t xml:space="preserve">, </w:t>
      </w:r>
      <w:r w:rsidRPr="00300415">
        <w:rPr>
          <w:i/>
          <w:iCs/>
          <w:noProof/>
          <w:sz w:val="24"/>
          <w:szCs w:val="24"/>
        </w:rPr>
        <w:t>611</w:t>
      </w:r>
      <w:r w:rsidRPr="00300415">
        <w:rPr>
          <w:noProof/>
          <w:sz w:val="24"/>
          <w:szCs w:val="24"/>
        </w:rPr>
        <w:t>(December 2024), 217432. https://doi.org/10.1016/j.canlet.2024.217432</w:t>
      </w:r>
    </w:p>
    <w:p w14:paraId="41366D25" w14:textId="5EA66FD0" w:rsidR="00300415" w:rsidRPr="00300415" w:rsidRDefault="00300415" w:rsidP="00300415">
      <w:pPr>
        <w:adjustRightInd w:val="0"/>
        <w:spacing w:before="80"/>
        <w:ind w:left="480" w:hanging="480"/>
        <w:rPr>
          <w:noProof/>
          <w:sz w:val="24"/>
          <w:szCs w:val="24"/>
        </w:rPr>
      </w:pPr>
      <w:r w:rsidRPr="00300415">
        <w:rPr>
          <w:noProof/>
          <w:sz w:val="24"/>
          <w:szCs w:val="24"/>
        </w:rPr>
        <w:t xml:space="preserve">Lloyd, G. L., Marks, J. M., &amp; Ricke, W. A. (2019). Benign Prostatic Hyperplasia and Lower Urinary Tract Symptoms: What Is the Role and Significance of Inflammation? </w:t>
      </w:r>
      <w:r w:rsidRPr="00300415">
        <w:rPr>
          <w:i/>
          <w:iCs/>
          <w:noProof/>
          <w:sz w:val="24"/>
          <w:szCs w:val="24"/>
        </w:rPr>
        <w:t>Current Urology Reports</w:t>
      </w:r>
      <w:r w:rsidRPr="00300415">
        <w:rPr>
          <w:noProof/>
          <w:sz w:val="24"/>
          <w:szCs w:val="24"/>
        </w:rPr>
        <w:t xml:space="preserve">, </w:t>
      </w:r>
      <w:r w:rsidRPr="00300415">
        <w:rPr>
          <w:i/>
          <w:iCs/>
          <w:noProof/>
          <w:sz w:val="24"/>
          <w:szCs w:val="24"/>
        </w:rPr>
        <w:t>20</w:t>
      </w:r>
      <w:r w:rsidRPr="00300415">
        <w:rPr>
          <w:noProof/>
          <w:sz w:val="24"/>
          <w:szCs w:val="24"/>
        </w:rPr>
        <w:t>(9), 54. https://doi.org/10.1007/s11934-019-0917-1</w:t>
      </w:r>
    </w:p>
    <w:p w14:paraId="600606F8" w14:textId="321C57CE" w:rsidR="00300415" w:rsidRPr="00300415" w:rsidRDefault="00300415" w:rsidP="00300415">
      <w:pPr>
        <w:adjustRightInd w:val="0"/>
        <w:spacing w:before="80"/>
        <w:ind w:left="480" w:hanging="480"/>
        <w:rPr>
          <w:noProof/>
          <w:sz w:val="24"/>
          <w:szCs w:val="24"/>
        </w:rPr>
      </w:pPr>
      <w:r w:rsidRPr="00300415">
        <w:rPr>
          <w:noProof/>
          <w:sz w:val="24"/>
          <w:szCs w:val="24"/>
        </w:rPr>
        <w:t xml:space="preserve">Lojanapiwat, B., Anutrakulchai, W., Chongruksut, W., &amp; Udomphot, C. (2014). Correlation and diagnostic performance of the prostate-specific antigen level with the diagnosis, aggressiveness, and bone metastasis of prostate cancer in clinical practice. </w:t>
      </w:r>
      <w:r w:rsidRPr="00300415">
        <w:rPr>
          <w:i/>
          <w:iCs/>
          <w:noProof/>
          <w:sz w:val="24"/>
          <w:szCs w:val="24"/>
        </w:rPr>
        <w:t>Prostate International</w:t>
      </w:r>
      <w:r w:rsidRPr="00300415">
        <w:rPr>
          <w:noProof/>
          <w:sz w:val="24"/>
          <w:szCs w:val="24"/>
        </w:rPr>
        <w:t xml:space="preserve">, </w:t>
      </w:r>
      <w:r w:rsidRPr="00300415">
        <w:rPr>
          <w:i/>
          <w:iCs/>
          <w:noProof/>
          <w:sz w:val="24"/>
          <w:szCs w:val="24"/>
        </w:rPr>
        <w:t>2</w:t>
      </w:r>
      <w:r w:rsidRPr="00300415">
        <w:rPr>
          <w:noProof/>
          <w:sz w:val="24"/>
          <w:szCs w:val="24"/>
        </w:rPr>
        <w:t>(3), 133–139. https://doi.org/10.12954/PI.14054</w:t>
      </w:r>
    </w:p>
    <w:p w14:paraId="624652D3" w14:textId="04613A21" w:rsidR="00300415" w:rsidRPr="00300415" w:rsidRDefault="00300415" w:rsidP="00300415">
      <w:pPr>
        <w:adjustRightInd w:val="0"/>
        <w:spacing w:before="80"/>
        <w:ind w:left="480" w:hanging="480"/>
        <w:rPr>
          <w:noProof/>
          <w:sz w:val="24"/>
          <w:szCs w:val="24"/>
        </w:rPr>
      </w:pPr>
      <w:r w:rsidRPr="00300415">
        <w:rPr>
          <w:noProof/>
          <w:sz w:val="24"/>
          <w:szCs w:val="24"/>
        </w:rPr>
        <w:t xml:space="preserve">Michaud, J. E., Billups, K. L., &amp; Partin, A. W. (2015). Testosterone and prostate cancer: an evidence-based review of pathogenesis and oncologic risk. </w:t>
      </w:r>
      <w:r w:rsidRPr="00300415">
        <w:rPr>
          <w:i/>
          <w:iCs/>
          <w:noProof/>
          <w:sz w:val="24"/>
          <w:szCs w:val="24"/>
        </w:rPr>
        <w:t>Therapeutic Advances in Urology</w:t>
      </w:r>
      <w:r w:rsidRPr="00300415">
        <w:rPr>
          <w:noProof/>
          <w:sz w:val="24"/>
          <w:szCs w:val="24"/>
        </w:rPr>
        <w:t xml:space="preserve">, </w:t>
      </w:r>
      <w:r w:rsidRPr="00300415">
        <w:rPr>
          <w:i/>
          <w:iCs/>
          <w:noProof/>
          <w:sz w:val="24"/>
          <w:szCs w:val="24"/>
        </w:rPr>
        <w:t>7</w:t>
      </w:r>
      <w:r w:rsidRPr="00300415">
        <w:rPr>
          <w:noProof/>
          <w:sz w:val="24"/>
          <w:szCs w:val="24"/>
        </w:rPr>
        <w:t>(6), 378–387. https://doi.org/10.1177/1756287215597633</w:t>
      </w:r>
    </w:p>
    <w:p w14:paraId="3EE456B9" w14:textId="0C4DEBFE" w:rsidR="00300415" w:rsidRPr="00300415" w:rsidRDefault="00300415" w:rsidP="00300415">
      <w:pPr>
        <w:adjustRightInd w:val="0"/>
        <w:spacing w:before="80"/>
        <w:ind w:left="480" w:hanging="480"/>
        <w:rPr>
          <w:noProof/>
          <w:sz w:val="24"/>
          <w:szCs w:val="24"/>
        </w:rPr>
      </w:pPr>
      <w:r w:rsidRPr="00300415">
        <w:rPr>
          <w:noProof/>
          <w:sz w:val="24"/>
          <w:szCs w:val="24"/>
        </w:rPr>
        <w:t xml:space="preserve">Nadler, R. B., Humphrey, P. A., Smith, D. S., Catalona, W. J., &amp; Ratliff, T. L. (1995). Effect of inflammation and benign prostatic hyperplasia on elevated serum </w:t>
      </w:r>
      <w:r w:rsidR="0050152C">
        <w:rPr>
          <w:noProof/>
          <w:sz w:val="24"/>
          <w:szCs w:val="24"/>
        </w:rPr>
        <w:t>prostate-specific</w:t>
      </w:r>
      <w:r w:rsidRPr="00300415">
        <w:rPr>
          <w:noProof/>
          <w:sz w:val="24"/>
          <w:szCs w:val="24"/>
        </w:rPr>
        <w:t xml:space="preserve"> antigen levels. </w:t>
      </w:r>
      <w:r w:rsidRPr="00300415">
        <w:rPr>
          <w:i/>
          <w:iCs/>
          <w:noProof/>
          <w:sz w:val="24"/>
          <w:szCs w:val="24"/>
        </w:rPr>
        <w:t>The Journal of Urology</w:t>
      </w:r>
      <w:r w:rsidRPr="00300415">
        <w:rPr>
          <w:noProof/>
          <w:sz w:val="24"/>
          <w:szCs w:val="24"/>
        </w:rPr>
        <w:t xml:space="preserve">, </w:t>
      </w:r>
      <w:r w:rsidRPr="00300415">
        <w:rPr>
          <w:i/>
          <w:iCs/>
          <w:noProof/>
          <w:sz w:val="24"/>
          <w:szCs w:val="24"/>
        </w:rPr>
        <w:t>154</w:t>
      </w:r>
      <w:r w:rsidRPr="00300415">
        <w:rPr>
          <w:noProof/>
          <w:sz w:val="24"/>
          <w:szCs w:val="24"/>
        </w:rPr>
        <w:t>(2 Pt 1), 407–413. https://doi.org/10.1097/00005392-199508000-00023</w:t>
      </w:r>
    </w:p>
    <w:p w14:paraId="58DFCA87" w14:textId="246330D6" w:rsidR="00300415" w:rsidRPr="00300415" w:rsidRDefault="00300415" w:rsidP="00300415">
      <w:pPr>
        <w:adjustRightInd w:val="0"/>
        <w:spacing w:before="80"/>
        <w:ind w:left="480" w:hanging="480"/>
        <w:rPr>
          <w:noProof/>
          <w:sz w:val="24"/>
          <w:szCs w:val="24"/>
        </w:rPr>
      </w:pPr>
      <w:r w:rsidRPr="00300415">
        <w:rPr>
          <w:noProof/>
          <w:sz w:val="24"/>
          <w:szCs w:val="24"/>
        </w:rPr>
        <w:t xml:space="preserve">Rajkowski, K. M., Hanquez, C., Bouzoumou, A., &amp; Cittanova, N. (1989). A competitive </w:t>
      </w:r>
      <w:r w:rsidRPr="00300415">
        <w:rPr>
          <w:noProof/>
          <w:sz w:val="24"/>
          <w:szCs w:val="24"/>
        </w:rPr>
        <w:lastRenderedPageBreak/>
        <w:t xml:space="preserve">microtitre plate enzyme immunoassay for plasma testosterone using polyclonal anti-testosterone immunoglobulins. </w:t>
      </w:r>
      <w:r w:rsidRPr="00300415">
        <w:rPr>
          <w:i/>
          <w:iCs/>
          <w:noProof/>
          <w:sz w:val="24"/>
          <w:szCs w:val="24"/>
        </w:rPr>
        <w:t>Clinica Chimica Acta; International Journal of Clinical Chemistry</w:t>
      </w:r>
      <w:r w:rsidRPr="00300415">
        <w:rPr>
          <w:noProof/>
          <w:sz w:val="24"/>
          <w:szCs w:val="24"/>
        </w:rPr>
        <w:t xml:space="preserve">, </w:t>
      </w:r>
      <w:r w:rsidRPr="00300415">
        <w:rPr>
          <w:i/>
          <w:iCs/>
          <w:noProof/>
          <w:sz w:val="24"/>
          <w:szCs w:val="24"/>
        </w:rPr>
        <w:t>183</w:t>
      </w:r>
      <w:r w:rsidRPr="00300415">
        <w:rPr>
          <w:noProof/>
          <w:sz w:val="24"/>
          <w:szCs w:val="24"/>
        </w:rPr>
        <w:t>(2), 197–206. https://doi.org/10.1016/0009-8981(89)90335-5</w:t>
      </w:r>
    </w:p>
    <w:p w14:paraId="1C697649" w14:textId="77777777" w:rsidR="00300415" w:rsidRPr="00300415" w:rsidRDefault="00300415" w:rsidP="00300415">
      <w:pPr>
        <w:adjustRightInd w:val="0"/>
        <w:spacing w:before="80"/>
        <w:ind w:left="480" w:hanging="480"/>
        <w:rPr>
          <w:noProof/>
          <w:sz w:val="24"/>
          <w:szCs w:val="24"/>
        </w:rPr>
      </w:pPr>
      <w:r w:rsidRPr="00300415">
        <w:rPr>
          <w:noProof/>
          <w:sz w:val="24"/>
          <w:szCs w:val="24"/>
        </w:rPr>
        <w:t xml:space="preserve">Sinclair, M., Grossmann, M., Gow, P. J., &amp; Angus, P. W. (2015). Testosterone in men with advanced liver disease: Abnormalities and implications. </w:t>
      </w:r>
      <w:r w:rsidRPr="00300415">
        <w:rPr>
          <w:i/>
          <w:iCs/>
          <w:noProof/>
          <w:sz w:val="24"/>
          <w:szCs w:val="24"/>
        </w:rPr>
        <w:t>Journal of Gastroenterology and Hepatology</w:t>
      </w:r>
      <w:r w:rsidRPr="00300415">
        <w:rPr>
          <w:noProof/>
          <w:sz w:val="24"/>
          <w:szCs w:val="24"/>
        </w:rPr>
        <w:t xml:space="preserve">, </w:t>
      </w:r>
      <w:r w:rsidRPr="00300415">
        <w:rPr>
          <w:i/>
          <w:iCs/>
          <w:noProof/>
          <w:sz w:val="24"/>
          <w:szCs w:val="24"/>
        </w:rPr>
        <w:t>30</w:t>
      </w:r>
      <w:r w:rsidRPr="00300415">
        <w:rPr>
          <w:noProof/>
          <w:sz w:val="24"/>
          <w:szCs w:val="24"/>
        </w:rPr>
        <w:t>(2), 244–251. https://doi.org/https://doi.org/10.1111/jgh.12695</w:t>
      </w:r>
    </w:p>
    <w:p w14:paraId="14EB8ED0" w14:textId="77777777" w:rsidR="00300415" w:rsidRPr="00300415" w:rsidRDefault="00300415" w:rsidP="00300415">
      <w:pPr>
        <w:adjustRightInd w:val="0"/>
        <w:spacing w:before="80"/>
        <w:ind w:left="480" w:hanging="480"/>
        <w:rPr>
          <w:noProof/>
          <w:sz w:val="24"/>
          <w:szCs w:val="24"/>
        </w:rPr>
      </w:pPr>
      <w:r w:rsidRPr="00300415">
        <w:rPr>
          <w:noProof/>
          <w:sz w:val="24"/>
          <w:szCs w:val="24"/>
        </w:rPr>
        <w:t xml:space="preserve">Wilkinson, S., Ye, H., Karzai, F., Harmon, S. A., Terrigino, N. T., VanderWeele, D. J., Bright, J. R., Atway, R., Trostel, S. Y., Carrabba, N. V, Whitlock, N. C., Walker, S. M., Lis, R. T., Abdul Sater, H., Capaldo, B. J., Madan, R. A., Gulley, J. L., Chun, G., Merino, M. J., … Sowalsky, A. G. (2021). Nascent Prostate Cancer Heterogeneity Drives Evolution and Resistance to Intense Hormonal Therapy. </w:t>
      </w:r>
      <w:r w:rsidRPr="00300415">
        <w:rPr>
          <w:i/>
          <w:iCs/>
          <w:noProof/>
          <w:sz w:val="24"/>
          <w:szCs w:val="24"/>
        </w:rPr>
        <w:t>European Urology</w:t>
      </w:r>
      <w:r w:rsidRPr="00300415">
        <w:rPr>
          <w:noProof/>
          <w:sz w:val="24"/>
          <w:szCs w:val="24"/>
        </w:rPr>
        <w:t xml:space="preserve">, </w:t>
      </w:r>
      <w:r w:rsidRPr="00300415">
        <w:rPr>
          <w:i/>
          <w:iCs/>
          <w:noProof/>
          <w:sz w:val="24"/>
          <w:szCs w:val="24"/>
        </w:rPr>
        <w:t>80</w:t>
      </w:r>
      <w:r w:rsidRPr="00300415">
        <w:rPr>
          <w:noProof/>
          <w:sz w:val="24"/>
          <w:szCs w:val="24"/>
        </w:rPr>
        <w:t>(6), 746–757. https://doi.org/https://doi.org/10.1016/j.eururo.2021.03.009</w:t>
      </w:r>
    </w:p>
    <w:p w14:paraId="2BD26F32" w14:textId="0C55591D" w:rsidR="00300415" w:rsidRPr="00300415" w:rsidRDefault="00300415" w:rsidP="00300415">
      <w:pPr>
        <w:adjustRightInd w:val="0"/>
        <w:spacing w:before="80"/>
        <w:ind w:left="480" w:hanging="480"/>
        <w:rPr>
          <w:noProof/>
          <w:sz w:val="24"/>
          <w:szCs w:val="24"/>
        </w:rPr>
      </w:pPr>
      <w:r w:rsidRPr="00300415">
        <w:rPr>
          <w:noProof/>
          <w:sz w:val="24"/>
          <w:szCs w:val="24"/>
        </w:rPr>
        <w:t xml:space="preserve">Xu, X., Chen, X., Hu, H., Dailey, A. B., &amp; Taylor, B. D. (2015). Current opinion on the role of testosterone in the development of prostate cancer: a dynamic model. </w:t>
      </w:r>
      <w:r w:rsidRPr="00300415">
        <w:rPr>
          <w:i/>
          <w:iCs/>
          <w:noProof/>
          <w:sz w:val="24"/>
          <w:szCs w:val="24"/>
        </w:rPr>
        <w:t>BMC Cancer</w:t>
      </w:r>
      <w:r w:rsidRPr="00300415">
        <w:rPr>
          <w:noProof/>
          <w:sz w:val="24"/>
          <w:szCs w:val="24"/>
        </w:rPr>
        <w:t xml:space="preserve">, </w:t>
      </w:r>
      <w:r w:rsidRPr="00300415">
        <w:rPr>
          <w:i/>
          <w:iCs/>
          <w:noProof/>
          <w:sz w:val="24"/>
          <w:szCs w:val="24"/>
        </w:rPr>
        <w:t>15</w:t>
      </w:r>
      <w:r w:rsidRPr="00300415">
        <w:rPr>
          <w:noProof/>
          <w:sz w:val="24"/>
          <w:szCs w:val="24"/>
        </w:rPr>
        <w:t>, 806. https://doi.org/10.1186/s12885-015-1833-5</w:t>
      </w:r>
    </w:p>
    <w:p w14:paraId="43009C64" w14:textId="77777777" w:rsidR="00300415" w:rsidRPr="00300415" w:rsidRDefault="00300415" w:rsidP="00300415">
      <w:pPr>
        <w:adjustRightInd w:val="0"/>
        <w:spacing w:before="80"/>
        <w:ind w:left="480" w:hanging="480"/>
        <w:rPr>
          <w:noProof/>
          <w:sz w:val="24"/>
          <w:szCs w:val="24"/>
        </w:rPr>
      </w:pPr>
      <w:r w:rsidRPr="00300415">
        <w:rPr>
          <w:noProof/>
          <w:sz w:val="24"/>
          <w:szCs w:val="24"/>
        </w:rPr>
        <w:t xml:space="preserve">Zhou, X.-Z., Huang, P., Wu, Y.-K., Yu, J.-B., &amp; Sun, J. (2024). Autophagy in benign prostatic hyperplasia: insights and therapeutic potential. </w:t>
      </w:r>
      <w:r w:rsidRPr="00300415">
        <w:rPr>
          <w:i/>
          <w:iCs/>
          <w:noProof/>
          <w:sz w:val="24"/>
          <w:szCs w:val="24"/>
        </w:rPr>
        <w:t>BMC Urology</w:t>
      </w:r>
      <w:r w:rsidRPr="00300415">
        <w:rPr>
          <w:noProof/>
          <w:sz w:val="24"/>
          <w:szCs w:val="24"/>
        </w:rPr>
        <w:t xml:space="preserve">, </w:t>
      </w:r>
      <w:r w:rsidRPr="00300415">
        <w:rPr>
          <w:i/>
          <w:iCs/>
          <w:noProof/>
          <w:sz w:val="24"/>
          <w:szCs w:val="24"/>
        </w:rPr>
        <w:t>24</w:t>
      </w:r>
      <w:r w:rsidRPr="00300415">
        <w:rPr>
          <w:noProof/>
          <w:sz w:val="24"/>
          <w:szCs w:val="24"/>
        </w:rPr>
        <w:t>(1), 198. https://doi.org/10.1186/s12894-024-01585-7</w:t>
      </w:r>
    </w:p>
    <w:p w14:paraId="097C9042" w14:textId="77777777" w:rsidR="00300415" w:rsidRPr="00300415" w:rsidRDefault="00300415" w:rsidP="00300415">
      <w:pPr>
        <w:adjustRightInd w:val="0"/>
        <w:spacing w:before="80"/>
        <w:ind w:left="480" w:hanging="480"/>
        <w:rPr>
          <w:noProof/>
          <w:sz w:val="24"/>
        </w:rPr>
      </w:pPr>
      <w:r w:rsidRPr="00300415">
        <w:rPr>
          <w:noProof/>
          <w:sz w:val="24"/>
          <w:szCs w:val="24"/>
        </w:rPr>
        <w:t xml:space="preserve">Zhu, S., Xu, N., &amp; Zeng, H. (2024). Molecular complexity of intraductal carcinoma of the prostate. </w:t>
      </w:r>
      <w:r w:rsidRPr="00300415">
        <w:rPr>
          <w:i/>
          <w:iCs/>
          <w:noProof/>
          <w:sz w:val="24"/>
          <w:szCs w:val="24"/>
        </w:rPr>
        <w:t>Cancer Medicine</w:t>
      </w:r>
      <w:r w:rsidRPr="00300415">
        <w:rPr>
          <w:noProof/>
          <w:sz w:val="24"/>
          <w:szCs w:val="24"/>
        </w:rPr>
        <w:t xml:space="preserve">, </w:t>
      </w:r>
      <w:r w:rsidRPr="00300415">
        <w:rPr>
          <w:i/>
          <w:iCs/>
          <w:noProof/>
          <w:sz w:val="24"/>
          <w:szCs w:val="24"/>
        </w:rPr>
        <w:t>13</w:t>
      </w:r>
      <w:r w:rsidRPr="00300415">
        <w:rPr>
          <w:noProof/>
          <w:sz w:val="24"/>
          <w:szCs w:val="24"/>
        </w:rPr>
        <w:t>(2), e6939. https://doi.org/https://doi.org/10.1002/cam4.6939</w:t>
      </w:r>
    </w:p>
    <w:p w14:paraId="60CE936A" w14:textId="77777777" w:rsidR="00C81445" w:rsidRDefault="00C81445" w:rsidP="006B63EA">
      <w:pPr>
        <w:pStyle w:val="BodyText"/>
        <w:spacing w:before="87"/>
        <w:ind w:left="0"/>
        <w:jc w:val="left"/>
      </w:pPr>
      <w:r>
        <w:fldChar w:fldCharType="end"/>
      </w:r>
    </w:p>
    <w:p w14:paraId="6FFA3614" w14:textId="77777777" w:rsidR="006B63EA" w:rsidRDefault="006B63EA" w:rsidP="006B63EA">
      <w:pPr>
        <w:pStyle w:val="BodyText"/>
        <w:spacing w:before="87"/>
        <w:ind w:left="0"/>
        <w:jc w:val="left"/>
      </w:pPr>
    </w:p>
    <w:p w14:paraId="6CF97EAC" w14:textId="77777777" w:rsidR="006B63EA" w:rsidRDefault="006B63EA" w:rsidP="006B63EA">
      <w:pPr>
        <w:pStyle w:val="BodyText"/>
        <w:spacing w:before="87"/>
        <w:ind w:left="0"/>
        <w:jc w:val="left"/>
      </w:pPr>
    </w:p>
    <w:p w14:paraId="3A7D6B6B" w14:textId="77777777" w:rsidR="006B63EA" w:rsidRDefault="006B63EA" w:rsidP="006B63EA">
      <w:pPr>
        <w:pStyle w:val="BodyText"/>
        <w:spacing w:before="87"/>
        <w:ind w:left="0"/>
        <w:jc w:val="left"/>
      </w:pPr>
    </w:p>
    <w:p w14:paraId="788EC71A" w14:textId="77777777" w:rsidR="006B63EA" w:rsidRDefault="006B63EA" w:rsidP="006B63EA">
      <w:pPr>
        <w:pStyle w:val="BodyText"/>
        <w:ind w:left="0"/>
        <w:jc w:val="left"/>
        <w:rPr>
          <w:spacing w:val="-2"/>
        </w:rPr>
      </w:pPr>
    </w:p>
    <w:p w14:paraId="18792B7B" w14:textId="77777777" w:rsidR="006B63EA" w:rsidRDefault="006B63EA" w:rsidP="006B63EA">
      <w:pPr>
        <w:pStyle w:val="BodyText"/>
        <w:jc w:val="left"/>
        <w:rPr>
          <w:spacing w:val="-2"/>
        </w:rPr>
      </w:pPr>
    </w:p>
    <w:p w14:paraId="7B85CB0C" w14:textId="77777777" w:rsidR="006B63EA" w:rsidRDefault="006B63EA" w:rsidP="006B63EA">
      <w:pPr>
        <w:pStyle w:val="BodyText"/>
        <w:jc w:val="left"/>
        <w:rPr>
          <w:spacing w:val="-2"/>
        </w:rPr>
      </w:pPr>
    </w:p>
    <w:p w14:paraId="56CB827F" w14:textId="77777777" w:rsidR="006B63EA" w:rsidRDefault="006B63EA" w:rsidP="006B63EA">
      <w:pPr>
        <w:pStyle w:val="BodyText"/>
        <w:jc w:val="left"/>
        <w:rPr>
          <w:spacing w:val="-2"/>
        </w:rPr>
      </w:pPr>
    </w:p>
    <w:p w14:paraId="585A14C8" w14:textId="77777777" w:rsidR="001B0172" w:rsidRDefault="001B0172"/>
    <w:sectPr w:rsidR="001B0172">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5B82C" w14:textId="77777777" w:rsidR="00B40167" w:rsidRDefault="00B40167" w:rsidP="00CD357B">
      <w:r>
        <w:separator/>
      </w:r>
    </w:p>
  </w:endnote>
  <w:endnote w:type="continuationSeparator" w:id="0">
    <w:p w14:paraId="592AF026" w14:textId="77777777" w:rsidR="00B40167" w:rsidRDefault="00B40167" w:rsidP="00CD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900D0" w14:textId="77777777" w:rsidR="00B40167" w:rsidRDefault="00B40167" w:rsidP="00CD357B">
      <w:r>
        <w:separator/>
      </w:r>
    </w:p>
  </w:footnote>
  <w:footnote w:type="continuationSeparator" w:id="0">
    <w:p w14:paraId="0094BC53" w14:textId="77777777" w:rsidR="00B40167" w:rsidRDefault="00B40167" w:rsidP="00CD3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D1B68" w14:textId="3A3DE515" w:rsidR="00CD357B" w:rsidRDefault="00B40167">
    <w:pPr>
      <w:pStyle w:val="Header"/>
    </w:pPr>
    <w:r>
      <w:rPr>
        <w:noProof/>
      </w:rPr>
      <w:pict w14:anchorId="2C0AE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482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288AA" w14:textId="262106A3" w:rsidR="00CD357B" w:rsidRDefault="00B40167">
    <w:pPr>
      <w:pStyle w:val="Header"/>
    </w:pPr>
    <w:r>
      <w:rPr>
        <w:noProof/>
      </w:rPr>
      <w:pict w14:anchorId="6295C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482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6B8D4" w14:textId="60A682D2" w:rsidR="00CD357B" w:rsidRDefault="00B40167">
    <w:pPr>
      <w:pStyle w:val="Header"/>
    </w:pPr>
    <w:r>
      <w:rPr>
        <w:noProof/>
      </w:rPr>
      <w:pict w14:anchorId="17458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4820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D0E46"/>
    <w:multiLevelType w:val="multilevel"/>
    <w:tmpl w:val="6C80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951BB"/>
    <w:multiLevelType w:val="multilevel"/>
    <w:tmpl w:val="6AAA8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F530D1"/>
    <w:multiLevelType w:val="multilevel"/>
    <w:tmpl w:val="05200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A569DB"/>
    <w:multiLevelType w:val="multilevel"/>
    <w:tmpl w:val="A3022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EA"/>
    <w:rsid w:val="00005C96"/>
    <w:rsid w:val="0001350C"/>
    <w:rsid w:val="00036152"/>
    <w:rsid w:val="000619FA"/>
    <w:rsid w:val="00063F61"/>
    <w:rsid w:val="000847EB"/>
    <w:rsid w:val="000862A3"/>
    <w:rsid w:val="00130466"/>
    <w:rsid w:val="0014443D"/>
    <w:rsid w:val="00196B52"/>
    <w:rsid w:val="001B0172"/>
    <w:rsid w:val="001D108F"/>
    <w:rsid w:val="00230ADF"/>
    <w:rsid w:val="002C42F1"/>
    <w:rsid w:val="00300415"/>
    <w:rsid w:val="00316DE2"/>
    <w:rsid w:val="00326C36"/>
    <w:rsid w:val="003F7AA6"/>
    <w:rsid w:val="00465CFB"/>
    <w:rsid w:val="00483AC7"/>
    <w:rsid w:val="0050152C"/>
    <w:rsid w:val="00512362"/>
    <w:rsid w:val="00532DC5"/>
    <w:rsid w:val="005425C8"/>
    <w:rsid w:val="005A309D"/>
    <w:rsid w:val="005E58FD"/>
    <w:rsid w:val="005F046B"/>
    <w:rsid w:val="006450B5"/>
    <w:rsid w:val="0069691F"/>
    <w:rsid w:val="006A3D92"/>
    <w:rsid w:val="006B63EA"/>
    <w:rsid w:val="007228F7"/>
    <w:rsid w:val="007326AE"/>
    <w:rsid w:val="00772F4D"/>
    <w:rsid w:val="007C4997"/>
    <w:rsid w:val="00836A4A"/>
    <w:rsid w:val="00875FE3"/>
    <w:rsid w:val="00887746"/>
    <w:rsid w:val="008E2CD0"/>
    <w:rsid w:val="008F041E"/>
    <w:rsid w:val="00911B1A"/>
    <w:rsid w:val="0096186F"/>
    <w:rsid w:val="00A50756"/>
    <w:rsid w:val="00AF25D1"/>
    <w:rsid w:val="00B0421F"/>
    <w:rsid w:val="00B30A65"/>
    <w:rsid w:val="00B40167"/>
    <w:rsid w:val="00B943E6"/>
    <w:rsid w:val="00BA3971"/>
    <w:rsid w:val="00BB5A23"/>
    <w:rsid w:val="00C270A3"/>
    <w:rsid w:val="00C47175"/>
    <w:rsid w:val="00C516BE"/>
    <w:rsid w:val="00C5481A"/>
    <w:rsid w:val="00C81445"/>
    <w:rsid w:val="00CC2F4D"/>
    <w:rsid w:val="00CD02D9"/>
    <w:rsid w:val="00CD357B"/>
    <w:rsid w:val="00CD3A98"/>
    <w:rsid w:val="00CF5741"/>
    <w:rsid w:val="00DB589D"/>
    <w:rsid w:val="00DF482D"/>
    <w:rsid w:val="00E34F03"/>
    <w:rsid w:val="00E45EB8"/>
    <w:rsid w:val="00E476CD"/>
    <w:rsid w:val="00ED14B1"/>
    <w:rsid w:val="00EF7041"/>
    <w:rsid w:val="00F21B5F"/>
    <w:rsid w:val="00F34BFB"/>
    <w:rsid w:val="00FA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15F85F"/>
  <w15:chartTrackingRefBased/>
  <w15:docId w15:val="{2F21E23C-F4FD-4A19-91B7-846F5940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B63E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7228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E58FD"/>
    <w:pPr>
      <w:keepNext/>
      <w:keepLines/>
      <w:widowControl/>
      <w:autoSpaceDE/>
      <w:autoSpaceDN/>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E58F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B63E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B63EA"/>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rsid w:val="006B63EA"/>
    <w:pPr>
      <w:ind w:left="732"/>
      <w:jc w:val="both"/>
    </w:pPr>
    <w:rPr>
      <w:sz w:val="24"/>
      <w:szCs w:val="24"/>
    </w:rPr>
  </w:style>
  <w:style w:type="character" w:customStyle="1" w:styleId="BodyTextChar">
    <w:name w:val="Body Text Char"/>
    <w:basedOn w:val="DefaultParagraphFont"/>
    <w:link w:val="BodyText"/>
    <w:uiPriority w:val="1"/>
    <w:rsid w:val="006B63EA"/>
    <w:rPr>
      <w:rFonts w:ascii="Times New Roman" w:eastAsia="Times New Roman" w:hAnsi="Times New Roman" w:cs="Times New Roman"/>
      <w:sz w:val="24"/>
      <w:szCs w:val="24"/>
    </w:rPr>
  </w:style>
  <w:style w:type="paragraph" w:styleId="NormalWeb">
    <w:name w:val="Normal (Web)"/>
    <w:basedOn w:val="Normal"/>
    <w:uiPriority w:val="99"/>
    <w:unhideWhenUsed/>
    <w:rsid w:val="006B63EA"/>
    <w:pPr>
      <w:widowControl/>
      <w:autoSpaceDE/>
      <w:autoSpaceDN/>
      <w:spacing w:before="100" w:beforeAutospacing="1" w:after="100" w:afterAutospacing="1"/>
    </w:pPr>
    <w:rPr>
      <w:sz w:val="24"/>
      <w:szCs w:val="24"/>
    </w:rPr>
  </w:style>
  <w:style w:type="character" w:customStyle="1" w:styleId="mord">
    <w:name w:val="mord"/>
    <w:basedOn w:val="DefaultParagraphFont"/>
    <w:rsid w:val="006B63EA"/>
  </w:style>
  <w:style w:type="character" w:customStyle="1" w:styleId="mrel">
    <w:name w:val="mrel"/>
    <w:basedOn w:val="DefaultParagraphFont"/>
    <w:rsid w:val="006B63EA"/>
  </w:style>
  <w:style w:type="character" w:customStyle="1" w:styleId="mbin">
    <w:name w:val="mbin"/>
    <w:basedOn w:val="DefaultParagraphFont"/>
    <w:rsid w:val="006B63EA"/>
  </w:style>
  <w:style w:type="character" w:customStyle="1" w:styleId="mopen">
    <w:name w:val="mopen"/>
    <w:basedOn w:val="DefaultParagraphFont"/>
    <w:rsid w:val="006B63EA"/>
  </w:style>
  <w:style w:type="character" w:customStyle="1" w:styleId="mclose">
    <w:name w:val="mclose"/>
    <w:basedOn w:val="DefaultParagraphFont"/>
    <w:rsid w:val="006B63EA"/>
  </w:style>
  <w:style w:type="character" w:customStyle="1" w:styleId="selected">
    <w:name w:val="selected"/>
    <w:basedOn w:val="DefaultParagraphFont"/>
    <w:rsid w:val="00532DC5"/>
  </w:style>
  <w:style w:type="character" w:customStyle="1" w:styleId="Heading3Char">
    <w:name w:val="Heading 3 Char"/>
    <w:basedOn w:val="DefaultParagraphFont"/>
    <w:link w:val="Heading3"/>
    <w:uiPriority w:val="9"/>
    <w:semiHidden/>
    <w:rsid w:val="005E58FD"/>
    <w:rPr>
      <w:rFonts w:asciiTheme="majorHAnsi" w:eastAsiaTheme="majorEastAsia" w:hAnsiTheme="majorHAnsi" w:cstheme="majorBidi"/>
      <w:color w:val="1F4D78" w:themeColor="accent1" w:themeShade="7F"/>
      <w:sz w:val="24"/>
      <w:szCs w:val="24"/>
    </w:rPr>
  </w:style>
  <w:style w:type="character" w:customStyle="1" w:styleId="mpunct">
    <w:name w:val="mpunct"/>
    <w:basedOn w:val="DefaultParagraphFont"/>
    <w:rsid w:val="005E58FD"/>
  </w:style>
  <w:style w:type="character" w:customStyle="1" w:styleId="Heading2Char">
    <w:name w:val="Heading 2 Char"/>
    <w:basedOn w:val="DefaultParagraphFont"/>
    <w:link w:val="Heading2"/>
    <w:uiPriority w:val="9"/>
    <w:semiHidden/>
    <w:rsid w:val="005E58F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228F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228F7"/>
    <w:rPr>
      <w:color w:val="0563C1" w:themeColor="hyperlink"/>
      <w:u w:val="single"/>
    </w:rPr>
  </w:style>
  <w:style w:type="character" w:customStyle="1" w:styleId="UnresolvedMention">
    <w:name w:val="Unresolved Mention"/>
    <w:basedOn w:val="DefaultParagraphFont"/>
    <w:uiPriority w:val="99"/>
    <w:semiHidden/>
    <w:unhideWhenUsed/>
    <w:rsid w:val="005A309D"/>
    <w:rPr>
      <w:color w:val="605E5C"/>
      <w:shd w:val="clear" w:color="auto" w:fill="E1DFDD"/>
    </w:rPr>
  </w:style>
  <w:style w:type="paragraph" w:styleId="Header">
    <w:name w:val="header"/>
    <w:basedOn w:val="Normal"/>
    <w:link w:val="HeaderChar"/>
    <w:uiPriority w:val="99"/>
    <w:unhideWhenUsed/>
    <w:rsid w:val="00CD357B"/>
    <w:pPr>
      <w:tabs>
        <w:tab w:val="center" w:pos="4680"/>
        <w:tab w:val="right" w:pos="9360"/>
      </w:tabs>
    </w:pPr>
  </w:style>
  <w:style w:type="character" w:customStyle="1" w:styleId="HeaderChar">
    <w:name w:val="Header Char"/>
    <w:basedOn w:val="DefaultParagraphFont"/>
    <w:link w:val="Header"/>
    <w:uiPriority w:val="99"/>
    <w:rsid w:val="00CD357B"/>
    <w:rPr>
      <w:rFonts w:ascii="Times New Roman" w:eastAsia="Times New Roman" w:hAnsi="Times New Roman" w:cs="Times New Roman"/>
    </w:rPr>
  </w:style>
  <w:style w:type="paragraph" w:styleId="Footer">
    <w:name w:val="footer"/>
    <w:basedOn w:val="Normal"/>
    <w:link w:val="FooterChar"/>
    <w:uiPriority w:val="99"/>
    <w:unhideWhenUsed/>
    <w:rsid w:val="00CD357B"/>
    <w:pPr>
      <w:tabs>
        <w:tab w:val="center" w:pos="4680"/>
        <w:tab w:val="right" w:pos="9360"/>
      </w:tabs>
    </w:pPr>
  </w:style>
  <w:style w:type="character" w:customStyle="1" w:styleId="FooterChar">
    <w:name w:val="Footer Char"/>
    <w:basedOn w:val="DefaultParagraphFont"/>
    <w:link w:val="Footer"/>
    <w:uiPriority w:val="99"/>
    <w:rsid w:val="00CD35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44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C607F-8AB9-4665-A214-59FFF541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3102</Words>
  <Characters>18577</Characters>
  <Application>Microsoft Office Word</Application>
  <DocSecurity>0</DocSecurity>
  <Lines>396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CHUKWUMA OKAFOR</dc:creator>
  <cp:keywords/>
  <dc:description/>
  <cp:lastModifiedBy>DR CHUKWUMA OKAFOR</cp:lastModifiedBy>
  <cp:revision>13</cp:revision>
  <dcterms:created xsi:type="dcterms:W3CDTF">2025-10-09T16:12:00Z</dcterms:created>
  <dcterms:modified xsi:type="dcterms:W3CDTF">2025-10-09T16:56:00Z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7ada192d-023f-4f43-b313-9cbf6c10f711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http://www.zotero.org/styles/apa</vt:lpwstr>
  </property>
  <property fmtid="{D5CDD505-2E9C-101B-9397-08002B2CF9AE}" pid="24" name="Mendeley Document_1">
    <vt:lpwstr>True</vt:lpwstr>
  </property>
  <property fmtid="{D5CDD505-2E9C-101B-9397-08002B2CF9AE}" pid="25" name="Mendeley Unique User Id_1">
    <vt:lpwstr>cccce271-7dd1-3059-84fe-b8fbeaa9ff09</vt:lpwstr>
  </property>
</Properties>
</file>