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3B470" w14:textId="1E52145F" w:rsidR="00F510C8" w:rsidRPr="00DB10F9" w:rsidRDefault="00927779" w:rsidP="005A09A4">
      <w:pPr>
        <w:jc w:val="center"/>
        <w:rPr>
          <w:rFonts w:ascii="Arial" w:eastAsia="Arial" w:hAnsi="Arial" w:cs="Arial"/>
          <w:b/>
          <w:sz w:val="22"/>
          <w:szCs w:val="22"/>
        </w:rPr>
      </w:pPr>
      <w:bookmarkStart w:id="0" w:name="_GoBack"/>
      <w:bookmarkEnd w:id="0"/>
      <w:r w:rsidRPr="00DB10F9">
        <w:rPr>
          <w:rFonts w:ascii="Arial" w:eastAsia="Arial" w:hAnsi="Arial" w:cs="Arial"/>
          <w:b/>
          <w:sz w:val="22"/>
          <w:szCs w:val="22"/>
          <w:lang w:val="en-GB"/>
        </w:rPr>
        <w:t>Governance and Accountability of AI Agents in U.S. Healthcare Systems: Ethical and Regulatory Perspectives</w:t>
      </w:r>
    </w:p>
    <w:p w14:paraId="36D6F0F4" w14:textId="77777777" w:rsidR="00F510C8" w:rsidRPr="00DB10F9" w:rsidRDefault="00F510C8" w:rsidP="00F510C8">
      <w:pPr>
        <w:jc w:val="right"/>
        <w:rPr>
          <w:rFonts w:ascii="Arial" w:eastAsia="Arial" w:hAnsi="Arial" w:cs="Arial"/>
          <w:sz w:val="20"/>
          <w:szCs w:val="20"/>
        </w:rPr>
      </w:pPr>
    </w:p>
    <w:p w14:paraId="5ACBC4DD"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Abstract</w:t>
      </w:r>
    </w:p>
    <w:p w14:paraId="088D94FF" w14:textId="5CBBFC64" w:rsidR="004878CD" w:rsidRPr="00DB10F9" w:rsidRDefault="0040531C" w:rsidP="00DB10F9">
      <w:pPr>
        <w:jc w:val="both"/>
        <w:rPr>
          <w:rFonts w:ascii="Arial" w:eastAsia="Arial" w:hAnsi="Arial" w:cs="Arial"/>
          <w:sz w:val="20"/>
          <w:szCs w:val="20"/>
        </w:rPr>
      </w:pPr>
      <w:bookmarkStart w:id="1" w:name="_heading=h.p8setg6yk54o" w:colFirst="0" w:colLast="0"/>
      <w:bookmarkEnd w:id="1"/>
      <w:r w:rsidRPr="00DB10F9">
        <w:rPr>
          <w:rFonts w:ascii="Arial" w:eastAsia="Arial" w:hAnsi="Arial" w:cs="Arial"/>
          <w:sz w:val="20"/>
          <w:szCs w:val="20"/>
        </w:rPr>
        <w:t xml:space="preserve">AI agents are moving from pilot to routine use in U.S. healthcare, yet evidence, transparency, and governance remain uneven. </w:t>
      </w:r>
      <w:r w:rsidR="00CB1150" w:rsidRPr="00DB10F9">
        <w:rPr>
          <w:rFonts w:ascii="Arial" w:eastAsia="Arial" w:hAnsi="Arial" w:cs="Arial"/>
          <w:sz w:val="20"/>
          <w:szCs w:val="20"/>
        </w:rPr>
        <w:t>This systematic review examined how lifecycle safeguards</w:t>
      </w:r>
      <w:r w:rsidR="00AB65DD" w:rsidRPr="00DB10F9">
        <w:rPr>
          <w:rFonts w:ascii="Arial" w:eastAsia="Arial" w:hAnsi="Arial" w:cs="Arial"/>
          <w:sz w:val="20"/>
          <w:szCs w:val="20"/>
        </w:rPr>
        <w:t xml:space="preserve"> </w:t>
      </w:r>
      <w:r w:rsidR="00CB1150" w:rsidRPr="00DB10F9">
        <w:rPr>
          <w:rFonts w:ascii="Arial" w:eastAsia="Arial" w:hAnsi="Arial" w:cs="Arial"/>
          <w:sz w:val="20"/>
          <w:szCs w:val="20"/>
        </w:rPr>
        <w:t>spanning design, validation, deployment, and post-market monitoring</w:t>
      </w:r>
      <w:r w:rsidR="00AB65DD" w:rsidRPr="00DB10F9">
        <w:rPr>
          <w:rFonts w:ascii="Arial" w:eastAsia="Arial" w:hAnsi="Arial" w:cs="Arial"/>
          <w:sz w:val="20"/>
          <w:szCs w:val="20"/>
        </w:rPr>
        <w:t xml:space="preserve"> </w:t>
      </w:r>
      <w:r w:rsidR="00CB1150" w:rsidRPr="00DB10F9">
        <w:rPr>
          <w:rFonts w:ascii="Arial" w:eastAsia="Arial" w:hAnsi="Arial" w:cs="Arial"/>
          <w:sz w:val="20"/>
          <w:szCs w:val="20"/>
        </w:rPr>
        <w:t>affect patient outcomes and institutional reliability</w:t>
      </w:r>
      <w:r w:rsidRPr="00DB10F9">
        <w:rPr>
          <w:rFonts w:ascii="Arial" w:eastAsia="Arial" w:hAnsi="Arial" w:cs="Arial"/>
          <w:sz w:val="20"/>
          <w:szCs w:val="20"/>
        </w:rPr>
        <w:t>.</w:t>
      </w:r>
      <w:r w:rsidR="00851342" w:rsidRPr="00DB10F9">
        <w:rPr>
          <w:rFonts w:ascii="Arial" w:eastAsia="Arial" w:hAnsi="Arial" w:cs="Arial"/>
          <w:sz w:val="20"/>
          <w:szCs w:val="20"/>
        </w:rPr>
        <w:t xml:space="preserve"> The article is hinged on a </w:t>
      </w:r>
      <w:r w:rsidR="00851342" w:rsidRPr="00DB10F9">
        <w:rPr>
          <w:rFonts w:ascii="Arial" w:hAnsi="Arial" w:cs="Arial"/>
        </w:rPr>
        <w:t>systematic</w:t>
      </w:r>
      <w:r w:rsidR="00851342" w:rsidRPr="00DB10F9">
        <w:rPr>
          <w:rFonts w:ascii="Arial" w:hAnsi="Arial" w:cs="Arial"/>
          <w:spacing w:val="-4"/>
        </w:rPr>
        <w:t xml:space="preserve"> </w:t>
      </w:r>
      <w:r w:rsidR="00851342" w:rsidRPr="00DB10F9">
        <w:rPr>
          <w:rFonts w:ascii="Arial" w:hAnsi="Arial" w:cs="Arial"/>
        </w:rPr>
        <w:t xml:space="preserve">review. A </w:t>
      </w:r>
      <w:r w:rsidRPr="00DB10F9">
        <w:rPr>
          <w:rFonts w:ascii="Arial" w:eastAsia="Arial" w:hAnsi="Arial" w:cs="Arial"/>
          <w:sz w:val="20"/>
          <w:szCs w:val="20"/>
        </w:rPr>
        <w:t xml:space="preserve">comprehensive search was conducted on PubMed/MEDLINE, Embase, and IEEE Xplore. Duplicate records were screened, and deployment-proximal studies of agentic systems in clinical and operational workflows were extracted, supplemented by hand-searches of policy sources. </w:t>
      </w:r>
      <w:r w:rsidR="00DB10F9" w:rsidRPr="00DB10F9">
        <w:rPr>
          <w:rFonts w:ascii="Arial" w:eastAsia="Arial" w:hAnsi="Arial" w:cs="Arial"/>
          <w:sz w:val="20"/>
          <w:szCs w:val="20"/>
        </w:rPr>
        <w:t>Evidence consistently showed that when governance bundles</w:t>
      </w:r>
      <w:r w:rsidR="00E953C8">
        <w:rPr>
          <w:rFonts w:ascii="Arial" w:eastAsia="Arial" w:hAnsi="Arial" w:cs="Arial"/>
          <w:sz w:val="20"/>
          <w:szCs w:val="20"/>
        </w:rPr>
        <w:t xml:space="preserve"> </w:t>
      </w:r>
      <w:r w:rsidR="00DB10F9" w:rsidRPr="00DB10F9">
        <w:rPr>
          <w:rFonts w:ascii="Arial" w:eastAsia="Arial" w:hAnsi="Arial" w:cs="Arial"/>
          <w:sz w:val="20"/>
          <w:szCs w:val="20"/>
        </w:rPr>
        <w:t>comprising clear intended use, human oversight, calibration and drift management, and operational telemetry</w:t>
      </w:r>
      <w:r w:rsidR="00E953C8">
        <w:rPr>
          <w:rFonts w:ascii="Arial" w:eastAsia="Arial" w:hAnsi="Arial" w:cs="Arial"/>
          <w:sz w:val="20"/>
          <w:szCs w:val="20"/>
        </w:rPr>
        <w:t xml:space="preserve"> </w:t>
      </w:r>
      <w:r w:rsidR="00DB10F9" w:rsidRPr="00DB10F9">
        <w:rPr>
          <w:rFonts w:ascii="Arial" w:eastAsia="Arial" w:hAnsi="Arial" w:cs="Arial"/>
          <w:sz w:val="20"/>
          <w:szCs w:val="20"/>
        </w:rPr>
        <w:t>were embedded, systems achieved higher diagnostic accuracy, faster treatment initiation, and improved referral completion. Conversely, weak workflow integration or absent monitoring diminished realized benefit. Outcomes were found to depend less on algorithmic precision and more on the maturity of lifecycle safeguards linking principles to auditable controls. The findings underscore governance as a clinical performance determinant rather than a compliance formality. Future research should prioritize multi-site evaluations, drift registries, and the evaluation of governance interventions linked to patient and economic outcomes</w:t>
      </w:r>
      <w:r w:rsidR="004878CD" w:rsidRPr="00DB10F9">
        <w:rPr>
          <w:rFonts w:ascii="Arial" w:eastAsia="Arial" w:hAnsi="Arial" w:cs="Arial"/>
          <w:sz w:val="20"/>
          <w:szCs w:val="20"/>
        </w:rPr>
        <w:t>.</w:t>
      </w:r>
    </w:p>
    <w:p w14:paraId="46A112A1" w14:textId="77777777" w:rsidR="00230FB4" w:rsidRPr="00DB10F9" w:rsidRDefault="0040531C">
      <w:pPr>
        <w:jc w:val="both"/>
        <w:rPr>
          <w:rFonts w:ascii="Arial" w:eastAsia="Arial" w:hAnsi="Arial" w:cs="Arial"/>
          <w:i/>
          <w:sz w:val="20"/>
          <w:szCs w:val="20"/>
        </w:rPr>
      </w:pPr>
      <w:r w:rsidRPr="00DB10F9">
        <w:rPr>
          <w:rFonts w:ascii="Arial" w:eastAsia="Arial" w:hAnsi="Arial" w:cs="Arial"/>
          <w:b/>
          <w:sz w:val="20"/>
          <w:szCs w:val="20"/>
        </w:rPr>
        <w:t>Keywords:</w:t>
      </w:r>
      <w:r w:rsidRPr="00DB10F9">
        <w:rPr>
          <w:rFonts w:ascii="Arial" w:eastAsia="Arial" w:hAnsi="Arial" w:cs="Arial"/>
          <w:i/>
          <w:sz w:val="20"/>
          <w:szCs w:val="20"/>
        </w:rPr>
        <w:t xml:space="preserve"> Responsible AI agents; United States healthcare; Sociotechnical lifecycle governance; Human oversight and accountability; Post-deployment monitoring and drift.</w:t>
      </w:r>
    </w:p>
    <w:p w14:paraId="2C547F4F"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Introduction</w:t>
      </w:r>
    </w:p>
    <w:p w14:paraId="40A4C4DA" w14:textId="43E56A59"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The utilization of artificial intelligence (AI)-enabled software is undergoing a transition</w:t>
      </w:r>
      <w:r w:rsidR="00E31ECA" w:rsidRPr="00DB10F9">
        <w:rPr>
          <w:rFonts w:ascii="Arial" w:eastAsia="Arial" w:hAnsi="Arial" w:cs="Arial"/>
          <w:sz w:val="20"/>
          <w:szCs w:val="20"/>
        </w:rPr>
        <w:t>. Evidently seen f</w:t>
      </w:r>
      <w:r w:rsidRPr="00DB10F9">
        <w:rPr>
          <w:rFonts w:ascii="Arial" w:eastAsia="Arial" w:hAnsi="Arial" w:cs="Arial"/>
          <w:sz w:val="20"/>
          <w:szCs w:val="20"/>
        </w:rPr>
        <w:t>rom its initial pilot phase to a more widespread, routine application within the United States healthcare sector. However, concerns regarding evidence, transparency, and governance persist, as these aspects continue to exhibit inconsistencies and variations. A rising number of FDA-cleared AI/ML devices is indicated by public catalogues; however, many products provide limited detail on prospective clinical validation and post-market performance (</w:t>
      </w:r>
      <w:proofErr w:type="spellStart"/>
      <w:r w:rsidRPr="00DB10F9">
        <w:rPr>
          <w:rFonts w:ascii="Arial" w:eastAsia="Arial" w:hAnsi="Arial" w:cs="Arial"/>
          <w:sz w:val="20"/>
          <w:szCs w:val="20"/>
        </w:rPr>
        <w:t>Benjamens</w:t>
      </w:r>
      <w:proofErr w:type="spellEnd"/>
      <w:r w:rsidRPr="00DB10F9">
        <w:rPr>
          <w:rFonts w:ascii="Arial" w:eastAsia="Arial" w:hAnsi="Arial" w:cs="Arial"/>
          <w:sz w:val="20"/>
          <w:szCs w:val="20"/>
        </w:rPr>
        <w:t xml:space="preserve"> et al., 2020). Preliminary market analyses have delineated recalls and label updates that reveal discrepancies between clearance pathways and real-world evaluation, particularly in instances where effectiveness is contingent on workflow integration and human oversight (Lee et al., 2025). Even among cleared tools, transportability is inconsistent, thereby underscoring the necessity for multi-site evidence and recalibration plans before scale-up (Windecker et al., 2025).</w:t>
      </w:r>
    </w:p>
    <w:p w14:paraId="0C20C028"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After deployment, populations, coding practices, and sensors undergo modifications; consequently, the identification and rectification of deleterious data shifts become a matter of safety obligation rather than a research aspiration (Subasri et al., 2025). A lifecycle framing clarifies that potential harm may arise from data, objectives, optimization, and interface choices—not merely model accuracy—requiring controls at each stage (Suresh &amp; Guttag, 2021). Operational realities compound these risks, as hospitals struggle to calibrate decision-support alerts to mitigate fatigue while preserving actionability (Van Dort et al., 2021). Even well-established drug–drug interaction alerts have been shown to have uncertain translation into patient-important outcomes, highlighting the distinction between signal and effect (Holbrook et al., 2025). The phenomenon of upstream measurement bias poses a significant threat to the principles of equity. The presence of racial disparities in the accuracy of pulse oximetry measurements underscores the potential for seemingly objective inputs to propagate downstream harm (</w:t>
      </w:r>
      <w:proofErr w:type="spellStart"/>
      <w:r w:rsidRPr="00DB10F9">
        <w:rPr>
          <w:rFonts w:ascii="Arial" w:eastAsia="Arial" w:hAnsi="Arial" w:cs="Arial"/>
          <w:sz w:val="20"/>
          <w:szCs w:val="20"/>
        </w:rPr>
        <w:t>Sjoding</w:t>
      </w:r>
      <w:proofErr w:type="spellEnd"/>
      <w:r w:rsidRPr="00DB10F9">
        <w:rPr>
          <w:rFonts w:ascii="Arial" w:eastAsia="Arial" w:hAnsi="Arial" w:cs="Arial"/>
          <w:sz w:val="20"/>
          <w:szCs w:val="20"/>
        </w:rPr>
        <w:t xml:space="preserve"> et al., 2020).</w:t>
      </w:r>
    </w:p>
    <w:p w14:paraId="5F7873A7"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lastRenderedPageBreak/>
        <w:t>To promote safer diffusion, procurement-ready documentation and quality appraisal tools are being developed. Supplier "</w:t>
      </w:r>
      <w:proofErr w:type="spellStart"/>
      <w:r w:rsidRPr="00DB10F9">
        <w:rPr>
          <w:rFonts w:ascii="Arial" w:eastAsia="Arial" w:hAnsi="Arial" w:cs="Arial"/>
          <w:sz w:val="20"/>
          <w:szCs w:val="20"/>
        </w:rPr>
        <w:t>FactSheets</w:t>
      </w:r>
      <w:proofErr w:type="spellEnd"/>
      <w:r w:rsidRPr="00DB10F9">
        <w:rPr>
          <w:rFonts w:ascii="Arial" w:eastAsia="Arial" w:hAnsi="Arial" w:cs="Arial"/>
          <w:sz w:val="20"/>
          <w:szCs w:val="20"/>
        </w:rPr>
        <w:t xml:space="preserve">" propose standardized disclosures about data lineage, evaluation settings, and known failure modes that purchasers can operationalize as contractual evidence obligations (Arnold et al., 2019). Study-level instruments, such as APPRAISE-AI, provide structured scoring to distinguish deployable evidence from promising prototypes and to reveal reporting blind spots relevant to clinical use (Kwong et al., 2023). However, post-deployment monitoring remains inconsistent. A scoping review has been conducted that catalogs approaches ranging from threshold surveillance to incident logging and KPI dashboards. The review found limited standardization and role clarity (Andersen et al., 2024). Furthermore, fairness is a dynamic concept; models may deviate from equitable performance as populations or policies undergo evolution, necessitating equity-aware monitoring in conjunction with conventional calibration and discrimination metrics (Davis et al., 2025). Consequently, the present study examines the integration of agentic systems within healthcare delivery, encompassing autonomous screening, triage, decision support, and operational agents. It interrogates the concrete safeguards, evidence obligations, and service-level metrics imperative for translating principles into accountable practice within U.S. healthcare settings. This interrogation draws upon the extant literature, including works by </w:t>
      </w:r>
      <w:proofErr w:type="spellStart"/>
      <w:r w:rsidRPr="00DB10F9">
        <w:rPr>
          <w:rFonts w:ascii="Arial" w:eastAsia="Arial" w:hAnsi="Arial" w:cs="Arial"/>
          <w:sz w:val="20"/>
          <w:szCs w:val="20"/>
        </w:rPr>
        <w:t>Benjamens</w:t>
      </w:r>
      <w:proofErr w:type="spellEnd"/>
      <w:r w:rsidRPr="00DB10F9">
        <w:rPr>
          <w:rFonts w:ascii="Arial" w:eastAsia="Arial" w:hAnsi="Arial" w:cs="Arial"/>
          <w:sz w:val="20"/>
          <w:szCs w:val="20"/>
        </w:rPr>
        <w:t xml:space="preserve"> et al. (2020), Lee et al. (2025), and Windecker et al. (2025).</w:t>
      </w:r>
    </w:p>
    <w:p w14:paraId="2AF9C58E" w14:textId="77777777" w:rsidR="00230FB4" w:rsidRPr="00DB10F9" w:rsidRDefault="0040531C">
      <w:pPr>
        <w:jc w:val="both"/>
        <w:rPr>
          <w:rFonts w:ascii="Arial" w:eastAsia="Arial" w:hAnsi="Arial" w:cs="Arial"/>
          <w:b/>
          <w:sz w:val="20"/>
          <w:szCs w:val="20"/>
        </w:rPr>
      </w:pPr>
      <w:r w:rsidRPr="00DB10F9">
        <w:rPr>
          <w:rFonts w:ascii="Arial" w:eastAsia="Arial" w:hAnsi="Arial" w:cs="Arial"/>
          <w:b/>
          <w:sz w:val="20"/>
          <w:szCs w:val="20"/>
        </w:rPr>
        <w:t>1</w:t>
      </w:r>
      <w:r w:rsidRPr="00DB10F9">
        <w:rPr>
          <w:rFonts w:ascii="Arial" w:eastAsia="Arial" w:hAnsi="Arial" w:cs="Arial"/>
          <w:b/>
          <w:sz w:val="22"/>
          <w:szCs w:val="22"/>
        </w:rPr>
        <w:t>.2 Definitions &amp; scope boundaries</w:t>
      </w:r>
    </w:p>
    <w:p w14:paraId="4B1CA40A"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An AI agent is defined as goal-directed software embedded in care delivery, capable of perceiving, reasoning, and acting, or recommending actions, within clinical or operational workflows. This definition distinguishes AI agents from predictive models, which are distinct in their application and functionality (Wiens et al., 2019; Char et al., 2018). Autonomy encompasses a range of decision-making processes, from fully autonomous decisions (e.g., binding refer/no-refer) to assistive alerts, drafting, triage, and navigation. Oversight is defined as meaningful human control calibrated to task risk, user role, and context (Hille et al., 2023). Responsibility domains delineating the parameters of "responsible" use encompass accountability and auditability, transparency and traceability, safety and post-deployment monitoring, equity, privacy/security, and liability allocation (Jobin et al., 2019; Raji et al., 2020; Mello et al., 2024). Privacy boundaries encompass technical safeguards such as federated and privacy-preserving learning to support multi-site development and monitoring without centralizing protected health information (</w:t>
      </w:r>
      <w:proofErr w:type="spellStart"/>
      <w:r w:rsidRPr="00DB10F9">
        <w:rPr>
          <w:rFonts w:ascii="Arial" w:eastAsia="Arial" w:hAnsi="Arial" w:cs="Arial"/>
          <w:sz w:val="20"/>
          <w:szCs w:val="20"/>
        </w:rPr>
        <w:t>Kaissis</w:t>
      </w:r>
      <w:proofErr w:type="spellEnd"/>
      <w:r w:rsidRPr="00DB10F9">
        <w:rPr>
          <w:rFonts w:ascii="Arial" w:eastAsia="Arial" w:hAnsi="Arial" w:cs="Arial"/>
          <w:sz w:val="20"/>
          <w:szCs w:val="20"/>
        </w:rPr>
        <w:t xml:space="preserve"> et al., 2020). The regulatory scope is U.S.-centric in nature, recognizing device approval pathways and update regimes that differ from those in the EU. This results in the shaping of evidence and change-control obligations for software as a medical device (</w:t>
      </w:r>
      <w:proofErr w:type="spellStart"/>
      <w:r w:rsidRPr="00DB10F9">
        <w:rPr>
          <w:rFonts w:ascii="Arial" w:eastAsia="Arial" w:hAnsi="Arial" w:cs="Arial"/>
          <w:sz w:val="20"/>
          <w:szCs w:val="20"/>
        </w:rPr>
        <w:t>Muehlematter</w:t>
      </w:r>
      <w:proofErr w:type="spellEnd"/>
      <w:r w:rsidRPr="00DB10F9">
        <w:rPr>
          <w:rFonts w:ascii="Arial" w:eastAsia="Arial" w:hAnsi="Arial" w:cs="Arial"/>
          <w:sz w:val="20"/>
          <w:szCs w:val="20"/>
        </w:rPr>
        <w:t xml:space="preserve"> et al., 2021). </w:t>
      </w:r>
    </w:p>
    <w:p w14:paraId="24CDEA1A"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1.3 Scope of review</w:t>
      </w:r>
    </w:p>
    <w:p w14:paraId="0A9AB274"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This review interrogates the concept of "responsible AI agents" in the context of U.S. healthcare, particularly focusing on goal-directed software integrated into clinical or operational workflows. These workflows encompass a wide range of applications, including autonomous screening, triage, decision support, and operational agents. The review examines the evolution of these software systems from their initial stages as pilots to their subsequent adoption on a widespread scale. It also highlights the persistent challenges in generating sufficient evidence, ensuring transparency, and establishing robust governance frameworks for these systems. The study analyzes risks throughout the lifecycle of a system, from its design and validation to its deployment and monitoring. It addresses critical issues such as post-deployment data shift, alert burden, and measurement bias. The study also synthesizes procurement and monitoring practices that are inconsistent. The analysis focuses on concrete safeguards, evidence obligations, and service-level metrics necessary to translate principles into accountable practice within U.S. providers, payers, and public-health agencies.</w:t>
      </w:r>
    </w:p>
    <w:p w14:paraId="6BBCB8CC" w14:textId="77777777" w:rsidR="00230FB4" w:rsidRPr="00DB10F9" w:rsidRDefault="00230FB4">
      <w:pPr>
        <w:jc w:val="both"/>
        <w:rPr>
          <w:rFonts w:ascii="Arial" w:eastAsia="Arial" w:hAnsi="Arial" w:cs="Arial"/>
          <w:b/>
          <w:sz w:val="20"/>
          <w:szCs w:val="20"/>
        </w:rPr>
      </w:pPr>
    </w:p>
    <w:p w14:paraId="420A4DD7"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lastRenderedPageBreak/>
        <w:t>1.4 Aim and specific objectives</w:t>
      </w:r>
    </w:p>
    <w:p w14:paraId="205901F5" w14:textId="77777777" w:rsidR="00230FB4" w:rsidRPr="00DB10F9" w:rsidRDefault="0040531C">
      <w:pPr>
        <w:jc w:val="both"/>
        <w:rPr>
          <w:rFonts w:ascii="Arial" w:eastAsia="Arial" w:hAnsi="Arial" w:cs="Arial"/>
          <w:b/>
          <w:sz w:val="20"/>
          <w:szCs w:val="20"/>
        </w:rPr>
      </w:pPr>
      <w:r w:rsidRPr="00DB10F9">
        <w:rPr>
          <w:rFonts w:ascii="Arial" w:eastAsia="Arial" w:hAnsi="Arial" w:cs="Arial"/>
          <w:b/>
          <w:sz w:val="20"/>
          <w:szCs w:val="20"/>
        </w:rPr>
        <w:t>Aim</w:t>
      </w:r>
    </w:p>
    <w:p w14:paraId="11ACC71C"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The study aims to critically evaluate the alignment, or lack thereof, between lifecycle safeguards, U.S. regulatory and standards expectations, and real-world deployments in delivering accountable, transparent, and safe AI agents. Additionally, the text aims to specify operational, auditable governance requirements for practice.</w:t>
      </w:r>
    </w:p>
    <w:p w14:paraId="2C5F2C01" w14:textId="77777777" w:rsidR="00230FB4" w:rsidRPr="00DB10F9" w:rsidRDefault="0040531C">
      <w:pPr>
        <w:jc w:val="both"/>
        <w:rPr>
          <w:rFonts w:ascii="Arial" w:eastAsia="Arial" w:hAnsi="Arial" w:cs="Arial"/>
          <w:b/>
          <w:sz w:val="20"/>
          <w:szCs w:val="20"/>
        </w:rPr>
      </w:pPr>
      <w:r w:rsidRPr="00DB10F9">
        <w:rPr>
          <w:rFonts w:ascii="Arial" w:eastAsia="Arial" w:hAnsi="Arial" w:cs="Arial"/>
          <w:b/>
          <w:sz w:val="20"/>
          <w:szCs w:val="20"/>
        </w:rPr>
        <w:t>Specific objectives</w:t>
      </w:r>
    </w:p>
    <w:p w14:paraId="5A27E9FE" w14:textId="77777777" w:rsidR="00230FB4" w:rsidRPr="00DB10F9" w:rsidRDefault="0040531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sidRPr="00DB10F9">
        <w:rPr>
          <w:rFonts w:ascii="Arial" w:eastAsia="Arial" w:hAnsi="Arial" w:cs="Arial"/>
          <w:color w:val="000000"/>
          <w:sz w:val="20"/>
          <w:szCs w:val="20"/>
        </w:rPr>
        <w:t>Systematically characterize autonomy/oversight, transparency/traceability, safety, and monitoring artifacts, and organizational controls across included deployments, using a sociotechnical lifecycle lens and the study-characteristics synthesis.</w:t>
      </w:r>
    </w:p>
    <w:p w14:paraId="4848A7FD" w14:textId="77777777" w:rsidR="00230FB4" w:rsidRPr="00DB10F9" w:rsidRDefault="0040531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sidRPr="00DB10F9">
        <w:rPr>
          <w:rFonts w:ascii="Arial" w:eastAsia="Arial" w:hAnsi="Arial" w:cs="Arial"/>
          <w:color w:val="000000"/>
          <w:sz w:val="20"/>
          <w:szCs w:val="20"/>
        </w:rPr>
        <w:t>Evaluate how labeling, intended use, change control, and post-market obligations manifest in practice (e.g., alert-to-action timing, prioritization/report TAT) and where enforcement or evidence gaps persist</w:t>
      </w:r>
    </w:p>
    <w:p w14:paraId="26617246" w14:textId="77777777" w:rsidR="00230FB4" w:rsidRPr="00DB10F9" w:rsidRDefault="0040531C">
      <w:pPr>
        <w:numPr>
          <w:ilvl w:val="0"/>
          <w:numId w:val="1"/>
        </w:numPr>
        <w:pBdr>
          <w:top w:val="nil"/>
          <w:left w:val="nil"/>
          <w:bottom w:val="nil"/>
          <w:right w:val="nil"/>
          <w:between w:val="nil"/>
        </w:pBdr>
        <w:jc w:val="both"/>
        <w:rPr>
          <w:rFonts w:ascii="Arial" w:eastAsia="Arial" w:hAnsi="Arial" w:cs="Arial"/>
          <w:color w:val="000000"/>
          <w:sz w:val="20"/>
          <w:szCs w:val="20"/>
        </w:rPr>
      </w:pPr>
      <w:r w:rsidRPr="00DB10F9">
        <w:rPr>
          <w:rFonts w:ascii="Arial" w:eastAsia="Arial" w:hAnsi="Arial" w:cs="Arial"/>
          <w:color w:val="000000"/>
          <w:sz w:val="20"/>
          <w:szCs w:val="20"/>
        </w:rPr>
        <w:t>Derive a minimal set of governance mechanisms, incident reporting, adoption telemetry, recalibration triggers, throughput dashboards/safety nets, and role-clear retraining, linked to predefined decision gates for safe scale-up.</w:t>
      </w:r>
    </w:p>
    <w:p w14:paraId="0369A759"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2.0 Methodology</w:t>
      </w:r>
    </w:p>
    <w:p w14:paraId="0745B27D"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This review systematically investigated responsible AI agents in U.S. healthcare, goal-directed systems embedded in clinical or operational workflows, focusing on lifecycle safeguards, deployment evidence, and governance duties. A structured, reproducible approach was employed to identify, screen, and synthesize peer-reviewed studies, implementation reports, audits, and evaluations. The primary objective of the present study was to integrate multidisciplinary evidence from clinical informatics, biomedicine, radiology, gastroenterology, emergency and inpatient care, and health policy to understand how AI agents perform in real settings and how accountability, transparency, safety/monitoring, equity, privacy/security, human oversight, liability, and organizational readiness are operationalized. Furthermore, we sought to align empirical findings with U.S. regulatory and standards expectations and to extract governance requirements that would be useful for decision-making in practice.</w:t>
      </w:r>
    </w:p>
    <w:p w14:paraId="17DD1EE2"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2.1 Search Strategy</w:t>
      </w:r>
    </w:p>
    <w:p w14:paraId="37E22042" w14:textId="00444871"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We searched PubMed/MEDLINE, Embase, Web of Science, Scopus, IEEE Xplore, and ACM Digital Library, complemented by targeted searches of FDA (device databases, guidance), HHS/ONC/CMS, and NIST/ISO materials. We combined controlled vocabulary and free-text terms using Boolean operators, for example:</w:t>
      </w:r>
      <w:r w:rsidRPr="00DB10F9">
        <w:rPr>
          <w:rFonts w:ascii="Arial" w:eastAsia="Arial" w:hAnsi="Arial" w:cs="Arial"/>
          <w:sz w:val="20"/>
          <w:szCs w:val="20"/>
        </w:rPr>
        <w:br/>
        <w:t>(“AI agent” OR “autonomous” OR “decision support” OR “triage” OR “worklist” OR “care navigation” OR “computer-aided detection” OR “generative”) AND (“healthcare” OR “clinical” OR “hospital” OR “radiology” OR “endoscopy” OR “primary care”) AND (“deployment” OR “implementation” OR “post-market” OR “monitoring” OR “audit” OR “validation”) AND (“accountability” OR “transparency” OR “safety” OR “bias” OR “equity” OR “privacy” OR “oversight” OR “liability”).</w:t>
      </w:r>
      <w:r w:rsidRPr="00DB10F9">
        <w:rPr>
          <w:rFonts w:ascii="Arial" w:eastAsia="Arial" w:hAnsi="Arial" w:cs="Arial"/>
          <w:sz w:val="20"/>
          <w:szCs w:val="20"/>
        </w:rPr>
        <w:br/>
        <w:t>Filters: January 2015–October 2025, English, U.S. settings (providers, payers, public-health agencies). Reference lists of included articles and relevant standards/policy documents were hand-searched. Records were de-duplicated; two reviewers screened titles/abstracts and full texts independently, resolving disagreements by consensus. Data were extracted into a piloted template and cross-checked for accuracy.</w:t>
      </w:r>
    </w:p>
    <w:p w14:paraId="78FC428A"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2.1 Inclusion Criteria</w:t>
      </w:r>
    </w:p>
    <w:p w14:paraId="00919BAD" w14:textId="77777777" w:rsidR="00230FB4" w:rsidRPr="00DB10F9" w:rsidRDefault="0040531C">
      <w:pPr>
        <w:jc w:val="both"/>
        <w:rPr>
          <w:rFonts w:ascii="Arial" w:eastAsia="Arial" w:hAnsi="Arial" w:cs="Arial"/>
          <w:b/>
          <w:sz w:val="20"/>
          <w:szCs w:val="20"/>
        </w:rPr>
      </w:pPr>
      <w:r w:rsidRPr="00DB10F9">
        <w:rPr>
          <w:rFonts w:ascii="Arial" w:eastAsia="Arial" w:hAnsi="Arial" w:cs="Arial"/>
          <w:b/>
          <w:sz w:val="20"/>
          <w:szCs w:val="20"/>
        </w:rPr>
        <w:t>Eligible items:</w:t>
      </w:r>
    </w:p>
    <w:p w14:paraId="6D0DF2EB" w14:textId="77777777" w:rsidR="00230FB4" w:rsidRPr="00DB10F9" w:rsidRDefault="0040531C">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sidRPr="00DB10F9">
        <w:rPr>
          <w:rFonts w:ascii="Arial" w:eastAsia="Arial" w:hAnsi="Arial" w:cs="Arial"/>
          <w:color w:val="000000"/>
          <w:sz w:val="20"/>
          <w:szCs w:val="20"/>
        </w:rPr>
        <w:lastRenderedPageBreak/>
        <w:t>Empirical deployments, deployment-proximal evaluations, or prospective audits of AI agents within U.S. healthcare workflows (clinical or operational).</w:t>
      </w:r>
    </w:p>
    <w:p w14:paraId="4B2D0E9E" w14:textId="77777777" w:rsidR="00230FB4" w:rsidRPr="00DB10F9" w:rsidRDefault="00DF0498">
      <w:pPr>
        <w:numPr>
          <w:ilvl w:val="0"/>
          <w:numId w:val="2"/>
        </w:numPr>
        <w:pBdr>
          <w:top w:val="nil"/>
          <w:left w:val="nil"/>
          <w:bottom w:val="nil"/>
          <w:right w:val="nil"/>
          <w:between w:val="nil"/>
        </w:pBdr>
        <w:spacing w:after="0"/>
        <w:jc w:val="both"/>
        <w:rPr>
          <w:rFonts w:ascii="Arial" w:eastAsia="Arial" w:hAnsi="Arial" w:cs="Arial"/>
          <w:color w:val="000000"/>
          <w:sz w:val="20"/>
          <w:szCs w:val="20"/>
        </w:rPr>
      </w:pPr>
      <w:sdt>
        <w:sdtPr>
          <w:rPr>
            <w:rFonts w:ascii="Arial" w:hAnsi="Arial" w:cs="Arial"/>
          </w:rPr>
          <w:tag w:val="goog_rdk_0"/>
          <w:id w:val="2050113663"/>
        </w:sdtPr>
        <w:sdtEndPr/>
        <w:sdtContent>
          <w:r w:rsidR="0040531C" w:rsidRPr="00DB10F9">
            <w:rPr>
              <w:rFonts w:ascii="Arial" w:eastAsia="Arial Unicode MS" w:hAnsi="Arial" w:cs="Arial"/>
              <w:color w:val="000000"/>
              <w:sz w:val="20"/>
              <w:szCs w:val="20"/>
            </w:rPr>
            <w:t>Addressed ≥1 domain: accountability/traceability, transparency, safety and post-deployment monitoring, equity/fairness, privacy/security, human oversight, liability, or organizational readiness.</w:t>
          </w:r>
        </w:sdtContent>
      </w:sdt>
    </w:p>
    <w:p w14:paraId="1A96A256" w14:textId="77777777" w:rsidR="00230FB4" w:rsidRPr="00DB10F9" w:rsidRDefault="0040531C">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sidRPr="00DB10F9">
        <w:rPr>
          <w:rFonts w:ascii="Arial" w:eastAsia="Arial" w:hAnsi="Arial" w:cs="Arial"/>
          <w:color w:val="000000"/>
          <w:sz w:val="20"/>
          <w:szCs w:val="20"/>
        </w:rPr>
        <w:t>Peer-reviewed studies with clear methods (e.g., prospective/retrospective evaluations, pragmatic RCTs, implementation studies, external validations, prospective audits, or mixed-methods user studies).</w:t>
      </w:r>
    </w:p>
    <w:p w14:paraId="1FDE760A" w14:textId="77777777" w:rsidR="00230FB4" w:rsidRPr="00DB10F9" w:rsidRDefault="0040531C">
      <w:pPr>
        <w:numPr>
          <w:ilvl w:val="0"/>
          <w:numId w:val="2"/>
        </w:numPr>
        <w:pBdr>
          <w:top w:val="nil"/>
          <w:left w:val="nil"/>
          <w:bottom w:val="nil"/>
          <w:right w:val="nil"/>
          <w:between w:val="nil"/>
        </w:pBdr>
        <w:jc w:val="both"/>
        <w:rPr>
          <w:rFonts w:ascii="Arial" w:eastAsia="Arial" w:hAnsi="Arial" w:cs="Arial"/>
          <w:color w:val="000000"/>
          <w:sz w:val="20"/>
          <w:szCs w:val="20"/>
        </w:rPr>
      </w:pPr>
      <w:r w:rsidRPr="00DB10F9">
        <w:rPr>
          <w:rFonts w:ascii="Arial" w:eastAsia="Arial" w:hAnsi="Arial" w:cs="Arial"/>
          <w:color w:val="000000"/>
          <w:sz w:val="20"/>
          <w:szCs w:val="20"/>
        </w:rPr>
        <w:t>Reported outcomes or process metrics relevant to practice (e.g., patient outcomes, treatment timing, report TAT, alert burden, calibration, adoption/engagement, incident/drift monitoring).</w:t>
      </w:r>
    </w:p>
    <w:p w14:paraId="34632B56"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2.2 Exclusion Criteria</w:t>
      </w:r>
    </w:p>
    <w:p w14:paraId="5B824394" w14:textId="77777777" w:rsidR="00230FB4" w:rsidRPr="00DB10F9" w:rsidRDefault="0040531C">
      <w:pPr>
        <w:jc w:val="both"/>
        <w:rPr>
          <w:rFonts w:ascii="Arial" w:eastAsia="Arial" w:hAnsi="Arial" w:cs="Arial"/>
          <w:b/>
          <w:sz w:val="20"/>
          <w:szCs w:val="20"/>
        </w:rPr>
      </w:pPr>
      <w:r w:rsidRPr="00DB10F9">
        <w:rPr>
          <w:rFonts w:ascii="Arial" w:eastAsia="Arial" w:hAnsi="Arial" w:cs="Arial"/>
          <w:b/>
          <w:sz w:val="20"/>
          <w:szCs w:val="20"/>
        </w:rPr>
        <w:t>We excluded studies that:</w:t>
      </w:r>
    </w:p>
    <w:p w14:paraId="2F676D97" w14:textId="77777777" w:rsidR="00230FB4" w:rsidRPr="00DB10F9" w:rsidRDefault="0040531C">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sidRPr="00DB10F9">
        <w:rPr>
          <w:rFonts w:ascii="Arial" w:eastAsia="Arial" w:hAnsi="Arial" w:cs="Arial"/>
          <w:color w:val="000000"/>
          <w:sz w:val="20"/>
          <w:szCs w:val="20"/>
        </w:rPr>
        <w:t>Focused on non-U.S. jurisdictions or purely methodological/modeling work without deployment relevance;</w:t>
      </w:r>
    </w:p>
    <w:p w14:paraId="2DE4181E" w14:textId="77777777" w:rsidR="00230FB4" w:rsidRPr="00DB10F9" w:rsidRDefault="0040531C">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sidRPr="00DB10F9">
        <w:rPr>
          <w:rFonts w:ascii="Arial" w:eastAsia="Arial" w:hAnsi="Arial" w:cs="Arial"/>
          <w:color w:val="000000"/>
          <w:sz w:val="20"/>
          <w:szCs w:val="20"/>
        </w:rPr>
        <w:t>Reported retrospective analytics not used to inform actions in care pathways;</w:t>
      </w:r>
    </w:p>
    <w:p w14:paraId="227DFDB5" w14:textId="77777777" w:rsidR="00230FB4" w:rsidRPr="00DB10F9" w:rsidRDefault="0040531C">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sidRPr="00DB10F9">
        <w:rPr>
          <w:rFonts w:ascii="Arial" w:eastAsia="Arial" w:hAnsi="Arial" w:cs="Arial"/>
          <w:color w:val="000000"/>
          <w:sz w:val="20"/>
          <w:szCs w:val="20"/>
        </w:rPr>
        <w:t>Were editorials, opinion pieces, marketing collateral, or non-peer-reviewed reports lacking substantive analytic contribution</w:t>
      </w:r>
    </w:p>
    <w:p w14:paraId="567AD52E" w14:textId="77777777" w:rsidR="00230FB4" w:rsidRPr="00DB10F9" w:rsidRDefault="0040531C">
      <w:pPr>
        <w:numPr>
          <w:ilvl w:val="0"/>
          <w:numId w:val="3"/>
        </w:numPr>
        <w:pBdr>
          <w:top w:val="nil"/>
          <w:left w:val="nil"/>
          <w:bottom w:val="nil"/>
          <w:right w:val="nil"/>
          <w:between w:val="nil"/>
        </w:pBdr>
        <w:jc w:val="both"/>
        <w:rPr>
          <w:rFonts w:ascii="Arial" w:eastAsia="Arial" w:hAnsi="Arial" w:cs="Arial"/>
          <w:color w:val="000000"/>
          <w:sz w:val="20"/>
          <w:szCs w:val="20"/>
        </w:rPr>
      </w:pPr>
      <w:r w:rsidRPr="00DB10F9">
        <w:rPr>
          <w:rFonts w:ascii="Arial" w:eastAsia="Arial" w:hAnsi="Arial" w:cs="Arial"/>
          <w:color w:val="000000"/>
          <w:sz w:val="20"/>
          <w:szCs w:val="20"/>
        </w:rPr>
        <w:t>Duplicated the same implementation/dataset without new analysis (the most comprehensive version was retained).</w:t>
      </w:r>
    </w:p>
    <w:p w14:paraId="41512A0A"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 xml:space="preserve">2.3 Case Study Selection and Thematic </w:t>
      </w:r>
      <w:proofErr w:type="spellStart"/>
      <w:r w:rsidRPr="00DB10F9">
        <w:rPr>
          <w:rFonts w:ascii="Arial" w:eastAsia="Arial" w:hAnsi="Arial" w:cs="Arial"/>
          <w:b/>
          <w:sz w:val="22"/>
          <w:szCs w:val="22"/>
        </w:rPr>
        <w:t>Categorisation</w:t>
      </w:r>
      <w:proofErr w:type="spellEnd"/>
    </w:p>
    <w:p w14:paraId="61C6A3CA"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 xml:space="preserve">After applying criteria, included studies were </w:t>
      </w:r>
      <w:proofErr w:type="spellStart"/>
      <w:r w:rsidRPr="00DB10F9">
        <w:rPr>
          <w:rFonts w:ascii="Arial" w:eastAsia="Arial" w:hAnsi="Arial" w:cs="Arial"/>
          <w:sz w:val="20"/>
          <w:szCs w:val="20"/>
        </w:rPr>
        <w:t>charted</w:t>
      </w:r>
      <w:proofErr w:type="spellEnd"/>
      <w:r w:rsidRPr="00DB10F9">
        <w:rPr>
          <w:rFonts w:ascii="Arial" w:eastAsia="Arial" w:hAnsi="Arial" w:cs="Arial"/>
          <w:sz w:val="20"/>
          <w:szCs w:val="20"/>
        </w:rPr>
        <w:t xml:space="preserve"> with the following fields: domain/task; U.S. setting; design; autonomy &amp; oversight; accountability/traceability artifacts; safety/effectiveness headline; implementation maturity &amp; deployment stage; local validation/generalizability; monitoring &amp; operations; and governance takeaway. This evidence serves as a foundation for the extraction table (Table 1). Subsequently, studies were methodically organized into three distinct analytic domains, aligning with the review's objectives. The first principle is to establish controls to operationalize ethical safeguards across the lifecycle. The second principle is to map U.S. regulatory and standards expectations to practicable evidence and enforcement. The third principle is to synthesize real-world outcomes, failure modes, and a minimal viable governance bundle. This structure facilitates comparative synthesis across various settings, identifies cross-cutting sociotechnical patterns, and situates observed performance within a framework of accountable, auditable governance for scale-up.</w:t>
      </w:r>
    </w:p>
    <w:p w14:paraId="1C865447"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3.0 Result</w:t>
      </w:r>
    </w:p>
    <w:p w14:paraId="685BDDBD"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3.1 Summary of study characteristics</w:t>
      </w:r>
    </w:p>
    <w:p w14:paraId="27569379"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 xml:space="preserve">Across 18 U.S. deployments (Table 1), the corpus spans primary care, emergency radiology, inpatient wards, and community endoscopy, covering autonomous screening, sepsis early warning, imaging triage, generative report drafting, and population risk stratification. The designs encompass prospective multi-site implementations, pragmatic randomized trials, external validations, diagnostic evaluations, mixed-methods user studies, and a post-hoc algorithm audit. The scope of autonomy encompasses a range of modalities, from fully autonomous refer/no-refer screening to assistive alerts and triage with clinician verification. Oversight mechanisms encompass acknowledgment workflows, role-clear escalation, and referral pathways. The implementation maturity of a system can be categorized into distinct phases, beginning with pre-implementation evaluation and pilot testing and culminating in production deployment and retrospective audit. The accountability and monitoring artifacts encompass performance disclosure, alert logs, provider </w:t>
      </w:r>
      <w:r w:rsidRPr="00DB10F9">
        <w:rPr>
          <w:rFonts w:ascii="Arial" w:eastAsia="Arial" w:hAnsi="Arial" w:cs="Arial"/>
          <w:sz w:val="20"/>
          <w:szCs w:val="20"/>
        </w:rPr>
        <w:lastRenderedPageBreak/>
        <w:t>engagement telemetry, report turnaround metrics, and routine QA. The majority of studies are multi-site, thereby supporting pragmatic generalizability across health-system contexts and settings.</w:t>
      </w:r>
    </w:p>
    <w:p w14:paraId="3F644D71"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3.2 Thematic Analysis</w:t>
      </w:r>
    </w:p>
    <w:p w14:paraId="05FBC2A5" w14:textId="77777777" w:rsidR="00230FB4" w:rsidRPr="00DB10F9" w:rsidRDefault="0040531C">
      <w:pPr>
        <w:jc w:val="both"/>
        <w:rPr>
          <w:rFonts w:ascii="Arial" w:eastAsia="Arial" w:hAnsi="Arial" w:cs="Arial"/>
          <w:b/>
          <w:sz w:val="20"/>
          <w:szCs w:val="20"/>
        </w:rPr>
      </w:pPr>
      <w:r w:rsidRPr="00DB10F9">
        <w:rPr>
          <w:rFonts w:ascii="Arial" w:eastAsia="Arial" w:hAnsi="Arial" w:cs="Arial"/>
          <w:b/>
          <w:sz w:val="20"/>
          <w:szCs w:val="20"/>
        </w:rPr>
        <w:t>Theme 1: Lifecycle operational safeguards for healthcare AI agents</w:t>
      </w:r>
    </w:p>
    <w:p w14:paraId="4D289DA1" w14:textId="77777777" w:rsidR="00C13A9F" w:rsidRPr="00C13A9F" w:rsidRDefault="00C13A9F" w:rsidP="00C13A9F">
      <w:pPr>
        <w:jc w:val="both"/>
        <w:rPr>
          <w:rFonts w:ascii="Arial" w:eastAsia="Arial" w:hAnsi="Arial" w:cs="Arial"/>
          <w:sz w:val="20"/>
          <w:szCs w:val="20"/>
          <w:lang w:val="en-US"/>
        </w:rPr>
      </w:pPr>
      <w:r w:rsidRPr="00C13A9F">
        <w:rPr>
          <w:rFonts w:ascii="Arial" w:eastAsia="Arial" w:hAnsi="Arial" w:cs="Arial"/>
          <w:sz w:val="20"/>
          <w:szCs w:val="20"/>
          <w:lang w:val="en-US"/>
        </w:rPr>
        <w:t xml:space="preserve">Autonomy and safety in AI agents only gain ethical legitimacy when their operational boundaries—such as intended use, fixed thresholds, and clinician override paths—are explicitly defined. As </w:t>
      </w:r>
      <w:proofErr w:type="spellStart"/>
      <w:r w:rsidRPr="00C13A9F">
        <w:rPr>
          <w:rFonts w:ascii="Arial" w:eastAsia="Arial" w:hAnsi="Arial" w:cs="Arial"/>
          <w:sz w:val="20"/>
          <w:szCs w:val="20"/>
          <w:lang w:val="en-US"/>
        </w:rPr>
        <w:t>Abràmoff</w:t>
      </w:r>
      <w:proofErr w:type="spellEnd"/>
      <w:r w:rsidRPr="00C13A9F">
        <w:rPr>
          <w:rFonts w:ascii="Arial" w:eastAsia="Arial" w:hAnsi="Arial" w:cs="Arial"/>
          <w:sz w:val="20"/>
          <w:szCs w:val="20"/>
          <w:lang w:val="en-US"/>
        </w:rPr>
        <w:t xml:space="preserve"> et al. (2018) demonstrate, specifying these constraints transforms autonomy from a theoretical ideal into a governed clinical function. Yet, this model also exposes the fragility of oversight once systems act without continuous human mediation. Accountability mechanisms like alert logs, acknowledgment flows, and treatment-timing audits (Henry et al., 2022) reveal that governance must extend beyond regulatory approval to ongoing operational stewardship—monitoring not just performance, but clinician engagement and response patterns. Comparative baselines (Edelson et al., 2024) serve as a necessary epistemic check, ensuring that perceived AI “improvements” are not artifacts of design bias or selective benchmarking.</w:t>
      </w:r>
    </w:p>
    <w:p w14:paraId="2A33FA30" w14:textId="77777777" w:rsidR="00C13A9F" w:rsidRPr="00C13A9F" w:rsidRDefault="00C13A9F" w:rsidP="00C13A9F">
      <w:pPr>
        <w:jc w:val="both"/>
        <w:rPr>
          <w:rFonts w:ascii="Arial" w:eastAsia="Arial" w:hAnsi="Arial" w:cs="Arial"/>
          <w:sz w:val="20"/>
          <w:szCs w:val="20"/>
          <w:lang w:val="en-US"/>
        </w:rPr>
      </w:pPr>
      <w:r w:rsidRPr="00C13A9F">
        <w:rPr>
          <w:rFonts w:ascii="Arial" w:eastAsia="Arial" w:hAnsi="Arial" w:cs="Arial"/>
          <w:sz w:val="20"/>
          <w:szCs w:val="20"/>
          <w:lang w:val="en-US"/>
        </w:rPr>
        <w:t xml:space="preserve">Transparency, meanwhile, becomes more than a compliance exercise; it is a precondition for ethical legitimacy in safety-critical imaging, where explainable triage routing can prevent silent errors from becoming systemic (Hillis et al., 2022). Human-in-the-loop verification and provenance controls (Huang et al., 2023) illustrate how accountability can be embedded directly into workflow architecture, transforming verification from a reactive safeguard into a proactive governance design choice. Conversely, null or negative </w:t>
      </w:r>
      <w:proofErr w:type="spellStart"/>
      <w:r w:rsidRPr="00C13A9F">
        <w:rPr>
          <w:rFonts w:ascii="Arial" w:eastAsia="Arial" w:hAnsi="Arial" w:cs="Arial"/>
          <w:sz w:val="20"/>
          <w:szCs w:val="20"/>
          <w:lang w:val="en-US"/>
        </w:rPr>
        <w:t>CADe</w:t>
      </w:r>
      <w:proofErr w:type="spellEnd"/>
      <w:r w:rsidRPr="00C13A9F">
        <w:rPr>
          <w:rFonts w:ascii="Arial" w:eastAsia="Arial" w:hAnsi="Arial" w:cs="Arial"/>
          <w:sz w:val="20"/>
          <w:szCs w:val="20"/>
          <w:lang w:val="en-US"/>
        </w:rPr>
        <w:t xml:space="preserve"> outcomes (</w:t>
      </w:r>
      <w:proofErr w:type="spellStart"/>
      <w:r w:rsidRPr="00C13A9F">
        <w:rPr>
          <w:rFonts w:ascii="Arial" w:eastAsia="Arial" w:hAnsi="Arial" w:cs="Arial"/>
          <w:sz w:val="20"/>
          <w:szCs w:val="20"/>
          <w:lang w:val="en-US"/>
        </w:rPr>
        <w:t>Ladabaum</w:t>
      </w:r>
      <w:proofErr w:type="spellEnd"/>
      <w:r w:rsidRPr="00C13A9F">
        <w:rPr>
          <w:rFonts w:ascii="Arial" w:eastAsia="Arial" w:hAnsi="Arial" w:cs="Arial"/>
          <w:sz w:val="20"/>
          <w:szCs w:val="20"/>
          <w:lang w:val="en-US"/>
        </w:rPr>
        <w:t xml:space="preserve"> et al., 2023) underscore that regulatory clearance does not guarantee clinical value—highlighting the need for adaptive governance that learns from underperformance rather than scaling it. Pragmatic community RCTs (</w:t>
      </w:r>
      <w:proofErr w:type="spellStart"/>
      <w:r w:rsidRPr="00C13A9F">
        <w:rPr>
          <w:rFonts w:ascii="Arial" w:eastAsia="Arial" w:hAnsi="Arial" w:cs="Arial"/>
          <w:sz w:val="20"/>
          <w:szCs w:val="20"/>
          <w:lang w:val="en-US"/>
        </w:rPr>
        <w:t>Thiruvengadam</w:t>
      </w:r>
      <w:proofErr w:type="spellEnd"/>
      <w:r w:rsidRPr="00C13A9F">
        <w:rPr>
          <w:rFonts w:ascii="Arial" w:eastAsia="Arial" w:hAnsi="Arial" w:cs="Arial"/>
          <w:sz w:val="20"/>
          <w:szCs w:val="20"/>
          <w:lang w:val="en-US"/>
        </w:rPr>
        <w:t xml:space="preserve"> et al., 2024) and human-factors studies (Watkins et al., 2024) further reveal that AI efficacy is socially contingent: trust calibration, operator variability, and contextual alignment are not peripheral issues but determinants of safety and accountability.</w:t>
      </w:r>
    </w:p>
    <w:p w14:paraId="1D6511DB" w14:textId="77777777" w:rsidR="00C13A9F" w:rsidRPr="00C13A9F" w:rsidRDefault="00C13A9F">
      <w:pPr>
        <w:jc w:val="both"/>
        <w:rPr>
          <w:rFonts w:ascii="Arial" w:eastAsia="Arial" w:hAnsi="Arial" w:cs="Arial"/>
          <w:sz w:val="20"/>
          <w:szCs w:val="20"/>
          <w:lang w:val="en-US"/>
        </w:rPr>
      </w:pPr>
    </w:p>
    <w:p w14:paraId="52813FCC" w14:textId="77777777" w:rsidR="00230FB4" w:rsidRPr="00DB10F9" w:rsidRDefault="0040531C">
      <w:pPr>
        <w:jc w:val="both"/>
        <w:rPr>
          <w:rFonts w:ascii="Arial" w:eastAsia="Arial" w:hAnsi="Arial" w:cs="Arial"/>
          <w:b/>
          <w:sz w:val="20"/>
          <w:szCs w:val="20"/>
        </w:rPr>
      </w:pPr>
      <w:r w:rsidRPr="00DB10F9">
        <w:rPr>
          <w:rFonts w:ascii="Arial" w:eastAsia="Arial" w:hAnsi="Arial" w:cs="Arial"/>
          <w:b/>
          <w:sz w:val="20"/>
          <w:szCs w:val="20"/>
        </w:rPr>
        <w:t>Theme 2: U.S. regulatory/standards enforcement mapped to deployment evidence</w:t>
      </w:r>
    </w:p>
    <w:p w14:paraId="02CD037A" w14:textId="77777777" w:rsidR="006B550B" w:rsidRPr="006B550B" w:rsidRDefault="006B550B" w:rsidP="006B550B">
      <w:pPr>
        <w:jc w:val="both"/>
        <w:rPr>
          <w:rFonts w:ascii="Arial" w:eastAsia="Arial" w:hAnsi="Arial" w:cs="Arial"/>
          <w:sz w:val="20"/>
          <w:szCs w:val="20"/>
          <w:lang w:val="en-US"/>
        </w:rPr>
      </w:pPr>
      <w:r w:rsidRPr="006B550B">
        <w:rPr>
          <w:rFonts w:ascii="Arial" w:eastAsia="Arial" w:hAnsi="Arial" w:cs="Arial"/>
          <w:sz w:val="20"/>
          <w:szCs w:val="20"/>
          <w:lang w:val="en-US"/>
        </w:rPr>
        <w:t>Lifecycle enforcement in AI governance is meaningful only when oversight mechanisms are sustained beyond initial approval and integrated into daily clinical operations. Real-world deployments linking alerts to timed actions and measurable outcomes (Adams et al., 2022) illustrate that accountability must be operationalized, not merely declared—governance is effective only when it can trace cause, action, and consequence within live workflows. The FDA’s authorization framework (</w:t>
      </w:r>
      <w:proofErr w:type="spellStart"/>
      <w:r w:rsidRPr="006B550B">
        <w:rPr>
          <w:rFonts w:ascii="Arial" w:eastAsia="Arial" w:hAnsi="Arial" w:cs="Arial"/>
          <w:sz w:val="20"/>
          <w:szCs w:val="20"/>
          <w:lang w:val="en-US"/>
        </w:rPr>
        <w:t>Abràmoff</w:t>
      </w:r>
      <w:proofErr w:type="spellEnd"/>
      <w:r w:rsidRPr="006B550B">
        <w:rPr>
          <w:rFonts w:ascii="Arial" w:eastAsia="Arial" w:hAnsi="Arial" w:cs="Arial"/>
          <w:sz w:val="20"/>
          <w:szCs w:val="20"/>
          <w:lang w:val="en-US"/>
        </w:rPr>
        <w:t xml:space="preserve"> et al., 2018) establishes formal boundaries for autonomy through labelling, thresholds, and intended-use constraints, yet these static specifications are insufficient once systems encounter the variability of clinical practice. Continuous recalibration and surveillance become necessary governance duties, as exposed by the calibration drift observed in proprietary inpatient models (Wong et al., 2021).</w:t>
      </w:r>
    </w:p>
    <w:p w14:paraId="0E0B1CEA" w14:textId="77777777" w:rsidR="006B550B" w:rsidRPr="006B550B" w:rsidRDefault="006B550B" w:rsidP="006B550B">
      <w:pPr>
        <w:jc w:val="both"/>
        <w:rPr>
          <w:rFonts w:ascii="Arial" w:eastAsia="Arial" w:hAnsi="Arial" w:cs="Arial"/>
          <w:sz w:val="20"/>
          <w:szCs w:val="20"/>
          <w:lang w:val="en-US"/>
        </w:rPr>
      </w:pPr>
      <w:r w:rsidRPr="006B550B">
        <w:rPr>
          <w:rFonts w:ascii="Arial" w:eastAsia="Arial" w:hAnsi="Arial" w:cs="Arial"/>
          <w:sz w:val="20"/>
          <w:szCs w:val="20"/>
          <w:lang w:val="en-US"/>
        </w:rPr>
        <w:t xml:space="preserve">Post-market performance metrics—such as prioritization and turnaround time in radiology triage (Rothenberg et al., 2023)—highlight a shift toward </w:t>
      </w:r>
      <w:r w:rsidRPr="006B550B">
        <w:rPr>
          <w:rFonts w:ascii="Arial" w:eastAsia="Arial" w:hAnsi="Arial" w:cs="Arial"/>
          <w:i/>
          <w:iCs/>
          <w:sz w:val="20"/>
          <w:szCs w:val="20"/>
          <w:lang w:val="en-US"/>
        </w:rPr>
        <w:t>dynamic regulation</w:t>
      </w:r>
      <w:r w:rsidRPr="006B550B">
        <w:rPr>
          <w:rFonts w:ascii="Arial" w:eastAsia="Arial" w:hAnsi="Arial" w:cs="Arial"/>
          <w:sz w:val="20"/>
          <w:szCs w:val="20"/>
          <w:lang w:val="en-US"/>
        </w:rPr>
        <w:t>, where compliance is measured not only by accuracy but by sustained operational impact. The guardrails proposed by Savage et al. (2024) through explicit scope clarity and exclusion criteria exemplify how governance can preempt harm by constraining algorithmic overreach rather than retroactively correcting it. Similarly, pragmatic community RCTs (Wei et al., 2023) demonstrate that evidence generation itself becomes a governance tool—informing procurement, reimbursement, and the ethical scaling of AI systems based on context-specific performance rather than generalized efficacy claims.</w:t>
      </w:r>
    </w:p>
    <w:p w14:paraId="5B60FC53" w14:textId="77777777" w:rsidR="006B550B" w:rsidRPr="006B550B" w:rsidRDefault="006B550B" w:rsidP="006B550B">
      <w:pPr>
        <w:jc w:val="both"/>
        <w:rPr>
          <w:rFonts w:ascii="Arial" w:eastAsia="Arial" w:hAnsi="Arial" w:cs="Arial"/>
          <w:sz w:val="20"/>
          <w:szCs w:val="20"/>
          <w:lang w:val="en-US"/>
        </w:rPr>
      </w:pPr>
      <w:r w:rsidRPr="006B550B">
        <w:rPr>
          <w:rFonts w:ascii="Arial" w:eastAsia="Arial" w:hAnsi="Arial" w:cs="Arial"/>
          <w:sz w:val="20"/>
          <w:szCs w:val="20"/>
          <w:lang w:val="en-US"/>
        </w:rPr>
        <w:lastRenderedPageBreak/>
        <w:t>At the system level, Kennedy and Rudd (2022) show that regulatory compliance alone cannot guarantee improved outcomes unless accompanied by organizational readiness, clinical integration, and adaptive feedback loops. Finally, the use of real-world time-motion analyses (Thompson et al., 2025) transforms governance from a bureaucratic obligation into a measurable accountability practice—making efficiency, safety, and equity auditable within production environments. Collectively, these studies reveal that AI lifecycle governance is not a discrete regulatory event but a living process that binds technical validation, institutional oversight, and ethical accountability throughout deployment</w:t>
      </w:r>
    </w:p>
    <w:p w14:paraId="1EA8BF88" w14:textId="77777777" w:rsidR="00230FB4" w:rsidRPr="00DB10F9" w:rsidRDefault="0040531C">
      <w:pPr>
        <w:jc w:val="both"/>
        <w:rPr>
          <w:rFonts w:ascii="Arial" w:eastAsia="Arial" w:hAnsi="Arial" w:cs="Arial"/>
          <w:b/>
          <w:sz w:val="20"/>
          <w:szCs w:val="20"/>
        </w:rPr>
      </w:pPr>
      <w:r w:rsidRPr="00DB10F9">
        <w:rPr>
          <w:rFonts w:ascii="Arial" w:eastAsia="Arial" w:hAnsi="Arial" w:cs="Arial"/>
          <w:b/>
          <w:sz w:val="20"/>
          <w:szCs w:val="20"/>
        </w:rPr>
        <w:t xml:space="preserve">Theme 3: Real-world deployments </w:t>
      </w:r>
      <w:proofErr w:type="spellStart"/>
      <w:r w:rsidRPr="00DB10F9">
        <w:rPr>
          <w:rFonts w:ascii="Arial" w:eastAsia="Arial" w:hAnsi="Arial" w:cs="Arial"/>
          <w:b/>
          <w:sz w:val="20"/>
          <w:szCs w:val="20"/>
        </w:rPr>
        <w:t>synthesised</w:t>
      </w:r>
      <w:proofErr w:type="spellEnd"/>
      <w:r w:rsidRPr="00DB10F9">
        <w:rPr>
          <w:rFonts w:ascii="Arial" w:eastAsia="Arial" w:hAnsi="Arial" w:cs="Arial"/>
          <w:b/>
          <w:sz w:val="20"/>
          <w:szCs w:val="20"/>
        </w:rPr>
        <w:t xml:space="preserve"> into a minimal viable governance bundle</w:t>
      </w:r>
    </w:p>
    <w:p w14:paraId="76C21EAC" w14:textId="77777777" w:rsidR="005569C6" w:rsidRPr="005569C6" w:rsidRDefault="005569C6" w:rsidP="005569C6">
      <w:pPr>
        <w:jc w:val="both"/>
        <w:rPr>
          <w:rFonts w:ascii="Arial" w:eastAsia="Arial" w:hAnsi="Arial" w:cs="Arial"/>
          <w:sz w:val="20"/>
          <w:szCs w:val="20"/>
          <w:lang w:val="en-US"/>
        </w:rPr>
      </w:pPr>
      <w:r w:rsidRPr="005569C6">
        <w:rPr>
          <w:rFonts w:ascii="Arial" w:eastAsia="Arial" w:hAnsi="Arial" w:cs="Arial"/>
          <w:sz w:val="20"/>
          <w:szCs w:val="20"/>
          <w:lang w:val="en-US"/>
        </w:rPr>
        <w:t>Equitable access and accountability in AI-enabled healthcare are not inherent outcomes of automation but products of deliberate system design. The integration of autonomous screening tools with structured referral pathways and patient communication protocols (Huang et al., 2024) demonstrates that ethical gains in access depend on embedding automation within existing human care infrastructures. Without such alignment, autonomy risks reproducing inequities rather than reducing them. Similarly, the performance of sepsis detection agents (Henry et al., 2022) reveals that efficacy is a socio-technical construct: even the most accurate algorithms fail without clinician engagement and timely response. Governance, therefore, must extend beyond technical validation to include mechanisms that sustain adoption and accountability at the user level.</w:t>
      </w:r>
    </w:p>
    <w:p w14:paraId="101F959D" w14:textId="77777777" w:rsidR="005569C6" w:rsidRPr="005569C6" w:rsidRDefault="005569C6" w:rsidP="005569C6">
      <w:pPr>
        <w:jc w:val="both"/>
        <w:rPr>
          <w:rFonts w:ascii="Arial" w:eastAsia="Arial" w:hAnsi="Arial" w:cs="Arial"/>
          <w:sz w:val="20"/>
          <w:szCs w:val="20"/>
          <w:lang w:val="en-US"/>
        </w:rPr>
      </w:pPr>
      <w:r w:rsidRPr="005569C6">
        <w:rPr>
          <w:rFonts w:ascii="Arial" w:eastAsia="Arial" w:hAnsi="Arial" w:cs="Arial"/>
          <w:sz w:val="20"/>
          <w:szCs w:val="20"/>
          <w:lang w:val="en-US"/>
        </w:rPr>
        <w:t xml:space="preserve">External validation studies (Singh et al., 2021) underscore that algorithmic reliability is context-sensitive, requiring locally defined acceptance thresholds and iterative recalibration protocols to prevent performance drift and clinical miscalibration. Post-hoc audits of population-health algorithms (Obermeyer et al., 2019) further expose how design choices—such as using cost-based proxies for health need—can institutionalize bias, reinforcing the necessity for outcome-based accountability rather than reliance on proxy metrics. These findings collectively point to a shift from </w:t>
      </w:r>
      <w:r w:rsidRPr="005569C6">
        <w:rPr>
          <w:rFonts w:ascii="Arial" w:eastAsia="Arial" w:hAnsi="Arial" w:cs="Arial"/>
          <w:i/>
          <w:iCs/>
          <w:sz w:val="20"/>
          <w:szCs w:val="20"/>
          <w:lang w:val="en-US"/>
        </w:rPr>
        <w:t>compliance-oriented governance</w:t>
      </w:r>
      <w:r w:rsidRPr="005569C6">
        <w:rPr>
          <w:rFonts w:ascii="Arial" w:eastAsia="Arial" w:hAnsi="Arial" w:cs="Arial"/>
          <w:sz w:val="20"/>
          <w:szCs w:val="20"/>
          <w:lang w:val="en-US"/>
        </w:rPr>
        <w:t xml:space="preserve"> to </w:t>
      </w:r>
      <w:r w:rsidRPr="005569C6">
        <w:rPr>
          <w:rFonts w:ascii="Arial" w:eastAsia="Arial" w:hAnsi="Arial" w:cs="Arial"/>
          <w:i/>
          <w:iCs/>
          <w:sz w:val="20"/>
          <w:szCs w:val="20"/>
          <w:lang w:val="en-US"/>
        </w:rPr>
        <w:t>equity-oriented governance</w:t>
      </w:r>
      <w:r w:rsidRPr="005569C6">
        <w:rPr>
          <w:rFonts w:ascii="Arial" w:eastAsia="Arial" w:hAnsi="Arial" w:cs="Arial"/>
          <w:sz w:val="20"/>
          <w:szCs w:val="20"/>
          <w:lang w:val="en-US"/>
        </w:rPr>
        <w:t>, where continuous auditing and recalibration are treated as ethical imperatives, not optional quality controls.</w:t>
      </w:r>
    </w:p>
    <w:p w14:paraId="4AC88226" w14:textId="1BCBE049" w:rsidR="00230FB4" w:rsidRPr="005569C6" w:rsidRDefault="005569C6">
      <w:pPr>
        <w:jc w:val="both"/>
        <w:rPr>
          <w:rFonts w:ascii="Arial" w:eastAsia="Arial" w:hAnsi="Arial" w:cs="Arial"/>
          <w:sz w:val="20"/>
          <w:szCs w:val="20"/>
          <w:lang w:val="en-US"/>
        </w:rPr>
      </w:pPr>
      <w:r w:rsidRPr="005569C6">
        <w:rPr>
          <w:rFonts w:ascii="Arial" w:eastAsia="Arial" w:hAnsi="Arial" w:cs="Arial"/>
          <w:sz w:val="20"/>
          <w:szCs w:val="20"/>
          <w:lang w:val="en-US"/>
        </w:rPr>
        <w:t>Post-deployment monitoring frameworks must evolve accordingly. Surveillance of calibration, alert fatigue, and workflow displacement (Wong et al., 2021; Rothenberg et al., 2023) exemplifies how real-world operations can generate early warning signals for governance intervention. Effective oversight, therefore, requires technical and organizational instrumentation—throughput dashboards, safety nets, and incident-reporting pipelines—that make AI performance auditable in situ (Adams et al., 2022). Moreover, as Thompson et al. (2025) highlight, operational metrics must be interpreted critically: reductions in reporting time are only meaningful if they do not create new bottlenecks elsewhere in care delivery. Ultimately, lifecycle governance must treat automation as a dynamic participant in clinical systems, subject to continual verification, recalibration, and ethical accountability rather than static regulatory approval</w:t>
      </w:r>
      <w:r w:rsidR="0040531C" w:rsidRPr="00DB10F9">
        <w:rPr>
          <w:rFonts w:ascii="Arial" w:eastAsia="Arial" w:hAnsi="Arial" w:cs="Arial"/>
          <w:sz w:val="20"/>
          <w:szCs w:val="20"/>
        </w:rPr>
        <w:t>.</w:t>
      </w:r>
    </w:p>
    <w:p w14:paraId="0935B90F" w14:textId="77777777" w:rsidR="00230FB4" w:rsidRPr="00DB10F9" w:rsidRDefault="00230FB4">
      <w:pPr>
        <w:jc w:val="both"/>
        <w:rPr>
          <w:rFonts w:ascii="Arial" w:eastAsia="Arial" w:hAnsi="Arial" w:cs="Arial"/>
          <w:sz w:val="20"/>
          <w:szCs w:val="20"/>
        </w:rPr>
      </w:pPr>
    </w:p>
    <w:p w14:paraId="07B3AEBC" w14:textId="77777777" w:rsidR="00230FB4" w:rsidRPr="00DB10F9" w:rsidRDefault="00230FB4">
      <w:pPr>
        <w:jc w:val="both"/>
        <w:rPr>
          <w:rFonts w:ascii="Arial" w:eastAsia="Arial" w:hAnsi="Arial" w:cs="Arial"/>
          <w:sz w:val="20"/>
          <w:szCs w:val="20"/>
        </w:rPr>
        <w:sectPr w:rsidR="00230FB4" w:rsidRPr="00DB10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14:paraId="134315C7" w14:textId="77777777" w:rsidR="00230FB4" w:rsidRPr="00DB10F9" w:rsidRDefault="0040531C">
      <w:pPr>
        <w:jc w:val="center"/>
        <w:rPr>
          <w:rFonts w:ascii="Arial" w:eastAsia="Arial" w:hAnsi="Arial" w:cs="Arial"/>
          <w:b/>
          <w:sz w:val="20"/>
          <w:szCs w:val="20"/>
        </w:rPr>
      </w:pPr>
      <w:r w:rsidRPr="00DB10F9">
        <w:rPr>
          <w:rFonts w:ascii="Arial" w:eastAsia="Arial" w:hAnsi="Arial" w:cs="Arial"/>
          <w:b/>
          <w:sz w:val="20"/>
          <w:szCs w:val="20"/>
        </w:rPr>
        <w:lastRenderedPageBreak/>
        <w:t>Table 1: Summary of included studies</w:t>
      </w:r>
    </w:p>
    <w:tbl>
      <w:tblPr>
        <w:tblStyle w:val="a"/>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
        <w:gridCol w:w="1062"/>
        <w:gridCol w:w="996"/>
        <w:gridCol w:w="1029"/>
        <w:gridCol w:w="1182"/>
        <w:gridCol w:w="1022"/>
        <w:gridCol w:w="1528"/>
        <w:gridCol w:w="1036"/>
        <w:gridCol w:w="1202"/>
        <w:gridCol w:w="1382"/>
        <w:gridCol w:w="1690"/>
      </w:tblGrid>
      <w:tr w:rsidR="00230FB4" w:rsidRPr="00DB10F9" w14:paraId="4A307A87" w14:textId="77777777" w:rsidTr="00976E25">
        <w:tc>
          <w:tcPr>
            <w:tcW w:w="1049" w:type="dxa"/>
          </w:tcPr>
          <w:p w14:paraId="0FA7359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Study (APA in-text)</w:t>
            </w:r>
          </w:p>
        </w:tc>
        <w:tc>
          <w:tcPr>
            <w:tcW w:w="1062" w:type="dxa"/>
          </w:tcPr>
          <w:p w14:paraId="1CBFEFA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Domain / Task</w:t>
            </w:r>
          </w:p>
        </w:tc>
        <w:tc>
          <w:tcPr>
            <w:tcW w:w="996" w:type="dxa"/>
          </w:tcPr>
          <w:p w14:paraId="0A59E3A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U.S. Setting</w:t>
            </w:r>
          </w:p>
        </w:tc>
        <w:tc>
          <w:tcPr>
            <w:tcW w:w="1029" w:type="dxa"/>
          </w:tcPr>
          <w:p w14:paraId="357F30C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Design</w:t>
            </w:r>
          </w:p>
        </w:tc>
        <w:tc>
          <w:tcPr>
            <w:tcW w:w="1182" w:type="dxa"/>
          </w:tcPr>
          <w:p w14:paraId="6B803AB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Autonomy &amp; Oversight</w:t>
            </w:r>
          </w:p>
        </w:tc>
        <w:tc>
          <w:tcPr>
            <w:tcW w:w="1022" w:type="dxa"/>
          </w:tcPr>
          <w:p w14:paraId="3158976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Accountability &amp; Transparency</w:t>
            </w:r>
          </w:p>
        </w:tc>
        <w:tc>
          <w:tcPr>
            <w:tcW w:w="1528" w:type="dxa"/>
          </w:tcPr>
          <w:p w14:paraId="2EB4407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Safety / Effectiveness (headline)</w:t>
            </w:r>
          </w:p>
        </w:tc>
        <w:tc>
          <w:tcPr>
            <w:tcW w:w="1036" w:type="dxa"/>
          </w:tcPr>
          <w:p w14:paraId="541A52C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Implementation maturity &amp; deployment stage</w:t>
            </w:r>
          </w:p>
        </w:tc>
        <w:tc>
          <w:tcPr>
            <w:tcW w:w="1202" w:type="dxa"/>
          </w:tcPr>
          <w:p w14:paraId="10E74B1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Local validation &amp; generalizability</w:t>
            </w:r>
          </w:p>
        </w:tc>
        <w:tc>
          <w:tcPr>
            <w:tcW w:w="1382" w:type="dxa"/>
          </w:tcPr>
          <w:p w14:paraId="1438187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Monitoring &amp; Ops</w:t>
            </w:r>
          </w:p>
        </w:tc>
        <w:tc>
          <w:tcPr>
            <w:tcW w:w="1690" w:type="dxa"/>
          </w:tcPr>
          <w:p w14:paraId="470FF4D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Key Governance Takeaway</w:t>
            </w:r>
          </w:p>
        </w:tc>
      </w:tr>
      <w:tr w:rsidR="00230FB4" w:rsidRPr="00DB10F9" w14:paraId="3B281F7E" w14:textId="77777777" w:rsidTr="00976E25">
        <w:tc>
          <w:tcPr>
            <w:tcW w:w="1049" w:type="dxa"/>
          </w:tcPr>
          <w:p w14:paraId="40D95D24" w14:textId="77777777" w:rsidR="00230FB4" w:rsidRPr="00DB10F9" w:rsidRDefault="0040531C">
            <w:pPr>
              <w:rPr>
                <w:rFonts w:ascii="Arial" w:eastAsia="Arial" w:hAnsi="Arial" w:cs="Arial"/>
                <w:sz w:val="20"/>
                <w:szCs w:val="20"/>
              </w:rPr>
            </w:pPr>
            <w:proofErr w:type="spellStart"/>
            <w:r w:rsidRPr="00DB10F9">
              <w:rPr>
                <w:rFonts w:ascii="Arial" w:eastAsia="Arial" w:hAnsi="Arial" w:cs="Arial"/>
                <w:sz w:val="20"/>
                <w:szCs w:val="20"/>
              </w:rPr>
              <w:t>Abràmoff</w:t>
            </w:r>
            <w:proofErr w:type="spellEnd"/>
            <w:r w:rsidRPr="00DB10F9">
              <w:rPr>
                <w:rFonts w:ascii="Arial" w:eastAsia="Arial" w:hAnsi="Arial" w:cs="Arial"/>
                <w:sz w:val="20"/>
                <w:szCs w:val="20"/>
              </w:rPr>
              <w:t xml:space="preserve"> et al., 2018</w:t>
            </w:r>
          </w:p>
        </w:tc>
        <w:tc>
          <w:tcPr>
            <w:tcW w:w="1062" w:type="dxa"/>
          </w:tcPr>
          <w:p w14:paraId="6DD70E9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Autonomous diagnostic (DR)</w:t>
            </w:r>
          </w:p>
        </w:tc>
        <w:tc>
          <w:tcPr>
            <w:tcW w:w="996" w:type="dxa"/>
          </w:tcPr>
          <w:p w14:paraId="6E57688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Primary care clinics</w:t>
            </w:r>
          </w:p>
        </w:tc>
        <w:tc>
          <w:tcPr>
            <w:tcW w:w="1029" w:type="dxa"/>
          </w:tcPr>
          <w:p w14:paraId="2A5213B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Prospective pivotal trial</w:t>
            </w:r>
          </w:p>
        </w:tc>
        <w:tc>
          <w:tcPr>
            <w:tcW w:w="1182" w:type="dxa"/>
          </w:tcPr>
          <w:p w14:paraId="29CBBD2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Autonomous refer/no-refer; clinician manages follow-up</w:t>
            </w:r>
          </w:p>
        </w:tc>
        <w:tc>
          <w:tcPr>
            <w:tcW w:w="1022" w:type="dxa"/>
          </w:tcPr>
          <w:p w14:paraId="08257C2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FDA labelling; fixed thresholds; intended-use clarity</w:t>
            </w:r>
          </w:p>
        </w:tc>
        <w:tc>
          <w:tcPr>
            <w:tcW w:w="1528" w:type="dxa"/>
          </w:tcPr>
          <w:p w14:paraId="2118DA5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Strong diagnostic performance; improved on-site referral</w:t>
            </w:r>
          </w:p>
        </w:tc>
        <w:tc>
          <w:tcPr>
            <w:tcW w:w="1036" w:type="dxa"/>
          </w:tcPr>
          <w:p w14:paraId="517CB38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Pivotal clinical trial embedded in clinic workflow</w:t>
            </w:r>
          </w:p>
        </w:tc>
        <w:tc>
          <w:tcPr>
            <w:tcW w:w="1202" w:type="dxa"/>
          </w:tcPr>
          <w:p w14:paraId="37FF911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Multi-site U.S. primary care; prospective generalizability to similar settings</w:t>
            </w:r>
          </w:p>
        </w:tc>
        <w:tc>
          <w:tcPr>
            <w:tcW w:w="1382" w:type="dxa"/>
          </w:tcPr>
          <w:p w14:paraId="626EEE4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Field QA; referral tracking</w:t>
            </w:r>
          </w:p>
        </w:tc>
        <w:tc>
          <w:tcPr>
            <w:tcW w:w="1690" w:type="dxa"/>
          </w:tcPr>
          <w:p w14:paraId="54B83DCF" w14:textId="7A3279DB" w:rsidR="00230FB4" w:rsidRPr="00DB10F9" w:rsidRDefault="007E764D" w:rsidP="00976E25">
            <w:pPr>
              <w:rPr>
                <w:rFonts w:ascii="Arial" w:eastAsia="Arial" w:hAnsi="Arial" w:cs="Arial"/>
                <w:sz w:val="20"/>
                <w:szCs w:val="20"/>
              </w:rPr>
            </w:pPr>
            <w:r w:rsidRPr="00DB10F9">
              <w:rPr>
                <w:rFonts w:ascii="Arial" w:eastAsia="Arial" w:hAnsi="Arial" w:cs="Arial"/>
                <w:sz w:val="20"/>
                <w:szCs w:val="20"/>
              </w:rPr>
              <w:t>1. Define and codify explicit autonomy thresholds with mandated clinician fallback protocols.</w:t>
            </w:r>
            <w:r w:rsidRPr="00DB10F9">
              <w:rPr>
                <w:rFonts w:ascii="Arial" w:eastAsia="Arial" w:hAnsi="Arial" w:cs="Arial"/>
                <w:sz w:val="20"/>
                <w:szCs w:val="20"/>
              </w:rPr>
              <w:br/>
              <w:t>2. Embed transparent labeling and intended-use clarity in all autonomous deployments.</w:t>
            </w:r>
            <w:r w:rsidRPr="00DB10F9">
              <w:rPr>
                <w:rFonts w:ascii="Arial" w:eastAsia="Arial" w:hAnsi="Arial" w:cs="Arial"/>
                <w:sz w:val="20"/>
                <w:szCs w:val="20"/>
              </w:rPr>
              <w:br/>
              <w:t>3. Institutionalize continuous post-market surveillance to sustain public trust and clinical safety</w:t>
            </w:r>
            <w:r w:rsidR="004E5C4C" w:rsidRPr="00DB10F9">
              <w:rPr>
                <w:rFonts w:ascii="Arial" w:eastAsia="Arial" w:hAnsi="Arial" w:cs="Arial"/>
                <w:sz w:val="20"/>
                <w:szCs w:val="20"/>
              </w:rPr>
              <w:t>.</w:t>
            </w:r>
          </w:p>
        </w:tc>
      </w:tr>
      <w:tr w:rsidR="00230FB4" w:rsidRPr="00DB10F9" w14:paraId="2A8104BE" w14:textId="77777777" w:rsidTr="00976E25">
        <w:tc>
          <w:tcPr>
            <w:tcW w:w="1049" w:type="dxa"/>
          </w:tcPr>
          <w:p w14:paraId="0D4CF0D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Adams et al., 2022</w:t>
            </w:r>
          </w:p>
        </w:tc>
        <w:tc>
          <w:tcPr>
            <w:tcW w:w="1062" w:type="dxa"/>
          </w:tcPr>
          <w:p w14:paraId="5BBFB68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Sepsis early warning (TREWS)</w:t>
            </w:r>
          </w:p>
        </w:tc>
        <w:tc>
          <w:tcPr>
            <w:tcW w:w="996" w:type="dxa"/>
          </w:tcPr>
          <w:p w14:paraId="64C9434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Multi-hospital inpatient</w:t>
            </w:r>
          </w:p>
        </w:tc>
        <w:tc>
          <w:tcPr>
            <w:tcW w:w="1029" w:type="dxa"/>
          </w:tcPr>
          <w:p w14:paraId="1826375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Prospective multi-site implementation</w:t>
            </w:r>
          </w:p>
        </w:tc>
        <w:tc>
          <w:tcPr>
            <w:tcW w:w="1182" w:type="dxa"/>
          </w:tcPr>
          <w:p w14:paraId="0D268BF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 alerts; clinician confirms/acts</w:t>
            </w:r>
          </w:p>
        </w:tc>
        <w:tc>
          <w:tcPr>
            <w:tcW w:w="1022" w:type="dxa"/>
          </w:tcPr>
          <w:p w14:paraId="1AD4E19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Alert logs; adoption telemetry</w:t>
            </w:r>
          </w:p>
        </w:tc>
        <w:tc>
          <w:tcPr>
            <w:tcW w:w="1528" w:type="dxa"/>
          </w:tcPr>
          <w:p w14:paraId="73DE592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Faster antibiotics; outcome associations</w:t>
            </w:r>
          </w:p>
        </w:tc>
        <w:tc>
          <w:tcPr>
            <w:tcW w:w="1036" w:type="dxa"/>
          </w:tcPr>
          <w:p w14:paraId="340F396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Production deployment across hospitals</w:t>
            </w:r>
          </w:p>
        </w:tc>
        <w:tc>
          <w:tcPr>
            <w:tcW w:w="1202" w:type="dxa"/>
          </w:tcPr>
          <w:p w14:paraId="471B325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Multi-site live deployment; system-level generalizability</w:t>
            </w:r>
          </w:p>
        </w:tc>
        <w:tc>
          <w:tcPr>
            <w:tcW w:w="1382" w:type="dxa"/>
          </w:tcPr>
          <w:p w14:paraId="7967E7D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Longitudinal adoption/performance tracking</w:t>
            </w:r>
          </w:p>
        </w:tc>
        <w:tc>
          <w:tcPr>
            <w:tcW w:w="1690" w:type="dxa"/>
          </w:tcPr>
          <w:p w14:paraId="2236C71A" w14:textId="735B0289" w:rsidR="00230FB4" w:rsidRPr="00DB10F9" w:rsidRDefault="00E53F14">
            <w:pPr>
              <w:rPr>
                <w:rFonts w:ascii="Arial" w:eastAsia="Arial" w:hAnsi="Arial" w:cs="Arial"/>
                <w:sz w:val="20"/>
                <w:szCs w:val="20"/>
              </w:rPr>
            </w:pPr>
            <w:r w:rsidRPr="00DB10F9">
              <w:rPr>
                <w:rFonts w:ascii="Arial" w:eastAsia="Arial" w:hAnsi="Arial" w:cs="Arial"/>
                <w:sz w:val="20"/>
                <w:szCs w:val="20"/>
              </w:rPr>
              <w:t>1. Co-design AI alert systems to align with clinicians’ real-time decision flow.</w:t>
            </w:r>
            <w:r w:rsidRPr="00DB10F9">
              <w:rPr>
                <w:rFonts w:ascii="Arial" w:eastAsia="Arial" w:hAnsi="Arial" w:cs="Arial"/>
                <w:sz w:val="20"/>
                <w:szCs w:val="20"/>
              </w:rPr>
              <w:br/>
              <w:t xml:space="preserve">2. Use adoption telemetry to identify and </w:t>
            </w:r>
            <w:r w:rsidRPr="00DB10F9">
              <w:rPr>
                <w:rFonts w:ascii="Arial" w:eastAsia="Arial" w:hAnsi="Arial" w:cs="Arial"/>
                <w:sz w:val="20"/>
                <w:szCs w:val="20"/>
              </w:rPr>
              <w:lastRenderedPageBreak/>
              <w:t>mitigate workflow friction.</w:t>
            </w:r>
            <w:r w:rsidRPr="00DB10F9">
              <w:rPr>
                <w:rFonts w:ascii="Arial" w:eastAsia="Arial" w:hAnsi="Arial" w:cs="Arial"/>
                <w:sz w:val="20"/>
                <w:szCs w:val="20"/>
              </w:rPr>
              <w:br/>
              <w:t>3. Evaluate benefits based on actual workflow integration, not just algorithmic accuracy.</w:t>
            </w:r>
          </w:p>
        </w:tc>
      </w:tr>
      <w:tr w:rsidR="00230FB4" w:rsidRPr="00DB10F9" w14:paraId="36F615D2" w14:textId="77777777" w:rsidTr="00976E25">
        <w:tc>
          <w:tcPr>
            <w:tcW w:w="1049" w:type="dxa"/>
          </w:tcPr>
          <w:p w14:paraId="329FADC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Edelson et al., 2024</w:t>
            </w:r>
          </w:p>
        </w:tc>
        <w:tc>
          <w:tcPr>
            <w:tcW w:w="1062" w:type="dxa"/>
          </w:tcPr>
          <w:p w14:paraId="32D9E94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Early-warning scores ± AI</w:t>
            </w:r>
          </w:p>
        </w:tc>
        <w:tc>
          <w:tcPr>
            <w:tcW w:w="996" w:type="dxa"/>
          </w:tcPr>
          <w:p w14:paraId="6CD7480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Multi-center inpatient</w:t>
            </w:r>
          </w:p>
        </w:tc>
        <w:tc>
          <w:tcPr>
            <w:tcW w:w="1029" w:type="dxa"/>
          </w:tcPr>
          <w:p w14:paraId="19F2D1F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Comparative cohort</w:t>
            </w:r>
          </w:p>
        </w:tc>
        <w:tc>
          <w:tcPr>
            <w:tcW w:w="1182" w:type="dxa"/>
          </w:tcPr>
          <w:p w14:paraId="136EBF9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 clinician uses within care</w:t>
            </w:r>
          </w:p>
        </w:tc>
        <w:tc>
          <w:tcPr>
            <w:tcW w:w="1022" w:type="dxa"/>
          </w:tcPr>
          <w:p w14:paraId="1AB8ADD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Transparent comparators &amp; methods</w:t>
            </w:r>
          </w:p>
        </w:tc>
        <w:tc>
          <w:tcPr>
            <w:tcW w:w="1528" w:type="dxa"/>
          </w:tcPr>
          <w:p w14:paraId="39F0F9F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Incremental benefit context-dependent</w:t>
            </w:r>
          </w:p>
        </w:tc>
        <w:tc>
          <w:tcPr>
            <w:tcW w:w="1036" w:type="dxa"/>
          </w:tcPr>
          <w:p w14:paraId="6CB2B77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Enterprise-scale evaluation of incumbent vs. AI-augmented scores</w:t>
            </w:r>
          </w:p>
        </w:tc>
        <w:tc>
          <w:tcPr>
            <w:tcW w:w="1202" w:type="dxa"/>
          </w:tcPr>
          <w:p w14:paraId="1F366E8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w:t>
            </w:r>
            <w:proofErr w:type="spellStart"/>
            <w:r w:rsidRPr="00DB10F9">
              <w:rPr>
                <w:rFonts w:ascii="Arial" w:eastAsia="Arial" w:hAnsi="Arial" w:cs="Arial"/>
                <w:sz w:val="20"/>
                <w:szCs w:val="20"/>
              </w:rPr>
              <w:t>centre</w:t>
            </w:r>
            <w:proofErr w:type="spellEnd"/>
            <w:r w:rsidRPr="00DB10F9">
              <w:rPr>
                <w:rFonts w:ascii="Arial" w:eastAsia="Arial" w:hAnsi="Arial" w:cs="Arial"/>
                <w:sz w:val="20"/>
                <w:szCs w:val="20"/>
              </w:rPr>
              <w:t xml:space="preserve"> comparison: insights on transferability</w:t>
            </w:r>
          </w:p>
        </w:tc>
        <w:tc>
          <w:tcPr>
            <w:tcW w:w="1382" w:type="dxa"/>
          </w:tcPr>
          <w:p w14:paraId="063A564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Enterprise-level evaluation</w:t>
            </w:r>
          </w:p>
        </w:tc>
        <w:tc>
          <w:tcPr>
            <w:tcW w:w="1690" w:type="dxa"/>
          </w:tcPr>
          <w:p w14:paraId="070DC974" w14:textId="0BA9AB88" w:rsidR="00230FB4" w:rsidRPr="00DB10F9" w:rsidRDefault="00C66F98">
            <w:pPr>
              <w:rPr>
                <w:rFonts w:ascii="Arial" w:eastAsia="Arial" w:hAnsi="Arial" w:cs="Arial"/>
                <w:sz w:val="20"/>
                <w:szCs w:val="20"/>
              </w:rPr>
            </w:pPr>
            <w:r w:rsidRPr="00DB10F9">
              <w:rPr>
                <w:rFonts w:ascii="Arial" w:eastAsia="Arial" w:hAnsi="Arial" w:cs="Arial"/>
                <w:sz w:val="20"/>
                <w:szCs w:val="20"/>
              </w:rPr>
              <w:t>1. Benchmark AI tools against incumbent methods before large-scale rollout.</w:t>
            </w:r>
            <w:r w:rsidRPr="00DB10F9">
              <w:rPr>
                <w:rFonts w:ascii="Arial" w:eastAsia="Arial" w:hAnsi="Arial" w:cs="Arial"/>
                <w:sz w:val="20"/>
                <w:szCs w:val="20"/>
              </w:rPr>
              <w:br/>
              <w:t>2. Quantify incremental value under different clinical contexts to justify adoption.</w:t>
            </w:r>
            <w:r w:rsidRPr="00DB10F9">
              <w:rPr>
                <w:rFonts w:ascii="Arial" w:eastAsia="Arial" w:hAnsi="Arial" w:cs="Arial"/>
                <w:sz w:val="20"/>
                <w:szCs w:val="20"/>
              </w:rPr>
              <w:br/>
              <w:t>3. Use comparative evidence to inform enterprise-level scaling decisions.</w:t>
            </w:r>
          </w:p>
        </w:tc>
      </w:tr>
      <w:tr w:rsidR="00230FB4" w:rsidRPr="00DB10F9" w14:paraId="711A2B2E" w14:textId="77777777" w:rsidTr="00976E25">
        <w:tc>
          <w:tcPr>
            <w:tcW w:w="1049" w:type="dxa"/>
          </w:tcPr>
          <w:p w14:paraId="19AFF95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Henry et al., 2022</w:t>
            </w:r>
          </w:p>
        </w:tc>
        <w:tc>
          <w:tcPr>
            <w:tcW w:w="1062" w:type="dxa"/>
          </w:tcPr>
          <w:p w14:paraId="0EFD9FE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Sepsis early warning (adoption)</w:t>
            </w:r>
          </w:p>
        </w:tc>
        <w:tc>
          <w:tcPr>
            <w:tcW w:w="996" w:type="dxa"/>
          </w:tcPr>
          <w:p w14:paraId="32ED23B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Multi-hospital inpatient</w:t>
            </w:r>
          </w:p>
        </w:tc>
        <w:tc>
          <w:tcPr>
            <w:tcW w:w="1029" w:type="dxa"/>
          </w:tcPr>
          <w:p w14:paraId="4E7FC41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Observational (adoption &amp; timing)</w:t>
            </w:r>
          </w:p>
        </w:tc>
        <w:tc>
          <w:tcPr>
            <w:tcW w:w="1182" w:type="dxa"/>
          </w:tcPr>
          <w:p w14:paraId="1691E74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 with acknowledgement workflow</w:t>
            </w:r>
          </w:p>
        </w:tc>
        <w:tc>
          <w:tcPr>
            <w:tcW w:w="1022" w:type="dxa"/>
          </w:tcPr>
          <w:p w14:paraId="7661F7C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Adoption/time-to-treatment telemetry</w:t>
            </w:r>
          </w:p>
        </w:tc>
        <w:tc>
          <w:tcPr>
            <w:tcW w:w="1528" w:type="dxa"/>
          </w:tcPr>
          <w:p w14:paraId="276BE34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Earlier treatment when alerts are engaged</w:t>
            </w:r>
          </w:p>
        </w:tc>
        <w:tc>
          <w:tcPr>
            <w:tcW w:w="1036" w:type="dxa"/>
          </w:tcPr>
          <w:p w14:paraId="70FB5EB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Production system; focus on adoption </w:t>
            </w:r>
            <w:proofErr w:type="spellStart"/>
            <w:r w:rsidRPr="00DB10F9">
              <w:rPr>
                <w:rFonts w:ascii="Arial" w:eastAsia="Arial" w:hAnsi="Arial" w:cs="Arial"/>
                <w:sz w:val="20"/>
                <w:szCs w:val="20"/>
              </w:rPr>
              <w:t>behaviour</w:t>
            </w:r>
            <w:proofErr w:type="spellEnd"/>
          </w:p>
        </w:tc>
        <w:tc>
          <w:tcPr>
            <w:tcW w:w="1202" w:type="dxa"/>
          </w:tcPr>
          <w:p w14:paraId="766E056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Multi-hospital operational context</w:t>
            </w:r>
          </w:p>
        </w:tc>
        <w:tc>
          <w:tcPr>
            <w:tcW w:w="1382" w:type="dxa"/>
          </w:tcPr>
          <w:p w14:paraId="75D1EF6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Provider-level engagement tracking</w:t>
            </w:r>
          </w:p>
        </w:tc>
        <w:tc>
          <w:tcPr>
            <w:tcW w:w="1690" w:type="dxa"/>
          </w:tcPr>
          <w:p w14:paraId="11D9F1B3" w14:textId="26808C7F" w:rsidR="00230FB4" w:rsidRPr="00DB10F9" w:rsidRDefault="00C66F98">
            <w:pPr>
              <w:rPr>
                <w:rFonts w:ascii="Arial" w:eastAsia="Arial" w:hAnsi="Arial" w:cs="Arial"/>
                <w:sz w:val="20"/>
                <w:szCs w:val="20"/>
              </w:rPr>
            </w:pPr>
            <w:r w:rsidRPr="00DB10F9">
              <w:rPr>
                <w:rFonts w:ascii="Arial" w:eastAsia="Arial" w:hAnsi="Arial" w:cs="Arial"/>
                <w:sz w:val="20"/>
                <w:szCs w:val="20"/>
              </w:rPr>
              <w:t>1. Track clinician interaction data to uncover behavioral drivers of adoption.</w:t>
            </w:r>
            <w:r w:rsidRPr="00DB10F9">
              <w:rPr>
                <w:rFonts w:ascii="Arial" w:eastAsia="Arial" w:hAnsi="Arial" w:cs="Arial"/>
                <w:sz w:val="20"/>
                <w:szCs w:val="20"/>
              </w:rPr>
              <w:br/>
              <w:t xml:space="preserve">2. Build transparent feedback loops to enhance trust </w:t>
            </w:r>
            <w:r w:rsidRPr="00DB10F9">
              <w:rPr>
                <w:rFonts w:ascii="Arial" w:eastAsia="Arial" w:hAnsi="Arial" w:cs="Arial"/>
                <w:sz w:val="20"/>
                <w:szCs w:val="20"/>
              </w:rPr>
              <w:lastRenderedPageBreak/>
              <w:t>and accountability.</w:t>
            </w:r>
            <w:r w:rsidRPr="00DB10F9">
              <w:rPr>
                <w:rFonts w:ascii="Arial" w:eastAsia="Arial" w:hAnsi="Arial" w:cs="Arial"/>
                <w:sz w:val="20"/>
                <w:szCs w:val="20"/>
              </w:rPr>
              <w:br/>
              <w:t>3. Treat engagement and trust as core determinants of system effectiveness.</w:t>
            </w:r>
          </w:p>
        </w:tc>
      </w:tr>
      <w:tr w:rsidR="00230FB4" w:rsidRPr="00DB10F9" w14:paraId="47007EC1" w14:textId="77777777" w:rsidTr="00976E25">
        <w:tc>
          <w:tcPr>
            <w:tcW w:w="1049" w:type="dxa"/>
          </w:tcPr>
          <w:p w14:paraId="13F764A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Hillis et al., 2022</w:t>
            </w:r>
          </w:p>
        </w:tc>
        <w:tc>
          <w:tcPr>
            <w:tcW w:w="1062" w:type="dxa"/>
          </w:tcPr>
          <w:p w14:paraId="14DDCFC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Imaging detection (pneumothorax)</w:t>
            </w:r>
          </w:p>
        </w:tc>
        <w:tc>
          <w:tcPr>
            <w:tcW w:w="996" w:type="dxa"/>
          </w:tcPr>
          <w:p w14:paraId="1C7824F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ED/chest radiography (multi-site)</w:t>
            </w:r>
          </w:p>
        </w:tc>
        <w:tc>
          <w:tcPr>
            <w:tcW w:w="1029" w:type="dxa"/>
          </w:tcPr>
          <w:p w14:paraId="482DCE6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Multi-site diagnostic evaluation</w:t>
            </w:r>
          </w:p>
        </w:tc>
        <w:tc>
          <w:tcPr>
            <w:tcW w:w="1182" w:type="dxa"/>
          </w:tcPr>
          <w:p w14:paraId="2053F64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 CAD/triage; radiologist final</w:t>
            </w:r>
          </w:p>
        </w:tc>
        <w:tc>
          <w:tcPr>
            <w:tcW w:w="1022" w:type="dxa"/>
          </w:tcPr>
          <w:p w14:paraId="501B9F6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Model &amp; performance disclosure</w:t>
            </w:r>
          </w:p>
        </w:tc>
        <w:tc>
          <w:tcPr>
            <w:tcW w:w="1528" w:type="dxa"/>
          </w:tcPr>
          <w:p w14:paraId="4EBE8F8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High accuracy, incl. tension pneumothorax</w:t>
            </w:r>
          </w:p>
        </w:tc>
        <w:tc>
          <w:tcPr>
            <w:tcW w:w="1036" w:type="dxa"/>
          </w:tcPr>
          <w:p w14:paraId="7F9408F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Pre-implementation diagnostic evaluation</w:t>
            </w:r>
          </w:p>
        </w:tc>
        <w:tc>
          <w:tcPr>
            <w:tcW w:w="1202" w:type="dxa"/>
          </w:tcPr>
          <w:p w14:paraId="6D2932B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Multi-site U.S. dataset; ED radiographs</w:t>
            </w:r>
          </w:p>
        </w:tc>
        <w:tc>
          <w:tcPr>
            <w:tcW w:w="1382" w:type="dxa"/>
          </w:tcPr>
          <w:p w14:paraId="608C674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Site QA processes</w:t>
            </w:r>
          </w:p>
        </w:tc>
        <w:tc>
          <w:tcPr>
            <w:tcW w:w="1690" w:type="dxa"/>
          </w:tcPr>
          <w:p w14:paraId="05632148" w14:textId="7A769045" w:rsidR="00230FB4" w:rsidRPr="00DB10F9" w:rsidRDefault="00C66F98">
            <w:pPr>
              <w:rPr>
                <w:rFonts w:ascii="Arial" w:eastAsia="Arial" w:hAnsi="Arial" w:cs="Arial"/>
                <w:sz w:val="20"/>
                <w:szCs w:val="20"/>
              </w:rPr>
            </w:pPr>
            <w:r w:rsidRPr="00DB10F9">
              <w:rPr>
                <w:rFonts w:ascii="Arial" w:eastAsia="Arial" w:hAnsi="Arial" w:cs="Arial"/>
                <w:sz w:val="20"/>
                <w:szCs w:val="20"/>
              </w:rPr>
              <w:t>1. Require built-in fail-safe escalation paths for all assistive diagnostic AI tools.</w:t>
            </w:r>
            <w:r w:rsidRPr="00DB10F9">
              <w:rPr>
                <w:rFonts w:ascii="Arial" w:eastAsia="Arial" w:hAnsi="Arial" w:cs="Arial"/>
                <w:sz w:val="20"/>
                <w:szCs w:val="20"/>
              </w:rPr>
              <w:br/>
              <w:t>2. Standardize transparency in model performance reporting across sites.</w:t>
            </w:r>
            <w:r w:rsidRPr="00DB10F9">
              <w:rPr>
                <w:rFonts w:ascii="Arial" w:eastAsia="Arial" w:hAnsi="Arial" w:cs="Arial"/>
                <w:sz w:val="20"/>
                <w:szCs w:val="20"/>
              </w:rPr>
              <w:br/>
              <w:t>3. Embed local QA processes to catch context-specific failure modes early.</w:t>
            </w:r>
          </w:p>
        </w:tc>
      </w:tr>
      <w:tr w:rsidR="00230FB4" w:rsidRPr="00DB10F9" w14:paraId="62F97CFF" w14:textId="77777777" w:rsidTr="00976E25">
        <w:tc>
          <w:tcPr>
            <w:tcW w:w="1049" w:type="dxa"/>
          </w:tcPr>
          <w:p w14:paraId="790B8368" w14:textId="77777777" w:rsidR="00230FB4" w:rsidRPr="00DB10F9" w:rsidRDefault="0040531C">
            <w:pPr>
              <w:rPr>
                <w:rFonts w:ascii="Arial" w:eastAsia="Arial" w:hAnsi="Arial" w:cs="Arial"/>
                <w:sz w:val="20"/>
                <w:szCs w:val="20"/>
                <w:lang w:val="de-DE"/>
              </w:rPr>
            </w:pPr>
            <w:r w:rsidRPr="00DB10F9">
              <w:rPr>
                <w:rFonts w:ascii="Arial" w:eastAsia="Arial" w:hAnsi="Arial" w:cs="Arial"/>
                <w:sz w:val="20"/>
                <w:szCs w:val="20"/>
                <w:lang w:val="de-DE"/>
              </w:rPr>
              <w:t>Huang, J. J., et al., 2024</w:t>
            </w:r>
          </w:p>
        </w:tc>
        <w:tc>
          <w:tcPr>
            <w:tcW w:w="1062" w:type="dxa"/>
          </w:tcPr>
          <w:p w14:paraId="49BD300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Autonomous diagnostic (diabetic eye disease)</w:t>
            </w:r>
          </w:p>
        </w:tc>
        <w:tc>
          <w:tcPr>
            <w:tcW w:w="996" w:type="dxa"/>
          </w:tcPr>
          <w:p w14:paraId="79E96BE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Underserved clinics</w:t>
            </w:r>
          </w:p>
        </w:tc>
        <w:tc>
          <w:tcPr>
            <w:tcW w:w="1029" w:type="dxa"/>
          </w:tcPr>
          <w:p w14:paraId="0ADDE04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Pragmatic implementation</w:t>
            </w:r>
          </w:p>
        </w:tc>
        <w:tc>
          <w:tcPr>
            <w:tcW w:w="1182" w:type="dxa"/>
          </w:tcPr>
          <w:p w14:paraId="7CF0D4F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Autonomous refer/no-refer; clinician referral pathway</w:t>
            </w:r>
          </w:p>
        </w:tc>
        <w:tc>
          <w:tcPr>
            <w:tcW w:w="1022" w:type="dxa"/>
          </w:tcPr>
          <w:p w14:paraId="3E27AA4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Autonomous use spec; patient communication</w:t>
            </w:r>
          </w:p>
        </w:tc>
        <w:tc>
          <w:tcPr>
            <w:tcW w:w="1528" w:type="dxa"/>
          </w:tcPr>
          <w:p w14:paraId="12BD3566" w14:textId="77777777" w:rsidR="00230FB4" w:rsidRPr="00DB10F9" w:rsidRDefault="00DF0498">
            <w:pPr>
              <w:rPr>
                <w:rFonts w:ascii="Arial" w:eastAsia="Arial" w:hAnsi="Arial" w:cs="Arial"/>
                <w:sz w:val="20"/>
                <w:szCs w:val="20"/>
              </w:rPr>
            </w:pPr>
            <w:sdt>
              <w:sdtPr>
                <w:rPr>
                  <w:rFonts w:ascii="Arial" w:hAnsi="Arial" w:cs="Arial"/>
                </w:rPr>
                <w:tag w:val="goog_rdk_1"/>
                <w:id w:val="-632123543"/>
              </w:sdtPr>
              <w:sdtEndPr/>
              <w:sdtContent>
                <w:r w:rsidR="0040531C" w:rsidRPr="00DB10F9">
                  <w:rPr>
                    <w:rFonts w:ascii="Arial" w:eastAsia="Arial Unicode MS" w:hAnsi="Arial" w:cs="Arial"/>
                    <w:sz w:val="20"/>
                    <w:szCs w:val="20"/>
                  </w:rPr>
                  <w:t>↑ Screening completion; access gains</w:t>
                </w:r>
              </w:sdtContent>
            </w:sdt>
          </w:p>
        </w:tc>
        <w:tc>
          <w:tcPr>
            <w:tcW w:w="1036" w:type="dxa"/>
          </w:tcPr>
          <w:p w14:paraId="7FB6535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Operational implementation in clinics</w:t>
            </w:r>
          </w:p>
        </w:tc>
        <w:tc>
          <w:tcPr>
            <w:tcW w:w="1202" w:type="dxa"/>
          </w:tcPr>
          <w:p w14:paraId="10A7D67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Deployed in underserved U.S. clinics; pragmatic generalizability</w:t>
            </w:r>
          </w:p>
        </w:tc>
        <w:tc>
          <w:tcPr>
            <w:tcW w:w="1382" w:type="dxa"/>
          </w:tcPr>
          <w:p w14:paraId="11DAA2E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Implementation monitoring</w:t>
            </w:r>
          </w:p>
        </w:tc>
        <w:tc>
          <w:tcPr>
            <w:tcW w:w="1690" w:type="dxa"/>
          </w:tcPr>
          <w:p w14:paraId="0BA8BA23" w14:textId="7D655DFE" w:rsidR="00230FB4" w:rsidRPr="00DB10F9" w:rsidRDefault="00C66F98">
            <w:pPr>
              <w:rPr>
                <w:rFonts w:ascii="Arial" w:eastAsia="Arial" w:hAnsi="Arial" w:cs="Arial"/>
                <w:sz w:val="20"/>
                <w:szCs w:val="20"/>
              </w:rPr>
            </w:pPr>
            <w:r w:rsidRPr="00DB10F9">
              <w:rPr>
                <w:rFonts w:ascii="Arial" w:eastAsia="Arial" w:hAnsi="Arial" w:cs="Arial"/>
                <w:sz w:val="20"/>
                <w:szCs w:val="20"/>
              </w:rPr>
              <w:t>1. Use autonomy to expand access responsibly in underserved populations.</w:t>
            </w:r>
            <w:r w:rsidRPr="00DB10F9">
              <w:rPr>
                <w:rFonts w:ascii="Arial" w:eastAsia="Arial" w:hAnsi="Arial" w:cs="Arial"/>
                <w:sz w:val="20"/>
                <w:szCs w:val="20"/>
              </w:rPr>
              <w:br/>
              <w:t>2. Maintain human referral pathways to ensure patient safety.</w:t>
            </w:r>
            <w:r w:rsidRPr="00DB10F9">
              <w:rPr>
                <w:rFonts w:ascii="Arial" w:eastAsia="Arial" w:hAnsi="Arial" w:cs="Arial"/>
                <w:sz w:val="20"/>
                <w:szCs w:val="20"/>
              </w:rPr>
              <w:br/>
              <w:t xml:space="preserve">3. Embed pragmatic monitoring to </w:t>
            </w:r>
            <w:r w:rsidRPr="00DB10F9">
              <w:rPr>
                <w:rFonts w:ascii="Arial" w:eastAsia="Arial" w:hAnsi="Arial" w:cs="Arial"/>
                <w:sz w:val="20"/>
                <w:szCs w:val="20"/>
              </w:rPr>
              <w:lastRenderedPageBreak/>
              <w:t>validate outcomes across diverse sites.</w:t>
            </w:r>
          </w:p>
        </w:tc>
      </w:tr>
      <w:tr w:rsidR="00230FB4" w:rsidRPr="00DB10F9" w14:paraId="6BF5AE6D" w14:textId="77777777" w:rsidTr="00976E25">
        <w:tc>
          <w:tcPr>
            <w:tcW w:w="1049" w:type="dxa"/>
          </w:tcPr>
          <w:p w14:paraId="183D29E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Huang, J., et al., 2023</w:t>
            </w:r>
          </w:p>
        </w:tc>
        <w:tc>
          <w:tcPr>
            <w:tcW w:w="1062" w:type="dxa"/>
          </w:tcPr>
          <w:p w14:paraId="7D7CCED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Generative-AI report drafting (CXR)</w:t>
            </w:r>
          </w:p>
        </w:tc>
        <w:tc>
          <w:tcPr>
            <w:tcW w:w="996" w:type="dxa"/>
          </w:tcPr>
          <w:p w14:paraId="3818051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ED radiography</w:t>
            </w:r>
          </w:p>
        </w:tc>
        <w:tc>
          <w:tcPr>
            <w:tcW w:w="1029" w:type="dxa"/>
          </w:tcPr>
          <w:p w14:paraId="0C882E4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Diagnostic utility study</w:t>
            </w:r>
          </w:p>
        </w:tc>
        <w:tc>
          <w:tcPr>
            <w:tcW w:w="1182" w:type="dxa"/>
          </w:tcPr>
          <w:p w14:paraId="5F643B5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 content generation; radiologist verifies</w:t>
            </w:r>
          </w:p>
        </w:tc>
        <w:tc>
          <w:tcPr>
            <w:tcW w:w="1022" w:type="dxa"/>
          </w:tcPr>
          <w:p w14:paraId="2345B23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Methods + oversight documented</w:t>
            </w:r>
          </w:p>
        </w:tc>
        <w:tc>
          <w:tcPr>
            <w:tcW w:w="1528" w:type="dxa"/>
          </w:tcPr>
          <w:p w14:paraId="43D24BC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Drafting utility; hallucination risks</w:t>
            </w:r>
          </w:p>
        </w:tc>
        <w:tc>
          <w:tcPr>
            <w:tcW w:w="1036" w:type="dxa"/>
          </w:tcPr>
          <w:p w14:paraId="75B312A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Pilot evaluation within the reporting pipeline</w:t>
            </w:r>
          </w:p>
        </w:tc>
        <w:tc>
          <w:tcPr>
            <w:tcW w:w="1202" w:type="dxa"/>
          </w:tcPr>
          <w:p w14:paraId="71DF4AF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ED setting; additional validation needed for broad use</w:t>
            </w:r>
          </w:p>
        </w:tc>
        <w:tc>
          <w:tcPr>
            <w:tcW w:w="1382" w:type="dxa"/>
          </w:tcPr>
          <w:p w14:paraId="1E4BA57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Mandatory human verification</w:t>
            </w:r>
          </w:p>
        </w:tc>
        <w:tc>
          <w:tcPr>
            <w:tcW w:w="1690" w:type="dxa"/>
          </w:tcPr>
          <w:p w14:paraId="5718C2CA" w14:textId="4D978B27" w:rsidR="00230FB4" w:rsidRPr="00DB10F9" w:rsidRDefault="00C66F98">
            <w:pPr>
              <w:rPr>
                <w:rFonts w:ascii="Arial" w:eastAsia="Arial" w:hAnsi="Arial" w:cs="Arial"/>
                <w:sz w:val="20"/>
                <w:szCs w:val="20"/>
                <w:lang w:val="en-US"/>
              </w:rPr>
            </w:pPr>
            <w:r w:rsidRPr="00DB10F9">
              <w:rPr>
                <w:rFonts w:ascii="Arial" w:eastAsia="Arial" w:hAnsi="Arial" w:cs="Arial"/>
                <w:sz w:val="20"/>
                <w:szCs w:val="20"/>
              </w:rPr>
              <w:t>1. Enforce mandatory human verification for all generative AI clinical outputs.</w:t>
            </w:r>
            <w:r w:rsidRPr="00DB10F9">
              <w:rPr>
                <w:rFonts w:ascii="Arial" w:eastAsia="Arial" w:hAnsi="Arial" w:cs="Arial"/>
                <w:sz w:val="20"/>
                <w:szCs w:val="20"/>
              </w:rPr>
              <w:br/>
              <w:t>2. Document provenance and oversight for every generated report.</w:t>
            </w:r>
            <w:r w:rsidRPr="00DB10F9">
              <w:rPr>
                <w:rFonts w:ascii="Arial" w:eastAsia="Arial" w:hAnsi="Arial" w:cs="Arial"/>
                <w:sz w:val="20"/>
                <w:szCs w:val="20"/>
              </w:rPr>
              <w:br/>
              <w:t>3. Implement real-time auditing to detect and mitigate hallucination risks.</w:t>
            </w:r>
          </w:p>
        </w:tc>
      </w:tr>
      <w:tr w:rsidR="00230FB4" w:rsidRPr="00DB10F9" w14:paraId="172483EB" w14:textId="77777777" w:rsidTr="00976E25">
        <w:tc>
          <w:tcPr>
            <w:tcW w:w="1049" w:type="dxa"/>
          </w:tcPr>
          <w:p w14:paraId="4B316CC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Kennedy &amp; Rudd, 2022</w:t>
            </w:r>
          </w:p>
        </w:tc>
        <w:tc>
          <w:tcPr>
            <w:tcW w:w="1062" w:type="dxa"/>
          </w:tcPr>
          <w:p w14:paraId="4226FEC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Sepsis early warning (system outcomes)</w:t>
            </w:r>
          </w:p>
        </w:tc>
        <w:tc>
          <w:tcPr>
            <w:tcW w:w="996" w:type="dxa"/>
          </w:tcPr>
          <w:p w14:paraId="6D084AF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Multi-hospital</w:t>
            </w:r>
          </w:p>
        </w:tc>
        <w:tc>
          <w:tcPr>
            <w:tcW w:w="1029" w:type="dxa"/>
          </w:tcPr>
          <w:p w14:paraId="7230D48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Real-world implementation evaluation</w:t>
            </w:r>
          </w:p>
        </w:tc>
        <w:tc>
          <w:tcPr>
            <w:tcW w:w="1182" w:type="dxa"/>
          </w:tcPr>
          <w:p w14:paraId="5656F19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 within sepsis bundles</w:t>
            </w:r>
          </w:p>
        </w:tc>
        <w:tc>
          <w:tcPr>
            <w:tcW w:w="1022" w:type="dxa"/>
          </w:tcPr>
          <w:p w14:paraId="607E71D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Program evaluation transparency</w:t>
            </w:r>
          </w:p>
        </w:tc>
        <w:tc>
          <w:tcPr>
            <w:tcW w:w="1528" w:type="dxa"/>
          </w:tcPr>
          <w:p w14:paraId="6DE20BF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Improved outcomes/process measures</w:t>
            </w:r>
          </w:p>
        </w:tc>
        <w:tc>
          <w:tcPr>
            <w:tcW w:w="1036" w:type="dxa"/>
          </w:tcPr>
          <w:p w14:paraId="13F2BC4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Production implementation</w:t>
            </w:r>
          </w:p>
        </w:tc>
        <w:tc>
          <w:tcPr>
            <w:tcW w:w="1202" w:type="dxa"/>
          </w:tcPr>
          <w:p w14:paraId="622EDC9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Multi-hospital; system-level learning</w:t>
            </w:r>
          </w:p>
        </w:tc>
        <w:tc>
          <w:tcPr>
            <w:tcW w:w="1382" w:type="dxa"/>
          </w:tcPr>
          <w:p w14:paraId="3AD282E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Health-system surveillance</w:t>
            </w:r>
          </w:p>
        </w:tc>
        <w:tc>
          <w:tcPr>
            <w:tcW w:w="1690" w:type="dxa"/>
          </w:tcPr>
          <w:p w14:paraId="38F481CE" w14:textId="3B11D02B" w:rsidR="00230FB4" w:rsidRPr="00DB10F9" w:rsidRDefault="00EF7E1E">
            <w:pPr>
              <w:rPr>
                <w:rFonts w:ascii="Arial" w:eastAsia="Arial" w:hAnsi="Arial" w:cs="Arial"/>
                <w:sz w:val="20"/>
                <w:szCs w:val="20"/>
                <w:lang w:val="en-US"/>
              </w:rPr>
            </w:pPr>
            <w:r w:rsidRPr="00DB10F9">
              <w:rPr>
                <w:rFonts w:ascii="Arial" w:eastAsia="Arial" w:hAnsi="Arial" w:cs="Arial"/>
                <w:sz w:val="20"/>
                <w:szCs w:val="20"/>
              </w:rPr>
              <w:t>1. Couple AI governance structures directly with clinical care bundles.</w:t>
            </w:r>
            <w:r w:rsidRPr="00DB10F9">
              <w:rPr>
                <w:rFonts w:ascii="Arial" w:eastAsia="Arial" w:hAnsi="Arial" w:cs="Arial"/>
                <w:sz w:val="20"/>
                <w:szCs w:val="20"/>
              </w:rPr>
              <w:br/>
              <w:t>2. Use transparent program evaluations to demonstrate causal impact.</w:t>
            </w:r>
            <w:r w:rsidRPr="00DB10F9">
              <w:rPr>
                <w:rFonts w:ascii="Arial" w:eastAsia="Arial" w:hAnsi="Arial" w:cs="Arial"/>
                <w:sz w:val="20"/>
                <w:szCs w:val="20"/>
              </w:rPr>
              <w:br/>
              <w:t>3. Leverage system-level learning loops to refine governance continuously.</w:t>
            </w:r>
          </w:p>
        </w:tc>
      </w:tr>
      <w:tr w:rsidR="00230FB4" w:rsidRPr="00DB10F9" w14:paraId="2D967A50" w14:textId="77777777" w:rsidTr="00976E25">
        <w:tc>
          <w:tcPr>
            <w:tcW w:w="1049" w:type="dxa"/>
          </w:tcPr>
          <w:p w14:paraId="6EE59E2B" w14:textId="77777777" w:rsidR="00230FB4" w:rsidRPr="00DB10F9" w:rsidRDefault="0040531C">
            <w:pPr>
              <w:rPr>
                <w:rFonts w:ascii="Arial" w:eastAsia="Arial" w:hAnsi="Arial" w:cs="Arial"/>
                <w:sz w:val="20"/>
                <w:szCs w:val="20"/>
              </w:rPr>
            </w:pPr>
            <w:proofErr w:type="spellStart"/>
            <w:r w:rsidRPr="00DB10F9">
              <w:rPr>
                <w:rFonts w:ascii="Arial" w:eastAsia="Arial" w:hAnsi="Arial" w:cs="Arial"/>
                <w:sz w:val="20"/>
                <w:szCs w:val="20"/>
              </w:rPr>
              <w:lastRenderedPageBreak/>
              <w:t>Ladabaum</w:t>
            </w:r>
            <w:proofErr w:type="spellEnd"/>
            <w:r w:rsidRPr="00DB10F9">
              <w:rPr>
                <w:rFonts w:ascii="Arial" w:eastAsia="Arial" w:hAnsi="Arial" w:cs="Arial"/>
                <w:sz w:val="20"/>
                <w:szCs w:val="20"/>
              </w:rPr>
              <w:t xml:space="preserve"> et al., 2023</w:t>
            </w:r>
          </w:p>
        </w:tc>
        <w:tc>
          <w:tcPr>
            <w:tcW w:w="1062" w:type="dxa"/>
          </w:tcPr>
          <w:p w14:paraId="79F1C29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Endoscopy </w:t>
            </w:r>
            <w:proofErr w:type="spellStart"/>
            <w:r w:rsidRPr="00DB10F9">
              <w:rPr>
                <w:rFonts w:ascii="Arial" w:eastAsia="Arial" w:hAnsi="Arial" w:cs="Arial"/>
                <w:sz w:val="20"/>
                <w:szCs w:val="20"/>
              </w:rPr>
              <w:t>CADe</w:t>
            </w:r>
            <w:proofErr w:type="spellEnd"/>
            <w:r w:rsidRPr="00DB10F9">
              <w:rPr>
                <w:rFonts w:ascii="Arial" w:eastAsia="Arial" w:hAnsi="Arial" w:cs="Arial"/>
                <w:sz w:val="20"/>
                <w:szCs w:val="20"/>
              </w:rPr>
              <w:t xml:space="preserve"> (polyp detection)</w:t>
            </w:r>
          </w:p>
        </w:tc>
        <w:tc>
          <w:tcPr>
            <w:tcW w:w="996" w:type="dxa"/>
          </w:tcPr>
          <w:p w14:paraId="4AC40FE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Community &amp; academic</w:t>
            </w:r>
          </w:p>
        </w:tc>
        <w:tc>
          <w:tcPr>
            <w:tcW w:w="1029" w:type="dxa"/>
          </w:tcPr>
          <w:p w14:paraId="5EA3B98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Pragmatic implementation trial</w:t>
            </w:r>
          </w:p>
        </w:tc>
        <w:tc>
          <w:tcPr>
            <w:tcW w:w="1182" w:type="dxa"/>
          </w:tcPr>
          <w:p w14:paraId="4A12813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 overlay; endoscopist decides</w:t>
            </w:r>
          </w:p>
        </w:tc>
        <w:tc>
          <w:tcPr>
            <w:tcW w:w="1022" w:type="dxa"/>
          </w:tcPr>
          <w:p w14:paraId="42F3BB6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Trial protocol transparency</w:t>
            </w:r>
          </w:p>
        </w:tc>
        <w:tc>
          <w:tcPr>
            <w:tcW w:w="1528" w:type="dxa"/>
          </w:tcPr>
          <w:p w14:paraId="1B6A110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No significant improvement vs. baseline</w:t>
            </w:r>
          </w:p>
        </w:tc>
        <w:tc>
          <w:tcPr>
            <w:tcW w:w="1036" w:type="dxa"/>
          </w:tcPr>
          <w:p w14:paraId="4F1BF78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Real-world pragmatic implementation</w:t>
            </w:r>
          </w:p>
        </w:tc>
        <w:tc>
          <w:tcPr>
            <w:tcW w:w="1202" w:type="dxa"/>
          </w:tcPr>
          <w:p w14:paraId="7EF3186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Community + academic </w:t>
            </w:r>
            <w:proofErr w:type="spellStart"/>
            <w:r w:rsidRPr="00DB10F9">
              <w:rPr>
                <w:rFonts w:ascii="Arial" w:eastAsia="Arial" w:hAnsi="Arial" w:cs="Arial"/>
                <w:sz w:val="20"/>
                <w:szCs w:val="20"/>
              </w:rPr>
              <w:t>centres</w:t>
            </w:r>
            <w:proofErr w:type="spellEnd"/>
            <w:r w:rsidRPr="00DB10F9">
              <w:rPr>
                <w:rFonts w:ascii="Arial" w:eastAsia="Arial" w:hAnsi="Arial" w:cs="Arial"/>
                <w:sz w:val="20"/>
                <w:szCs w:val="20"/>
              </w:rPr>
              <w:t>; practice-level insights</w:t>
            </w:r>
          </w:p>
        </w:tc>
        <w:tc>
          <w:tcPr>
            <w:tcW w:w="1382" w:type="dxa"/>
          </w:tcPr>
          <w:p w14:paraId="4EFB3F7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Routine endoscopy QA</w:t>
            </w:r>
          </w:p>
        </w:tc>
        <w:tc>
          <w:tcPr>
            <w:tcW w:w="1690" w:type="dxa"/>
          </w:tcPr>
          <w:p w14:paraId="17BFA12A" w14:textId="4AC7BC49" w:rsidR="00230FB4" w:rsidRPr="00DB10F9" w:rsidRDefault="00EF7E1E">
            <w:pPr>
              <w:rPr>
                <w:rFonts w:ascii="Arial" w:eastAsia="Arial" w:hAnsi="Arial" w:cs="Arial"/>
                <w:sz w:val="20"/>
                <w:szCs w:val="20"/>
                <w:lang w:val="en-US"/>
              </w:rPr>
            </w:pPr>
            <w:r w:rsidRPr="00DB10F9">
              <w:rPr>
                <w:rFonts w:ascii="Arial" w:eastAsia="Arial" w:hAnsi="Arial" w:cs="Arial"/>
                <w:sz w:val="20"/>
                <w:szCs w:val="20"/>
              </w:rPr>
              <w:t>1. Interpret negative trial results as signals for cautious integration, not rejection.</w:t>
            </w:r>
            <w:r w:rsidRPr="00DB10F9">
              <w:rPr>
                <w:rFonts w:ascii="Arial" w:eastAsia="Arial" w:hAnsi="Arial" w:cs="Arial"/>
                <w:sz w:val="20"/>
                <w:szCs w:val="20"/>
              </w:rPr>
              <w:br/>
              <w:t>2. Reassess context fit before further deployment.</w:t>
            </w:r>
            <w:r w:rsidRPr="00DB10F9">
              <w:rPr>
                <w:rFonts w:ascii="Arial" w:eastAsia="Arial" w:hAnsi="Arial" w:cs="Arial"/>
                <w:sz w:val="20"/>
                <w:szCs w:val="20"/>
              </w:rPr>
              <w:br/>
              <w:t>3. Require adaptive design updates before reintroduction into practice.</w:t>
            </w:r>
          </w:p>
        </w:tc>
      </w:tr>
      <w:tr w:rsidR="00230FB4" w:rsidRPr="00DB10F9" w14:paraId="1B07C113" w14:textId="77777777" w:rsidTr="00976E25">
        <w:tc>
          <w:tcPr>
            <w:tcW w:w="1049" w:type="dxa"/>
          </w:tcPr>
          <w:p w14:paraId="00DF0F6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Obermeyer et al., 2019</w:t>
            </w:r>
          </w:p>
        </w:tc>
        <w:tc>
          <w:tcPr>
            <w:tcW w:w="1062" w:type="dxa"/>
          </w:tcPr>
          <w:p w14:paraId="085FA39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Pop-health risk stratification</w:t>
            </w:r>
          </w:p>
        </w:tc>
        <w:tc>
          <w:tcPr>
            <w:tcW w:w="996" w:type="dxa"/>
          </w:tcPr>
          <w:p w14:paraId="5812926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Payer/provider panels</w:t>
            </w:r>
          </w:p>
        </w:tc>
        <w:tc>
          <w:tcPr>
            <w:tcW w:w="1029" w:type="dxa"/>
          </w:tcPr>
          <w:p w14:paraId="5B8806A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Retrospective algorithm audit</w:t>
            </w:r>
          </w:p>
        </w:tc>
        <w:tc>
          <w:tcPr>
            <w:tcW w:w="1182" w:type="dxa"/>
          </w:tcPr>
          <w:p w14:paraId="0C74D6F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 panel selection</w:t>
            </w:r>
          </w:p>
        </w:tc>
        <w:tc>
          <w:tcPr>
            <w:tcW w:w="1022" w:type="dxa"/>
          </w:tcPr>
          <w:p w14:paraId="7966A8F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Post-hoc audit of vendor black box</w:t>
            </w:r>
          </w:p>
        </w:tc>
        <w:tc>
          <w:tcPr>
            <w:tcW w:w="1528" w:type="dxa"/>
          </w:tcPr>
          <w:p w14:paraId="726C647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Allocation skew from biased label (cost)</w:t>
            </w:r>
          </w:p>
        </w:tc>
        <w:tc>
          <w:tcPr>
            <w:tcW w:w="1036" w:type="dxa"/>
          </w:tcPr>
          <w:p w14:paraId="4357228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Post-deployment audit of a widely used tool</w:t>
            </w:r>
          </w:p>
        </w:tc>
        <w:tc>
          <w:tcPr>
            <w:tcW w:w="1202" w:type="dxa"/>
          </w:tcPr>
          <w:p w14:paraId="00D4E4F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Cross-system payer/provider data; transferability concerns</w:t>
            </w:r>
          </w:p>
        </w:tc>
        <w:tc>
          <w:tcPr>
            <w:tcW w:w="1382" w:type="dxa"/>
          </w:tcPr>
          <w:p w14:paraId="0260D9F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Audit (not proactive monitoring)</w:t>
            </w:r>
          </w:p>
        </w:tc>
        <w:tc>
          <w:tcPr>
            <w:tcW w:w="1690" w:type="dxa"/>
          </w:tcPr>
          <w:p w14:paraId="58965A01" w14:textId="37F6E4BD" w:rsidR="00230FB4" w:rsidRPr="00DB10F9" w:rsidRDefault="00966E16">
            <w:pPr>
              <w:rPr>
                <w:rFonts w:ascii="Arial" w:eastAsia="Arial" w:hAnsi="Arial" w:cs="Arial"/>
                <w:sz w:val="20"/>
                <w:szCs w:val="20"/>
              </w:rPr>
            </w:pPr>
            <w:r w:rsidRPr="00DB10F9">
              <w:rPr>
                <w:rFonts w:ascii="Arial" w:eastAsia="Arial" w:hAnsi="Arial" w:cs="Arial"/>
                <w:sz w:val="20"/>
                <w:szCs w:val="20"/>
              </w:rPr>
              <w:t>1. Mandate independent audits of high-impact clinical algorithms.</w:t>
            </w:r>
            <w:r w:rsidRPr="00DB10F9">
              <w:rPr>
                <w:rFonts w:ascii="Arial" w:eastAsia="Arial" w:hAnsi="Arial" w:cs="Arial"/>
                <w:sz w:val="20"/>
                <w:szCs w:val="20"/>
              </w:rPr>
              <w:br/>
              <w:t>2. Replace proxy labels with outcome-based metrics to prevent embedded bias.</w:t>
            </w:r>
            <w:r w:rsidRPr="00DB10F9">
              <w:rPr>
                <w:rFonts w:ascii="Arial" w:eastAsia="Arial" w:hAnsi="Arial" w:cs="Arial"/>
                <w:sz w:val="20"/>
                <w:szCs w:val="20"/>
              </w:rPr>
              <w:br/>
              <w:t>3. Require transparency in vendor models to allow pre-deployment fairness checks.</w:t>
            </w:r>
          </w:p>
        </w:tc>
      </w:tr>
      <w:tr w:rsidR="00230FB4" w:rsidRPr="00DB10F9" w14:paraId="4D452454" w14:textId="77777777" w:rsidTr="00976E25">
        <w:tc>
          <w:tcPr>
            <w:tcW w:w="1049" w:type="dxa"/>
          </w:tcPr>
          <w:p w14:paraId="1386C5E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Rothenberg et al., 2023</w:t>
            </w:r>
          </w:p>
        </w:tc>
        <w:tc>
          <w:tcPr>
            <w:tcW w:w="1062" w:type="dxa"/>
          </w:tcPr>
          <w:p w14:paraId="3463EEA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CT PE triage (CTPA)</w:t>
            </w:r>
          </w:p>
        </w:tc>
        <w:tc>
          <w:tcPr>
            <w:tcW w:w="996" w:type="dxa"/>
          </w:tcPr>
          <w:p w14:paraId="78C6BF6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Radiology departments</w:t>
            </w:r>
          </w:p>
        </w:tc>
        <w:tc>
          <w:tcPr>
            <w:tcW w:w="1029" w:type="dxa"/>
          </w:tcPr>
          <w:p w14:paraId="7BA8AFB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Prospective evaluation</w:t>
            </w:r>
          </w:p>
        </w:tc>
        <w:tc>
          <w:tcPr>
            <w:tcW w:w="1182" w:type="dxa"/>
          </w:tcPr>
          <w:p w14:paraId="116B258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 worklist triage</w:t>
            </w:r>
          </w:p>
        </w:tc>
        <w:tc>
          <w:tcPr>
            <w:tcW w:w="1022" w:type="dxa"/>
          </w:tcPr>
          <w:p w14:paraId="568C731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Prospective operations metrics</w:t>
            </w:r>
          </w:p>
        </w:tc>
        <w:tc>
          <w:tcPr>
            <w:tcW w:w="1528" w:type="dxa"/>
          </w:tcPr>
          <w:p w14:paraId="6528A75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Faster </w:t>
            </w:r>
            <w:proofErr w:type="spellStart"/>
            <w:r w:rsidRPr="00DB10F9">
              <w:rPr>
                <w:rFonts w:ascii="Arial" w:eastAsia="Arial" w:hAnsi="Arial" w:cs="Arial"/>
                <w:sz w:val="20"/>
                <w:szCs w:val="20"/>
              </w:rPr>
              <w:t>prioritisation</w:t>
            </w:r>
            <w:proofErr w:type="spellEnd"/>
            <w:r w:rsidRPr="00DB10F9">
              <w:rPr>
                <w:rFonts w:ascii="Arial" w:eastAsia="Arial" w:hAnsi="Arial" w:cs="Arial"/>
                <w:sz w:val="20"/>
                <w:szCs w:val="20"/>
              </w:rPr>
              <w:t>/report TAT</w:t>
            </w:r>
          </w:p>
        </w:tc>
        <w:tc>
          <w:tcPr>
            <w:tcW w:w="1036" w:type="dxa"/>
          </w:tcPr>
          <w:p w14:paraId="63A8172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Live prospective evaluation in operations</w:t>
            </w:r>
          </w:p>
        </w:tc>
        <w:tc>
          <w:tcPr>
            <w:tcW w:w="1202" w:type="dxa"/>
          </w:tcPr>
          <w:p w14:paraId="428D4AF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Multi-site CTPA; operational generalizability</w:t>
            </w:r>
          </w:p>
        </w:tc>
        <w:tc>
          <w:tcPr>
            <w:tcW w:w="1382" w:type="dxa"/>
          </w:tcPr>
          <w:p w14:paraId="41820C7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Live operations monitoring</w:t>
            </w:r>
          </w:p>
        </w:tc>
        <w:tc>
          <w:tcPr>
            <w:tcW w:w="1690" w:type="dxa"/>
          </w:tcPr>
          <w:p w14:paraId="35245106" w14:textId="677AE0ED" w:rsidR="00230FB4" w:rsidRPr="00DB10F9" w:rsidRDefault="00177081">
            <w:pPr>
              <w:rPr>
                <w:rFonts w:ascii="Arial" w:eastAsia="Arial" w:hAnsi="Arial" w:cs="Arial"/>
                <w:sz w:val="20"/>
                <w:szCs w:val="20"/>
              </w:rPr>
            </w:pPr>
            <w:r w:rsidRPr="00DB10F9">
              <w:rPr>
                <w:rFonts w:ascii="Arial" w:eastAsia="Arial" w:hAnsi="Arial" w:cs="Arial"/>
                <w:sz w:val="20"/>
                <w:szCs w:val="20"/>
              </w:rPr>
              <w:t>1. Pair throughput optimization with continuous safety monitoring.</w:t>
            </w:r>
            <w:r w:rsidRPr="00DB10F9">
              <w:rPr>
                <w:rFonts w:ascii="Arial" w:eastAsia="Arial" w:hAnsi="Arial" w:cs="Arial"/>
                <w:sz w:val="20"/>
                <w:szCs w:val="20"/>
              </w:rPr>
              <w:br/>
              <w:t xml:space="preserve">2. Integrate </w:t>
            </w:r>
            <w:r w:rsidRPr="00DB10F9">
              <w:rPr>
                <w:rFonts w:ascii="Arial" w:eastAsia="Arial" w:hAnsi="Arial" w:cs="Arial"/>
                <w:sz w:val="20"/>
                <w:szCs w:val="20"/>
              </w:rPr>
              <w:lastRenderedPageBreak/>
              <w:t>triage tools into existing operational oversight mechanisms.</w:t>
            </w:r>
            <w:r w:rsidRPr="00DB10F9">
              <w:rPr>
                <w:rFonts w:ascii="Arial" w:eastAsia="Arial" w:hAnsi="Arial" w:cs="Arial"/>
                <w:sz w:val="20"/>
                <w:szCs w:val="20"/>
              </w:rPr>
              <w:br/>
              <w:t>3. Audit clinical impact regularly to prevent silent performance drift.</w:t>
            </w:r>
          </w:p>
        </w:tc>
      </w:tr>
      <w:tr w:rsidR="00230FB4" w:rsidRPr="00DB10F9" w14:paraId="466882F9" w14:textId="77777777" w:rsidTr="00976E25">
        <w:tc>
          <w:tcPr>
            <w:tcW w:w="1049" w:type="dxa"/>
          </w:tcPr>
          <w:p w14:paraId="708F797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Savage et al., 2024</w:t>
            </w:r>
          </w:p>
        </w:tc>
        <w:tc>
          <w:tcPr>
            <w:tcW w:w="1062" w:type="dxa"/>
          </w:tcPr>
          <w:p w14:paraId="4B349B7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Incidental PE triage (contrast CT)</w:t>
            </w:r>
          </w:p>
        </w:tc>
        <w:tc>
          <w:tcPr>
            <w:tcW w:w="996" w:type="dxa"/>
          </w:tcPr>
          <w:p w14:paraId="3C3DAD4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Multisite CT services</w:t>
            </w:r>
          </w:p>
        </w:tc>
        <w:tc>
          <w:tcPr>
            <w:tcW w:w="1029" w:type="dxa"/>
          </w:tcPr>
          <w:p w14:paraId="252C5BD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Prospective evaluation</w:t>
            </w:r>
          </w:p>
        </w:tc>
        <w:tc>
          <w:tcPr>
            <w:tcW w:w="1182" w:type="dxa"/>
          </w:tcPr>
          <w:p w14:paraId="31CC676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 worklist triage</w:t>
            </w:r>
          </w:p>
        </w:tc>
        <w:tc>
          <w:tcPr>
            <w:tcW w:w="1022" w:type="dxa"/>
          </w:tcPr>
          <w:p w14:paraId="09A6BC0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Prospective metrics</w:t>
            </w:r>
          </w:p>
        </w:tc>
        <w:tc>
          <w:tcPr>
            <w:tcW w:w="1528" w:type="dxa"/>
          </w:tcPr>
          <w:p w14:paraId="5C87E61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Workflow gains for incidental PE</w:t>
            </w:r>
          </w:p>
        </w:tc>
        <w:tc>
          <w:tcPr>
            <w:tcW w:w="1036" w:type="dxa"/>
          </w:tcPr>
          <w:p w14:paraId="64936EE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Live prospective evaluation in routine practice</w:t>
            </w:r>
          </w:p>
        </w:tc>
        <w:tc>
          <w:tcPr>
            <w:tcW w:w="1202" w:type="dxa"/>
          </w:tcPr>
          <w:p w14:paraId="0713612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Multisite; generalizable across CT services</w:t>
            </w:r>
          </w:p>
        </w:tc>
        <w:tc>
          <w:tcPr>
            <w:tcW w:w="1382" w:type="dxa"/>
          </w:tcPr>
          <w:p w14:paraId="0D81D91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Live monitoring</w:t>
            </w:r>
          </w:p>
        </w:tc>
        <w:tc>
          <w:tcPr>
            <w:tcW w:w="1690" w:type="dxa"/>
          </w:tcPr>
          <w:p w14:paraId="49727111" w14:textId="78CEA9F8" w:rsidR="00230FB4" w:rsidRPr="00DB10F9" w:rsidRDefault="00177081">
            <w:pPr>
              <w:rPr>
                <w:rFonts w:ascii="Arial" w:eastAsia="Arial" w:hAnsi="Arial" w:cs="Arial"/>
                <w:sz w:val="20"/>
                <w:szCs w:val="20"/>
              </w:rPr>
            </w:pPr>
            <w:r w:rsidRPr="00DB10F9">
              <w:rPr>
                <w:rFonts w:ascii="Arial" w:eastAsia="Arial" w:hAnsi="Arial" w:cs="Arial"/>
                <w:sz w:val="20"/>
                <w:szCs w:val="20"/>
              </w:rPr>
              <w:t>1. Define the operational scope of AI alerts to prevent over-notification fatigue.</w:t>
            </w:r>
            <w:r w:rsidRPr="00DB10F9">
              <w:rPr>
                <w:rFonts w:ascii="Arial" w:eastAsia="Arial" w:hAnsi="Arial" w:cs="Arial"/>
                <w:sz w:val="20"/>
                <w:szCs w:val="20"/>
              </w:rPr>
              <w:br/>
              <w:t>2. Calibrate alert thresholds using real-world feedback data.</w:t>
            </w:r>
            <w:r w:rsidRPr="00DB10F9">
              <w:rPr>
                <w:rFonts w:ascii="Arial" w:eastAsia="Arial" w:hAnsi="Arial" w:cs="Arial"/>
                <w:sz w:val="20"/>
                <w:szCs w:val="20"/>
              </w:rPr>
              <w:br/>
              <w:t>3. Maintain active governance to sustain workflow balance.</w:t>
            </w:r>
          </w:p>
        </w:tc>
      </w:tr>
      <w:tr w:rsidR="00230FB4" w:rsidRPr="00DB10F9" w14:paraId="32A5C340" w14:textId="77777777" w:rsidTr="00976E25">
        <w:tc>
          <w:tcPr>
            <w:tcW w:w="1049" w:type="dxa"/>
          </w:tcPr>
          <w:p w14:paraId="3275769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Singh et al., 2021</w:t>
            </w:r>
          </w:p>
        </w:tc>
        <w:tc>
          <w:tcPr>
            <w:tcW w:w="1062" w:type="dxa"/>
          </w:tcPr>
          <w:p w14:paraId="5F52E9B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Deterioration index (EDI)</w:t>
            </w:r>
          </w:p>
        </w:tc>
        <w:tc>
          <w:tcPr>
            <w:tcW w:w="996" w:type="dxa"/>
          </w:tcPr>
          <w:p w14:paraId="0ADD55D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Hospitalized COVID-19</w:t>
            </w:r>
          </w:p>
        </w:tc>
        <w:tc>
          <w:tcPr>
            <w:tcW w:w="1029" w:type="dxa"/>
          </w:tcPr>
          <w:p w14:paraId="6834028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External validation</w:t>
            </w:r>
          </w:p>
        </w:tc>
        <w:tc>
          <w:tcPr>
            <w:tcW w:w="1182" w:type="dxa"/>
          </w:tcPr>
          <w:p w14:paraId="2E530AC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 awareness</w:t>
            </w:r>
          </w:p>
        </w:tc>
        <w:tc>
          <w:tcPr>
            <w:tcW w:w="1022" w:type="dxa"/>
          </w:tcPr>
          <w:p w14:paraId="42D1648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Transparent validation</w:t>
            </w:r>
          </w:p>
        </w:tc>
        <w:tc>
          <w:tcPr>
            <w:tcW w:w="1528" w:type="dxa"/>
          </w:tcPr>
          <w:p w14:paraId="760AB95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Limited discrimination/calibration</w:t>
            </w:r>
          </w:p>
        </w:tc>
        <w:tc>
          <w:tcPr>
            <w:tcW w:w="1036" w:type="dxa"/>
          </w:tcPr>
          <w:p w14:paraId="1475ACE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External validation of the deployed score</w:t>
            </w:r>
          </w:p>
        </w:tc>
        <w:tc>
          <w:tcPr>
            <w:tcW w:w="1202" w:type="dxa"/>
          </w:tcPr>
          <w:p w14:paraId="0175FEE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Generalizability cautions: calibration issues</w:t>
            </w:r>
          </w:p>
        </w:tc>
        <w:tc>
          <w:tcPr>
            <w:tcW w:w="1382" w:type="dxa"/>
          </w:tcPr>
          <w:p w14:paraId="26C051C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Recalibration advocated</w:t>
            </w:r>
          </w:p>
        </w:tc>
        <w:tc>
          <w:tcPr>
            <w:tcW w:w="1690" w:type="dxa"/>
          </w:tcPr>
          <w:p w14:paraId="3B0E6782" w14:textId="00B09860" w:rsidR="00230FB4" w:rsidRPr="00DB10F9" w:rsidRDefault="00177081">
            <w:pPr>
              <w:rPr>
                <w:rFonts w:ascii="Arial" w:eastAsia="Arial" w:hAnsi="Arial" w:cs="Arial"/>
                <w:sz w:val="20"/>
                <w:szCs w:val="20"/>
              </w:rPr>
            </w:pPr>
            <w:r w:rsidRPr="00DB10F9">
              <w:rPr>
                <w:rFonts w:ascii="Arial" w:eastAsia="Arial" w:hAnsi="Arial" w:cs="Arial"/>
                <w:sz w:val="20"/>
                <w:szCs w:val="20"/>
              </w:rPr>
              <w:t>1. Mandate recalibration before and after local deployment.</w:t>
            </w:r>
            <w:r w:rsidRPr="00DB10F9">
              <w:rPr>
                <w:rFonts w:ascii="Arial" w:eastAsia="Arial" w:hAnsi="Arial" w:cs="Arial"/>
                <w:sz w:val="20"/>
                <w:szCs w:val="20"/>
              </w:rPr>
              <w:br/>
              <w:t>2. Validate model performance externally before clinical use.</w:t>
            </w:r>
            <w:r w:rsidRPr="00DB10F9">
              <w:rPr>
                <w:rFonts w:ascii="Arial" w:eastAsia="Arial" w:hAnsi="Arial" w:cs="Arial"/>
                <w:sz w:val="20"/>
                <w:szCs w:val="20"/>
              </w:rPr>
              <w:br/>
              <w:t xml:space="preserve">3. Use calibration tracking as a standing </w:t>
            </w:r>
            <w:r w:rsidRPr="00DB10F9">
              <w:rPr>
                <w:rFonts w:ascii="Arial" w:eastAsia="Arial" w:hAnsi="Arial" w:cs="Arial"/>
                <w:sz w:val="20"/>
                <w:szCs w:val="20"/>
              </w:rPr>
              <w:lastRenderedPageBreak/>
              <w:t>governance requirement.</w:t>
            </w:r>
          </w:p>
        </w:tc>
      </w:tr>
      <w:tr w:rsidR="00230FB4" w:rsidRPr="00DB10F9" w14:paraId="2758A7CB" w14:textId="77777777" w:rsidTr="00976E25">
        <w:tc>
          <w:tcPr>
            <w:tcW w:w="1049" w:type="dxa"/>
          </w:tcPr>
          <w:p w14:paraId="1C40485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Thiruvengadam et al., 2024</w:t>
            </w:r>
          </w:p>
        </w:tc>
        <w:tc>
          <w:tcPr>
            <w:tcW w:w="1062" w:type="dxa"/>
          </w:tcPr>
          <w:p w14:paraId="69230BA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Endoscopy </w:t>
            </w:r>
            <w:proofErr w:type="spellStart"/>
            <w:r w:rsidRPr="00DB10F9">
              <w:rPr>
                <w:rFonts w:ascii="Arial" w:eastAsia="Arial" w:hAnsi="Arial" w:cs="Arial"/>
                <w:sz w:val="20"/>
                <w:szCs w:val="20"/>
              </w:rPr>
              <w:t>CADe</w:t>
            </w:r>
            <w:proofErr w:type="spellEnd"/>
            <w:r w:rsidRPr="00DB10F9">
              <w:rPr>
                <w:rFonts w:ascii="Arial" w:eastAsia="Arial" w:hAnsi="Arial" w:cs="Arial"/>
                <w:sz w:val="20"/>
                <w:szCs w:val="20"/>
              </w:rPr>
              <w:t xml:space="preserve"> (neoplasia)</w:t>
            </w:r>
          </w:p>
        </w:tc>
        <w:tc>
          <w:tcPr>
            <w:tcW w:w="996" w:type="dxa"/>
          </w:tcPr>
          <w:p w14:paraId="00825F9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Community practice</w:t>
            </w:r>
          </w:p>
        </w:tc>
        <w:tc>
          <w:tcPr>
            <w:tcW w:w="1029" w:type="dxa"/>
          </w:tcPr>
          <w:p w14:paraId="249A8CA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Pragmatic RCT</w:t>
            </w:r>
          </w:p>
        </w:tc>
        <w:tc>
          <w:tcPr>
            <w:tcW w:w="1182" w:type="dxa"/>
          </w:tcPr>
          <w:p w14:paraId="5812F09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w:t>
            </w:r>
          </w:p>
        </w:tc>
        <w:tc>
          <w:tcPr>
            <w:tcW w:w="1022" w:type="dxa"/>
          </w:tcPr>
          <w:p w14:paraId="69A46A8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RCT transparency</w:t>
            </w:r>
          </w:p>
        </w:tc>
        <w:tc>
          <w:tcPr>
            <w:tcW w:w="1528" w:type="dxa"/>
          </w:tcPr>
          <w:p w14:paraId="63973F2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Site-variable ADR/process effects</w:t>
            </w:r>
          </w:p>
        </w:tc>
        <w:tc>
          <w:tcPr>
            <w:tcW w:w="1036" w:type="dxa"/>
          </w:tcPr>
          <w:p w14:paraId="3C5E253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Real-world </w:t>
            </w:r>
            <w:proofErr w:type="spellStart"/>
            <w:r w:rsidRPr="00DB10F9">
              <w:rPr>
                <w:rFonts w:ascii="Arial" w:eastAsia="Arial" w:hAnsi="Arial" w:cs="Arial"/>
                <w:sz w:val="20"/>
                <w:szCs w:val="20"/>
              </w:rPr>
              <w:t>randomised</w:t>
            </w:r>
            <w:proofErr w:type="spellEnd"/>
            <w:r w:rsidRPr="00DB10F9">
              <w:rPr>
                <w:rFonts w:ascii="Arial" w:eastAsia="Arial" w:hAnsi="Arial" w:cs="Arial"/>
                <w:sz w:val="20"/>
                <w:szCs w:val="20"/>
              </w:rPr>
              <w:t xml:space="preserve"> deployment</w:t>
            </w:r>
          </w:p>
        </w:tc>
        <w:tc>
          <w:tcPr>
            <w:tcW w:w="1202" w:type="dxa"/>
          </w:tcPr>
          <w:p w14:paraId="02C6805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Community practice; heterogeneous operators/sites</w:t>
            </w:r>
          </w:p>
        </w:tc>
        <w:tc>
          <w:tcPr>
            <w:tcW w:w="1382" w:type="dxa"/>
          </w:tcPr>
          <w:p w14:paraId="1436E09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Routine QA</w:t>
            </w:r>
          </w:p>
        </w:tc>
        <w:tc>
          <w:tcPr>
            <w:tcW w:w="1690" w:type="dxa"/>
          </w:tcPr>
          <w:p w14:paraId="1852461E" w14:textId="5715B1D8" w:rsidR="00230FB4" w:rsidRPr="00DB10F9" w:rsidRDefault="00177081">
            <w:pPr>
              <w:rPr>
                <w:rFonts w:ascii="Arial" w:eastAsia="Arial" w:hAnsi="Arial" w:cs="Arial"/>
                <w:sz w:val="20"/>
                <w:szCs w:val="20"/>
              </w:rPr>
            </w:pPr>
            <w:r w:rsidRPr="00DB10F9">
              <w:rPr>
                <w:rFonts w:ascii="Arial" w:eastAsia="Arial" w:hAnsi="Arial" w:cs="Arial"/>
                <w:sz w:val="20"/>
                <w:szCs w:val="20"/>
              </w:rPr>
              <w:t>1. Account for operator and context variability in benefit assessment.</w:t>
            </w:r>
            <w:r w:rsidRPr="00DB10F9">
              <w:rPr>
                <w:rFonts w:ascii="Arial" w:eastAsia="Arial" w:hAnsi="Arial" w:cs="Arial"/>
                <w:sz w:val="20"/>
                <w:szCs w:val="20"/>
              </w:rPr>
              <w:br/>
              <w:t>2. Embed site-specific QA loops into randomized implementations.</w:t>
            </w:r>
            <w:r w:rsidRPr="00DB10F9">
              <w:rPr>
                <w:rFonts w:ascii="Arial" w:eastAsia="Arial" w:hAnsi="Arial" w:cs="Arial"/>
                <w:sz w:val="20"/>
                <w:szCs w:val="20"/>
              </w:rPr>
              <w:br/>
              <w:t>3. Treat heterogeneity as an input for adaptive policy refinement.</w:t>
            </w:r>
          </w:p>
        </w:tc>
      </w:tr>
      <w:tr w:rsidR="00230FB4" w:rsidRPr="00DB10F9" w14:paraId="732B16D4" w14:textId="77777777" w:rsidTr="00976E25">
        <w:tc>
          <w:tcPr>
            <w:tcW w:w="1049" w:type="dxa"/>
          </w:tcPr>
          <w:p w14:paraId="0F29E7B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Thompson et al., 2025</w:t>
            </w:r>
          </w:p>
        </w:tc>
        <w:tc>
          <w:tcPr>
            <w:tcW w:w="1062" w:type="dxa"/>
          </w:tcPr>
          <w:p w14:paraId="55AC4B6C" w14:textId="77777777" w:rsidR="00230FB4" w:rsidRPr="00DB10F9" w:rsidRDefault="00DF0498">
            <w:pPr>
              <w:rPr>
                <w:rFonts w:ascii="Arial" w:eastAsia="Arial" w:hAnsi="Arial" w:cs="Arial"/>
                <w:sz w:val="20"/>
                <w:szCs w:val="20"/>
              </w:rPr>
            </w:pPr>
            <w:sdt>
              <w:sdtPr>
                <w:rPr>
                  <w:rFonts w:ascii="Arial" w:hAnsi="Arial" w:cs="Arial"/>
                </w:rPr>
                <w:tag w:val="goog_rdk_3"/>
                <w:id w:val="-1448253553"/>
              </w:sdtPr>
              <w:sdtEndPr/>
              <w:sdtContent>
                <w:r w:rsidR="0040531C" w:rsidRPr="00DB10F9">
                  <w:rPr>
                    <w:rFonts w:ascii="Arial" w:eastAsia="Arial Unicode MS" w:hAnsi="Arial" w:cs="Arial"/>
                    <w:sz w:val="20"/>
                    <w:szCs w:val="20"/>
                  </w:rPr>
                  <w:t>AI triage → report TAT</w:t>
                </w:r>
              </w:sdtContent>
            </w:sdt>
          </w:p>
        </w:tc>
        <w:tc>
          <w:tcPr>
            <w:tcW w:w="996" w:type="dxa"/>
          </w:tcPr>
          <w:p w14:paraId="4DD6618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Multisite radiology</w:t>
            </w:r>
          </w:p>
        </w:tc>
        <w:tc>
          <w:tcPr>
            <w:tcW w:w="1029" w:type="dxa"/>
          </w:tcPr>
          <w:p w14:paraId="3469269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Real-world time/impact</w:t>
            </w:r>
          </w:p>
        </w:tc>
        <w:tc>
          <w:tcPr>
            <w:tcW w:w="1182" w:type="dxa"/>
          </w:tcPr>
          <w:p w14:paraId="40FACD9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w:t>
            </w:r>
          </w:p>
        </w:tc>
        <w:tc>
          <w:tcPr>
            <w:tcW w:w="1022" w:type="dxa"/>
          </w:tcPr>
          <w:p w14:paraId="70AF00E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Operations telemetry; pre/post</w:t>
            </w:r>
          </w:p>
        </w:tc>
        <w:tc>
          <w:tcPr>
            <w:tcW w:w="1528" w:type="dxa"/>
          </w:tcPr>
          <w:p w14:paraId="04C2D4A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Reduced report TAT</w:t>
            </w:r>
          </w:p>
        </w:tc>
        <w:tc>
          <w:tcPr>
            <w:tcW w:w="1036" w:type="dxa"/>
          </w:tcPr>
          <w:p w14:paraId="41657ED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Production deployment impact evaluation</w:t>
            </w:r>
          </w:p>
        </w:tc>
        <w:tc>
          <w:tcPr>
            <w:tcW w:w="1202" w:type="dxa"/>
          </w:tcPr>
          <w:p w14:paraId="6DC0967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Multisite radiology: operational generalizability</w:t>
            </w:r>
          </w:p>
        </w:tc>
        <w:tc>
          <w:tcPr>
            <w:tcW w:w="1382" w:type="dxa"/>
          </w:tcPr>
          <w:p w14:paraId="105A07B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Continuous ops monitoring</w:t>
            </w:r>
          </w:p>
        </w:tc>
        <w:tc>
          <w:tcPr>
            <w:tcW w:w="1690" w:type="dxa"/>
          </w:tcPr>
          <w:p w14:paraId="68E6A3E9" w14:textId="2761DFE0" w:rsidR="00230FB4" w:rsidRPr="00DB10F9" w:rsidRDefault="000A20EF">
            <w:pPr>
              <w:rPr>
                <w:rFonts w:ascii="Arial" w:eastAsia="Arial" w:hAnsi="Arial" w:cs="Arial"/>
                <w:sz w:val="20"/>
                <w:szCs w:val="20"/>
              </w:rPr>
            </w:pPr>
            <w:r w:rsidRPr="00DB10F9">
              <w:rPr>
                <w:rFonts w:ascii="Arial" w:eastAsia="Arial" w:hAnsi="Arial" w:cs="Arial"/>
                <w:sz w:val="20"/>
                <w:szCs w:val="20"/>
              </w:rPr>
              <w:t>1. Use time–impact telemetry to identify secondary workflow bottlenecks.</w:t>
            </w:r>
            <w:r w:rsidRPr="00DB10F9">
              <w:rPr>
                <w:rFonts w:ascii="Arial" w:eastAsia="Arial" w:hAnsi="Arial" w:cs="Arial"/>
                <w:sz w:val="20"/>
                <w:szCs w:val="20"/>
              </w:rPr>
              <w:br/>
              <w:t>2. Prioritize balanced efficiency metrics over raw speed improvements.</w:t>
            </w:r>
            <w:r w:rsidRPr="00DB10F9">
              <w:rPr>
                <w:rFonts w:ascii="Arial" w:eastAsia="Arial" w:hAnsi="Arial" w:cs="Arial"/>
                <w:sz w:val="20"/>
                <w:szCs w:val="20"/>
              </w:rPr>
              <w:br/>
              <w:t>3. Keep iterative review mechanisms to prevent operational trade-offs.</w:t>
            </w:r>
          </w:p>
        </w:tc>
      </w:tr>
      <w:tr w:rsidR="00230FB4" w:rsidRPr="00DB10F9" w14:paraId="527BB255" w14:textId="77777777" w:rsidTr="00976E25">
        <w:tc>
          <w:tcPr>
            <w:tcW w:w="1049" w:type="dxa"/>
          </w:tcPr>
          <w:p w14:paraId="5717C68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Watkins et al., 2024</w:t>
            </w:r>
          </w:p>
        </w:tc>
        <w:tc>
          <w:tcPr>
            <w:tcW w:w="1062" w:type="dxa"/>
          </w:tcPr>
          <w:p w14:paraId="4627876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Human–AI </w:t>
            </w:r>
            <w:r w:rsidRPr="00DB10F9">
              <w:rPr>
                <w:rFonts w:ascii="Arial" w:eastAsia="Arial" w:hAnsi="Arial" w:cs="Arial"/>
                <w:sz w:val="20"/>
                <w:szCs w:val="20"/>
              </w:rPr>
              <w:lastRenderedPageBreak/>
              <w:t>interaction (</w:t>
            </w:r>
            <w:proofErr w:type="spellStart"/>
            <w:r w:rsidRPr="00DB10F9">
              <w:rPr>
                <w:rFonts w:ascii="Arial" w:eastAsia="Arial" w:hAnsi="Arial" w:cs="Arial"/>
                <w:sz w:val="20"/>
                <w:szCs w:val="20"/>
              </w:rPr>
              <w:t>CADe</w:t>
            </w:r>
            <w:proofErr w:type="spellEnd"/>
            <w:r w:rsidRPr="00DB10F9">
              <w:rPr>
                <w:rFonts w:ascii="Arial" w:eastAsia="Arial" w:hAnsi="Arial" w:cs="Arial"/>
                <w:sz w:val="20"/>
                <w:szCs w:val="20"/>
              </w:rPr>
              <w:t>)</w:t>
            </w:r>
          </w:p>
        </w:tc>
        <w:tc>
          <w:tcPr>
            <w:tcW w:w="996" w:type="dxa"/>
          </w:tcPr>
          <w:p w14:paraId="75823EE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 xml:space="preserve">Large tertiary </w:t>
            </w:r>
            <w:proofErr w:type="spellStart"/>
            <w:r w:rsidRPr="00DB10F9">
              <w:rPr>
                <w:rFonts w:ascii="Arial" w:eastAsia="Arial" w:hAnsi="Arial" w:cs="Arial"/>
                <w:sz w:val="20"/>
                <w:szCs w:val="20"/>
              </w:rPr>
              <w:t>centre</w:t>
            </w:r>
            <w:proofErr w:type="spellEnd"/>
          </w:p>
        </w:tc>
        <w:tc>
          <w:tcPr>
            <w:tcW w:w="1029" w:type="dxa"/>
          </w:tcPr>
          <w:p w14:paraId="20B3FE8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Mixed-methods </w:t>
            </w:r>
            <w:r w:rsidRPr="00DB10F9">
              <w:rPr>
                <w:rFonts w:ascii="Arial" w:eastAsia="Arial" w:hAnsi="Arial" w:cs="Arial"/>
                <w:sz w:val="20"/>
                <w:szCs w:val="20"/>
              </w:rPr>
              <w:lastRenderedPageBreak/>
              <w:t>observational</w:t>
            </w:r>
          </w:p>
        </w:tc>
        <w:tc>
          <w:tcPr>
            <w:tcW w:w="1182" w:type="dxa"/>
          </w:tcPr>
          <w:p w14:paraId="34378BE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Assistive; think-</w:t>
            </w:r>
            <w:r w:rsidRPr="00DB10F9">
              <w:rPr>
                <w:rFonts w:ascii="Arial" w:eastAsia="Arial" w:hAnsi="Arial" w:cs="Arial"/>
                <w:sz w:val="20"/>
                <w:szCs w:val="20"/>
              </w:rPr>
              <w:lastRenderedPageBreak/>
              <w:t>aloud/interviews</w:t>
            </w:r>
          </w:p>
        </w:tc>
        <w:tc>
          <w:tcPr>
            <w:tcW w:w="1022" w:type="dxa"/>
          </w:tcPr>
          <w:p w14:paraId="520006F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 xml:space="preserve">Human-factors </w:t>
            </w:r>
            <w:r w:rsidRPr="00DB10F9">
              <w:rPr>
                <w:rFonts w:ascii="Arial" w:eastAsia="Arial" w:hAnsi="Arial" w:cs="Arial"/>
                <w:sz w:val="20"/>
                <w:szCs w:val="20"/>
              </w:rPr>
              <w:lastRenderedPageBreak/>
              <w:t>instruments</w:t>
            </w:r>
          </w:p>
        </w:tc>
        <w:tc>
          <w:tcPr>
            <w:tcW w:w="1528" w:type="dxa"/>
          </w:tcPr>
          <w:p w14:paraId="66184C4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Explains negative trial (trust, UI)</w:t>
            </w:r>
          </w:p>
        </w:tc>
        <w:tc>
          <w:tcPr>
            <w:tcW w:w="1036" w:type="dxa"/>
          </w:tcPr>
          <w:p w14:paraId="4D3441F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In-practice observati</w:t>
            </w:r>
            <w:r w:rsidRPr="00DB10F9">
              <w:rPr>
                <w:rFonts w:ascii="Arial" w:eastAsia="Arial" w:hAnsi="Arial" w:cs="Arial"/>
                <w:sz w:val="20"/>
                <w:szCs w:val="20"/>
              </w:rPr>
              <w:lastRenderedPageBreak/>
              <w:t>onal assessment</w:t>
            </w:r>
          </w:p>
        </w:tc>
        <w:tc>
          <w:tcPr>
            <w:tcW w:w="1202" w:type="dxa"/>
          </w:tcPr>
          <w:p w14:paraId="68D3CE0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 xml:space="preserve">Single large </w:t>
            </w:r>
            <w:proofErr w:type="spellStart"/>
            <w:r w:rsidRPr="00DB10F9">
              <w:rPr>
                <w:rFonts w:ascii="Arial" w:eastAsia="Arial" w:hAnsi="Arial" w:cs="Arial"/>
                <w:sz w:val="20"/>
                <w:szCs w:val="20"/>
              </w:rPr>
              <w:t>centre</w:t>
            </w:r>
            <w:proofErr w:type="spellEnd"/>
            <w:r w:rsidRPr="00DB10F9">
              <w:rPr>
                <w:rFonts w:ascii="Arial" w:eastAsia="Arial" w:hAnsi="Arial" w:cs="Arial"/>
                <w:sz w:val="20"/>
                <w:szCs w:val="20"/>
              </w:rPr>
              <w:t xml:space="preserve">; </w:t>
            </w:r>
            <w:r w:rsidRPr="00DB10F9">
              <w:rPr>
                <w:rFonts w:ascii="Arial" w:eastAsia="Arial" w:hAnsi="Arial" w:cs="Arial"/>
                <w:sz w:val="20"/>
                <w:szCs w:val="20"/>
              </w:rPr>
              <w:lastRenderedPageBreak/>
              <w:t>lessons for broader adoption</w:t>
            </w:r>
          </w:p>
        </w:tc>
        <w:tc>
          <w:tcPr>
            <w:tcW w:w="1382" w:type="dxa"/>
          </w:tcPr>
          <w:p w14:paraId="209434A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Usability feedback loops</w:t>
            </w:r>
          </w:p>
        </w:tc>
        <w:tc>
          <w:tcPr>
            <w:tcW w:w="1690" w:type="dxa"/>
          </w:tcPr>
          <w:p w14:paraId="70B45DB4" w14:textId="74161E7B" w:rsidR="00230FB4" w:rsidRPr="00DB10F9" w:rsidRDefault="000A20EF">
            <w:pPr>
              <w:rPr>
                <w:rFonts w:ascii="Arial" w:eastAsia="Arial" w:hAnsi="Arial" w:cs="Arial"/>
                <w:sz w:val="20"/>
                <w:szCs w:val="20"/>
              </w:rPr>
            </w:pPr>
            <w:r w:rsidRPr="00DB10F9">
              <w:rPr>
                <w:rFonts w:ascii="Arial" w:eastAsia="Arial" w:hAnsi="Arial" w:cs="Arial"/>
                <w:sz w:val="20"/>
                <w:szCs w:val="20"/>
              </w:rPr>
              <w:t xml:space="preserve">1. Incorporate human–factors testing into AI </w:t>
            </w:r>
            <w:r w:rsidRPr="00DB10F9">
              <w:rPr>
                <w:rFonts w:ascii="Arial" w:eastAsia="Arial" w:hAnsi="Arial" w:cs="Arial"/>
                <w:sz w:val="20"/>
                <w:szCs w:val="20"/>
              </w:rPr>
              <w:lastRenderedPageBreak/>
              <w:t>system validation cycles.</w:t>
            </w:r>
            <w:r w:rsidRPr="00DB10F9">
              <w:rPr>
                <w:rFonts w:ascii="Arial" w:eastAsia="Arial" w:hAnsi="Arial" w:cs="Arial"/>
                <w:sz w:val="20"/>
                <w:szCs w:val="20"/>
              </w:rPr>
              <w:br/>
              <w:t>2. Use usability feedback to recalibrate interface design and trust dynamics.</w:t>
            </w:r>
            <w:r w:rsidRPr="00DB10F9">
              <w:rPr>
                <w:rFonts w:ascii="Arial" w:eastAsia="Arial" w:hAnsi="Arial" w:cs="Arial"/>
                <w:sz w:val="20"/>
                <w:szCs w:val="20"/>
              </w:rPr>
              <w:br/>
              <w:t>3. Train users in cognitive trust calibration for safety-critical adoption.</w:t>
            </w:r>
          </w:p>
        </w:tc>
      </w:tr>
      <w:tr w:rsidR="00230FB4" w:rsidRPr="00DB10F9" w14:paraId="06E63219" w14:textId="77777777" w:rsidTr="00976E25">
        <w:tc>
          <w:tcPr>
            <w:tcW w:w="1049" w:type="dxa"/>
          </w:tcPr>
          <w:p w14:paraId="6E754F1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Wei et al., 2023</w:t>
            </w:r>
          </w:p>
        </w:tc>
        <w:tc>
          <w:tcPr>
            <w:tcW w:w="1062" w:type="dxa"/>
          </w:tcPr>
          <w:p w14:paraId="25688BB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Endoscopy </w:t>
            </w:r>
            <w:proofErr w:type="spellStart"/>
            <w:r w:rsidRPr="00DB10F9">
              <w:rPr>
                <w:rFonts w:ascii="Arial" w:eastAsia="Arial" w:hAnsi="Arial" w:cs="Arial"/>
                <w:sz w:val="20"/>
                <w:szCs w:val="20"/>
              </w:rPr>
              <w:t>CADe</w:t>
            </w:r>
            <w:proofErr w:type="spellEnd"/>
            <w:r w:rsidRPr="00DB10F9">
              <w:rPr>
                <w:rFonts w:ascii="Arial" w:eastAsia="Arial" w:hAnsi="Arial" w:cs="Arial"/>
                <w:sz w:val="20"/>
                <w:szCs w:val="20"/>
              </w:rPr>
              <w:t xml:space="preserve"> (AI-SEE)</w:t>
            </w:r>
          </w:p>
        </w:tc>
        <w:tc>
          <w:tcPr>
            <w:tcW w:w="996" w:type="dxa"/>
          </w:tcPr>
          <w:p w14:paraId="36C3A08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Community endoscopy</w:t>
            </w:r>
          </w:p>
        </w:tc>
        <w:tc>
          <w:tcPr>
            <w:tcW w:w="1029" w:type="dxa"/>
          </w:tcPr>
          <w:p w14:paraId="09F125D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Multicenter pragmatic RCT</w:t>
            </w:r>
          </w:p>
        </w:tc>
        <w:tc>
          <w:tcPr>
            <w:tcW w:w="1182" w:type="dxa"/>
          </w:tcPr>
          <w:p w14:paraId="0346878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w:t>
            </w:r>
          </w:p>
        </w:tc>
        <w:tc>
          <w:tcPr>
            <w:tcW w:w="1022" w:type="dxa"/>
          </w:tcPr>
          <w:p w14:paraId="43CACDC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RCT transparency</w:t>
            </w:r>
          </w:p>
        </w:tc>
        <w:tc>
          <w:tcPr>
            <w:tcW w:w="1528" w:type="dxa"/>
          </w:tcPr>
          <w:p w14:paraId="5645A69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Community outcomes on ADR/process</w:t>
            </w:r>
          </w:p>
        </w:tc>
        <w:tc>
          <w:tcPr>
            <w:tcW w:w="1036" w:type="dxa"/>
          </w:tcPr>
          <w:p w14:paraId="4915928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Real-world </w:t>
            </w:r>
            <w:proofErr w:type="spellStart"/>
            <w:r w:rsidRPr="00DB10F9">
              <w:rPr>
                <w:rFonts w:ascii="Arial" w:eastAsia="Arial" w:hAnsi="Arial" w:cs="Arial"/>
                <w:sz w:val="20"/>
                <w:szCs w:val="20"/>
              </w:rPr>
              <w:t>randomised</w:t>
            </w:r>
            <w:proofErr w:type="spellEnd"/>
            <w:r w:rsidRPr="00DB10F9">
              <w:rPr>
                <w:rFonts w:ascii="Arial" w:eastAsia="Arial" w:hAnsi="Arial" w:cs="Arial"/>
                <w:sz w:val="20"/>
                <w:szCs w:val="20"/>
              </w:rPr>
              <w:t xml:space="preserve"> deployment</w:t>
            </w:r>
          </w:p>
        </w:tc>
        <w:tc>
          <w:tcPr>
            <w:tcW w:w="1202" w:type="dxa"/>
          </w:tcPr>
          <w:p w14:paraId="5BA409E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Multicenter community sites; practice-level generalizability</w:t>
            </w:r>
          </w:p>
        </w:tc>
        <w:tc>
          <w:tcPr>
            <w:tcW w:w="1382" w:type="dxa"/>
          </w:tcPr>
          <w:p w14:paraId="3F1DE01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Routine QA</w:t>
            </w:r>
          </w:p>
        </w:tc>
        <w:tc>
          <w:tcPr>
            <w:tcW w:w="1690" w:type="dxa"/>
          </w:tcPr>
          <w:p w14:paraId="782A3954" w14:textId="46B7CED4" w:rsidR="00230FB4" w:rsidRPr="00DB10F9" w:rsidRDefault="000A20EF">
            <w:pPr>
              <w:rPr>
                <w:rFonts w:ascii="Arial" w:eastAsia="Arial" w:hAnsi="Arial" w:cs="Arial"/>
                <w:sz w:val="20"/>
                <w:szCs w:val="20"/>
              </w:rPr>
            </w:pPr>
            <w:r w:rsidRPr="00DB10F9">
              <w:rPr>
                <w:rFonts w:ascii="Arial" w:eastAsia="Arial" w:hAnsi="Arial" w:cs="Arial"/>
                <w:sz w:val="20"/>
                <w:szCs w:val="20"/>
              </w:rPr>
              <w:t>1. Leverage real-world heterogeneity to inform scalable deployment strategies.</w:t>
            </w:r>
            <w:r w:rsidRPr="00DB10F9">
              <w:rPr>
                <w:rFonts w:ascii="Arial" w:eastAsia="Arial" w:hAnsi="Arial" w:cs="Arial"/>
                <w:sz w:val="20"/>
                <w:szCs w:val="20"/>
              </w:rPr>
              <w:br/>
              <w:t>2. Integrate continuous QA loops into multicenter rollouts.</w:t>
            </w:r>
            <w:r w:rsidRPr="00DB10F9">
              <w:rPr>
                <w:rFonts w:ascii="Arial" w:eastAsia="Arial" w:hAnsi="Arial" w:cs="Arial"/>
                <w:sz w:val="20"/>
                <w:szCs w:val="20"/>
              </w:rPr>
              <w:br/>
              <w:t>3. Prioritize cross-site learning to enhance generalizability.</w:t>
            </w:r>
          </w:p>
        </w:tc>
      </w:tr>
      <w:tr w:rsidR="00230FB4" w:rsidRPr="00DB10F9" w14:paraId="702464D1" w14:textId="77777777" w:rsidTr="00976E25">
        <w:tc>
          <w:tcPr>
            <w:tcW w:w="1049" w:type="dxa"/>
          </w:tcPr>
          <w:p w14:paraId="481C8FD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Wong et al., 2021</w:t>
            </w:r>
          </w:p>
        </w:tc>
        <w:tc>
          <w:tcPr>
            <w:tcW w:w="1062" w:type="dxa"/>
          </w:tcPr>
          <w:p w14:paraId="0AC6419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Sepsis prediction (Epic)</w:t>
            </w:r>
          </w:p>
        </w:tc>
        <w:tc>
          <w:tcPr>
            <w:tcW w:w="996" w:type="dxa"/>
          </w:tcPr>
          <w:p w14:paraId="72CFBAB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Multi-hospital inpatient</w:t>
            </w:r>
          </w:p>
        </w:tc>
        <w:tc>
          <w:tcPr>
            <w:tcW w:w="1029" w:type="dxa"/>
          </w:tcPr>
          <w:p w14:paraId="263BBFE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External validation</w:t>
            </w:r>
          </w:p>
        </w:tc>
        <w:tc>
          <w:tcPr>
            <w:tcW w:w="1182" w:type="dxa"/>
          </w:tcPr>
          <w:p w14:paraId="5D3EA3D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Assistive</w:t>
            </w:r>
          </w:p>
        </w:tc>
        <w:tc>
          <w:tcPr>
            <w:tcW w:w="1022" w:type="dxa"/>
          </w:tcPr>
          <w:p w14:paraId="47213B0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Methods disclosure</w:t>
            </w:r>
          </w:p>
        </w:tc>
        <w:tc>
          <w:tcPr>
            <w:tcW w:w="1528" w:type="dxa"/>
          </w:tcPr>
          <w:p w14:paraId="60E2BBB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Poor calibration; alert burden</w:t>
            </w:r>
          </w:p>
        </w:tc>
        <w:tc>
          <w:tcPr>
            <w:tcW w:w="1036" w:type="dxa"/>
          </w:tcPr>
          <w:p w14:paraId="7548F19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External validation of proprietary model</w:t>
            </w:r>
          </w:p>
        </w:tc>
        <w:tc>
          <w:tcPr>
            <w:tcW w:w="1202" w:type="dxa"/>
          </w:tcPr>
          <w:p w14:paraId="0A69F77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Multi-hospital cohorts; emphasizes calibration/transfer</w:t>
            </w:r>
          </w:p>
        </w:tc>
        <w:tc>
          <w:tcPr>
            <w:tcW w:w="1382" w:type="dxa"/>
          </w:tcPr>
          <w:p w14:paraId="1E476B9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Advocates active performance surveillance</w:t>
            </w:r>
          </w:p>
        </w:tc>
        <w:tc>
          <w:tcPr>
            <w:tcW w:w="1690" w:type="dxa"/>
          </w:tcPr>
          <w:p w14:paraId="34F683A0" w14:textId="68268AFB" w:rsidR="00230FB4" w:rsidRPr="00DB10F9" w:rsidRDefault="000A20EF">
            <w:pPr>
              <w:rPr>
                <w:rFonts w:ascii="Arial" w:eastAsia="Arial" w:hAnsi="Arial" w:cs="Arial"/>
                <w:sz w:val="20"/>
                <w:szCs w:val="20"/>
              </w:rPr>
            </w:pPr>
            <w:r w:rsidRPr="00DB10F9">
              <w:rPr>
                <w:rFonts w:ascii="Arial" w:eastAsia="Arial" w:hAnsi="Arial" w:cs="Arial"/>
                <w:sz w:val="20"/>
                <w:szCs w:val="20"/>
              </w:rPr>
              <w:t>1. Require full transparency for proprietary model evaluation.</w:t>
            </w:r>
            <w:r w:rsidRPr="00DB10F9">
              <w:rPr>
                <w:rFonts w:ascii="Arial" w:eastAsia="Arial" w:hAnsi="Arial" w:cs="Arial"/>
                <w:sz w:val="20"/>
                <w:szCs w:val="20"/>
              </w:rPr>
              <w:br/>
              <w:t>2. Implement active recalibration protocols across all deployments.</w:t>
            </w:r>
            <w:r w:rsidRPr="00DB10F9">
              <w:rPr>
                <w:rFonts w:ascii="Arial" w:eastAsia="Arial" w:hAnsi="Arial" w:cs="Arial"/>
                <w:sz w:val="20"/>
                <w:szCs w:val="20"/>
              </w:rPr>
              <w:br/>
            </w:r>
            <w:r w:rsidRPr="00DB10F9">
              <w:rPr>
                <w:rFonts w:ascii="Arial" w:eastAsia="Arial" w:hAnsi="Arial" w:cs="Arial"/>
                <w:sz w:val="20"/>
                <w:szCs w:val="20"/>
              </w:rPr>
              <w:lastRenderedPageBreak/>
              <w:t>3. Establish performance surveillance as a continuous governance norm.</w:t>
            </w:r>
          </w:p>
        </w:tc>
      </w:tr>
    </w:tbl>
    <w:p w14:paraId="299799CD" w14:textId="77777777" w:rsidR="00230FB4" w:rsidRPr="00DB10F9" w:rsidRDefault="00230FB4">
      <w:pPr>
        <w:rPr>
          <w:rFonts w:ascii="Arial" w:eastAsia="Arial" w:hAnsi="Arial" w:cs="Arial"/>
          <w:sz w:val="20"/>
          <w:szCs w:val="20"/>
        </w:rPr>
      </w:pPr>
    </w:p>
    <w:p w14:paraId="37F40718" w14:textId="77777777" w:rsidR="00230FB4" w:rsidRPr="00DB10F9" w:rsidRDefault="0040531C">
      <w:pPr>
        <w:rPr>
          <w:rFonts w:ascii="Arial" w:eastAsia="Arial" w:hAnsi="Arial" w:cs="Arial"/>
          <w:b/>
          <w:sz w:val="20"/>
          <w:szCs w:val="20"/>
        </w:rPr>
      </w:pPr>
      <w:r w:rsidRPr="00DB10F9">
        <w:rPr>
          <w:rFonts w:ascii="Arial" w:eastAsia="Arial" w:hAnsi="Arial" w:cs="Arial"/>
          <w:b/>
          <w:sz w:val="20"/>
          <w:szCs w:val="20"/>
        </w:rPr>
        <w:t>List of Abbreviations</w:t>
      </w: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3"/>
        <w:gridCol w:w="6477"/>
      </w:tblGrid>
      <w:tr w:rsidR="00230FB4" w:rsidRPr="00DB10F9" w14:paraId="4969C8F9" w14:textId="77777777">
        <w:tc>
          <w:tcPr>
            <w:tcW w:w="6473" w:type="dxa"/>
          </w:tcPr>
          <w:p w14:paraId="27C0F15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Abbreviation</w:t>
            </w:r>
          </w:p>
        </w:tc>
        <w:tc>
          <w:tcPr>
            <w:tcW w:w="6477" w:type="dxa"/>
          </w:tcPr>
          <w:p w14:paraId="2FF79DB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Full meaning</w:t>
            </w:r>
          </w:p>
        </w:tc>
      </w:tr>
      <w:tr w:rsidR="00230FB4" w:rsidRPr="00DB10F9" w14:paraId="72511CA4" w14:textId="77777777">
        <w:tc>
          <w:tcPr>
            <w:tcW w:w="6473" w:type="dxa"/>
          </w:tcPr>
          <w:p w14:paraId="7A4FD65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ADR</w:t>
            </w:r>
          </w:p>
        </w:tc>
        <w:tc>
          <w:tcPr>
            <w:tcW w:w="6477" w:type="dxa"/>
          </w:tcPr>
          <w:p w14:paraId="63DEB84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Adenoma Detection Rate</w:t>
            </w:r>
          </w:p>
        </w:tc>
      </w:tr>
      <w:tr w:rsidR="00230FB4" w:rsidRPr="00DB10F9" w14:paraId="38F1520E" w14:textId="77777777">
        <w:tc>
          <w:tcPr>
            <w:tcW w:w="6473" w:type="dxa"/>
          </w:tcPr>
          <w:p w14:paraId="2CC4A20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AI</w:t>
            </w:r>
          </w:p>
        </w:tc>
        <w:tc>
          <w:tcPr>
            <w:tcW w:w="6477" w:type="dxa"/>
          </w:tcPr>
          <w:p w14:paraId="0E8900D3"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Artificial Intelligence</w:t>
            </w:r>
          </w:p>
        </w:tc>
      </w:tr>
      <w:tr w:rsidR="00230FB4" w:rsidRPr="00DB10F9" w14:paraId="34F44E0B" w14:textId="77777777">
        <w:tc>
          <w:tcPr>
            <w:tcW w:w="6473" w:type="dxa"/>
          </w:tcPr>
          <w:p w14:paraId="1CE5ADCB" w14:textId="77777777" w:rsidR="00230FB4" w:rsidRPr="00DB10F9" w:rsidRDefault="0040531C">
            <w:pPr>
              <w:rPr>
                <w:rFonts w:ascii="Arial" w:eastAsia="Arial" w:hAnsi="Arial" w:cs="Arial"/>
                <w:sz w:val="20"/>
                <w:szCs w:val="20"/>
              </w:rPr>
            </w:pPr>
            <w:proofErr w:type="spellStart"/>
            <w:r w:rsidRPr="00DB10F9">
              <w:rPr>
                <w:rFonts w:ascii="Arial" w:eastAsia="Arial" w:hAnsi="Arial" w:cs="Arial"/>
                <w:sz w:val="20"/>
                <w:szCs w:val="20"/>
              </w:rPr>
              <w:t>CADe</w:t>
            </w:r>
            <w:proofErr w:type="spellEnd"/>
          </w:p>
        </w:tc>
        <w:tc>
          <w:tcPr>
            <w:tcW w:w="6477" w:type="dxa"/>
          </w:tcPr>
          <w:p w14:paraId="3248FBE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Computer-Aided Detection</w:t>
            </w:r>
          </w:p>
        </w:tc>
      </w:tr>
      <w:tr w:rsidR="00230FB4" w:rsidRPr="00DB10F9" w14:paraId="4A2F1D50" w14:textId="77777777">
        <w:tc>
          <w:tcPr>
            <w:tcW w:w="6473" w:type="dxa"/>
          </w:tcPr>
          <w:p w14:paraId="1B62CB4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CAD</w:t>
            </w:r>
          </w:p>
        </w:tc>
        <w:tc>
          <w:tcPr>
            <w:tcW w:w="6477" w:type="dxa"/>
          </w:tcPr>
          <w:p w14:paraId="381CF6A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Computer-Aided Detection (radiology shorthand; same concept as </w:t>
            </w:r>
            <w:proofErr w:type="spellStart"/>
            <w:r w:rsidRPr="00DB10F9">
              <w:rPr>
                <w:rFonts w:ascii="Arial" w:eastAsia="Arial" w:hAnsi="Arial" w:cs="Arial"/>
                <w:sz w:val="20"/>
                <w:szCs w:val="20"/>
              </w:rPr>
              <w:t>CADe</w:t>
            </w:r>
            <w:proofErr w:type="spellEnd"/>
            <w:r w:rsidRPr="00DB10F9">
              <w:rPr>
                <w:rFonts w:ascii="Arial" w:eastAsia="Arial" w:hAnsi="Arial" w:cs="Arial"/>
                <w:sz w:val="20"/>
                <w:szCs w:val="20"/>
              </w:rPr>
              <w:t>)</w:t>
            </w:r>
          </w:p>
        </w:tc>
      </w:tr>
      <w:tr w:rsidR="00230FB4" w:rsidRPr="00DB10F9" w14:paraId="1A063A51" w14:textId="77777777">
        <w:tc>
          <w:tcPr>
            <w:tcW w:w="6473" w:type="dxa"/>
          </w:tcPr>
          <w:p w14:paraId="0C846C3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COVID-19</w:t>
            </w:r>
          </w:p>
        </w:tc>
        <w:tc>
          <w:tcPr>
            <w:tcW w:w="6477" w:type="dxa"/>
          </w:tcPr>
          <w:p w14:paraId="4F375D6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Coronavirus Disease 2019</w:t>
            </w:r>
          </w:p>
        </w:tc>
      </w:tr>
      <w:tr w:rsidR="00230FB4" w:rsidRPr="00DB10F9" w14:paraId="61DB3E97" w14:textId="77777777">
        <w:tc>
          <w:tcPr>
            <w:tcW w:w="6473" w:type="dxa"/>
          </w:tcPr>
          <w:p w14:paraId="7BF7F45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CT</w:t>
            </w:r>
          </w:p>
        </w:tc>
        <w:tc>
          <w:tcPr>
            <w:tcW w:w="6477" w:type="dxa"/>
          </w:tcPr>
          <w:p w14:paraId="726683C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Computed Tomography</w:t>
            </w:r>
          </w:p>
        </w:tc>
      </w:tr>
      <w:tr w:rsidR="00230FB4" w:rsidRPr="00DB10F9" w14:paraId="5B9AEDA3" w14:textId="77777777">
        <w:tc>
          <w:tcPr>
            <w:tcW w:w="6473" w:type="dxa"/>
          </w:tcPr>
          <w:p w14:paraId="32FD0F1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CTPA</w:t>
            </w:r>
          </w:p>
        </w:tc>
        <w:tc>
          <w:tcPr>
            <w:tcW w:w="6477" w:type="dxa"/>
          </w:tcPr>
          <w:p w14:paraId="3138658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Computed Tomography Pulmonary Angiography</w:t>
            </w:r>
          </w:p>
        </w:tc>
      </w:tr>
      <w:tr w:rsidR="00230FB4" w:rsidRPr="00DB10F9" w14:paraId="55C67FD4" w14:textId="77777777">
        <w:tc>
          <w:tcPr>
            <w:tcW w:w="6473" w:type="dxa"/>
          </w:tcPr>
          <w:p w14:paraId="619B760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CXR</w:t>
            </w:r>
          </w:p>
        </w:tc>
        <w:tc>
          <w:tcPr>
            <w:tcW w:w="6477" w:type="dxa"/>
          </w:tcPr>
          <w:p w14:paraId="240B04D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Chest X-ray (chest radiograph)</w:t>
            </w:r>
          </w:p>
        </w:tc>
      </w:tr>
      <w:tr w:rsidR="00230FB4" w:rsidRPr="00DB10F9" w14:paraId="094CBD8E" w14:textId="77777777">
        <w:tc>
          <w:tcPr>
            <w:tcW w:w="6473" w:type="dxa"/>
          </w:tcPr>
          <w:p w14:paraId="3B22D74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DR</w:t>
            </w:r>
          </w:p>
        </w:tc>
        <w:tc>
          <w:tcPr>
            <w:tcW w:w="6477" w:type="dxa"/>
          </w:tcPr>
          <w:p w14:paraId="42A9DB3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Diabetic Retinopathy</w:t>
            </w:r>
          </w:p>
        </w:tc>
      </w:tr>
      <w:tr w:rsidR="00230FB4" w:rsidRPr="00DB10F9" w14:paraId="62FEFFFE" w14:textId="77777777">
        <w:tc>
          <w:tcPr>
            <w:tcW w:w="6473" w:type="dxa"/>
          </w:tcPr>
          <w:p w14:paraId="6010B6D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ED</w:t>
            </w:r>
          </w:p>
        </w:tc>
        <w:tc>
          <w:tcPr>
            <w:tcW w:w="6477" w:type="dxa"/>
          </w:tcPr>
          <w:p w14:paraId="7C444B0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Emergency Department</w:t>
            </w:r>
          </w:p>
        </w:tc>
      </w:tr>
      <w:tr w:rsidR="00230FB4" w:rsidRPr="00DB10F9" w14:paraId="1463317D" w14:textId="77777777">
        <w:tc>
          <w:tcPr>
            <w:tcW w:w="6473" w:type="dxa"/>
          </w:tcPr>
          <w:p w14:paraId="6BAF92C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EDI</w:t>
            </w:r>
          </w:p>
        </w:tc>
        <w:tc>
          <w:tcPr>
            <w:tcW w:w="6477" w:type="dxa"/>
          </w:tcPr>
          <w:p w14:paraId="499FD96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Epic Deterioration Index</w:t>
            </w:r>
          </w:p>
        </w:tc>
      </w:tr>
      <w:tr w:rsidR="00230FB4" w:rsidRPr="00DB10F9" w14:paraId="462D6226" w14:textId="77777777">
        <w:tc>
          <w:tcPr>
            <w:tcW w:w="6473" w:type="dxa"/>
          </w:tcPr>
          <w:p w14:paraId="3C6E345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GenAI</w:t>
            </w:r>
          </w:p>
        </w:tc>
        <w:tc>
          <w:tcPr>
            <w:tcW w:w="6477" w:type="dxa"/>
          </w:tcPr>
          <w:p w14:paraId="6AD9F23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Generative Artificial Intelligence</w:t>
            </w:r>
          </w:p>
        </w:tc>
      </w:tr>
      <w:tr w:rsidR="00230FB4" w:rsidRPr="00DB10F9" w14:paraId="0A55B49C" w14:textId="77777777">
        <w:tc>
          <w:tcPr>
            <w:tcW w:w="6473" w:type="dxa"/>
          </w:tcPr>
          <w:p w14:paraId="561B1A8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Ops</w:t>
            </w:r>
          </w:p>
        </w:tc>
        <w:tc>
          <w:tcPr>
            <w:tcW w:w="6477" w:type="dxa"/>
          </w:tcPr>
          <w:p w14:paraId="68D68FC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Operations</w:t>
            </w:r>
          </w:p>
        </w:tc>
      </w:tr>
      <w:tr w:rsidR="00230FB4" w:rsidRPr="00DB10F9" w14:paraId="242A4C9B" w14:textId="77777777">
        <w:tc>
          <w:tcPr>
            <w:tcW w:w="6473" w:type="dxa"/>
          </w:tcPr>
          <w:p w14:paraId="14FE81D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PE</w:t>
            </w:r>
          </w:p>
        </w:tc>
        <w:tc>
          <w:tcPr>
            <w:tcW w:w="6477" w:type="dxa"/>
          </w:tcPr>
          <w:p w14:paraId="02C6EAC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Pulmonary Embolism</w:t>
            </w:r>
          </w:p>
        </w:tc>
      </w:tr>
      <w:tr w:rsidR="00230FB4" w:rsidRPr="00DB10F9" w14:paraId="7BFB4769" w14:textId="77777777">
        <w:tc>
          <w:tcPr>
            <w:tcW w:w="6473" w:type="dxa"/>
          </w:tcPr>
          <w:p w14:paraId="05C9AE8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QA</w:t>
            </w:r>
          </w:p>
        </w:tc>
        <w:tc>
          <w:tcPr>
            <w:tcW w:w="6477" w:type="dxa"/>
          </w:tcPr>
          <w:p w14:paraId="25384D5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Quality Assurance</w:t>
            </w:r>
          </w:p>
        </w:tc>
      </w:tr>
      <w:tr w:rsidR="00230FB4" w:rsidRPr="00DB10F9" w14:paraId="705F5678" w14:textId="77777777">
        <w:tc>
          <w:tcPr>
            <w:tcW w:w="6473" w:type="dxa"/>
          </w:tcPr>
          <w:p w14:paraId="71EF745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RCT</w:t>
            </w:r>
          </w:p>
        </w:tc>
        <w:tc>
          <w:tcPr>
            <w:tcW w:w="6477" w:type="dxa"/>
          </w:tcPr>
          <w:p w14:paraId="0A4E13E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Randomized Controlled Trial</w:t>
            </w:r>
          </w:p>
        </w:tc>
      </w:tr>
      <w:tr w:rsidR="00230FB4" w:rsidRPr="00DB10F9" w14:paraId="0B7663BD" w14:textId="77777777">
        <w:tc>
          <w:tcPr>
            <w:tcW w:w="6473" w:type="dxa"/>
          </w:tcPr>
          <w:p w14:paraId="14851E9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TAT</w:t>
            </w:r>
          </w:p>
        </w:tc>
        <w:tc>
          <w:tcPr>
            <w:tcW w:w="6477" w:type="dxa"/>
          </w:tcPr>
          <w:p w14:paraId="51F3A7B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Turnaround Time</w:t>
            </w:r>
          </w:p>
        </w:tc>
      </w:tr>
      <w:tr w:rsidR="00230FB4" w:rsidRPr="00DB10F9" w14:paraId="1ECB67D4" w14:textId="77777777">
        <w:tc>
          <w:tcPr>
            <w:tcW w:w="6473" w:type="dxa"/>
          </w:tcPr>
          <w:p w14:paraId="57DD02F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TREWS</w:t>
            </w:r>
          </w:p>
        </w:tc>
        <w:tc>
          <w:tcPr>
            <w:tcW w:w="6477" w:type="dxa"/>
          </w:tcPr>
          <w:p w14:paraId="54C82F4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Targeted Real-time Early Warning System</w:t>
            </w:r>
          </w:p>
        </w:tc>
      </w:tr>
      <w:tr w:rsidR="00230FB4" w:rsidRPr="00DB10F9" w14:paraId="7ECA652E" w14:textId="77777777">
        <w:tc>
          <w:tcPr>
            <w:tcW w:w="6473" w:type="dxa"/>
          </w:tcPr>
          <w:p w14:paraId="7C5AF51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UI</w:t>
            </w:r>
          </w:p>
        </w:tc>
        <w:tc>
          <w:tcPr>
            <w:tcW w:w="6477" w:type="dxa"/>
          </w:tcPr>
          <w:p w14:paraId="4879AC0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User Interface</w:t>
            </w:r>
          </w:p>
        </w:tc>
      </w:tr>
      <w:tr w:rsidR="00230FB4" w:rsidRPr="00DB10F9" w14:paraId="5360D3DE" w14:textId="77777777">
        <w:tc>
          <w:tcPr>
            <w:tcW w:w="6473" w:type="dxa"/>
          </w:tcPr>
          <w:p w14:paraId="35989C9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U.S.</w:t>
            </w:r>
          </w:p>
        </w:tc>
        <w:tc>
          <w:tcPr>
            <w:tcW w:w="6477" w:type="dxa"/>
          </w:tcPr>
          <w:p w14:paraId="3ABBD82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United States</w:t>
            </w:r>
          </w:p>
        </w:tc>
      </w:tr>
    </w:tbl>
    <w:p w14:paraId="44ACDB37" w14:textId="77777777" w:rsidR="00230FB4" w:rsidRPr="00DB10F9" w:rsidRDefault="00230FB4">
      <w:pPr>
        <w:jc w:val="both"/>
        <w:rPr>
          <w:rFonts w:ascii="Arial" w:eastAsia="Arial" w:hAnsi="Arial" w:cs="Arial"/>
          <w:sz w:val="20"/>
          <w:szCs w:val="20"/>
        </w:rPr>
        <w:sectPr w:rsidR="00230FB4" w:rsidRPr="00DB10F9">
          <w:pgSz w:w="15840" w:h="12240" w:orient="landscape"/>
          <w:pgMar w:top="1440" w:right="1440" w:bottom="1440" w:left="1440" w:header="720" w:footer="720" w:gutter="0"/>
          <w:cols w:space="720"/>
        </w:sectPr>
      </w:pPr>
    </w:p>
    <w:p w14:paraId="3662B894" w14:textId="77A0E8C3"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lastRenderedPageBreak/>
        <w:t xml:space="preserve">4.0 </w:t>
      </w:r>
      <w:r w:rsidR="00192D56" w:rsidRPr="00DB10F9">
        <w:rPr>
          <w:rFonts w:ascii="Arial" w:eastAsia="Arial" w:hAnsi="Arial" w:cs="Arial"/>
          <w:b/>
          <w:sz w:val="22"/>
          <w:szCs w:val="22"/>
        </w:rPr>
        <w:t>DISCUSSION</w:t>
      </w:r>
    </w:p>
    <w:p w14:paraId="044FD951"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4.1 Summary of key findings</w:t>
      </w:r>
    </w:p>
    <w:p w14:paraId="065099D9"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 xml:space="preserve">The findings indicate that the benefits are concentrated in areas where safeguards, workflow fit, and active monitoring are explicit. Autonomous diabetic-retinopathy screening exhibited high diagnostic accuracy and facilitated improved referral completion, particularly in underserved clinics. The implementation of sepsis early-warning systems has been demonstrated to be associated with expedited initiation of antibiotic treatment and enhanced process outcomes when clinicians acknowledge these alerts and act in accordance with protocolized bundles. The implementation of imaging triage, accelerated </w:t>
      </w:r>
      <w:proofErr w:type="spellStart"/>
      <w:r w:rsidRPr="00DB10F9">
        <w:rPr>
          <w:rFonts w:ascii="Arial" w:eastAsia="Arial" w:hAnsi="Arial" w:cs="Arial"/>
          <w:sz w:val="20"/>
          <w:szCs w:val="20"/>
        </w:rPr>
        <w:t>prioritisation</w:t>
      </w:r>
      <w:proofErr w:type="spellEnd"/>
      <w:r w:rsidRPr="00DB10F9">
        <w:rPr>
          <w:rFonts w:ascii="Arial" w:eastAsia="Arial" w:hAnsi="Arial" w:cs="Arial"/>
          <w:sz w:val="20"/>
          <w:szCs w:val="20"/>
        </w:rPr>
        <w:t xml:space="preserve">, and reduced report turnaround times under operational telemetry conditions is contingent upon the maintenance of escalation pathways and safety nets. External validations of proprietary deterioration and sepsis models revealed discrimination and calibration limitations, necessitating predefined local acceptance thresholds and scheduled recalibration. The use of endoscopy </w:t>
      </w:r>
      <w:proofErr w:type="spellStart"/>
      <w:r w:rsidRPr="00DB10F9">
        <w:rPr>
          <w:rFonts w:ascii="Arial" w:eastAsia="Arial" w:hAnsi="Arial" w:cs="Arial"/>
          <w:sz w:val="20"/>
          <w:szCs w:val="20"/>
        </w:rPr>
        <w:t>CADe</w:t>
      </w:r>
      <w:proofErr w:type="spellEnd"/>
      <w:r w:rsidRPr="00DB10F9">
        <w:rPr>
          <w:rFonts w:ascii="Arial" w:eastAsia="Arial" w:hAnsi="Arial" w:cs="Arial"/>
          <w:sz w:val="20"/>
          <w:szCs w:val="20"/>
        </w:rPr>
        <w:t xml:space="preserve"> yielded a variety of outcomes, ranging from mixed to null effects. The performance of this technology is influenced by several factors, including operator skill, interface design, and the specific context of the site. The delivery of a generative report resulted in efficiency; however, it necessitated human confirmation to avert hallucinations and maintain provenance. Human factors evaluations have been demonstrated to elucidate over- and under-trust patterns that have been shown to compromise safe adoption. Post-hoc audits of population risk tools have demonstrated how cost-based labels can encode inequity, motivating outcome-based targets and bias surveillance. The impact of these models in real-world settings is found to be less dependent on model accuracy and more dependent on factors such as adoption, governance artefacts, and continuous surveillance across the lifecycle.</w:t>
      </w:r>
    </w:p>
    <w:p w14:paraId="5D2ACDC2"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4.2 Comparison with existing literatures</w:t>
      </w:r>
    </w:p>
    <w:p w14:paraId="4E246098"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 xml:space="preserve">The findings of this study align with the SPIRIT-AI and CONSORT-AI mandates for protocolized endpoints and human-in-the-loop reporting (Cruz Rivera et al., 2020; Liu et al., 2020). These mandates </w:t>
      </w:r>
      <w:proofErr w:type="spellStart"/>
      <w:r w:rsidRPr="00DB10F9">
        <w:rPr>
          <w:rFonts w:ascii="Arial" w:eastAsia="Arial" w:hAnsi="Arial" w:cs="Arial"/>
          <w:sz w:val="20"/>
          <w:szCs w:val="20"/>
        </w:rPr>
        <w:t>emphasise</w:t>
      </w:r>
      <w:proofErr w:type="spellEnd"/>
      <w:r w:rsidRPr="00DB10F9">
        <w:rPr>
          <w:rFonts w:ascii="Arial" w:eastAsia="Arial" w:hAnsi="Arial" w:cs="Arial"/>
          <w:sz w:val="20"/>
          <w:szCs w:val="20"/>
        </w:rPr>
        <w:t xml:space="preserve"> the importance of prespecified use, oversight, and outcomes. The emphasis on pilot/shadow stages and staged roll-out aligns with DECIDE-AI guidance for early clinical evaluation (Vasey et al., 2022). The calibration and transportability issues that have been identified in the real world are indicative of the requirements and risk-of-bias/applicability checks of TRIPOD+AI (Collins et al., 2024; Moons et al., 2025). Our position that accuracy alone is inadequate for diagnostic agents aligns with STARD-AI's pathway-aware framing (</w:t>
      </w:r>
      <w:proofErr w:type="spellStart"/>
      <w:r w:rsidRPr="00DB10F9">
        <w:rPr>
          <w:rFonts w:ascii="Arial" w:eastAsia="Arial" w:hAnsi="Arial" w:cs="Arial"/>
          <w:sz w:val="20"/>
          <w:szCs w:val="20"/>
        </w:rPr>
        <w:t>Sounderajah</w:t>
      </w:r>
      <w:proofErr w:type="spellEnd"/>
      <w:r w:rsidRPr="00DB10F9">
        <w:rPr>
          <w:rFonts w:ascii="Arial" w:eastAsia="Arial" w:hAnsi="Arial" w:cs="Arial"/>
          <w:sz w:val="20"/>
          <w:szCs w:val="20"/>
        </w:rPr>
        <w:t xml:space="preserve"> et al., 2025). The governance artefacts, including change control, audit trails, and adoption telemetry, align with lifecycle regulation arguments (Hwang et al., 2019). The observed miscalibration under distribution shift is consistent with clinical warnings on dataset shift (Finlayson et al., 2021). The human-factors drivers of </w:t>
      </w:r>
      <w:proofErr w:type="spellStart"/>
      <w:r w:rsidRPr="00DB10F9">
        <w:rPr>
          <w:rFonts w:ascii="Arial" w:eastAsia="Arial" w:hAnsi="Arial" w:cs="Arial"/>
          <w:sz w:val="20"/>
          <w:szCs w:val="20"/>
        </w:rPr>
        <w:t>realised</w:t>
      </w:r>
      <w:proofErr w:type="spellEnd"/>
      <w:r w:rsidRPr="00DB10F9">
        <w:rPr>
          <w:rFonts w:ascii="Arial" w:eastAsia="Arial" w:hAnsi="Arial" w:cs="Arial"/>
          <w:sz w:val="20"/>
          <w:szCs w:val="20"/>
        </w:rPr>
        <w:t xml:space="preserve"> impact (i.e., trust, workload, and UI) align with mapping reviews (Asan &amp; Choudhury, 2021). The present call for role-clear disclosures is analogous to "Model Facts" labels (Sendak et al., 2020). The potential equity risks associated with label choice are consistent with the critiques of fairness (</w:t>
      </w:r>
      <w:proofErr w:type="spellStart"/>
      <w:r w:rsidRPr="00DB10F9">
        <w:rPr>
          <w:rFonts w:ascii="Arial" w:eastAsia="Arial" w:hAnsi="Arial" w:cs="Arial"/>
          <w:sz w:val="20"/>
          <w:szCs w:val="20"/>
        </w:rPr>
        <w:t>Rajkomar</w:t>
      </w:r>
      <w:proofErr w:type="spellEnd"/>
      <w:r w:rsidRPr="00DB10F9">
        <w:rPr>
          <w:rFonts w:ascii="Arial" w:eastAsia="Arial" w:hAnsi="Arial" w:cs="Arial"/>
          <w:sz w:val="20"/>
          <w:szCs w:val="20"/>
        </w:rPr>
        <w:t xml:space="preserve"> et al., 2018; Parikh et al., 2019). Finally, our inclination toward pragmatic, workflow-proximal endpoints is substantiated by the paucity of </w:t>
      </w:r>
      <w:proofErr w:type="spellStart"/>
      <w:r w:rsidRPr="00DB10F9">
        <w:rPr>
          <w:rFonts w:ascii="Arial" w:eastAsia="Arial" w:hAnsi="Arial" w:cs="Arial"/>
          <w:sz w:val="20"/>
          <w:szCs w:val="20"/>
        </w:rPr>
        <w:t>randomised</w:t>
      </w:r>
      <w:proofErr w:type="spellEnd"/>
      <w:r w:rsidRPr="00DB10F9">
        <w:rPr>
          <w:rFonts w:ascii="Arial" w:eastAsia="Arial" w:hAnsi="Arial" w:cs="Arial"/>
          <w:sz w:val="20"/>
          <w:szCs w:val="20"/>
        </w:rPr>
        <w:t xml:space="preserve"> AI trials (Plana et al., 2022).</w:t>
      </w:r>
    </w:p>
    <w:p w14:paraId="649A8E3E"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The existing guidelines primarily encompass trial reporting, while the present study incorporates post-deployment service-level obligations, such as reporting TAT and alert-to-action latency, along with continuous ops telemetry. It should be noted that SPIRIT-AI and CONSORT-AI have yet to operationalize these components in production (Cruz Rivera et al., 2020; Liu et al., 2020). TRIPOD+AI/PROBAST+AI are prediction-centric; we extend to agentic workflows (triage, sepsis EWS, autonomous screening) requiring escalation playbooks and fail-safes (Collins et al., 2024; Moons et al., 2025). STARD-AI prioritizes diagnostic accuracy, while our synthesis emphasizes workflow fit and safety nets as equivalent forms of evidence, thereby challenging the conventional accuracy-first evaluation approach (</w:t>
      </w:r>
      <w:proofErr w:type="spellStart"/>
      <w:r w:rsidRPr="00DB10F9">
        <w:rPr>
          <w:rFonts w:ascii="Arial" w:eastAsia="Arial" w:hAnsi="Arial" w:cs="Arial"/>
          <w:sz w:val="20"/>
          <w:szCs w:val="20"/>
        </w:rPr>
        <w:t>Sounderajah</w:t>
      </w:r>
      <w:proofErr w:type="spellEnd"/>
      <w:r w:rsidRPr="00DB10F9">
        <w:rPr>
          <w:rFonts w:ascii="Arial" w:eastAsia="Arial" w:hAnsi="Arial" w:cs="Arial"/>
          <w:sz w:val="20"/>
          <w:szCs w:val="20"/>
        </w:rPr>
        <w:t xml:space="preserve"> et al., </w:t>
      </w:r>
      <w:r w:rsidRPr="00DB10F9">
        <w:rPr>
          <w:rFonts w:ascii="Arial" w:eastAsia="Arial" w:hAnsi="Arial" w:cs="Arial"/>
          <w:sz w:val="20"/>
          <w:szCs w:val="20"/>
        </w:rPr>
        <w:lastRenderedPageBreak/>
        <w:t>2025). Explainability critiques posit that post-hoc narratives are deficient; our results operationalize guardrails, provenance, uncertainty display, and recalibration triggers as alternatives (Ghassemi et al., 2021). The integration of ethics, regulation, and operations is a fundamental tenet of governance models. This principle is instantiated as a minimal viable governance bundle with measurable decision gates (Reddy et al., 2022). Fairness commentaries call for mitigation; we specify procurement-time label audits and outcome-based targets beyond principle-level guidance (</w:t>
      </w:r>
      <w:proofErr w:type="spellStart"/>
      <w:r w:rsidRPr="00DB10F9">
        <w:rPr>
          <w:rFonts w:ascii="Arial" w:eastAsia="Arial" w:hAnsi="Arial" w:cs="Arial"/>
          <w:sz w:val="20"/>
          <w:szCs w:val="20"/>
        </w:rPr>
        <w:t>Rajkomar</w:t>
      </w:r>
      <w:proofErr w:type="spellEnd"/>
      <w:r w:rsidRPr="00DB10F9">
        <w:rPr>
          <w:rFonts w:ascii="Arial" w:eastAsia="Arial" w:hAnsi="Arial" w:cs="Arial"/>
          <w:sz w:val="20"/>
          <w:szCs w:val="20"/>
        </w:rPr>
        <w:t xml:space="preserve"> et al., 2018; Parikh et al., 2019).</w:t>
      </w:r>
    </w:p>
    <w:p w14:paraId="59D99C94"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5.0 Conclusion and recommendations for future research</w:t>
      </w:r>
    </w:p>
    <w:p w14:paraId="0C58C5E4"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5.1 Conclusion</w:t>
      </w:r>
    </w:p>
    <w:p w14:paraId="44AC736D"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 xml:space="preserve">Across heterogeneous U.S. deployment scenarios, responsible AI agents are capable of delivering value when safeguards, workflow fit, and continuous monitoring are explicitly defined and established. Evidence from autonomous screening, sepsis early warning, radiology triage, endoscopy </w:t>
      </w:r>
      <w:proofErr w:type="spellStart"/>
      <w:r w:rsidRPr="00DB10F9">
        <w:rPr>
          <w:rFonts w:ascii="Arial" w:eastAsia="Arial" w:hAnsi="Arial" w:cs="Arial"/>
          <w:sz w:val="20"/>
          <w:szCs w:val="20"/>
        </w:rPr>
        <w:t>CADe</w:t>
      </w:r>
      <w:proofErr w:type="spellEnd"/>
      <w:r w:rsidRPr="00DB10F9">
        <w:rPr>
          <w:rFonts w:ascii="Arial" w:eastAsia="Arial" w:hAnsi="Arial" w:cs="Arial"/>
          <w:sz w:val="20"/>
          <w:szCs w:val="20"/>
        </w:rPr>
        <w:t>, and generative reporting demonstrates that the realized benefit is less dependent on headline accuracy and more dependent on intended-use clarity, human oversight, calibration, and drift management, and service-level metrics such as alert-to-action latency and report turnaround. A lifecycle, sociotechnical approach, linking design, validation, deployment, and post-market surveillance, clarifies where principles and rules must become auditable controls (e.g., adoption telemetry, incident reporting, change control). Equity necessitates a thorough examination of label selections and upstream measurement bias. Moreover, procurement-ready documentation, encompassing provenance, limits, and failure modes, serves to fortify accountability. The review as a whole supports a minimal viable governance bundle, which includes shadow testing, role-clear escalation, uncertainty and limitation disclosure, bias and drift monitoring, and pre-specified decision gates for scale-up or rollback. The integration of these practices has been demonstrated to translate into reliable, safe, and transparent performance in routine care on a large scale.</w:t>
      </w:r>
    </w:p>
    <w:p w14:paraId="26D4EDE6" w14:textId="77777777" w:rsidR="00230FB4" w:rsidRPr="00DB10F9" w:rsidRDefault="0040531C">
      <w:pPr>
        <w:jc w:val="both"/>
        <w:rPr>
          <w:rFonts w:ascii="Arial" w:eastAsia="Arial" w:hAnsi="Arial" w:cs="Arial"/>
          <w:b/>
          <w:sz w:val="22"/>
          <w:szCs w:val="22"/>
        </w:rPr>
      </w:pPr>
      <w:r w:rsidRPr="00DB10F9">
        <w:rPr>
          <w:rFonts w:ascii="Arial" w:eastAsia="Arial" w:hAnsi="Arial" w:cs="Arial"/>
          <w:b/>
          <w:sz w:val="22"/>
          <w:szCs w:val="22"/>
        </w:rPr>
        <w:t>5.2 Recommendation for future research</w:t>
      </w:r>
    </w:p>
    <w:p w14:paraId="51B7471A" w14:textId="77777777" w:rsidR="00230FB4" w:rsidRPr="00DB10F9" w:rsidRDefault="0040531C">
      <w:pPr>
        <w:jc w:val="both"/>
        <w:rPr>
          <w:rFonts w:ascii="Arial" w:eastAsia="Arial" w:hAnsi="Arial" w:cs="Arial"/>
          <w:sz w:val="20"/>
          <w:szCs w:val="20"/>
        </w:rPr>
      </w:pPr>
      <w:r w:rsidRPr="00DB10F9">
        <w:rPr>
          <w:rFonts w:ascii="Arial" w:eastAsia="Arial" w:hAnsi="Arial" w:cs="Arial"/>
          <w:sz w:val="20"/>
          <w:szCs w:val="20"/>
        </w:rPr>
        <w:t>Future research endeavors should prioritize prospective, multi-site evaluations with workflow-proximal endpoints, including but not limited to alert-to-action latency, report turnaround, and referral closure. In order to determine the most efficacious treatment option, a comparative effectiveness trial must be conducted that includes economic, safety, and patient-reported outcomes. Standardized transparency artifacts, including provenance, limits, and update history, should be evaluated as interventions. The establishment of open incident and drift registries is essential for the evaluation of fairness-drift surveillance in routine operations. The governance mechanisms, including shadow mode, escalation playbooks, and change control, should be examined through the lens of stepped-wedge or adaptive designs. Finally, the examination of generalizability across settings and populations is recommended, facilitated by the implementation of planned recalibration protocols.</w:t>
      </w:r>
    </w:p>
    <w:p w14:paraId="5F9FCF7A" w14:textId="77777777" w:rsidR="005B6E96" w:rsidRPr="00DB10F9" w:rsidRDefault="005B6E96">
      <w:pPr>
        <w:jc w:val="both"/>
        <w:rPr>
          <w:rFonts w:ascii="Arial" w:eastAsia="Arial" w:hAnsi="Arial" w:cs="Arial"/>
          <w:sz w:val="20"/>
          <w:szCs w:val="20"/>
        </w:rPr>
      </w:pPr>
    </w:p>
    <w:p w14:paraId="2404067C" w14:textId="77777777" w:rsidR="005B6E96" w:rsidRPr="00DB10F9" w:rsidRDefault="005B6E96" w:rsidP="005B6E96">
      <w:pPr>
        <w:jc w:val="both"/>
        <w:rPr>
          <w:rFonts w:ascii="Arial" w:eastAsia="Arial" w:hAnsi="Arial" w:cs="Arial"/>
          <w:b/>
          <w:sz w:val="22"/>
          <w:szCs w:val="22"/>
        </w:rPr>
      </w:pPr>
      <w:r w:rsidRPr="00DB10F9">
        <w:rPr>
          <w:rFonts w:ascii="Arial" w:eastAsia="Arial" w:hAnsi="Arial" w:cs="Arial"/>
          <w:b/>
          <w:sz w:val="22"/>
          <w:szCs w:val="22"/>
        </w:rPr>
        <w:t>4.3 Limitations of Review</w:t>
      </w:r>
    </w:p>
    <w:p w14:paraId="49797A45" w14:textId="77777777" w:rsidR="005B6E96" w:rsidRPr="00DB10F9" w:rsidRDefault="005B6E96" w:rsidP="005B6E96">
      <w:pPr>
        <w:jc w:val="both"/>
        <w:rPr>
          <w:rFonts w:ascii="Arial" w:eastAsia="Arial" w:hAnsi="Arial" w:cs="Arial"/>
          <w:sz w:val="20"/>
          <w:szCs w:val="20"/>
        </w:rPr>
      </w:pPr>
      <w:r w:rsidRPr="00DB10F9">
        <w:rPr>
          <w:rFonts w:ascii="Arial" w:eastAsia="Arial" w:hAnsi="Arial" w:cs="Arial"/>
          <w:sz w:val="20"/>
          <w:szCs w:val="20"/>
        </w:rPr>
        <w:t xml:space="preserve">The evidence </w:t>
      </w:r>
      <w:proofErr w:type="spellStart"/>
      <w:r w:rsidRPr="00DB10F9">
        <w:rPr>
          <w:rFonts w:ascii="Arial" w:eastAsia="Arial" w:hAnsi="Arial" w:cs="Arial"/>
          <w:sz w:val="20"/>
          <w:szCs w:val="20"/>
        </w:rPr>
        <w:t>synthesised</w:t>
      </w:r>
      <w:proofErr w:type="spellEnd"/>
      <w:r w:rsidRPr="00DB10F9">
        <w:rPr>
          <w:rFonts w:ascii="Arial" w:eastAsia="Arial" w:hAnsi="Arial" w:cs="Arial"/>
          <w:sz w:val="20"/>
          <w:szCs w:val="20"/>
        </w:rPr>
        <w:t xml:space="preserve"> in this study is heterogeneous across a variety of designs, settings, and maturity stages, precluding meta-analysis and limiting causal inference. The current scope, which is limited to the United States, does not include any experiments with international governance. A considerable proportion of the included evaluations are observational, which renders them vulnerable to confounding and adoption bias. Additionally, negative or commercially sensitive implementations may be underreported, a phenomenon known as publication bias. Performance metrics frequently serve as a surrogate for patient outcomes, and the availability of proprietary models can impede independent auditing of algorithms, </w:t>
      </w:r>
      <w:r w:rsidRPr="00DB10F9">
        <w:rPr>
          <w:rFonts w:ascii="Arial" w:eastAsia="Arial" w:hAnsi="Arial" w:cs="Arial"/>
          <w:sz w:val="20"/>
          <w:szCs w:val="20"/>
        </w:rPr>
        <w:lastRenderedPageBreak/>
        <w:t>datasets, and updates. The rapid evolution of rules and vendor releases poses a significant risk of temporal drift between reported evidence and current practice.</w:t>
      </w:r>
    </w:p>
    <w:p w14:paraId="1AA01F2F" w14:textId="77777777" w:rsidR="005B6E96" w:rsidRPr="00DB10F9" w:rsidRDefault="005B6E96">
      <w:pPr>
        <w:jc w:val="both"/>
        <w:rPr>
          <w:rFonts w:ascii="Arial" w:eastAsia="Arial" w:hAnsi="Arial" w:cs="Arial"/>
          <w:sz w:val="20"/>
          <w:szCs w:val="20"/>
        </w:rPr>
      </w:pPr>
    </w:p>
    <w:p w14:paraId="3213EB49" w14:textId="77777777" w:rsidR="00207CA4" w:rsidRPr="00DB10F9" w:rsidRDefault="00207CA4" w:rsidP="00207CA4">
      <w:pPr>
        <w:jc w:val="both"/>
        <w:rPr>
          <w:rFonts w:ascii="Arial" w:eastAsia="Arial" w:hAnsi="Arial" w:cs="Arial"/>
          <w:sz w:val="20"/>
          <w:szCs w:val="20"/>
        </w:rPr>
      </w:pPr>
      <w:r w:rsidRPr="00DB10F9">
        <w:rPr>
          <w:rFonts w:ascii="Arial" w:eastAsia="Arial" w:hAnsi="Arial" w:cs="Arial"/>
          <w:sz w:val="20"/>
          <w:szCs w:val="20"/>
        </w:rPr>
        <w:t>COMPETING INTERESTS DISCLAIMER:</w:t>
      </w:r>
    </w:p>
    <w:p w14:paraId="106E4DCB" w14:textId="4136137B" w:rsidR="00207CA4" w:rsidRPr="00DB10F9" w:rsidRDefault="00207CA4" w:rsidP="00207CA4">
      <w:pPr>
        <w:jc w:val="both"/>
        <w:rPr>
          <w:rFonts w:ascii="Arial" w:eastAsia="Arial" w:hAnsi="Arial" w:cs="Arial"/>
          <w:sz w:val="20"/>
          <w:szCs w:val="20"/>
        </w:rPr>
      </w:pPr>
      <w:r w:rsidRPr="00DB10F9">
        <w:rPr>
          <w:rFonts w:ascii="Arial" w:eastAsia="Arial" w:hAnsi="Arial" w:cs="Arial"/>
          <w:sz w:val="20"/>
          <w:szCs w:val="20"/>
        </w:rPr>
        <w:t>Authors have declared that they have no known competing financial interests OR non-financial interests OR personal relationships that could have appeared to influence the work reported in this paper.</w:t>
      </w:r>
    </w:p>
    <w:p w14:paraId="27296743" w14:textId="77777777" w:rsidR="00207CA4" w:rsidRPr="00DB10F9" w:rsidRDefault="00207CA4">
      <w:pPr>
        <w:jc w:val="both"/>
        <w:rPr>
          <w:rFonts w:ascii="Arial" w:eastAsia="Arial" w:hAnsi="Arial" w:cs="Arial"/>
          <w:sz w:val="20"/>
          <w:szCs w:val="20"/>
        </w:rPr>
      </w:pPr>
    </w:p>
    <w:p w14:paraId="645A2AF4" w14:textId="77777777" w:rsidR="001B3991" w:rsidRPr="00DB10F9" w:rsidRDefault="001B3991" w:rsidP="001B3991">
      <w:pPr>
        <w:rPr>
          <w:rFonts w:ascii="Arial" w:hAnsi="Arial" w:cs="Arial"/>
          <w:kern w:val="2"/>
          <w:highlight w:val="yellow"/>
          <w:lang w:val="en-US"/>
        </w:rPr>
      </w:pPr>
      <w:bookmarkStart w:id="2" w:name="_Hlk197682619"/>
      <w:bookmarkStart w:id="3" w:name="_Hlk180402183"/>
      <w:bookmarkStart w:id="4" w:name="_Hlk183680988"/>
      <w:r w:rsidRPr="00DB10F9">
        <w:rPr>
          <w:rFonts w:ascii="Arial" w:hAnsi="Arial" w:cs="Arial"/>
          <w:kern w:val="2"/>
          <w:highlight w:val="yellow"/>
          <w:lang w:val="en-US"/>
        </w:rPr>
        <w:t>Disclaimer (Artificial intelligence)</w:t>
      </w:r>
    </w:p>
    <w:p w14:paraId="722EB731" w14:textId="77777777" w:rsidR="001B3991" w:rsidRPr="00DB10F9" w:rsidRDefault="001B3991" w:rsidP="001B3991">
      <w:pPr>
        <w:rPr>
          <w:rFonts w:ascii="Arial" w:hAnsi="Arial" w:cs="Arial"/>
          <w:kern w:val="2"/>
          <w:highlight w:val="yellow"/>
          <w:lang w:val="en-US"/>
        </w:rPr>
      </w:pPr>
      <w:r w:rsidRPr="00DB10F9">
        <w:rPr>
          <w:rFonts w:ascii="Arial" w:hAnsi="Arial" w:cs="Arial"/>
          <w:kern w:val="2"/>
          <w:highlight w:val="yellow"/>
          <w:lang w:val="en-US"/>
        </w:rPr>
        <w:t xml:space="preserve">Option 1: </w:t>
      </w:r>
    </w:p>
    <w:p w14:paraId="0536C9DE" w14:textId="77777777" w:rsidR="001B3991" w:rsidRPr="00DB10F9" w:rsidRDefault="001B3991" w:rsidP="001B3991">
      <w:pPr>
        <w:rPr>
          <w:rFonts w:ascii="Arial" w:hAnsi="Arial" w:cs="Arial"/>
          <w:kern w:val="2"/>
          <w:highlight w:val="yellow"/>
          <w:lang w:val="en-US"/>
        </w:rPr>
      </w:pPr>
      <w:r w:rsidRPr="00DB10F9">
        <w:rPr>
          <w:rFonts w:ascii="Arial" w:hAnsi="Arial" w:cs="Arial"/>
          <w:kern w:val="2"/>
          <w:highlight w:val="yellow"/>
          <w:lang w:val="en-US"/>
        </w:rPr>
        <w:t>Author(s) hereby declare that NO generative AI technologies such as Large Language Models (</w:t>
      </w:r>
      <w:proofErr w:type="spellStart"/>
      <w:r w:rsidRPr="00DB10F9">
        <w:rPr>
          <w:rFonts w:ascii="Arial" w:hAnsi="Arial" w:cs="Arial"/>
          <w:kern w:val="2"/>
          <w:highlight w:val="yellow"/>
          <w:lang w:val="en-US"/>
        </w:rPr>
        <w:t>ChatGPT</w:t>
      </w:r>
      <w:proofErr w:type="spellEnd"/>
      <w:r w:rsidRPr="00DB10F9">
        <w:rPr>
          <w:rFonts w:ascii="Arial" w:hAnsi="Arial" w:cs="Arial"/>
          <w:kern w:val="2"/>
          <w:highlight w:val="yellow"/>
          <w:lang w:val="en-US"/>
        </w:rPr>
        <w:t xml:space="preserve">, COPILOT, etc.) and text-to-image generators have been used during the writing or editing of this manuscript. </w:t>
      </w:r>
    </w:p>
    <w:p w14:paraId="21EAEEE4" w14:textId="77777777" w:rsidR="001B3991" w:rsidRPr="00DB10F9" w:rsidRDefault="001B3991" w:rsidP="001B3991">
      <w:pPr>
        <w:rPr>
          <w:rFonts w:ascii="Arial" w:hAnsi="Arial" w:cs="Arial"/>
          <w:kern w:val="2"/>
          <w:highlight w:val="yellow"/>
          <w:lang w:val="en-US"/>
        </w:rPr>
      </w:pPr>
      <w:r w:rsidRPr="00DB10F9">
        <w:rPr>
          <w:rFonts w:ascii="Arial" w:hAnsi="Arial" w:cs="Arial"/>
          <w:kern w:val="2"/>
          <w:highlight w:val="yellow"/>
          <w:lang w:val="en-US"/>
        </w:rPr>
        <w:t xml:space="preserve">Option 2: </w:t>
      </w:r>
    </w:p>
    <w:p w14:paraId="4CDB5EDE" w14:textId="77777777" w:rsidR="001B3991" w:rsidRPr="00DB10F9" w:rsidRDefault="001B3991" w:rsidP="001B3991">
      <w:pPr>
        <w:rPr>
          <w:rFonts w:ascii="Arial" w:hAnsi="Arial" w:cs="Arial"/>
          <w:kern w:val="2"/>
          <w:highlight w:val="yellow"/>
          <w:lang w:val="en-US"/>
        </w:rPr>
      </w:pPr>
      <w:r w:rsidRPr="00DB10F9">
        <w:rPr>
          <w:rFonts w:ascii="Arial" w:hAnsi="Arial" w:cs="Arial"/>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D353C7" w14:textId="77777777" w:rsidR="001B3991" w:rsidRPr="00DB10F9" w:rsidRDefault="001B3991" w:rsidP="001B3991">
      <w:pPr>
        <w:rPr>
          <w:rFonts w:ascii="Arial" w:hAnsi="Arial" w:cs="Arial"/>
          <w:kern w:val="2"/>
          <w:highlight w:val="yellow"/>
          <w:lang w:val="en-US"/>
        </w:rPr>
      </w:pPr>
      <w:r w:rsidRPr="00DB10F9">
        <w:rPr>
          <w:rFonts w:ascii="Arial" w:hAnsi="Arial" w:cs="Arial"/>
          <w:kern w:val="2"/>
          <w:highlight w:val="yellow"/>
          <w:lang w:val="en-US"/>
        </w:rPr>
        <w:t>Details of the AI usage are given below:</w:t>
      </w:r>
    </w:p>
    <w:p w14:paraId="4441A6B3" w14:textId="77777777" w:rsidR="001B3991" w:rsidRPr="00DB10F9" w:rsidRDefault="001B3991" w:rsidP="001B3991">
      <w:pPr>
        <w:rPr>
          <w:rFonts w:ascii="Arial" w:hAnsi="Arial" w:cs="Arial"/>
          <w:kern w:val="2"/>
          <w:highlight w:val="yellow"/>
          <w:lang w:val="en-US"/>
        </w:rPr>
      </w:pPr>
      <w:r w:rsidRPr="00DB10F9">
        <w:rPr>
          <w:rFonts w:ascii="Arial" w:hAnsi="Arial" w:cs="Arial"/>
          <w:kern w:val="2"/>
          <w:highlight w:val="yellow"/>
          <w:lang w:val="en-US"/>
        </w:rPr>
        <w:t>1.</w:t>
      </w:r>
    </w:p>
    <w:p w14:paraId="25A4FDB7" w14:textId="77777777" w:rsidR="001B3991" w:rsidRPr="00DB10F9" w:rsidRDefault="001B3991" w:rsidP="001B3991">
      <w:pPr>
        <w:rPr>
          <w:rFonts w:ascii="Arial" w:hAnsi="Arial" w:cs="Arial"/>
          <w:kern w:val="2"/>
          <w:highlight w:val="yellow"/>
          <w:lang w:val="en-US"/>
        </w:rPr>
      </w:pPr>
      <w:r w:rsidRPr="00DB10F9">
        <w:rPr>
          <w:rFonts w:ascii="Arial" w:hAnsi="Arial" w:cs="Arial"/>
          <w:kern w:val="2"/>
          <w:highlight w:val="yellow"/>
          <w:lang w:val="en-US"/>
        </w:rPr>
        <w:t>2.</w:t>
      </w:r>
    </w:p>
    <w:p w14:paraId="45A62368" w14:textId="77777777" w:rsidR="001B3991" w:rsidRPr="00DB10F9" w:rsidRDefault="001B3991" w:rsidP="001B3991">
      <w:pPr>
        <w:rPr>
          <w:rFonts w:ascii="Arial" w:hAnsi="Arial" w:cs="Arial"/>
          <w:kern w:val="2"/>
          <w:lang w:val="en-US"/>
        </w:rPr>
      </w:pPr>
      <w:bookmarkStart w:id="5" w:name="_Hlk197682629"/>
      <w:bookmarkEnd w:id="2"/>
      <w:r w:rsidRPr="00DB10F9">
        <w:rPr>
          <w:rFonts w:ascii="Arial" w:hAnsi="Arial" w:cs="Arial"/>
          <w:kern w:val="2"/>
          <w:highlight w:val="yellow"/>
          <w:lang w:val="en-US"/>
        </w:rPr>
        <w:t>3.</w:t>
      </w:r>
    </w:p>
    <w:bookmarkEnd w:id="3"/>
    <w:bookmarkEnd w:id="4"/>
    <w:bookmarkEnd w:id="5"/>
    <w:p w14:paraId="7FE67F1B" w14:textId="77777777" w:rsidR="00207CA4" w:rsidRPr="00DB10F9" w:rsidRDefault="00207CA4">
      <w:pPr>
        <w:jc w:val="both"/>
        <w:rPr>
          <w:rFonts w:ascii="Arial" w:eastAsia="Arial" w:hAnsi="Arial" w:cs="Arial"/>
          <w:sz w:val="20"/>
          <w:szCs w:val="20"/>
        </w:rPr>
      </w:pPr>
    </w:p>
    <w:p w14:paraId="7F2F9346" w14:textId="77777777" w:rsidR="00230FB4" w:rsidRPr="00DB10F9" w:rsidRDefault="0040531C">
      <w:pPr>
        <w:rPr>
          <w:rFonts w:ascii="Arial" w:eastAsia="Arial" w:hAnsi="Arial" w:cs="Arial"/>
          <w:b/>
          <w:sz w:val="22"/>
          <w:szCs w:val="22"/>
        </w:rPr>
      </w:pPr>
      <w:r w:rsidRPr="00DB10F9">
        <w:rPr>
          <w:rFonts w:ascii="Arial" w:eastAsia="Arial" w:hAnsi="Arial" w:cs="Arial"/>
          <w:b/>
          <w:sz w:val="22"/>
          <w:szCs w:val="22"/>
        </w:rPr>
        <w:t>References</w:t>
      </w:r>
    </w:p>
    <w:p w14:paraId="5F31D4A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Abràmoff, M. D., Lavin, P. T., Birch, M., Shah, N., &amp; Folk, J. C. (2018). Pivotal trial of an autonomous AI-based diagnostic system for the detection of diabetic retinopathy in primary care offices. </w:t>
      </w:r>
      <w:r w:rsidRPr="00DB10F9">
        <w:rPr>
          <w:rFonts w:ascii="Arial" w:eastAsia="Arial" w:hAnsi="Arial" w:cs="Arial"/>
          <w:i/>
          <w:sz w:val="20"/>
          <w:szCs w:val="20"/>
        </w:rPr>
        <w:t>NPJ digital medicine</w:t>
      </w:r>
      <w:r w:rsidRPr="00DB10F9">
        <w:rPr>
          <w:rFonts w:ascii="Arial" w:eastAsia="Arial" w:hAnsi="Arial" w:cs="Arial"/>
          <w:sz w:val="20"/>
          <w:szCs w:val="20"/>
        </w:rPr>
        <w:t>, </w:t>
      </w:r>
      <w:r w:rsidRPr="00DB10F9">
        <w:rPr>
          <w:rFonts w:ascii="Arial" w:eastAsia="Arial" w:hAnsi="Arial" w:cs="Arial"/>
          <w:i/>
          <w:sz w:val="20"/>
          <w:szCs w:val="20"/>
        </w:rPr>
        <w:t>1</w:t>
      </w:r>
      <w:r w:rsidRPr="00DB10F9">
        <w:rPr>
          <w:rFonts w:ascii="Arial" w:eastAsia="Arial" w:hAnsi="Arial" w:cs="Arial"/>
          <w:sz w:val="20"/>
          <w:szCs w:val="20"/>
        </w:rPr>
        <w:t>(1), 39.</w:t>
      </w:r>
    </w:p>
    <w:p w14:paraId="15B8A839" w14:textId="77777777" w:rsidR="00230FB4" w:rsidRPr="00DB10F9" w:rsidRDefault="0040531C">
      <w:pPr>
        <w:rPr>
          <w:rFonts w:ascii="Arial" w:eastAsia="Arial" w:hAnsi="Arial" w:cs="Arial"/>
          <w:sz w:val="20"/>
          <w:szCs w:val="20"/>
          <w:lang w:val="de-DE"/>
        </w:rPr>
      </w:pPr>
      <w:r w:rsidRPr="00DB10F9">
        <w:rPr>
          <w:rFonts w:ascii="Arial" w:eastAsia="Arial" w:hAnsi="Arial" w:cs="Arial"/>
          <w:sz w:val="20"/>
          <w:szCs w:val="20"/>
        </w:rPr>
        <w:t>Adams, R., Henry, K. E., Sridharan, A., Soleimani, H., Zhan, A., Rawat, N., ... &amp; Saria, S. (2022). Prospective, multi-site study of patient outcomes after implementation of the TREWS machine learning-based early warning system for sepsis. </w:t>
      </w:r>
      <w:r w:rsidRPr="00DB10F9">
        <w:rPr>
          <w:rFonts w:ascii="Arial" w:eastAsia="Arial" w:hAnsi="Arial" w:cs="Arial"/>
          <w:i/>
          <w:sz w:val="20"/>
          <w:szCs w:val="20"/>
          <w:lang w:val="de-DE"/>
        </w:rPr>
        <w:t>Nature medicine</w:t>
      </w:r>
      <w:r w:rsidRPr="00DB10F9">
        <w:rPr>
          <w:rFonts w:ascii="Arial" w:eastAsia="Arial" w:hAnsi="Arial" w:cs="Arial"/>
          <w:sz w:val="20"/>
          <w:szCs w:val="20"/>
          <w:lang w:val="de-DE"/>
        </w:rPr>
        <w:t>, </w:t>
      </w:r>
      <w:r w:rsidRPr="00DB10F9">
        <w:rPr>
          <w:rFonts w:ascii="Arial" w:eastAsia="Arial" w:hAnsi="Arial" w:cs="Arial"/>
          <w:i/>
          <w:sz w:val="20"/>
          <w:szCs w:val="20"/>
          <w:lang w:val="de-DE"/>
        </w:rPr>
        <w:t>28</w:t>
      </w:r>
      <w:r w:rsidRPr="00DB10F9">
        <w:rPr>
          <w:rFonts w:ascii="Arial" w:eastAsia="Arial" w:hAnsi="Arial" w:cs="Arial"/>
          <w:sz w:val="20"/>
          <w:szCs w:val="20"/>
          <w:lang w:val="de-DE"/>
        </w:rPr>
        <w:t>(7), 1455-1460.</w:t>
      </w:r>
    </w:p>
    <w:p w14:paraId="681A4F1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lang w:val="de-DE"/>
        </w:rPr>
        <w:t xml:space="preserve">Andersen, E. S., Birk-Korch, J. B., Hansen, R. S., Fly, L. H., Röttger, R., Arcani, D. M. C., ... </w:t>
      </w:r>
      <w:r w:rsidRPr="00DB10F9">
        <w:rPr>
          <w:rFonts w:ascii="Arial" w:eastAsia="Arial" w:hAnsi="Arial" w:cs="Arial"/>
          <w:sz w:val="20"/>
          <w:szCs w:val="20"/>
        </w:rPr>
        <w:t>&amp; Madsen, J. S. (2024). Monitoring performance of clinical artificial intelligence in health care: a scoping review. </w:t>
      </w:r>
      <w:r w:rsidRPr="00DB10F9">
        <w:rPr>
          <w:rFonts w:ascii="Arial" w:eastAsia="Arial" w:hAnsi="Arial" w:cs="Arial"/>
          <w:i/>
          <w:sz w:val="20"/>
          <w:szCs w:val="20"/>
        </w:rPr>
        <w:t>JBI evidence synthesis</w:t>
      </w:r>
      <w:r w:rsidRPr="00DB10F9">
        <w:rPr>
          <w:rFonts w:ascii="Arial" w:eastAsia="Arial" w:hAnsi="Arial" w:cs="Arial"/>
          <w:sz w:val="20"/>
          <w:szCs w:val="20"/>
        </w:rPr>
        <w:t>, </w:t>
      </w:r>
      <w:r w:rsidRPr="00DB10F9">
        <w:rPr>
          <w:rFonts w:ascii="Arial" w:eastAsia="Arial" w:hAnsi="Arial" w:cs="Arial"/>
          <w:i/>
          <w:sz w:val="20"/>
          <w:szCs w:val="20"/>
        </w:rPr>
        <w:t>22</w:t>
      </w:r>
      <w:r w:rsidRPr="00DB10F9">
        <w:rPr>
          <w:rFonts w:ascii="Arial" w:eastAsia="Arial" w:hAnsi="Arial" w:cs="Arial"/>
          <w:sz w:val="20"/>
          <w:szCs w:val="20"/>
        </w:rPr>
        <w:t>(12), 2423-2446.</w:t>
      </w:r>
    </w:p>
    <w:p w14:paraId="54595B5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 xml:space="preserve">Arnold, M., Bellamy, R. K., Hind, M., Houde, S., Mehta, S., </w:t>
      </w:r>
      <w:proofErr w:type="spellStart"/>
      <w:r w:rsidRPr="00DB10F9">
        <w:rPr>
          <w:rFonts w:ascii="Arial" w:eastAsia="Arial" w:hAnsi="Arial" w:cs="Arial"/>
          <w:sz w:val="20"/>
          <w:szCs w:val="20"/>
        </w:rPr>
        <w:t>Mojsilović</w:t>
      </w:r>
      <w:proofErr w:type="spellEnd"/>
      <w:r w:rsidRPr="00DB10F9">
        <w:rPr>
          <w:rFonts w:ascii="Arial" w:eastAsia="Arial" w:hAnsi="Arial" w:cs="Arial"/>
          <w:sz w:val="20"/>
          <w:szCs w:val="20"/>
        </w:rPr>
        <w:t xml:space="preserve">, A., ... &amp; Varshney, K. R. (2019). </w:t>
      </w:r>
      <w:proofErr w:type="spellStart"/>
      <w:r w:rsidRPr="00DB10F9">
        <w:rPr>
          <w:rFonts w:ascii="Arial" w:eastAsia="Arial" w:hAnsi="Arial" w:cs="Arial"/>
          <w:sz w:val="20"/>
          <w:szCs w:val="20"/>
        </w:rPr>
        <w:t>FactSheets</w:t>
      </w:r>
      <w:proofErr w:type="spellEnd"/>
      <w:r w:rsidRPr="00DB10F9">
        <w:rPr>
          <w:rFonts w:ascii="Arial" w:eastAsia="Arial" w:hAnsi="Arial" w:cs="Arial"/>
          <w:sz w:val="20"/>
          <w:szCs w:val="20"/>
        </w:rPr>
        <w:t>: Increasing trust in AI services through supplier's declarations of conformity. </w:t>
      </w:r>
      <w:r w:rsidRPr="00DB10F9">
        <w:rPr>
          <w:rFonts w:ascii="Arial" w:eastAsia="Arial" w:hAnsi="Arial" w:cs="Arial"/>
          <w:i/>
          <w:sz w:val="20"/>
          <w:szCs w:val="20"/>
        </w:rPr>
        <w:t>IBM Journal of Research and Development</w:t>
      </w:r>
      <w:r w:rsidRPr="00DB10F9">
        <w:rPr>
          <w:rFonts w:ascii="Arial" w:eastAsia="Arial" w:hAnsi="Arial" w:cs="Arial"/>
          <w:sz w:val="20"/>
          <w:szCs w:val="20"/>
        </w:rPr>
        <w:t>, </w:t>
      </w:r>
      <w:r w:rsidRPr="00DB10F9">
        <w:rPr>
          <w:rFonts w:ascii="Arial" w:eastAsia="Arial" w:hAnsi="Arial" w:cs="Arial"/>
          <w:i/>
          <w:sz w:val="20"/>
          <w:szCs w:val="20"/>
        </w:rPr>
        <w:t>63</w:t>
      </w:r>
      <w:r w:rsidRPr="00DB10F9">
        <w:rPr>
          <w:rFonts w:ascii="Arial" w:eastAsia="Arial" w:hAnsi="Arial" w:cs="Arial"/>
          <w:sz w:val="20"/>
          <w:szCs w:val="20"/>
        </w:rPr>
        <w:t>(4/5), 6-1.</w:t>
      </w:r>
    </w:p>
    <w:p w14:paraId="031293C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Asan, O., &amp; Choudhury, A. (2021). Research trends in artificial intelligence applications in human factors health care: mapping review. </w:t>
      </w:r>
      <w:r w:rsidRPr="00DB10F9">
        <w:rPr>
          <w:rFonts w:ascii="Arial" w:eastAsia="Arial" w:hAnsi="Arial" w:cs="Arial"/>
          <w:i/>
          <w:sz w:val="20"/>
          <w:szCs w:val="20"/>
        </w:rPr>
        <w:t>JMIR human factors</w:t>
      </w:r>
      <w:r w:rsidRPr="00DB10F9">
        <w:rPr>
          <w:rFonts w:ascii="Arial" w:eastAsia="Arial" w:hAnsi="Arial" w:cs="Arial"/>
          <w:sz w:val="20"/>
          <w:szCs w:val="20"/>
        </w:rPr>
        <w:t>, </w:t>
      </w:r>
      <w:r w:rsidRPr="00DB10F9">
        <w:rPr>
          <w:rFonts w:ascii="Arial" w:eastAsia="Arial" w:hAnsi="Arial" w:cs="Arial"/>
          <w:i/>
          <w:sz w:val="20"/>
          <w:szCs w:val="20"/>
        </w:rPr>
        <w:t>8</w:t>
      </w:r>
      <w:r w:rsidRPr="00DB10F9">
        <w:rPr>
          <w:rFonts w:ascii="Arial" w:eastAsia="Arial" w:hAnsi="Arial" w:cs="Arial"/>
          <w:sz w:val="20"/>
          <w:szCs w:val="20"/>
        </w:rPr>
        <w:t>(2), e28236.</w:t>
      </w:r>
    </w:p>
    <w:p w14:paraId="7ABB9AA5" w14:textId="77777777" w:rsidR="00230FB4" w:rsidRPr="00DB10F9" w:rsidRDefault="0040531C">
      <w:pPr>
        <w:rPr>
          <w:rFonts w:ascii="Arial" w:eastAsia="Arial" w:hAnsi="Arial" w:cs="Arial"/>
          <w:sz w:val="20"/>
          <w:szCs w:val="20"/>
        </w:rPr>
      </w:pPr>
      <w:proofErr w:type="spellStart"/>
      <w:r w:rsidRPr="00DB10F9">
        <w:rPr>
          <w:rFonts w:ascii="Arial" w:eastAsia="Arial" w:hAnsi="Arial" w:cs="Arial"/>
          <w:sz w:val="20"/>
          <w:szCs w:val="20"/>
        </w:rPr>
        <w:t>Benjamens</w:t>
      </w:r>
      <w:proofErr w:type="spellEnd"/>
      <w:r w:rsidRPr="00DB10F9">
        <w:rPr>
          <w:rFonts w:ascii="Arial" w:eastAsia="Arial" w:hAnsi="Arial" w:cs="Arial"/>
          <w:sz w:val="20"/>
          <w:szCs w:val="20"/>
        </w:rPr>
        <w:t xml:space="preserve">, S., Dhunnoo, P., &amp; </w:t>
      </w:r>
      <w:proofErr w:type="spellStart"/>
      <w:r w:rsidRPr="00DB10F9">
        <w:rPr>
          <w:rFonts w:ascii="Arial" w:eastAsia="Arial" w:hAnsi="Arial" w:cs="Arial"/>
          <w:sz w:val="20"/>
          <w:szCs w:val="20"/>
        </w:rPr>
        <w:t>Meskó</w:t>
      </w:r>
      <w:proofErr w:type="spellEnd"/>
      <w:r w:rsidRPr="00DB10F9">
        <w:rPr>
          <w:rFonts w:ascii="Arial" w:eastAsia="Arial" w:hAnsi="Arial" w:cs="Arial"/>
          <w:sz w:val="20"/>
          <w:szCs w:val="20"/>
        </w:rPr>
        <w:t>, B. (2020). The state of artificial intelligence-based FDA-approved medical devices and algorithms: an online database. </w:t>
      </w:r>
      <w:r w:rsidRPr="00DB10F9">
        <w:rPr>
          <w:rFonts w:ascii="Arial" w:eastAsia="Arial" w:hAnsi="Arial" w:cs="Arial"/>
          <w:i/>
          <w:sz w:val="20"/>
          <w:szCs w:val="20"/>
        </w:rPr>
        <w:t>NPJ digital medicine</w:t>
      </w:r>
      <w:r w:rsidRPr="00DB10F9">
        <w:rPr>
          <w:rFonts w:ascii="Arial" w:eastAsia="Arial" w:hAnsi="Arial" w:cs="Arial"/>
          <w:sz w:val="20"/>
          <w:szCs w:val="20"/>
        </w:rPr>
        <w:t>, </w:t>
      </w:r>
      <w:r w:rsidRPr="00DB10F9">
        <w:rPr>
          <w:rFonts w:ascii="Arial" w:eastAsia="Arial" w:hAnsi="Arial" w:cs="Arial"/>
          <w:i/>
          <w:sz w:val="20"/>
          <w:szCs w:val="20"/>
        </w:rPr>
        <w:t>3</w:t>
      </w:r>
      <w:r w:rsidRPr="00DB10F9">
        <w:rPr>
          <w:rFonts w:ascii="Arial" w:eastAsia="Arial" w:hAnsi="Arial" w:cs="Arial"/>
          <w:sz w:val="20"/>
          <w:szCs w:val="20"/>
        </w:rPr>
        <w:t>(1), 118.</w:t>
      </w:r>
    </w:p>
    <w:p w14:paraId="0A28A0F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Char, D. S., Shah, N. H., &amp; Magnus, D. (2018). Implementing machine learning in health care—addressing ethical challenges. </w:t>
      </w:r>
      <w:r w:rsidRPr="00DB10F9">
        <w:rPr>
          <w:rFonts w:ascii="Arial" w:eastAsia="Arial" w:hAnsi="Arial" w:cs="Arial"/>
          <w:i/>
          <w:sz w:val="20"/>
          <w:szCs w:val="20"/>
        </w:rPr>
        <w:t>The New England journal of medicine</w:t>
      </w:r>
      <w:r w:rsidRPr="00DB10F9">
        <w:rPr>
          <w:rFonts w:ascii="Arial" w:eastAsia="Arial" w:hAnsi="Arial" w:cs="Arial"/>
          <w:sz w:val="20"/>
          <w:szCs w:val="20"/>
        </w:rPr>
        <w:t>, </w:t>
      </w:r>
      <w:r w:rsidRPr="00DB10F9">
        <w:rPr>
          <w:rFonts w:ascii="Arial" w:eastAsia="Arial" w:hAnsi="Arial" w:cs="Arial"/>
          <w:i/>
          <w:sz w:val="20"/>
          <w:szCs w:val="20"/>
        </w:rPr>
        <w:t>378</w:t>
      </w:r>
      <w:r w:rsidRPr="00DB10F9">
        <w:rPr>
          <w:rFonts w:ascii="Arial" w:eastAsia="Arial" w:hAnsi="Arial" w:cs="Arial"/>
          <w:sz w:val="20"/>
          <w:szCs w:val="20"/>
        </w:rPr>
        <w:t>(11), 981.</w:t>
      </w:r>
    </w:p>
    <w:p w14:paraId="53B4A37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Collins, G. S., Moons, K. G., Dhiman, P., Riley, R. D., Beam, A. L., Van Calster, B., ... &amp; Logullo, P. (2024). TRIPOD+ AI statement: updated guidance for reporting clinical prediction models that use regression or machine learning methods. </w:t>
      </w:r>
      <w:proofErr w:type="spellStart"/>
      <w:r w:rsidRPr="00DB10F9">
        <w:rPr>
          <w:rFonts w:ascii="Arial" w:eastAsia="Arial" w:hAnsi="Arial" w:cs="Arial"/>
          <w:i/>
          <w:sz w:val="20"/>
          <w:szCs w:val="20"/>
        </w:rPr>
        <w:t>bmj</w:t>
      </w:r>
      <w:proofErr w:type="spellEnd"/>
      <w:r w:rsidRPr="00DB10F9">
        <w:rPr>
          <w:rFonts w:ascii="Arial" w:eastAsia="Arial" w:hAnsi="Arial" w:cs="Arial"/>
          <w:sz w:val="20"/>
          <w:szCs w:val="20"/>
        </w:rPr>
        <w:t>, </w:t>
      </w:r>
      <w:r w:rsidRPr="00DB10F9">
        <w:rPr>
          <w:rFonts w:ascii="Arial" w:eastAsia="Arial" w:hAnsi="Arial" w:cs="Arial"/>
          <w:i/>
          <w:sz w:val="20"/>
          <w:szCs w:val="20"/>
        </w:rPr>
        <w:t>385</w:t>
      </w:r>
      <w:r w:rsidRPr="00DB10F9">
        <w:rPr>
          <w:rFonts w:ascii="Arial" w:eastAsia="Arial" w:hAnsi="Arial" w:cs="Arial"/>
          <w:sz w:val="20"/>
          <w:szCs w:val="20"/>
        </w:rPr>
        <w:t>.</w:t>
      </w:r>
    </w:p>
    <w:p w14:paraId="53EFBD6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Davis, S. E., Dorn, C., Park, D. J., &amp; Matheny, M. E. (2025). Emerging algorithmic bias: fairness drift as the next dimension of model maintenance and sustainability. </w:t>
      </w:r>
      <w:r w:rsidRPr="00DB10F9">
        <w:rPr>
          <w:rFonts w:ascii="Arial" w:eastAsia="Arial" w:hAnsi="Arial" w:cs="Arial"/>
          <w:i/>
          <w:sz w:val="20"/>
          <w:szCs w:val="20"/>
        </w:rPr>
        <w:t>Journal of the American Medical Informatics Association</w:t>
      </w:r>
      <w:r w:rsidRPr="00DB10F9">
        <w:rPr>
          <w:rFonts w:ascii="Arial" w:eastAsia="Arial" w:hAnsi="Arial" w:cs="Arial"/>
          <w:sz w:val="20"/>
          <w:szCs w:val="20"/>
        </w:rPr>
        <w:t>, </w:t>
      </w:r>
      <w:r w:rsidRPr="00DB10F9">
        <w:rPr>
          <w:rFonts w:ascii="Arial" w:eastAsia="Arial" w:hAnsi="Arial" w:cs="Arial"/>
          <w:i/>
          <w:sz w:val="20"/>
          <w:szCs w:val="20"/>
        </w:rPr>
        <w:t>32</w:t>
      </w:r>
      <w:r w:rsidRPr="00DB10F9">
        <w:rPr>
          <w:rFonts w:ascii="Arial" w:eastAsia="Arial" w:hAnsi="Arial" w:cs="Arial"/>
          <w:sz w:val="20"/>
          <w:szCs w:val="20"/>
        </w:rPr>
        <w:t>(5), 845-854.</w:t>
      </w:r>
    </w:p>
    <w:p w14:paraId="2F41387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Edelson, D. P., </w:t>
      </w:r>
      <w:proofErr w:type="spellStart"/>
      <w:r w:rsidRPr="00DB10F9">
        <w:rPr>
          <w:rFonts w:ascii="Arial" w:eastAsia="Arial" w:hAnsi="Arial" w:cs="Arial"/>
          <w:sz w:val="20"/>
          <w:szCs w:val="20"/>
        </w:rPr>
        <w:t>Churpek</w:t>
      </w:r>
      <w:proofErr w:type="spellEnd"/>
      <w:r w:rsidRPr="00DB10F9">
        <w:rPr>
          <w:rFonts w:ascii="Arial" w:eastAsia="Arial" w:hAnsi="Arial" w:cs="Arial"/>
          <w:sz w:val="20"/>
          <w:szCs w:val="20"/>
        </w:rPr>
        <w:t>, M. M., Carey, K. A., Lin, Z., Huang, C., Siner, J. M., ... &amp; Rhodes, D. J. (2024). Early warning scores with and without artificial intelligence. </w:t>
      </w:r>
      <w:r w:rsidRPr="00DB10F9">
        <w:rPr>
          <w:rFonts w:ascii="Arial" w:eastAsia="Arial" w:hAnsi="Arial" w:cs="Arial"/>
          <w:i/>
          <w:sz w:val="20"/>
          <w:szCs w:val="20"/>
        </w:rPr>
        <w:t>JAMA network open</w:t>
      </w:r>
      <w:r w:rsidRPr="00DB10F9">
        <w:rPr>
          <w:rFonts w:ascii="Arial" w:eastAsia="Arial" w:hAnsi="Arial" w:cs="Arial"/>
          <w:sz w:val="20"/>
          <w:szCs w:val="20"/>
        </w:rPr>
        <w:t>, </w:t>
      </w:r>
      <w:r w:rsidRPr="00DB10F9">
        <w:rPr>
          <w:rFonts w:ascii="Arial" w:eastAsia="Arial" w:hAnsi="Arial" w:cs="Arial"/>
          <w:i/>
          <w:sz w:val="20"/>
          <w:szCs w:val="20"/>
        </w:rPr>
        <w:t>7</w:t>
      </w:r>
      <w:r w:rsidRPr="00DB10F9">
        <w:rPr>
          <w:rFonts w:ascii="Arial" w:eastAsia="Arial" w:hAnsi="Arial" w:cs="Arial"/>
          <w:sz w:val="20"/>
          <w:szCs w:val="20"/>
        </w:rPr>
        <w:t>(10), e2438986-e2438986.</w:t>
      </w:r>
    </w:p>
    <w:p w14:paraId="741EE06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Finlayson, S. G., Subbaswamy, A., Singh, K., Bowers, J., Kupke, A., </w:t>
      </w:r>
      <w:proofErr w:type="spellStart"/>
      <w:r w:rsidRPr="00DB10F9">
        <w:rPr>
          <w:rFonts w:ascii="Arial" w:eastAsia="Arial" w:hAnsi="Arial" w:cs="Arial"/>
          <w:sz w:val="20"/>
          <w:szCs w:val="20"/>
        </w:rPr>
        <w:t>Zittrain</w:t>
      </w:r>
      <w:proofErr w:type="spellEnd"/>
      <w:r w:rsidRPr="00DB10F9">
        <w:rPr>
          <w:rFonts w:ascii="Arial" w:eastAsia="Arial" w:hAnsi="Arial" w:cs="Arial"/>
          <w:sz w:val="20"/>
          <w:szCs w:val="20"/>
        </w:rPr>
        <w:t>, J., ... &amp; Saria, S. (2021). The clinician and dataset shift in artificial intelligence. </w:t>
      </w:r>
      <w:r w:rsidRPr="00DB10F9">
        <w:rPr>
          <w:rFonts w:ascii="Arial" w:eastAsia="Arial" w:hAnsi="Arial" w:cs="Arial"/>
          <w:i/>
          <w:sz w:val="20"/>
          <w:szCs w:val="20"/>
        </w:rPr>
        <w:t>New England Journal of Medicine</w:t>
      </w:r>
      <w:r w:rsidRPr="00DB10F9">
        <w:rPr>
          <w:rFonts w:ascii="Arial" w:eastAsia="Arial" w:hAnsi="Arial" w:cs="Arial"/>
          <w:sz w:val="20"/>
          <w:szCs w:val="20"/>
        </w:rPr>
        <w:t>, </w:t>
      </w:r>
      <w:r w:rsidRPr="00DB10F9">
        <w:rPr>
          <w:rFonts w:ascii="Arial" w:eastAsia="Arial" w:hAnsi="Arial" w:cs="Arial"/>
          <w:i/>
          <w:sz w:val="20"/>
          <w:szCs w:val="20"/>
        </w:rPr>
        <w:t>385</w:t>
      </w:r>
      <w:r w:rsidRPr="00DB10F9">
        <w:rPr>
          <w:rFonts w:ascii="Arial" w:eastAsia="Arial" w:hAnsi="Arial" w:cs="Arial"/>
          <w:sz w:val="20"/>
          <w:szCs w:val="20"/>
        </w:rPr>
        <w:t>(3), 283-286.</w:t>
      </w:r>
    </w:p>
    <w:p w14:paraId="5F92ABD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Ghassemi, M., Oakden-Rayner, L., &amp; Beam, A. L. (2021). The false hope of current approaches to explainable artificial intelligence in health care. </w:t>
      </w:r>
      <w:r w:rsidRPr="00DB10F9">
        <w:rPr>
          <w:rFonts w:ascii="Arial" w:eastAsia="Arial" w:hAnsi="Arial" w:cs="Arial"/>
          <w:i/>
          <w:sz w:val="20"/>
          <w:szCs w:val="20"/>
        </w:rPr>
        <w:t>The lancet digital health</w:t>
      </w:r>
      <w:r w:rsidRPr="00DB10F9">
        <w:rPr>
          <w:rFonts w:ascii="Arial" w:eastAsia="Arial" w:hAnsi="Arial" w:cs="Arial"/>
          <w:sz w:val="20"/>
          <w:szCs w:val="20"/>
        </w:rPr>
        <w:t>, </w:t>
      </w:r>
      <w:r w:rsidRPr="00DB10F9">
        <w:rPr>
          <w:rFonts w:ascii="Arial" w:eastAsia="Arial" w:hAnsi="Arial" w:cs="Arial"/>
          <w:i/>
          <w:sz w:val="20"/>
          <w:szCs w:val="20"/>
        </w:rPr>
        <w:t>3</w:t>
      </w:r>
      <w:r w:rsidRPr="00DB10F9">
        <w:rPr>
          <w:rFonts w:ascii="Arial" w:eastAsia="Arial" w:hAnsi="Arial" w:cs="Arial"/>
          <w:sz w:val="20"/>
          <w:szCs w:val="20"/>
        </w:rPr>
        <w:t>(11), e745-e750.</w:t>
      </w:r>
    </w:p>
    <w:p w14:paraId="18D7901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Henry, K. E., Adams, R., Parent, C., Soleimani, H., Sridharan, A., Johnson, L., ... &amp; Saria, S. (2022). Factors driving provider adoption of the TREWS machine learning-based early warning system and its effects on sepsis treatment timing. </w:t>
      </w:r>
      <w:r w:rsidRPr="00DB10F9">
        <w:rPr>
          <w:rFonts w:ascii="Arial" w:eastAsia="Arial" w:hAnsi="Arial" w:cs="Arial"/>
          <w:i/>
          <w:sz w:val="20"/>
          <w:szCs w:val="20"/>
        </w:rPr>
        <w:t>Nature medicine</w:t>
      </w:r>
      <w:r w:rsidRPr="00DB10F9">
        <w:rPr>
          <w:rFonts w:ascii="Arial" w:eastAsia="Arial" w:hAnsi="Arial" w:cs="Arial"/>
          <w:sz w:val="20"/>
          <w:szCs w:val="20"/>
        </w:rPr>
        <w:t>, </w:t>
      </w:r>
      <w:r w:rsidRPr="00DB10F9">
        <w:rPr>
          <w:rFonts w:ascii="Arial" w:eastAsia="Arial" w:hAnsi="Arial" w:cs="Arial"/>
          <w:i/>
          <w:sz w:val="20"/>
          <w:szCs w:val="20"/>
        </w:rPr>
        <w:t>28</w:t>
      </w:r>
      <w:r w:rsidRPr="00DB10F9">
        <w:rPr>
          <w:rFonts w:ascii="Arial" w:eastAsia="Arial" w:hAnsi="Arial" w:cs="Arial"/>
          <w:sz w:val="20"/>
          <w:szCs w:val="20"/>
        </w:rPr>
        <w:t>(7), 1447-1454.</w:t>
      </w:r>
    </w:p>
    <w:p w14:paraId="20C0215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Hille, E. M., Hummel, P., &amp; Braun, M. (2023). Meaningful human control over AI for health? A review. </w:t>
      </w:r>
      <w:r w:rsidRPr="00DB10F9">
        <w:rPr>
          <w:rFonts w:ascii="Arial" w:eastAsia="Arial" w:hAnsi="Arial" w:cs="Arial"/>
          <w:i/>
          <w:sz w:val="20"/>
          <w:szCs w:val="20"/>
        </w:rPr>
        <w:t>Journal of Medical Ethics</w:t>
      </w:r>
      <w:r w:rsidRPr="00DB10F9">
        <w:rPr>
          <w:rFonts w:ascii="Arial" w:eastAsia="Arial" w:hAnsi="Arial" w:cs="Arial"/>
          <w:sz w:val="20"/>
          <w:szCs w:val="20"/>
        </w:rPr>
        <w:t>.</w:t>
      </w:r>
    </w:p>
    <w:p w14:paraId="05CBF607" w14:textId="77777777" w:rsidR="00230FB4" w:rsidRPr="00DB10F9" w:rsidRDefault="0040531C">
      <w:pPr>
        <w:rPr>
          <w:rFonts w:ascii="Arial" w:eastAsia="Arial" w:hAnsi="Arial" w:cs="Arial"/>
          <w:sz w:val="20"/>
          <w:szCs w:val="20"/>
          <w:lang w:val="de-DE"/>
        </w:rPr>
      </w:pPr>
      <w:r w:rsidRPr="00DB10F9">
        <w:rPr>
          <w:rFonts w:ascii="Arial" w:eastAsia="Arial" w:hAnsi="Arial" w:cs="Arial"/>
          <w:sz w:val="20"/>
          <w:szCs w:val="20"/>
        </w:rPr>
        <w:t xml:space="preserve">Hillis, J. M., </w:t>
      </w:r>
      <w:proofErr w:type="spellStart"/>
      <w:r w:rsidRPr="00DB10F9">
        <w:rPr>
          <w:rFonts w:ascii="Arial" w:eastAsia="Arial" w:hAnsi="Arial" w:cs="Arial"/>
          <w:sz w:val="20"/>
          <w:szCs w:val="20"/>
        </w:rPr>
        <w:t>Bizzo</w:t>
      </w:r>
      <w:proofErr w:type="spellEnd"/>
      <w:r w:rsidRPr="00DB10F9">
        <w:rPr>
          <w:rFonts w:ascii="Arial" w:eastAsia="Arial" w:hAnsi="Arial" w:cs="Arial"/>
          <w:sz w:val="20"/>
          <w:szCs w:val="20"/>
        </w:rPr>
        <w:t xml:space="preserve">, B. C., Mercaldo, S., Chin, J. K., Newbury-Chaet, I., </w:t>
      </w:r>
      <w:proofErr w:type="spellStart"/>
      <w:r w:rsidRPr="00DB10F9">
        <w:rPr>
          <w:rFonts w:ascii="Arial" w:eastAsia="Arial" w:hAnsi="Arial" w:cs="Arial"/>
          <w:sz w:val="20"/>
          <w:szCs w:val="20"/>
        </w:rPr>
        <w:t>Digumarthy</w:t>
      </w:r>
      <w:proofErr w:type="spellEnd"/>
      <w:r w:rsidRPr="00DB10F9">
        <w:rPr>
          <w:rFonts w:ascii="Arial" w:eastAsia="Arial" w:hAnsi="Arial" w:cs="Arial"/>
          <w:sz w:val="20"/>
          <w:szCs w:val="20"/>
        </w:rPr>
        <w:t>, S. R., ... &amp; Dreyer, K. J. (2022). Evaluation of an artificial intelligence model for detection of pneumothorax and tension pneumothorax in chest radiographs. </w:t>
      </w:r>
      <w:r w:rsidRPr="00DB10F9">
        <w:rPr>
          <w:rFonts w:ascii="Arial" w:eastAsia="Arial" w:hAnsi="Arial" w:cs="Arial"/>
          <w:i/>
          <w:sz w:val="20"/>
          <w:szCs w:val="20"/>
          <w:lang w:val="de-DE"/>
        </w:rPr>
        <w:t>JAMA Network Open</w:t>
      </w:r>
      <w:r w:rsidRPr="00DB10F9">
        <w:rPr>
          <w:rFonts w:ascii="Arial" w:eastAsia="Arial" w:hAnsi="Arial" w:cs="Arial"/>
          <w:sz w:val="20"/>
          <w:szCs w:val="20"/>
          <w:lang w:val="de-DE"/>
        </w:rPr>
        <w:t>, </w:t>
      </w:r>
      <w:r w:rsidRPr="00DB10F9">
        <w:rPr>
          <w:rFonts w:ascii="Arial" w:eastAsia="Arial" w:hAnsi="Arial" w:cs="Arial"/>
          <w:i/>
          <w:sz w:val="20"/>
          <w:szCs w:val="20"/>
          <w:lang w:val="de-DE"/>
        </w:rPr>
        <w:t>5</w:t>
      </w:r>
      <w:r w:rsidRPr="00DB10F9">
        <w:rPr>
          <w:rFonts w:ascii="Arial" w:eastAsia="Arial" w:hAnsi="Arial" w:cs="Arial"/>
          <w:sz w:val="20"/>
          <w:szCs w:val="20"/>
          <w:lang w:val="de-DE"/>
        </w:rPr>
        <w:t>(12), e2247172-e2247172.</w:t>
      </w:r>
    </w:p>
    <w:p w14:paraId="7CAA21D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lang w:val="de-DE"/>
        </w:rPr>
        <w:t xml:space="preserve">Holbrook, A. M., Silva, J. M., Faruque, J. A. Y., Deng, J., Schneider, T., &amp; Jaffer, A. (2025). </w:t>
      </w:r>
      <w:r w:rsidRPr="00DB10F9">
        <w:rPr>
          <w:rFonts w:ascii="Arial" w:eastAsia="Arial" w:hAnsi="Arial" w:cs="Arial"/>
          <w:sz w:val="20"/>
          <w:szCs w:val="20"/>
        </w:rPr>
        <w:t>Effect of electronic drug-drug interaction alerts on patient and clinician outcomes: a systematic review. </w:t>
      </w:r>
      <w:r w:rsidRPr="00DB10F9">
        <w:rPr>
          <w:rFonts w:ascii="Arial" w:eastAsia="Arial" w:hAnsi="Arial" w:cs="Arial"/>
          <w:i/>
          <w:sz w:val="20"/>
          <w:szCs w:val="20"/>
        </w:rPr>
        <w:t>Journal of the American Medical Informatics Association</w:t>
      </w:r>
      <w:r w:rsidRPr="00DB10F9">
        <w:rPr>
          <w:rFonts w:ascii="Arial" w:eastAsia="Arial" w:hAnsi="Arial" w:cs="Arial"/>
          <w:sz w:val="20"/>
          <w:szCs w:val="20"/>
        </w:rPr>
        <w:t>, </w:t>
      </w:r>
      <w:r w:rsidRPr="00DB10F9">
        <w:rPr>
          <w:rFonts w:ascii="Arial" w:eastAsia="Arial" w:hAnsi="Arial" w:cs="Arial"/>
          <w:i/>
          <w:sz w:val="20"/>
          <w:szCs w:val="20"/>
        </w:rPr>
        <w:t>32</w:t>
      </w:r>
      <w:r w:rsidRPr="00DB10F9">
        <w:rPr>
          <w:rFonts w:ascii="Arial" w:eastAsia="Arial" w:hAnsi="Arial" w:cs="Arial"/>
          <w:sz w:val="20"/>
          <w:szCs w:val="20"/>
        </w:rPr>
        <w:t>(10), 1617-1628.</w:t>
      </w:r>
    </w:p>
    <w:p w14:paraId="25E110E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Huang, J. J., Channa, R., Wolf, R. M., Dong, Y., Liang, M., Wang, J., ... &amp; Liu, T. A. (2024). Autonomous artificial intelligence for diabetic eye disease increases access and health equity in underserved populations. </w:t>
      </w:r>
      <w:r w:rsidRPr="00DB10F9">
        <w:rPr>
          <w:rFonts w:ascii="Arial" w:eastAsia="Arial" w:hAnsi="Arial" w:cs="Arial"/>
          <w:i/>
          <w:sz w:val="20"/>
          <w:szCs w:val="20"/>
        </w:rPr>
        <w:t>NPJ digital medicine</w:t>
      </w:r>
      <w:r w:rsidRPr="00DB10F9">
        <w:rPr>
          <w:rFonts w:ascii="Arial" w:eastAsia="Arial" w:hAnsi="Arial" w:cs="Arial"/>
          <w:sz w:val="20"/>
          <w:szCs w:val="20"/>
        </w:rPr>
        <w:t>, </w:t>
      </w:r>
      <w:r w:rsidRPr="00DB10F9">
        <w:rPr>
          <w:rFonts w:ascii="Arial" w:eastAsia="Arial" w:hAnsi="Arial" w:cs="Arial"/>
          <w:i/>
          <w:sz w:val="20"/>
          <w:szCs w:val="20"/>
        </w:rPr>
        <w:t>7</w:t>
      </w:r>
      <w:r w:rsidRPr="00DB10F9">
        <w:rPr>
          <w:rFonts w:ascii="Arial" w:eastAsia="Arial" w:hAnsi="Arial" w:cs="Arial"/>
          <w:sz w:val="20"/>
          <w:szCs w:val="20"/>
        </w:rPr>
        <w:t>(1), 196.</w:t>
      </w:r>
    </w:p>
    <w:p w14:paraId="4651E84C" w14:textId="77777777" w:rsidR="00230FB4" w:rsidRPr="00DB10F9" w:rsidRDefault="0040531C">
      <w:pPr>
        <w:rPr>
          <w:rFonts w:ascii="Arial" w:eastAsia="Arial" w:hAnsi="Arial" w:cs="Arial"/>
          <w:sz w:val="20"/>
          <w:szCs w:val="20"/>
          <w:lang w:val="de-DE"/>
        </w:rPr>
      </w:pPr>
      <w:r w:rsidRPr="00DB10F9">
        <w:rPr>
          <w:rFonts w:ascii="Arial" w:eastAsia="Arial" w:hAnsi="Arial" w:cs="Arial"/>
          <w:sz w:val="20"/>
          <w:szCs w:val="20"/>
        </w:rPr>
        <w:t>Huang, J., Neill, L., Wittbrodt, M., Melnick, D., Klug, M., Thompson, M., ... &amp; Etemadi, M. (2023). Generative artificial intelligence for chest radiograph interpretation in the emergency department. </w:t>
      </w:r>
      <w:r w:rsidRPr="00DB10F9">
        <w:rPr>
          <w:rFonts w:ascii="Arial" w:eastAsia="Arial" w:hAnsi="Arial" w:cs="Arial"/>
          <w:i/>
          <w:sz w:val="20"/>
          <w:szCs w:val="20"/>
          <w:lang w:val="de-DE"/>
        </w:rPr>
        <w:t>JAMA network open</w:t>
      </w:r>
      <w:r w:rsidRPr="00DB10F9">
        <w:rPr>
          <w:rFonts w:ascii="Arial" w:eastAsia="Arial" w:hAnsi="Arial" w:cs="Arial"/>
          <w:sz w:val="20"/>
          <w:szCs w:val="20"/>
          <w:lang w:val="de-DE"/>
        </w:rPr>
        <w:t>, </w:t>
      </w:r>
      <w:r w:rsidRPr="00DB10F9">
        <w:rPr>
          <w:rFonts w:ascii="Arial" w:eastAsia="Arial" w:hAnsi="Arial" w:cs="Arial"/>
          <w:i/>
          <w:sz w:val="20"/>
          <w:szCs w:val="20"/>
          <w:lang w:val="de-DE"/>
        </w:rPr>
        <w:t>6</w:t>
      </w:r>
      <w:r w:rsidRPr="00DB10F9">
        <w:rPr>
          <w:rFonts w:ascii="Arial" w:eastAsia="Arial" w:hAnsi="Arial" w:cs="Arial"/>
          <w:sz w:val="20"/>
          <w:szCs w:val="20"/>
          <w:lang w:val="de-DE"/>
        </w:rPr>
        <w:t>(10), e2336100-e2336100.</w:t>
      </w:r>
    </w:p>
    <w:p w14:paraId="4F4993E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lang w:val="de-DE"/>
        </w:rPr>
        <w:lastRenderedPageBreak/>
        <w:t xml:space="preserve">Hwang, T. J., Kesselheim, A. S., &amp; Vokinger, K. N. (2019). </w:t>
      </w:r>
      <w:r w:rsidRPr="00DB10F9">
        <w:rPr>
          <w:rFonts w:ascii="Arial" w:eastAsia="Arial" w:hAnsi="Arial" w:cs="Arial"/>
          <w:sz w:val="20"/>
          <w:szCs w:val="20"/>
        </w:rPr>
        <w:t>Lifecycle regulation of artificial intelligence–and machine learning–based software devices in medicine. </w:t>
      </w:r>
      <w:r w:rsidRPr="00DB10F9">
        <w:rPr>
          <w:rFonts w:ascii="Arial" w:eastAsia="Arial" w:hAnsi="Arial" w:cs="Arial"/>
          <w:i/>
          <w:sz w:val="20"/>
          <w:szCs w:val="20"/>
        </w:rPr>
        <w:t>Jama</w:t>
      </w:r>
      <w:r w:rsidRPr="00DB10F9">
        <w:rPr>
          <w:rFonts w:ascii="Arial" w:eastAsia="Arial" w:hAnsi="Arial" w:cs="Arial"/>
          <w:sz w:val="20"/>
          <w:szCs w:val="20"/>
        </w:rPr>
        <w:t>, </w:t>
      </w:r>
      <w:r w:rsidRPr="00DB10F9">
        <w:rPr>
          <w:rFonts w:ascii="Arial" w:eastAsia="Arial" w:hAnsi="Arial" w:cs="Arial"/>
          <w:i/>
          <w:sz w:val="20"/>
          <w:szCs w:val="20"/>
        </w:rPr>
        <w:t>322</w:t>
      </w:r>
      <w:r w:rsidRPr="00DB10F9">
        <w:rPr>
          <w:rFonts w:ascii="Arial" w:eastAsia="Arial" w:hAnsi="Arial" w:cs="Arial"/>
          <w:sz w:val="20"/>
          <w:szCs w:val="20"/>
        </w:rPr>
        <w:t>(23), 2285-2286.</w:t>
      </w:r>
    </w:p>
    <w:p w14:paraId="54BC257D" w14:textId="77777777" w:rsidR="00230FB4" w:rsidRPr="00DB10F9" w:rsidRDefault="0040531C">
      <w:pPr>
        <w:rPr>
          <w:rFonts w:ascii="Arial" w:eastAsia="Arial" w:hAnsi="Arial" w:cs="Arial"/>
          <w:sz w:val="20"/>
          <w:szCs w:val="20"/>
          <w:lang w:val="de-DE"/>
        </w:rPr>
      </w:pPr>
      <w:r w:rsidRPr="00DB10F9">
        <w:rPr>
          <w:rFonts w:ascii="Arial" w:eastAsia="Arial" w:hAnsi="Arial" w:cs="Arial"/>
          <w:sz w:val="20"/>
          <w:szCs w:val="20"/>
        </w:rPr>
        <w:t xml:space="preserve">Jobin, A., Ienca, M., &amp; </w:t>
      </w:r>
      <w:proofErr w:type="spellStart"/>
      <w:r w:rsidRPr="00DB10F9">
        <w:rPr>
          <w:rFonts w:ascii="Arial" w:eastAsia="Arial" w:hAnsi="Arial" w:cs="Arial"/>
          <w:sz w:val="20"/>
          <w:szCs w:val="20"/>
        </w:rPr>
        <w:t>Vayena</w:t>
      </w:r>
      <w:proofErr w:type="spellEnd"/>
      <w:r w:rsidRPr="00DB10F9">
        <w:rPr>
          <w:rFonts w:ascii="Arial" w:eastAsia="Arial" w:hAnsi="Arial" w:cs="Arial"/>
          <w:sz w:val="20"/>
          <w:szCs w:val="20"/>
        </w:rPr>
        <w:t>, E. (2019). The global landscape of AI ethics guidelines. </w:t>
      </w:r>
      <w:r w:rsidRPr="00DB10F9">
        <w:rPr>
          <w:rFonts w:ascii="Arial" w:eastAsia="Arial" w:hAnsi="Arial" w:cs="Arial"/>
          <w:i/>
          <w:sz w:val="20"/>
          <w:szCs w:val="20"/>
          <w:lang w:val="de-DE"/>
        </w:rPr>
        <w:t>Nature machine intelligence</w:t>
      </w:r>
      <w:r w:rsidRPr="00DB10F9">
        <w:rPr>
          <w:rFonts w:ascii="Arial" w:eastAsia="Arial" w:hAnsi="Arial" w:cs="Arial"/>
          <w:sz w:val="20"/>
          <w:szCs w:val="20"/>
          <w:lang w:val="de-DE"/>
        </w:rPr>
        <w:t>, </w:t>
      </w:r>
      <w:r w:rsidRPr="00DB10F9">
        <w:rPr>
          <w:rFonts w:ascii="Arial" w:eastAsia="Arial" w:hAnsi="Arial" w:cs="Arial"/>
          <w:i/>
          <w:sz w:val="20"/>
          <w:szCs w:val="20"/>
          <w:lang w:val="de-DE"/>
        </w:rPr>
        <w:t>1</w:t>
      </w:r>
      <w:r w:rsidRPr="00DB10F9">
        <w:rPr>
          <w:rFonts w:ascii="Arial" w:eastAsia="Arial" w:hAnsi="Arial" w:cs="Arial"/>
          <w:sz w:val="20"/>
          <w:szCs w:val="20"/>
          <w:lang w:val="de-DE"/>
        </w:rPr>
        <w:t>(9), 389-399.</w:t>
      </w:r>
    </w:p>
    <w:p w14:paraId="50F7101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lang w:val="de-DE"/>
        </w:rPr>
        <w:t xml:space="preserve">Kaissis, G. A., Makowski, M. R., Rückert, D., &amp; Braren, R. F. (2020). </w:t>
      </w:r>
      <w:r w:rsidRPr="00DB10F9">
        <w:rPr>
          <w:rFonts w:ascii="Arial" w:eastAsia="Arial" w:hAnsi="Arial" w:cs="Arial"/>
          <w:sz w:val="20"/>
          <w:szCs w:val="20"/>
        </w:rPr>
        <w:t>Secure, privacy-preserving and federated machine learning in medical imaging. </w:t>
      </w:r>
      <w:r w:rsidRPr="00DB10F9">
        <w:rPr>
          <w:rFonts w:ascii="Arial" w:eastAsia="Arial" w:hAnsi="Arial" w:cs="Arial"/>
          <w:i/>
          <w:sz w:val="20"/>
          <w:szCs w:val="20"/>
        </w:rPr>
        <w:t>Nature Machine Intelligence</w:t>
      </w:r>
      <w:r w:rsidRPr="00DB10F9">
        <w:rPr>
          <w:rFonts w:ascii="Arial" w:eastAsia="Arial" w:hAnsi="Arial" w:cs="Arial"/>
          <w:sz w:val="20"/>
          <w:szCs w:val="20"/>
        </w:rPr>
        <w:t>, </w:t>
      </w:r>
      <w:r w:rsidRPr="00DB10F9">
        <w:rPr>
          <w:rFonts w:ascii="Arial" w:eastAsia="Arial" w:hAnsi="Arial" w:cs="Arial"/>
          <w:i/>
          <w:sz w:val="20"/>
          <w:szCs w:val="20"/>
        </w:rPr>
        <w:t>2</w:t>
      </w:r>
      <w:r w:rsidRPr="00DB10F9">
        <w:rPr>
          <w:rFonts w:ascii="Arial" w:eastAsia="Arial" w:hAnsi="Arial" w:cs="Arial"/>
          <w:sz w:val="20"/>
          <w:szCs w:val="20"/>
        </w:rPr>
        <w:t>(6), 305-311.</w:t>
      </w:r>
    </w:p>
    <w:p w14:paraId="313025FB"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Kennedy, J. N., &amp; Rudd, K. E. (2022). A sepsis early warning system is associated with improved patient outcomes. </w:t>
      </w:r>
      <w:r w:rsidRPr="00DB10F9">
        <w:rPr>
          <w:rFonts w:ascii="Arial" w:eastAsia="Arial" w:hAnsi="Arial" w:cs="Arial"/>
          <w:i/>
          <w:sz w:val="20"/>
          <w:szCs w:val="20"/>
        </w:rPr>
        <w:t>Cell Reports Medicine</w:t>
      </w:r>
      <w:r w:rsidRPr="00DB10F9">
        <w:rPr>
          <w:rFonts w:ascii="Arial" w:eastAsia="Arial" w:hAnsi="Arial" w:cs="Arial"/>
          <w:sz w:val="20"/>
          <w:szCs w:val="20"/>
        </w:rPr>
        <w:t>, </w:t>
      </w:r>
      <w:r w:rsidRPr="00DB10F9">
        <w:rPr>
          <w:rFonts w:ascii="Arial" w:eastAsia="Arial" w:hAnsi="Arial" w:cs="Arial"/>
          <w:i/>
          <w:sz w:val="20"/>
          <w:szCs w:val="20"/>
        </w:rPr>
        <w:t>3</w:t>
      </w:r>
      <w:r w:rsidRPr="00DB10F9">
        <w:rPr>
          <w:rFonts w:ascii="Arial" w:eastAsia="Arial" w:hAnsi="Arial" w:cs="Arial"/>
          <w:sz w:val="20"/>
          <w:szCs w:val="20"/>
        </w:rPr>
        <w:t>(9).</w:t>
      </w:r>
    </w:p>
    <w:p w14:paraId="1F2DE4C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Kwong, J. C., </w:t>
      </w:r>
      <w:proofErr w:type="spellStart"/>
      <w:r w:rsidRPr="00DB10F9">
        <w:rPr>
          <w:rFonts w:ascii="Arial" w:eastAsia="Arial" w:hAnsi="Arial" w:cs="Arial"/>
          <w:sz w:val="20"/>
          <w:szCs w:val="20"/>
        </w:rPr>
        <w:t>Khondker</w:t>
      </w:r>
      <w:proofErr w:type="spellEnd"/>
      <w:r w:rsidRPr="00DB10F9">
        <w:rPr>
          <w:rFonts w:ascii="Arial" w:eastAsia="Arial" w:hAnsi="Arial" w:cs="Arial"/>
          <w:sz w:val="20"/>
          <w:szCs w:val="20"/>
        </w:rPr>
        <w:t xml:space="preserve">, A., </w:t>
      </w:r>
      <w:proofErr w:type="spellStart"/>
      <w:r w:rsidRPr="00DB10F9">
        <w:rPr>
          <w:rFonts w:ascii="Arial" w:eastAsia="Arial" w:hAnsi="Arial" w:cs="Arial"/>
          <w:sz w:val="20"/>
          <w:szCs w:val="20"/>
        </w:rPr>
        <w:t>Lajkosz</w:t>
      </w:r>
      <w:proofErr w:type="spellEnd"/>
      <w:r w:rsidRPr="00DB10F9">
        <w:rPr>
          <w:rFonts w:ascii="Arial" w:eastAsia="Arial" w:hAnsi="Arial" w:cs="Arial"/>
          <w:sz w:val="20"/>
          <w:szCs w:val="20"/>
        </w:rPr>
        <w:t xml:space="preserve">, K., McDermott, M. B., </w:t>
      </w:r>
      <w:proofErr w:type="spellStart"/>
      <w:r w:rsidRPr="00DB10F9">
        <w:rPr>
          <w:rFonts w:ascii="Arial" w:eastAsia="Arial" w:hAnsi="Arial" w:cs="Arial"/>
          <w:sz w:val="20"/>
          <w:szCs w:val="20"/>
        </w:rPr>
        <w:t>Frigola</w:t>
      </w:r>
      <w:proofErr w:type="spellEnd"/>
      <w:r w:rsidRPr="00DB10F9">
        <w:rPr>
          <w:rFonts w:ascii="Arial" w:eastAsia="Arial" w:hAnsi="Arial" w:cs="Arial"/>
          <w:sz w:val="20"/>
          <w:szCs w:val="20"/>
        </w:rPr>
        <w:t xml:space="preserve">, X. B., </w:t>
      </w:r>
      <w:proofErr w:type="spellStart"/>
      <w:r w:rsidRPr="00DB10F9">
        <w:rPr>
          <w:rFonts w:ascii="Arial" w:eastAsia="Arial" w:hAnsi="Arial" w:cs="Arial"/>
          <w:sz w:val="20"/>
          <w:szCs w:val="20"/>
        </w:rPr>
        <w:t>McCradden</w:t>
      </w:r>
      <w:proofErr w:type="spellEnd"/>
      <w:r w:rsidRPr="00DB10F9">
        <w:rPr>
          <w:rFonts w:ascii="Arial" w:eastAsia="Arial" w:hAnsi="Arial" w:cs="Arial"/>
          <w:sz w:val="20"/>
          <w:szCs w:val="20"/>
        </w:rPr>
        <w:t>, M. D., ... &amp; Johnson, A. E. (2023). APPRAISE-AI tool for quantitative evaluation of AI studies for clinical decision support. </w:t>
      </w:r>
      <w:r w:rsidRPr="00DB10F9">
        <w:rPr>
          <w:rFonts w:ascii="Arial" w:eastAsia="Arial" w:hAnsi="Arial" w:cs="Arial"/>
          <w:i/>
          <w:sz w:val="20"/>
          <w:szCs w:val="20"/>
        </w:rPr>
        <w:t>JAMA network open</w:t>
      </w:r>
      <w:r w:rsidRPr="00DB10F9">
        <w:rPr>
          <w:rFonts w:ascii="Arial" w:eastAsia="Arial" w:hAnsi="Arial" w:cs="Arial"/>
          <w:sz w:val="20"/>
          <w:szCs w:val="20"/>
        </w:rPr>
        <w:t>, </w:t>
      </w:r>
      <w:r w:rsidRPr="00DB10F9">
        <w:rPr>
          <w:rFonts w:ascii="Arial" w:eastAsia="Arial" w:hAnsi="Arial" w:cs="Arial"/>
          <w:i/>
          <w:sz w:val="20"/>
          <w:szCs w:val="20"/>
        </w:rPr>
        <w:t>6</w:t>
      </w:r>
      <w:r w:rsidRPr="00DB10F9">
        <w:rPr>
          <w:rFonts w:ascii="Arial" w:eastAsia="Arial" w:hAnsi="Arial" w:cs="Arial"/>
          <w:sz w:val="20"/>
          <w:szCs w:val="20"/>
        </w:rPr>
        <w:t>(9), e2335377-e2335377.</w:t>
      </w:r>
    </w:p>
    <w:p w14:paraId="3EAF656A" w14:textId="77777777" w:rsidR="00230FB4" w:rsidRPr="00DB10F9" w:rsidRDefault="0040531C">
      <w:pPr>
        <w:rPr>
          <w:rFonts w:ascii="Arial" w:eastAsia="Arial" w:hAnsi="Arial" w:cs="Arial"/>
          <w:sz w:val="20"/>
          <w:szCs w:val="20"/>
        </w:rPr>
      </w:pPr>
      <w:proofErr w:type="spellStart"/>
      <w:r w:rsidRPr="00DB10F9">
        <w:rPr>
          <w:rFonts w:ascii="Arial" w:eastAsia="Arial" w:hAnsi="Arial" w:cs="Arial"/>
          <w:sz w:val="20"/>
          <w:szCs w:val="20"/>
        </w:rPr>
        <w:t>Ladabaum</w:t>
      </w:r>
      <w:proofErr w:type="spellEnd"/>
      <w:r w:rsidRPr="00DB10F9">
        <w:rPr>
          <w:rFonts w:ascii="Arial" w:eastAsia="Arial" w:hAnsi="Arial" w:cs="Arial"/>
          <w:sz w:val="20"/>
          <w:szCs w:val="20"/>
        </w:rPr>
        <w:t xml:space="preserve">, U., Shepard, J., Weng, Y., Desai, M., Singer, S. J., &amp; </w:t>
      </w:r>
      <w:proofErr w:type="spellStart"/>
      <w:r w:rsidRPr="00DB10F9">
        <w:rPr>
          <w:rFonts w:ascii="Arial" w:eastAsia="Arial" w:hAnsi="Arial" w:cs="Arial"/>
          <w:sz w:val="20"/>
          <w:szCs w:val="20"/>
        </w:rPr>
        <w:t>Mannalithara</w:t>
      </w:r>
      <w:proofErr w:type="spellEnd"/>
      <w:r w:rsidRPr="00DB10F9">
        <w:rPr>
          <w:rFonts w:ascii="Arial" w:eastAsia="Arial" w:hAnsi="Arial" w:cs="Arial"/>
          <w:sz w:val="20"/>
          <w:szCs w:val="20"/>
        </w:rPr>
        <w:t xml:space="preserve">, A. (2023). Computer-aided detection of polyps does not improve </w:t>
      </w:r>
      <w:proofErr w:type="spellStart"/>
      <w:r w:rsidRPr="00DB10F9">
        <w:rPr>
          <w:rFonts w:ascii="Arial" w:eastAsia="Arial" w:hAnsi="Arial" w:cs="Arial"/>
          <w:sz w:val="20"/>
          <w:szCs w:val="20"/>
        </w:rPr>
        <w:t>colonoscopist</w:t>
      </w:r>
      <w:proofErr w:type="spellEnd"/>
      <w:r w:rsidRPr="00DB10F9">
        <w:rPr>
          <w:rFonts w:ascii="Arial" w:eastAsia="Arial" w:hAnsi="Arial" w:cs="Arial"/>
          <w:sz w:val="20"/>
          <w:szCs w:val="20"/>
        </w:rPr>
        <w:t xml:space="preserve"> performance in a pragmatic implementation trial. </w:t>
      </w:r>
      <w:r w:rsidRPr="00DB10F9">
        <w:rPr>
          <w:rFonts w:ascii="Arial" w:eastAsia="Arial" w:hAnsi="Arial" w:cs="Arial"/>
          <w:i/>
          <w:sz w:val="20"/>
          <w:szCs w:val="20"/>
        </w:rPr>
        <w:t>Gastroenterology</w:t>
      </w:r>
      <w:r w:rsidRPr="00DB10F9">
        <w:rPr>
          <w:rFonts w:ascii="Arial" w:eastAsia="Arial" w:hAnsi="Arial" w:cs="Arial"/>
          <w:sz w:val="20"/>
          <w:szCs w:val="20"/>
        </w:rPr>
        <w:t>, </w:t>
      </w:r>
      <w:r w:rsidRPr="00DB10F9">
        <w:rPr>
          <w:rFonts w:ascii="Arial" w:eastAsia="Arial" w:hAnsi="Arial" w:cs="Arial"/>
          <w:i/>
          <w:sz w:val="20"/>
          <w:szCs w:val="20"/>
        </w:rPr>
        <w:t>164</w:t>
      </w:r>
      <w:r w:rsidRPr="00DB10F9">
        <w:rPr>
          <w:rFonts w:ascii="Arial" w:eastAsia="Arial" w:hAnsi="Arial" w:cs="Arial"/>
          <w:sz w:val="20"/>
          <w:szCs w:val="20"/>
        </w:rPr>
        <w:t>(3), 481-483.</w:t>
      </w:r>
    </w:p>
    <w:p w14:paraId="69D25E4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Lee, B., Kramer, P., Sandri, S., Chanda, R., Favorito, C., Nasef, O., ... &amp; Dai, T. (2025, August). Early Recalls and Clinical Validation Gaps in Artificial Intelligence–Enabled Medical Devices. In </w:t>
      </w:r>
      <w:r w:rsidRPr="00DB10F9">
        <w:rPr>
          <w:rFonts w:ascii="Arial" w:eastAsia="Arial" w:hAnsi="Arial" w:cs="Arial"/>
          <w:i/>
          <w:sz w:val="20"/>
          <w:szCs w:val="20"/>
        </w:rPr>
        <w:t>JAMA Health Forum</w:t>
      </w:r>
      <w:r w:rsidRPr="00DB10F9">
        <w:rPr>
          <w:rFonts w:ascii="Arial" w:eastAsia="Arial" w:hAnsi="Arial" w:cs="Arial"/>
          <w:sz w:val="20"/>
          <w:szCs w:val="20"/>
        </w:rPr>
        <w:t> (Vol. 6, No. 8, pp. e253172-e253172). American Medical Association.</w:t>
      </w:r>
    </w:p>
    <w:p w14:paraId="4677FB0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Liu, X., Rivera, S. C., Moher, D., Calvert, M. J., Denniston, A. K., </w:t>
      </w:r>
      <w:proofErr w:type="spellStart"/>
      <w:r w:rsidRPr="00DB10F9">
        <w:rPr>
          <w:rFonts w:ascii="Arial" w:eastAsia="Arial" w:hAnsi="Arial" w:cs="Arial"/>
          <w:sz w:val="20"/>
          <w:szCs w:val="20"/>
        </w:rPr>
        <w:t>Ashrafian</w:t>
      </w:r>
      <w:proofErr w:type="spellEnd"/>
      <w:r w:rsidRPr="00DB10F9">
        <w:rPr>
          <w:rFonts w:ascii="Arial" w:eastAsia="Arial" w:hAnsi="Arial" w:cs="Arial"/>
          <w:sz w:val="20"/>
          <w:szCs w:val="20"/>
        </w:rPr>
        <w:t>, H., ... &amp; Yau, C. (2020). Reporting guidelines for clinical trial reports for interventions involving artificial intelligence: the CONSORT-AI extension. </w:t>
      </w:r>
      <w:r w:rsidRPr="00DB10F9">
        <w:rPr>
          <w:rFonts w:ascii="Arial" w:eastAsia="Arial" w:hAnsi="Arial" w:cs="Arial"/>
          <w:i/>
          <w:sz w:val="20"/>
          <w:szCs w:val="20"/>
        </w:rPr>
        <w:t>The Lancet Digital Health</w:t>
      </w:r>
      <w:r w:rsidRPr="00DB10F9">
        <w:rPr>
          <w:rFonts w:ascii="Arial" w:eastAsia="Arial" w:hAnsi="Arial" w:cs="Arial"/>
          <w:sz w:val="20"/>
          <w:szCs w:val="20"/>
        </w:rPr>
        <w:t>, </w:t>
      </w:r>
      <w:r w:rsidRPr="00DB10F9">
        <w:rPr>
          <w:rFonts w:ascii="Arial" w:eastAsia="Arial" w:hAnsi="Arial" w:cs="Arial"/>
          <w:i/>
          <w:sz w:val="20"/>
          <w:szCs w:val="20"/>
        </w:rPr>
        <w:t>2</w:t>
      </w:r>
      <w:r w:rsidRPr="00DB10F9">
        <w:rPr>
          <w:rFonts w:ascii="Arial" w:eastAsia="Arial" w:hAnsi="Arial" w:cs="Arial"/>
          <w:sz w:val="20"/>
          <w:szCs w:val="20"/>
        </w:rPr>
        <w:t>(10), e537-e548.</w:t>
      </w:r>
    </w:p>
    <w:p w14:paraId="03E4F8B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Mello, M. M., &amp; Guha, N. (2024). Understanding liability risk from using health care artificial intelligence tools. </w:t>
      </w:r>
      <w:r w:rsidRPr="00DB10F9">
        <w:rPr>
          <w:rFonts w:ascii="Arial" w:eastAsia="Arial" w:hAnsi="Arial" w:cs="Arial"/>
          <w:i/>
          <w:sz w:val="20"/>
          <w:szCs w:val="20"/>
        </w:rPr>
        <w:t>New England Journal of Medicine</w:t>
      </w:r>
      <w:r w:rsidRPr="00DB10F9">
        <w:rPr>
          <w:rFonts w:ascii="Arial" w:eastAsia="Arial" w:hAnsi="Arial" w:cs="Arial"/>
          <w:sz w:val="20"/>
          <w:szCs w:val="20"/>
        </w:rPr>
        <w:t>, </w:t>
      </w:r>
      <w:r w:rsidRPr="00DB10F9">
        <w:rPr>
          <w:rFonts w:ascii="Arial" w:eastAsia="Arial" w:hAnsi="Arial" w:cs="Arial"/>
          <w:i/>
          <w:sz w:val="20"/>
          <w:szCs w:val="20"/>
        </w:rPr>
        <w:t>390</w:t>
      </w:r>
      <w:r w:rsidRPr="00DB10F9">
        <w:rPr>
          <w:rFonts w:ascii="Arial" w:eastAsia="Arial" w:hAnsi="Arial" w:cs="Arial"/>
          <w:sz w:val="20"/>
          <w:szCs w:val="20"/>
        </w:rPr>
        <w:t>(3), 271-278.</w:t>
      </w:r>
    </w:p>
    <w:p w14:paraId="0226ED9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Moons, K. G., Damen, J. A., Kaul, T., Hooft, L., Navarro, C. A., Dhiman, P., ... &amp; van Smeden, M. (2025). PROBAST+ AI: an updated quality, risk of bias, and applicability assessment tool for prediction models using regression or artificial intelligence methods. </w:t>
      </w:r>
      <w:proofErr w:type="spellStart"/>
      <w:r w:rsidRPr="00DB10F9">
        <w:rPr>
          <w:rFonts w:ascii="Arial" w:eastAsia="Arial" w:hAnsi="Arial" w:cs="Arial"/>
          <w:i/>
          <w:sz w:val="20"/>
          <w:szCs w:val="20"/>
        </w:rPr>
        <w:t>bmj</w:t>
      </w:r>
      <w:proofErr w:type="spellEnd"/>
      <w:r w:rsidRPr="00DB10F9">
        <w:rPr>
          <w:rFonts w:ascii="Arial" w:eastAsia="Arial" w:hAnsi="Arial" w:cs="Arial"/>
          <w:sz w:val="20"/>
          <w:szCs w:val="20"/>
        </w:rPr>
        <w:t>, </w:t>
      </w:r>
      <w:r w:rsidRPr="00DB10F9">
        <w:rPr>
          <w:rFonts w:ascii="Arial" w:eastAsia="Arial" w:hAnsi="Arial" w:cs="Arial"/>
          <w:i/>
          <w:sz w:val="20"/>
          <w:szCs w:val="20"/>
        </w:rPr>
        <w:t>388</w:t>
      </w:r>
      <w:r w:rsidRPr="00DB10F9">
        <w:rPr>
          <w:rFonts w:ascii="Arial" w:eastAsia="Arial" w:hAnsi="Arial" w:cs="Arial"/>
          <w:sz w:val="20"/>
          <w:szCs w:val="20"/>
        </w:rPr>
        <w:t>.</w:t>
      </w:r>
    </w:p>
    <w:p w14:paraId="2A754A31" w14:textId="77777777" w:rsidR="00230FB4" w:rsidRPr="00DB10F9" w:rsidRDefault="0040531C">
      <w:pPr>
        <w:rPr>
          <w:rFonts w:ascii="Arial" w:eastAsia="Arial" w:hAnsi="Arial" w:cs="Arial"/>
          <w:sz w:val="20"/>
          <w:szCs w:val="20"/>
        </w:rPr>
      </w:pPr>
      <w:proofErr w:type="spellStart"/>
      <w:r w:rsidRPr="00DB10F9">
        <w:rPr>
          <w:rFonts w:ascii="Arial" w:eastAsia="Arial" w:hAnsi="Arial" w:cs="Arial"/>
          <w:sz w:val="20"/>
          <w:szCs w:val="20"/>
        </w:rPr>
        <w:t>Muehlematter</w:t>
      </w:r>
      <w:proofErr w:type="spellEnd"/>
      <w:r w:rsidRPr="00DB10F9">
        <w:rPr>
          <w:rFonts w:ascii="Arial" w:eastAsia="Arial" w:hAnsi="Arial" w:cs="Arial"/>
          <w:sz w:val="20"/>
          <w:szCs w:val="20"/>
        </w:rPr>
        <w:t xml:space="preserve">, U. J., </w:t>
      </w:r>
      <w:proofErr w:type="spellStart"/>
      <w:r w:rsidRPr="00DB10F9">
        <w:rPr>
          <w:rFonts w:ascii="Arial" w:eastAsia="Arial" w:hAnsi="Arial" w:cs="Arial"/>
          <w:sz w:val="20"/>
          <w:szCs w:val="20"/>
        </w:rPr>
        <w:t>Daniore</w:t>
      </w:r>
      <w:proofErr w:type="spellEnd"/>
      <w:r w:rsidRPr="00DB10F9">
        <w:rPr>
          <w:rFonts w:ascii="Arial" w:eastAsia="Arial" w:hAnsi="Arial" w:cs="Arial"/>
          <w:sz w:val="20"/>
          <w:szCs w:val="20"/>
        </w:rPr>
        <w:t xml:space="preserve">, P., &amp; </w:t>
      </w:r>
      <w:proofErr w:type="spellStart"/>
      <w:r w:rsidRPr="00DB10F9">
        <w:rPr>
          <w:rFonts w:ascii="Arial" w:eastAsia="Arial" w:hAnsi="Arial" w:cs="Arial"/>
          <w:sz w:val="20"/>
          <w:szCs w:val="20"/>
        </w:rPr>
        <w:t>Vokinger</w:t>
      </w:r>
      <w:proofErr w:type="spellEnd"/>
      <w:r w:rsidRPr="00DB10F9">
        <w:rPr>
          <w:rFonts w:ascii="Arial" w:eastAsia="Arial" w:hAnsi="Arial" w:cs="Arial"/>
          <w:sz w:val="20"/>
          <w:szCs w:val="20"/>
        </w:rPr>
        <w:t>, K. N. (2021). Approval of artificial intelligence and machine learning-based medical devices in the USA and Europe (2015–20): a comparative analysis. </w:t>
      </w:r>
      <w:r w:rsidRPr="00DB10F9">
        <w:rPr>
          <w:rFonts w:ascii="Arial" w:eastAsia="Arial" w:hAnsi="Arial" w:cs="Arial"/>
          <w:i/>
          <w:sz w:val="20"/>
          <w:szCs w:val="20"/>
        </w:rPr>
        <w:t>The Lancet Digital Health</w:t>
      </w:r>
      <w:r w:rsidRPr="00DB10F9">
        <w:rPr>
          <w:rFonts w:ascii="Arial" w:eastAsia="Arial" w:hAnsi="Arial" w:cs="Arial"/>
          <w:sz w:val="20"/>
          <w:szCs w:val="20"/>
        </w:rPr>
        <w:t>, </w:t>
      </w:r>
      <w:r w:rsidRPr="00DB10F9">
        <w:rPr>
          <w:rFonts w:ascii="Arial" w:eastAsia="Arial" w:hAnsi="Arial" w:cs="Arial"/>
          <w:i/>
          <w:sz w:val="20"/>
          <w:szCs w:val="20"/>
        </w:rPr>
        <w:t>3</w:t>
      </w:r>
      <w:r w:rsidRPr="00DB10F9">
        <w:rPr>
          <w:rFonts w:ascii="Arial" w:eastAsia="Arial" w:hAnsi="Arial" w:cs="Arial"/>
          <w:sz w:val="20"/>
          <w:szCs w:val="20"/>
        </w:rPr>
        <w:t>(3), e195-e203.</w:t>
      </w:r>
    </w:p>
    <w:p w14:paraId="70AC043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Obermeyer, Z., Powers, B., Vogeli, C., &amp; Mullainathan, S. (2019). Dissecting racial bias in an algorithm used to manage the health of populations. </w:t>
      </w:r>
      <w:r w:rsidRPr="00DB10F9">
        <w:rPr>
          <w:rFonts w:ascii="Arial" w:eastAsia="Arial" w:hAnsi="Arial" w:cs="Arial"/>
          <w:i/>
          <w:sz w:val="20"/>
          <w:szCs w:val="20"/>
        </w:rPr>
        <w:t>Science</w:t>
      </w:r>
      <w:r w:rsidRPr="00DB10F9">
        <w:rPr>
          <w:rFonts w:ascii="Arial" w:eastAsia="Arial" w:hAnsi="Arial" w:cs="Arial"/>
          <w:sz w:val="20"/>
          <w:szCs w:val="20"/>
        </w:rPr>
        <w:t>, </w:t>
      </w:r>
      <w:r w:rsidRPr="00DB10F9">
        <w:rPr>
          <w:rFonts w:ascii="Arial" w:eastAsia="Arial" w:hAnsi="Arial" w:cs="Arial"/>
          <w:i/>
          <w:sz w:val="20"/>
          <w:szCs w:val="20"/>
        </w:rPr>
        <w:t>366</w:t>
      </w:r>
      <w:r w:rsidRPr="00DB10F9">
        <w:rPr>
          <w:rFonts w:ascii="Arial" w:eastAsia="Arial" w:hAnsi="Arial" w:cs="Arial"/>
          <w:sz w:val="20"/>
          <w:szCs w:val="20"/>
        </w:rPr>
        <w:t>(6464), 447-453.</w:t>
      </w:r>
    </w:p>
    <w:p w14:paraId="122A3DE6"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Parikh, R. B., Teeple, S., &amp; Navathe, A. S. (2019). Addressing bias in artificial intelligence in health care. </w:t>
      </w:r>
      <w:r w:rsidRPr="00DB10F9">
        <w:rPr>
          <w:rFonts w:ascii="Arial" w:eastAsia="Arial" w:hAnsi="Arial" w:cs="Arial"/>
          <w:i/>
          <w:sz w:val="20"/>
          <w:szCs w:val="20"/>
        </w:rPr>
        <w:t>Jama</w:t>
      </w:r>
      <w:r w:rsidRPr="00DB10F9">
        <w:rPr>
          <w:rFonts w:ascii="Arial" w:eastAsia="Arial" w:hAnsi="Arial" w:cs="Arial"/>
          <w:sz w:val="20"/>
          <w:szCs w:val="20"/>
        </w:rPr>
        <w:t>, </w:t>
      </w:r>
      <w:r w:rsidRPr="00DB10F9">
        <w:rPr>
          <w:rFonts w:ascii="Arial" w:eastAsia="Arial" w:hAnsi="Arial" w:cs="Arial"/>
          <w:i/>
          <w:sz w:val="20"/>
          <w:szCs w:val="20"/>
        </w:rPr>
        <w:t>322</w:t>
      </w:r>
      <w:r w:rsidRPr="00DB10F9">
        <w:rPr>
          <w:rFonts w:ascii="Arial" w:eastAsia="Arial" w:hAnsi="Arial" w:cs="Arial"/>
          <w:sz w:val="20"/>
          <w:szCs w:val="20"/>
        </w:rPr>
        <w:t>(24), 2377-2378.</w:t>
      </w:r>
    </w:p>
    <w:p w14:paraId="79954F8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Plana, D., Shung, D. L., Grimshaw, A. A., Saraf, A., Sung, J. J., &amp; Kann, B. H. (2022). Randomized clinical trials of machine learning interventions in health care: a systematic review. </w:t>
      </w:r>
      <w:r w:rsidRPr="00DB10F9">
        <w:rPr>
          <w:rFonts w:ascii="Arial" w:eastAsia="Arial" w:hAnsi="Arial" w:cs="Arial"/>
          <w:i/>
          <w:sz w:val="20"/>
          <w:szCs w:val="20"/>
        </w:rPr>
        <w:t>JAMA network open</w:t>
      </w:r>
      <w:r w:rsidRPr="00DB10F9">
        <w:rPr>
          <w:rFonts w:ascii="Arial" w:eastAsia="Arial" w:hAnsi="Arial" w:cs="Arial"/>
          <w:sz w:val="20"/>
          <w:szCs w:val="20"/>
        </w:rPr>
        <w:t>, </w:t>
      </w:r>
      <w:r w:rsidRPr="00DB10F9">
        <w:rPr>
          <w:rFonts w:ascii="Arial" w:eastAsia="Arial" w:hAnsi="Arial" w:cs="Arial"/>
          <w:i/>
          <w:sz w:val="20"/>
          <w:szCs w:val="20"/>
        </w:rPr>
        <w:t>5</w:t>
      </w:r>
      <w:r w:rsidRPr="00DB10F9">
        <w:rPr>
          <w:rFonts w:ascii="Arial" w:eastAsia="Arial" w:hAnsi="Arial" w:cs="Arial"/>
          <w:sz w:val="20"/>
          <w:szCs w:val="20"/>
        </w:rPr>
        <w:t>(9), e2233946-e2233946.</w:t>
      </w:r>
    </w:p>
    <w:p w14:paraId="70191056" w14:textId="77777777" w:rsidR="00230FB4" w:rsidRPr="00DB10F9" w:rsidRDefault="0040531C">
      <w:pPr>
        <w:rPr>
          <w:rFonts w:ascii="Arial" w:eastAsia="Arial" w:hAnsi="Arial" w:cs="Arial"/>
          <w:sz w:val="20"/>
          <w:szCs w:val="20"/>
        </w:rPr>
      </w:pPr>
      <w:proofErr w:type="spellStart"/>
      <w:r w:rsidRPr="00DB10F9">
        <w:rPr>
          <w:rFonts w:ascii="Arial" w:eastAsia="Arial" w:hAnsi="Arial" w:cs="Arial"/>
          <w:sz w:val="20"/>
          <w:szCs w:val="20"/>
        </w:rPr>
        <w:t>Rajkomar</w:t>
      </w:r>
      <w:proofErr w:type="spellEnd"/>
      <w:r w:rsidRPr="00DB10F9">
        <w:rPr>
          <w:rFonts w:ascii="Arial" w:eastAsia="Arial" w:hAnsi="Arial" w:cs="Arial"/>
          <w:sz w:val="20"/>
          <w:szCs w:val="20"/>
        </w:rPr>
        <w:t>, A., Hardt, M., Howell, M. D., Corrado, G., &amp; Chin, M. H. (2018). Ensuring fairness in machine learning to advance health equity. </w:t>
      </w:r>
      <w:r w:rsidRPr="00DB10F9">
        <w:rPr>
          <w:rFonts w:ascii="Arial" w:eastAsia="Arial" w:hAnsi="Arial" w:cs="Arial"/>
          <w:i/>
          <w:sz w:val="20"/>
          <w:szCs w:val="20"/>
        </w:rPr>
        <w:t>Annals of internal medicine</w:t>
      </w:r>
      <w:r w:rsidRPr="00DB10F9">
        <w:rPr>
          <w:rFonts w:ascii="Arial" w:eastAsia="Arial" w:hAnsi="Arial" w:cs="Arial"/>
          <w:sz w:val="20"/>
          <w:szCs w:val="20"/>
        </w:rPr>
        <w:t>, </w:t>
      </w:r>
      <w:r w:rsidRPr="00DB10F9">
        <w:rPr>
          <w:rFonts w:ascii="Arial" w:eastAsia="Arial" w:hAnsi="Arial" w:cs="Arial"/>
          <w:i/>
          <w:sz w:val="20"/>
          <w:szCs w:val="20"/>
        </w:rPr>
        <w:t>169</w:t>
      </w:r>
      <w:r w:rsidRPr="00DB10F9">
        <w:rPr>
          <w:rFonts w:ascii="Arial" w:eastAsia="Arial" w:hAnsi="Arial" w:cs="Arial"/>
          <w:sz w:val="20"/>
          <w:szCs w:val="20"/>
        </w:rPr>
        <w:t>(12), 866-872.</w:t>
      </w:r>
    </w:p>
    <w:p w14:paraId="0C949DD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Raji, I. D., Smart, A., White, R. N., Mitchell, M., Gebru, T., Hutchinson, B., ... &amp; Barnes, P. (2020, January). Closing the AI accountability gap: Defining an end-to-end framework for internal algorithmic auditing. In </w:t>
      </w:r>
      <w:r w:rsidRPr="00DB10F9">
        <w:rPr>
          <w:rFonts w:ascii="Arial" w:eastAsia="Arial" w:hAnsi="Arial" w:cs="Arial"/>
          <w:i/>
          <w:sz w:val="20"/>
          <w:szCs w:val="20"/>
        </w:rPr>
        <w:t>Proceedings of the 2020 conference on fairness, accountability, and transparency</w:t>
      </w:r>
      <w:r w:rsidRPr="00DB10F9">
        <w:rPr>
          <w:rFonts w:ascii="Arial" w:eastAsia="Arial" w:hAnsi="Arial" w:cs="Arial"/>
          <w:sz w:val="20"/>
          <w:szCs w:val="20"/>
        </w:rPr>
        <w:t> (pp. 33-44).</w:t>
      </w:r>
    </w:p>
    <w:p w14:paraId="3C791368"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Reddy, S. (2022). Explainability and artificial intelligence in medicine. </w:t>
      </w:r>
      <w:r w:rsidRPr="00DB10F9">
        <w:rPr>
          <w:rFonts w:ascii="Arial" w:eastAsia="Arial" w:hAnsi="Arial" w:cs="Arial"/>
          <w:i/>
          <w:sz w:val="20"/>
          <w:szCs w:val="20"/>
        </w:rPr>
        <w:t>The lancet digital health</w:t>
      </w:r>
      <w:r w:rsidRPr="00DB10F9">
        <w:rPr>
          <w:rFonts w:ascii="Arial" w:eastAsia="Arial" w:hAnsi="Arial" w:cs="Arial"/>
          <w:sz w:val="20"/>
          <w:szCs w:val="20"/>
        </w:rPr>
        <w:t>, </w:t>
      </w:r>
      <w:r w:rsidRPr="00DB10F9">
        <w:rPr>
          <w:rFonts w:ascii="Arial" w:eastAsia="Arial" w:hAnsi="Arial" w:cs="Arial"/>
          <w:i/>
          <w:sz w:val="20"/>
          <w:szCs w:val="20"/>
        </w:rPr>
        <w:t>4</w:t>
      </w:r>
      <w:r w:rsidRPr="00DB10F9">
        <w:rPr>
          <w:rFonts w:ascii="Arial" w:eastAsia="Arial" w:hAnsi="Arial" w:cs="Arial"/>
          <w:sz w:val="20"/>
          <w:szCs w:val="20"/>
        </w:rPr>
        <w:t>(4), e214-e215.</w:t>
      </w:r>
    </w:p>
    <w:p w14:paraId="0BEA5AB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Rivera, S. C., Liu, X., Chan, A. W., Denniston, A. K., Calvert, M. J., </w:t>
      </w:r>
      <w:proofErr w:type="spellStart"/>
      <w:r w:rsidRPr="00DB10F9">
        <w:rPr>
          <w:rFonts w:ascii="Arial" w:eastAsia="Arial" w:hAnsi="Arial" w:cs="Arial"/>
          <w:sz w:val="20"/>
          <w:szCs w:val="20"/>
        </w:rPr>
        <w:t>Ashrafian</w:t>
      </w:r>
      <w:proofErr w:type="spellEnd"/>
      <w:r w:rsidRPr="00DB10F9">
        <w:rPr>
          <w:rFonts w:ascii="Arial" w:eastAsia="Arial" w:hAnsi="Arial" w:cs="Arial"/>
          <w:sz w:val="20"/>
          <w:szCs w:val="20"/>
        </w:rPr>
        <w:t>, H., ... &amp; Yau, C. (2020). Guidelines for clinical trial protocols for interventions involving artificial intelligence: the SPIRIT-AI extension. </w:t>
      </w:r>
      <w:r w:rsidRPr="00DB10F9">
        <w:rPr>
          <w:rFonts w:ascii="Arial" w:eastAsia="Arial" w:hAnsi="Arial" w:cs="Arial"/>
          <w:i/>
          <w:sz w:val="20"/>
          <w:szCs w:val="20"/>
        </w:rPr>
        <w:t>The Lancet Digital Health</w:t>
      </w:r>
      <w:r w:rsidRPr="00DB10F9">
        <w:rPr>
          <w:rFonts w:ascii="Arial" w:eastAsia="Arial" w:hAnsi="Arial" w:cs="Arial"/>
          <w:sz w:val="20"/>
          <w:szCs w:val="20"/>
        </w:rPr>
        <w:t>, </w:t>
      </w:r>
      <w:r w:rsidRPr="00DB10F9">
        <w:rPr>
          <w:rFonts w:ascii="Arial" w:eastAsia="Arial" w:hAnsi="Arial" w:cs="Arial"/>
          <w:i/>
          <w:sz w:val="20"/>
          <w:szCs w:val="20"/>
        </w:rPr>
        <w:t>2</w:t>
      </w:r>
      <w:r w:rsidRPr="00DB10F9">
        <w:rPr>
          <w:rFonts w:ascii="Arial" w:eastAsia="Arial" w:hAnsi="Arial" w:cs="Arial"/>
          <w:sz w:val="20"/>
          <w:szCs w:val="20"/>
        </w:rPr>
        <w:t>(10), e549-e560.</w:t>
      </w:r>
    </w:p>
    <w:p w14:paraId="38A7FC52"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Rothenberg, S. A., Savage, C. H., </w:t>
      </w:r>
      <w:proofErr w:type="spellStart"/>
      <w:r w:rsidRPr="00DB10F9">
        <w:rPr>
          <w:rFonts w:ascii="Arial" w:eastAsia="Arial" w:hAnsi="Arial" w:cs="Arial"/>
          <w:sz w:val="20"/>
          <w:szCs w:val="20"/>
        </w:rPr>
        <w:t>Abou</w:t>
      </w:r>
      <w:proofErr w:type="spellEnd"/>
      <w:r w:rsidRPr="00DB10F9">
        <w:rPr>
          <w:rFonts w:ascii="Arial" w:eastAsia="Arial" w:hAnsi="Arial" w:cs="Arial"/>
          <w:sz w:val="20"/>
          <w:szCs w:val="20"/>
        </w:rPr>
        <w:t xml:space="preserve"> </w:t>
      </w:r>
      <w:proofErr w:type="spellStart"/>
      <w:r w:rsidRPr="00DB10F9">
        <w:rPr>
          <w:rFonts w:ascii="Arial" w:eastAsia="Arial" w:hAnsi="Arial" w:cs="Arial"/>
          <w:sz w:val="20"/>
          <w:szCs w:val="20"/>
        </w:rPr>
        <w:t>Elkassem</w:t>
      </w:r>
      <w:proofErr w:type="spellEnd"/>
      <w:r w:rsidRPr="00DB10F9">
        <w:rPr>
          <w:rFonts w:ascii="Arial" w:eastAsia="Arial" w:hAnsi="Arial" w:cs="Arial"/>
          <w:sz w:val="20"/>
          <w:szCs w:val="20"/>
        </w:rPr>
        <w:t xml:space="preserve">, A., Singh, S., </w:t>
      </w:r>
      <w:proofErr w:type="spellStart"/>
      <w:r w:rsidRPr="00DB10F9">
        <w:rPr>
          <w:rFonts w:ascii="Arial" w:eastAsia="Arial" w:hAnsi="Arial" w:cs="Arial"/>
          <w:sz w:val="20"/>
          <w:szCs w:val="20"/>
        </w:rPr>
        <w:t>Abozeed</w:t>
      </w:r>
      <w:proofErr w:type="spellEnd"/>
      <w:r w:rsidRPr="00DB10F9">
        <w:rPr>
          <w:rFonts w:ascii="Arial" w:eastAsia="Arial" w:hAnsi="Arial" w:cs="Arial"/>
          <w:sz w:val="20"/>
          <w:szCs w:val="20"/>
        </w:rPr>
        <w:t xml:space="preserve">, M., </w:t>
      </w:r>
      <w:proofErr w:type="spellStart"/>
      <w:r w:rsidRPr="00DB10F9">
        <w:rPr>
          <w:rFonts w:ascii="Arial" w:eastAsia="Arial" w:hAnsi="Arial" w:cs="Arial"/>
          <w:sz w:val="20"/>
          <w:szCs w:val="20"/>
        </w:rPr>
        <w:t>Hamki</w:t>
      </w:r>
      <w:proofErr w:type="spellEnd"/>
      <w:r w:rsidRPr="00DB10F9">
        <w:rPr>
          <w:rFonts w:ascii="Arial" w:eastAsia="Arial" w:hAnsi="Arial" w:cs="Arial"/>
          <w:sz w:val="20"/>
          <w:szCs w:val="20"/>
        </w:rPr>
        <w:t>, O., ... &amp; Smith, A. D. (2023). Prospective evaluation of AI triage of pulmonary emboli on CT pulmonary angiograms. </w:t>
      </w:r>
      <w:r w:rsidRPr="00DB10F9">
        <w:rPr>
          <w:rFonts w:ascii="Arial" w:eastAsia="Arial" w:hAnsi="Arial" w:cs="Arial"/>
          <w:i/>
          <w:sz w:val="20"/>
          <w:szCs w:val="20"/>
        </w:rPr>
        <w:t>Radiology</w:t>
      </w:r>
      <w:r w:rsidRPr="00DB10F9">
        <w:rPr>
          <w:rFonts w:ascii="Arial" w:eastAsia="Arial" w:hAnsi="Arial" w:cs="Arial"/>
          <w:sz w:val="20"/>
          <w:szCs w:val="20"/>
        </w:rPr>
        <w:t>, </w:t>
      </w:r>
      <w:r w:rsidRPr="00DB10F9">
        <w:rPr>
          <w:rFonts w:ascii="Arial" w:eastAsia="Arial" w:hAnsi="Arial" w:cs="Arial"/>
          <w:i/>
          <w:sz w:val="20"/>
          <w:szCs w:val="20"/>
        </w:rPr>
        <w:t>309</w:t>
      </w:r>
      <w:r w:rsidRPr="00DB10F9">
        <w:rPr>
          <w:rFonts w:ascii="Arial" w:eastAsia="Arial" w:hAnsi="Arial" w:cs="Arial"/>
          <w:sz w:val="20"/>
          <w:szCs w:val="20"/>
        </w:rPr>
        <w:t>(1), e230702.</w:t>
      </w:r>
    </w:p>
    <w:p w14:paraId="1F87B2B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Savage, C. H., </w:t>
      </w:r>
      <w:proofErr w:type="spellStart"/>
      <w:r w:rsidRPr="00DB10F9">
        <w:rPr>
          <w:rFonts w:ascii="Arial" w:eastAsia="Arial" w:hAnsi="Arial" w:cs="Arial"/>
          <w:sz w:val="20"/>
          <w:szCs w:val="20"/>
        </w:rPr>
        <w:t>Elkassem</w:t>
      </w:r>
      <w:proofErr w:type="spellEnd"/>
      <w:r w:rsidRPr="00DB10F9">
        <w:rPr>
          <w:rFonts w:ascii="Arial" w:eastAsia="Arial" w:hAnsi="Arial" w:cs="Arial"/>
          <w:sz w:val="20"/>
          <w:szCs w:val="20"/>
        </w:rPr>
        <w:t xml:space="preserve">, A. A., </w:t>
      </w:r>
      <w:proofErr w:type="spellStart"/>
      <w:r w:rsidRPr="00DB10F9">
        <w:rPr>
          <w:rFonts w:ascii="Arial" w:eastAsia="Arial" w:hAnsi="Arial" w:cs="Arial"/>
          <w:sz w:val="20"/>
          <w:szCs w:val="20"/>
        </w:rPr>
        <w:t>Hamki</w:t>
      </w:r>
      <w:proofErr w:type="spellEnd"/>
      <w:r w:rsidRPr="00DB10F9">
        <w:rPr>
          <w:rFonts w:ascii="Arial" w:eastAsia="Arial" w:hAnsi="Arial" w:cs="Arial"/>
          <w:sz w:val="20"/>
          <w:szCs w:val="20"/>
        </w:rPr>
        <w:t>, O., Sturdivant, A., Benson, D., Grumley, S., ... &amp; Rothenberg, S. A. (2024). Prospective evaluation of artificial intelligence triage of incidental pulmonary emboli on contrast-enhanced CT examinations of the chest or abdomen. </w:t>
      </w:r>
      <w:r w:rsidRPr="00DB10F9">
        <w:rPr>
          <w:rFonts w:ascii="Arial" w:eastAsia="Arial" w:hAnsi="Arial" w:cs="Arial"/>
          <w:i/>
          <w:sz w:val="20"/>
          <w:szCs w:val="20"/>
        </w:rPr>
        <w:t>American Journal of Roentgenology</w:t>
      </w:r>
      <w:r w:rsidRPr="00DB10F9">
        <w:rPr>
          <w:rFonts w:ascii="Arial" w:eastAsia="Arial" w:hAnsi="Arial" w:cs="Arial"/>
          <w:sz w:val="20"/>
          <w:szCs w:val="20"/>
        </w:rPr>
        <w:t>, </w:t>
      </w:r>
      <w:r w:rsidRPr="00DB10F9">
        <w:rPr>
          <w:rFonts w:ascii="Arial" w:eastAsia="Arial" w:hAnsi="Arial" w:cs="Arial"/>
          <w:i/>
          <w:sz w:val="20"/>
          <w:szCs w:val="20"/>
        </w:rPr>
        <w:t>223</w:t>
      </w:r>
      <w:r w:rsidRPr="00DB10F9">
        <w:rPr>
          <w:rFonts w:ascii="Arial" w:eastAsia="Arial" w:hAnsi="Arial" w:cs="Arial"/>
          <w:sz w:val="20"/>
          <w:szCs w:val="20"/>
        </w:rPr>
        <w:t>(3), e2431067.</w:t>
      </w:r>
    </w:p>
    <w:p w14:paraId="33DF5FD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Sendak, M. P., Gao, M., Brajer, N., &amp; Balu, S. (2020). Presenting machine learning model information to clinical end users with model facts labels. </w:t>
      </w:r>
      <w:r w:rsidRPr="00DB10F9">
        <w:rPr>
          <w:rFonts w:ascii="Arial" w:eastAsia="Arial" w:hAnsi="Arial" w:cs="Arial"/>
          <w:i/>
          <w:sz w:val="20"/>
          <w:szCs w:val="20"/>
        </w:rPr>
        <w:t>NPJ digital medicine</w:t>
      </w:r>
      <w:r w:rsidRPr="00DB10F9">
        <w:rPr>
          <w:rFonts w:ascii="Arial" w:eastAsia="Arial" w:hAnsi="Arial" w:cs="Arial"/>
          <w:sz w:val="20"/>
          <w:szCs w:val="20"/>
        </w:rPr>
        <w:t>, </w:t>
      </w:r>
      <w:r w:rsidRPr="00DB10F9">
        <w:rPr>
          <w:rFonts w:ascii="Arial" w:eastAsia="Arial" w:hAnsi="Arial" w:cs="Arial"/>
          <w:i/>
          <w:sz w:val="20"/>
          <w:szCs w:val="20"/>
        </w:rPr>
        <w:t>3</w:t>
      </w:r>
      <w:r w:rsidRPr="00DB10F9">
        <w:rPr>
          <w:rFonts w:ascii="Arial" w:eastAsia="Arial" w:hAnsi="Arial" w:cs="Arial"/>
          <w:sz w:val="20"/>
          <w:szCs w:val="20"/>
        </w:rPr>
        <w:t>(1), 41.</w:t>
      </w:r>
    </w:p>
    <w:p w14:paraId="1B6D44CE"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Singh, K., Valley, T. S., Tang, S., Li, B. Y., Kamran, F., </w:t>
      </w:r>
      <w:proofErr w:type="spellStart"/>
      <w:r w:rsidRPr="00DB10F9">
        <w:rPr>
          <w:rFonts w:ascii="Arial" w:eastAsia="Arial" w:hAnsi="Arial" w:cs="Arial"/>
          <w:sz w:val="20"/>
          <w:szCs w:val="20"/>
        </w:rPr>
        <w:t>Sjoding</w:t>
      </w:r>
      <w:proofErr w:type="spellEnd"/>
      <w:r w:rsidRPr="00DB10F9">
        <w:rPr>
          <w:rFonts w:ascii="Arial" w:eastAsia="Arial" w:hAnsi="Arial" w:cs="Arial"/>
          <w:sz w:val="20"/>
          <w:szCs w:val="20"/>
        </w:rPr>
        <w:t>, M. W., ... &amp; Nallamothu, B. K. (2021). Evaluating a widely implemented proprietary deterioration index model among hospitalized patients with COVID-19. </w:t>
      </w:r>
      <w:r w:rsidRPr="00DB10F9">
        <w:rPr>
          <w:rFonts w:ascii="Arial" w:eastAsia="Arial" w:hAnsi="Arial" w:cs="Arial"/>
          <w:i/>
          <w:sz w:val="20"/>
          <w:szCs w:val="20"/>
        </w:rPr>
        <w:t>Annals of the American Thoracic Society</w:t>
      </w:r>
      <w:r w:rsidRPr="00DB10F9">
        <w:rPr>
          <w:rFonts w:ascii="Arial" w:eastAsia="Arial" w:hAnsi="Arial" w:cs="Arial"/>
          <w:sz w:val="20"/>
          <w:szCs w:val="20"/>
        </w:rPr>
        <w:t>, </w:t>
      </w:r>
      <w:r w:rsidRPr="00DB10F9">
        <w:rPr>
          <w:rFonts w:ascii="Arial" w:eastAsia="Arial" w:hAnsi="Arial" w:cs="Arial"/>
          <w:i/>
          <w:sz w:val="20"/>
          <w:szCs w:val="20"/>
        </w:rPr>
        <w:t>18</w:t>
      </w:r>
      <w:r w:rsidRPr="00DB10F9">
        <w:rPr>
          <w:rFonts w:ascii="Arial" w:eastAsia="Arial" w:hAnsi="Arial" w:cs="Arial"/>
          <w:sz w:val="20"/>
          <w:szCs w:val="20"/>
        </w:rPr>
        <w:t>(7), 1129-1137.</w:t>
      </w:r>
    </w:p>
    <w:p w14:paraId="49F54A0F" w14:textId="77777777" w:rsidR="00230FB4" w:rsidRPr="00DB10F9" w:rsidRDefault="0040531C">
      <w:pPr>
        <w:rPr>
          <w:rFonts w:ascii="Arial" w:eastAsia="Arial" w:hAnsi="Arial" w:cs="Arial"/>
          <w:sz w:val="20"/>
          <w:szCs w:val="20"/>
        </w:rPr>
      </w:pPr>
      <w:proofErr w:type="spellStart"/>
      <w:r w:rsidRPr="00DB10F9">
        <w:rPr>
          <w:rFonts w:ascii="Arial" w:eastAsia="Arial" w:hAnsi="Arial" w:cs="Arial"/>
          <w:sz w:val="20"/>
          <w:szCs w:val="20"/>
        </w:rPr>
        <w:t>Sjoding</w:t>
      </w:r>
      <w:proofErr w:type="spellEnd"/>
      <w:r w:rsidRPr="00DB10F9">
        <w:rPr>
          <w:rFonts w:ascii="Arial" w:eastAsia="Arial" w:hAnsi="Arial" w:cs="Arial"/>
          <w:sz w:val="20"/>
          <w:szCs w:val="20"/>
        </w:rPr>
        <w:t>, M. W., Dickson, R. P., Iwashyna, T. J., Gay, S. E., &amp; Valley, T. S. (2020). Racial bias in pulse oximetry measurement. New England Journal of Medicine, 383(25), 2477-2478.</w:t>
      </w:r>
    </w:p>
    <w:p w14:paraId="6226F644" w14:textId="77777777" w:rsidR="00230FB4" w:rsidRPr="00DB10F9" w:rsidRDefault="0040531C">
      <w:pPr>
        <w:rPr>
          <w:rFonts w:ascii="Arial" w:eastAsia="Arial" w:hAnsi="Arial" w:cs="Arial"/>
          <w:sz w:val="20"/>
          <w:szCs w:val="20"/>
        </w:rPr>
      </w:pPr>
      <w:proofErr w:type="spellStart"/>
      <w:r w:rsidRPr="00DB10F9">
        <w:rPr>
          <w:rFonts w:ascii="Arial" w:eastAsia="Arial" w:hAnsi="Arial" w:cs="Arial"/>
          <w:sz w:val="20"/>
          <w:szCs w:val="20"/>
        </w:rPr>
        <w:t>Sounderajah</w:t>
      </w:r>
      <w:proofErr w:type="spellEnd"/>
      <w:r w:rsidRPr="00DB10F9">
        <w:rPr>
          <w:rFonts w:ascii="Arial" w:eastAsia="Arial" w:hAnsi="Arial" w:cs="Arial"/>
          <w:sz w:val="20"/>
          <w:szCs w:val="20"/>
        </w:rPr>
        <w:t xml:space="preserve">, V., Guni, A., Liu, X., Collins, G. S., </w:t>
      </w:r>
      <w:proofErr w:type="spellStart"/>
      <w:r w:rsidRPr="00DB10F9">
        <w:rPr>
          <w:rFonts w:ascii="Arial" w:eastAsia="Arial" w:hAnsi="Arial" w:cs="Arial"/>
          <w:sz w:val="20"/>
          <w:szCs w:val="20"/>
        </w:rPr>
        <w:t>Karthikesalingam</w:t>
      </w:r>
      <w:proofErr w:type="spellEnd"/>
      <w:r w:rsidRPr="00DB10F9">
        <w:rPr>
          <w:rFonts w:ascii="Arial" w:eastAsia="Arial" w:hAnsi="Arial" w:cs="Arial"/>
          <w:sz w:val="20"/>
          <w:szCs w:val="20"/>
        </w:rPr>
        <w:t xml:space="preserve">, A., Markar, S. R., ... &amp; </w:t>
      </w:r>
      <w:proofErr w:type="spellStart"/>
      <w:r w:rsidRPr="00DB10F9">
        <w:rPr>
          <w:rFonts w:ascii="Arial" w:eastAsia="Arial" w:hAnsi="Arial" w:cs="Arial"/>
          <w:sz w:val="20"/>
          <w:szCs w:val="20"/>
        </w:rPr>
        <w:t>Ashrafian</w:t>
      </w:r>
      <w:proofErr w:type="spellEnd"/>
      <w:r w:rsidRPr="00DB10F9">
        <w:rPr>
          <w:rFonts w:ascii="Arial" w:eastAsia="Arial" w:hAnsi="Arial" w:cs="Arial"/>
          <w:sz w:val="20"/>
          <w:szCs w:val="20"/>
        </w:rPr>
        <w:t>, H. (2025). The STARD-AI reporting guideline for diagnostic accuracy studies using artificial intelligence. </w:t>
      </w:r>
      <w:r w:rsidRPr="00DB10F9">
        <w:rPr>
          <w:rFonts w:ascii="Arial" w:eastAsia="Arial" w:hAnsi="Arial" w:cs="Arial"/>
          <w:i/>
          <w:sz w:val="20"/>
          <w:szCs w:val="20"/>
        </w:rPr>
        <w:t>Nature Medicine</w:t>
      </w:r>
      <w:r w:rsidRPr="00DB10F9">
        <w:rPr>
          <w:rFonts w:ascii="Arial" w:eastAsia="Arial" w:hAnsi="Arial" w:cs="Arial"/>
          <w:sz w:val="20"/>
          <w:szCs w:val="20"/>
        </w:rPr>
        <w:t>, 1-7.</w:t>
      </w:r>
    </w:p>
    <w:p w14:paraId="0BC28039"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Subasri, V., Krishnan, A., Kore, A., Dhalla, A., Pandya, D., Wang, B., ... &amp; </w:t>
      </w:r>
      <w:proofErr w:type="spellStart"/>
      <w:r w:rsidRPr="00DB10F9">
        <w:rPr>
          <w:rFonts w:ascii="Arial" w:eastAsia="Arial" w:hAnsi="Arial" w:cs="Arial"/>
          <w:sz w:val="20"/>
          <w:szCs w:val="20"/>
        </w:rPr>
        <w:t>Dolatabadi</w:t>
      </w:r>
      <w:proofErr w:type="spellEnd"/>
      <w:r w:rsidRPr="00DB10F9">
        <w:rPr>
          <w:rFonts w:ascii="Arial" w:eastAsia="Arial" w:hAnsi="Arial" w:cs="Arial"/>
          <w:sz w:val="20"/>
          <w:szCs w:val="20"/>
        </w:rPr>
        <w:t>, E. (2025). Detecting and Remediating Harmful Data Shifts for the Responsible Deployment of Clinical AI Models. </w:t>
      </w:r>
      <w:r w:rsidRPr="00DB10F9">
        <w:rPr>
          <w:rFonts w:ascii="Arial" w:eastAsia="Arial" w:hAnsi="Arial" w:cs="Arial"/>
          <w:i/>
          <w:sz w:val="20"/>
          <w:szCs w:val="20"/>
        </w:rPr>
        <w:t>JAMA Network Open</w:t>
      </w:r>
      <w:r w:rsidRPr="00DB10F9">
        <w:rPr>
          <w:rFonts w:ascii="Arial" w:eastAsia="Arial" w:hAnsi="Arial" w:cs="Arial"/>
          <w:sz w:val="20"/>
          <w:szCs w:val="20"/>
        </w:rPr>
        <w:t>, </w:t>
      </w:r>
      <w:r w:rsidRPr="00DB10F9">
        <w:rPr>
          <w:rFonts w:ascii="Arial" w:eastAsia="Arial" w:hAnsi="Arial" w:cs="Arial"/>
          <w:i/>
          <w:sz w:val="20"/>
          <w:szCs w:val="20"/>
        </w:rPr>
        <w:t>8</w:t>
      </w:r>
      <w:r w:rsidRPr="00DB10F9">
        <w:rPr>
          <w:rFonts w:ascii="Arial" w:eastAsia="Arial" w:hAnsi="Arial" w:cs="Arial"/>
          <w:sz w:val="20"/>
          <w:szCs w:val="20"/>
        </w:rPr>
        <w:t>(6), e2513685-e2513685.</w:t>
      </w:r>
    </w:p>
    <w:p w14:paraId="3FBDC54D"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Suresh, H., &amp; Guttag, J. (2021, October). A framework for understanding sources of harm throughout the machine learning life cycle. In </w:t>
      </w:r>
      <w:r w:rsidRPr="00DB10F9">
        <w:rPr>
          <w:rFonts w:ascii="Arial" w:eastAsia="Arial" w:hAnsi="Arial" w:cs="Arial"/>
          <w:i/>
          <w:sz w:val="20"/>
          <w:szCs w:val="20"/>
        </w:rPr>
        <w:t>Proceedings of the 1st ACM Conference on Equity and Access in Algorithms, Mechanisms, and Optimization</w:t>
      </w:r>
      <w:r w:rsidRPr="00DB10F9">
        <w:rPr>
          <w:rFonts w:ascii="Arial" w:eastAsia="Arial" w:hAnsi="Arial" w:cs="Arial"/>
          <w:sz w:val="20"/>
          <w:szCs w:val="20"/>
        </w:rPr>
        <w:t> (pp. 1-9).</w:t>
      </w:r>
    </w:p>
    <w:p w14:paraId="6E46F675"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Thiruvengadam, N. R., </w:t>
      </w:r>
      <w:proofErr w:type="spellStart"/>
      <w:r w:rsidRPr="00DB10F9">
        <w:rPr>
          <w:rFonts w:ascii="Arial" w:eastAsia="Arial" w:hAnsi="Arial" w:cs="Arial"/>
          <w:sz w:val="20"/>
          <w:szCs w:val="20"/>
        </w:rPr>
        <w:t>Solaimani</w:t>
      </w:r>
      <w:proofErr w:type="spellEnd"/>
      <w:r w:rsidRPr="00DB10F9">
        <w:rPr>
          <w:rFonts w:ascii="Arial" w:eastAsia="Arial" w:hAnsi="Arial" w:cs="Arial"/>
          <w:sz w:val="20"/>
          <w:szCs w:val="20"/>
        </w:rPr>
        <w:t>, P., Shrestha, M., Buller, S., Carson, R., Reyes-Garcia, B., ... &amp; Serrao, S. (2024). The efficacy of real-time computer-aided detection of colonic neoplasia in community practice: a pragmatic randomized controlled trial. </w:t>
      </w:r>
      <w:r w:rsidRPr="00DB10F9">
        <w:rPr>
          <w:rFonts w:ascii="Arial" w:eastAsia="Arial" w:hAnsi="Arial" w:cs="Arial"/>
          <w:i/>
          <w:sz w:val="20"/>
          <w:szCs w:val="20"/>
        </w:rPr>
        <w:t>Clinical Gastroenterology and Hepatology</w:t>
      </w:r>
      <w:r w:rsidRPr="00DB10F9">
        <w:rPr>
          <w:rFonts w:ascii="Arial" w:eastAsia="Arial" w:hAnsi="Arial" w:cs="Arial"/>
          <w:sz w:val="20"/>
          <w:szCs w:val="20"/>
        </w:rPr>
        <w:t>, </w:t>
      </w:r>
      <w:r w:rsidRPr="00DB10F9">
        <w:rPr>
          <w:rFonts w:ascii="Arial" w:eastAsia="Arial" w:hAnsi="Arial" w:cs="Arial"/>
          <w:i/>
          <w:sz w:val="20"/>
          <w:szCs w:val="20"/>
        </w:rPr>
        <w:t>22</w:t>
      </w:r>
      <w:r w:rsidRPr="00DB10F9">
        <w:rPr>
          <w:rFonts w:ascii="Arial" w:eastAsia="Arial" w:hAnsi="Arial" w:cs="Arial"/>
          <w:sz w:val="20"/>
          <w:szCs w:val="20"/>
        </w:rPr>
        <w:t>(11), 2221-2230.</w:t>
      </w:r>
    </w:p>
    <w:p w14:paraId="3369DE64"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Thompson, Y. L. E., Fergus, J., Chung, J., Delfino, J. G., Chen, W., Levine, G. M., &amp; Samuelson, F. W. (2025). Impact of Artificial Intelligence Triage on Radiologist Report Turnaround Time: Real-World Time Savings and Insights </w:t>
      </w:r>
      <w:proofErr w:type="gramStart"/>
      <w:r w:rsidRPr="00DB10F9">
        <w:rPr>
          <w:rFonts w:ascii="Arial" w:eastAsia="Arial" w:hAnsi="Arial" w:cs="Arial"/>
          <w:sz w:val="20"/>
          <w:szCs w:val="20"/>
        </w:rPr>
        <w:t>From</w:t>
      </w:r>
      <w:proofErr w:type="gramEnd"/>
      <w:r w:rsidRPr="00DB10F9">
        <w:rPr>
          <w:rFonts w:ascii="Arial" w:eastAsia="Arial" w:hAnsi="Arial" w:cs="Arial"/>
          <w:sz w:val="20"/>
          <w:szCs w:val="20"/>
        </w:rPr>
        <w:t xml:space="preserve"> Model Predictions. </w:t>
      </w:r>
      <w:r w:rsidRPr="00DB10F9">
        <w:rPr>
          <w:rFonts w:ascii="Arial" w:eastAsia="Arial" w:hAnsi="Arial" w:cs="Arial"/>
          <w:i/>
          <w:sz w:val="20"/>
          <w:szCs w:val="20"/>
        </w:rPr>
        <w:t>Journal of the American College of Radiology</w:t>
      </w:r>
      <w:r w:rsidRPr="00DB10F9">
        <w:rPr>
          <w:rFonts w:ascii="Arial" w:eastAsia="Arial" w:hAnsi="Arial" w:cs="Arial"/>
          <w:sz w:val="20"/>
          <w:szCs w:val="20"/>
        </w:rPr>
        <w:t>.</w:t>
      </w:r>
    </w:p>
    <w:p w14:paraId="7F856DC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Van Dort, B. A., Zheng, W. Y., Sundar, V., &amp; </w:t>
      </w:r>
      <w:proofErr w:type="spellStart"/>
      <w:r w:rsidRPr="00DB10F9">
        <w:rPr>
          <w:rFonts w:ascii="Arial" w:eastAsia="Arial" w:hAnsi="Arial" w:cs="Arial"/>
          <w:sz w:val="20"/>
          <w:szCs w:val="20"/>
        </w:rPr>
        <w:t>Baysari</w:t>
      </w:r>
      <w:proofErr w:type="spellEnd"/>
      <w:r w:rsidRPr="00DB10F9">
        <w:rPr>
          <w:rFonts w:ascii="Arial" w:eastAsia="Arial" w:hAnsi="Arial" w:cs="Arial"/>
          <w:sz w:val="20"/>
          <w:szCs w:val="20"/>
        </w:rPr>
        <w:t>, M. T. (2021). Optimizing clinical decision support alerts in electronic medical records: a systematic review of reported strategies adopted by hospitals. </w:t>
      </w:r>
      <w:r w:rsidRPr="00DB10F9">
        <w:rPr>
          <w:rFonts w:ascii="Arial" w:eastAsia="Arial" w:hAnsi="Arial" w:cs="Arial"/>
          <w:i/>
          <w:sz w:val="20"/>
          <w:szCs w:val="20"/>
        </w:rPr>
        <w:t>Journal of the American Medical Informatics Association</w:t>
      </w:r>
      <w:r w:rsidRPr="00DB10F9">
        <w:rPr>
          <w:rFonts w:ascii="Arial" w:eastAsia="Arial" w:hAnsi="Arial" w:cs="Arial"/>
          <w:sz w:val="20"/>
          <w:szCs w:val="20"/>
        </w:rPr>
        <w:t>, </w:t>
      </w:r>
      <w:r w:rsidRPr="00DB10F9">
        <w:rPr>
          <w:rFonts w:ascii="Arial" w:eastAsia="Arial" w:hAnsi="Arial" w:cs="Arial"/>
          <w:i/>
          <w:sz w:val="20"/>
          <w:szCs w:val="20"/>
        </w:rPr>
        <w:t>28</w:t>
      </w:r>
      <w:r w:rsidRPr="00DB10F9">
        <w:rPr>
          <w:rFonts w:ascii="Arial" w:eastAsia="Arial" w:hAnsi="Arial" w:cs="Arial"/>
          <w:sz w:val="20"/>
          <w:szCs w:val="20"/>
        </w:rPr>
        <w:t>(1), 177-183.</w:t>
      </w:r>
    </w:p>
    <w:p w14:paraId="3CD16820"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lastRenderedPageBreak/>
        <w:t xml:space="preserve">Vasey, B., Nagendran, M., Campbell, B., Clifton, D. A., Collins, G. S., </w:t>
      </w:r>
      <w:proofErr w:type="spellStart"/>
      <w:r w:rsidRPr="00DB10F9">
        <w:rPr>
          <w:rFonts w:ascii="Arial" w:eastAsia="Arial" w:hAnsi="Arial" w:cs="Arial"/>
          <w:sz w:val="20"/>
          <w:szCs w:val="20"/>
        </w:rPr>
        <w:t>Denaxas</w:t>
      </w:r>
      <w:proofErr w:type="spellEnd"/>
      <w:r w:rsidRPr="00DB10F9">
        <w:rPr>
          <w:rFonts w:ascii="Arial" w:eastAsia="Arial" w:hAnsi="Arial" w:cs="Arial"/>
          <w:sz w:val="20"/>
          <w:szCs w:val="20"/>
        </w:rPr>
        <w:t>, S., ... &amp; McCulloch, P. (2022). Reporting guideline for the early stage clinical evaluation of decision support systems driven by artificial intelligence: DECIDE-AI. </w:t>
      </w:r>
      <w:proofErr w:type="spellStart"/>
      <w:r w:rsidRPr="00DB10F9">
        <w:rPr>
          <w:rFonts w:ascii="Arial" w:eastAsia="Arial" w:hAnsi="Arial" w:cs="Arial"/>
          <w:i/>
          <w:sz w:val="20"/>
          <w:szCs w:val="20"/>
        </w:rPr>
        <w:t>bmj</w:t>
      </w:r>
      <w:proofErr w:type="spellEnd"/>
      <w:r w:rsidRPr="00DB10F9">
        <w:rPr>
          <w:rFonts w:ascii="Arial" w:eastAsia="Arial" w:hAnsi="Arial" w:cs="Arial"/>
          <w:sz w:val="20"/>
          <w:szCs w:val="20"/>
        </w:rPr>
        <w:t>, </w:t>
      </w:r>
      <w:r w:rsidRPr="00DB10F9">
        <w:rPr>
          <w:rFonts w:ascii="Arial" w:eastAsia="Arial" w:hAnsi="Arial" w:cs="Arial"/>
          <w:i/>
          <w:sz w:val="20"/>
          <w:szCs w:val="20"/>
        </w:rPr>
        <w:t>377</w:t>
      </w:r>
      <w:r w:rsidRPr="00DB10F9">
        <w:rPr>
          <w:rFonts w:ascii="Arial" w:eastAsia="Arial" w:hAnsi="Arial" w:cs="Arial"/>
          <w:sz w:val="20"/>
          <w:szCs w:val="20"/>
        </w:rPr>
        <w:t>.</w:t>
      </w:r>
    </w:p>
    <w:p w14:paraId="48945EC7"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Watkins, K., </w:t>
      </w:r>
      <w:proofErr w:type="spellStart"/>
      <w:r w:rsidRPr="00DB10F9">
        <w:rPr>
          <w:rFonts w:ascii="Arial" w:eastAsia="Arial" w:hAnsi="Arial" w:cs="Arial"/>
          <w:sz w:val="20"/>
          <w:szCs w:val="20"/>
        </w:rPr>
        <w:t>Ladabaum</w:t>
      </w:r>
      <w:proofErr w:type="spellEnd"/>
      <w:r w:rsidRPr="00DB10F9">
        <w:rPr>
          <w:rFonts w:ascii="Arial" w:eastAsia="Arial" w:hAnsi="Arial" w:cs="Arial"/>
          <w:sz w:val="20"/>
          <w:szCs w:val="20"/>
        </w:rPr>
        <w:t xml:space="preserve">, U., Olsen, E., </w:t>
      </w:r>
      <w:proofErr w:type="spellStart"/>
      <w:r w:rsidRPr="00DB10F9">
        <w:rPr>
          <w:rFonts w:ascii="Arial" w:eastAsia="Arial" w:hAnsi="Arial" w:cs="Arial"/>
          <w:sz w:val="20"/>
          <w:szCs w:val="20"/>
        </w:rPr>
        <w:t>Hoogerbrug</w:t>
      </w:r>
      <w:proofErr w:type="spellEnd"/>
      <w:r w:rsidRPr="00DB10F9">
        <w:rPr>
          <w:rFonts w:ascii="Arial" w:eastAsia="Arial" w:hAnsi="Arial" w:cs="Arial"/>
          <w:sz w:val="20"/>
          <w:szCs w:val="20"/>
        </w:rPr>
        <w:t xml:space="preserve">, J., </w:t>
      </w:r>
      <w:proofErr w:type="spellStart"/>
      <w:r w:rsidRPr="00DB10F9">
        <w:rPr>
          <w:rFonts w:ascii="Arial" w:eastAsia="Arial" w:hAnsi="Arial" w:cs="Arial"/>
          <w:sz w:val="20"/>
          <w:szCs w:val="20"/>
        </w:rPr>
        <w:t>Mannalithara</w:t>
      </w:r>
      <w:proofErr w:type="spellEnd"/>
      <w:r w:rsidRPr="00DB10F9">
        <w:rPr>
          <w:rFonts w:ascii="Arial" w:eastAsia="Arial" w:hAnsi="Arial" w:cs="Arial"/>
          <w:sz w:val="20"/>
          <w:szCs w:val="20"/>
        </w:rPr>
        <w:t>, A., Weng, Y., ... &amp; Singer, S. (2024). Exploring human–artificial intelligence interactions in a negative pragmatic trial of computer-aided polyp detection. </w:t>
      </w:r>
      <w:proofErr w:type="spellStart"/>
      <w:r w:rsidRPr="00DB10F9">
        <w:rPr>
          <w:rFonts w:ascii="Arial" w:eastAsia="Arial" w:hAnsi="Arial" w:cs="Arial"/>
          <w:i/>
          <w:sz w:val="20"/>
          <w:szCs w:val="20"/>
        </w:rPr>
        <w:t>iGIE</w:t>
      </w:r>
      <w:proofErr w:type="spellEnd"/>
      <w:r w:rsidRPr="00DB10F9">
        <w:rPr>
          <w:rFonts w:ascii="Arial" w:eastAsia="Arial" w:hAnsi="Arial" w:cs="Arial"/>
          <w:sz w:val="20"/>
          <w:szCs w:val="20"/>
        </w:rPr>
        <w:t>, </w:t>
      </w:r>
      <w:r w:rsidRPr="00DB10F9">
        <w:rPr>
          <w:rFonts w:ascii="Arial" w:eastAsia="Arial" w:hAnsi="Arial" w:cs="Arial"/>
          <w:i/>
          <w:sz w:val="20"/>
          <w:szCs w:val="20"/>
        </w:rPr>
        <w:t>3</w:t>
      </w:r>
      <w:r w:rsidRPr="00DB10F9">
        <w:rPr>
          <w:rFonts w:ascii="Arial" w:eastAsia="Arial" w:hAnsi="Arial" w:cs="Arial"/>
          <w:sz w:val="20"/>
          <w:szCs w:val="20"/>
        </w:rPr>
        <w:t>(2), 274-285.</w:t>
      </w:r>
    </w:p>
    <w:p w14:paraId="7F04D93F" w14:textId="77777777" w:rsidR="00230FB4" w:rsidRPr="00DB10F9" w:rsidRDefault="0040531C">
      <w:pPr>
        <w:rPr>
          <w:rFonts w:ascii="Arial" w:eastAsia="Arial" w:hAnsi="Arial" w:cs="Arial"/>
          <w:sz w:val="20"/>
          <w:szCs w:val="20"/>
        </w:rPr>
      </w:pPr>
      <w:r w:rsidRPr="00DB10F9">
        <w:rPr>
          <w:rFonts w:ascii="Arial" w:eastAsia="Arial" w:hAnsi="Arial" w:cs="Arial"/>
          <w:sz w:val="20"/>
          <w:szCs w:val="20"/>
          <w:lang w:val="de-DE"/>
        </w:rPr>
        <w:t xml:space="preserve">Wei, M. T., Shankar, U., Parvin, R., Abbas, S. H., Chaudhary, S., Friedlander, Y., &amp; Friedland, S. (2023). </w:t>
      </w:r>
      <w:r w:rsidRPr="00DB10F9">
        <w:rPr>
          <w:rFonts w:ascii="Arial" w:eastAsia="Arial" w:hAnsi="Arial" w:cs="Arial"/>
          <w:sz w:val="20"/>
          <w:szCs w:val="20"/>
        </w:rPr>
        <w:t>Evaluation of computer-aided detection during colonoscopy in the community (AI-SEE): a multicenter randomized clinical trial. </w:t>
      </w:r>
      <w:r w:rsidRPr="00DB10F9">
        <w:rPr>
          <w:rFonts w:ascii="Arial" w:eastAsia="Arial" w:hAnsi="Arial" w:cs="Arial"/>
          <w:i/>
          <w:sz w:val="20"/>
          <w:szCs w:val="20"/>
        </w:rPr>
        <w:t>Official journal of the American College of Gastroenterology| ACG</w:t>
      </w:r>
      <w:r w:rsidRPr="00DB10F9">
        <w:rPr>
          <w:rFonts w:ascii="Arial" w:eastAsia="Arial" w:hAnsi="Arial" w:cs="Arial"/>
          <w:sz w:val="20"/>
          <w:szCs w:val="20"/>
        </w:rPr>
        <w:t>, </w:t>
      </w:r>
      <w:r w:rsidRPr="00DB10F9">
        <w:rPr>
          <w:rFonts w:ascii="Arial" w:eastAsia="Arial" w:hAnsi="Arial" w:cs="Arial"/>
          <w:i/>
          <w:sz w:val="20"/>
          <w:szCs w:val="20"/>
        </w:rPr>
        <w:t>118</w:t>
      </w:r>
      <w:r w:rsidRPr="00DB10F9">
        <w:rPr>
          <w:rFonts w:ascii="Arial" w:eastAsia="Arial" w:hAnsi="Arial" w:cs="Arial"/>
          <w:sz w:val="20"/>
          <w:szCs w:val="20"/>
        </w:rPr>
        <w:t>(10), 1841-1847.</w:t>
      </w:r>
    </w:p>
    <w:p w14:paraId="780F47BC"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Wiens, J., Saria, S., Sendak, M., Ghassemi, M., Liu, V. X., Doshi-Velez, F., ... &amp; Goldenberg, A. (2019). Do no harm: a roadmap for responsible machine learning for health care. </w:t>
      </w:r>
      <w:r w:rsidRPr="00DB10F9">
        <w:rPr>
          <w:rFonts w:ascii="Arial" w:eastAsia="Arial" w:hAnsi="Arial" w:cs="Arial"/>
          <w:i/>
          <w:sz w:val="20"/>
          <w:szCs w:val="20"/>
        </w:rPr>
        <w:t>Nature medicine</w:t>
      </w:r>
      <w:r w:rsidRPr="00DB10F9">
        <w:rPr>
          <w:rFonts w:ascii="Arial" w:eastAsia="Arial" w:hAnsi="Arial" w:cs="Arial"/>
          <w:sz w:val="20"/>
          <w:szCs w:val="20"/>
        </w:rPr>
        <w:t>, </w:t>
      </w:r>
      <w:r w:rsidRPr="00DB10F9">
        <w:rPr>
          <w:rFonts w:ascii="Arial" w:eastAsia="Arial" w:hAnsi="Arial" w:cs="Arial"/>
          <w:i/>
          <w:sz w:val="20"/>
          <w:szCs w:val="20"/>
        </w:rPr>
        <w:t>25</w:t>
      </w:r>
      <w:r w:rsidRPr="00DB10F9">
        <w:rPr>
          <w:rFonts w:ascii="Arial" w:eastAsia="Arial" w:hAnsi="Arial" w:cs="Arial"/>
          <w:sz w:val="20"/>
          <w:szCs w:val="20"/>
        </w:rPr>
        <w:t>(9), 1337-1340.</w:t>
      </w:r>
    </w:p>
    <w:p w14:paraId="7D3FEF41"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Windecker, D., Baj, G., Shiri, I., Kazaj, P. M., </w:t>
      </w:r>
      <w:proofErr w:type="spellStart"/>
      <w:r w:rsidRPr="00DB10F9">
        <w:rPr>
          <w:rFonts w:ascii="Arial" w:eastAsia="Arial" w:hAnsi="Arial" w:cs="Arial"/>
          <w:sz w:val="20"/>
          <w:szCs w:val="20"/>
        </w:rPr>
        <w:t>Kaesmacher</w:t>
      </w:r>
      <w:proofErr w:type="spellEnd"/>
      <w:r w:rsidRPr="00DB10F9">
        <w:rPr>
          <w:rFonts w:ascii="Arial" w:eastAsia="Arial" w:hAnsi="Arial" w:cs="Arial"/>
          <w:sz w:val="20"/>
          <w:szCs w:val="20"/>
        </w:rPr>
        <w:t xml:space="preserve">, J., Gräni, C., &amp; </w:t>
      </w:r>
      <w:proofErr w:type="spellStart"/>
      <w:r w:rsidRPr="00DB10F9">
        <w:rPr>
          <w:rFonts w:ascii="Arial" w:eastAsia="Arial" w:hAnsi="Arial" w:cs="Arial"/>
          <w:sz w:val="20"/>
          <w:szCs w:val="20"/>
        </w:rPr>
        <w:t>Siontis</w:t>
      </w:r>
      <w:proofErr w:type="spellEnd"/>
      <w:r w:rsidRPr="00DB10F9">
        <w:rPr>
          <w:rFonts w:ascii="Arial" w:eastAsia="Arial" w:hAnsi="Arial" w:cs="Arial"/>
          <w:sz w:val="20"/>
          <w:szCs w:val="20"/>
        </w:rPr>
        <w:t>, G. C. (2025). Generalizability of FDA-approved AI-enabled medical devices for clinical use. </w:t>
      </w:r>
      <w:r w:rsidRPr="00DB10F9">
        <w:rPr>
          <w:rFonts w:ascii="Arial" w:eastAsia="Arial" w:hAnsi="Arial" w:cs="Arial"/>
          <w:i/>
          <w:sz w:val="20"/>
          <w:szCs w:val="20"/>
        </w:rPr>
        <w:t>JAMA Network Open</w:t>
      </w:r>
      <w:r w:rsidRPr="00DB10F9">
        <w:rPr>
          <w:rFonts w:ascii="Arial" w:eastAsia="Arial" w:hAnsi="Arial" w:cs="Arial"/>
          <w:sz w:val="20"/>
          <w:szCs w:val="20"/>
        </w:rPr>
        <w:t>, </w:t>
      </w:r>
      <w:r w:rsidRPr="00DB10F9">
        <w:rPr>
          <w:rFonts w:ascii="Arial" w:eastAsia="Arial" w:hAnsi="Arial" w:cs="Arial"/>
          <w:i/>
          <w:sz w:val="20"/>
          <w:szCs w:val="20"/>
        </w:rPr>
        <w:t>8</w:t>
      </w:r>
      <w:r w:rsidRPr="00DB10F9">
        <w:rPr>
          <w:rFonts w:ascii="Arial" w:eastAsia="Arial" w:hAnsi="Arial" w:cs="Arial"/>
          <w:sz w:val="20"/>
          <w:szCs w:val="20"/>
        </w:rPr>
        <w:t>(4), e258052-e258052.</w:t>
      </w:r>
    </w:p>
    <w:p w14:paraId="18CA897A" w14:textId="77777777" w:rsidR="00230FB4" w:rsidRPr="00DB10F9" w:rsidRDefault="0040531C">
      <w:pPr>
        <w:rPr>
          <w:rFonts w:ascii="Arial" w:eastAsia="Arial" w:hAnsi="Arial" w:cs="Arial"/>
          <w:sz w:val="20"/>
          <w:szCs w:val="20"/>
        </w:rPr>
      </w:pPr>
      <w:r w:rsidRPr="00DB10F9">
        <w:rPr>
          <w:rFonts w:ascii="Arial" w:eastAsia="Arial" w:hAnsi="Arial" w:cs="Arial"/>
          <w:sz w:val="20"/>
          <w:szCs w:val="20"/>
        </w:rPr>
        <w:t xml:space="preserve">Wong, A., Otles, E., Donnelly, J. P., Krumm, A., McCullough, J., </w:t>
      </w:r>
      <w:proofErr w:type="spellStart"/>
      <w:r w:rsidRPr="00DB10F9">
        <w:rPr>
          <w:rFonts w:ascii="Arial" w:eastAsia="Arial" w:hAnsi="Arial" w:cs="Arial"/>
          <w:sz w:val="20"/>
          <w:szCs w:val="20"/>
        </w:rPr>
        <w:t>DeTroyer</w:t>
      </w:r>
      <w:proofErr w:type="spellEnd"/>
      <w:r w:rsidRPr="00DB10F9">
        <w:rPr>
          <w:rFonts w:ascii="Arial" w:eastAsia="Arial" w:hAnsi="Arial" w:cs="Arial"/>
          <w:sz w:val="20"/>
          <w:szCs w:val="20"/>
        </w:rPr>
        <w:t>-Cooley, O., ... &amp; Singh, K. (2021). External validation of a widely implemented proprietary sepsis prediction model in hospitalized patients. </w:t>
      </w:r>
      <w:r w:rsidRPr="00DB10F9">
        <w:rPr>
          <w:rFonts w:ascii="Arial" w:eastAsia="Arial" w:hAnsi="Arial" w:cs="Arial"/>
          <w:i/>
          <w:sz w:val="20"/>
          <w:szCs w:val="20"/>
        </w:rPr>
        <w:t>JAMA internal medicine</w:t>
      </w:r>
      <w:r w:rsidRPr="00DB10F9">
        <w:rPr>
          <w:rFonts w:ascii="Arial" w:eastAsia="Arial" w:hAnsi="Arial" w:cs="Arial"/>
          <w:sz w:val="20"/>
          <w:szCs w:val="20"/>
        </w:rPr>
        <w:t>, </w:t>
      </w:r>
      <w:r w:rsidRPr="00DB10F9">
        <w:rPr>
          <w:rFonts w:ascii="Arial" w:eastAsia="Arial" w:hAnsi="Arial" w:cs="Arial"/>
          <w:i/>
          <w:sz w:val="20"/>
          <w:szCs w:val="20"/>
        </w:rPr>
        <w:t>181</w:t>
      </w:r>
      <w:r w:rsidRPr="00DB10F9">
        <w:rPr>
          <w:rFonts w:ascii="Arial" w:eastAsia="Arial" w:hAnsi="Arial" w:cs="Arial"/>
          <w:sz w:val="20"/>
          <w:szCs w:val="20"/>
        </w:rPr>
        <w:t>(8), 1065-1070.</w:t>
      </w:r>
    </w:p>
    <w:p w14:paraId="2D08C059" w14:textId="77777777" w:rsidR="00230FB4" w:rsidRPr="00DB10F9" w:rsidRDefault="00230FB4">
      <w:pPr>
        <w:rPr>
          <w:rFonts w:ascii="Arial" w:eastAsia="Arial" w:hAnsi="Arial" w:cs="Arial"/>
          <w:sz w:val="20"/>
          <w:szCs w:val="20"/>
        </w:rPr>
      </w:pPr>
    </w:p>
    <w:p w14:paraId="43C7E48F" w14:textId="77777777" w:rsidR="00230FB4" w:rsidRPr="00DB10F9" w:rsidRDefault="00230FB4">
      <w:pPr>
        <w:rPr>
          <w:rFonts w:ascii="Arial" w:eastAsia="Arial" w:hAnsi="Arial" w:cs="Arial"/>
          <w:sz w:val="20"/>
          <w:szCs w:val="20"/>
        </w:rPr>
      </w:pPr>
    </w:p>
    <w:p w14:paraId="66980DB3" w14:textId="77777777" w:rsidR="00230FB4" w:rsidRPr="00DB10F9" w:rsidRDefault="00230FB4">
      <w:pPr>
        <w:rPr>
          <w:rFonts w:ascii="Arial" w:eastAsia="Arial" w:hAnsi="Arial" w:cs="Arial"/>
          <w:sz w:val="20"/>
          <w:szCs w:val="20"/>
        </w:rPr>
      </w:pPr>
    </w:p>
    <w:p w14:paraId="72527E5D" w14:textId="77777777" w:rsidR="00230FB4" w:rsidRPr="00DB10F9" w:rsidRDefault="00230FB4">
      <w:pPr>
        <w:rPr>
          <w:rFonts w:ascii="Arial" w:eastAsia="Arial" w:hAnsi="Arial" w:cs="Arial"/>
          <w:sz w:val="20"/>
          <w:szCs w:val="20"/>
        </w:rPr>
      </w:pPr>
    </w:p>
    <w:p w14:paraId="61C6BD07" w14:textId="77777777" w:rsidR="00230FB4" w:rsidRPr="00DB10F9" w:rsidRDefault="00230FB4">
      <w:pPr>
        <w:jc w:val="both"/>
        <w:rPr>
          <w:rFonts w:ascii="Arial" w:eastAsia="Arial" w:hAnsi="Arial" w:cs="Arial"/>
          <w:sz w:val="20"/>
          <w:szCs w:val="20"/>
        </w:rPr>
      </w:pPr>
    </w:p>
    <w:p w14:paraId="204EB081" w14:textId="77777777" w:rsidR="00230FB4" w:rsidRPr="00DB10F9" w:rsidRDefault="00230FB4">
      <w:pPr>
        <w:jc w:val="both"/>
        <w:rPr>
          <w:rFonts w:ascii="Arial" w:eastAsia="Arial" w:hAnsi="Arial" w:cs="Arial"/>
          <w:sz w:val="20"/>
          <w:szCs w:val="20"/>
        </w:rPr>
      </w:pPr>
    </w:p>
    <w:p w14:paraId="05D5FB1E" w14:textId="77777777" w:rsidR="00230FB4" w:rsidRPr="00DB10F9" w:rsidRDefault="00230FB4">
      <w:pPr>
        <w:jc w:val="both"/>
        <w:rPr>
          <w:rFonts w:ascii="Arial" w:eastAsia="Arial" w:hAnsi="Arial" w:cs="Arial"/>
          <w:sz w:val="20"/>
          <w:szCs w:val="20"/>
        </w:rPr>
      </w:pPr>
    </w:p>
    <w:sectPr w:rsidR="00230FB4" w:rsidRPr="00DB10F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9972C" w14:textId="77777777" w:rsidR="00DF0498" w:rsidRDefault="00DF0498" w:rsidP="004C0F85">
      <w:pPr>
        <w:spacing w:after="0" w:line="240" w:lineRule="auto"/>
      </w:pPr>
      <w:r>
        <w:separator/>
      </w:r>
    </w:p>
  </w:endnote>
  <w:endnote w:type="continuationSeparator" w:id="0">
    <w:p w14:paraId="0E954E8B" w14:textId="77777777" w:rsidR="00DF0498" w:rsidRDefault="00DF0498" w:rsidP="004C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5C00" w14:textId="77777777" w:rsidR="004C0F85" w:rsidRDefault="004C0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1273" w14:textId="77777777" w:rsidR="004C0F85" w:rsidRDefault="004C0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AD2C" w14:textId="77777777" w:rsidR="004C0F85" w:rsidRDefault="004C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689CD" w14:textId="77777777" w:rsidR="00DF0498" w:rsidRDefault="00DF0498" w:rsidP="004C0F85">
      <w:pPr>
        <w:spacing w:after="0" w:line="240" w:lineRule="auto"/>
      </w:pPr>
      <w:r>
        <w:separator/>
      </w:r>
    </w:p>
  </w:footnote>
  <w:footnote w:type="continuationSeparator" w:id="0">
    <w:p w14:paraId="5FC3A809" w14:textId="77777777" w:rsidR="00DF0498" w:rsidRDefault="00DF0498" w:rsidP="004C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EC0F" w14:textId="6C59BF6F" w:rsidR="004C0F85" w:rsidRDefault="00DF0498">
    <w:pPr>
      <w:pStyle w:val="Header"/>
    </w:pPr>
    <w:r>
      <w:rPr>
        <w:noProof/>
      </w:rPr>
      <w:pict w14:anchorId="29CE5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91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ED32" w14:textId="78E79202" w:rsidR="004C0F85" w:rsidRDefault="00DF0498">
    <w:pPr>
      <w:pStyle w:val="Header"/>
    </w:pPr>
    <w:r>
      <w:rPr>
        <w:noProof/>
      </w:rPr>
      <w:pict w14:anchorId="1EC14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91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83BB1" w14:textId="5C66AE85" w:rsidR="004C0F85" w:rsidRDefault="00DF0498">
    <w:pPr>
      <w:pStyle w:val="Header"/>
    </w:pPr>
    <w:r>
      <w:rPr>
        <w:noProof/>
      </w:rPr>
      <w:pict w14:anchorId="0CF63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91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2079"/>
    <w:multiLevelType w:val="multilevel"/>
    <w:tmpl w:val="F000CEA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205F69"/>
    <w:multiLevelType w:val="multilevel"/>
    <w:tmpl w:val="07302C9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D2667E"/>
    <w:multiLevelType w:val="multilevel"/>
    <w:tmpl w:val="7B3291B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B4"/>
    <w:rsid w:val="000A20EF"/>
    <w:rsid w:val="00177081"/>
    <w:rsid w:val="00192D56"/>
    <w:rsid w:val="001A3E45"/>
    <w:rsid w:val="001B3991"/>
    <w:rsid w:val="001C492E"/>
    <w:rsid w:val="00207CA4"/>
    <w:rsid w:val="00230FB4"/>
    <w:rsid w:val="002D7B35"/>
    <w:rsid w:val="0040531C"/>
    <w:rsid w:val="004878CD"/>
    <w:rsid w:val="004C0F85"/>
    <w:rsid w:val="004E5C4C"/>
    <w:rsid w:val="005569C6"/>
    <w:rsid w:val="005A09A4"/>
    <w:rsid w:val="005B6E96"/>
    <w:rsid w:val="005E5103"/>
    <w:rsid w:val="006B550B"/>
    <w:rsid w:val="007C4E29"/>
    <w:rsid w:val="007E764D"/>
    <w:rsid w:val="00851342"/>
    <w:rsid w:val="008C0F30"/>
    <w:rsid w:val="00927779"/>
    <w:rsid w:val="00966E16"/>
    <w:rsid w:val="009762EF"/>
    <w:rsid w:val="00976E25"/>
    <w:rsid w:val="00985F0B"/>
    <w:rsid w:val="00A54873"/>
    <w:rsid w:val="00AB65DD"/>
    <w:rsid w:val="00B3120E"/>
    <w:rsid w:val="00B4780A"/>
    <w:rsid w:val="00C13A9F"/>
    <w:rsid w:val="00C5204E"/>
    <w:rsid w:val="00C66F98"/>
    <w:rsid w:val="00C84131"/>
    <w:rsid w:val="00CB1150"/>
    <w:rsid w:val="00D80FC9"/>
    <w:rsid w:val="00DB10F9"/>
    <w:rsid w:val="00DF0498"/>
    <w:rsid w:val="00E12DE9"/>
    <w:rsid w:val="00E31ECA"/>
    <w:rsid w:val="00E53F14"/>
    <w:rsid w:val="00E953C8"/>
    <w:rsid w:val="00EF7E1E"/>
    <w:rsid w:val="00F510C8"/>
    <w:rsid w:val="00F9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93EF1E"/>
  <w15:docId w15:val="{355210AF-C21F-4530-AFAF-E0913615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25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725F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F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F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F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F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F60"/>
    <w:rPr>
      <w:rFonts w:eastAsiaTheme="majorEastAsia" w:cstheme="majorBidi"/>
      <w:color w:val="272727" w:themeColor="text1" w:themeTint="D8"/>
    </w:rPr>
  </w:style>
  <w:style w:type="character" w:customStyle="1" w:styleId="TitleChar">
    <w:name w:val="Title Char"/>
    <w:basedOn w:val="DefaultParagraphFont"/>
    <w:link w:val="Title"/>
    <w:uiPriority w:val="10"/>
    <w:rsid w:val="00725F6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25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F60"/>
    <w:pPr>
      <w:spacing w:before="160"/>
      <w:jc w:val="center"/>
    </w:pPr>
    <w:rPr>
      <w:i/>
      <w:iCs/>
      <w:color w:val="404040" w:themeColor="text1" w:themeTint="BF"/>
    </w:rPr>
  </w:style>
  <w:style w:type="character" w:customStyle="1" w:styleId="QuoteChar">
    <w:name w:val="Quote Char"/>
    <w:basedOn w:val="DefaultParagraphFont"/>
    <w:link w:val="Quote"/>
    <w:uiPriority w:val="29"/>
    <w:rsid w:val="00725F60"/>
    <w:rPr>
      <w:i/>
      <w:iCs/>
      <w:color w:val="404040" w:themeColor="text1" w:themeTint="BF"/>
    </w:rPr>
  </w:style>
  <w:style w:type="paragraph" w:styleId="ListParagraph">
    <w:name w:val="List Paragraph"/>
    <w:basedOn w:val="Normal"/>
    <w:uiPriority w:val="34"/>
    <w:qFormat/>
    <w:rsid w:val="00725F60"/>
    <w:pPr>
      <w:ind w:left="720"/>
      <w:contextualSpacing/>
    </w:pPr>
  </w:style>
  <w:style w:type="character" w:styleId="IntenseEmphasis">
    <w:name w:val="Intense Emphasis"/>
    <w:basedOn w:val="DefaultParagraphFont"/>
    <w:uiPriority w:val="21"/>
    <w:qFormat/>
    <w:rsid w:val="00725F60"/>
    <w:rPr>
      <w:i/>
      <w:iCs/>
      <w:color w:val="2F5496" w:themeColor="accent1" w:themeShade="BF"/>
    </w:rPr>
  </w:style>
  <w:style w:type="paragraph" w:styleId="IntenseQuote">
    <w:name w:val="Intense Quote"/>
    <w:basedOn w:val="Normal"/>
    <w:next w:val="Normal"/>
    <w:link w:val="IntenseQuoteChar"/>
    <w:uiPriority w:val="30"/>
    <w:qFormat/>
    <w:rsid w:val="00725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F60"/>
    <w:rPr>
      <w:i/>
      <w:iCs/>
      <w:color w:val="2F5496" w:themeColor="accent1" w:themeShade="BF"/>
    </w:rPr>
  </w:style>
  <w:style w:type="character" w:styleId="IntenseReference">
    <w:name w:val="Intense Reference"/>
    <w:basedOn w:val="DefaultParagraphFont"/>
    <w:uiPriority w:val="32"/>
    <w:qFormat/>
    <w:rsid w:val="00725F60"/>
    <w:rPr>
      <w:b/>
      <w:bCs/>
      <w:smallCaps/>
      <w:color w:val="2F5496" w:themeColor="accent1" w:themeShade="BF"/>
      <w:spacing w:val="5"/>
    </w:rPr>
  </w:style>
  <w:style w:type="character" w:styleId="Hyperlink">
    <w:name w:val="Hyperlink"/>
    <w:basedOn w:val="DefaultParagraphFont"/>
    <w:uiPriority w:val="99"/>
    <w:unhideWhenUsed/>
    <w:rsid w:val="00725F60"/>
    <w:rPr>
      <w:color w:val="0563C1" w:themeColor="hyperlink"/>
      <w:u w:val="single"/>
    </w:rPr>
  </w:style>
  <w:style w:type="character" w:styleId="UnresolvedMention">
    <w:name w:val="Unresolved Mention"/>
    <w:basedOn w:val="DefaultParagraphFont"/>
    <w:uiPriority w:val="99"/>
    <w:semiHidden/>
    <w:unhideWhenUsed/>
    <w:rsid w:val="00725F60"/>
    <w:rPr>
      <w:color w:val="605E5C"/>
      <w:shd w:val="clear" w:color="auto" w:fill="E1DFDD"/>
    </w:rPr>
  </w:style>
  <w:style w:type="table" w:styleId="TableGrid">
    <w:name w:val="Table Grid"/>
    <w:basedOn w:val="TableNormal"/>
    <w:uiPriority w:val="59"/>
    <w:rsid w:val="004E2919"/>
    <w:pPr>
      <w:spacing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rPr>
      <w:sz w:val="22"/>
      <w:szCs w:val="22"/>
    </w:rPr>
    <w:tblPr>
      <w:tblStyleRowBandSize w:val="1"/>
      <w:tblStyleColBandSize w:val="1"/>
    </w:tblPr>
  </w:style>
  <w:style w:type="table" w:customStyle="1" w:styleId="a0">
    <w:basedOn w:val="TableNormal"/>
    <w:pPr>
      <w:spacing w:after="0" w:line="240" w:lineRule="auto"/>
    </w:pPr>
    <w:rPr>
      <w:sz w:val="22"/>
      <w:szCs w:val="22"/>
    </w:rPr>
    <w:tblPr>
      <w:tblStyleRowBandSize w:val="1"/>
      <w:tblStyleColBandSize w:val="1"/>
    </w:tblPr>
  </w:style>
  <w:style w:type="paragraph" w:styleId="Header">
    <w:name w:val="header"/>
    <w:basedOn w:val="Normal"/>
    <w:link w:val="HeaderChar"/>
    <w:uiPriority w:val="99"/>
    <w:unhideWhenUsed/>
    <w:rsid w:val="004C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F85"/>
  </w:style>
  <w:style w:type="paragraph" w:styleId="Footer">
    <w:name w:val="footer"/>
    <w:basedOn w:val="Normal"/>
    <w:link w:val="FooterChar"/>
    <w:uiPriority w:val="99"/>
    <w:unhideWhenUsed/>
    <w:rsid w:val="004C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15458">
      <w:bodyDiv w:val="1"/>
      <w:marLeft w:val="0"/>
      <w:marRight w:val="0"/>
      <w:marTop w:val="0"/>
      <w:marBottom w:val="0"/>
      <w:divBdr>
        <w:top w:val="none" w:sz="0" w:space="0" w:color="auto"/>
        <w:left w:val="none" w:sz="0" w:space="0" w:color="auto"/>
        <w:bottom w:val="none" w:sz="0" w:space="0" w:color="auto"/>
        <w:right w:val="none" w:sz="0" w:space="0" w:color="auto"/>
      </w:divBdr>
    </w:div>
    <w:div w:id="578365402">
      <w:bodyDiv w:val="1"/>
      <w:marLeft w:val="0"/>
      <w:marRight w:val="0"/>
      <w:marTop w:val="0"/>
      <w:marBottom w:val="0"/>
      <w:divBdr>
        <w:top w:val="none" w:sz="0" w:space="0" w:color="auto"/>
        <w:left w:val="none" w:sz="0" w:space="0" w:color="auto"/>
        <w:bottom w:val="none" w:sz="0" w:space="0" w:color="auto"/>
        <w:right w:val="none" w:sz="0" w:space="0" w:color="auto"/>
      </w:divBdr>
    </w:div>
    <w:div w:id="591084635">
      <w:bodyDiv w:val="1"/>
      <w:marLeft w:val="0"/>
      <w:marRight w:val="0"/>
      <w:marTop w:val="0"/>
      <w:marBottom w:val="0"/>
      <w:divBdr>
        <w:top w:val="none" w:sz="0" w:space="0" w:color="auto"/>
        <w:left w:val="none" w:sz="0" w:space="0" w:color="auto"/>
        <w:bottom w:val="none" w:sz="0" w:space="0" w:color="auto"/>
        <w:right w:val="none" w:sz="0" w:space="0" w:color="auto"/>
      </w:divBdr>
    </w:div>
    <w:div w:id="654846111">
      <w:bodyDiv w:val="1"/>
      <w:marLeft w:val="0"/>
      <w:marRight w:val="0"/>
      <w:marTop w:val="0"/>
      <w:marBottom w:val="0"/>
      <w:divBdr>
        <w:top w:val="none" w:sz="0" w:space="0" w:color="auto"/>
        <w:left w:val="none" w:sz="0" w:space="0" w:color="auto"/>
        <w:bottom w:val="none" w:sz="0" w:space="0" w:color="auto"/>
        <w:right w:val="none" w:sz="0" w:space="0" w:color="auto"/>
      </w:divBdr>
    </w:div>
    <w:div w:id="862479591">
      <w:bodyDiv w:val="1"/>
      <w:marLeft w:val="0"/>
      <w:marRight w:val="0"/>
      <w:marTop w:val="0"/>
      <w:marBottom w:val="0"/>
      <w:divBdr>
        <w:top w:val="none" w:sz="0" w:space="0" w:color="auto"/>
        <w:left w:val="none" w:sz="0" w:space="0" w:color="auto"/>
        <w:bottom w:val="none" w:sz="0" w:space="0" w:color="auto"/>
        <w:right w:val="none" w:sz="0" w:space="0" w:color="auto"/>
      </w:divBdr>
    </w:div>
    <w:div w:id="983463304">
      <w:bodyDiv w:val="1"/>
      <w:marLeft w:val="0"/>
      <w:marRight w:val="0"/>
      <w:marTop w:val="0"/>
      <w:marBottom w:val="0"/>
      <w:divBdr>
        <w:top w:val="none" w:sz="0" w:space="0" w:color="auto"/>
        <w:left w:val="none" w:sz="0" w:space="0" w:color="auto"/>
        <w:bottom w:val="none" w:sz="0" w:space="0" w:color="auto"/>
        <w:right w:val="none" w:sz="0" w:space="0" w:color="auto"/>
      </w:divBdr>
    </w:div>
    <w:div w:id="1105610861">
      <w:bodyDiv w:val="1"/>
      <w:marLeft w:val="0"/>
      <w:marRight w:val="0"/>
      <w:marTop w:val="0"/>
      <w:marBottom w:val="0"/>
      <w:divBdr>
        <w:top w:val="none" w:sz="0" w:space="0" w:color="auto"/>
        <w:left w:val="none" w:sz="0" w:space="0" w:color="auto"/>
        <w:bottom w:val="none" w:sz="0" w:space="0" w:color="auto"/>
        <w:right w:val="none" w:sz="0" w:space="0" w:color="auto"/>
      </w:divBdr>
    </w:div>
    <w:div w:id="1111124631">
      <w:bodyDiv w:val="1"/>
      <w:marLeft w:val="0"/>
      <w:marRight w:val="0"/>
      <w:marTop w:val="0"/>
      <w:marBottom w:val="0"/>
      <w:divBdr>
        <w:top w:val="none" w:sz="0" w:space="0" w:color="auto"/>
        <w:left w:val="none" w:sz="0" w:space="0" w:color="auto"/>
        <w:bottom w:val="none" w:sz="0" w:space="0" w:color="auto"/>
        <w:right w:val="none" w:sz="0" w:space="0" w:color="auto"/>
      </w:divBdr>
    </w:div>
    <w:div w:id="1342512519">
      <w:bodyDiv w:val="1"/>
      <w:marLeft w:val="0"/>
      <w:marRight w:val="0"/>
      <w:marTop w:val="0"/>
      <w:marBottom w:val="0"/>
      <w:divBdr>
        <w:top w:val="none" w:sz="0" w:space="0" w:color="auto"/>
        <w:left w:val="none" w:sz="0" w:space="0" w:color="auto"/>
        <w:bottom w:val="none" w:sz="0" w:space="0" w:color="auto"/>
        <w:right w:val="none" w:sz="0" w:space="0" w:color="auto"/>
      </w:divBdr>
    </w:div>
    <w:div w:id="1454403864">
      <w:bodyDiv w:val="1"/>
      <w:marLeft w:val="0"/>
      <w:marRight w:val="0"/>
      <w:marTop w:val="0"/>
      <w:marBottom w:val="0"/>
      <w:divBdr>
        <w:top w:val="none" w:sz="0" w:space="0" w:color="auto"/>
        <w:left w:val="none" w:sz="0" w:space="0" w:color="auto"/>
        <w:bottom w:val="none" w:sz="0" w:space="0" w:color="auto"/>
        <w:right w:val="none" w:sz="0" w:space="0" w:color="auto"/>
      </w:divBdr>
    </w:div>
    <w:div w:id="1795707133">
      <w:bodyDiv w:val="1"/>
      <w:marLeft w:val="0"/>
      <w:marRight w:val="0"/>
      <w:marTop w:val="0"/>
      <w:marBottom w:val="0"/>
      <w:divBdr>
        <w:top w:val="none" w:sz="0" w:space="0" w:color="auto"/>
        <w:left w:val="none" w:sz="0" w:space="0" w:color="auto"/>
        <w:bottom w:val="none" w:sz="0" w:space="0" w:color="auto"/>
        <w:right w:val="none" w:sz="0" w:space="0" w:color="auto"/>
      </w:divBdr>
    </w:div>
    <w:div w:id="1847555989">
      <w:bodyDiv w:val="1"/>
      <w:marLeft w:val="0"/>
      <w:marRight w:val="0"/>
      <w:marTop w:val="0"/>
      <w:marBottom w:val="0"/>
      <w:divBdr>
        <w:top w:val="none" w:sz="0" w:space="0" w:color="auto"/>
        <w:left w:val="none" w:sz="0" w:space="0" w:color="auto"/>
        <w:bottom w:val="none" w:sz="0" w:space="0" w:color="auto"/>
        <w:right w:val="none" w:sz="0" w:space="0" w:color="auto"/>
      </w:divBdr>
    </w:div>
    <w:div w:id="1861040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1xB1L78U2zaAFqfe+XEbpYF0w==">CgMxLjAaJAoBMBIfCh0IB0IZCgVBcmlhbBIQQXJpYWwgVW5pY29kZSBNUxokCgExEh8KHQgHQhkKBUFyaWFsEhBBcmlhbCBVbmljb2RlIE1TGiQKATISHwodCAdCGQoFQXJpYWwSEEFyaWFsIFVuaWNvZGUgTVMaJAoBMxIfCh0IB0IZCgVBcmlhbBIQQXJpYWwgVW5pY29kZSBNUzIOaC5wOHNldGc2eWs1NG84AHIhMXFZV3BIOGEzSXdHZlU2cGlrbC1SWWkxenJCRFNCbD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22</Pages>
  <Words>8135</Words>
  <Characters>46373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1089</cp:lastModifiedBy>
  <cp:revision>25</cp:revision>
  <dcterms:created xsi:type="dcterms:W3CDTF">2025-10-05T20:52:00Z</dcterms:created>
  <dcterms:modified xsi:type="dcterms:W3CDTF">2025-10-29T05:22:00Z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699ac9c5-1909-42c9-b923-0a5c84a36b17</vt:lpwstr>
  </property>
</Properties>
</file>