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F314F7A" w14:textId="77777777" w:rsidR="005E54E9" w:rsidRDefault="000608F3">
      <w:pPr>
        <w:widowControl w:val="0"/>
        <w:pBdr>
          <w:top w:val="nil"/>
          <w:left w:val="nil"/>
          <w:bottom w:val="nil"/>
          <w:right w:val="nil"/>
          <w:between w:val="nil"/>
        </w:pBdr>
      </w:pPr>
      <w:r>
        <w:pict w14:anchorId="366AC9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0;margin-top:0;width:50pt;height:50pt;z-index:251655168;visibility:hidden">
            <o:lock v:ext="edit" selection="t"/>
          </v:shape>
        </w:pict>
      </w:r>
      <w:r>
        <w:pict w14:anchorId="39B98C1B">
          <v:shape id="_x0000_s1030" type="#_x0000_t136" style="position:absolute;margin-left:0;margin-top:0;width:50pt;height:50pt;z-index:251656192;visibility:hidden">
            <o:lock v:ext="edit" selection="t"/>
          </v:shape>
        </w:pict>
      </w:r>
      <w:r>
        <w:pict w14:anchorId="1E40A853">
          <v:shape id="_x0000_s1029" type="#_x0000_t136" style="position:absolute;margin-left:0;margin-top:0;width:50pt;height:50pt;z-index:251657216;visibility:hidden">
            <o:lock v:ext="edit" selection="t"/>
          </v:shape>
        </w:pict>
      </w:r>
      <w:r>
        <w:pict w14:anchorId="31863AB1">
          <v:shape id="_x0000_s1028" type="#_x0000_t136" style="position:absolute;margin-left:0;margin-top:0;width:50pt;height:50pt;z-index:251658240;visibility:hidden">
            <o:lock v:ext="edit" selection="t"/>
          </v:shape>
        </w:pict>
      </w:r>
      <w:r>
        <w:pict w14:anchorId="0586572B">
          <v:shape id="_x0000_s1027" type="#_x0000_t136" style="position:absolute;margin-left:0;margin-top:0;width:50pt;height:50pt;z-index:251659264;visibility:hidden">
            <o:lock v:ext="edit" selection="t"/>
          </v:shape>
        </w:pict>
      </w:r>
      <w:r>
        <w:pict w14:anchorId="0DCACF50">
          <v:shape id="_x0000_s1026" type="#_x0000_t136" style="position:absolute;margin-left:0;margin-top:0;width:50pt;height:50pt;z-index:251660288;visibility:hidden">
            <o:lock v:ext="edit" selection="t"/>
          </v:shape>
        </w:pict>
      </w:r>
    </w:p>
    <w:p w14:paraId="61C2D981" w14:textId="77777777" w:rsidR="005E54E9" w:rsidRDefault="00195FD7">
      <w:pPr>
        <w:spacing w:line="480" w:lineRule="auto"/>
        <w:jc w:val="both"/>
        <w:rPr>
          <w:rFonts w:ascii="Times New Roman" w:eastAsia="Times New Roman" w:hAnsi="Times New Roman" w:cs="Times New Roman"/>
          <w:b/>
        </w:rPr>
      </w:pPr>
      <w:r>
        <w:rPr>
          <w:rFonts w:ascii="Times New Roman" w:eastAsia="Times New Roman" w:hAnsi="Times New Roman" w:cs="Times New Roman"/>
          <w:b/>
        </w:rPr>
        <w:t>Original Research Article</w:t>
      </w:r>
    </w:p>
    <w:p w14:paraId="0B1F1012" w14:textId="77777777" w:rsidR="005E54E9" w:rsidRDefault="005E54E9">
      <w:pPr>
        <w:spacing w:line="480" w:lineRule="auto"/>
        <w:jc w:val="both"/>
        <w:rPr>
          <w:rFonts w:ascii="Times New Roman" w:eastAsia="Times New Roman" w:hAnsi="Times New Roman" w:cs="Times New Roman"/>
          <w:b/>
        </w:rPr>
      </w:pPr>
    </w:p>
    <w:p w14:paraId="41B82CB9" w14:textId="27DF5A51" w:rsidR="005E54E9" w:rsidRDefault="00195FD7">
      <w:pPr>
        <w:spacing w:line="480" w:lineRule="auto"/>
        <w:jc w:val="both"/>
        <w:rPr>
          <w:rFonts w:ascii="Times New Roman" w:eastAsia="Times New Roman" w:hAnsi="Times New Roman" w:cs="Times New Roman"/>
          <w:b/>
          <w:highlight w:val="yellow"/>
        </w:rPr>
      </w:pPr>
      <w:r>
        <w:rPr>
          <w:rFonts w:ascii="Times New Roman" w:eastAsia="Times New Roman" w:hAnsi="Times New Roman" w:cs="Times New Roman"/>
          <w:b/>
          <w:highlight w:val="yellow"/>
        </w:rPr>
        <w:t xml:space="preserve">Impact of smoking on the anatomical distribution of periapical bone rarefactions: </w:t>
      </w:r>
      <w:r w:rsidR="000C3842">
        <w:rPr>
          <w:rFonts w:ascii="Times New Roman" w:eastAsia="Times New Roman" w:hAnsi="Times New Roman" w:cs="Times New Roman"/>
          <w:b/>
          <w:highlight w:val="yellow"/>
        </w:rPr>
        <w:t>A</w:t>
      </w:r>
      <w:r>
        <w:rPr>
          <w:rFonts w:ascii="Times New Roman" w:eastAsia="Times New Roman" w:hAnsi="Times New Roman" w:cs="Times New Roman"/>
          <w:b/>
          <w:highlight w:val="yellow"/>
        </w:rPr>
        <w:t xml:space="preserve"> Brazilian retrospective cross-sectional study</w:t>
      </w:r>
    </w:p>
    <w:p w14:paraId="51989929" w14:textId="77777777" w:rsidR="005E54E9" w:rsidRDefault="00195FD7">
      <w:pPr>
        <w:spacing w:line="48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14:paraId="66389F92" w14:textId="77777777" w:rsidR="005E54E9" w:rsidRDefault="00195FD7">
      <w:pPr>
        <w:spacing w:line="480" w:lineRule="auto"/>
        <w:jc w:val="both"/>
        <w:rPr>
          <w:rFonts w:ascii="Times New Roman" w:eastAsia="Times New Roman" w:hAnsi="Times New Roman" w:cs="Times New Roman"/>
          <w:b/>
        </w:rPr>
      </w:pPr>
      <w:r>
        <w:rPr>
          <w:rFonts w:ascii="Times New Roman" w:eastAsia="Times New Roman" w:hAnsi="Times New Roman" w:cs="Times New Roman"/>
          <w:b/>
        </w:rPr>
        <w:t>ABSTRACT</w:t>
      </w:r>
    </w:p>
    <w:p w14:paraId="254E908A" w14:textId="77777777" w:rsidR="005E54E9" w:rsidRDefault="005E54E9">
      <w:pPr>
        <w:spacing w:line="480" w:lineRule="auto"/>
        <w:jc w:val="both"/>
        <w:rPr>
          <w:rFonts w:ascii="Times New Roman" w:eastAsia="Times New Roman" w:hAnsi="Times New Roman" w:cs="Times New Roman"/>
          <w:b/>
        </w:rPr>
      </w:pPr>
    </w:p>
    <w:p w14:paraId="520BB235" w14:textId="77777777" w:rsidR="005E54E9" w:rsidRDefault="00195FD7">
      <w:pPr>
        <w:spacing w:line="480" w:lineRule="auto"/>
        <w:jc w:val="both"/>
        <w:rPr>
          <w:rFonts w:ascii="Times New Roman" w:eastAsia="Times New Roman" w:hAnsi="Times New Roman" w:cs="Times New Roman"/>
        </w:rPr>
      </w:pPr>
      <w:r>
        <w:rPr>
          <w:rFonts w:ascii="Times New Roman" w:eastAsia="Times New Roman" w:hAnsi="Times New Roman" w:cs="Times New Roman"/>
          <w:b/>
        </w:rPr>
        <w:t xml:space="preserve">Objective: </w:t>
      </w:r>
      <w:r>
        <w:rPr>
          <w:rFonts w:ascii="Times New Roman" w:eastAsia="Times New Roman" w:hAnsi="Times New Roman" w:cs="Times New Roman"/>
        </w:rPr>
        <w:t xml:space="preserve">To investigate the prevalence and distribution of periapical bone rarefactions (PBRs) in smokers and non-smokers using panoramic radiographs (PRs), and to assess the influence of tobacco use on lesion distribution. </w:t>
      </w:r>
      <w:r>
        <w:rPr>
          <w:rFonts w:ascii="Times New Roman" w:eastAsia="Times New Roman" w:hAnsi="Times New Roman" w:cs="Times New Roman"/>
          <w:b/>
        </w:rPr>
        <w:t>Methods:</w:t>
      </w:r>
      <w:r>
        <w:rPr>
          <w:rFonts w:ascii="Times New Roman" w:eastAsia="Times New Roman" w:hAnsi="Times New Roman" w:cs="Times New Roman"/>
        </w:rPr>
        <w:t xml:space="preserve"> A retrospective cross-sectional analysis was conducted on 212 PRs from adult patients (18–78 years). Patients were classified as active smokers, former smokers, or non-smokers. Radiographs were examined for the presence, location, and distribution of PBRs by calibrated examiners. Associations with smoking history and duration were tested using chi-square and t-tests (two-sided), with a significance level of p&lt;0.05. </w:t>
      </w:r>
      <w:r>
        <w:rPr>
          <w:rFonts w:ascii="Times New Roman" w:eastAsia="Times New Roman" w:hAnsi="Times New Roman" w:cs="Times New Roman"/>
          <w:b/>
        </w:rPr>
        <w:t>Results:</w:t>
      </w:r>
      <w:r>
        <w:rPr>
          <w:rFonts w:ascii="Times New Roman" w:eastAsia="Times New Roman" w:hAnsi="Times New Roman" w:cs="Times New Roman"/>
        </w:rPr>
        <w:t xml:space="preserve"> PBRs were identified in 74.5% of patients. Unexpectedly, non-smokers showed a higher prevalence (66%) than smokers (33%), which may reflect sample characteristics or confounding factors. In smokers, lesions were predominantly concentrated in maxillary anterior teeth, particularly central incisors, and prevalence increased with longer smoking duration (&gt;10 years). No significant differences were observed between smokers and non-smokers regarding arch distribution. </w:t>
      </w:r>
      <w:r>
        <w:rPr>
          <w:rFonts w:ascii="Times New Roman" w:eastAsia="Times New Roman" w:hAnsi="Times New Roman" w:cs="Times New Roman"/>
          <w:b/>
        </w:rPr>
        <w:t xml:space="preserve">Conclusions: </w:t>
      </w:r>
      <w:r>
        <w:rPr>
          <w:rFonts w:ascii="Times New Roman" w:eastAsia="Times New Roman" w:hAnsi="Times New Roman" w:cs="Times New Roman"/>
        </w:rPr>
        <w:t>Smoking was not associated with a higher overall prevalence of PBRs but appeared to influence their anatomical distribution and their relationship with tobacco exposure time. These findings emphasize the importance of considering lesion patterns alongside patient history and acknowledge the limitations of panoramic radiographs in establishing causality. Further multicenter and prospective studies using advanced imaging are warranted.</w:t>
      </w:r>
    </w:p>
    <w:p w14:paraId="25C07E50" w14:textId="77777777" w:rsidR="005E54E9" w:rsidRDefault="005E54E9">
      <w:pPr>
        <w:spacing w:line="480" w:lineRule="auto"/>
        <w:jc w:val="both"/>
        <w:rPr>
          <w:rFonts w:ascii="Times New Roman" w:eastAsia="Times New Roman" w:hAnsi="Times New Roman" w:cs="Times New Roman"/>
        </w:rPr>
      </w:pPr>
    </w:p>
    <w:p w14:paraId="64BA7B7B" w14:textId="77777777" w:rsidR="005E54E9" w:rsidRDefault="00195FD7">
      <w:pPr>
        <w:spacing w:line="480" w:lineRule="auto"/>
        <w:jc w:val="both"/>
        <w:rPr>
          <w:rFonts w:ascii="Times New Roman" w:eastAsia="Times New Roman" w:hAnsi="Times New Roman" w:cs="Times New Roman"/>
        </w:rPr>
      </w:pPr>
      <w:r>
        <w:rPr>
          <w:rFonts w:ascii="Times New Roman" w:eastAsia="Times New Roman" w:hAnsi="Times New Roman" w:cs="Times New Roman"/>
          <w:b/>
        </w:rPr>
        <w:t>Keywords:</w:t>
      </w:r>
      <w:r>
        <w:rPr>
          <w:rFonts w:ascii="Times New Roman" w:eastAsia="Times New Roman" w:hAnsi="Times New Roman" w:cs="Times New Roman"/>
        </w:rPr>
        <w:t xml:space="preserve"> Periapical bone rarefactions; Tobacco use; Panoramic radiography; Smoking; Oral health</w:t>
      </w:r>
    </w:p>
    <w:p w14:paraId="61201544" w14:textId="77777777" w:rsidR="005E54E9" w:rsidRDefault="005E54E9">
      <w:pPr>
        <w:spacing w:line="480" w:lineRule="auto"/>
        <w:jc w:val="both"/>
        <w:rPr>
          <w:rFonts w:ascii="Times New Roman" w:eastAsia="Times New Roman" w:hAnsi="Times New Roman" w:cs="Times New Roman"/>
          <w:b/>
        </w:rPr>
      </w:pPr>
    </w:p>
    <w:p w14:paraId="26DCCE03" w14:textId="77777777" w:rsidR="005E54E9" w:rsidRDefault="00195FD7">
      <w:pPr>
        <w:spacing w:line="480" w:lineRule="auto"/>
        <w:jc w:val="both"/>
        <w:rPr>
          <w:rFonts w:ascii="Times New Roman" w:eastAsia="Times New Roman" w:hAnsi="Times New Roman" w:cs="Times New Roman"/>
        </w:rPr>
      </w:pPr>
      <w:r>
        <w:rPr>
          <w:rFonts w:ascii="Times New Roman" w:eastAsia="Times New Roman" w:hAnsi="Times New Roman" w:cs="Times New Roman"/>
          <w:b/>
        </w:rPr>
        <w:t>INTRODUCTION</w:t>
      </w:r>
    </w:p>
    <w:p w14:paraId="7FD809AD" w14:textId="77777777" w:rsidR="005E54E9" w:rsidRDefault="005E54E9">
      <w:pPr>
        <w:spacing w:line="480" w:lineRule="auto"/>
        <w:jc w:val="both"/>
        <w:rPr>
          <w:rFonts w:ascii="Times New Roman" w:eastAsia="Times New Roman" w:hAnsi="Times New Roman" w:cs="Times New Roman"/>
        </w:rPr>
      </w:pPr>
    </w:p>
    <w:p w14:paraId="1DF821B8" w14:textId="77777777" w:rsidR="005E54E9" w:rsidRDefault="00195FD7">
      <w:pPr>
        <w:spacing w:line="480" w:lineRule="auto"/>
        <w:jc w:val="both"/>
        <w:rPr>
          <w:rFonts w:ascii="Times New Roman" w:eastAsia="Times New Roman" w:hAnsi="Times New Roman" w:cs="Times New Roman"/>
          <w:vertAlign w:val="superscript"/>
        </w:rPr>
      </w:pPr>
      <w:r>
        <w:rPr>
          <w:rFonts w:ascii="Times New Roman" w:eastAsia="Times New Roman" w:hAnsi="Times New Roman" w:cs="Times New Roman"/>
        </w:rPr>
        <w:t>Smoking remains one of the most relevant lifestyle factors impacting oral and systemic health. Globally, approximately 1.14 billion individuals were smokers in 2019, accounting for over 7.6 million tobacco-attributable deaths.</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In Brazil, despite a progressive decline in prevalence, around 12.6% of adults still report tobacco use.</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The harmful effects of tobacco include vasoconstriction, reduced tissue perfusion, and impaired reparative capacity, which compromise periodontal and periapical healing.</w:t>
      </w:r>
      <w:r>
        <w:rPr>
          <w:rFonts w:ascii="Times New Roman" w:eastAsia="Times New Roman" w:hAnsi="Times New Roman" w:cs="Times New Roman"/>
          <w:vertAlign w:val="superscript"/>
        </w:rPr>
        <w:t>3</w:t>
      </w:r>
    </w:p>
    <w:p w14:paraId="53324AA9" w14:textId="77777777" w:rsidR="005E54E9" w:rsidRDefault="005E54E9">
      <w:pPr>
        <w:spacing w:line="480" w:lineRule="auto"/>
        <w:jc w:val="both"/>
        <w:rPr>
          <w:rFonts w:ascii="Times New Roman" w:eastAsia="Times New Roman" w:hAnsi="Times New Roman" w:cs="Times New Roman"/>
        </w:rPr>
      </w:pPr>
    </w:p>
    <w:p w14:paraId="4B6725C9" w14:textId="77777777" w:rsidR="005E54E9" w:rsidRDefault="00195FD7">
      <w:pPr>
        <w:spacing w:line="480" w:lineRule="auto"/>
        <w:jc w:val="both"/>
        <w:rPr>
          <w:rFonts w:ascii="Times New Roman" w:eastAsia="Times New Roman" w:hAnsi="Times New Roman" w:cs="Times New Roman"/>
          <w:vertAlign w:val="superscript"/>
        </w:rPr>
      </w:pPr>
      <w:r>
        <w:rPr>
          <w:rFonts w:ascii="Times New Roman" w:eastAsia="Times New Roman" w:hAnsi="Times New Roman" w:cs="Times New Roman"/>
        </w:rPr>
        <w:t>Periapical lesions, radiographically described as periapical bone rarefactions (PBRs), are closely associated with pulp necrosis, although their pathophysiology is complex and not yet fully elucidated.</w:t>
      </w:r>
      <w:r>
        <w:rPr>
          <w:rFonts w:ascii="Times New Roman" w:eastAsia="Times New Roman" w:hAnsi="Times New Roman" w:cs="Times New Roman"/>
          <w:vertAlign w:val="superscript"/>
        </w:rPr>
        <w:t>4,5</w:t>
      </w:r>
      <w:r>
        <w:rPr>
          <w:rFonts w:ascii="Times New Roman" w:eastAsia="Times New Roman" w:hAnsi="Times New Roman" w:cs="Times New Roman"/>
        </w:rPr>
        <w:t xml:space="preserve"> The necrotic process is usually preceded by symptomatic phases, which often subside once necrosis is established. Consequently, PBRs are frequently detected incidentally in routine imaging, particularly in panoramic radiographs (PRs), widely requested during initial dental evaluations.</w:t>
      </w:r>
      <w:r>
        <w:rPr>
          <w:rFonts w:ascii="Times New Roman" w:eastAsia="Times New Roman" w:hAnsi="Times New Roman" w:cs="Times New Roman"/>
          <w:vertAlign w:val="superscript"/>
        </w:rPr>
        <w:t>6</w:t>
      </w:r>
      <w:r>
        <w:rPr>
          <w:rFonts w:ascii="Times New Roman" w:eastAsia="Times New Roman" w:hAnsi="Times New Roman" w:cs="Times New Roman"/>
        </w:rPr>
        <w:t xml:space="preserve"> Despite inherent limitations, PRs allow the identification of such lesions, which may appear diffuse in acute stages and more circumscribed in chronic stages, often surrounded by a radiopaque halo.</w:t>
      </w:r>
      <w:r>
        <w:rPr>
          <w:rFonts w:ascii="Times New Roman" w:eastAsia="Times New Roman" w:hAnsi="Times New Roman" w:cs="Times New Roman"/>
          <w:vertAlign w:val="superscript"/>
        </w:rPr>
        <w:t>7</w:t>
      </w:r>
    </w:p>
    <w:p w14:paraId="4F217B8B" w14:textId="77777777" w:rsidR="005E54E9" w:rsidRDefault="005E54E9">
      <w:pPr>
        <w:spacing w:line="480" w:lineRule="auto"/>
        <w:jc w:val="both"/>
        <w:rPr>
          <w:rFonts w:ascii="Times New Roman" w:eastAsia="Times New Roman" w:hAnsi="Times New Roman" w:cs="Times New Roman"/>
        </w:rPr>
      </w:pPr>
    </w:p>
    <w:p w14:paraId="528D5012" w14:textId="77777777" w:rsidR="005E54E9" w:rsidRDefault="00195FD7">
      <w:pPr>
        <w:spacing w:line="480" w:lineRule="auto"/>
        <w:jc w:val="both"/>
        <w:rPr>
          <w:rFonts w:ascii="Times New Roman" w:eastAsia="Times New Roman" w:hAnsi="Times New Roman" w:cs="Times New Roman"/>
          <w:vertAlign w:val="superscript"/>
        </w:rPr>
      </w:pPr>
      <w:r>
        <w:rPr>
          <w:rFonts w:ascii="Times New Roman" w:eastAsia="Times New Roman" w:hAnsi="Times New Roman" w:cs="Times New Roman"/>
        </w:rPr>
        <w:t>The development of PBRs is influenced not only by pulpal and host factors but also by external exposures such as tobacco. Constituents like nicotine impair cellular proliferation and angiogenesis, delaying bone repair and potentially altering lesion persistence.</w:t>
      </w:r>
      <w:r>
        <w:rPr>
          <w:rFonts w:ascii="Times New Roman" w:eastAsia="Times New Roman" w:hAnsi="Times New Roman" w:cs="Times New Roman"/>
          <w:vertAlign w:val="superscript"/>
        </w:rPr>
        <w:t>3</w:t>
      </w:r>
      <w:r>
        <w:rPr>
          <w:rFonts w:ascii="Times New Roman" w:eastAsia="Times New Roman" w:hAnsi="Times New Roman" w:cs="Times New Roman"/>
        </w:rPr>
        <w:t xml:space="preserve"> Although studies have linked smoking to greater periodontal and periapical morbidity, robust evidence specifically addressing the prevalence, distribution, and severity of PBRs in smokers remains scarce.</w:t>
      </w:r>
      <w:r>
        <w:rPr>
          <w:rFonts w:ascii="Times New Roman" w:eastAsia="Times New Roman" w:hAnsi="Times New Roman" w:cs="Times New Roman"/>
          <w:vertAlign w:val="superscript"/>
        </w:rPr>
        <w:t>3</w:t>
      </w:r>
    </w:p>
    <w:p w14:paraId="1245B4CF" w14:textId="77777777" w:rsidR="005E54E9" w:rsidRDefault="005E54E9">
      <w:pPr>
        <w:spacing w:line="480" w:lineRule="auto"/>
        <w:jc w:val="both"/>
        <w:rPr>
          <w:rFonts w:ascii="Times New Roman" w:eastAsia="Times New Roman" w:hAnsi="Times New Roman" w:cs="Times New Roman"/>
        </w:rPr>
      </w:pPr>
    </w:p>
    <w:p w14:paraId="17361CC1" w14:textId="77777777" w:rsidR="005E54E9" w:rsidRDefault="00195FD7">
      <w:pPr>
        <w:spacing w:line="480" w:lineRule="auto"/>
        <w:jc w:val="both"/>
        <w:rPr>
          <w:rFonts w:ascii="Times New Roman" w:eastAsia="Times New Roman" w:hAnsi="Times New Roman" w:cs="Times New Roman"/>
          <w:b/>
        </w:rPr>
      </w:pPr>
      <w:r>
        <w:rPr>
          <w:rFonts w:ascii="Times New Roman" w:eastAsia="Times New Roman" w:hAnsi="Times New Roman" w:cs="Times New Roman"/>
        </w:rPr>
        <w:t>Therefore, this study aimed to investigate the impact of smoking on the prevalence and anatomical distribution of PBRs in PRs, comparing smokers and non-smokers, and to clarify whether tobacco use modifies periapical lesion patterns in a Brazilian population.</w:t>
      </w:r>
    </w:p>
    <w:p w14:paraId="11F9CA65" w14:textId="77777777" w:rsidR="005E54E9" w:rsidRDefault="00195FD7">
      <w:pPr>
        <w:spacing w:line="48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METHODS</w:t>
      </w:r>
    </w:p>
    <w:p w14:paraId="36D63399" w14:textId="77777777" w:rsidR="005E54E9" w:rsidRDefault="005E54E9">
      <w:pPr>
        <w:spacing w:line="480" w:lineRule="auto"/>
        <w:ind w:firstLine="720"/>
        <w:jc w:val="both"/>
        <w:rPr>
          <w:rFonts w:ascii="Times New Roman" w:eastAsia="Times New Roman" w:hAnsi="Times New Roman" w:cs="Times New Roman"/>
        </w:rPr>
      </w:pPr>
    </w:p>
    <w:p w14:paraId="4A7FD012" w14:textId="77777777" w:rsidR="005E54E9" w:rsidRDefault="005E54E9">
      <w:pPr>
        <w:spacing w:line="480" w:lineRule="auto"/>
        <w:jc w:val="both"/>
        <w:rPr>
          <w:rFonts w:ascii="Times New Roman" w:eastAsia="Times New Roman" w:hAnsi="Times New Roman" w:cs="Times New Roman"/>
        </w:rPr>
      </w:pPr>
    </w:p>
    <w:p w14:paraId="245E254C" w14:textId="77777777" w:rsidR="005E54E9" w:rsidRDefault="00195FD7">
      <w:pPr>
        <w:spacing w:line="480" w:lineRule="auto"/>
        <w:jc w:val="both"/>
        <w:rPr>
          <w:rFonts w:ascii="Times New Roman" w:eastAsia="Times New Roman" w:hAnsi="Times New Roman" w:cs="Times New Roman"/>
          <w:b/>
          <w:i/>
        </w:rPr>
      </w:pPr>
      <w:r>
        <w:rPr>
          <w:rFonts w:ascii="Times New Roman" w:eastAsia="Times New Roman" w:hAnsi="Times New Roman" w:cs="Times New Roman"/>
          <w:b/>
          <w:i/>
        </w:rPr>
        <w:t>Study design</w:t>
      </w:r>
    </w:p>
    <w:p w14:paraId="4AC99785" w14:textId="77777777" w:rsidR="005E54E9" w:rsidRDefault="00195FD7">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This is a retrospective, cross-sectional, documentary study conducted between March 2023–February 2024, based on patient records from the Dentistry Service of the University of Fortaleza, Brazil. </w:t>
      </w:r>
    </w:p>
    <w:p w14:paraId="32C6AB06" w14:textId="77777777" w:rsidR="005E54E9" w:rsidRDefault="005E54E9">
      <w:pPr>
        <w:spacing w:line="480" w:lineRule="auto"/>
        <w:jc w:val="both"/>
        <w:rPr>
          <w:rFonts w:ascii="Times New Roman" w:eastAsia="Times New Roman" w:hAnsi="Times New Roman" w:cs="Times New Roman"/>
        </w:rPr>
      </w:pPr>
    </w:p>
    <w:p w14:paraId="0A9BD9A1" w14:textId="77777777" w:rsidR="005E54E9" w:rsidRDefault="00195FD7">
      <w:pPr>
        <w:spacing w:line="480" w:lineRule="auto"/>
        <w:jc w:val="both"/>
        <w:rPr>
          <w:rFonts w:ascii="Times New Roman" w:eastAsia="Times New Roman" w:hAnsi="Times New Roman" w:cs="Times New Roman"/>
          <w:b/>
          <w:i/>
        </w:rPr>
      </w:pPr>
      <w:r>
        <w:rPr>
          <w:rFonts w:ascii="Times New Roman" w:eastAsia="Times New Roman" w:hAnsi="Times New Roman" w:cs="Times New Roman"/>
          <w:b/>
          <w:i/>
        </w:rPr>
        <w:t>Data collection and calibration</w:t>
      </w:r>
    </w:p>
    <w:p w14:paraId="17F89DCD" w14:textId="77777777" w:rsidR="005E54E9" w:rsidRDefault="00195FD7">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Data were collected by two experienced endodontists familiar with imaging analysis, under the direct supervision of a collaborating researcher </w:t>
      </w:r>
      <w:proofErr w:type="spellStart"/>
      <w:r>
        <w:rPr>
          <w:rFonts w:ascii="Times New Roman" w:eastAsia="Times New Roman" w:hAnsi="Times New Roman" w:cs="Times New Roman"/>
        </w:rPr>
        <w:t>specialised</w:t>
      </w:r>
      <w:proofErr w:type="spellEnd"/>
      <w:r>
        <w:rPr>
          <w:rFonts w:ascii="Times New Roman" w:eastAsia="Times New Roman" w:hAnsi="Times New Roman" w:cs="Times New Roman"/>
        </w:rPr>
        <w:t xml:space="preserve"> in dental imaging, who had been calibrated by an experienced radiologist. The entire process was coordinated by the principal investigator.</w:t>
      </w:r>
    </w:p>
    <w:p w14:paraId="37CA90AC" w14:textId="77777777" w:rsidR="005E54E9" w:rsidRDefault="005E54E9">
      <w:pPr>
        <w:spacing w:line="480" w:lineRule="auto"/>
        <w:jc w:val="both"/>
        <w:rPr>
          <w:rFonts w:ascii="Times New Roman" w:eastAsia="Times New Roman" w:hAnsi="Times New Roman" w:cs="Times New Roman"/>
        </w:rPr>
      </w:pPr>
    </w:p>
    <w:p w14:paraId="711CF019" w14:textId="77777777" w:rsidR="005E54E9" w:rsidRDefault="00195FD7">
      <w:pPr>
        <w:spacing w:line="480" w:lineRule="auto"/>
        <w:jc w:val="both"/>
        <w:rPr>
          <w:rFonts w:ascii="Times New Roman" w:eastAsia="Times New Roman" w:hAnsi="Times New Roman" w:cs="Times New Roman"/>
        </w:rPr>
      </w:pPr>
      <w:r>
        <w:rPr>
          <w:rFonts w:ascii="Times New Roman" w:eastAsia="Times New Roman" w:hAnsi="Times New Roman" w:cs="Times New Roman"/>
        </w:rPr>
        <w:t>To ensure consistency and reliability, the collectors underwent calibration through a pilot test involving 10 patients, in which one collector gathered the data while the other performed cross-checking. Data from this initial collection were excluded after methodological adjustments, and the definitive collection was subsequently conducted.</w:t>
      </w:r>
    </w:p>
    <w:p w14:paraId="7E33D235" w14:textId="77777777" w:rsidR="005E54E9" w:rsidRDefault="005E54E9">
      <w:pPr>
        <w:spacing w:line="480" w:lineRule="auto"/>
        <w:jc w:val="both"/>
        <w:rPr>
          <w:rFonts w:ascii="Times New Roman" w:eastAsia="Times New Roman" w:hAnsi="Times New Roman" w:cs="Times New Roman"/>
        </w:rPr>
      </w:pPr>
    </w:p>
    <w:p w14:paraId="25144772" w14:textId="77777777" w:rsidR="005E54E9" w:rsidRDefault="00195FD7">
      <w:pPr>
        <w:spacing w:line="480" w:lineRule="auto"/>
        <w:jc w:val="both"/>
        <w:rPr>
          <w:rFonts w:ascii="Times New Roman" w:eastAsia="Times New Roman" w:hAnsi="Times New Roman" w:cs="Times New Roman"/>
          <w:b/>
          <w:i/>
        </w:rPr>
      </w:pPr>
      <w:r>
        <w:rPr>
          <w:rFonts w:ascii="Times New Roman" w:eastAsia="Times New Roman" w:hAnsi="Times New Roman" w:cs="Times New Roman"/>
          <w:b/>
          <w:i/>
        </w:rPr>
        <w:t>Radiograph acquisition and selection</w:t>
      </w:r>
    </w:p>
    <w:p w14:paraId="1605B490" w14:textId="77777777" w:rsidR="005E54E9" w:rsidRDefault="00195FD7">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PRs were collected from the Dental Imaging Service database at Dentistry Service of the University of Fortaleza between March 2023 and February 2024. All digital PRs </w:t>
      </w:r>
      <w:proofErr w:type="spellStart"/>
      <w:r>
        <w:rPr>
          <w:rFonts w:ascii="Times New Roman" w:eastAsia="Times New Roman" w:hAnsi="Times New Roman" w:cs="Times New Roman"/>
        </w:rPr>
        <w:t>analysed</w:t>
      </w:r>
      <w:proofErr w:type="spellEnd"/>
      <w:r>
        <w:rPr>
          <w:rFonts w:ascii="Times New Roman" w:eastAsia="Times New Roman" w:hAnsi="Times New Roman" w:cs="Times New Roman"/>
        </w:rPr>
        <w:t xml:space="preserve"> were acquired using a PAX 400 device (</w:t>
      </w:r>
      <w:proofErr w:type="spellStart"/>
      <w:r>
        <w:rPr>
          <w:rFonts w:ascii="Times New Roman" w:eastAsia="Times New Roman" w:hAnsi="Times New Roman" w:cs="Times New Roman"/>
        </w:rPr>
        <w:t>Vatech</w:t>
      </w:r>
      <w:proofErr w:type="spellEnd"/>
      <w:r>
        <w:rPr>
          <w:rFonts w:ascii="Times New Roman" w:eastAsia="Times New Roman" w:hAnsi="Times New Roman" w:cs="Times New Roman"/>
        </w:rPr>
        <w:t xml:space="preserve"> Co., </w:t>
      </w:r>
      <w:proofErr w:type="spellStart"/>
      <w:r>
        <w:rPr>
          <w:rFonts w:ascii="Times New Roman" w:eastAsia="Times New Roman" w:hAnsi="Times New Roman" w:cs="Times New Roman"/>
        </w:rPr>
        <w:t>Yongin</w:t>
      </w:r>
      <w:proofErr w:type="spellEnd"/>
      <w:r>
        <w:rPr>
          <w:rFonts w:ascii="Times New Roman" w:eastAsia="Times New Roman" w:hAnsi="Times New Roman" w:cs="Times New Roman"/>
        </w:rPr>
        <w:t xml:space="preserve">, South Korea) in standard panoramic mode (68 </w:t>
      </w:r>
      <w:proofErr w:type="spellStart"/>
      <w:r>
        <w:rPr>
          <w:rFonts w:ascii="Times New Roman" w:eastAsia="Times New Roman" w:hAnsi="Times New Roman" w:cs="Times New Roman"/>
        </w:rPr>
        <w:t>kVp</w:t>
      </w:r>
      <w:proofErr w:type="spellEnd"/>
      <w:r>
        <w:rPr>
          <w:rFonts w:ascii="Times New Roman" w:eastAsia="Times New Roman" w:hAnsi="Times New Roman" w:cs="Times New Roman"/>
        </w:rPr>
        <w:t>, 8 mA). Images were obtained for treatment planning or diagnostic purposes by trained technicians using consistent machine settings. No radiographs were taken exclusively for this study, ensuring no additional patient exposure.</w:t>
      </w:r>
    </w:p>
    <w:p w14:paraId="73ECAB1C" w14:textId="77777777" w:rsidR="005E54E9" w:rsidRDefault="005E54E9">
      <w:pPr>
        <w:spacing w:line="480" w:lineRule="auto"/>
        <w:jc w:val="both"/>
        <w:rPr>
          <w:rFonts w:ascii="Times New Roman" w:eastAsia="Times New Roman" w:hAnsi="Times New Roman" w:cs="Times New Roman"/>
        </w:rPr>
      </w:pPr>
    </w:p>
    <w:p w14:paraId="596D5738" w14:textId="77777777" w:rsidR="005E54E9" w:rsidRDefault="00195FD7">
      <w:pPr>
        <w:spacing w:line="480" w:lineRule="auto"/>
        <w:jc w:val="both"/>
        <w:rPr>
          <w:rFonts w:ascii="Times New Roman" w:eastAsia="Times New Roman" w:hAnsi="Times New Roman" w:cs="Times New Roman"/>
        </w:rPr>
      </w:pPr>
      <w:r>
        <w:rPr>
          <w:rFonts w:ascii="Times New Roman" w:eastAsia="Times New Roman" w:hAnsi="Times New Roman" w:cs="Times New Roman"/>
        </w:rPr>
        <w:lastRenderedPageBreak/>
        <w:t>All available PRs were initially screened for completeness of patient history and image quality. Radiographs that did not meet eligibility criteria were excluded. This process continued consecutively until the pre-calculated minimum sample size was reached. Once the required number of PRs was obtained, data collection was stopped due to sample saturation.</w:t>
      </w:r>
    </w:p>
    <w:p w14:paraId="52B7D789" w14:textId="77777777" w:rsidR="005E54E9" w:rsidRDefault="005E54E9">
      <w:pPr>
        <w:spacing w:line="480" w:lineRule="auto"/>
        <w:jc w:val="both"/>
        <w:rPr>
          <w:rFonts w:ascii="Times New Roman" w:eastAsia="Times New Roman" w:hAnsi="Times New Roman" w:cs="Times New Roman"/>
        </w:rPr>
      </w:pPr>
    </w:p>
    <w:p w14:paraId="71D47497" w14:textId="77777777" w:rsidR="005E54E9" w:rsidRDefault="00195FD7">
      <w:pPr>
        <w:spacing w:line="480" w:lineRule="auto"/>
        <w:jc w:val="both"/>
        <w:rPr>
          <w:rFonts w:ascii="Times New Roman" w:eastAsia="Times New Roman" w:hAnsi="Times New Roman" w:cs="Times New Roman"/>
          <w:b/>
          <w:i/>
        </w:rPr>
      </w:pPr>
      <w:r>
        <w:rPr>
          <w:rFonts w:ascii="Times New Roman" w:eastAsia="Times New Roman" w:hAnsi="Times New Roman" w:cs="Times New Roman"/>
          <w:b/>
          <w:i/>
        </w:rPr>
        <w:t>Standardization and group stratification</w:t>
      </w:r>
    </w:p>
    <w:p w14:paraId="7E89AC2E" w14:textId="77777777" w:rsidR="005E54E9" w:rsidRDefault="00195FD7">
      <w:pPr>
        <w:spacing w:line="480" w:lineRule="auto"/>
        <w:jc w:val="both"/>
        <w:rPr>
          <w:rFonts w:ascii="Times New Roman" w:eastAsia="Times New Roman" w:hAnsi="Times New Roman" w:cs="Times New Roman"/>
          <w:b/>
          <w:i/>
        </w:rPr>
      </w:pPr>
      <w:r>
        <w:rPr>
          <w:rFonts w:ascii="Times New Roman" w:eastAsia="Times New Roman" w:hAnsi="Times New Roman" w:cs="Times New Roman"/>
        </w:rPr>
        <w:t>Patient data were recorded using the Patient Socioeconomic Profile and Oral Health Conditions Registration Protocol in Excel®. Variables included sociodemographic data, smoking history, pulpal and periapical health, number and location of affected teeth, presence of caries, and lesion severity. To minimize bias due to anatomical overlap in PRs, the analysis was restricted to anterior teeth. Patients were stratified into two groups: non-smokers (Group 1) and smokers (Group 2).</w:t>
      </w:r>
    </w:p>
    <w:p w14:paraId="029F4D23" w14:textId="77777777" w:rsidR="005E54E9" w:rsidRDefault="005E54E9">
      <w:pPr>
        <w:spacing w:line="480" w:lineRule="auto"/>
        <w:jc w:val="both"/>
        <w:rPr>
          <w:rFonts w:ascii="Times New Roman" w:eastAsia="Times New Roman" w:hAnsi="Times New Roman" w:cs="Times New Roman"/>
        </w:rPr>
      </w:pPr>
    </w:p>
    <w:p w14:paraId="345EE4E6" w14:textId="77777777" w:rsidR="005E54E9" w:rsidRDefault="00195FD7">
      <w:pPr>
        <w:spacing w:line="480" w:lineRule="auto"/>
        <w:jc w:val="both"/>
        <w:rPr>
          <w:rFonts w:ascii="Times New Roman" w:eastAsia="Times New Roman" w:hAnsi="Times New Roman" w:cs="Times New Roman"/>
          <w:b/>
          <w:i/>
        </w:rPr>
      </w:pPr>
      <w:r>
        <w:rPr>
          <w:rFonts w:ascii="Times New Roman" w:eastAsia="Times New Roman" w:hAnsi="Times New Roman" w:cs="Times New Roman"/>
          <w:b/>
          <w:i/>
        </w:rPr>
        <w:t>Eligibility criteria</w:t>
      </w:r>
    </w:p>
    <w:p w14:paraId="37801357" w14:textId="77777777" w:rsidR="005E54E9" w:rsidRDefault="00195FD7">
      <w:pPr>
        <w:spacing w:line="480" w:lineRule="auto"/>
        <w:jc w:val="both"/>
        <w:rPr>
          <w:rFonts w:ascii="Times New Roman" w:eastAsia="Times New Roman" w:hAnsi="Times New Roman" w:cs="Times New Roman"/>
          <w:b/>
          <w:i/>
        </w:rPr>
      </w:pPr>
      <w:r>
        <w:rPr>
          <w:rFonts w:ascii="Times New Roman" w:eastAsia="Times New Roman" w:hAnsi="Times New Roman" w:cs="Times New Roman"/>
        </w:rPr>
        <w:t>Inclusion criteria comprised patients aged 18 years or older, both smokers and non-smokers, with complete clinical histories and available PRs of sufficient quality, free from artefacts or distortions that could compromise diagnostic evaluation. Patients with incomplete records, missing smoking information, or inadequate PRs were excluded.</w:t>
      </w:r>
    </w:p>
    <w:p w14:paraId="4772BB89" w14:textId="77777777" w:rsidR="005E54E9" w:rsidRDefault="005E54E9">
      <w:pPr>
        <w:spacing w:line="480" w:lineRule="auto"/>
        <w:jc w:val="both"/>
        <w:rPr>
          <w:rFonts w:ascii="Times New Roman" w:eastAsia="Times New Roman" w:hAnsi="Times New Roman" w:cs="Times New Roman"/>
        </w:rPr>
      </w:pPr>
    </w:p>
    <w:p w14:paraId="179142D3" w14:textId="77777777" w:rsidR="005E54E9" w:rsidRDefault="00195FD7">
      <w:pPr>
        <w:spacing w:line="480" w:lineRule="auto"/>
        <w:jc w:val="both"/>
        <w:rPr>
          <w:rFonts w:ascii="Times New Roman" w:eastAsia="Times New Roman" w:hAnsi="Times New Roman" w:cs="Times New Roman"/>
        </w:rPr>
      </w:pPr>
      <w:r>
        <w:rPr>
          <w:rFonts w:ascii="Times New Roman" w:eastAsia="Times New Roman" w:hAnsi="Times New Roman" w:cs="Times New Roman"/>
          <w:b/>
          <w:i/>
        </w:rPr>
        <w:t>Sample size calculation</w:t>
      </w:r>
    </w:p>
    <w:p w14:paraId="3ABD5A24" w14:textId="77777777" w:rsidR="005E54E9" w:rsidRDefault="00195FD7">
      <w:pPr>
        <w:spacing w:line="480" w:lineRule="auto"/>
        <w:jc w:val="both"/>
        <w:rPr>
          <w:rFonts w:ascii="Times New Roman" w:eastAsia="Times New Roman" w:hAnsi="Times New Roman" w:cs="Times New Roman"/>
          <w:b/>
          <w:i/>
        </w:rPr>
      </w:pPr>
      <w:r>
        <w:rPr>
          <w:rFonts w:ascii="Times New Roman" w:eastAsia="Times New Roman" w:hAnsi="Times New Roman" w:cs="Times New Roman"/>
        </w:rPr>
        <w:t xml:space="preserve">Sample size was calculated using </w:t>
      </w:r>
      <w:proofErr w:type="spellStart"/>
      <w:r>
        <w:rPr>
          <w:rFonts w:ascii="Times New Roman" w:eastAsia="Times New Roman" w:hAnsi="Times New Roman" w:cs="Times New Roman"/>
        </w:rPr>
        <w:t>EpiInfo</w:t>
      </w:r>
      <w:proofErr w:type="spellEnd"/>
      <w:r>
        <w:rPr>
          <w:rFonts w:ascii="Times New Roman" w:eastAsia="Times New Roman" w:hAnsi="Times New Roman" w:cs="Times New Roman"/>
        </w:rPr>
        <w:t xml:space="preserve"> (Centers for Disease Control and Prevention, Atlanta, USA), considering a reference population of 4,000 PRs issued during the study period, a prevalence of 16%,</w:t>
      </w:r>
      <w:r>
        <w:rPr>
          <w:rFonts w:ascii="Times New Roman" w:eastAsia="Times New Roman" w:hAnsi="Times New Roman" w:cs="Times New Roman"/>
          <w:vertAlign w:val="superscript"/>
        </w:rPr>
        <w:t>11</w:t>
      </w:r>
      <w:r>
        <w:rPr>
          <w:rFonts w:ascii="Times New Roman" w:eastAsia="Times New Roman" w:hAnsi="Times New Roman" w:cs="Times New Roman"/>
        </w:rPr>
        <w:t xml:space="preserve"> a 5% margin of error, and a 95% confidence interval. The calculation indicated a minimum sample size of 206 PRs, ensuring adequate statistical power.</w:t>
      </w:r>
    </w:p>
    <w:p w14:paraId="0D37E77B" w14:textId="77777777" w:rsidR="005E54E9" w:rsidRDefault="005E54E9">
      <w:pPr>
        <w:spacing w:line="480" w:lineRule="auto"/>
        <w:jc w:val="both"/>
        <w:rPr>
          <w:rFonts w:ascii="Times New Roman" w:eastAsia="Times New Roman" w:hAnsi="Times New Roman" w:cs="Times New Roman"/>
        </w:rPr>
      </w:pPr>
    </w:p>
    <w:p w14:paraId="34B80957" w14:textId="77777777" w:rsidR="005E54E9" w:rsidRDefault="00195FD7">
      <w:pPr>
        <w:spacing w:line="480" w:lineRule="auto"/>
        <w:jc w:val="both"/>
        <w:rPr>
          <w:rFonts w:ascii="Times New Roman" w:eastAsia="Times New Roman" w:hAnsi="Times New Roman" w:cs="Times New Roman"/>
          <w:b/>
          <w:i/>
        </w:rPr>
      </w:pPr>
      <w:r>
        <w:rPr>
          <w:rFonts w:ascii="Times New Roman" w:eastAsia="Times New Roman" w:hAnsi="Times New Roman" w:cs="Times New Roman"/>
          <w:b/>
          <w:i/>
        </w:rPr>
        <w:t>Statistical analysis</w:t>
      </w:r>
    </w:p>
    <w:p w14:paraId="134B162A" w14:textId="77777777" w:rsidR="005E54E9" w:rsidRDefault="00195FD7">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Data were analyzed using SPSS 28 (IBM Corp., Armonk, NY, USA). Categorical variables were presented as frequencies and percentages; continuous variables as means and ranges. Associations between smoking and PBR presence were assessed using Pearson’s chi-square test. Differences </w:t>
      </w:r>
      <w:r>
        <w:rPr>
          <w:rFonts w:ascii="Times New Roman" w:eastAsia="Times New Roman" w:hAnsi="Times New Roman" w:cs="Times New Roman"/>
        </w:rPr>
        <w:lastRenderedPageBreak/>
        <w:t>in age and smoking duration between groups were evaluated using independent-samples t-tests. Prevalence ratios with 95% confidence intervals were calculated, with a significance level of p&lt;0.05.</w:t>
      </w:r>
      <w:r>
        <w:br w:type="page"/>
      </w:r>
    </w:p>
    <w:p w14:paraId="429E0EA4" w14:textId="77777777" w:rsidR="005E54E9" w:rsidRDefault="00195FD7">
      <w:pPr>
        <w:spacing w:line="48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RESULTS</w:t>
      </w:r>
    </w:p>
    <w:p w14:paraId="44A48B0F" w14:textId="77777777" w:rsidR="005E54E9" w:rsidRDefault="005E54E9">
      <w:pPr>
        <w:spacing w:line="480" w:lineRule="auto"/>
        <w:jc w:val="both"/>
        <w:rPr>
          <w:rFonts w:ascii="Times New Roman" w:eastAsia="Times New Roman" w:hAnsi="Times New Roman" w:cs="Times New Roman"/>
        </w:rPr>
      </w:pPr>
    </w:p>
    <w:p w14:paraId="7777A459" w14:textId="77777777" w:rsidR="005E54E9" w:rsidRDefault="00195FD7">
      <w:pPr>
        <w:spacing w:line="480" w:lineRule="auto"/>
        <w:jc w:val="both"/>
        <w:rPr>
          <w:rFonts w:ascii="Times New Roman" w:eastAsia="Times New Roman" w:hAnsi="Times New Roman" w:cs="Times New Roman"/>
          <w:b/>
          <w:i/>
        </w:rPr>
      </w:pPr>
      <w:r>
        <w:rPr>
          <w:rFonts w:ascii="Times New Roman" w:eastAsia="Times New Roman" w:hAnsi="Times New Roman" w:cs="Times New Roman"/>
          <w:b/>
          <w:i/>
        </w:rPr>
        <w:t>Sample characteristics</w:t>
      </w:r>
    </w:p>
    <w:p w14:paraId="43E8EBBC" w14:textId="77777777" w:rsidR="005E54E9" w:rsidRDefault="00195FD7">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A total of 212 patients were analyzed, ranging in age from 18 to 78 years (mean 48 ± 13.9 years). Among smokers, 40 were active and 66 </w:t>
      </w:r>
      <w:proofErr w:type="gramStart"/>
      <w:r>
        <w:rPr>
          <w:rFonts w:ascii="Times New Roman" w:eastAsia="Times New Roman" w:hAnsi="Times New Roman" w:cs="Times New Roman"/>
        </w:rPr>
        <w:t>former</w:t>
      </w:r>
      <w:proofErr w:type="gramEnd"/>
      <w:r>
        <w:rPr>
          <w:rFonts w:ascii="Times New Roman" w:eastAsia="Times New Roman" w:hAnsi="Times New Roman" w:cs="Times New Roman"/>
        </w:rPr>
        <w:t>, with mean ages of 50 and 53.5 years, respectively. The mean duration of smoking was 28.6 years for active smokers and 27.8 years for former smokers, with an average cessation time of 21.6 years among former smokers. Non-smokers had a mean age of 43.5 years.</w:t>
      </w:r>
    </w:p>
    <w:p w14:paraId="59A85972" w14:textId="77777777" w:rsidR="005E54E9" w:rsidRDefault="005E54E9">
      <w:pPr>
        <w:spacing w:line="480" w:lineRule="auto"/>
        <w:ind w:firstLine="720"/>
        <w:jc w:val="both"/>
        <w:rPr>
          <w:rFonts w:ascii="Times New Roman" w:eastAsia="Times New Roman" w:hAnsi="Times New Roman" w:cs="Times New Roman"/>
        </w:rPr>
      </w:pPr>
    </w:p>
    <w:p w14:paraId="2A7C5590" w14:textId="77777777" w:rsidR="005E54E9" w:rsidRDefault="00195FD7">
      <w:pPr>
        <w:spacing w:line="480" w:lineRule="auto"/>
        <w:jc w:val="both"/>
        <w:rPr>
          <w:rFonts w:ascii="Times New Roman" w:eastAsia="Times New Roman" w:hAnsi="Times New Roman" w:cs="Times New Roman"/>
        </w:rPr>
      </w:pPr>
      <w:r>
        <w:rPr>
          <w:rFonts w:ascii="Times New Roman" w:eastAsia="Times New Roman" w:hAnsi="Times New Roman" w:cs="Times New Roman"/>
          <w:b/>
          <w:i/>
        </w:rPr>
        <w:t>Overall prevalence of periapical bone rarefactions</w:t>
      </w:r>
    </w:p>
    <w:p w14:paraId="7EEB4568" w14:textId="77777777" w:rsidR="005E54E9" w:rsidRDefault="00195FD7">
      <w:pPr>
        <w:spacing w:line="480" w:lineRule="auto"/>
        <w:jc w:val="both"/>
        <w:rPr>
          <w:rFonts w:ascii="Times New Roman" w:eastAsia="Times New Roman" w:hAnsi="Times New Roman" w:cs="Times New Roman"/>
        </w:rPr>
      </w:pPr>
      <w:r>
        <w:rPr>
          <w:rFonts w:ascii="Times New Roman" w:eastAsia="Times New Roman" w:hAnsi="Times New Roman" w:cs="Times New Roman"/>
        </w:rPr>
        <w:t>Radiographic analysis revealed a total of 158 PBRs, representing 74.5% of the sample (</w:t>
      </w:r>
      <w:r>
        <w:rPr>
          <w:rFonts w:ascii="Times New Roman" w:eastAsia="Times New Roman" w:hAnsi="Times New Roman" w:cs="Times New Roman"/>
          <w:b/>
        </w:rPr>
        <w:t>Figures 1–2</w:t>
      </w:r>
      <w:r>
        <w:rPr>
          <w:rFonts w:ascii="Times New Roman" w:eastAsia="Times New Roman" w:hAnsi="Times New Roman" w:cs="Times New Roman"/>
        </w:rPr>
        <w:t>). Among smokers, 35 individuals (33%) presented lesions, whereas 71 (67%) were lesion-free. In contrast, 70 non-smokers (66%) had lesions and 36 (34%) did not (</w:t>
      </w:r>
      <w:r>
        <w:rPr>
          <w:rFonts w:ascii="Times New Roman" w:eastAsia="Times New Roman" w:hAnsi="Times New Roman" w:cs="Times New Roman"/>
          <w:b/>
        </w:rPr>
        <w:t>Table 2</w:t>
      </w:r>
      <w:r>
        <w:rPr>
          <w:rFonts w:ascii="Times New Roman" w:eastAsia="Times New Roman" w:hAnsi="Times New Roman" w:cs="Times New Roman"/>
        </w:rPr>
        <w:t>). Female predominance was similar across groups, with 62.8% of affected smokers and 63.8% of lesion-free non-smokers being women.</w:t>
      </w:r>
    </w:p>
    <w:p w14:paraId="22D2ADA7" w14:textId="77777777" w:rsidR="005E54E9" w:rsidRDefault="005E54E9">
      <w:pPr>
        <w:spacing w:line="480" w:lineRule="auto"/>
        <w:ind w:firstLine="720"/>
        <w:jc w:val="both"/>
        <w:rPr>
          <w:rFonts w:ascii="Times New Roman" w:eastAsia="Times New Roman" w:hAnsi="Times New Roman" w:cs="Times New Roman"/>
        </w:rPr>
      </w:pPr>
    </w:p>
    <w:p w14:paraId="075CB7B6" w14:textId="77777777" w:rsidR="005E54E9" w:rsidRDefault="00195FD7">
      <w:pPr>
        <w:spacing w:line="480" w:lineRule="auto"/>
        <w:jc w:val="both"/>
        <w:rPr>
          <w:rFonts w:ascii="Times New Roman" w:eastAsia="Times New Roman" w:hAnsi="Times New Roman" w:cs="Times New Roman"/>
        </w:rPr>
      </w:pPr>
      <w:r>
        <w:rPr>
          <w:rFonts w:ascii="Times New Roman" w:eastAsia="Times New Roman" w:hAnsi="Times New Roman" w:cs="Times New Roman"/>
          <w:b/>
          <w:i/>
        </w:rPr>
        <w:t>Distribution by tooth type</w:t>
      </w:r>
    </w:p>
    <w:p w14:paraId="0B008501" w14:textId="77777777" w:rsidR="005E54E9" w:rsidRDefault="00195FD7">
      <w:pPr>
        <w:spacing w:line="480" w:lineRule="auto"/>
        <w:jc w:val="both"/>
        <w:rPr>
          <w:rFonts w:ascii="Times New Roman" w:eastAsia="Times New Roman" w:hAnsi="Times New Roman" w:cs="Times New Roman"/>
        </w:rPr>
      </w:pPr>
      <w:r>
        <w:rPr>
          <w:rFonts w:ascii="Times New Roman" w:eastAsia="Times New Roman" w:hAnsi="Times New Roman" w:cs="Times New Roman"/>
        </w:rPr>
        <w:t>Among smokers, the upper central incisors and upper canines were most frequently affected (20.6% each), followed by upper lateral incisors and lower central incisors (18.9% each), while lower lateral incisors and canines accounted for 10.3% each. In non-smokers, the upper lateral incisors were most affected (27%), followed by upper central incisors (22%), with lower anterior teeth ranging from 6% to 17% (</w:t>
      </w:r>
      <w:r>
        <w:rPr>
          <w:rFonts w:ascii="Times New Roman" w:eastAsia="Times New Roman" w:hAnsi="Times New Roman" w:cs="Times New Roman"/>
          <w:b/>
        </w:rPr>
        <w:t>Table 3</w:t>
      </w:r>
      <w:r>
        <w:rPr>
          <w:rFonts w:ascii="Times New Roman" w:eastAsia="Times New Roman" w:hAnsi="Times New Roman" w:cs="Times New Roman"/>
        </w:rPr>
        <w:t>). These findings indicate a predilection for anterior maxillary teeth in both groups. Statistical analysis confirmed no significant differences in lesion location between smokers and non-smokers (Pearson’s chi-square = 0.8; p = 0.7; Fisher’s exact test = 0.9; p = 0.7).</w:t>
      </w:r>
    </w:p>
    <w:p w14:paraId="2DFB4092" w14:textId="77777777" w:rsidR="005E54E9" w:rsidRDefault="005E54E9">
      <w:pPr>
        <w:spacing w:line="480" w:lineRule="auto"/>
        <w:ind w:firstLine="720"/>
        <w:jc w:val="both"/>
        <w:rPr>
          <w:rFonts w:ascii="Times New Roman" w:eastAsia="Times New Roman" w:hAnsi="Times New Roman" w:cs="Times New Roman"/>
        </w:rPr>
      </w:pPr>
    </w:p>
    <w:p w14:paraId="1AE8E647" w14:textId="77777777" w:rsidR="005E54E9" w:rsidRDefault="00195FD7">
      <w:pPr>
        <w:spacing w:line="480" w:lineRule="auto"/>
        <w:jc w:val="both"/>
        <w:rPr>
          <w:rFonts w:ascii="Times New Roman" w:eastAsia="Times New Roman" w:hAnsi="Times New Roman" w:cs="Times New Roman"/>
          <w:b/>
          <w:i/>
        </w:rPr>
      </w:pPr>
      <w:r>
        <w:rPr>
          <w:rFonts w:ascii="Times New Roman" w:eastAsia="Times New Roman" w:hAnsi="Times New Roman" w:cs="Times New Roman"/>
          <w:b/>
          <w:i/>
        </w:rPr>
        <w:t>Influence of smoking duration</w:t>
      </w:r>
    </w:p>
    <w:p w14:paraId="73D6DEF9" w14:textId="77777777" w:rsidR="005E54E9" w:rsidRDefault="00195FD7">
      <w:pPr>
        <w:spacing w:line="480" w:lineRule="auto"/>
        <w:jc w:val="both"/>
        <w:rPr>
          <w:rFonts w:ascii="Times New Roman" w:eastAsia="Times New Roman" w:hAnsi="Times New Roman" w:cs="Times New Roman"/>
        </w:rPr>
      </w:pPr>
      <w:r>
        <w:rPr>
          <w:rFonts w:ascii="Times New Roman" w:eastAsia="Times New Roman" w:hAnsi="Times New Roman" w:cs="Times New Roman"/>
        </w:rPr>
        <w:lastRenderedPageBreak/>
        <w:t>Duration of smoking was positively associated with lesion prevalence. Among active smokers, 66.6% of patients with lesions had smoked for more than ten years, whereas in former smokers, 45% with lesions had similar smoking histories. Lesions were rare in patients with less than one year of smoking (&lt;10%) and increased progressively with longer durations (</w:t>
      </w:r>
      <w:r>
        <w:rPr>
          <w:rFonts w:ascii="Times New Roman" w:eastAsia="Times New Roman" w:hAnsi="Times New Roman" w:cs="Times New Roman"/>
          <w:b/>
        </w:rPr>
        <w:t>Table 4</w:t>
      </w:r>
      <w:r>
        <w:rPr>
          <w:rFonts w:ascii="Times New Roman" w:eastAsia="Times New Roman" w:hAnsi="Times New Roman" w:cs="Times New Roman"/>
        </w:rPr>
        <w:t>).</w:t>
      </w:r>
    </w:p>
    <w:p w14:paraId="1534E49B" w14:textId="77777777" w:rsidR="005E54E9" w:rsidRDefault="005E54E9">
      <w:pPr>
        <w:spacing w:line="480" w:lineRule="auto"/>
        <w:ind w:firstLine="720"/>
        <w:jc w:val="both"/>
        <w:rPr>
          <w:rFonts w:ascii="Times New Roman" w:eastAsia="Times New Roman" w:hAnsi="Times New Roman" w:cs="Times New Roman"/>
        </w:rPr>
      </w:pPr>
    </w:p>
    <w:p w14:paraId="2932C263" w14:textId="77777777" w:rsidR="005E54E9" w:rsidRDefault="00195FD7">
      <w:pPr>
        <w:spacing w:line="480" w:lineRule="auto"/>
        <w:jc w:val="both"/>
        <w:rPr>
          <w:rFonts w:ascii="Times New Roman" w:eastAsia="Times New Roman" w:hAnsi="Times New Roman" w:cs="Times New Roman"/>
        </w:rPr>
      </w:pPr>
      <w:r>
        <w:rPr>
          <w:rFonts w:ascii="Times New Roman" w:eastAsia="Times New Roman" w:hAnsi="Times New Roman" w:cs="Times New Roman"/>
          <w:b/>
          <w:i/>
        </w:rPr>
        <w:t>Lesion location by arch</w:t>
      </w:r>
    </w:p>
    <w:p w14:paraId="1B580CA9" w14:textId="77777777" w:rsidR="005E54E9" w:rsidRDefault="00195FD7">
      <w:pPr>
        <w:spacing w:line="480" w:lineRule="auto"/>
        <w:jc w:val="both"/>
        <w:rPr>
          <w:rFonts w:ascii="Times New Roman" w:eastAsia="Times New Roman" w:hAnsi="Times New Roman" w:cs="Times New Roman"/>
        </w:rPr>
      </w:pPr>
      <w:r>
        <w:rPr>
          <w:rFonts w:ascii="Times New Roman" w:eastAsia="Times New Roman" w:hAnsi="Times New Roman" w:cs="Times New Roman"/>
        </w:rPr>
        <w:t>Most lesions were located in the maxilla (62.5% in smokers, 70% in non-smokers), followed by the mandible (34.4% in smokers, 25.7% in non-smokers), with few involving both arches (3.1% and 4.3%, respectively). No statistically significant differences were observed between groups regarding lesion location (Pearson’s chi-square = 0.8; p = 0.7; Fisher’s exact test = 0.9; p = 0.7) (</w:t>
      </w:r>
      <w:r>
        <w:rPr>
          <w:rFonts w:ascii="Times New Roman" w:eastAsia="Times New Roman" w:hAnsi="Times New Roman" w:cs="Times New Roman"/>
          <w:b/>
        </w:rPr>
        <w:t>Table 1</w:t>
      </w:r>
      <w:r>
        <w:rPr>
          <w:rFonts w:ascii="Times New Roman" w:eastAsia="Times New Roman" w:hAnsi="Times New Roman" w:cs="Times New Roman"/>
        </w:rPr>
        <w:t>).</w:t>
      </w:r>
      <w:r>
        <w:br w:type="page"/>
      </w:r>
    </w:p>
    <w:p w14:paraId="1BEA67D1" w14:textId="77777777" w:rsidR="005E54E9" w:rsidRDefault="00195FD7">
      <w:pPr>
        <w:spacing w:line="48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DISCUSSION</w:t>
      </w:r>
    </w:p>
    <w:p w14:paraId="0A9D8E27" w14:textId="77777777" w:rsidR="005E54E9" w:rsidRDefault="005E54E9">
      <w:pPr>
        <w:spacing w:line="480" w:lineRule="auto"/>
        <w:jc w:val="both"/>
        <w:rPr>
          <w:rFonts w:ascii="Times New Roman" w:eastAsia="Times New Roman" w:hAnsi="Times New Roman" w:cs="Times New Roman"/>
        </w:rPr>
      </w:pPr>
    </w:p>
    <w:p w14:paraId="59631DBF" w14:textId="77777777" w:rsidR="005E54E9" w:rsidRDefault="00195FD7">
      <w:pPr>
        <w:spacing w:line="480" w:lineRule="auto"/>
        <w:jc w:val="both"/>
        <w:rPr>
          <w:rFonts w:ascii="Times New Roman" w:eastAsia="Times New Roman" w:hAnsi="Times New Roman" w:cs="Times New Roman"/>
        </w:rPr>
      </w:pPr>
      <w:r>
        <w:rPr>
          <w:rFonts w:ascii="Times New Roman" w:eastAsia="Times New Roman" w:hAnsi="Times New Roman" w:cs="Times New Roman"/>
        </w:rPr>
        <w:t>Smoking remains a critical modifier of oral health, and PRs are indispensable for evaluating PBRs, particularly in regions with limited access to advanced imaging, such as Brazil.</w:t>
      </w:r>
      <w:r>
        <w:rPr>
          <w:rFonts w:ascii="Times New Roman" w:eastAsia="Times New Roman" w:hAnsi="Times New Roman" w:cs="Times New Roman"/>
          <w:vertAlign w:val="superscript"/>
        </w:rPr>
        <w:t>2,6</w:t>
      </w:r>
      <w:r>
        <w:rPr>
          <w:rFonts w:ascii="Times New Roman" w:eastAsia="Times New Roman" w:hAnsi="Times New Roman" w:cs="Times New Roman"/>
        </w:rPr>
        <w:t xml:space="preserve"> Despite inherent distortions, PRs provide reliable comparative analysis of anterior dental hemiarches in a single scan while minimizing radiation exposure. Standardized image acquisition and evaluation by calibrated examiners in this study further strengthened diagnostic reliability.</w:t>
      </w:r>
    </w:p>
    <w:p w14:paraId="4A790F56" w14:textId="77777777" w:rsidR="005E54E9" w:rsidRDefault="005E54E9">
      <w:pPr>
        <w:spacing w:line="480" w:lineRule="auto"/>
        <w:ind w:firstLine="720"/>
        <w:jc w:val="both"/>
        <w:rPr>
          <w:rFonts w:ascii="Times New Roman" w:eastAsia="Times New Roman" w:hAnsi="Times New Roman" w:cs="Times New Roman"/>
        </w:rPr>
      </w:pPr>
    </w:p>
    <w:p w14:paraId="214E461D" w14:textId="77777777" w:rsidR="005E54E9" w:rsidRDefault="00195FD7">
      <w:pPr>
        <w:spacing w:line="480" w:lineRule="auto"/>
        <w:jc w:val="both"/>
        <w:rPr>
          <w:rFonts w:ascii="Times New Roman" w:eastAsia="Times New Roman" w:hAnsi="Times New Roman" w:cs="Times New Roman"/>
        </w:rPr>
      </w:pPr>
      <w:r>
        <w:rPr>
          <w:rFonts w:ascii="Times New Roman" w:eastAsia="Times New Roman" w:hAnsi="Times New Roman" w:cs="Times New Roman"/>
        </w:rPr>
        <w:t>The prevalence of PBRs in this sample was strikingly high at 74.5%, yet counterintuitively, smokers exhibited fewer lesions (33%) compared to non-smokers (66%) (</w:t>
      </w:r>
      <w:r>
        <w:rPr>
          <w:rFonts w:ascii="Times New Roman" w:eastAsia="Times New Roman" w:hAnsi="Times New Roman" w:cs="Times New Roman"/>
          <w:b/>
        </w:rPr>
        <w:t>Table 1</w:t>
      </w:r>
      <w:r>
        <w:rPr>
          <w:rFonts w:ascii="Times New Roman" w:eastAsia="Times New Roman" w:hAnsi="Times New Roman" w:cs="Times New Roman"/>
        </w:rPr>
        <w:t>). This paradox may reflect retrospective biases, differences in previous dental care, or delayed lesion detection in smokers. Such findings challenge the prevailing assumption that tobacco uniformly increases periapical pathology, suggesting that smoking may reshape lesion patterns rather than simply increase frequency.</w:t>
      </w:r>
    </w:p>
    <w:p w14:paraId="52E48147" w14:textId="77777777" w:rsidR="005E54E9" w:rsidRDefault="005E54E9">
      <w:pPr>
        <w:spacing w:line="480" w:lineRule="auto"/>
        <w:ind w:firstLine="720"/>
        <w:jc w:val="both"/>
        <w:rPr>
          <w:rFonts w:ascii="Times New Roman" w:eastAsia="Times New Roman" w:hAnsi="Times New Roman" w:cs="Times New Roman"/>
        </w:rPr>
      </w:pPr>
    </w:p>
    <w:p w14:paraId="23406A38" w14:textId="77777777" w:rsidR="005E54E9" w:rsidRDefault="00195FD7">
      <w:pPr>
        <w:spacing w:line="480" w:lineRule="auto"/>
        <w:jc w:val="both"/>
        <w:rPr>
          <w:rFonts w:ascii="Times New Roman" w:eastAsia="Times New Roman" w:hAnsi="Times New Roman" w:cs="Times New Roman"/>
        </w:rPr>
      </w:pPr>
      <w:r>
        <w:rPr>
          <w:rFonts w:ascii="Times New Roman" w:eastAsia="Times New Roman" w:hAnsi="Times New Roman" w:cs="Times New Roman"/>
        </w:rPr>
        <w:t>Anatomical distribution reinforces this concept: smokers had PBRs concentrated in maxillary anterior teeth, while non-smokers showed a more homogeneous spread across maxillary and mandibular anterior teeth (</w:t>
      </w:r>
      <w:r>
        <w:rPr>
          <w:rFonts w:ascii="Times New Roman" w:eastAsia="Times New Roman" w:hAnsi="Times New Roman" w:cs="Times New Roman"/>
          <w:b/>
        </w:rPr>
        <w:t>Table 2</w:t>
      </w:r>
      <w:r>
        <w:rPr>
          <w:rFonts w:ascii="Times New Roman" w:eastAsia="Times New Roman" w:hAnsi="Times New Roman" w:cs="Times New Roman"/>
        </w:rPr>
        <w:t xml:space="preserve">; </w:t>
      </w:r>
      <w:r>
        <w:rPr>
          <w:rFonts w:ascii="Times New Roman" w:eastAsia="Times New Roman" w:hAnsi="Times New Roman" w:cs="Times New Roman"/>
          <w:b/>
        </w:rPr>
        <w:t>Figures 1–2</w:t>
      </w:r>
      <w:r>
        <w:rPr>
          <w:rFonts w:ascii="Times New Roman" w:eastAsia="Times New Roman" w:hAnsi="Times New Roman" w:cs="Times New Roman"/>
        </w:rPr>
        <w:t>). This aligns with prior observations of site-specific susceptibility linked to blood supply, thermal exposure, and direct contact with smoke.</w:t>
      </w:r>
      <w:r>
        <w:rPr>
          <w:rFonts w:ascii="Times New Roman" w:eastAsia="Times New Roman" w:hAnsi="Times New Roman" w:cs="Times New Roman"/>
          <w:vertAlign w:val="superscript"/>
        </w:rPr>
        <w:t>10,18</w:t>
      </w:r>
      <w:r>
        <w:rPr>
          <w:rFonts w:ascii="Times New Roman" w:eastAsia="Times New Roman" w:hAnsi="Times New Roman" w:cs="Times New Roman"/>
        </w:rPr>
        <w:t xml:space="preserve"> Duration of smoking emerged as a dose-dependent determinant: over ten years of tobacco use correlated with higher lesion prevalence among both current and former smokers (</w:t>
      </w:r>
      <w:r>
        <w:rPr>
          <w:rFonts w:ascii="Times New Roman" w:eastAsia="Times New Roman" w:hAnsi="Times New Roman" w:cs="Times New Roman"/>
          <w:b/>
        </w:rPr>
        <w:t>Table 3</w:t>
      </w:r>
      <w:r>
        <w:rPr>
          <w:rFonts w:ascii="Times New Roman" w:eastAsia="Times New Roman" w:hAnsi="Times New Roman" w:cs="Times New Roman"/>
        </w:rPr>
        <w:t>), consistent with literature demonstrating impaired bone regenerative capacity and compromised microcirculation in chronic smokers.</w:t>
      </w:r>
      <w:r>
        <w:rPr>
          <w:rFonts w:ascii="Times New Roman" w:eastAsia="Times New Roman" w:hAnsi="Times New Roman" w:cs="Times New Roman"/>
          <w:vertAlign w:val="superscript"/>
        </w:rPr>
        <w:t>7–8, 10–11</w:t>
      </w:r>
    </w:p>
    <w:p w14:paraId="7937AF9F" w14:textId="77777777" w:rsidR="005E54E9" w:rsidRDefault="005E54E9">
      <w:pPr>
        <w:spacing w:line="480" w:lineRule="auto"/>
        <w:jc w:val="both"/>
        <w:rPr>
          <w:rFonts w:ascii="Times New Roman" w:eastAsia="Times New Roman" w:hAnsi="Times New Roman" w:cs="Times New Roman"/>
        </w:rPr>
      </w:pPr>
    </w:p>
    <w:p w14:paraId="68595953" w14:textId="77777777" w:rsidR="005E54E9" w:rsidRDefault="00195FD7">
      <w:pPr>
        <w:spacing w:line="480" w:lineRule="auto"/>
        <w:jc w:val="both"/>
        <w:rPr>
          <w:rFonts w:ascii="Times New Roman" w:eastAsia="Times New Roman" w:hAnsi="Times New Roman" w:cs="Times New Roman"/>
          <w:vertAlign w:val="superscript"/>
        </w:rPr>
      </w:pPr>
      <w:r>
        <w:rPr>
          <w:rFonts w:ascii="Times New Roman" w:eastAsia="Times New Roman" w:hAnsi="Times New Roman" w:cs="Times New Roman"/>
        </w:rPr>
        <w:t xml:space="preserve">Comparisons with existing literature highlight nuance. While many studies report smoking as a driver of periapical pathology, the current data suggest that tobacco alters lesion distribution and severity more than prevalence. </w:t>
      </w:r>
      <w:r>
        <w:rPr>
          <w:rFonts w:ascii="Times New Roman" w:eastAsia="Times New Roman" w:hAnsi="Times New Roman" w:cs="Times New Roman"/>
          <w:vertAlign w:val="superscript"/>
        </w:rPr>
        <w:t xml:space="preserve">9, 12–13 </w:t>
      </w:r>
      <w:r>
        <w:rPr>
          <w:rFonts w:ascii="Times New Roman" w:eastAsia="Times New Roman" w:hAnsi="Times New Roman" w:cs="Times New Roman"/>
        </w:rPr>
        <w:t xml:space="preserve">Anatomical predilection for maxillary incisors in </w:t>
      </w:r>
      <w:proofErr w:type="gramStart"/>
      <w:r>
        <w:rPr>
          <w:rFonts w:ascii="Times New Roman" w:eastAsia="Times New Roman" w:hAnsi="Times New Roman" w:cs="Times New Roman"/>
        </w:rPr>
        <w:t>smokers</w:t>
      </w:r>
      <w:proofErr w:type="gramEnd"/>
      <w:r>
        <w:rPr>
          <w:rFonts w:ascii="Times New Roman" w:eastAsia="Times New Roman" w:hAnsi="Times New Roman" w:cs="Times New Roman"/>
        </w:rPr>
        <w:t xml:space="preserve"> echoes findings from Rosa et al.,</w:t>
      </w:r>
      <w:r>
        <w:rPr>
          <w:rFonts w:ascii="Times New Roman" w:eastAsia="Times New Roman" w:hAnsi="Times New Roman" w:cs="Times New Roman"/>
          <w:vertAlign w:val="superscript"/>
        </w:rPr>
        <w:t>14</w:t>
      </w:r>
      <w:r>
        <w:rPr>
          <w:rFonts w:ascii="Times New Roman" w:eastAsia="Times New Roman" w:hAnsi="Times New Roman" w:cs="Times New Roman"/>
        </w:rPr>
        <w:t xml:space="preserve"> potentially explained by repeated exposure to heat and smoke </w:t>
      </w:r>
      <w:r>
        <w:rPr>
          <w:rFonts w:ascii="Times New Roman" w:eastAsia="Times New Roman" w:hAnsi="Times New Roman" w:cs="Times New Roman"/>
        </w:rPr>
        <w:lastRenderedPageBreak/>
        <w:t>combined with anterior alveolar microvascular patterns. Conversely, other reports indicate posterior bone loss or vertical defects, underscoring the influence of local factors such as root morphology, oral hygiene, and smoking intensity.</w:t>
      </w:r>
      <w:r>
        <w:rPr>
          <w:rFonts w:ascii="Times New Roman" w:eastAsia="Times New Roman" w:hAnsi="Times New Roman" w:cs="Times New Roman"/>
          <w:vertAlign w:val="superscript"/>
        </w:rPr>
        <w:t>15–16</w:t>
      </w:r>
    </w:p>
    <w:p w14:paraId="46C4BB04" w14:textId="77777777" w:rsidR="005E54E9" w:rsidRDefault="005E54E9">
      <w:pPr>
        <w:spacing w:line="480" w:lineRule="auto"/>
        <w:ind w:firstLine="720"/>
        <w:jc w:val="both"/>
        <w:rPr>
          <w:rFonts w:ascii="Times New Roman" w:eastAsia="Times New Roman" w:hAnsi="Times New Roman" w:cs="Times New Roman"/>
        </w:rPr>
      </w:pPr>
    </w:p>
    <w:p w14:paraId="04475795" w14:textId="77777777" w:rsidR="005E54E9" w:rsidRDefault="00195FD7">
      <w:pPr>
        <w:spacing w:line="480" w:lineRule="auto"/>
        <w:jc w:val="both"/>
        <w:rPr>
          <w:rFonts w:ascii="Times New Roman" w:eastAsia="Times New Roman" w:hAnsi="Times New Roman" w:cs="Times New Roman"/>
          <w:vertAlign w:val="superscript"/>
        </w:rPr>
      </w:pPr>
      <w:r>
        <w:rPr>
          <w:rFonts w:ascii="Times New Roman" w:eastAsia="Times New Roman" w:hAnsi="Times New Roman" w:cs="Times New Roman"/>
        </w:rPr>
        <w:t>The clinical implications are clear: smokers may present fewer detectable PBRs, but with more severe or strategically located lesions, demanding heightened vigilance during radiographic assessment. Dental practitioners should integrate early detection strategies and tobacco cessation counseling into routine care to mitigate long-term periapical consequences.</w:t>
      </w:r>
      <w:r>
        <w:rPr>
          <w:rFonts w:ascii="Times New Roman" w:eastAsia="Times New Roman" w:hAnsi="Times New Roman" w:cs="Times New Roman"/>
          <w:vertAlign w:val="superscript"/>
        </w:rPr>
        <w:t>17–18</w:t>
      </w:r>
    </w:p>
    <w:p w14:paraId="3FF79B69" w14:textId="77777777" w:rsidR="005E54E9" w:rsidRDefault="005E54E9">
      <w:pPr>
        <w:spacing w:line="480" w:lineRule="auto"/>
        <w:ind w:firstLine="720"/>
        <w:jc w:val="both"/>
        <w:rPr>
          <w:rFonts w:ascii="Times New Roman" w:eastAsia="Times New Roman" w:hAnsi="Times New Roman" w:cs="Times New Roman"/>
        </w:rPr>
      </w:pPr>
    </w:p>
    <w:p w14:paraId="1911F266" w14:textId="77777777" w:rsidR="005E54E9" w:rsidRDefault="00195FD7">
      <w:pPr>
        <w:spacing w:line="480" w:lineRule="auto"/>
        <w:jc w:val="both"/>
        <w:rPr>
          <w:rFonts w:ascii="Times New Roman" w:eastAsia="Times New Roman" w:hAnsi="Times New Roman" w:cs="Times New Roman"/>
        </w:rPr>
      </w:pPr>
      <w:r>
        <w:rPr>
          <w:rFonts w:ascii="Times New Roman" w:eastAsia="Times New Roman" w:hAnsi="Times New Roman" w:cs="Times New Roman"/>
        </w:rPr>
        <w:t>Limitations warrant careful consideration. The retrospective design constrains causal inference, reliance on PRs limits resolution and accuracy, and restriction to anterior teeth restricts generalizability. Single-center sampling may introduce regional bias, though the genetically diverse Brazilian population and balanced distribution of smokers, former smokers, and non-smokers mitigate this concern. Future multicentric studies with full-dentition assessment and high-resolution imaging modalities are essential to validate and extend these findings.</w:t>
      </w:r>
    </w:p>
    <w:p w14:paraId="608CF211" w14:textId="77777777" w:rsidR="005E54E9" w:rsidRDefault="005E54E9">
      <w:pPr>
        <w:spacing w:line="480" w:lineRule="auto"/>
        <w:ind w:firstLine="720"/>
        <w:jc w:val="both"/>
        <w:rPr>
          <w:rFonts w:ascii="Times New Roman" w:eastAsia="Times New Roman" w:hAnsi="Times New Roman" w:cs="Times New Roman"/>
        </w:rPr>
      </w:pPr>
    </w:p>
    <w:p w14:paraId="1A2F6D2A" w14:textId="77777777" w:rsidR="005E54E9" w:rsidRDefault="00195FD7">
      <w:pPr>
        <w:spacing w:line="480" w:lineRule="auto"/>
        <w:jc w:val="both"/>
        <w:rPr>
          <w:rFonts w:ascii="Times New Roman" w:eastAsia="Times New Roman" w:hAnsi="Times New Roman" w:cs="Times New Roman"/>
        </w:rPr>
      </w:pPr>
      <w:r>
        <w:rPr>
          <w:rFonts w:ascii="Times New Roman" w:eastAsia="Times New Roman" w:hAnsi="Times New Roman" w:cs="Times New Roman"/>
        </w:rPr>
        <w:t>In conclusion, while non-smokers displayed a higher overall prevalence of PBRs, smoking reshapes periapical disease by concentrating lesions in maxillary anterior teeth and amplifying severity in long-term users. These insights emphasize the need for targeted radiographic evaluation, preventive strategies, and integration of smoking cessation interventions in dental practice to manage periapical health effectively. Prospective studies with full-dentition assessment and advanced imaging are warranted to clarify the full impact of tobacco on periapical health.</w:t>
      </w:r>
      <w:r>
        <w:br w:type="page"/>
      </w:r>
    </w:p>
    <w:p w14:paraId="287BA8D2" w14:textId="77777777" w:rsidR="005E54E9" w:rsidRDefault="00195FD7">
      <w:pPr>
        <w:spacing w:line="48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CONCLUSION</w:t>
      </w:r>
    </w:p>
    <w:p w14:paraId="2B083B7C" w14:textId="77777777" w:rsidR="005E54E9" w:rsidRDefault="005E54E9">
      <w:pPr>
        <w:spacing w:line="480" w:lineRule="auto"/>
        <w:jc w:val="both"/>
        <w:rPr>
          <w:rFonts w:ascii="Times New Roman" w:eastAsia="Times New Roman" w:hAnsi="Times New Roman" w:cs="Times New Roman"/>
        </w:rPr>
      </w:pPr>
    </w:p>
    <w:p w14:paraId="75DECA8D" w14:textId="77777777" w:rsidR="005E54E9" w:rsidRDefault="00195FD7">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Smoking influences the pattern and severity of PBRs, concentrating lesions in maxillary anterior teeth and increasing risk in long-term users, even when overall prevalence is lower than in non-smokers. These findings highlight the importance of careful radiographic evaluation and the integration of preventive strategies, including smoking cessation, into routine dental care.</w:t>
      </w:r>
    </w:p>
    <w:p w14:paraId="7F0D8080" w14:textId="77777777" w:rsidR="005E54E9" w:rsidRDefault="005E54E9">
      <w:pPr>
        <w:spacing w:line="480" w:lineRule="auto"/>
        <w:ind w:firstLine="720"/>
        <w:jc w:val="both"/>
        <w:rPr>
          <w:rFonts w:ascii="Times New Roman" w:eastAsia="Times New Roman" w:hAnsi="Times New Roman" w:cs="Times New Roman"/>
        </w:rPr>
      </w:pPr>
    </w:p>
    <w:p w14:paraId="03A75F16" w14:textId="77777777" w:rsidR="00B63E10" w:rsidRDefault="00B63E10" w:rsidP="00B63E10">
      <w:pPr>
        <w:spacing w:line="480" w:lineRule="auto"/>
        <w:jc w:val="both"/>
        <w:rPr>
          <w:rFonts w:ascii="Times New Roman" w:eastAsia="Times New Roman" w:hAnsi="Times New Roman" w:cs="Times New Roman"/>
          <w:b/>
        </w:rPr>
      </w:pPr>
      <w:r>
        <w:rPr>
          <w:rFonts w:ascii="Times New Roman" w:eastAsia="Times New Roman" w:hAnsi="Times New Roman" w:cs="Times New Roman"/>
          <w:b/>
        </w:rPr>
        <w:t>AUTHORS' CONTRIBUTIONS (</w:t>
      </w:r>
      <w:proofErr w:type="spellStart"/>
      <w:r>
        <w:rPr>
          <w:rFonts w:ascii="Times New Roman" w:eastAsia="Times New Roman" w:hAnsi="Times New Roman" w:cs="Times New Roman"/>
          <w:b/>
        </w:rPr>
        <w:t>CRediT</w:t>
      </w:r>
      <w:proofErr w:type="spellEnd"/>
      <w:r>
        <w:rPr>
          <w:rFonts w:ascii="Times New Roman" w:eastAsia="Times New Roman" w:hAnsi="Times New Roman" w:cs="Times New Roman"/>
          <w:b/>
        </w:rPr>
        <w:t>)</w:t>
      </w:r>
    </w:p>
    <w:p w14:paraId="46F785C4" w14:textId="77777777" w:rsidR="00B63E10" w:rsidRDefault="00B63E10" w:rsidP="00B63E10">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Luiz Carlos </w:t>
      </w:r>
      <w:proofErr w:type="spellStart"/>
      <w:r>
        <w:rPr>
          <w:rFonts w:ascii="Times New Roman" w:eastAsia="Times New Roman" w:hAnsi="Times New Roman" w:cs="Times New Roman"/>
        </w:rPr>
        <w:t>Trevia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Morais</w:t>
      </w:r>
      <w:proofErr w:type="spellEnd"/>
      <w:r>
        <w:rPr>
          <w:rFonts w:ascii="Times New Roman" w:eastAsia="Times New Roman" w:hAnsi="Times New Roman" w:cs="Times New Roman"/>
        </w:rPr>
        <w:t xml:space="preserve"> Correia </w:t>
      </w:r>
      <w:r>
        <w:rPr>
          <w:rFonts w:ascii="Times New Roman" w:eastAsia="Times New Roman" w:hAnsi="Times New Roman" w:cs="Times New Roman"/>
          <w:b/>
        </w:rPr>
        <w:t>Viana</w:t>
      </w:r>
      <w:r>
        <w:rPr>
          <w:rFonts w:ascii="Times New Roman" w:eastAsia="Times New Roman" w:hAnsi="Times New Roman" w:cs="Times New Roman"/>
        </w:rPr>
        <w:t xml:space="preserve">: Conceptualization; Data curation; Formal analysis; Investigation; Methodology; Validation; Writing – original draft. José </w:t>
      </w:r>
      <w:proofErr w:type="spellStart"/>
      <w:r>
        <w:rPr>
          <w:rFonts w:ascii="Times New Roman" w:eastAsia="Times New Roman" w:hAnsi="Times New Roman" w:cs="Times New Roman"/>
        </w:rPr>
        <w:t>Evando</w:t>
      </w:r>
      <w:proofErr w:type="spellEnd"/>
      <w:r>
        <w:rPr>
          <w:rFonts w:ascii="Times New Roman" w:eastAsia="Times New Roman" w:hAnsi="Times New Roman" w:cs="Times New Roman"/>
        </w:rPr>
        <w:t xml:space="preserve"> </w:t>
      </w:r>
      <w:r>
        <w:rPr>
          <w:rFonts w:ascii="Times New Roman" w:eastAsia="Times New Roman" w:hAnsi="Times New Roman" w:cs="Times New Roman"/>
          <w:b/>
        </w:rPr>
        <w:t>da Silva-Filho</w:t>
      </w:r>
      <w:r>
        <w:rPr>
          <w:rFonts w:ascii="Times New Roman" w:eastAsia="Times New Roman" w:hAnsi="Times New Roman" w:cs="Times New Roman"/>
        </w:rPr>
        <w:t xml:space="preserve">: Conceptualization; Data curation; Formal analysis; Investigation; Methodology; Writing – original draft. </w:t>
      </w:r>
      <w:proofErr w:type="spellStart"/>
      <w:r>
        <w:rPr>
          <w:rFonts w:ascii="Times New Roman" w:eastAsia="Times New Roman" w:hAnsi="Times New Roman" w:cs="Times New Roman"/>
        </w:rPr>
        <w:t>Alinne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Patierry</w:t>
      </w:r>
      <w:proofErr w:type="spellEnd"/>
      <w:r>
        <w:rPr>
          <w:rFonts w:ascii="Times New Roman" w:eastAsia="Times New Roman" w:hAnsi="Times New Roman" w:cs="Times New Roman"/>
        </w:rPr>
        <w:t xml:space="preserve"> Oliveira </w:t>
      </w:r>
      <w:proofErr w:type="spellStart"/>
      <w:r>
        <w:rPr>
          <w:rFonts w:ascii="Times New Roman" w:eastAsia="Times New Roman" w:hAnsi="Times New Roman" w:cs="Times New Roman"/>
        </w:rPr>
        <w:t>Pacífico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b/>
        </w:rPr>
        <w:t>Feitosa</w:t>
      </w:r>
      <w:proofErr w:type="spellEnd"/>
      <w:r>
        <w:rPr>
          <w:rFonts w:ascii="Times New Roman" w:eastAsia="Times New Roman" w:hAnsi="Times New Roman" w:cs="Times New Roman"/>
        </w:rPr>
        <w:t xml:space="preserve">: Data curation; Formal analysis; Investigation. Thiago </w:t>
      </w:r>
      <w:proofErr w:type="spellStart"/>
      <w:r>
        <w:rPr>
          <w:rFonts w:ascii="Times New Roman" w:eastAsia="Times New Roman" w:hAnsi="Times New Roman" w:cs="Times New Roman"/>
        </w:rPr>
        <w:t>Colares</w:t>
      </w:r>
      <w:proofErr w:type="spellEnd"/>
      <w:r>
        <w:rPr>
          <w:rFonts w:ascii="Times New Roman" w:eastAsia="Times New Roman" w:hAnsi="Times New Roman" w:cs="Times New Roman"/>
        </w:rPr>
        <w:t xml:space="preserve"> Castelo </w:t>
      </w:r>
      <w:r>
        <w:rPr>
          <w:rFonts w:ascii="Times New Roman" w:eastAsia="Times New Roman" w:hAnsi="Times New Roman" w:cs="Times New Roman"/>
          <w:b/>
        </w:rPr>
        <w:t>Branco</w:t>
      </w:r>
      <w:r>
        <w:rPr>
          <w:rFonts w:ascii="Times New Roman" w:eastAsia="Times New Roman" w:hAnsi="Times New Roman" w:cs="Times New Roman"/>
        </w:rPr>
        <w:t xml:space="preserve">: Data curation; Formal analysis; Investigation. Renata Cordeiro </w:t>
      </w:r>
      <w:r>
        <w:rPr>
          <w:rFonts w:ascii="Times New Roman" w:eastAsia="Times New Roman" w:hAnsi="Times New Roman" w:cs="Times New Roman"/>
          <w:b/>
        </w:rPr>
        <w:t>Teixeira</w:t>
      </w:r>
      <w:r>
        <w:rPr>
          <w:rFonts w:ascii="Times New Roman" w:eastAsia="Times New Roman" w:hAnsi="Times New Roman" w:cs="Times New Roman"/>
        </w:rPr>
        <w:t xml:space="preserve">: Conceptualization; Data curation; Methodology; Supervision; Writing – review &amp; editing. Christina César </w:t>
      </w:r>
      <w:proofErr w:type="spellStart"/>
      <w:r>
        <w:rPr>
          <w:rFonts w:ascii="Times New Roman" w:eastAsia="Times New Roman" w:hAnsi="Times New Roman" w:cs="Times New Roman"/>
          <w:b/>
        </w:rPr>
        <w:t>Praça</w:t>
      </w:r>
      <w:proofErr w:type="spellEnd"/>
      <w:r>
        <w:rPr>
          <w:rFonts w:ascii="Times New Roman" w:eastAsia="Times New Roman" w:hAnsi="Times New Roman" w:cs="Times New Roman"/>
        </w:rPr>
        <w:t>–</w:t>
      </w:r>
      <w:proofErr w:type="spellStart"/>
      <w:r>
        <w:rPr>
          <w:rFonts w:ascii="Times New Roman" w:eastAsia="Times New Roman" w:hAnsi="Times New Roman" w:cs="Times New Roman"/>
          <w:b/>
        </w:rPr>
        <w:t>Brasil</w:t>
      </w:r>
      <w:proofErr w:type="spellEnd"/>
      <w:r>
        <w:rPr>
          <w:rFonts w:ascii="Times New Roman" w:eastAsia="Times New Roman" w:hAnsi="Times New Roman" w:cs="Times New Roman"/>
        </w:rPr>
        <w:t>: Conceptualization; Data curation; Methodology; Project administration; Supervision; Writing – review &amp; editing.</w:t>
      </w:r>
    </w:p>
    <w:p w14:paraId="20D38194" w14:textId="77777777" w:rsidR="00B63E10" w:rsidRDefault="00B63E10" w:rsidP="00B63E10">
      <w:pPr>
        <w:spacing w:line="480" w:lineRule="auto"/>
        <w:rPr>
          <w:rFonts w:ascii="Times New Roman" w:eastAsia="Times New Roman" w:hAnsi="Times New Roman" w:cs="Times New Roman"/>
        </w:rPr>
      </w:pPr>
    </w:p>
    <w:p w14:paraId="6D1EC848" w14:textId="77777777" w:rsidR="00B63E10" w:rsidRDefault="00B63E10" w:rsidP="00B63E10">
      <w:pPr>
        <w:spacing w:line="480" w:lineRule="auto"/>
        <w:jc w:val="both"/>
        <w:rPr>
          <w:rFonts w:ascii="Times New Roman" w:eastAsia="Times New Roman" w:hAnsi="Times New Roman" w:cs="Times New Roman"/>
          <w:b/>
        </w:rPr>
      </w:pPr>
      <w:r>
        <w:rPr>
          <w:rFonts w:ascii="Times New Roman" w:eastAsia="Times New Roman" w:hAnsi="Times New Roman" w:cs="Times New Roman"/>
          <w:b/>
        </w:rPr>
        <w:t>ACKNOWLEDGMENTS</w:t>
      </w:r>
    </w:p>
    <w:p w14:paraId="50F650DD" w14:textId="77777777" w:rsidR="00B63E10" w:rsidRDefault="00B63E10" w:rsidP="00B63E10">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The authors acknowledge the support of colleagues from the Undergraduate and Postgraduate Dentistry programs, as well as from the Public Health Postgraduate Program at the University of Fortaleza, and the Root Solution </w:t>
      </w:r>
      <w:proofErr w:type="spellStart"/>
      <w:r>
        <w:rPr>
          <w:rFonts w:ascii="Times New Roman" w:eastAsia="Times New Roman" w:hAnsi="Times New Roman" w:cs="Times New Roman"/>
        </w:rPr>
        <w:t>Endodontia</w:t>
      </w:r>
      <w:proofErr w:type="spellEnd"/>
      <w:r>
        <w:rPr>
          <w:rFonts w:ascii="Times New Roman" w:eastAsia="Times New Roman" w:hAnsi="Times New Roman" w:cs="Times New Roman"/>
        </w:rPr>
        <w:t xml:space="preserve"> group (</w:t>
      </w:r>
      <w:hyperlink r:id="rId8">
        <w:r>
          <w:rPr>
            <w:rFonts w:ascii="Times New Roman" w:eastAsia="Times New Roman" w:hAnsi="Times New Roman" w:cs="Times New Roman"/>
            <w:color w:val="1155CC"/>
            <w:u w:val="single"/>
          </w:rPr>
          <w:t>@</w:t>
        </w:r>
        <w:proofErr w:type="spellStart"/>
        <w:r>
          <w:rPr>
            <w:rFonts w:ascii="Times New Roman" w:eastAsia="Times New Roman" w:hAnsi="Times New Roman" w:cs="Times New Roman"/>
            <w:color w:val="1155CC"/>
            <w:u w:val="single"/>
          </w:rPr>
          <w:t>rootsolutionendo</w:t>
        </w:r>
        <w:proofErr w:type="spellEnd"/>
      </w:hyperlink>
      <w:r>
        <w:rPr>
          <w:rFonts w:ascii="Times New Roman" w:eastAsia="Times New Roman" w:hAnsi="Times New Roman" w:cs="Times New Roman"/>
        </w:rPr>
        <w:t>).</w:t>
      </w:r>
    </w:p>
    <w:p w14:paraId="4407A350" w14:textId="77777777" w:rsidR="005E54E9" w:rsidRDefault="005E54E9">
      <w:pPr>
        <w:widowControl w:val="0"/>
        <w:spacing w:line="240" w:lineRule="auto"/>
        <w:rPr>
          <w:rFonts w:ascii="Times New Roman" w:eastAsia="Times New Roman" w:hAnsi="Times New Roman" w:cs="Times New Roman"/>
        </w:rPr>
      </w:pPr>
    </w:p>
    <w:p w14:paraId="3B01AFD5" w14:textId="273ED469" w:rsidR="004D215C" w:rsidRPr="004D215C" w:rsidRDefault="004D215C" w:rsidP="004D215C">
      <w:pPr>
        <w:widowControl w:val="0"/>
        <w:spacing w:line="240" w:lineRule="auto"/>
        <w:rPr>
          <w:rFonts w:ascii="Times New Roman" w:eastAsia="Times New Roman" w:hAnsi="Times New Roman" w:cs="Times New Roman"/>
        </w:rPr>
      </w:pPr>
      <w:r w:rsidRPr="004D215C">
        <w:rPr>
          <w:rFonts w:ascii="Times New Roman" w:eastAsia="Times New Roman" w:hAnsi="Times New Roman" w:cs="Times New Roman"/>
        </w:rPr>
        <w:t xml:space="preserve">Ethical </w:t>
      </w:r>
      <w:r>
        <w:rPr>
          <w:rFonts w:ascii="Times New Roman" w:eastAsia="Times New Roman" w:hAnsi="Times New Roman" w:cs="Times New Roman"/>
        </w:rPr>
        <w:t>Approval</w:t>
      </w:r>
      <w:bookmarkStart w:id="0" w:name="_GoBack"/>
      <w:bookmarkEnd w:id="0"/>
    </w:p>
    <w:p w14:paraId="741114CB" w14:textId="4AC34111" w:rsidR="005E54E9" w:rsidRDefault="004D215C" w:rsidP="004D215C">
      <w:pPr>
        <w:widowControl w:val="0"/>
        <w:spacing w:line="240" w:lineRule="auto"/>
        <w:rPr>
          <w:rFonts w:ascii="Times New Roman" w:eastAsia="Times New Roman" w:hAnsi="Times New Roman" w:cs="Times New Roman"/>
        </w:rPr>
      </w:pPr>
      <w:r w:rsidRPr="004D215C">
        <w:rPr>
          <w:rFonts w:ascii="Times New Roman" w:eastAsia="Times New Roman" w:hAnsi="Times New Roman" w:cs="Times New Roman"/>
        </w:rPr>
        <w:t>The study was approved by the institutional research ethics committee (6,482,408), in accordance with the guidelines of Resolution 466/2012 of the Brazilian National Health Council.</w:t>
      </w:r>
    </w:p>
    <w:p w14:paraId="4E579CB1" w14:textId="77777777" w:rsidR="005E54E9" w:rsidRDefault="005E54E9">
      <w:pPr>
        <w:widowControl w:val="0"/>
        <w:spacing w:line="240" w:lineRule="auto"/>
        <w:rPr>
          <w:rFonts w:ascii="Times New Roman" w:eastAsia="Times New Roman" w:hAnsi="Times New Roman" w:cs="Times New Roman"/>
        </w:rPr>
      </w:pPr>
    </w:p>
    <w:p w14:paraId="4D9177C6" w14:textId="2922456D" w:rsidR="00235B96" w:rsidRDefault="00235B96" w:rsidP="00235B96">
      <w:r>
        <w:t>Disclaimer (Artificial intelligence)</w:t>
      </w:r>
    </w:p>
    <w:p w14:paraId="2F74510B" w14:textId="77777777" w:rsidR="004D215C" w:rsidRDefault="004D215C" w:rsidP="004D215C">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2CE3580" w14:textId="1C55EFE9" w:rsidR="004D215C" w:rsidRDefault="004D215C" w:rsidP="004D215C">
      <w:r>
        <w:t>Details of the AI usage are given below:</w:t>
      </w:r>
    </w:p>
    <w:p w14:paraId="66368B81" w14:textId="77777777" w:rsidR="005E54E9" w:rsidRDefault="00195FD7">
      <w:pPr>
        <w:widowControl w:val="0"/>
        <w:spacing w:before="71" w:line="480" w:lineRule="auto"/>
        <w:ind w:right="22"/>
        <w:jc w:val="both"/>
        <w:rPr>
          <w:rFonts w:ascii="Times New Roman" w:eastAsia="Times New Roman" w:hAnsi="Times New Roman" w:cs="Times New Roman"/>
        </w:rPr>
      </w:pPr>
      <w:proofErr w:type="spellStart"/>
      <w:r>
        <w:rPr>
          <w:rFonts w:ascii="Times New Roman" w:eastAsia="Times New Roman" w:hAnsi="Times New Roman" w:cs="Times New Roman"/>
          <w:highlight w:val="yellow"/>
        </w:rPr>
        <w:lastRenderedPageBreak/>
        <w:t>ChatGPT</w:t>
      </w:r>
      <w:proofErr w:type="spellEnd"/>
      <w:r>
        <w:rPr>
          <w:rFonts w:ascii="Times New Roman" w:eastAsia="Times New Roman" w:hAnsi="Times New Roman" w:cs="Times New Roman"/>
          <w:highlight w:val="yellow"/>
        </w:rPr>
        <w:t xml:space="preserve">–5 was used solely for grammatical correction and adjustment to English spelling. </w:t>
      </w:r>
      <w:r>
        <w:rPr>
          <w:rFonts w:ascii="Times New Roman" w:eastAsia="Times New Roman" w:hAnsi="Times New Roman" w:cs="Times New Roman"/>
        </w:rPr>
        <w:t>No content interpretation, data analysis, or scientific review was performed by the tool. All scientific, methodological, and interpretative content remains the responsibility of the study’s authors.</w:t>
      </w:r>
    </w:p>
    <w:p w14:paraId="5592D304" w14:textId="77777777" w:rsidR="005E54E9" w:rsidRDefault="005E54E9">
      <w:pPr>
        <w:spacing w:line="480" w:lineRule="auto"/>
        <w:ind w:firstLine="720"/>
        <w:jc w:val="both"/>
        <w:rPr>
          <w:rFonts w:ascii="Times New Roman" w:eastAsia="Times New Roman" w:hAnsi="Times New Roman" w:cs="Times New Roman"/>
        </w:rPr>
      </w:pPr>
      <w:bookmarkStart w:id="1" w:name="_heading=h.7be4hrzdwdls" w:colFirst="0" w:colLast="0"/>
      <w:bookmarkEnd w:id="1"/>
    </w:p>
    <w:p w14:paraId="7CB623A8" w14:textId="77777777" w:rsidR="005E54E9" w:rsidRDefault="005E54E9">
      <w:pPr>
        <w:spacing w:line="480" w:lineRule="auto"/>
        <w:ind w:firstLine="720"/>
        <w:jc w:val="both"/>
        <w:rPr>
          <w:rFonts w:ascii="Times New Roman" w:eastAsia="Times New Roman" w:hAnsi="Times New Roman" w:cs="Times New Roman"/>
        </w:rPr>
      </w:pPr>
    </w:p>
    <w:p w14:paraId="7282D0C0" w14:textId="77777777" w:rsidR="005E54E9" w:rsidRDefault="00195FD7">
      <w:pPr>
        <w:spacing w:line="480" w:lineRule="auto"/>
        <w:jc w:val="both"/>
        <w:rPr>
          <w:rFonts w:ascii="Times New Roman" w:eastAsia="Times New Roman" w:hAnsi="Times New Roman" w:cs="Times New Roman"/>
          <w:b/>
        </w:rPr>
      </w:pPr>
      <w:r>
        <w:rPr>
          <w:rFonts w:ascii="Times New Roman" w:eastAsia="Times New Roman" w:hAnsi="Times New Roman" w:cs="Times New Roman"/>
          <w:b/>
        </w:rPr>
        <w:t>REFERENCES</w:t>
      </w:r>
    </w:p>
    <w:p w14:paraId="1F8F452C" w14:textId="77777777" w:rsidR="005E54E9" w:rsidRDefault="005E54E9">
      <w:pPr>
        <w:spacing w:line="480" w:lineRule="auto"/>
        <w:jc w:val="both"/>
        <w:rPr>
          <w:rFonts w:ascii="Times New Roman" w:eastAsia="Times New Roman" w:hAnsi="Times New Roman" w:cs="Times New Roman"/>
        </w:rPr>
      </w:pPr>
    </w:p>
    <w:p w14:paraId="565D605B" w14:textId="77777777" w:rsidR="005E54E9" w:rsidRDefault="00195FD7">
      <w:pPr>
        <w:numPr>
          <w:ilvl w:val="0"/>
          <w:numId w:val="1"/>
        </w:num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MacDonald D, </w:t>
      </w:r>
      <w:proofErr w:type="spellStart"/>
      <w:r>
        <w:rPr>
          <w:rFonts w:ascii="Times New Roman" w:eastAsia="Times New Roman" w:hAnsi="Times New Roman" w:cs="Times New Roman"/>
        </w:rPr>
        <w:t>Telyakova</w:t>
      </w:r>
      <w:proofErr w:type="spellEnd"/>
      <w:r>
        <w:rPr>
          <w:rFonts w:ascii="Times New Roman" w:eastAsia="Times New Roman" w:hAnsi="Times New Roman" w:cs="Times New Roman"/>
        </w:rPr>
        <w:t xml:space="preserve"> V. An overview of cone-beam computed tomography and dental panoramic radiography in dentistry in the community. Tomography 2024; 10: 1222-37.</w:t>
      </w:r>
    </w:p>
    <w:p w14:paraId="574665D0" w14:textId="77777777" w:rsidR="005E54E9" w:rsidRDefault="00195FD7">
      <w:pPr>
        <w:numPr>
          <w:ilvl w:val="0"/>
          <w:numId w:val="1"/>
        </w:num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da Silva-Filho JE, Sousa ZDS, Caracas-de-Araújo AP, </w:t>
      </w:r>
      <w:proofErr w:type="spellStart"/>
      <w:r>
        <w:rPr>
          <w:rFonts w:ascii="Times New Roman" w:eastAsia="Times New Roman" w:hAnsi="Times New Roman" w:cs="Times New Roman"/>
        </w:rPr>
        <w:t>Fornagero</w:t>
      </w:r>
      <w:proofErr w:type="spellEnd"/>
      <w:r>
        <w:rPr>
          <w:rFonts w:ascii="Times New Roman" w:eastAsia="Times New Roman" w:hAnsi="Times New Roman" w:cs="Times New Roman"/>
        </w:rPr>
        <w:t xml:space="preserve"> LDS, Machado MP, de Aguiar AWO, et al. Deep learning for detecting periapical bone rarefaction in panoramic radiographs: a systematic review and critical assessment. </w:t>
      </w:r>
      <w:proofErr w:type="spellStart"/>
      <w:r>
        <w:rPr>
          <w:rFonts w:ascii="Times New Roman" w:eastAsia="Times New Roman" w:hAnsi="Times New Roman" w:cs="Times New Roman"/>
        </w:rPr>
        <w:t>Dentomaxillofac</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Radiol</w:t>
      </w:r>
      <w:proofErr w:type="spellEnd"/>
      <w:r>
        <w:rPr>
          <w:rFonts w:ascii="Times New Roman" w:eastAsia="Times New Roman" w:hAnsi="Times New Roman" w:cs="Times New Roman"/>
        </w:rPr>
        <w:t xml:space="preserve"> 2025; 54: 405-19.</w:t>
      </w:r>
    </w:p>
    <w:p w14:paraId="42BCC5D6" w14:textId="77777777" w:rsidR="005E54E9" w:rsidRDefault="00195FD7">
      <w:pPr>
        <w:numPr>
          <w:ilvl w:val="0"/>
          <w:numId w:val="1"/>
        </w:numPr>
        <w:spacing w:line="480" w:lineRule="auto"/>
        <w:jc w:val="both"/>
        <w:rPr>
          <w:rFonts w:ascii="Times New Roman" w:eastAsia="Times New Roman" w:hAnsi="Times New Roman" w:cs="Times New Roman"/>
        </w:rPr>
      </w:pPr>
      <w:r>
        <w:rPr>
          <w:rFonts w:ascii="Times New Roman" w:eastAsia="Times New Roman" w:hAnsi="Times New Roman" w:cs="Times New Roman"/>
        </w:rPr>
        <w:t>GBD 2019 Tobacco Collaborators. Spatial, temporal, and demographic patterns in prevalence of smoking tobacco use and attributable disease burden in 204 countries and territories, 1990–2019: a systematic analysis from the Global Burden of Disease Study 2019. Lancet 2021; 397: 2337-60.</w:t>
      </w:r>
    </w:p>
    <w:p w14:paraId="5EFE8472" w14:textId="77777777" w:rsidR="005E54E9" w:rsidRDefault="00195FD7">
      <w:pPr>
        <w:numPr>
          <w:ilvl w:val="0"/>
          <w:numId w:val="1"/>
        </w:numPr>
        <w:spacing w:line="480" w:lineRule="auto"/>
        <w:jc w:val="both"/>
        <w:rPr>
          <w:rFonts w:ascii="Times New Roman" w:eastAsia="Times New Roman" w:hAnsi="Times New Roman" w:cs="Times New Roman"/>
        </w:rPr>
      </w:pPr>
      <w:r w:rsidRPr="00B63E10">
        <w:rPr>
          <w:rFonts w:ascii="Times New Roman" w:eastAsia="Times New Roman" w:hAnsi="Times New Roman" w:cs="Times New Roman"/>
          <w:lang w:val="nl-BE"/>
        </w:rPr>
        <w:t xml:space="preserve">Kfouri SA, Neto JE, Koifman S, et al. Fração de câncer de cabeça e pescoço atribuível ao tabaco e álcool em cidades de três regiões brasileiras. </w:t>
      </w:r>
      <w:r>
        <w:rPr>
          <w:rFonts w:ascii="Times New Roman" w:eastAsia="Times New Roman" w:hAnsi="Times New Roman" w:cs="Times New Roman"/>
        </w:rPr>
        <w:t>Rev Bras Epidemiol 2018; 21: e180005.</w:t>
      </w:r>
    </w:p>
    <w:p w14:paraId="652C0438" w14:textId="77777777" w:rsidR="005E54E9" w:rsidRDefault="00195FD7">
      <w:pPr>
        <w:numPr>
          <w:ilvl w:val="0"/>
          <w:numId w:val="1"/>
        </w:numPr>
        <w:spacing w:line="480" w:lineRule="auto"/>
        <w:jc w:val="both"/>
        <w:rPr>
          <w:rFonts w:ascii="Times New Roman" w:eastAsia="Times New Roman" w:hAnsi="Times New Roman" w:cs="Times New Roman"/>
        </w:rPr>
      </w:pPr>
      <w:proofErr w:type="spellStart"/>
      <w:r>
        <w:rPr>
          <w:rFonts w:ascii="Times New Roman" w:eastAsia="Times New Roman" w:hAnsi="Times New Roman" w:cs="Times New Roman"/>
        </w:rPr>
        <w:t>Brasil</w:t>
      </w:r>
      <w:proofErr w:type="spellEnd"/>
      <w:r>
        <w:rPr>
          <w:rFonts w:ascii="Times New Roman" w:eastAsia="Times New Roman" w:hAnsi="Times New Roman" w:cs="Times New Roman"/>
        </w:rPr>
        <w:t xml:space="preserve">—Instituto Nacional de </w:t>
      </w:r>
      <w:proofErr w:type="spellStart"/>
      <w:r>
        <w:rPr>
          <w:rFonts w:ascii="Times New Roman" w:eastAsia="Times New Roman" w:hAnsi="Times New Roman" w:cs="Times New Roman"/>
        </w:rPr>
        <w:t>Câncer</w:t>
      </w:r>
      <w:proofErr w:type="spellEnd"/>
      <w:r>
        <w:rPr>
          <w:rFonts w:ascii="Times New Roman" w:eastAsia="Times New Roman" w:hAnsi="Times New Roman" w:cs="Times New Roman"/>
        </w:rPr>
        <w:t xml:space="preserve"> (INCA). </w:t>
      </w:r>
      <w:proofErr w:type="spellStart"/>
      <w:r>
        <w:rPr>
          <w:rFonts w:ascii="Times New Roman" w:eastAsia="Times New Roman" w:hAnsi="Times New Roman" w:cs="Times New Roman"/>
        </w:rPr>
        <w:t>Prevalência</w:t>
      </w:r>
      <w:proofErr w:type="spellEnd"/>
      <w:r>
        <w:rPr>
          <w:rFonts w:ascii="Times New Roman" w:eastAsia="Times New Roman" w:hAnsi="Times New Roman" w:cs="Times New Roman"/>
        </w:rPr>
        <w:t xml:space="preserve"> do </w:t>
      </w:r>
      <w:proofErr w:type="spellStart"/>
      <w:r>
        <w:rPr>
          <w:rFonts w:ascii="Times New Roman" w:eastAsia="Times New Roman" w:hAnsi="Times New Roman" w:cs="Times New Roman"/>
        </w:rPr>
        <w:t>tabagismo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adultos</w:t>
      </w:r>
      <w:proofErr w:type="spellEnd"/>
      <w:r>
        <w:rPr>
          <w:rFonts w:ascii="Times New Roman" w:eastAsia="Times New Roman" w:hAnsi="Times New Roman" w:cs="Times New Roman"/>
        </w:rPr>
        <w:t xml:space="preserve"> no </w:t>
      </w:r>
      <w:proofErr w:type="spellStart"/>
      <w:r>
        <w:rPr>
          <w:rFonts w:ascii="Times New Roman" w:eastAsia="Times New Roman" w:hAnsi="Times New Roman" w:cs="Times New Roman"/>
        </w:rPr>
        <w:t>Brasil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segundo</w:t>
      </w:r>
      <w:proofErr w:type="spellEnd"/>
      <w:r>
        <w:rPr>
          <w:rFonts w:ascii="Times New Roman" w:eastAsia="Times New Roman" w:hAnsi="Times New Roman" w:cs="Times New Roman"/>
        </w:rPr>
        <w:t xml:space="preserve"> a PNS 2013 e 2019. </w:t>
      </w:r>
      <w:proofErr w:type="spellStart"/>
      <w:r>
        <w:rPr>
          <w:rFonts w:ascii="Times New Roman" w:eastAsia="Times New Roman" w:hAnsi="Times New Roman" w:cs="Times New Roman"/>
        </w:rPr>
        <w:t>Observatório</w:t>
      </w:r>
      <w:proofErr w:type="spellEnd"/>
      <w:r>
        <w:rPr>
          <w:rFonts w:ascii="Times New Roman" w:eastAsia="Times New Roman" w:hAnsi="Times New Roman" w:cs="Times New Roman"/>
        </w:rPr>
        <w:t xml:space="preserve"> da </w:t>
      </w:r>
      <w:proofErr w:type="spellStart"/>
      <w:r>
        <w:rPr>
          <w:rFonts w:ascii="Times New Roman" w:eastAsia="Times New Roman" w:hAnsi="Times New Roman" w:cs="Times New Roman"/>
        </w:rPr>
        <w:t>Política</w:t>
      </w:r>
      <w:proofErr w:type="spellEnd"/>
      <w:r>
        <w:rPr>
          <w:rFonts w:ascii="Times New Roman" w:eastAsia="Times New Roman" w:hAnsi="Times New Roman" w:cs="Times New Roman"/>
        </w:rPr>
        <w:t xml:space="preserve"> Nacional de </w:t>
      </w:r>
      <w:proofErr w:type="spellStart"/>
      <w:r>
        <w:rPr>
          <w:rFonts w:ascii="Times New Roman" w:eastAsia="Times New Roman" w:hAnsi="Times New Roman" w:cs="Times New Roman"/>
        </w:rPr>
        <w:t>Controle</w:t>
      </w:r>
      <w:proofErr w:type="spellEnd"/>
      <w:r>
        <w:rPr>
          <w:rFonts w:ascii="Times New Roman" w:eastAsia="Times New Roman" w:hAnsi="Times New Roman" w:cs="Times New Roman"/>
        </w:rPr>
        <w:t xml:space="preserve"> do Tabaco. 2023 [cited 2025 Jul 01]. Available from: https://www.gov.br/inca/pt-br/assuntos/gestor-e-profissional-de-saude/observatorio-da-politica-nacional-de-controle-do-tabaco/dados-e-numeros-do-tabagismo/prevalencia-do-tabagismo</w:t>
      </w:r>
    </w:p>
    <w:p w14:paraId="64AACD61" w14:textId="77777777" w:rsidR="005E54E9" w:rsidRDefault="00195FD7">
      <w:pPr>
        <w:numPr>
          <w:ilvl w:val="0"/>
          <w:numId w:val="1"/>
        </w:numPr>
        <w:spacing w:line="480" w:lineRule="auto"/>
        <w:jc w:val="both"/>
        <w:rPr>
          <w:rFonts w:ascii="Times New Roman" w:eastAsia="Times New Roman" w:hAnsi="Times New Roman" w:cs="Times New Roman"/>
        </w:rPr>
      </w:pPr>
      <w:proofErr w:type="spellStart"/>
      <w:r>
        <w:rPr>
          <w:rFonts w:ascii="Times New Roman" w:eastAsia="Times New Roman" w:hAnsi="Times New Roman" w:cs="Times New Roman"/>
        </w:rPr>
        <w:t>Karamifar</w:t>
      </w:r>
      <w:proofErr w:type="spellEnd"/>
      <w:r>
        <w:rPr>
          <w:rFonts w:ascii="Times New Roman" w:eastAsia="Times New Roman" w:hAnsi="Times New Roman" w:cs="Times New Roman"/>
        </w:rPr>
        <w:t xml:space="preserve"> K, </w:t>
      </w:r>
      <w:proofErr w:type="spellStart"/>
      <w:r>
        <w:rPr>
          <w:rFonts w:ascii="Times New Roman" w:eastAsia="Times New Roman" w:hAnsi="Times New Roman" w:cs="Times New Roman"/>
        </w:rPr>
        <w:t>Tondari</w:t>
      </w:r>
      <w:proofErr w:type="spellEnd"/>
      <w:r>
        <w:rPr>
          <w:rFonts w:ascii="Times New Roman" w:eastAsia="Times New Roman" w:hAnsi="Times New Roman" w:cs="Times New Roman"/>
        </w:rPr>
        <w:t xml:space="preserve"> A, </w:t>
      </w:r>
      <w:proofErr w:type="spellStart"/>
      <w:r>
        <w:rPr>
          <w:rFonts w:ascii="Times New Roman" w:eastAsia="Times New Roman" w:hAnsi="Times New Roman" w:cs="Times New Roman"/>
        </w:rPr>
        <w:t>Saghiri</w:t>
      </w:r>
      <w:proofErr w:type="spellEnd"/>
      <w:r>
        <w:rPr>
          <w:rFonts w:ascii="Times New Roman" w:eastAsia="Times New Roman" w:hAnsi="Times New Roman" w:cs="Times New Roman"/>
        </w:rPr>
        <w:t xml:space="preserve"> MA. Endodontic periapical lesion: an overview on the etiology, diagnosis and current treatment modalities. Eur </w:t>
      </w:r>
      <w:proofErr w:type="spellStart"/>
      <w:r>
        <w:rPr>
          <w:rFonts w:ascii="Times New Roman" w:eastAsia="Times New Roman" w:hAnsi="Times New Roman" w:cs="Times New Roman"/>
        </w:rPr>
        <w:t>Endod</w:t>
      </w:r>
      <w:proofErr w:type="spellEnd"/>
      <w:r>
        <w:rPr>
          <w:rFonts w:ascii="Times New Roman" w:eastAsia="Times New Roman" w:hAnsi="Times New Roman" w:cs="Times New Roman"/>
        </w:rPr>
        <w:t xml:space="preserve"> J 2020; 5: 54-67.</w:t>
      </w:r>
    </w:p>
    <w:p w14:paraId="0795F7CE" w14:textId="77777777" w:rsidR="005E54E9" w:rsidRDefault="00195FD7">
      <w:pPr>
        <w:numPr>
          <w:ilvl w:val="0"/>
          <w:numId w:val="1"/>
        </w:numPr>
        <w:spacing w:line="480" w:lineRule="auto"/>
        <w:jc w:val="both"/>
        <w:rPr>
          <w:rFonts w:ascii="Times New Roman" w:eastAsia="Times New Roman" w:hAnsi="Times New Roman" w:cs="Times New Roman"/>
        </w:rPr>
      </w:pPr>
      <w:proofErr w:type="spellStart"/>
      <w:r>
        <w:rPr>
          <w:rFonts w:ascii="Times New Roman" w:eastAsia="Times New Roman" w:hAnsi="Times New Roman" w:cs="Times New Roman"/>
        </w:rPr>
        <w:lastRenderedPageBreak/>
        <w:t>Poswar</w:t>
      </w:r>
      <w:proofErr w:type="spellEnd"/>
      <w:r>
        <w:rPr>
          <w:rFonts w:ascii="Times New Roman" w:eastAsia="Times New Roman" w:hAnsi="Times New Roman" w:cs="Times New Roman"/>
        </w:rPr>
        <w:t xml:space="preserve"> FO, Farias LC, Fraga CA, et al. Bioinformatics, interaction network analysis, and neural networks to characterize gene expression of radicular cyst and periapical granuloma. J </w:t>
      </w:r>
      <w:proofErr w:type="spellStart"/>
      <w:r>
        <w:rPr>
          <w:rFonts w:ascii="Times New Roman" w:eastAsia="Times New Roman" w:hAnsi="Times New Roman" w:cs="Times New Roman"/>
        </w:rPr>
        <w:t>Endod</w:t>
      </w:r>
      <w:proofErr w:type="spellEnd"/>
      <w:r>
        <w:rPr>
          <w:rFonts w:ascii="Times New Roman" w:eastAsia="Times New Roman" w:hAnsi="Times New Roman" w:cs="Times New Roman"/>
        </w:rPr>
        <w:t xml:space="preserve"> 2015; 41: 877-83.</w:t>
      </w:r>
    </w:p>
    <w:p w14:paraId="1F504D17" w14:textId="77777777" w:rsidR="005E54E9" w:rsidRDefault="00195FD7">
      <w:pPr>
        <w:numPr>
          <w:ilvl w:val="0"/>
          <w:numId w:val="1"/>
        </w:numPr>
        <w:spacing w:line="480" w:lineRule="auto"/>
        <w:jc w:val="both"/>
        <w:rPr>
          <w:rFonts w:ascii="Times New Roman" w:eastAsia="Times New Roman" w:hAnsi="Times New Roman" w:cs="Times New Roman"/>
        </w:rPr>
      </w:pPr>
      <w:r>
        <w:rPr>
          <w:rFonts w:ascii="Times New Roman" w:eastAsia="Times New Roman" w:hAnsi="Times New Roman" w:cs="Times New Roman"/>
        </w:rPr>
        <w:t>Ríos-Osorio N, Muñoz-</w:t>
      </w:r>
      <w:proofErr w:type="spellStart"/>
      <w:r>
        <w:rPr>
          <w:rFonts w:ascii="Times New Roman" w:eastAsia="Times New Roman" w:hAnsi="Times New Roman" w:cs="Times New Roman"/>
        </w:rPr>
        <w:t>Alvear</w:t>
      </w:r>
      <w:proofErr w:type="spellEnd"/>
      <w:r>
        <w:rPr>
          <w:rFonts w:ascii="Times New Roman" w:eastAsia="Times New Roman" w:hAnsi="Times New Roman" w:cs="Times New Roman"/>
        </w:rPr>
        <w:t xml:space="preserve"> HD, Jiménez-Castellanos FA, Quijano-</w:t>
      </w:r>
      <w:proofErr w:type="spellStart"/>
      <w:r>
        <w:rPr>
          <w:rFonts w:ascii="Times New Roman" w:eastAsia="Times New Roman" w:hAnsi="Times New Roman" w:cs="Times New Roman"/>
        </w:rPr>
        <w:t>Guauque</w:t>
      </w:r>
      <w:proofErr w:type="spellEnd"/>
      <w:r>
        <w:rPr>
          <w:rFonts w:ascii="Times New Roman" w:eastAsia="Times New Roman" w:hAnsi="Times New Roman" w:cs="Times New Roman"/>
        </w:rPr>
        <w:t xml:space="preserve"> S, Jiménez-Peña O, García-Perdomo HA, et al. Association between cigarette smoking and the prevalence of post-endodontic periapical pathology: a systematic review and meta-analysis. </w:t>
      </w:r>
      <w:proofErr w:type="spellStart"/>
      <w:r>
        <w:rPr>
          <w:rFonts w:ascii="Times New Roman" w:eastAsia="Times New Roman" w:hAnsi="Times New Roman" w:cs="Times New Roman"/>
        </w:rPr>
        <w:t>Restor</w:t>
      </w:r>
      <w:proofErr w:type="spellEnd"/>
      <w:r>
        <w:rPr>
          <w:rFonts w:ascii="Times New Roman" w:eastAsia="Times New Roman" w:hAnsi="Times New Roman" w:cs="Times New Roman"/>
        </w:rPr>
        <w:t xml:space="preserve"> Dent </w:t>
      </w:r>
      <w:proofErr w:type="spellStart"/>
      <w:r>
        <w:rPr>
          <w:rFonts w:ascii="Times New Roman" w:eastAsia="Times New Roman" w:hAnsi="Times New Roman" w:cs="Times New Roman"/>
        </w:rPr>
        <w:t>Endod</w:t>
      </w:r>
      <w:proofErr w:type="spellEnd"/>
      <w:r>
        <w:rPr>
          <w:rFonts w:ascii="Times New Roman" w:eastAsia="Times New Roman" w:hAnsi="Times New Roman" w:cs="Times New Roman"/>
        </w:rPr>
        <w:t xml:space="preserve"> 2022; 47: e27.</w:t>
      </w:r>
    </w:p>
    <w:p w14:paraId="66AA281F" w14:textId="77777777" w:rsidR="005E54E9" w:rsidRDefault="00195FD7">
      <w:pPr>
        <w:numPr>
          <w:ilvl w:val="0"/>
          <w:numId w:val="1"/>
        </w:numPr>
        <w:spacing w:line="480" w:lineRule="auto"/>
        <w:jc w:val="both"/>
        <w:rPr>
          <w:rFonts w:ascii="Times New Roman" w:eastAsia="Times New Roman" w:hAnsi="Times New Roman" w:cs="Times New Roman"/>
        </w:rPr>
      </w:pPr>
      <w:r w:rsidRPr="00B63E10">
        <w:rPr>
          <w:rFonts w:ascii="Times New Roman" w:eastAsia="Times New Roman" w:hAnsi="Times New Roman" w:cs="Times New Roman"/>
          <w:lang w:val="nl-BE"/>
        </w:rPr>
        <w:t xml:space="preserve">Skudutyte-Rysstad R, Eriksen HM. </w:t>
      </w:r>
      <w:r>
        <w:rPr>
          <w:rFonts w:ascii="Times New Roman" w:eastAsia="Times New Roman" w:hAnsi="Times New Roman" w:cs="Times New Roman"/>
        </w:rPr>
        <w:t xml:space="preserve">Endodontic status amongst 35-year-old Oslo citizens and changes over a 30-year period. Int </w:t>
      </w:r>
      <w:proofErr w:type="spellStart"/>
      <w:r>
        <w:rPr>
          <w:rFonts w:ascii="Times New Roman" w:eastAsia="Times New Roman" w:hAnsi="Times New Roman" w:cs="Times New Roman"/>
        </w:rPr>
        <w:t>Endod</w:t>
      </w:r>
      <w:proofErr w:type="spellEnd"/>
      <w:r>
        <w:rPr>
          <w:rFonts w:ascii="Times New Roman" w:eastAsia="Times New Roman" w:hAnsi="Times New Roman" w:cs="Times New Roman"/>
        </w:rPr>
        <w:t xml:space="preserve"> J 2006; 39: 637-42.</w:t>
      </w:r>
    </w:p>
    <w:p w14:paraId="28D21304" w14:textId="77777777" w:rsidR="005E54E9" w:rsidRDefault="00195FD7">
      <w:pPr>
        <w:numPr>
          <w:ilvl w:val="0"/>
          <w:numId w:val="1"/>
        </w:num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Rosa GM, Lucas GQ, Lucas ON. Cigarette smoking and alveolar bone in young adults: a study using digitized radiographs. J </w:t>
      </w:r>
      <w:proofErr w:type="spellStart"/>
      <w:r>
        <w:rPr>
          <w:rFonts w:ascii="Times New Roman" w:eastAsia="Times New Roman" w:hAnsi="Times New Roman" w:cs="Times New Roman"/>
        </w:rPr>
        <w:t>Periodontol</w:t>
      </w:r>
      <w:proofErr w:type="spellEnd"/>
      <w:r>
        <w:rPr>
          <w:rFonts w:ascii="Times New Roman" w:eastAsia="Times New Roman" w:hAnsi="Times New Roman" w:cs="Times New Roman"/>
        </w:rPr>
        <w:t xml:space="preserve"> 2008; 79: 232-44.</w:t>
      </w:r>
    </w:p>
    <w:p w14:paraId="1E304D8F" w14:textId="77777777" w:rsidR="005E54E9" w:rsidRDefault="00195FD7">
      <w:pPr>
        <w:numPr>
          <w:ilvl w:val="0"/>
          <w:numId w:val="1"/>
        </w:num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Majid OW. Dose-response association of smoking with delayed healing of apical periodontitis after endodontic treatment. </w:t>
      </w:r>
      <w:proofErr w:type="spellStart"/>
      <w:r>
        <w:rPr>
          <w:rFonts w:ascii="Times New Roman" w:eastAsia="Times New Roman" w:hAnsi="Times New Roman" w:cs="Times New Roman"/>
        </w:rPr>
        <w:t>Evid</w:t>
      </w:r>
      <w:proofErr w:type="spellEnd"/>
      <w:r>
        <w:rPr>
          <w:rFonts w:ascii="Times New Roman" w:eastAsia="Times New Roman" w:hAnsi="Times New Roman" w:cs="Times New Roman"/>
        </w:rPr>
        <w:t xml:space="preserve"> Based Dent 2023; 24: 174-5.</w:t>
      </w:r>
    </w:p>
    <w:p w14:paraId="3E1C16E7" w14:textId="77777777" w:rsidR="005E54E9" w:rsidRDefault="00195FD7">
      <w:pPr>
        <w:numPr>
          <w:ilvl w:val="0"/>
          <w:numId w:val="1"/>
        </w:numPr>
        <w:spacing w:line="480" w:lineRule="auto"/>
        <w:jc w:val="both"/>
        <w:rPr>
          <w:rFonts w:ascii="Times New Roman" w:eastAsia="Times New Roman" w:hAnsi="Times New Roman" w:cs="Times New Roman"/>
        </w:rPr>
      </w:pPr>
      <w:proofErr w:type="spellStart"/>
      <w:r>
        <w:rPr>
          <w:rFonts w:ascii="Times New Roman" w:eastAsia="Times New Roman" w:hAnsi="Times New Roman" w:cs="Times New Roman"/>
        </w:rPr>
        <w:t>Cabanillas-Balsera</w:t>
      </w:r>
      <w:proofErr w:type="spellEnd"/>
      <w:r>
        <w:rPr>
          <w:rFonts w:ascii="Times New Roman" w:eastAsia="Times New Roman" w:hAnsi="Times New Roman" w:cs="Times New Roman"/>
        </w:rPr>
        <w:t xml:space="preserve"> D, Segura-</w:t>
      </w:r>
      <w:proofErr w:type="spellStart"/>
      <w:r>
        <w:rPr>
          <w:rFonts w:ascii="Times New Roman" w:eastAsia="Times New Roman" w:hAnsi="Times New Roman" w:cs="Times New Roman"/>
        </w:rPr>
        <w:t>Egea</w:t>
      </w:r>
      <w:proofErr w:type="spellEnd"/>
      <w:r>
        <w:rPr>
          <w:rFonts w:ascii="Times New Roman" w:eastAsia="Times New Roman" w:hAnsi="Times New Roman" w:cs="Times New Roman"/>
        </w:rPr>
        <w:t xml:space="preserve"> JJ, </w:t>
      </w:r>
      <w:proofErr w:type="spellStart"/>
      <w:r>
        <w:rPr>
          <w:rFonts w:ascii="Times New Roman" w:eastAsia="Times New Roman" w:hAnsi="Times New Roman" w:cs="Times New Roman"/>
        </w:rPr>
        <w:t>Bermudo-Fuenmayor</w:t>
      </w:r>
      <w:proofErr w:type="spellEnd"/>
      <w:r>
        <w:rPr>
          <w:rFonts w:ascii="Times New Roman" w:eastAsia="Times New Roman" w:hAnsi="Times New Roman" w:cs="Times New Roman"/>
        </w:rPr>
        <w:t xml:space="preserve"> M, Martín-González J, Jiménez-Sánchez MC, Areal-</w:t>
      </w:r>
      <w:proofErr w:type="spellStart"/>
      <w:r>
        <w:rPr>
          <w:rFonts w:ascii="Times New Roman" w:eastAsia="Times New Roman" w:hAnsi="Times New Roman" w:cs="Times New Roman"/>
        </w:rPr>
        <w:t>Quecuty</w:t>
      </w:r>
      <w:proofErr w:type="spellEnd"/>
      <w:r>
        <w:rPr>
          <w:rFonts w:ascii="Times New Roman" w:eastAsia="Times New Roman" w:hAnsi="Times New Roman" w:cs="Times New Roman"/>
        </w:rPr>
        <w:t xml:space="preserve"> V, et al. Smoking and radiolucent periapical lesions in root filled teeth: systematic review and meta-analysis. J Clin Med 2020; 9: 3506.</w:t>
      </w:r>
    </w:p>
    <w:p w14:paraId="56A77F59" w14:textId="77777777" w:rsidR="005E54E9" w:rsidRDefault="00195FD7">
      <w:pPr>
        <w:numPr>
          <w:ilvl w:val="0"/>
          <w:numId w:val="1"/>
        </w:numPr>
        <w:spacing w:line="480" w:lineRule="auto"/>
        <w:jc w:val="both"/>
        <w:rPr>
          <w:rFonts w:ascii="Times New Roman" w:eastAsia="Times New Roman" w:hAnsi="Times New Roman" w:cs="Times New Roman"/>
        </w:rPr>
      </w:pPr>
      <w:proofErr w:type="spellStart"/>
      <w:r>
        <w:rPr>
          <w:rFonts w:ascii="Times New Roman" w:eastAsia="Times New Roman" w:hAnsi="Times New Roman" w:cs="Times New Roman"/>
        </w:rPr>
        <w:t>Bergström</w:t>
      </w:r>
      <w:proofErr w:type="spellEnd"/>
      <w:r>
        <w:rPr>
          <w:rFonts w:ascii="Times New Roman" w:eastAsia="Times New Roman" w:hAnsi="Times New Roman" w:cs="Times New Roman"/>
        </w:rPr>
        <w:t xml:space="preserve"> J, Eliasson S, </w:t>
      </w:r>
      <w:proofErr w:type="spellStart"/>
      <w:r>
        <w:rPr>
          <w:rFonts w:ascii="Times New Roman" w:eastAsia="Times New Roman" w:hAnsi="Times New Roman" w:cs="Times New Roman"/>
        </w:rPr>
        <w:t>Preber</w:t>
      </w:r>
      <w:proofErr w:type="spellEnd"/>
      <w:r>
        <w:rPr>
          <w:rFonts w:ascii="Times New Roman" w:eastAsia="Times New Roman" w:hAnsi="Times New Roman" w:cs="Times New Roman"/>
        </w:rPr>
        <w:t xml:space="preserve"> H. Cigarette smoking and periodontal bone loss. J </w:t>
      </w:r>
      <w:proofErr w:type="spellStart"/>
      <w:r>
        <w:rPr>
          <w:rFonts w:ascii="Times New Roman" w:eastAsia="Times New Roman" w:hAnsi="Times New Roman" w:cs="Times New Roman"/>
        </w:rPr>
        <w:t>Periodontol</w:t>
      </w:r>
      <w:proofErr w:type="spellEnd"/>
      <w:r>
        <w:rPr>
          <w:rFonts w:ascii="Times New Roman" w:eastAsia="Times New Roman" w:hAnsi="Times New Roman" w:cs="Times New Roman"/>
        </w:rPr>
        <w:t xml:space="preserve"> 1991; 62: 242-6.</w:t>
      </w:r>
    </w:p>
    <w:p w14:paraId="72CD5498" w14:textId="77777777" w:rsidR="005E54E9" w:rsidRDefault="00195FD7">
      <w:pPr>
        <w:numPr>
          <w:ilvl w:val="0"/>
          <w:numId w:val="1"/>
        </w:num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Suman A, </w:t>
      </w:r>
      <w:proofErr w:type="spellStart"/>
      <w:r>
        <w:rPr>
          <w:rFonts w:ascii="Times New Roman" w:eastAsia="Times New Roman" w:hAnsi="Times New Roman" w:cs="Times New Roman"/>
        </w:rPr>
        <w:t>Laskar</w:t>
      </w:r>
      <w:proofErr w:type="spellEnd"/>
      <w:r>
        <w:rPr>
          <w:rFonts w:ascii="Times New Roman" w:eastAsia="Times New Roman" w:hAnsi="Times New Roman" w:cs="Times New Roman"/>
        </w:rPr>
        <w:t xml:space="preserve"> S, Sharma P, </w:t>
      </w:r>
      <w:proofErr w:type="spellStart"/>
      <w:r>
        <w:rPr>
          <w:rFonts w:ascii="Times New Roman" w:eastAsia="Times New Roman" w:hAnsi="Times New Roman" w:cs="Times New Roman"/>
        </w:rPr>
        <w:t>Nishchhal</w:t>
      </w:r>
      <w:proofErr w:type="spellEnd"/>
      <w:r>
        <w:rPr>
          <w:rFonts w:ascii="Times New Roman" w:eastAsia="Times New Roman" w:hAnsi="Times New Roman" w:cs="Times New Roman"/>
        </w:rPr>
        <w:t xml:space="preserve"> A, Dey S, Majumder P. Measurement and comparison of pattern of bone destruction in chronic periodontitis patients with and without smoking habit: a cross-sectional study. J Pharm </w:t>
      </w:r>
      <w:proofErr w:type="spellStart"/>
      <w:r>
        <w:rPr>
          <w:rFonts w:ascii="Times New Roman" w:eastAsia="Times New Roman" w:hAnsi="Times New Roman" w:cs="Times New Roman"/>
        </w:rPr>
        <w:t>Bioallied</w:t>
      </w:r>
      <w:proofErr w:type="spellEnd"/>
      <w:r>
        <w:rPr>
          <w:rFonts w:ascii="Times New Roman" w:eastAsia="Times New Roman" w:hAnsi="Times New Roman" w:cs="Times New Roman"/>
        </w:rPr>
        <w:t xml:space="preserve"> Sci 2025; 17(Suppl 2): S1408-S1411.</w:t>
      </w:r>
    </w:p>
    <w:p w14:paraId="4A332E33" w14:textId="77777777" w:rsidR="005E54E9" w:rsidRDefault="00195FD7">
      <w:pPr>
        <w:numPr>
          <w:ilvl w:val="0"/>
          <w:numId w:val="1"/>
        </w:numPr>
        <w:spacing w:line="480" w:lineRule="auto"/>
        <w:jc w:val="both"/>
        <w:rPr>
          <w:rFonts w:ascii="Times New Roman" w:eastAsia="Times New Roman" w:hAnsi="Times New Roman" w:cs="Times New Roman"/>
        </w:rPr>
      </w:pPr>
      <w:proofErr w:type="spellStart"/>
      <w:r>
        <w:rPr>
          <w:rFonts w:ascii="Times New Roman" w:eastAsia="Times New Roman" w:hAnsi="Times New Roman" w:cs="Times New Roman"/>
        </w:rPr>
        <w:t>Mallya</w:t>
      </w:r>
      <w:proofErr w:type="spellEnd"/>
      <w:r>
        <w:rPr>
          <w:rFonts w:ascii="Times New Roman" w:eastAsia="Times New Roman" w:hAnsi="Times New Roman" w:cs="Times New Roman"/>
        </w:rPr>
        <w:t xml:space="preserve"> SM, Lam EWN. White &amp; </w:t>
      </w:r>
      <w:proofErr w:type="spellStart"/>
      <w:r>
        <w:rPr>
          <w:rFonts w:ascii="Times New Roman" w:eastAsia="Times New Roman" w:hAnsi="Times New Roman" w:cs="Times New Roman"/>
        </w:rPr>
        <w:t>Pharoah</w:t>
      </w:r>
      <w:proofErr w:type="spellEnd"/>
      <w:r>
        <w:rPr>
          <w:rFonts w:ascii="Times New Roman" w:eastAsia="Times New Roman" w:hAnsi="Times New Roman" w:cs="Times New Roman"/>
        </w:rPr>
        <w:t xml:space="preserve"> – </w:t>
      </w:r>
      <w:proofErr w:type="spellStart"/>
      <w:r>
        <w:rPr>
          <w:rFonts w:ascii="Times New Roman" w:eastAsia="Times New Roman" w:hAnsi="Times New Roman" w:cs="Times New Roman"/>
        </w:rPr>
        <w:t>Radiologia</w:t>
      </w:r>
      <w:proofErr w:type="spellEnd"/>
      <w:r>
        <w:rPr>
          <w:rFonts w:ascii="Times New Roman" w:eastAsia="Times New Roman" w:hAnsi="Times New Roman" w:cs="Times New Roman"/>
        </w:rPr>
        <w:t xml:space="preserve"> Oral: </w:t>
      </w:r>
      <w:proofErr w:type="spellStart"/>
      <w:r>
        <w:rPr>
          <w:rFonts w:ascii="Times New Roman" w:eastAsia="Times New Roman" w:hAnsi="Times New Roman" w:cs="Times New Roman"/>
        </w:rPr>
        <w:t>princípios</w:t>
      </w:r>
      <w:proofErr w:type="spellEnd"/>
      <w:r>
        <w:rPr>
          <w:rFonts w:ascii="Times New Roman" w:eastAsia="Times New Roman" w:hAnsi="Times New Roman" w:cs="Times New Roman"/>
        </w:rPr>
        <w:t xml:space="preserve"> e </w:t>
      </w:r>
      <w:proofErr w:type="spellStart"/>
      <w:r>
        <w:rPr>
          <w:rFonts w:ascii="Times New Roman" w:eastAsia="Times New Roman" w:hAnsi="Times New Roman" w:cs="Times New Roman"/>
        </w:rPr>
        <w:t>interpretação</w:t>
      </w:r>
      <w:proofErr w:type="spellEnd"/>
      <w:r>
        <w:rPr>
          <w:rFonts w:ascii="Times New Roman" w:eastAsia="Times New Roman" w:hAnsi="Times New Roman" w:cs="Times New Roman"/>
        </w:rPr>
        <w:t xml:space="preserve">. 8th ed. Rio de Janeiro: Guanabara </w:t>
      </w:r>
      <w:proofErr w:type="spellStart"/>
      <w:r>
        <w:rPr>
          <w:rFonts w:ascii="Times New Roman" w:eastAsia="Times New Roman" w:hAnsi="Times New Roman" w:cs="Times New Roman"/>
        </w:rPr>
        <w:t>Koogan</w:t>
      </w:r>
      <w:proofErr w:type="spellEnd"/>
      <w:r>
        <w:rPr>
          <w:rFonts w:ascii="Times New Roman" w:eastAsia="Times New Roman" w:hAnsi="Times New Roman" w:cs="Times New Roman"/>
        </w:rPr>
        <w:t>; 2020.</w:t>
      </w:r>
    </w:p>
    <w:p w14:paraId="2880326C" w14:textId="77777777" w:rsidR="005E54E9" w:rsidRDefault="00195FD7">
      <w:pPr>
        <w:numPr>
          <w:ilvl w:val="0"/>
          <w:numId w:val="1"/>
        </w:num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Watanabe PCA, </w:t>
      </w:r>
      <w:proofErr w:type="spellStart"/>
      <w:r>
        <w:rPr>
          <w:rFonts w:ascii="Times New Roman" w:eastAsia="Times New Roman" w:hAnsi="Times New Roman" w:cs="Times New Roman"/>
        </w:rPr>
        <w:t>Arita</w:t>
      </w:r>
      <w:proofErr w:type="spellEnd"/>
      <w:r>
        <w:rPr>
          <w:rFonts w:ascii="Times New Roman" w:eastAsia="Times New Roman" w:hAnsi="Times New Roman" w:cs="Times New Roman"/>
        </w:rPr>
        <w:t xml:space="preserve"> ES. </w:t>
      </w:r>
      <w:proofErr w:type="spellStart"/>
      <w:r>
        <w:rPr>
          <w:rFonts w:ascii="Times New Roman" w:eastAsia="Times New Roman" w:hAnsi="Times New Roman" w:cs="Times New Roman"/>
        </w:rPr>
        <w:t>Radiologia</w:t>
      </w:r>
      <w:proofErr w:type="spellEnd"/>
      <w:r>
        <w:rPr>
          <w:rFonts w:ascii="Times New Roman" w:eastAsia="Times New Roman" w:hAnsi="Times New Roman" w:cs="Times New Roman"/>
        </w:rPr>
        <w:t xml:space="preserve"> Oral: </w:t>
      </w:r>
      <w:proofErr w:type="spellStart"/>
      <w:r>
        <w:rPr>
          <w:rFonts w:ascii="Times New Roman" w:eastAsia="Times New Roman" w:hAnsi="Times New Roman" w:cs="Times New Roman"/>
        </w:rPr>
        <w:t>texto</w:t>
      </w:r>
      <w:proofErr w:type="spellEnd"/>
      <w:r>
        <w:rPr>
          <w:rFonts w:ascii="Times New Roman" w:eastAsia="Times New Roman" w:hAnsi="Times New Roman" w:cs="Times New Roman"/>
        </w:rPr>
        <w:t xml:space="preserve"> e atlas. 1st ed. </w:t>
      </w:r>
      <w:proofErr w:type="spellStart"/>
      <w:r>
        <w:rPr>
          <w:rFonts w:ascii="Times New Roman" w:eastAsia="Times New Roman" w:hAnsi="Times New Roman" w:cs="Times New Roman"/>
        </w:rPr>
        <w:t>Barueri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Manole</w:t>
      </w:r>
      <w:proofErr w:type="spellEnd"/>
      <w:r>
        <w:rPr>
          <w:rFonts w:ascii="Times New Roman" w:eastAsia="Times New Roman" w:hAnsi="Times New Roman" w:cs="Times New Roman"/>
        </w:rPr>
        <w:t>; 2021.</w:t>
      </w:r>
    </w:p>
    <w:p w14:paraId="591B0F2E" w14:textId="77777777" w:rsidR="005E54E9" w:rsidRDefault="00195FD7">
      <w:pPr>
        <w:numPr>
          <w:ilvl w:val="0"/>
          <w:numId w:val="1"/>
        </w:num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Viana LCTM, Silva-Filho JE, Barreto LP, Almeida-Gomes F, </w:t>
      </w:r>
      <w:proofErr w:type="spellStart"/>
      <w:r>
        <w:rPr>
          <w:rFonts w:ascii="Times New Roman" w:eastAsia="Times New Roman" w:hAnsi="Times New Roman" w:cs="Times New Roman"/>
        </w:rPr>
        <w:t>Praça-Brasil</w:t>
      </w:r>
      <w:proofErr w:type="spellEnd"/>
      <w:r>
        <w:rPr>
          <w:rFonts w:ascii="Times New Roman" w:eastAsia="Times New Roman" w:hAnsi="Times New Roman" w:cs="Times New Roman"/>
        </w:rPr>
        <w:t xml:space="preserve"> C. Oral health within tobacco control policies: global and Brazilian perspectives. Arch </w:t>
      </w:r>
      <w:proofErr w:type="spellStart"/>
      <w:r>
        <w:rPr>
          <w:rFonts w:ascii="Times New Roman" w:eastAsia="Times New Roman" w:hAnsi="Times New Roman" w:cs="Times New Roman"/>
        </w:rPr>
        <w:t>Curr</w:t>
      </w:r>
      <w:proofErr w:type="spellEnd"/>
      <w:r>
        <w:rPr>
          <w:rFonts w:ascii="Times New Roman" w:eastAsia="Times New Roman" w:hAnsi="Times New Roman" w:cs="Times New Roman"/>
        </w:rPr>
        <w:t xml:space="preserve"> Res Int 2025; 25: 690-701.</w:t>
      </w:r>
    </w:p>
    <w:p w14:paraId="7E224F85" w14:textId="77777777" w:rsidR="005E54E9" w:rsidRDefault="00195FD7">
      <w:pPr>
        <w:numPr>
          <w:ilvl w:val="0"/>
          <w:numId w:val="1"/>
        </w:numPr>
        <w:spacing w:line="48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Viana LCTM, Silva-Filho JE, Barreto LP, Aguiar BA, Almeida-Gomes F, </w:t>
      </w:r>
      <w:proofErr w:type="spellStart"/>
      <w:r>
        <w:rPr>
          <w:rFonts w:ascii="Times New Roman" w:eastAsia="Times New Roman" w:hAnsi="Times New Roman" w:cs="Times New Roman"/>
        </w:rPr>
        <w:t>Praça-Brasil</w:t>
      </w:r>
      <w:proofErr w:type="spellEnd"/>
      <w:r>
        <w:rPr>
          <w:rFonts w:ascii="Times New Roman" w:eastAsia="Times New Roman" w:hAnsi="Times New Roman" w:cs="Times New Roman"/>
        </w:rPr>
        <w:t xml:space="preserve"> C. Tobacco use and its effects on the pulp and periapical tissues: an integrative review and thematic analysis. Arch </w:t>
      </w:r>
      <w:proofErr w:type="spellStart"/>
      <w:r>
        <w:rPr>
          <w:rFonts w:ascii="Times New Roman" w:eastAsia="Times New Roman" w:hAnsi="Times New Roman" w:cs="Times New Roman"/>
        </w:rPr>
        <w:t>Curr</w:t>
      </w:r>
      <w:proofErr w:type="spellEnd"/>
      <w:r>
        <w:rPr>
          <w:rFonts w:ascii="Times New Roman" w:eastAsia="Times New Roman" w:hAnsi="Times New Roman" w:cs="Times New Roman"/>
        </w:rPr>
        <w:t xml:space="preserve"> Res Int 2025; 25: 878-89.</w:t>
      </w:r>
    </w:p>
    <w:p w14:paraId="05518C2B" w14:textId="77777777" w:rsidR="005E54E9" w:rsidRDefault="005E54E9">
      <w:pPr>
        <w:spacing w:line="480" w:lineRule="auto"/>
        <w:jc w:val="both"/>
        <w:rPr>
          <w:rFonts w:ascii="Times New Roman" w:eastAsia="Times New Roman" w:hAnsi="Times New Roman" w:cs="Times New Roman"/>
        </w:rPr>
      </w:pPr>
    </w:p>
    <w:p w14:paraId="247B01FF" w14:textId="77777777" w:rsidR="005E54E9" w:rsidRDefault="005E54E9">
      <w:pPr>
        <w:spacing w:line="480" w:lineRule="auto"/>
        <w:jc w:val="both"/>
        <w:rPr>
          <w:rFonts w:ascii="Times New Roman" w:eastAsia="Times New Roman" w:hAnsi="Times New Roman" w:cs="Times New Roman"/>
          <w:b/>
        </w:rPr>
      </w:pPr>
    </w:p>
    <w:p w14:paraId="1E086C34" w14:textId="77777777" w:rsidR="005E54E9" w:rsidRDefault="005E54E9">
      <w:pPr>
        <w:spacing w:line="480" w:lineRule="auto"/>
        <w:jc w:val="both"/>
        <w:rPr>
          <w:rFonts w:ascii="Times New Roman" w:eastAsia="Times New Roman" w:hAnsi="Times New Roman" w:cs="Times New Roman"/>
          <w:b/>
        </w:rPr>
      </w:pPr>
    </w:p>
    <w:p w14:paraId="442BD531" w14:textId="77777777" w:rsidR="005E54E9" w:rsidRDefault="00195FD7">
      <w:pPr>
        <w:spacing w:line="480" w:lineRule="auto"/>
        <w:jc w:val="both"/>
        <w:rPr>
          <w:rFonts w:ascii="Times New Roman" w:eastAsia="Times New Roman" w:hAnsi="Times New Roman" w:cs="Times New Roman"/>
        </w:rPr>
      </w:pPr>
      <w:r>
        <w:rPr>
          <w:rFonts w:ascii="Times New Roman" w:eastAsia="Times New Roman" w:hAnsi="Times New Roman" w:cs="Times New Roman"/>
          <w:b/>
        </w:rPr>
        <w:t>Figure 1.</w:t>
      </w:r>
      <w:r>
        <w:rPr>
          <w:rFonts w:ascii="Times New Roman" w:eastAsia="Times New Roman" w:hAnsi="Times New Roman" w:cs="Times New Roman"/>
        </w:rPr>
        <w:t xml:space="preserve"> Representative panoramic radiographs illustrating periapical bone rarefaction in smokers and non-smokers</w:t>
      </w:r>
    </w:p>
    <w:p w14:paraId="609E8B85" w14:textId="77777777" w:rsidR="005E54E9" w:rsidRDefault="00195FD7">
      <w:pPr>
        <w:spacing w:line="480" w:lineRule="auto"/>
        <w:jc w:val="both"/>
        <w:rPr>
          <w:rFonts w:ascii="Times New Roman" w:eastAsia="Times New Roman" w:hAnsi="Times New Roman" w:cs="Times New Roman"/>
        </w:rPr>
      </w:pPr>
      <w:r>
        <w:rPr>
          <w:rFonts w:ascii="Times New Roman" w:eastAsia="Times New Roman" w:hAnsi="Times New Roman" w:cs="Times New Roman"/>
          <w:b/>
          <w:noProof/>
        </w:rPr>
        <w:drawing>
          <wp:inline distT="114300" distB="114300" distL="114300" distR="114300" wp14:anchorId="387FD680" wp14:editId="1B54CD4F">
            <wp:extent cx="4762500" cy="47625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762500" cy="4762500"/>
                    </a:xfrm>
                    <a:prstGeom prst="rect">
                      <a:avLst/>
                    </a:prstGeom>
                    <a:ln/>
                  </pic:spPr>
                </pic:pic>
              </a:graphicData>
            </a:graphic>
          </wp:inline>
        </w:drawing>
      </w:r>
    </w:p>
    <w:p w14:paraId="3D5B5B89" w14:textId="77777777" w:rsidR="005E54E9" w:rsidRDefault="00195FD7">
      <w:pPr>
        <w:spacing w:line="480" w:lineRule="auto"/>
        <w:jc w:val="both"/>
        <w:rPr>
          <w:rFonts w:ascii="Times New Roman" w:eastAsia="Times New Roman" w:hAnsi="Times New Roman" w:cs="Times New Roman"/>
        </w:rPr>
      </w:pPr>
      <w:r>
        <w:rPr>
          <w:rFonts w:ascii="Times New Roman" w:eastAsia="Times New Roman" w:hAnsi="Times New Roman" w:cs="Times New Roman"/>
          <w:b/>
        </w:rPr>
        <w:t xml:space="preserve">Legend: </w:t>
      </w:r>
      <w:r>
        <w:rPr>
          <w:rFonts w:ascii="Times New Roman" w:eastAsia="Times New Roman" w:hAnsi="Times New Roman" w:cs="Times New Roman"/>
        </w:rPr>
        <w:t xml:space="preserve">A. PR broad view of a </w:t>
      </w:r>
      <w:proofErr w:type="spellStart"/>
      <w:r>
        <w:rPr>
          <w:rFonts w:ascii="Times New Roman" w:eastAsia="Times New Roman" w:hAnsi="Times New Roman" w:cs="Times New Roman"/>
        </w:rPr>
        <w:t>tabagist</w:t>
      </w:r>
      <w:proofErr w:type="spellEnd"/>
      <w:r>
        <w:rPr>
          <w:rFonts w:ascii="Times New Roman" w:eastAsia="Times New Roman" w:hAnsi="Times New Roman" w:cs="Times New Roman"/>
        </w:rPr>
        <w:t xml:space="preserve"> patient presenting PBRs; B. Cropped image highlighting the region with PBR; C. Broad view of a PR of a patient without PBR; D. Cropped image showing the corresponding region with no detectable PBR.</w:t>
      </w:r>
    </w:p>
    <w:p w14:paraId="74D37806" w14:textId="77777777" w:rsidR="005E54E9" w:rsidRDefault="005E54E9">
      <w:pPr>
        <w:spacing w:line="480" w:lineRule="auto"/>
        <w:jc w:val="both"/>
        <w:rPr>
          <w:rFonts w:ascii="Times New Roman" w:eastAsia="Times New Roman" w:hAnsi="Times New Roman" w:cs="Times New Roman"/>
        </w:rPr>
      </w:pPr>
    </w:p>
    <w:p w14:paraId="6FB0758A" w14:textId="77777777" w:rsidR="005E54E9" w:rsidRDefault="00195FD7">
      <w:pPr>
        <w:spacing w:line="480" w:lineRule="auto"/>
        <w:jc w:val="both"/>
        <w:rPr>
          <w:rFonts w:ascii="Times New Roman" w:eastAsia="Times New Roman" w:hAnsi="Times New Roman" w:cs="Times New Roman"/>
          <w:b/>
        </w:rPr>
      </w:pPr>
      <w:r>
        <w:lastRenderedPageBreak/>
        <w:br w:type="page"/>
      </w:r>
    </w:p>
    <w:p w14:paraId="5F9A169B" w14:textId="77777777" w:rsidR="005E54E9" w:rsidRDefault="005E54E9">
      <w:pPr>
        <w:spacing w:line="480" w:lineRule="auto"/>
        <w:jc w:val="both"/>
        <w:rPr>
          <w:rFonts w:ascii="Times New Roman" w:eastAsia="Times New Roman" w:hAnsi="Times New Roman" w:cs="Times New Roman"/>
          <w:b/>
        </w:rPr>
      </w:pPr>
    </w:p>
    <w:p w14:paraId="356232AB" w14:textId="77777777" w:rsidR="005E54E9" w:rsidRDefault="00195FD7">
      <w:pPr>
        <w:spacing w:line="480" w:lineRule="auto"/>
        <w:jc w:val="both"/>
        <w:rPr>
          <w:rFonts w:ascii="Times New Roman" w:eastAsia="Times New Roman" w:hAnsi="Times New Roman" w:cs="Times New Roman"/>
          <w:b/>
        </w:rPr>
      </w:pPr>
      <w:r>
        <w:rPr>
          <w:rFonts w:ascii="Times New Roman" w:eastAsia="Times New Roman" w:hAnsi="Times New Roman" w:cs="Times New Roman"/>
          <w:b/>
        </w:rPr>
        <w:t xml:space="preserve">Figure 2. </w:t>
      </w:r>
      <w:r>
        <w:rPr>
          <w:rFonts w:ascii="Times New Roman" w:eastAsia="Times New Roman" w:hAnsi="Times New Roman" w:cs="Times New Roman"/>
        </w:rPr>
        <w:t>Representative panoramic radiographs comparing periapical bone rarefaction in smokers and non-smokers</w:t>
      </w:r>
    </w:p>
    <w:p w14:paraId="133E955A" w14:textId="77777777" w:rsidR="005E54E9" w:rsidRDefault="00195FD7">
      <w:pPr>
        <w:spacing w:line="480" w:lineRule="auto"/>
        <w:jc w:val="both"/>
        <w:rPr>
          <w:rFonts w:ascii="Times New Roman" w:eastAsia="Times New Roman" w:hAnsi="Times New Roman" w:cs="Times New Roman"/>
        </w:rPr>
      </w:pPr>
      <w:r>
        <w:rPr>
          <w:rFonts w:ascii="Times New Roman" w:eastAsia="Times New Roman" w:hAnsi="Times New Roman" w:cs="Times New Roman"/>
          <w:b/>
          <w:noProof/>
        </w:rPr>
        <w:drawing>
          <wp:inline distT="114300" distB="114300" distL="114300" distR="114300" wp14:anchorId="1F551D41" wp14:editId="1F4FFA04">
            <wp:extent cx="4762500" cy="47625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762500" cy="4762500"/>
                    </a:xfrm>
                    <a:prstGeom prst="rect">
                      <a:avLst/>
                    </a:prstGeom>
                    <a:ln/>
                  </pic:spPr>
                </pic:pic>
              </a:graphicData>
            </a:graphic>
          </wp:inline>
        </w:drawing>
      </w:r>
    </w:p>
    <w:p w14:paraId="62F45F41" w14:textId="77777777" w:rsidR="005E54E9" w:rsidRDefault="00195FD7">
      <w:pPr>
        <w:spacing w:line="480" w:lineRule="auto"/>
        <w:jc w:val="both"/>
        <w:rPr>
          <w:rFonts w:ascii="Times New Roman" w:eastAsia="Times New Roman" w:hAnsi="Times New Roman" w:cs="Times New Roman"/>
        </w:rPr>
      </w:pPr>
      <w:r>
        <w:rPr>
          <w:rFonts w:ascii="Times New Roman" w:eastAsia="Times New Roman" w:hAnsi="Times New Roman" w:cs="Times New Roman"/>
          <w:b/>
        </w:rPr>
        <w:t xml:space="preserve">Legend: </w:t>
      </w:r>
      <w:r>
        <w:rPr>
          <w:rFonts w:ascii="Times New Roman" w:eastAsia="Times New Roman" w:hAnsi="Times New Roman" w:cs="Times New Roman"/>
        </w:rPr>
        <w:t>A. PR broad view of a smoker patient presenting PBRs; B. PR broad view of a non-smoker patient without PBR.</w:t>
      </w:r>
      <w:r>
        <w:br w:type="page"/>
      </w:r>
    </w:p>
    <w:p w14:paraId="53F73E58" w14:textId="77777777" w:rsidR="005E54E9" w:rsidRDefault="005E54E9">
      <w:pPr>
        <w:spacing w:line="480" w:lineRule="auto"/>
        <w:jc w:val="both"/>
        <w:rPr>
          <w:rFonts w:ascii="Times New Roman" w:eastAsia="Times New Roman" w:hAnsi="Times New Roman" w:cs="Times New Roman"/>
          <w:b/>
        </w:rPr>
      </w:pPr>
    </w:p>
    <w:p w14:paraId="4F1F87DD" w14:textId="77777777" w:rsidR="005E54E9" w:rsidRDefault="00195FD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rPr>
        <w:t>Table 1.</w:t>
      </w:r>
      <w:r>
        <w:rPr>
          <w:rFonts w:ascii="Times New Roman" w:eastAsia="Times New Roman" w:hAnsi="Times New Roman" w:cs="Times New Roman"/>
        </w:rPr>
        <w:t xml:space="preserve"> Demographic and clinical characteristics of participants</w:t>
      </w:r>
    </w:p>
    <w:tbl>
      <w:tblPr>
        <w:tblStyle w:val="a3"/>
        <w:tblW w:w="8520" w:type="dxa"/>
        <w:tblInd w:w="-15" w:type="dxa"/>
        <w:tblLayout w:type="fixed"/>
        <w:tblLook w:val="0000" w:firstRow="0" w:lastRow="0" w:firstColumn="0" w:lastColumn="0" w:noHBand="0" w:noVBand="0"/>
      </w:tblPr>
      <w:tblGrid>
        <w:gridCol w:w="7080"/>
        <w:gridCol w:w="1440"/>
      </w:tblGrid>
      <w:tr w:rsidR="005E54E9" w14:paraId="68288D26" w14:textId="77777777">
        <w:tc>
          <w:tcPr>
            <w:tcW w:w="7080" w:type="dxa"/>
            <w:tcBorders>
              <w:top w:val="single" w:sz="4" w:space="0" w:color="00000A"/>
              <w:left w:val="nil"/>
              <w:bottom w:val="single" w:sz="4" w:space="0" w:color="00000A"/>
              <w:right w:val="nil"/>
            </w:tcBorders>
            <w:shd w:val="clear" w:color="auto" w:fill="FFFFFF"/>
            <w:vAlign w:val="center"/>
          </w:tcPr>
          <w:p w14:paraId="07AC1795" w14:textId="77777777" w:rsidR="005E54E9" w:rsidRDefault="00195FD7">
            <w:pPr>
              <w:spacing w:line="240" w:lineRule="auto"/>
              <w:rPr>
                <w:rFonts w:ascii="Times New Roman" w:eastAsia="Times New Roman" w:hAnsi="Times New Roman" w:cs="Times New Roman"/>
              </w:rPr>
            </w:pPr>
            <w:r>
              <w:rPr>
                <w:rFonts w:ascii="Times New Roman" w:eastAsia="Times New Roman" w:hAnsi="Times New Roman" w:cs="Times New Roman"/>
                <w:b/>
              </w:rPr>
              <w:t>Variable</w:t>
            </w:r>
          </w:p>
        </w:tc>
        <w:tc>
          <w:tcPr>
            <w:tcW w:w="1440" w:type="dxa"/>
            <w:tcBorders>
              <w:top w:val="single" w:sz="4" w:space="0" w:color="00000A"/>
              <w:left w:val="nil"/>
              <w:bottom w:val="single" w:sz="4" w:space="0" w:color="00000A"/>
              <w:right w:val="nil"/>
            </w:tcBorders>
            <w:shd w:val="clear" w:color="auto" w:fill="FFFFFF"/>
            <w:vAlign w:val="center"/>
          </w:tcPr>
          <w:p w14:paraId="701170FD" w14:textId="77777777" w:rsidR="005E54E9" w:rsidRDefault="00195FD7">
            <w:pPr>
              <w:spacing w:line="240" w:lineRule="auto"/>
              <w:jc w:val="center"/>
              <w:rPr>
                <w:rFonts w:ascii="Times New Roman" w:eastAsia="Times New Roman" w:hAnsi="Times New Roman" w:cs="Times New Roman"/>
              </w:rPr>
            </w:pPr>
            <w:r>
              <w:rPr>
                <w:rFonts w:ascii="Times New Roman" w:eastAsia="Times New Roman" w:hAnsi="Times New Roman" w:cs="Times New Roman"/>
                <w:b/>
              </w:rPr>
              <w:t>N (212)</w:t>
            </w:r>
          </w:p>
        </w:tc>
      </w:tr>
      <w:tr w:rsidR="005E54E9" w14:paraId="1B408706" w14:textId="77777777">
        <w:tc>
          <w:tcPr>
            <w:tcW w:w="7080" w:type="dxa"/>
            <w:shd w:val="clear" w:color="auto" w:fill="FFFFFF"/>
            <w:vAlign w:val="center"/>
          </w:tcPr>
          <w:p w14:paraId="76BBD2BA" w14:textId="77777777" w:rsidR="005E54E9" w:rsidRDefault="00195FD7">
            <w:pPr>
              <w:rPr>
                <w:rFonts w:ascii="Times New Roman" w:eastAsia="Times New Roman" w:hAnsi="Times New Roman" w:cs="Times New Roman"/>
              </w:rPr>
            </w:pPr>
            <w:r>
              <w:rPr>
                <w:rFonts w:ascii="Times New Roman" w:eastAsia="Times New Roman" w:hAnsi="Times New Roman" w:cs="Times New Roman"/>
                <w:b/>
              </w:rPr>
              <w:t>Age (years)*</w:t>
            </w:r>
          </w:p>
        </w:tc>
        <w:tc>
          <w:tcPr>
            <w:tcW w:w="1440" w:type="dxa"/>
            <w:shd w:val="clear" w:color="auto" w:fill="FFFFFF"/>
            <w:vAlign w:val="center"/>
          </w:tcPr>
          <w:p w14:paraId="1E90274D" w14:textId="77777777" w:rsidR="005E54E9" w:rsidRDefault="00195FD7">
            <w:pPr>
              <w:jc w:val="center"/>
              <w:rPr>
                <w:rFonts w:ascii="Times New Roman" w:eastAsia="Times New Roman" w:hAnsi="Times New Roman" w:cs="Times New Roman"/>
              </w:rPr>
            </w:pPr>
            <w:r>
              <w:rPr>
                <w:rFonts w:ascii="Times New Roman" w:eastAsia="Times New Roman" w:hAnsi="Times New Roman" w:cs="Times New Roman"/>
              </w:rPr>
              <w:t>48 ± 13.9*</w:t>
            </w:r>
          </w:p>
        </w:tc>
      </w:tr>
      <w:tr w:rsidR="005E54E9" w14:paraId="6C71F093" w14:textId="77777777">
        <w:tc>
          <w:tcPr>
            <w:tcW w:w="7080" w:type="dxa"/>
            <w:shd w:val="clear" w:color="auto" w:fill="FFFFFF"/>
            <w:vAlign w:val="center"/>
          </w:tcPr>
          <w:p w14:paraId="1588A0B0" w14:textId="77777777" w:rsidR="005E54E9" w:rsidRDefault="00195FD7">
            <w:pPr>
              <w:rPr>
                <w:rFonts w:ascii="Times New Roman" w:eastAsia="Times New Roman" w:hAnsi="Times New Roman" w:cs="Times New Roman"/>
              </w:rPr>
            </w:pPr>
            <w:r>
              <w:rPr>
                <w:rFonts w:ascii="Times New Roman" w:eastAsia="Times New Roman" w:hAnsi="Times New Roman" w:cs="Times New Roman"/>
                <w:b/>
              </w:rPr>
              <w:t>Sex</w:t>
            </w:r>
            <w:r>
              <w:rPr>
                <w:rFonts w:ascii="Times New Roman" w:eastAsia="Times New Roman" w:hAnsi="Times New Roman" w:cs="Times New Roman"/>
              </w:rPr>
              <w:t>†</w:t>
            </w:r>
          </w:p>
        </w:tc>
        <w:tc>
          <w:tcPr>
            <w:tcW w:w="1440" w:type="dxa"/>
            <w:shd w:val="clear" w:color="auto" w:fill="FFFFFF"/>
            <w:vAlign w:val="center"/>
          </w:tcPr>
          <w:p w14:paraId="3589398F" w14:textId="77777777" w:rsidR="005E54E9" w:rsidRDefault="005E54E9">
            <w:pPr>
              <w:jc w:val="center"/>
              <w:rPr>
                <w:rFonts w:ascii="Times New Roman" w:eastAsia="Times New Roman" w:hAnsi="Times New Roman" w:cs="Times New Roman"/>
              </w:rPr>
            </w:pPr>
          </w:p>
        </w:tc>
      </w:tr>
      <w:tr w:rsidR="005E54E9" w14:paraId="3ACECA5E" w14:textId="77777777">
        <w:tc>
          <w:tcPr>
            <w:tcW w:w="7080" w:type="dxa"/>
            <w:shd w:val="clear" w:color="auto" w:fill="FFFFFF"/>
            <w:vAlign w:val="center"/>
          </w:tcPr>
          <w:p w14:paraId="6A271822" w14:textId="77777777" w:rsidR="005E54E9" w:rsidRDefault="00195FD7">
            <w:pPr>
              <w:rPr>
                <w:rFonts w:ascii="Times New Roman" w:eastAsia="Times New Roman" w:hAnsi="Times New Roman" w:cs="Times New Roman"/>
              </w:rPr>
            </w:pPr>
            <w:r>
              <w:rPr>
                <w:rFonts w:ascii="Times New Roman" w:eastAsia="Times New Roman" w:hAnsi="Times New Roman" w:cs="Times New Roman"/>
              </w:rPr>
              <w:t xml:space="preserve">  Female</w:t>
            </w:r>
          </w:p>
        </w:tc>
        <w:tc>
          <w:tcPr>
            <w:tcW w:w="1440" w:type="dxa"/>
            <w:shd w:val="clear" w:color="auto" w:fill="FFFFFF"/>
            <w:vAlign w:val="center"/>
          </w:tcPr>
          <w:p w14:paraId="78D5BD5E" w14:textId="77777777" w:rsidR="005E54E9" w:rsidRDefault="00195FD7">
            <w:pPr>
              <w:jc w:val="center"/>
              <w:rPr>
                <w:rFonts w:ascii="Times New Roman" w:eastAsia="Times New Roman" w:hAnsi="Times New Roman" w:cs="Times New Roman"/>
              </w:rPr>
            </w:pPr>
            <w:r>
              <w:rPr>
                <w:rFonts w:ascii="Times New Roman" w:eastAsia="Times New Roman" w:hAnsi="Times New Roman" w:cs="Times New Roman"/>
              </w:rPr>
              <w:t>127 (62.3%)</w:t>
            </w:r>
          </w:p>
        </w:tc>
      </w:tr>
      <w:tr w:rsidR="005E54E9" w14:paraId="324229F2" w14:textId="77777777">
        <w:tc>
          <w:tcPr>
            <w:tcW w:w="7080" w:type="dxa"/>
            <w:shd w:val="clear" w:color="auto" w:fill="FFFFFF"/>
            <w:vAlign w:val="center"/>
          </w:tcPr>
          <w:p w14:paraId="2A363E82" w14:textId="77777777" w:rsidR="005E54E9" w:rsidRDefault="00195FD7">
            <w:pPr>
              <w:rPr>
                <w:rFonts w:ascii="Times New Roman" w:eastAsia="Times New Roman" w:hAnsi="Times New Roman" w:cs="Times New Roman"/>
              </w:rPr>
            </w:pPr>
            <w:r>
              <w:rPr>
                <w:rFonts w:ascii="Times New Roman" w:eastAsia="Times New Roman" w:hAnsi="Times New Roman" w:cs="Times New Roman"/>
              </w:rPr>
              <w:t xml:space="preserve">  Male</w:t>
            </w:r>
          </w:p>
        </w:tc>
        <w:tc>
          <w:tcPr>
            <w:tcW w:w="1440" w:type="dxa"/>
            <w:shd w:val="clear" w:color="auto" w:fill="FFFFFF"/>
            <w:vAlign w:val="center"/>
          </w:tcPr>
          <w:p w14:paraId="7E08CA34" w14:textId="77777777" w:rsidR="005E54E9" w:rsidRDefault="00195FD7">
            <w:pPr>
              <w:jc w:val="center"/>
              <w:rPr>
                <w:rFonts w:ascii="Times New Roman" w:eastAsia="Times New Roman" w:hAnsi="Times New Roman" w:cs="Times New Roman"/>
              </w:rPr>
            </w:pPr>
            <w:r>
              <w:rPr>
                <w:rFonts w:ascii="Times New Roman" w:eastAsia="Times New Roman" w:hAnsi="Times New Roman" w:cs="Times New Roman"/>
              </w:rPr>
              <w:t>77 (37.7%)</w:t>
            </w:r>
          </w:p>
        </w:tc>
      </w:tr>
      <w:tr w:rsidR="005E54E9" w14:paraId="333C1E72" w14:textId="77777777">
        <w:tc>
          <w:tcPr>
            <w:tcW w:w="7080" w:type="dxa"/>
            <w:shd w:val="clear" w:color="auto" w:fill="FFFFFF"/>
            <w:vAlign w:val="center"/>
          </w:tcPr>
          <w:p w14:paraId="2F5008E6" w14:textId="77777777" w:rsidR="005E54E9" w:rsidRDefault="00195FD7">
            <w:pPr>
              <w:rPr>
                <w:rFonts w:ascii="Times New Roman" w:eastAsia="Times New Roman" w:hAnsi="Times New Roman" w:cs="Times New Roman"/>
              </w:rPr>
            </w:pPr>
            <w:r>
              <w:rPr>
                <w:rFonts w:ascii="Times New Roman" w:eastAsia="Times New Roman" w:hAnsi="Times New Roman" w:cs="Times New Roman"/>
                <w:b/>
              </w:rPr>
              <w:t xml:space="preserve">Study groups </w:t>
            </w:r>
            <w:r>
              <w:rPr>
                <w:rFonts w:ascii="Times New Roman" w:eastAsia="Times New Roman" w:hAnsi="Times New Roman" w:cs="Times New Roman"/>
              </w:rPr>
              <w:t>†</w:t>
            </w:r>
          </w:p>
        </w:tc>
        <w:tc>
          <w:tcPr>
            <w:tcW w:w="1440" w:type="dxa"/>
            <w:shd w:val="clear" w:color="auto" w:fill="FFFFFF"/>
            <w:vAlign w:val="center"/>
          </w:tcPr>
          <w:p w14:paraId="2C722D2F" w14:textId="77777777" w:rsidR="005E54E9" w:rsidRDefault="005E54E9">
            <w:pPr>
              <w:jc w:val="center"/>
              <w:rPr>
                <w:rFonts w:ascii="Times New Roman" w:eastAsia="Times New Roman" w:hAnsi="Times New Roman" w:cs="Times New Roman"/>
              </w:rPr>
            </w:pPr>
          </w:p>
        </w:tc>
      </w:tr>
      <w:tr w:rsidR="005E54E9" w14:paraId="7D63AC01" w14:textId="77777777">
        <w:tc>
          <w:tcPr>
            <w:tcW w:w="7080" w:type="dxa"/>
            <w:shd w:val="clear" w:color="auto" w:fill="FFFFFF"/>
            <w:vAlign w:val="center"/>
          </w:tcPr>
          <w:p w14:paraId="2468C200" w14:textId="77777777" w:rsidR="005E54E9" w:rsidRDefault="00195FD7">
            <w:pPr>
              <w:rPr>
                <w:rFonts w:ascii="Times New Roman" w:eastAsia="Times New Roman" w:hAnsi="Times New Roman" w:cs="Times New Roman"/>
              </w:rPr>
            </w:pPr>
            <w:r>
              <w:rPr>
                <w:rFonts w:ascii="Times New Roman" w:eastAsia="Times New Roman" w:hAnsi="Times New Roman" w:cs="Times New Roman"/>
              </w:rPr>
              <w:t xml:space="preserve">  Smokers with lesion</w:t>
            </w:r>
          </w:p>
        </w:tc>
        <w:tc>
          <w:tcPr>
            <w:tcW w:w="1440" w:type="dxa"/>
            <w:shd w:val="clear" w:color="auto" w:fill="FFFFFF"/>
            <w:vAlign w:val="center"/>
          </w:tcPr>
          <w:p w14:paraId="61E73185" w14:textId="77777777" w:rsidR="005E54E9" w:rsidRDefault="00195FD7">
            <w:pPr>
              <w:jc w:val="center"/>
              <w:rPr>
                <w:rFonts w:ascii="Times New Roman" w:eastAsia="Times New Roman" w:hAnsi="Times New Roman" w:cs="Times New Roman"/>
              </w:rPr>
            </w:pPr>
            <w:r>
              <w:rPr>
                <w:rFonts w:ascii="Times New Roman" w:eastAsia="Times New Roman" w:hAnsi="Times New Roman" w:cs="Times New Roman"/>
              </w:rPr>
              <w:t>32 (15.7%)</w:t>
            </w:r>
          </w:p>
        </w:tc>
      </w:tr>
      <w:tr w:rsidR="005E54E9" w14:paraId="538CD32B" w14:textId="77777777">
        <w:tc>
          <w:tcPr>
            <w:tcW w:w="7080" w:type="dxa"/>
            <w:shd w:val="clear" w:color="auto" w:fill="FFFFFF"/>
            <w:vAlign w:val="center"/>
          </w:tcPr>
          <w:p w14:paraId="73CAA9C2" w14:textId="77777777" w:rsidR="005E54E9" w:rsidRDefault="00195FD7">
            <w:pPr>
              <w:rPr>
                <w:rFonts w:ascii="Times New Roman" w:eastAsia="Times New Roman" w:hAnsi="Times New Roman" w:cs="Times New Roman"/>
              </w:rPr>
            </w:pPr>
            <w:r>
              <w:rPr>
                <w:rFonts w:ascii="Times New Roman" w:eastAsia="Times New Roman" w:hAnsi="Times New Roman" w:cs="Times New Roman"/>
              </w:rPr>
              <w:t xml:space="preserve">  Smokers without lesion</w:t>
            </w:r>
          </w:p>
        </w:tc>
        <w:tc>
          <w:tcPr>
            <w:tcW w:w="1440" w:type="dxa"/>
            <w:shd w:val="clear" w:color="auto" w:fill="FFFFFF"/>
            <w:vAlign w:val="center"/>
          </w:tcPr>
          <w:p w14:paraId="40DF5A02" w14:textId="77777777" w:rsidR="005E54E9" w:rsidRDefault="00195FD7">
            <w:pPr>
              <w:jc w:val="center"/>
              <w:rPr>
                <w:rFonts w:ascii="Times New Roman" w:eastAsia="Times New Roman" w:hAnsi="Times New Roman" w:cs="Times New Roman"/>
              </w:rPr>
            </w:pPr>
            <w:r>
              <w:rPr>
                <w:rFonts w:ascii="Times New Roman" w:eastAsia="Times New Roman" w:hAnsi="Times New Roman" w:cs="Times New Roman"/>
              </w:rPr>
              <w:t>67 (32.8%)</w:t>
            </w:r>
          </w:p>
        </w:tc>
      </w:tr>
      <w:tr w:rsidR="005E54E9" w14:paraId="5F2B2FD5" w14:textId="77777777">
        <w:tc>
          <w:tcPr>
            <w:tcW w:w="7080" w:type="dxa"/>
            <w:shd w:val="clear" w:color="auto" w:fill="FFFFFF"/>
            <w:vAlign w:val="center"/>
          </w:tcPr>
          <w:p w14:paraId="5C8E0DA8" w14:textId="77777777" w:rsidR="005E54E9" w:rsidRDefault="00195FD7">
            <w:pPr>
              <w:rPr>
                <w:rFonts w:ascii="Times New Roman" w:eastAsia="Times New Roman" w:hAnsi="Times New Roman" w:cs="Times New Roman"/>
              </w:rPr>
            </w:pPr>
            <w:r>
              <w:rPr>
                <w:rFonts w:ascii="Times New Roman" w:eastAsia="Times New Roman" w:hAnsi="Times New Roman" w:cs="Times New Roman"/>
              </w:rPr>
              <w:t xml:space="preserve">  Non-smokers with lesion</w:t>
            </w:r>
          </w:p>
        </w:tc>
        <w:tc>
          <w:tcPr>
            <w:tcW w:w="1440" w:type="dxa"/>
            <w:shd w:val="clear" w:color="auto" w:fill="FFFFFF"/>
            <w:vAlign w:val="center"/>
          </w:tcPr>
          <w:p w14:paraId="50AEDB98" w14:textId="77777777" w:rsidR="005E54E9" w:rsidRDefault="00195FD7">
            <w:pPr>
              <w:jc w:val="center"/>
              <w:rPr>
                <w:rFonts w:ascii="Times New Roman" w:eastAsia="Times New Roman" w:hAnsi="Times New Roman" w:cs="Times New Roman"/>
              </w:rPr>
            </w:pPr>
            <w:r>
              <w:rPr>
                <w:rFonts w:ascii="Times New Roman" w:eastAsia="Times New Roman" w:hAnsi="Times New Roman" w:cs="Times New Roman"/>
              </w:rPr>
              <w:t>70 (34.3%)</w:t>
            </w:r>
          </w:p>
        </w:tc>
      </w:tr>
      <w:tr w:rsidR="005E54E9" w14:paraId="3608F349" w14:textId="77777777">
        <w:tc>
          <w:tcPr>
            <w:tcW w:w="7080" w:type="dxa"/>
            <w:shd w:val="clear" w:color="auto" w:fill="FFFFFF"/>
            <w:vAlign w:val="center"/>
          </w:tcPr>
          <w:p w14:paraId="16D6E183" w14:textId="77777777" w:rsidR="005E54E9" w:rsidRDefault="00195FD7">
            <w:pPr>
              <w:rPr>
                <w:rFonts w:ascii="Times New Roman" w:eastAsia="Times New Roman" w:hAnsi="Times New Roman" w:cs="Times New Roman"/>
              </w:rPr>
            </w:pPr>
            <w:r>
              <w:rPr>
                <w:rFonts w:ascii="Times New Roman" w:eastAsia="Times New Roman" w:hAnsi="Times New Roman" w:cs="Times New Roman"/>
              </w:rPr>
              <w:t xml:space="preserve">  Non-smokers without lesion</w:t>
            </w:r>
          </w:p>
        </w:tc>
        <w:tc>
          <w:tcPr>
            <w:tcW w:w="1440" w:type="dxa"/>
            <w:shd w:val="clear" w:color="auto" w:fill="FFFFFF"/>
            <w:vAlign w:val="center"/>
          </w:tcPr>
          <w:p w14:paraId="4C961DFB" w14:textId="77777777" w:rsidR="005E54E9" w:rsidRDefault="00195FD7">
            <w:pPr>
              <w:jc w:val="center"/>
              <w:rPr>
                <w:rFonts w:ascii="Times New Roman" w:eastAsia="Times New Roman" w:hAnsi="Times New Roman" w:cs="Times New Roman"/>
              </w:rPr>
            </w:pPr>
            <w:r>
              <w:rPr>
                <w:rFonts w:ascii="Times New Roman" w:eastAsia="Times New Roman" w:hAnsi="Times New Roman" w:cs="Times New Roman"/>
              </w:rPr>
              <w:t>35 (17.2%)</w:t>
            </w:r>
          </w:p>
        </w:tc>
      </w:tr>
      <w:tr w:rsidR="005E54E9" w14:paraId="08A3A940" w14:textId="77777777">
        <w:tc>
          <w:tcPr>
            <w:tcW w:w="7080" w:type="dxa"/>
            <w:shd w:val="clear" w:color="auto" w:fill="FFFFFF"/>
            <w:vAlign w:val="center"/>
          </w:tcPr>
          <w:p w14:paraId="106A0DD7" w14:textId="77777777" w:rsidR="005E54E9" w:rsidRDefault="00195FD7">
            <w:pPr>
              <w:rPr>
                <w:rFonts w:ascii="Times New Roman" w:eastAsia="Times New Roman" w:hAnsi="Times New Roman" w:cs="Times New Roman"/>
              </w:rPr>
            </w:pPr>
            <w:r>
              <w:rPr>
                <w:rFonts w:ascii="Times New Roman" w:eastAsia="Times New Roman" w:hAnsi="Times New Roman" w:cs="Times New Roman"/>
                <w:b/>
              </w:rPr>
              <w:t>Location of lesion (n=</w:t>
            </w:r>
            <w:proofErr w:type="gramStart"/>
            <w:r>
              <w:rPr>
                <w:rFonts w:ascii="Times New Roman" w:eastAsia="Times New Roman" w:hAnsi="Times New Roman" w:cs="Times New Roman"/>
                <w:b/>
              </w:rPr>
              <w:t>102)</w:t>
            </w:r>
            <w:r>
              <w:rPr>
                <w:rFonts w:ascii="Times New Roman" w:eastAsia="Times New Roman" w:hAnsi="Times New Roman" w:cs="Times New Roman"/>
              </w:rPr>
              <w:t>†</w:t>
            </w:r>
            <w:proofErr w:type="gramEnd"/>
          </w:p>
        </w:tc>
        <w:tc>
          <w:tcPr>
            <w:tcW w:w="1440" w:type="dxa"/>
            <w:shd w:val="clear" w:color="auto" w:fill="FFFFFF"/>
            <w:vAlign w:val="center"/>
          </w:tcPr>
          <w:p w14:paraId="4FA1AE2C" w14:textId="77777777" w:rsidR="005E54E9" w:rsidRDefault="005E54E9">
            <w:pPr>
              <w:jc w:val="center"/>
              <w:rPr>
                <w:rFonts w:ascii="Times New Roman" w:eastAsia="Times New Roman" w:hAnsi="Times New Roman" w:cs="Times New Roman"/>
              </w:rPr>
            </w:pPr>
          </w:p>
        </w:tc>
      </w:tr>
      <w:tr w:rsidR="005E54E9" w14:paraId="520F4E93" w14:textId="77777777">
        <w:tc>
          <w:tcPr>
            <w:tcW w:w="7080" w:type="dxa"/>
            <w:shd w:val="clear" w:color="auto" w:fill="FFFFFF"/>
            <w:vAlign w:val="center"/>
          </w:tcPr>
          <w:p w14:paraId="09A0B8DF" w14:textId="77777777" w:rsidR="005E54E9" w:rsidRDefault="00195FD7">
            <w:pPr>
              <w:rPr>
                <w:rFonts w:ascii="Times New Roman" w:eastAsia="Times New Roman" w:hAnsi="Times New Roman" w:cs="Times New Roman"/>
              </w:rPr>
            </w:pPr>
            <w:r>
              <w:rPr>
                <w:rFonts w:ascii="Times New Roman" w:eastAsia="Times New Roman" w:hAnsi="Times New Roman" w:cs="Times New Roman"/>
              </w:rPr>
              <w:t xml:space="preserve">  Maxilla</w:t>
            </w:r>
          </w:p>
        </w:tc>
        <w:tc>
          <w:tcPr>
            <w:tcW w:w="1440" w:type="dxa"/>
            <w:shd w:val="clear" w:color="auto" w:fill="FFFFFF"/>
            <w:vAlign w:val="center"/>
          </w:tcPr>
          <w:p w14:paraId="75E0F476" w14:textId="77777777" w:rsidR="005E54E9" w:rsidRDefault="00195FD7">
            <w:pPr>
              <w:jc w:val="center"/>
              <w:rPr>
                <w:rFonts w:ascii="Times New Roman" w:eastAsia="Times New Roman" w:hAnsi="Times New Roman" w:cs="Times New Roman"/>
              </w:rPr>
            </w:pPr>
            <w:r>
              <w:rPr>
                <w:rFonts w:ascii="Times New Roman" w:eastAsia="Times New Roman" w:hAnsi="Times New Roman" w:cs="Times New Roman"/>
              </w:rPr>
              <w:t>69 (67.6%)</w:t>
            </w:r>
          </w:p>
        </w:tc>
      </w:tr>
      <w:tr w:rsidR="005E54E9" w14:paraId="619988AD" w14:textId="77777777">
        <w:tc>
          <w:tcPr>
            <w:tcW w:w="7080" w:type="dxa"/>
            <w:shd w:val="clear" w:color="auto" w:fill="FFFFFF"/>
            <w:vAlign w:val="center"/>
          </w:tcPr>
          <w:p w14:paraId="3046330C" w14:textId="77777777" w:rsidR="005E54E9" w:rsidRDefault="00195FD7">
            <w:pPr>
              <w:rPr>
                <w:rFonts w:ascii="Times New Roman" w:eastAsia="Times New Roman" w:hAnsi="Times New Roman" w:cs="Times New Roman"/>
              </w:rPr>
            </w:pPr>
            <w:r>
              <w:rPr>
                <w:rFonts w:ascii="Times New Roman" w:eastAsia="Times New Roman" w:hAnsi="Times New Roman" w:cs="Times New Roman"/>
              </w:rPr>
              <w:t xml:space="preserve">  Mandible</w:t>
            </w:r>
          </w:p>
        </w:tc>
        <w:tc>
          <w:tcPr>
            <w:tcW w:w="1440" w:type="dxa"/>
            <w:shd w:val="clear" w:color="auto" w:fill="FFFFFF"/>
            <w:vAlign w:val="center"/>
          </w:tcPr>
          <w:p w14:paraId="10211E71" w14:textId="77777777" w:rsidR="005E54E9" w:rsidRDefault="00195FD7">
            <w:pPr>
              <w:jc w:val="center"/>
              <w:rPr>
                <w:rFonts w:ascii="Times New Roman" w:eastAsia="Times New Roman" w:hAnsi="Times New Roman" w:cs="Times New Roman"/>
              </w:rPr>
            </w:pPr>
            <w:r>
              <w:rPr>
                <w:rFonts w:ascii="Times New Roman" w:eastAsia="Times New Roman" w:hAnsi="Times New Roman" w:cs="Times New Roman"/>
              </w:rPr>
              <w:t>29 (28.4%)</w:t>
            </w:r>
          </w:p>
        </w:tc>
      </w:tr>
      <w:tr w:rsidR="005E54E9" w14:paraId="12B3FEA5" w14:textId="77777777">
        <w:tc>
          <w:tcPr>
            <w:tcW w:w="7080" w:type="dxa"/>
            <w:tcBorders>
              <w:bottom w:val="single" w:sz="4" w:space="0" w:color="000000"/>
            </w:tcBorders>
            <w:shd w:val="clear" w:color="auto" w:fill="FFFFFF"/>
            <w:vAlign w:val="center"/>
          </w:tcPr>
          <w:p w14:paraId="5A1D3474" w14:textId="77777777" w:rsidR="005E54E9" w:rsidRDefault="00195FD7">
            <w:pPr>
              <w:rPr>
                <w:rFonts w:ascii="Times New Roman" w:eastAsia="Times New Roman" w:hAnsi="Times New Roman" w:cs="Times New Roman"/>
              </w:rPr>
            </w:pPr>
            <w:r>
              <w:rPr>
                <w:rFonts w:ascii="Times New Roman" w:eastAsia="Times New Roman" w:hAnsi="Times New Roman" w:cs="Times New Roman"/>
              </w:rPr>
              <w:t xml:space="preserve">  Maxilla and Mandible</w:t>
            </w:r>
          </w:p>
        </w:tc>
        <w:tc>
          <w:tcPr>
            <w:tcW w:w="1440" w:type="dxa"/>
            <w:tcBorders>
              <w:bottom w:val="single" w:sz="4" w:space="0" w:color="000000"/>
            </w:tcBorders>
            <w:shd w:val="clear" w:color="auto" w:fill="FFFFFF"/>
            <w:vAlign w:val="center"/>
          </w:tcPr>
          <w:p w14:paraId="2D723DA7" w14:textId="77777777" w:rsidR="005E54E9" w:rsidRDefault="00195FD7">
            <w:pPr>
              <w:jc w:val="center"/>
              <w:rPr>
                <w:rFonts w:ascii="Times New Roman" w:eastAsia="Times New Roman" w:hAnsi="Times New Roman" w:cs="Times New Roman"/>
              </w:rPr>
            </w:pPr>
            <w:r>
              <w:rPr>
                <w:rFonts w:ascii="Times New Roman" w:eastAsia="Times New Roman" w:hAnsi="Times New Roman" w:cs="Times New Roman"/>
              </w:rPr>
              <w:t>4 (3.9%)</w:t>
            </w:r>
          </w:p>
        </w:tc>
      </w:tr>
      <w:tr w:rsidR="005E54E9" w14:paraId="1C5103CD" w14:textId="77777777">
        <w:trPr>
          <w:trHeight w:val="200"/>
        </w:trPr>
        <w:tc>
          <w:tcPr>
            <w:tcW w:w="8520" w:type="dxa"/>
            <w:gridSpan w:val="2"/>
            <w:tcBorders>
              <w:bottom w:val="single" w:sz="4" w:space="0" w:color="FFFFFF"/>
            </w:tcBorders>
            <w:shd w:val="clear" w:color="auto" w:fill="FFFFFF"/>
            <w:vAlign w:val="center"/>
          </w:tcPr>
          <w:p w14:paraId="1E3CC4A7" w14:textId="77777777" w:rsidR="005E54E9" w:rsidRDefault="00195FD7">
            <w:pPr>
              <w:rPr>
                <w:rFonts w:ascii="Times New Roman" w:eastAsia="Times New Roman" w:hAnsi="Times New Roman" w:cs="Times New Roman"/>
                <w:sz w:val="18"/>
                <w:szCs w:val="18"/>
              </w:rPr>
            </w:pPr>
            <w:r>
              <w:rPr>
                <w:rFonts w:ascii="Times New Roman" w:eastAsia="Times New Roman" w:hAnsi="Times New Roman" w:cs="Times New Roman"/>
                <w:sz w:val="18"/>
                <w:szCs w:val="18"/>
              </w:rPr>
              <w:t>*Data expressed as mean ± standard deviation; †Data expressed as frequency and relative percentage.</w:t>
            </w:r>
          </w:p>
        </w:tc>
      </w:tr>
    </w:tbl>
    <w:p w14:paraId="6B0B8DBC" w14:textId="77777777" w:rsidR="005E54E9" w:rsidRDefault="005E54E9">
      <w:pPr>
        <w:spacing w:line="240" w:lineRule="auto"/>
        <w:jc w:val="both"/>
        <w:rPr>
          <w:rFonts w:ascii="Times New Roman" w:eastAsia="Times New Roman" w:hAnsi="Times New Roman" w:cs="Times New Roman"/>
        </w:rPr>
      </w:pPr>
    </w:p>
    <w:p w14:paraId="35496354" w14:textId="77777777" w:rsidR="005E54E9" w:rsidRDefault="005E54E9">
      <w:pPr>
        <w:spacing w:line="240" w:lineRule="auto"/>
        <w:jc w:val="both"/>
        <w:rPr>
          <w:rFonts w:ascii="Times New Roman" w:eastAsia="Times New Roman" w:hAnsi="Times New Roman" w:cs="Times New Roman"/>
        </w:rPr>
      </w:pPr>
    </w:p>
    <w:p w14:paraId="5B745512" w14:textId="77777777" w:rsidR="005E54E9" w:rsidRDefault="00195FD7">
      <w:pPr>
        <w:spacing w:line="240" w:lineRule="auto"/>
        <w:jc w:val="both"/>
        <w:rPr>
          <w:rFonts w:ascii="Times New Roman" w:eastAsia="Times New Roman" w:hAnsi="Times New Roman" w:cs="Times New Roman"/>
        </w:rPr>
      </w:pPr>
      <w:r>
        <w:rPr>
          <w:rFonts w:ascii="Times New Roman" w:eastAsia="Times New Roman" w:hAnsi="Times New Roman" w:cs="Times New Roman"/>
          <w:b/>
        </w:rPr>
        <w:t xml:space="preserve">Table 2. </w:t>
      </w:r>
      <w:r>
        <w:rPr>
          <w:rFonts w:ascii="Times New Roman" w:eastAsia="Times New Roman" w:hAnsi="Times New Roman" w:cs="Times New Roman"/>
        </w:rPr>
        <w:t>Prevalence of periapical lesions among smokers and non-smokers</w:t>
      </w:r>
    </w:p>
    <w:tbl>
      <w:tblPr>
        <w:tblStyle w:val="a4"/>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20"/>
        <w:gridCol w:w="2820"/>
        <w:gridCol w:w="2820"/>
      </w:tblGrid>
      <w:tr w:rsidR="005E54E9" w14:paraId="6F8506F4" w14:textId="77777777">
        <w:tc>
          <w:tcPr>
            <w:tcW w:w="2820" w:type="dxa"/>
            <w:tcBorders>
              <w:left w:val="single" w:sz="8" w:space="0" w:color="FFFFFF"/>
              <w:right w:val="single" w:sz="8" w:space="0" w:color="FFFFFF"/>
            </w:tcBorders>
            <w:tcMar>
              <w:top w:w="0" w:type="dxa"/>
              <w:left w:w="0" w:type="dxa"/>
              <w:bottom w:w="0" w:type="dxa"/>
              <w:right w:w="0" w:type="dxa"/>
            </w:tcMar>
            <w:vAlign w:val="center"/>
          </w:tcPr>
          <w:p w14:paraId="18F07F4A" w14:textId="77777777" w:rsidR="005E54E9" w:rsidRDefault="00195FD7">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Group</w:t>
            </w:r>
          </w:p>
        </w:tc>
        <w:tc>
          <w:tcPr>
            <w:tcW w:w="2820" w:type="dxa"/>
            <w:tcBorders>
              <w:left w:val="single" w:sz="8" w:space="0" w:color="FFFFFF"/>
              <w:right w:val="single" w:sz="8" w:space="0" w:color="FFFFFF"/>
            </w:tcBorders>
            <w:tcMar>
              <w:top w:w="0" w:type="dxa"/>
              <w:left w:w="0" w:type="dxa"/>
              <w:bottom w:w="0" w:type="dxa"/>
              <w:right w:w="0" w:type="dxa"/>
            </w:tcMar>
            <w:vAlign w:val="center"/>
          </w:tcPr>
          <w:p w14:paraId="5D4FF500" w14:textId="77777777" w:rsidR="005E54E9" w:rsidRDefault="00195FD7">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With periapical lesion, n (%)</w:t>
            </w:r>
          </w:p>
        </w:tc>
        <w:tc>
          <w:tcPr>
            <w:tcW w:w="2820" w:type="dxa"/>
            <w:tcBorders>
              <w:left w:val="single" w:sz="8" w:space="0" w:color="FFFFFF"/>
              <w:right w:val="single" w:sz="8" w:space="0" w:color="FFFFFF"/>
            </w:tcBorders>
            <w:tcMar>
              <w:top w:w="0" w:type="dxa"/>
              <w:left w:w="0" w:type="dxa"/>
              <w:bottom w:w="0" w:type="dxa"/>
              <w:right w:w="0" w:type="dxa"/>
            </w:tcMar>
            <w:vAlign w:val="center"/>
          </w:tcPr>
          <w:p w14:paraId="5F76E6E7" w14:textId="77777777" w:rsidR="005E54E9" w:rsidRDefault="00195FD7">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Without periapical lesion, n (%)</w:t>
            </w:r>
          </w:p>
        </w:tc>
      </w:tr>
      <w:tr w:rsidR="005E54E9" w14:paraId="411959C4" w14:textId="77777777">
        <w:tc>
          <w:tcPr>
            <w:tcW w:w="2820" w:type="dxa"/>
            <w:tcBorders>
              <w:left w:val="single" w:sz="8" w:space="0" w:color="FFFFFF"/>
              <w:right w:val="single" w:sz="8" w:space="0" w:color="FFFFFF"/>
            </w:tcBorders>
            <w:tcMar>
              <w:top w:w="0" w:type="dxa"/>
              <w:left w:w="0" w:type="dxa"/>
              <w:bottom w:w="0" w:type="dxa"/>
              <w:right w:w="0" w:type="dxa"/>
            </w:tcMar>
            <w:vAlign w:val="center"/>
          </w:tcPr>
          <w:p w14:paraId="5D68B314" w14:textId="77777777" w:rsidR="005E54E9" w:rsidRDefault="00195FD7">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Smokers (active and former)</w:t>
            </w:r>
          </w:p>
        </w:tc>
        <w:tc>
          <w:tcPr>
            <w:tcW w:w="2820" w:type="dxa"/>
            <w:tcBorders>
              <w:left w:val="single" w:sz="8" w:space="0" w:color="FFFFFF"/>
              <w:right w:val="single" w:sz="8" w:space="0" w:color="FFFFFF"/>
            </w:tcBorders>
            <w:tcMar>
              <w:top w:w="0" w:type="dxa"/>
              <w:left w:w="0" w:type="dxa"/>
              <w:bottom w:w="0" w:type="dxa"/>
              <w:right w:w="0" w:type="dxa"/>
            </w:tcMar>
            <w:vAlign w:val="center"/>
          </w:tcPr>
          <w:p w14:paraId="14AAEA99" w14:textId="77777777" w:rsidR="005E54E9" w:rsidRDefault="00195FD7">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35 (33%)</w:t>
            </w:r>
          </w:p>
        </w:tc>
        <w:tc>
          <w:tcPr>
            <w:tcW w:w="2820" w:type="dxa"/>
            <w:tcBorders>
              <w:left w:val="single" w:sz="8" w:space="0" w:color="FFFFFF"/>
              <w:right w:val="single" w:sz="8" w:space="0" w:color="FFFFFF"/>
            </w:tcBorders>
            <w:tcMar>
              <w:top w:w="0" w:type="dxa"/>
              <w:left w:w="0" w:type="dxa"/>
              <w:bottom w:w="0" w:type="dxa"/>
              <w:right w:w="0" w:type="dxa"/>
            </w:tcMar>
            <w:vAlign w:val="center"/>
          </w:tcPr>
          <w:p w14:paraId="7BF6AB5F" w14:textId="77777777" w:rsidR="005E54E9" w:rsidRDefault="00195FD7">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71 (67%)</w:t>
            </w:r>
          </w:p>
        </w:tc>
      </w:tr>
      <w:tr w:rsidR="005E54E9" w14:paraId="4B4540C9" w14:textId="77777777">
        <w:tc>
          <w:tcPr>
            <w:tcW w:w="2820" w:type="dxa"/>
            <w:tcBorders>
              <w:left w:val="single" w:sz="8" w:space="0" w:color="FFFFFF"/>
              <w:right w:val="single" w:sz="8" w:space="0" w:color="FFFFFF"/>
            </w:tcBorders>
            <w:tcMar>
              <w:top w:w="0" w:type="dxa"/>
              <w:left w:w="0" w:type="dxa"/>
              <w:bottom w:w="0" w:type="dxa"/>
              <w:right w:w="0" w:type="dxa"/>
            </w:tcMar>
            <w:vAlign w:val="center"/>
          </w:tcPr>
          <w:p w14:paraId="04959098" w14:textId="77777777" w:rsidR="005E54E9" w:rsidRDefault="00195FD7">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Non-smokers</w:t>
            </w:r>
          </w:p>
        </w:tc>
        <w:tc>
          <w:tcPr>
            <w:tcW w:w="2820" w:type="dxa"/>
            <w:tcBorders>
              <w:left w:val="single" w:sz="8" w:space="0" w:color="FFFFFF"/>
              <w:right w:val="single" w:sz="8" w:space="0" w:color="FFFFFF"/>
            </w:tcBorders>
            <w:tcMar>
              <w:top w:w="0" w:type="dxa"/>
              <w:left w:w="0" w:type="dxa"/>
              <w:bottom w:w="0" w:type="dxa"/>
              <w:right w:w="0" w:type="dxa"/>
            </w:tcMar>
            <w:vAlign w:val="center"/>
          </w:tcPr>
          <w:p w14:paraId="78D8C945" w14:textId="77777777" w:rsidR="005E54E9" w:rsidRDefault="00195FD7">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70 (66%)</w:t>
            </w:r>
          </w:p>
        </w:tc>
        <w:tc>
          <w:tcPr>
            <w:tcW w:w="2820" w:type="dxa"/>
            <w:tcBorders>
              <w:left w:val="single" w:sz="8" w:space="0" w:color="FFFFFF"/>
              <w:right w:val="single" w:sz="8" w:space="0" w:color="FFFFFF"/>
            </w:tcBorders>
            <w:tcMar>
              <w:top w:w="0" w:type="dxa"/>
              <w:left w:w="0" w:type="dxa"/>
              <w:bottom w:w="0" w:type="dxa"/>
              <w:right w:w="0" w:type="dxa"/>
            </w:tcMar>
            <w:vAlign w:val="center"/>
          </w:tcPr>
          <w:p w14:paraId="2FAE42CB" w14:textId="77777777" w:rsidR="005E54E9" w:rsidRDefault="00195FD7">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36 (34%)</w:t>
            </w:r>
          </w:p>
        </w:tc>
      </w:tr>
    </w:tbl>
    <w:p w14:paraId="3AD32D18" w14:textId="77777777" w:rsidR="005E54E9" w:rsidRDefault="005E54E9">
      <w:pPr>
        <w:spacing w:line="480" w:lineRule="auto"/>
        <w:jc w:val="both"/>
        <w:rPr>
          <w:rFonts w:ascii="Times New Roman" w:eastAsia="Times New Roman" w:hAnsi="Times New Roman" w:cs="Times New Roman"/>
        </w:rPr>
      </w:pPr>
    </w:p>
    <w:p w14:paraId="5275D5E6" w14:textId="77777777" w:rsidR="005E54E9" w:rsidRDefault="00195FD7">
      <w:pPr>
        <w:spacing w:line="240" w:lineRule="auto"/>
        <w:jc w:val="both"/>
        <w:rPr>
          <w:rFonts w:ascii="Times New Roman" w:eastAsia="Times New Roman" w:hAnsi="Times New Roman" w:cs="Times New Roman"/>
        </w:rPr>
      </w:pPr>
      <w:r>
        <w:rPr>
          <w:rFonts w:ascii="Times New Roman" w:eastAsia="Times New Roman" w:hAnsi="Times New Roman" w:cs="Times New Roman"/>
          <w:b/>
        </w:rPr>
        <w:t xml:space="preserve">Table 3. </w:t>
      </w:r>
      <w:r>
        <w:rPr>
          <w:rFonts w:ascii="Times New Roman" w:eastAsia="Times New Roman" w:hAnsi="Times New Roman" w:cs="Times New Roman"/>
        </w:rPr>
        <w:t>Distribution of periapical lesions by tooth type.</w:t>
      </w:r>
    </w:p>
    <w:tbl>
      <w:tblPr>
        <w:tblStyle w:val="a5"/>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30"/>
        <w:gridCol w:w="1050"/>
        <w:gridCol w:w="1050"/>
        <w:gridCol w:w="1050"/>
        <w:gridCol w:w="1050"/>
        <w:gridCol w:w="1050"/>
        <w:gridCol w:w="1050"/>
        <w:gridCol w:w="1020"/>
      </w:tblGrid>
      <w:tr w:rsidR="005E54E9" w14:paraId="78669AD8" w14:textId="77777777">
        <w:tc>
          <w:tcPr>
            <w:tcW w:w="1230" w:type="dxa"/>
            <w:tcBorders>
              <w:left w:val="single" w:sz="8" w:space="0" w:color="FFFFFF"/>
              <w:right w:val="single" w:sz="8" w:space="0" w:color="FFFFFF"/>
            </w:tcBorders>
            <w:tcMar>
              <w:top w:w="0" w:type="dxa"/>
              <w:left w:w="0" w:type="dxa"/>
              <w:bottom w:w="0" w:type="dxa"/>
              <w:right w:w="0" w:type="dxa"/>
            </w:tcMar>
            <w:vAlign w:val="center"/>
          </w:tcPr>
          <w:p w14:paraId="0D9BACC7" w14:textId="77777777" w:rsidR="005E54E9" w:rsidRDefault="00195FD7">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Group</w:t>
            </w:r>
          </w:p>
        </w:tc>
        <w:tc>
          <w:tcPr>
            <w:tcW w:w="1050" w:type="dxa"/>
            <w:tcBorders>
              <w:left w:val="single" w:sz="8" w:space="0" w:color="FFFFFF"/>
              <w:right w:val="single" w:sz="8" w:space="0" w:color="FFFFFF"/>
            </w:tcBorders>
            <w:tcMar>
              <w:top w:w="0" w:type="dxa"/>
              <w:left w:w="0" w:type="dxa"/>
              <w:bottom w:w="0" w:type="dxa"/>
              <w:right w:w="0" w:type="dxa"/>
            </w:tcMar>
            <w:vAlign w:val="center"/>
          </w:tcPr>
          <w:p w14:paraId="28400811" w14:textId="77777777" w:rsidR="005E54E9" w:rsidRDefault="00195FD7">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UCI</w:t>
            </w:r>
          </w:p>
        </w:tc>
        <w:tc>
          <w:tcPr>
            <w:tcW w:w="1050" w:type="dxa"/>
            <w:tcBorders>
              <w:left w:val="single" w:sz="8" w:space="0" w:color="FFFFFF"/>
              <w:right w:val="single" w:sz="8" w:space="0" w:color="FFFFFF"/>
            </w:tcBorders>
            <w:tcMar>
              <w:top w:w="0" w:type="dxa"/>
              <w:left w:w="0" w:type="dxa"/>
              <w:bottom w:w="0" w:type="dxa"/>
              <w:right w:w="0" w:type="dxa"/>
            </w:tcMar>
            <w:vAlign w:val="center"/>
          </w:tcPr>
          <w:p w14:paraId="3B822960" w14:textId="77777777" w:rsidR="005E54E9" w:rsidRDefault="00195FD7">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ULI</w:t>
            </w:r>
          </w:p>
        </w:tc>
        <w:tc>
          <w:tcPr>
            <w:tcW w:w="1050" w:type="dxa"/>
            <w:tcBorders>
              <w:left w:val="single" w:sz="8" w:space="0" w:color="FFFFFF"/>
              <w:right w:val="single" w:sz="8" w:space="0" w:color="FFFFFF"/>
            </w:tcBorders>
            <w:tcMar>
              <w:top w:w="0" w:type="dxa"/>
              <w:left w:w="0" w:type="dxa"/>
              <w:bottom w:w="0" w:type="dxa"/>
              <w:right w:w="0" w:type="dxa"/>
            </w:tcMar>
            <w:vAlign w:val="center"/>
          </w:tcPr>
          <w:p w14:paraId="0B7A205E" w14:textId="77777777" w:rsidR="005E54E9" w:rsidRDefault="00195FD7">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UC</w:t>
            </w:r>
          </w:p>
        </w:tc>
        <w:tc>
          <w:tcPr>
            <w:tcW w:w="1050" w:type="dxa"/>
            <w:tcBorders>
              <w:left w:val="single" w:sz="8" w:space="0" w:color="FFFFFF"/>
              <w:right w:val="single" w:sz="8" w:space="0" w:color="FFFFFF"/>
            </w:tcBorders>
            <w:tcMar>
              <w:top w:w="0" w:type="dxa"/>
              <w:left w:w="0" w:type="dxa"/>
              <w:bottom w:w="0" w:type="dxa"/>
              <w:right w:w="0" w:type="dxa"/>
            </w:tcMar>
            <w:vAlign w:val="center"/>
          </w:tcPr>
          <w:p w14:paraId="67387D7A" w14:textId="77777777" w:rsidR="005E54E9" w:rsidRDefault="00195FD7">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LCI</w:t>
            </w:r>
          </w:p>
        </w:tc>
        <w:tc>
          <w:tcPr>
            <w:tcW w:w="1050" w:type="dxa"/>
            <w:tcBorders>
              <w:left w:val="single" w:sz="8" w:space="0" w:color="FFFFFF"/>
              <w:right w:val="single" w:sz="8" w:space="0" w:color="FFFFFF"/>
            </w:tcBorders>
            <w:tcMar>
              <w:top w:w="0" w:type="dxa"/>
              <w:left w:w="0" w:type="dxa"/>
              <w:bottom w:w="0" w:type="dxa"/>
              <w:right w:w="0" w:type="dxa"/>
            </w:tcMar>
            <w:vAlign w:val="center"/>
          </w:tcPr>
          <w:p w14:paraId="7D32AE86" w14:textId="77777777" w:rsidR="005E54E9" w:rsidRDefault="00195FD7">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LLI</w:t>
            </w:r>
          </w:p>
        </w:tc>
        <w:tc>
          <w:tcPr>
            <w:tcW w:w="1050" w:type="dxa"/>
            <w:tcBorders>
              <w:left w:val="single" w:sz="8" w:space="0" w:color="FFFFFF"/>
              <w:right w:val="single" w:sz="8" w:space="0" w:color="FFFFFF"/>
            </w:tcBorders>
            <w:tcMar>
              <w:top w:w="0" w:type="dxa"/>
              <w:left w:w="0" w:type="dxa"/>
              <w:bottom w:w="0" w:type="dxa"/>
              <w:right w:w="0" w:type="dxa"/>
            </w:tcMar>
            <w:vAlign w:val="center"/>
          </w:tcPr>
          <w:p w14:paraId="1C5E3887" w14:textId="77777777" w:rsidR="005E54E9" w:rsidRDefault="00195FD7">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LC</w:t>
            </w:r>
          </w:p>
        </w:tc>
        <w:tc>
          <w:tcPr>
            <w:tcW w:w="1020" w:type="dxa"/>
            <w:tcBorders>
              <w:left w:val="single" w:sz="8" w:space="0" w:color="FFFFFF"/>
              <w:right w:val="single" w:sz="8" w:space="0" w:color="FFFFFF"/>
            </w:tcBorders>
            <w:tcMar>
              <w:top w:w="0" w:type="dxa"/>
              <w:left w:w="0" w:type="dxa"/>
              <w:bottom w:w="0" w:type="dxa"/>
              <w:right w:w="0" w:type="dxa"/>
            </w:tcMar>
            <w:vAlign w:val="center"/>
          </w:tcPr>
          <w:p w14:paraId="65AB519B" w14:textId="77777777" w:rsidR="005E54E9" w:rsidRDefault="00195FD7">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with lesion, n (%)</w:t>
            </w:r>
          </w:p>
        </w:tc>
      </w:tr>
      <w:tr w:rsidR="005E54E9" w14:paraId="0A8A9839" w14:textId="77777777">
        <w:tc>
          <w:tcPr>
            <w:tcW w:w="1230" w:type="dxa"/>
            <w:tcBorders>
              <w:left w:val="single" w:sz="8" w:space="0" w:color="FFFFFF"/>
              <w:right w:val="single" w:sz="8" w:space="0" w:color="FFFFFF"/>
            </w:tcBorders>
            <w:tcMar>
              <w:top w:w="0" w:type="dxa"/>
              <w:left w:w="0" w:type="dxa"/>
              <w:bottom w:w="0" w:type="dxa"/>
              <w:right w:w="0" w:type="dxa"/>
            </w:tcMar>
            <w:vAlign w:val="center"/>
          </w:tcPr>
          <w:p w14:paraId="134F541F" w14:textId="77777777" w:rsidR="005E54E9" w:rsidRDefault="00195FD7">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Smokers (active and former)</w:t>
            </w:r>
          </w:p>
        </w:tc>
        <w:tc>
          <w:tcPr>
            <w:tcW w:w="1050" w:type="dxa"/>
            <w:tcBorders>
              <w:left w:val="single" w:sz="8" w:space="0" w:color="FFFFFF"/>
              <w:right w:val="single" w:sz="8" w:space="0" w:color="FFFFFF"/>
            </w:tcBorders>
            <w:tcMar>
              <w:top w:w="0" w:type="dxa"/>
              <w:left w:w="0" w:type="dxa"/>
              <w:bottom w:w="0" w:type="dxa"/>
              <w:right w:w="0" w:type="dxa"/>
            </w:tcMar>
            <w:vAlign w:val="center"/>
          </w:tcPr>
          <w:p w14:paraId="655AE248" w14:textId="77777777" w:rsidR="005E54E9" w:rsidRDefault="00195FD7">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12 (20.6%)</w:t>
            </w:r>
          </w:p>
        </w:tc>
        <w:tc>
          <w:tcPr>
            <w:tcW w:w="1050" w:type="dxa"/>
            <w:tcBorders>
              <w:left w:val="single" w:sz="8" w:space="0" w:color="FFFFFF"/>
              <w:right w:val="single" w:sz="8" w:space="0" w:color="FFFFFF"/>
            </w:tcBorders>
            <w:tcMar>
              <w:top w:w="0" w:type="dxa"/>
              <w:left w:w="0" w:type="dxa"/>
              <w:bottom w:w="0" w:type="dxa"/>
              <w:right w:w="0" w:type="dxa"/>
            </w:tcMar>
            <w:vAlign w:val="center"/>
          </w:tcPr>
          <w:p w14:paraId="6AA7C6C2" w14:textId="77777777" w:rsidR="005E54E9" w:rsidRDefault="00195FD7">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11 (18.9%)</w:t>
            </w:r>
          </w:p>
        </w:tc>
        <w:tc>
          <w:tcPr>
            <w:tcW w:w="1050" w:type="dxa"/>
            <w:tcBorders>
              <w:left w:val="single" w:sz="8" w:space="0" w:color="FFFFFF"/>
              <w:right w:val="single" w:sz="8" w:space="0" w:color="FFFFFF"/>
            </w:tcBorders>
            <w:tcMar>
              <w:top w:w="0" w:type="dxa"/>
              <w:left w:w="0" w:type="dxa"/>
              <w:bottom w:w="0" w:type="dxa"/>
              <w:right w:w="0" w:type="dxa"/>
            </w:tcMar>
            <w:vAlign w:val="center"/>
          </w:tcPr>
          <w:p w14:paraId="4181022D" w14:textId="77777777" w:rsidR="005E54E9" w:rsidRDefault="00195FD7">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12 (20.6%)</w:t>
            </w:r>
          </w:p>
        </w:tc>
        <w:tc>
          <w:tcPr>
            <w:tcW w:w="1050" w:type="dxa"/>
            <w:tcBorders>
              <w:left w:val="single" w:sz="8" w:space="0" w:color="FFFFFF"/>
              <w:right w:val="single" w:sz="8" w:space="0" w:color="FFFFFF"/>
            </w:tcBorders>
            <w:tcMar>
              <w:top w:w="0" w:type="dxa"/>
              <w:left w:w="0" w:type="dxa"/>
              <w:bottom w:w="0" w:type="dxa"/>
              <w:right w:w="0" w:type="dxa"/>
            </w:tcMar>
            <w:vAlign w:val="center"/>
          </w:tcPr>
          <w:p w14:paraId="0D3D624D" w14:textId="77777777" w:rsidR="005E54E9" w:rsidRDefault="00195FD7">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11 (18.9%)</w:t>
            </w:r>
          </w:p>
        </w:tc>
        <w:tc>
          <w:tcPr>
            <w:tcW w:w="1050" w:type="dxa"/>
            <w:tcBorders>
              <w:left w:val="single" w:sz="8" w:space="0" w:color="FFFFFF"/>
              <w:right w:val="single" w:sz="8" w:space="0" w:color="FFFFFF"/>
            </w:tcBorders>
            <w:tcMar>
              <w:top w:w="0" w:type="dxa"/>
              <w:left w:w="0" w:type="dxa"/>
              <w:bottom w:w="0" w:type="dxa"/>
              <w:right w:w="0" w:type="dxa"/>
            </w:tcMar>
            <w:vAlign w:val="center"/>
          </w:tcPr>
          <w:p w14:paraId="06F0D14F" w14:textId="77777777" w:rsidR="005E54E9" w:rsidRDefault="00195FD7">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6 (10.3%)</w:t>
            </w:r>
          </w:p>
        </w:tc>
        <w:tc>
          <w:tcPr>
            <w:tcW w:w="1050" w:type="dxa"/>
            <w:tcBorders>
              <w:left w:val="single" w:sz="8" w:space="0" w:color="FFFFFF"/>
              <w:right w:val="single" w:sz="8" w:space="0" w:color="FFFFFF"/>
            </w:tcBorders>
            <w:tcMar>
              <w:top w:w="0" w:type="dxa"/>
              <w:left w:w="0" w:type="dxa"/>
              <w:bottom w:w="0" w:type="dxa"/>
              <w:right w:w="0" w:type="dxa"/>
            </w:tcMar>
            <w:vAlign w:val="center"/>
          </w:tcPr>
          <w:p w14:paraId="5F9A730D" w14:textId="77777777" w:rsidR="005E54E9" w:rsidRDefault="00195FD7">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6 (10.3%)</w:t>
            </w:r>
          </w:p>
        </w:tc>
        <w:tc>
          <w:tcPr>
            <w:tcW w:w="1020" w:type="dxa"/>
            <w:tcBorders>
              <w:left w:val="single" w:sz="8" w:space="0" w:color="FFFFFF"/>
              <w:right w:val="single" w:sz="8" w:space="0" w:color="FFFFFF"/>
            </w:tcBorders>
            <w:tcMar>
              <w:top w:w="0" w:type="dxa"/>
              <w:left w:w="0" w:type="dxa"/>
              <w:bottom w:w="0" w:type="dxa"/>
              <w:right w:w="0" w:type="dxa"/>
            </w:tcMar>
            <w:vAlign w:val="center"/>
          </w:tcPr>
          <w:p w14:paraId="433CB222" w14:textId="77777777" w:rsidR="005E54E9" w:rsidRDefault="00195FD7">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35 (33%)</w:t>
            </w:r>
          </w:p>
        </w:tc>
      </w:tr>
      <w:tr w:rsidR="005E54E9" w14:paraId="4A8597AF" w14:textId="77777777">
        <w:tc>
          <w:tcPr>
            <w:tcW w:w="1230" w:type="dxa"/>
            <w:tcBorders>
              <w:left w:val="single" w:sz="8" w:space="0" w:color="FFFFFF"/>
              <w:right w:val="single" w:sz="8" w:space="0" w:color="FFFFFF"/>
            </w:tcBorders>
            <w:tcMar>
              <w:top w:w="0" w:type="dxa"/>
              <w:left w:w="0" w:type="dxa"/>
              <w:bottom w:w="0" w:type="dxa"/>
              <w:right w:w="0" w:type="dxa"/>
            </w:tcMar>
            <w:vAlign w:val="center"/>
          </w:tcPr>
          <w:p w14:paraId="01FE7C55" w14:textId="77777777" w:rsidR="005E54E9" w:rsidRDefault="00195FD7">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Non-smokers</w:t>
            </w:r>
          </w:p>
        </w:tc>
        <w:tc>
          <w:tcPr>
            <w:tcW w:w="1050" w:type="dxa"/>
            <w:tcBorders>
              <w:left w:val="single" w:sz="8" w:space="0" w:color="FFFFFF"/>
              <w:right w:val="single" w:sz="8" w:space="0" w:color="FFFFFF"/>
            </w:tcBorders>
            <w:tcMar>
              <w:top w:w="0" w:type="dxa"/>
              <w:left w:w="0" w:type="dxa"/>
              <w:bottom w:w="0" w:type="dxa"/>
              <w:right w:w="0" w:type="dxa"/>
            </w:tcMar>
            <w:vAlign w:val="center"/>
          </w:tcPr>
          <w:p w14:paraId="1AF47025" w14:textId="77777777" w:rsidR="005E54E9" w:rsidRDefault="00195FD7">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22 (22%)</w:t>
            </w:r>
          </w:p>
        </w:tc>
        <w:tc>
          <w:tcPr>
            <w:tcW w:w="1050" w:type="dxa"/>
            <w:tcBorders>
              <w:left w:val="single" w:sz="8" w:space="0" w:color="FFFFFF"/>
              <w:right w:val="single" w:sz="8" w:space="0" w:color="FFFFFF"/>
            </w:tcBorders>
            <w:tcMar>
              <w:top w:w="0" w:type="dxa"/>
              <w:left w:w="0" w:type="dxa"/>
              <w:bottom w:w="0" w:type="dxa"/>
              <w:right w:w="0" w:type="dxa"/>
            </w:tcMar>
            <w:vAlign w:val="center"/>
          </w:tcPr>
          <w:p w14:paraId="2E7EF5D0" w14:textId="77777777" w:rsidR="005E54E9" w:rsidRDefault="00195FD7">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27 (27%)</w:t>
            </w:r>
          </w:p>
        </w:tc>
        <w:tc>
          <w:tcPr>
            <w:tcW w:w="1050" w:type="dxa"/>
            <w:tcBorders>
              <w:left w:val="single" w:sz="8" w:space="0" w:color="FFFFFF"/>
              <w:right w:val="single" w:sz="8" w:space="0" w:color="FFFFFF"/>
            </w:tcBorders>
            <w:tcMar>
              <w:top w:w="0" w:type="dxa"/>
              <w:left w:w="0" w:type="dxa"/>
              <w:bottom w:w="0" w:type="dxa"/>
              <w:right w:w="0" w:type="dxa"/>
            </w:tcMar>
            <w:vAlign w:val="center"/>
          </w:tcPr>
          <w:p w14:paraId="57A90A26" w14:textId="77777777" w:rsidR="005E54E9" w:rsidRDefault="00195FD7">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17 (17%)</w:t>
            </w:r>
          </w:p>
        </w:tc>
        <w:tc>
          <w:tcPr>
            <w:tcW w:w="1050" w:type="dxa"/>
            <w:tcBorders>
              <w:left w:val="single" w:sz="8" w:space="0" w:color="FFFFFF"/>
              <w:right w:val="single" w:sz="8" w:space="0" w:color="FFFFFF"/>
            </w:tcBorders>
            <w:tcMar>
              <w:top w:w="0" w:type="dxa"/>
              <w:left w:w="0" w:type="dxa"/>
              <w:bottom w:w="0" w:type="dxa"/>
              <w:right w:w="0" w:type="dxa"/>
            </w:tcMar>
            <w:vAlign w:val="center"/>
          </w:tcPr>
          <w:p w14:paraId="0AF728A1" w14:textId="77777777" w:rsidR="005E54E9" w:rsidRDefault="00195FD7">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11 (11%)</w:t>
            </w:r>
          </w:p>
        </w:tc>
        <w:tc>
          <w:tcPr>
            <w:tcW w:w="1050" w:type="dxa"/>
            <w:tcBorders>
              <w:left w:val="single" w:sz="8" w:space="0" w:color="FFFFFF"/>
              <w:right w:val="single" w:sz="8" w:space="0" w:color="FFFFFF"/>
            </w:tcBorders>
            <w:tcMar>
              <w:top w:w="0" w:type="dxa"/>
              <w:left w:w="0" w:type="dxa"/>
              <w:bottom w:w="0" w:type="dxa"/>
              <w:right w:w="0" w:type="dxa"/>
            </w:tcMar>
            <w:vAlign w:val="center"/>
          </w:tcPr>
          <w:p w14:paraId="46DE4D47" w14:textId="77777777" w:rsidR="005E54E9" w:rsidRDefault="00195FD7">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17 (17%)</w:t>
            </w:r>
          </w:p>
        </w:tc>
        <w:tc>
          <w:tcPr>
            <w:tcW w:w="1050" w:type="dxa"/>
            <w:tcBorders>
              <w:left w:val="single" w:sz="8" w:space="0" w:color="FFFFFF"/>
              <w:right w:val="single" w:sz="8" w:space="0" w:color="FFFFFF"/>
            </w:tcBorders>
            <w:tcMar>
              <w:top w:w="0" w:type="dxa"/>
              <w:left w:w="0" w:type="dxa"/>
              <w:bottom w:w="0" w:type="dxa"/>
              <w:right w:w="0" w:type="dxa"/>
            </w:tcMar>
            <w:vAlign w:val="center"/>
          </w:tcPr>
          <w:p w14:paraId="59477DC0" w14:textId="77777777" w:rsidR="005E54E9" w:rsidRDefault="00195FD7">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6 (6%)</w:t>
            </w:r>
          </w:p>
        </w:tc>
        <w:tc>
          <w:tcPr>
            <w:tcW w:w="1020" w:type="dxa"/>
            <w:tcBorders>
              <w:left w:val="single" w:sz="8" w:space="0" w:color="FFFFFF"/>
              <w:right w:val="single" w:sz="8" w:space="0" w:color="FFFFFF"/>
            </w:tcBorders>
            <w:tcMar>
              <w:top w:w="0" w:type="dxa"/>
              <w:left w:w="0" w:type="dxa"/>
              <w:bottom w:w="0" w:type="dxa"/>
              <w:right w:w="0" w:type="dxa"/>
            </w:tcMar>
            <w:vAlign w:val="center"/>
          </w:tcPr>
          <w:p w14:paraId="26B00A3D" w14:textId="77777777" w:rsidR="005E54E9" w:rsidRDefault="00195FD7">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70 (66%)</w:t>
            </w:r>
          </w:p>
        </w:tc>
      </w:tr>
      <w:tr w:rsidR="005E54E9" w14:paraId="0F574303" w14:textId="77777777">
        <w:trPr>
          <w:trHeight w:val="220"/>
        </w:trPr>
        <w:tc>
          <w:tcPr>
            <w:tcW w:w="8550" w:type="dxa"/>
            <w:gridSpan w:val="8"/>
            <w:tcBorders>
              <w:left w:val="single" w:sz="8" w:space="0" w:color="FFFFFF"/>
              <w:bottom w:val="single" w:sz="8" w:space="0" w:color="FFFFFF"/>
              <w:right w:val="single" w:sz="8" w:space="0" w:color="FFFFFF"/>
            </w:tcBorders>
            <w:tcMar>
              <w:top w:w="0" w:type="dxa"/>
              <w:left w:w="0" w:type="dxa"/>
              <w:bottom w:w="0" w:type="dxa"/>
              <w:right w:w="0" w:type="dxa"/>
            </w:tcMar>
            <w:vAlign w:val="center"/>
          </w:tcPr>
          <w:p w14:paraId="0218E008" w14:textId="77777777" w:rsidR="005E54E9" w:rsidRDefault="00195FD7">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Abbreviations: </w:t>
            </w:r>
            <w:r>
              <w:rPr>
                <w:rFonts w:ascii="Times New Roman" w:eastAsia="Times New Roman" w:hAnsi="Times New Roman" w:cs="Times New Roman"/>
                <w:sz w:val="18"/>
                <w:szCs w:val="18"/>
              </w:rPr>
              <w:t>UCI, Upper central incisor; ULI, Upper lateral incisor; UC, Upper canine; LCI, Lower central incisor; LLI, Lower lateral incisor; LC, Lower canine.</w:t>
            </w:r>
          </w:p>
        </w:tc>
      </w:tr>
    </w:tbl>
    <w:p w14:paraId="21B29519" w14:textId="77777777" w:rsidR="005E54E9" w:rsidRDefault="005E54E9">
      <w:pPr>
        <w:spacing w:line="480" w:lineRule="auto"/>
        <w:jc w:val="both"/>
        <w:rPr>
          <w:rFonts w:ascii="Times New Roman" w:eastAsia="Times New Roman" w:hAnsi="Times New Roman" w:cs="Times New Roman"/>
        </w:rPr>
      </w:pPr>
    </w:p>
    <w:p w14:paraId="5B0EA3BE" w14:textId="77777777" w:rsidR="005E54E9" w:rsidRDefault="00195FD7">
      <w:pPr>
        <w:spacing w:line="240" w:lineRule="auto"/>
        <w:jc w:val="both"/>
        <w:rPr>
          <w:rFonts w:ascii="Times New Roman" w:eastAsia="Times New Roman" w:hAnsi="Times New Roman" w:cs="Times New Roman"/>
        </w:rPr>
      </w:pPr>
      <w:r>
        <w:rPr>
          <w:rFonts w:ascii="Times New Roman" w:eastAsia="Times New Roman" w:hAnsi="Times New Roman" w:cs="Times New Roman"/>
          <w:b/>
        </w:rPr>
        <w:t xml:space="preserve">Table 4. </w:t>
      </w:r>
      <w:r>
        <w:rPr>
          <w:rFonts w:ascii="Times New Roman" w:eastAsia="Times New Roman" w:hAnsi="Times New Roman" w:cs="Times New Roman"/>
        </w:rPr>
        <w:t>Distribution of periapical lesions according to duration of smoking</w:t>
      </w:r>
    </w:p>
    <w:tbl>
      <w:tblPr>
        <w:tblStyle w:val="a6"/>
        <w:tblW w:w="84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46"/>
        <w:gridCol w:w="1808"/>
        <w:gridCol w:w="1807"/>
        <w:gridCol w:w="1807"/>
        <w:gridCol w:w="1807"/>
      </w:tblGrid>
      <w:tr w:rsidR="005E54E9" w14:paraId="5EF0C292" w14:textId="77777777">
        <w:tc>
          <w:tcPr>
            <w:tcW w:w="1246" w:type="dxa"/>
            <w:tcBorders>
              <w:left w:val="single" w:sz="8" w:space="0" w:color="FFFFFF"/>
              <w:right w:val="single" w:sz="8" w:space="0" w:color="FFFFFF"/>
            </w:tcBorders>
            <w:tcMar>
              <w:top w:w="0" w:type="dxa"/>
              <w:left w:w="0" w:type="dxa"/>
              <w:bottom w:w="0" w:type="dxa"/>
              <w:right w:w="0" w:type="dxa"/>
            </w:tcMar>
            <w:vAlign w:val="center"/>
          </w:tcPr>
          <w:p w14:paraId="5BAC8AAF" w14:textId="77777777" w:rsidR="005E54E9" w:rsidRDefault="00195FD7">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Duration of smoking</w:t>
            </w:r>
          </w:p>
        </w:tc>
        <w:tc>
          <w:tcPr>
            <w:tcW w:w="1808" w:type="dxa"/>
            <w:tcBorders>
              <w:left w:val="single" w:sz="8" w:space="0" w:color="FFFFFF"/>
              <w:right w:val="single" w:sz="8" w:space="0" w:color="FFFFFF"/>
            </w:tcBorders>
            <w:tcMar>
              <w:top w:w="0" w:type="dxa"/>
              <w:left w:w="0" w:type="dxa"/>
              <w:bottom w:w="0" w:type="dxa"/>
              <w:right w:w="0" w:type="dxa"/>
            </w:tcMar>
            <w:vAlign w:val="center"/>
          </w:tcPr>
          <w:p w14:paraId="0551538A" w14:textId="77777777" w:rsidR="005E54E9" w:rsidRDefault="00195FD7">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Active smokers with lesion, n (%)</w:t>
            </w:r>
          </w:p>
        </w:tc>
        <w:tc>
          <w:tcPr>
            <w:tcW w:w="1807" w:type="dxa"/>
            <w:tcBorders>
              <w:left w:val="single" w:sz="8" w:space="0" w:color="FFFFFF"/>
              <w:right w:val="single" w:sz="8" w:space="0" w:color="FFFFFF"/>
            </w:tcBorders>
            <w:tcMar>
              <w:top w:w="0" w:type="dxa"/>
              <w:left w:w="0" w:type="dxa"/>
              <w:bottom w:w="0" w:type="dxa"/>
              <w:right w:w="0" w:type="dxa"/>
            </w:tcMar>
            <w:vAlign w:val="center"/>
          </w:tcPr>
          <w:p w14:paraId="1BFE8131" w14:textId="77777777" w:rsidR="005E54E9" w:rsidRDefault="00195FD7">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Active smokers without lesion, n (%)</w:t>
            </w:r>
          </w:p>
        </w:tc>
        <w:tc>
          <w:tcPr>
            <w:tcW w:w="1807" w:type="dxa"/>
            <w:tcBorders>
              <w:left w:val="single" w:sz="8" w:space="0" w:color="FFFFFF"/>
              <w:right w:val="single" w:sz="8" w:space="0" w:color="FFFFFF"/>
            </w:tcBorders>
            <w:tcMar>
              <w:top w:w="0" w:type="dxa"/>
              <w:left w:w="0" w:type="dxa"/>
              <w:bottom w:w="0" w:type="dxa"/>
              <w:right w:w="0" w:type="dxa"/>
            </w:tcMar>
            <w:vAlign w:val="center"/>
          </w:tcPr>
          <w:p w14:paraId="0DAF0726" w14:textId="77777777" w:rsidR="005E54E9" w:rsidRDefault="00195FD7">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Former smokers with lesion, n (%)</w:t>
            </w:r>
          </w:p>
        </w:tc>
        <w:tc>
          <w:tcPr>
            <w:tcW w:w="1807" w:type="dxa"/>
            <w:tcBorders>
              <w:left w:val="single" w:sz="8" w:space="0" w:color="FFFFFF"/>
              <w:right w:val="single" w:sz="8" w:space="0" w:color="FFFFFF"/>
            </w:tcBorders>
            <w:tcMar>
              <w:top w:w="0" w:type="dxa"/>
              <w:left w:w="0" w:type="dxa"/>
              <w:bottom w:w="0" w:type="dxa"/>
              <w:right w:w="0" w:type="dxa"/>
            </w:tcMar>
            <w:vAlign w:val="center"/>
          </w:tcPr>
          <w:p w14:paraId="0EB20830" w14:textId="77777777" w:rsidR="005E54E9" w:rsidRDefault="00195FD7">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Former smokers without lesion, n (%)</w:t>
            </w:r>
          </w:p>
        </w:tc>
      </w:tr>
      <w:tr w:rsidR="005E54E9" w14:paraId="2C3795C9" w14:textId="77777777">
        <w:tc>
          <w:tcPr>
            <w:tcW w:w="1246" w:type="dxa"/>
            <w:tcBorders>
              <w:left w:val="single" w:sz="8" w:space="0" w:color="FFFFFF"/>
              <w:right w:val="single" w:sz="8" w:space="0" w:color="FFFFFF"/>
            </w:tcBorders>
            <w:tcMar>
              <w:top w:w="0" w:type="dxa"/>
              <w:left w:w="0" w:type="dxa"/>
              <w:bottom w:w="0" w:type="dxa"/>
              <w:right w:w="0" w:type="dxa"/>
            </w:tcMar>
            <w:vAlign w:val="center"/>
          </w:tcPr>
          <w:p w14:paraId="55655087" w14:textId="77777777" w:rsidR="005E54E9" w:rsidRDefault="00195FD7">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&lt;1 year</w:t>
            </w:r>
          </w:p>
        </w:tc>
        <w:tc>
          <w:tcPr>
            <w:tcW w:w="1808" w:type="dxa"/>
            <w:tcBorders>
              <w:left w:val="single" w:sz="8" w:space="0" w:color="FFFFFF"/>
              <w:right w:val="single" w:sz="8" w:space="0" w:color="FFFFFF"/>
            </w:tcBorders>
            <w:tcMar>
              <w:top w:w="0" w:type="dxa"/>
              <w:left w:w="0" w:type="dxa"/>
              <w:bottom w:w="0" w:type="dxa"/>
              <w:right w:w="0" w:type="dxa"/>
            </w:tcMar>
            <w:vAlign w:val="center"/>
          </w:tcPr>
          <w:p w14:paraId="2ACF1DB1" w14:textId="77777777" w:rsidR="005E54E9" w:rsidRDefault="00195FD7">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 (6.7%)</w:t>
            </w:r>
          </w:p>
        </w:tc>
        <w:tc>
          <w:tcPr>
            <w:tcW w:w="1807" w:type="dxa"/>
            <w:tcBorders>
              <w:left w:val="single" w:sz="8" w:space="0" w:color="FFFFFF"/>
              <w:right w:val="single" w:sz="8" w:space="0" w:color="FFFFFF"/>
            </w:tcBorders>
            <w:tcMar>
              <w:top w:w="0" w:type="dxa"/>
              <w:left w:w="0" w:type="dxa"/>
              <w:bottom w:w="0" w:type="dxa"/>
              <w:right w:w="0" w:type="dxa"/>
            </w:tcMar>
            <w:vAlign w:val="center"/>
          </w:tcPr>
          <w:p w14:paraId="66B2D030" w14:textId="77777777" w:rsidR="005E54E9" w:rsidRDefault="00195FD7">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 (4%)</w:t>
            </w:r>
          </w:p>
        </w:tc>
        <w:tc>
          <w:tcPr>
            <w:tcW w:w="1807" w:type="dxa"/>
            <w:tcBorders>
              <w:left w:val="single" w:sz="8" w:space="0" w:color="FFFFFF"/>
              <w:right w:val="single" w:sz="8" w:space="0" w:color="FFFFFF"/>
            </w:tcBorders>
            <w:tcMar>
              <w:top w:w="0" w:type="dxa"/>
              <w:left w:w="0" w:type="dxa"/>
              <w:bottom w:w="0" w:type="dxa"/>
              <w:right w:w="0" w:type="dxa"/>
            </w:tcMar>
            <w:vAlign w:val="center"/>
          </w:tcPr>
          <w:p w14:paraId="74E9A6D0" w14:textId="77777777" w:rsidR="005E54E9" w:rsidRDefault="00195FD7">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2 (10%)</w:t>
            </w:r>
          </w:p>
        </w:tc>
        <w:tc>
          <w:tcPr>
            <w:tcW w:w="1807" w:type="dxa"/>
            <w:tcBorders>
              <w:left w:val="single" w:sz="8" w:space="0" w:color="FFFFFF"/>
              <w:right w:val="single" w:sz="8" w:space="0" w:color="FFFFFF"/>
            </w:tcBorders>
            <w:tcMar>
              <w:top w:w="0" w:type="dxa"/>
              <w:left w:w="0" w:type="dxa"/>
              <w:bottom w:w="0" w:type="dxa"/>
              <w:right w:w="0" w:type="dxa"/>
            </w:tcMar>
            <w:vAlign w:val="center"/>
          </w:tcPr>
          <w:p w14:paraId="42B1708C" w14:textId="77777777" w:rsidR="005E54E9" w:rsidRDefault="00195FD7">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 (2.2%)</w:t>
            </w:r>
          </w:p>
        </w:tc>
      </w:tr>
      <w:tr w:rsidR="005E54E9" w14:paraId="4FD6E125" w14:textId="77777777">
        <w:tc>
          <w:tcPr>
            <w:tcW w:w="1246" w:type="dxa"/>
            <w:tcBorders>
              <w:left w:val="single" w:sz="8" w:space="0" w:color="FFFFFF"/>
              <w:right w:val="single" w:sz="8" w:space="0" w:color="FFFFFF"/>
            </w:tcBorders>
            <w:tcMar>
              <w:top w:w="0" w:type="dxa"/>
              <w:left w:w="0" w:type="dxa"/>
              <w:bottom w:w="0" w:type="dxa"/>
              <w:right w:w="0" w:type="dxa"/>
            </w:tcMar>
            <w:vAlign w:val="center"/>
          </w:tcPr>
          <w:p w14:paraId="6B79FB36" w14:textId="77777777" w:rsidR="005E54E9" w:rsidRDefault="00195FD7">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1–5 years</w:t>
            </w:r>
          </w:p>
        </w:tc>
        <w:tc>
          <w:tcPr>
            <w:tcW w:w="1808" w:type="dxa"/>
            <w:tcBorders>
              <w:left w:val="single" w:sz="8" w:space="0" w:color="FFFFFF"/>
              <w:right w:val="single" w:sz="8" w:space="0" w:color="FFFFFF"/>
            </w:tcBorders>
            <w:tcMar>
              <w:top w:w="0" w:type="dxa"/>
              <w:left w:w="0" w:type="dxa"/>
              <w:bottom w:w="0" w:type="dxa"/>
              <w:right w:w="0" w:type="dxa"/>
            </w:tcMar>
            <w:vAlign w:val="center"/>
          </w:tcPr>
          <w:p w14:paraId="41A7337D" w14:textId="77777777" w:rsidR="005E54E9" w:rsidRDefault="00195FD7">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 (6.7%)</w:t>
            </w:r>
          </w:p>
        </w:tc>
        <w:tc>
          <w:tcPr>
            <w:tcW w:w="1807" w:type="dxa"/>
            <w:tcBorders>
              <w:left w:val="single" w:sz="8" w:space="0" w:color="FFFFFF"/>
              <w:right w:val="single" w:sz="8" w:space="0" w:color="FFFFFF"/>
            </w:tcBorders>
            <w:tcMar>
              <w:top w:w="0" w:type="dxa"/>
              <w:left w:w="0" w:type="dxa"/>
              <w:bottom w:w="0" w:type="dxa"/>
              <w:right w:w="0" w:type="dxa"/>
            </w:tcMar>
            <w:vAlign w:val="center"/>
          </w:tcPr>
          <w:p w14:paraId="466F1967" w14:textId="77777777" w:rsidR="005E54E9" w:rsidRDefault="00195FD7">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5 (20%)</w:t>
            </w:r>
          </w:p>
        </w:tc>
        <w:tc>
          <w:tcPr>
            <w:tcW w:w="1807" w:type="dxa"/>
            <w:tcBorders>
              <w:left w:val="single" w:sz="8" w:space="0" w:color="FFFFFF"/>
              <w:right w:val="single" w:sz="8" w:space="0" w:color="FFFFFF"/>
            </w:tcBorders>
            <w:tcMar>
              <w:top w:w="0" w:type="dxa"/>
              <w:left w:w="0" w:type="dxa"/>
              <w:bottom w:w="0" w:type="dxa"/>
              <w:right w:w="0" w:type="dxa"/>
            </w:tcMar>
            <w:vAlign w:val="center"/>
          </w:tcPr>
          <w:p w14:paraId="2F2E59D6" w14:textId="77777777" w:rsidR="005E54E9" w:rsidRDefault="00195FD7">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5 (25%)</w:t>
            </w:r>
          </w:p>
        </w:tc>
        <w:tc>
          <w:tcPr>
            <w:tcW w:w="1807" w:type="dxa"/>
            <w:tcBorders>
              <w:left w:val="single" w:sz="8" w:space="0" w:color="FFFFFF"/>
              <w:right w:val="single" w:sz="8" w:space="0" w:color="FFFFFF"/>
            </w:tcBorders>
            <w:tcMar>
              <w:top w:w="0" w:type="dxa"/>
              <w:left w:w="0" w:type="dxa"/>
              <w:bottom w:w="0" w:type="dxa"/>
              <w:right w:w="0" w:type="dxa"/>
            </w:tcMar>
            <w:vAlign w:val="center"/>
          </w:tcPr>
          <w:p w14:paraId="20394348" w14:textId="77777777" w:rsidR="005E54E9" w:rsidRDefault="00195FD7">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9 (19.5%)</w:t>
            </w:r>
          </w:p>
        </w:tc>
      </w:tr>
      <w:tr w:rsidR="005E54E9" w14:paraId="475A0F22" w14:textId="77777777">
        <w:tc>
          <w:tcPr>
            <w:tcW w:w="1246" w:type="dxa"/>
            <w:tcBorders>
              <w:left w:val="single" w:sz="8" w:space="0" w:color="FFFFFF"/>
              <w:right w:val="single" w:sz="8" w:space="0" w:color="FFFFFF"/>
            </w:tcBorders>
            <w:tcMar>
              <w:top w:w="0" w:type="dxa"/>
              <w:left w:w="0" w:type="dxa"/>
              <w:bottom w:w="0" w:type="dxa"/>
              <w:right w:w="0" w:type="dxa"/>
            </w:tcMar>
            <w:vAlign w:val="center"/>
          </w:tcPr>
          <w:p w14:paraId="018826EE" w14:textId="77777777" w:rsidR="005E54E9" w:rsidRDefault="00195FD7">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6–10 years</w:t>
            </w:r>
          </w:p>
        </w:tc>
        <w:tc>
          <w:tcPr>
            <w:tcW w:w="1808" w:type="dxa"/>
            <w:tcBorders>
              <w:left w:val="single" w:sz="8" w:space="0" w:color="FFFFFF"/>
              <w:right w:val="single" w:sz="8" w:space="0" w:color="FFFFFF"/>
            </w:tcBorders>
            <w:tcMar>
              <w:top w:w="0" w:type="dxa"/>
              <w:left w:w="0" w:type="dxa"/>
              <w:bottom w:w="0" w:type="dxa"/>
              <w:right w:w="0" w:type="dxa"/>
            </w:tcMar>
            <w:vAlign w:val="center"/>
          </w:tcPr>
          <w:p w14:paraId="5F4A2DCF" w14:textId="77777777" w:rsidR="005E54E9" w:rsidRDefault="00195FD7">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3 (20%)</w:t>
            </w:r>
          </w:p>
        </w:tc>
        <w:tc>
          <w:tcPr>
            <w:tcW w:w="1807" w:type="dxa"/>
            <w:tcBorders>
              <w:left w:val="single" w:sz="8" w:space="0" w:color="FFFFFF"/>
              <w:right w:val="single" w:sz="8" w:space="0" w:color="FFFFFF"/>
            </w:tcBorders>
            <w:tcMar>
              <w:top w:w="0" w:type="dxa"/>
              <w:left w:w="0" w:type="dxa"/>
              <w:bottom w:w="0" w:type="dxa"/>
              <w:right w:w="0" w:type="dxa"/>
            </w:tcMar>
            <w:vAlign w:val="center"/>
          </w:tcPr>
          <w:p w14:paraId="3BCC44A1" w14:textId="77777777" w:rsidR="005E54E9" w:rsidRDefault="00195FD7">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4 (16%)</w:t>
            </w:r>
          </w:p>
        </w:tc>
        <w:tc>
          <w:tcPr>
            <w:tcW w:w="1807" w:type="dxa"/>
            <w:tcBorders>
              <w:left w:val="single" w:sz="8" w:space="0" w:color="FFFFFF"/>
              <w:right w:val="single" w:sz="8" w:space="0" w:color="FFFFFF"/>
            </w:tcBorders>
            <w:tcMar>
              <w:top w:w="0" w:type="dxa"/>
              <w:left w:w="0" w:type="dxa"/>
              <w:bottom w:w="0" w:type="dxa"/>
              <w:right w:w="0" w:type="dxa"/>
            </w:tcMar>
            <w:vAlign w:val="center"/>
          </w:tcPr>
          <w:p w14:paraId="26719F0B" w14:textId="77777777" w:rsidR="005E54E9" w:rsidRDefault="00195FD7">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4 (20%)</w:t>
            </w:r>
          </w:p>
        </w:tc>
        <w:tc>
          <w:tcPr>
            <w:tcW w:w="1807" w:type="dxa"/>
            <w:tcBorders>
              <w:left w:val="single" w:sz="8" w:space="0" w:color="FFFFFF"/>
              <w:right w:val="single" w:sz="8" w:space="0" w:color="FFFFFF"/>
            </w:tcBorders>
            <w:tcMar>
              <w:top w:w="0" w:type="dxa"/>
              <w:left w:w="0" w:type="dxa"/>
              <w:bottom w:w="0" w:type="dxa"/>
              <w:right w:w="0" w:type="dxa"/>
            </w:tcMar>
            <w:vAlign w:val="center"/>
          </w:tcPr>
          <w:p w14:paraId="6FEF3891" w14:textId="77777777" w:rsidR="005E54E9" w:rsidRDefault="00195FD7">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7 (15.2%)</w:t>
            </w:r>
          </w:p>
        </w:tc>
      </w:tr>
      <w:tr w:rsidR="005E54E9" w14:paraId="2C392B25" w14:textId="77777777">
        <w:tc>
          <w:tcPr>
            <w:tcW w:w="1246" w:type="dxa"/>
            <w:tcBorders>
              <w:left w:val="single" w:sz="8" w:space="0" w:color="FFFFFF"/>
              <w:right w:val="single" w:sz="8" w:space="0" w:color="FFFFFF"/>
            </w:tcBorders>
            <w:tcMar>
              <w:top w:w="0" w:type="dxa"/>
              <w:left w:w="0" w:type="dxa"/>
              <w:bottom w:w="0" w:type="dxa"/>
              <w:right w:w="0" w:type="dxa"/>
            </w:tcMar>
            <w:vAlign w:val="center"/>
          </w:tcPr>
          <w:p w14:paraId="650359F3" w14:textId="77777777" w:rsidR="005E54E9" w:rsidRDefault="00195FD7">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&gt;10 years</w:t>
            </w:r>
          </w:p>
        </w:tc>
        <w:tc>
          <w:tcPr>
            <w:tcW w:w="1808" w:type="dxa"/>
            <w:tcBorders>
              <w:left w:val="single" w:sz="8" w:space="0" w:color="FFFFFF"/>
              <w:right w:val="single" w:sz="8" w:space="0" w:color="FFFFFF"/>
            </w:tcBorders>
            <w:tcMar>
              <w:top w:w="0" w:type="dxa"/>
              <w:left w:w="0" w:type="dxa"/>
              <w:bottom w:w="0" w:type="dxa"/>
              <w:right w:w="0" w:type="dxa"/>
            </w:tcMar>
            <w:vAlign w:val="center"/>
          </w:tcPr>
          <w:p w14:paraId="4C9EADDF" w14:textId="77777777" w:rsidR="005E54E9" w:rsidRDefault="00195FD7">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10 (66.6%)</w:t>
            </w:r>
          </w:p>
        </w:tc>
        <w:tc>
          <w:tcPr>
            <w:tcW w:w="1807" w:type="dxa"/>
            <w:tcBorders>
              <w:left w:val="single" w:sz="8" w:space="0" w:color="FFFFFF"/>
              <w:right w:val="single" w:sz="8" w:space="0" w:color="FFFFFF"/>
            </w:tcBorders>
            <w:tcMar>
              <w:top w:w="0" w:type="dxa"/>
              <w:left w:w="0" w:type="dxa"/>
              <w:bottom w:w="0" w:type="dxa"/>
              <w:right w:w="0" w:type="dxa"/>
            </w:tcMar>
            <w:vAlign w:val="center"/>
          </w:tcPr>
          <w:p w14:paraId="7E8121BE" w14:textId="77777777" w:rsidR="005E54E9" w:rsidRDefault="00195FD7">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15 (60%)</w:t>
            </w:r>
          </w:p>
        </w:tc>
        <w:tc>
          <w:tcPr>
            <w:tcW w:w="1807" w:type="dxa"/>
            <w:tcBorders>
              <w:left w:val="single" w:sz="8" w:space="0" w:color="FFFFFF"/>
              <w:right w:val="single" w:sz="8" w:space="0" w:color="FFFFFF"/>
            </w:tcBorders>
            <w:tcMar>
              <w:top w:w="0" w:type="dxa"/>
              <w:left w:w="0" w:type="dxa"/>
              <w:bottom w:w="0" w:type="dxa"/>
              <w:right w:w="0" w:type="dxa"/>
            </w:tcMar>
            <w:vAlign w:val="center"/>
          </w:tcPr>
          <w:p w14:paraId="3AF87F25" w14:textId="77777777" w:rsidR="005E54E9" w:rsidRDefault="00195FD7">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9 (45%)</w:t>
            </w:r>
          </w:p>
        </w:tc>
        <w:tc>
          <w:tcPr>
            <w:tcW w:w="1807" w:type="dxa"/>
            <w:tcBorders>
              <w:left w:val="single" w:sz="8" w:space="0" w:color="FFFFFF"/>
              <w:right w:val="single" w:sz="8" w:space="0" w:color="FFFFFF"/>
            </w:tcBorders>
            <w:tcMar>
              <w:top w:w="0" w:type="dxa"/>
              <w:left w:w="0" w:type="dxa"/>
              <w:bottom w:w="0" w:type="dxa"/>
              <w:right w:w="0" w:type="dxa"/>
            </w:tcMar>
            <w:vAlign w:val="center"/>
          </w:tcPr>
          <w:p w14:paraId="6A327180" w14:textId="77777777" w:rsidR="005E54E9" w:rsidRDefault="00195FD7">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26 (56.5%)</w:t>
            </w:r>
          </w:p>
        </w:tc>
      </w:tr>
    </w:tbl>
    <w:p w14:paraId="2838F6A5" w14:textId="77777777" w:rsidR="005E54E9" w:rsidRDefault="005E54E9">
      <w:pPr>
        <w:spacing w:line="480" w:lineRule="auto"/>
        <w:jc w:val="both"/>
        <w:rPr>
          <w:rFonts w:ascii="Times New Roman" w:eastAsia="Times New Roman" w:hAnsi="Times New Roman" w:cs="Times New Roman"/>
          <w:b/>
        </w:rPr>
      </w:pPr>
    </w:p>
    <w:p w14:paraId="2C5AE75E" w14:textId="77777777" w:rsidR="005E54E9" w:rsidRDefault="005E54E9">
      <w:pPr>
        <w:spacing w:line="480" w:lineRule="auto"/>
        <w:jc w:val="both"/>
        <w:rPr>
          <w:rFonts w:ascii="Times New Roman" w:eastAsia="Times New Roman" w:hAnsi="Times New Roman" w:cs="Times New Roman"/>
        </w:rPr>
      </w:pPr>
    </w:p>
    <w:sectPr w:rsidR="005E54E9">
      <w:headerReference w:type="even" r:id="rId11"/>
      <w:headerReference w:type="default" r:id="rId12"/>
      <w:footerReference w:type="default" r:id="rId13"/>
      <w:headerReference w:type="first" r:id="rId14"/>
      <w:pgSz w:w="11920" w:h="16840"/>
      <w:pgMar w:top="1411" w:right="1699" w:bottom="1411" w:left="1699"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534DC" w14:textId="77777777" w:rsidR="000608F3" w:rsidRDefault="000608F3">
      <w:pPr>
        <w:spacing w:line="240" w:lineRule="auto"/>
      </w:pPr>
      <w:r>
        <w:separator/>
      </w:r>
    </w:p>
  </w:endnote>
  <w:endnote w:type="continuationSeparator" w:id="0">
    <w:p w14:paraId="6D408B5D" w14:textId="77777777" w:rsidR="000608F3" w:rsidRDefault="000608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702C5" w14:textId="66C11388" w:rsidR="005E54E9" w:rsidRDefault="00195FD7">
    <w:pPr>
      <w:jc w:val="center"/>
      <w:rPr>
        <w:rFonts w:ascii="Times New Roman" w:eastAsia="Times New Roman" w:hAnsi="Times New Roman" w:cs="Times New Roman"/>
        <w:sz w:val="18"/>
        <w:szCs w:val="18"/>
      </w:rPr>
    </w:pP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sidR="00B63E10">
      <w:rPr>
        <w:rFonts w:ascii="Times New Roman" w:eastAsia="Times New Roman" w:hAnsi="Times New Roman" w:cs="Times New Roman"/>
        <w:noProof/>
        <w:sz w:val="20"/>
        <w:szCs w:val="20"/>
      </w:rPr>
      <w:t>1</w:t>
    </w:r>
    <w:r>
      <w:rPr>
        <w:rFonts w:ascii="Times New Roman" w:eastAsia="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2F057" w14:textId="77777777" w:rsidR="000608F3" w:rsidRDefault="000608F3">
      <w:pPr>
        <w:spacing w:line="240" w:lineRule="auto"/>
      </w:pPr>
      <w:r>
        <w:separator/>
      </w:r>
    </w:p>
  </w:footnote>
  <w:footnote w:type="continuationSeparator" w:id="0">
    <w:p w14:paraId="2EFC71C8" w14:textId="77777777" w:rsidR="000608F3" w:rsidRDefault="000608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36CA8" w14:textId="77777777" w:rsidR="005E54E9" w:rsidRDefault="000608F3">
    <w:pPr>
      <w:pBdr>
        <w:top w:val="nil"/>
        <w:left w:val="nil"/>
        <w:bottom w:val="nil"/>
        <w:right w:val="nil"/>
        <w:between w:val="nil"/>
      </w:pBdr>
      <w:tabs>
        <w:tab w:val="center" w:pos="4680"/>
        <w:tab w:val="right" w:pos="9360"/>
      </w:tabs>
      <w:spacing w:line="240" w:lineRule="auto"/>
      <w:rPr>
        <w:color w:val="000000"/>
      </w:rPr>
    </w:pPr>
    <w:r>
      <w:rPr>
        <w:color w:val="000000"/>
      </w:rPr>
      <w:pict w14:anchorId="687EE9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49.45pt;height:61.05pt;rotation:315;z-index:-251656192;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9B62B" w14:textId="77777777" w:rsidR="005E54E9" w:rsidRDefault="000608F3">
    <w:r>
      <w:pict w14:anchorId="67D754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49.45pt;height:61.05pt;rotation:315;z-index:-251658240;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CAD14" w14:textId="77777777" w:rsidR="005E54E9" w:rsidRDefault="000608F3">
    <w:pPr>
      <w:pBdr>
        <w:top w:val="nil"/>
        <w:left w:val="nil"/>
        <w:bottom w:val="nil"/>
        <w:right w:val="nil"/>
        <w:between w:val="nil"/>
      </w:pBdr>
      <w:tabs>
        <w:tab w:val="center" w:pos="4680"/>
        <w:tab w:val="right" w:pos="9360"/>
      </w:tabs>
      <w:spacing w:line="240" w:lineRule="auto"/>
      <w:rPr>
        <w:color w:val="000000"/>
      </w:rPr>
    </w:pPr>
    <w:r>
      <w:rPr>
        <w:color w:val="000000"/>
      </w:rPr>
      <w:pict w14:anchorId="4ABEB9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549.45pt;height:61.05pt;rotation:315;z-index:-251657216;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2C1B98"/>
    <w:multiLevelType w:val="multilevel"/>
    <w:tmpl w:val="7F2C18FA"/>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4E9"/>
    <w:rsid w:val="000608F3"/>
    <w:rsid w:val="000C3842"/>
    <w:rsid w:val="00195FD7"/>
    <w:rsid w:val="00235B96"/>
    <w:rsid w:val="00443F7A"/>
    <w:rsid w:val="004D215C"/>
    <w:rsid w:val="005E54E9"/>
    <w:rsid w:val="00AD131E"/>
    <w:rsid w:val="00B6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60D5F7"/>
  <w15:docId w15:val="{71432083-CE6D-42A8-B5D6-0169EC4B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100" w:type="dxa"/>
        <w:left w:w="100" w:type="dxa"/>
        <w:bottom w:w="100" w:type="dxa"/>
        <w:right w:w="100" w:type="dxa"/>
      </w:tblCellMar>
    </w:tblPr>
  </w:style>
  <w:style w:type="table" w:customStyle="1" w:styleId="a">
    <w:basedOn w:val="TableNormal1"/>
    <w:tblPr>
      <w:tblStyleRowBandSize w:val="1"/>
      <w:tblStyleColBandSize w:val="1"/>
      <w:tblCellMar>
        <w:top w:w="0" w:type="dxa"/>
        <w:left w:w="70" w:type="dxa"/>
        <w:bottom w:w="0" w:type="dxa"/>
        <w:right w:w="70" w:type="dxa"/>
      </w:tblCellMar>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Pr>
  </w:style>
  <w:style w:type="character" w:styleId="Hyperlink">
    <w:name w:val="Hyperlink"/>
    <w:basedOn w:val="DefaultParagraphFont"/>
    <w:uiPriority w:val="99"/>
    <w:unhideWhenUsed/>
    <w:rsid w:val="006B4AC8"/>
    <w:rPr>
      <w:color w:val="0000FF" w:themeColor="hyperlink"/>
      <w:u w:val="single"/>
    </w:rPr>
  </w:style>
  <w:style w:type="character" w:styleId="UnresolvedMention">
    <w:name w:val="Unresolved Mention"/>
    <w:basedOn w:val="DefaultParagraphFont"/>
    <w:uiPriority w:val="99"/>
    <w:semiHidden/>
    <w:unhideWhenUsed/>
    <w:rsid w:val="006B4AC8"/>
    <w:rPr>
      <w:color w:val="605E5C"/>
      <w:shd w:val="clear" w:color="auto" w:fill="E1DFDD"/>
    </w:rPr>
  </w:style>
  <w:style w:type="paragraph" w:styleId="Header">
    <w:name w:val="header"/>
    <w:basedOn w:val="Normal"/>
    <w:link w:val="HeaderChar"/>
    <w:uiPriority w:val="99"/>
    <w:unhideWhenUsed/>
    <w:rsid w:val="00D5450B"/>
    <w:pPr>
      <w:tabs>
        <w:tab w:val="center" w:pos="4680"/>
        <w:tab w:val="right" w:pos="9360"/>
      </w:tabs>
      <w:spacing w:line="240" w:lineRule="auto"/>
    </w:pPr>
  </w:style>
  <w:style w:type="character" w:customStyle="1" w:styleId="HeaderChar">
    <w:name w:val="Header Char"/>
    <w:basedOn w:val="DefaultParagraphFont"/>
    <w:link w:val="Header"/>
    <w:uiPriority w:val="99"/>
    <w:rsid w:val="00D5450B"/>
  </w:style>
  <w:style w:type="paragraph" w:styleId="Footer">
    <w:name w:val="footer"/>
    <w:basedOn w:val="Normal"/>
    <w:link w:val="FooterChar"/>
    <w:uiPriority w:val="99"/>
    <w:unhideWhenUsed/>
    <w:rsid w:val="00D5450B"/>
    <w:pPr>
      <w:tabs>
        <w:tab w:val="center" w:pos="4680"/>
        <w:tab w:val="right" w:pos="9360"/>
      </w:tabs>
      <w:spacing w:line="240" w:lineRule="auto"/>
    </w:pPr>
  </w:style>
  <w:style w:type="character" w:customStyle="1" w:styleId="FooterChar">
    <w:name w:val="Footer Char"/>
    <w:basedOn w:val="DefaultParagraphFont"/>
    <w:link w:val="Footer"/>
    <w:uiPriority w:val="99"/>
    <w:rsid w:val="00D5450B"/>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stagram.com/rootsolutionend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fvbGaBTyxP6D/ralkQRYn2Hotg==">CgMxLjAyDmguN2JlNGhyemR3ZGxzOAByITFHRVNpY3BTbFRKMXI1d1hMXzZ0dHBKTXZ1RkljbkdCUA==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3355</Words>
  <Characters>18492</Characters>
  <Application>Microsoft Office Word</Application>
  <DocSecurity>0</DocSecurity>
  <Lines>402</Lines>
  <Paragraphs>200</Paragraphs>
  <ScaleCrop>false</ScaleCrop>
  <Company/>
  <LinksUpToDate>false</LinksUpToDate>
  <CharactersWithSpaces>21647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1089</cp:lastModifiedBy>
  <cp:revision>6</cp:revision>
  <dcterms:created xsi:type="dcterms:W3CDTF">2025-10-14T07:34:00Z</dcterms:created>
  <dcterms:modified xsi:type="dcterms:W3CDTF">2025-10-22T10:49:00Z</dcterms:modified>
</cp:coreProperties>
</file>