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49C54" w14:textId="77777777" w:rsidR="002074FB" w:rsidRPr="0058618F" w:rsidRDefault="002074FB">
      <w:pPr>
        <w:widowControl w:val="0"/>
        <w:pBdr>
          <w:top w:val="nil"/>
          <w:left w:val="nil"/>
          <w:bottom w:val="nil"/>
          <w:right w:val="nil"/>
          <w:between w:val="nil"/>
        </w:pBdr>
        <w:spacing w:line="276" w:lineRule="auto"/>
        <w:rPr>
          <w:rFonts w:ascii="Arial" w:hAnsi="Arial" w:cs="Arial"/>
        </w:rPr>
      </w:pPr>
    </w:p>
    <w:p w14:paraId="1FCE16F6" w14:textId="77777777" w:rsidR="002074FB" w:rsidRPr="0058618F" w:rsidRDefault="002074FB">
      <w:pPr>
        <w:pStyle w:val="Title"/>
        <w:spacing w:after="0"/>
        <w:jc w:val="both"/>
        <w:rPr>
          <w:rFonts w:ascii="Arial" w:eastAsia="Arial" w:hAnsi="Arial" w:cs="Arial"/>
        </w:rPr>
      </w:pPr>
    </w:p>
    <w:p w14:paraId="64AF3732" w14:textId="77777777" w:rsidR="003641F8" w:rsidRPr="0058618F" w:rsidRDefault="003641F8" w:rsidP="003641F8">
      <w:pPr>
        <w:rPr>
          <w:rFonts w:ascii="Arial" w:hAnsi="Arial" w:cs="Arial"/>
        </w:rPr>
      </w:pPr>
      <w:bookmarkStart w:id="0" w:name="_heading=h.i8c6y5mht9ch" w:colFirst="0" w:colLast="0"/>
      <w:bookmarkStart w:id="1" w:name="_GoBack"/>
      <w:bookmarkEnd w:id="0"/>
      <w:bookmarkEnd w:id="1"/>
    </w:p>
    <w:p w14:paraId="30E552C8" w14:textId="77777777" w:rsidR="003641F8" w:rsidRPr="0058618F" w:rsidRDefault="003641F8" w:rsidP="003641F8">
      <w:pPr>
        <w:rPr>
          <w:rFonts w:ascii="Arial" w:hAnsi="Arial" w:cs="Arial"/>
        </w:rPr>
      </w:pPr>
    </w:p>
    <w:p w14:paraId="759AE936" w14:textId="1BF6674D" w:rsidR="001200E9" w:rsidRPr="0058618F" w:rsidRDefault="001200E9">
      <w:pPr>
        <w:pBdr>
          <w:top w:val="nil"/>
          <w:left w:val="nil"/>
          <w:bottom w:val="nil"/>
          <w:right w:val="nil"/>
          <w:between w:val="nil"/>
        </w:pBdr>
        <w:rPr>
          <w:rFonts w:ascii="Arial" w:eastAsia="Arial" w:hAnsi="Arial" w:cs="Arial"/>
          <w:b/>
          <w:color w:val="000000" w:themeColor="text1"/>
          <w:sz w:val="36"/>
          <w:szCs w:val="36"/>
        </w:rPr>
      </w:pPr>
      <w:r w:rsidRPr="0058618F">
        <w:rPr>
          <w:rFonts w:ascii="Arial" w:eastAsia="Arial" w:hAnsi="Arial" w:cs="Arial"/>
          <w:b/>
          <w:color w:val="000000" w:themeColor="text1"/>
          <w:sz w:val="36"/>
          <w:szCs w:val="36"/>
          <w:highlight w:val="yellow"/>
        </w:rPr>
        <w:t>Epidemiological profile and diagnostic trends of meningococcal disease in Brazil across pre-, peri-, and post-pandemic periods</w:t>
      </w:r>
    </w:p>
    <w:p w14:paraId="301637FD" w14:textId="77777777" w:rsidR="002074FB" w:rsidRPr="0058618F" w:rsidRDefault="00015AB9">
      <w:pPr>
        <w:pBdr>
          <w:top w:val="nil"/>
          <w:left w:val="nil"/>
          <w:bottom w:val="nil"/>
          <w:right w:val="nil"/>
          <w:between w:val="nil"/>
        </w:pBdr>
        <w:jc w:val="right"/>
        <w:rPr>
          <w:rFonts w:ascii="Arial" w:eastAsia="Arial" w:hAnsi="Arial" w:cs="Arial"/>
          <w:b/>
          <w:color w:val="000000"/>
          <w:sz w:val="36"/>
          <w:szCs w:val="36"/>
        </w:rPr>
      </w:pPr>
      <w:r w:rsidRPr="0058618F">
        <w:rPr>
          <w:rFonts w:ascii="Arial" w:eastAsia="Arial" w:hAnsi="Arial" w:cs="Arial"/>
          <w:b/>
          <w:color w:val="000000"/>
          <w:sz w:val="36"/>
          <w:szCs w:val="36"/>
        </w:rPr>
        <w:t xml:space="preserve"> </w:t>
      </w:r>
    </w:p>
    <w:p w14:paraId="5F6EB203" w14:textId="77777777" w:rsidR="002074FB" w:rsidRPr="0058618F" w:rsidRDefault="002074FB">
      <w:pPr>
        <w:pBdr>
          <w:top w:val="nil"/>
          <w:left w:val="nil"/>
          <w:bottom w:val="nil"/>
          <w:right w:val="nil"/>
          <w:between w:val="nil"/>
        </w:pBdr>
        <w:jc w:val="both"/>
        <w:rPr>
          <w:rFonts w:ascii="Arial" w:eastAsia="Arial" w:hAnsi="Arial" w:cs="Arial"/>
          <w:b/>
          <w:color w:val="000000"/>
          <w:sz w:val="36"/>
          <w:szCs w:val="36"/>
        </w:rPr>
      </w:pPr>
    </w:p>
    <w:p w14:paraId="69AE44B7" w14:textId="77777777" w:rsidR="002074FB" w:rsidRPr="0058618F" w:rsidRDefault="002074FB">
      <w:pPr>
        <w:pBdr>
          <w:top w:val="nil"/>
          <w:left w:val="nil"/>
          <w:bottom w:val="nil"/>
          <w:right w:val="nil"/>
          <w:between w:val="nil"/>
        </w:pBdr>
        <w:jc w:val="both"/>
        <w:rPr>
          <w:rFonts w:ascii="Arial" w:eastAsia="Arial" w:hAnsi="Arial" w:cs="Arial"/>
          <w:color w:val="000000"/>
        </w:rPr>
      </w:pPr>
    </w:p>
    <w:p w14:paraId="5D8F1EA9" w14:textId="77777777" w:rsidR="002074FB" w:rsidRPr="0058618F" w:rsidRDefault="002074FB">
      <w:pPr>
        <w:pBdr>
          <w:top w:val="nil"/>
          <w:left w:val="nil"/>
          <w:bottom w:val="nil"/>
          <w:right w:val="nil"/>
          <w:between w:val="nil"/>
        </w:pBdr>
        <w:jc w:val="both"/>
        <w:rPr>
          <w:rFonts w:ascii="Arial" w:eastAsia="Arial" w:hAnsi="Arial" w:cs="Arial"/>
          <w:color w:val="000000"/>
        </w:rPr>
      </w:pPr>
    </w:p>
    <w:p w14:paraId="56980EBD" w14:textId="77777777" w:rsidR="002074FB" w:rsidRPr="0058618F" w:rsidRDefault="00015AB9">
      <w:pPr>
        <w:pBdr>
          <w:top w:val="nil"/>
          <w:left w:val="nil"/>
          <w:bottom w:val="nil"/>
          <w:right w:val="nil"/>
          <w:between w:val="nil"/>
        </w:pBdr>
        <w:jc w:val="both"/>
        <w:rPr>
          <w:rFonts w:ascii="Arial" w:eastAsia="Arial" w:hAnsi="Arial" w:cs="Arial"/>
          <w:color w:val="000000"/>
          <w:sz w:val="16"/>
          <w:szCs w:val="16"/>
        </w:rPr>
        <w:sectPr w:rsidR="002074FB" w:rsidRPr="0058618F" w:rsidSect="00414B79">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docGrid w:linePitch="272"/>
        </w:sectPr>
      </w:pPr>
      <w:r w:rsidRPr="0058618F">
        <w:rPr>
          <w:rFonts w:ascii="Arial" w:eastAsia="Arial" w:hAnsi="Arial" w:cs="Arial"/>
          <w:noProof/>
          <w:color w:val="000000"/>
          <w:sz w:val="16"/>
          <w:szCs w:val="16"/>
          <w:lang w:val="en-IN"/>
        </w:rPr>
        <mc:AlternateContent>
          <mc:Choice Requires="wps">
            <w:drawing>
              <wp:inline distT="0" distB="0" distL="114300" distR="114300" wp14:anchorId="06D50478" wp14:editId="351920F9">
                <wp:extent cx="0" cy="19050"/>
                <wp:effectExtent l="0" t="0" r="0" b="0"/>
                <wp:docPr id="3" name="Freeform 3"/>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B="0" distT="0" distL="114300" distR="114300">
                <wp:extent cx="0" cy="19050"/>
                <wp:effectExtent b="0" l="0" r="0" t="0"/>
                <wp:docPr id="3"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0" cy="19050"/>
                        </a:xfrm>
                        <a:prstGeom prst="rect"/>
                        <a:ln/>
                      </pic:spPr>
                    </pic:pic>
                  </a:graphicData>
                </a:graphic>
              </wp:inline>
            </w:drawing>
          </mc:Fallback>
        </mc:AlternateContent>
      </w:r>
      <w:r w:rsidRPr="0058618F">
        <w:rPr>
          <w:rFonts w:ascii="Arial" w:eastAsia="Arial" w:hAnsi="Arial" w:cs="Arial"/>
          <w:color w:val="000000"/>
          <w:sz w:val="16"/>
          <w:szCs w:val="16"/>
        </w:rPr>
        <w:t>.</w:t>
      </w:r>
    </w:p>
    <w:p w14:paraId="227A3E3B" w14:textId="77777777" w:rsidR="002074FB" w:rsidRPr="0058618F" w:rsidRDefault="00015AB9">
      <w:pPr>
        <w:keepNext/>
        <w:pBdr>
          <w:top w:val="nil"/>
          <w:left w:val="nil"/>
          <w:bottom w:val="nil"/>
          <w:right w:val="nil"/>
          <w:between w:val="nil"/>
        </w:pBdr>
        <w:jc w:val="both"/>
        <w:rPr>
          <w:rFonts w:ascii="Arial" w:eastAsia="Arial" w:hAnsi="Arial" w:cs="Arial"/>
          <w:b/>
          <w:smallCaps/>
          <w:color w:val="000000"/>
          <w:sz w:val="22"/>
          <w:szCs w:val="22"/>
        </w:rPr>
      </w:pPr>
      <w:r w:rsidRPr="0058618F">
        <w:rPr>
          <w:rFonts w:ascii="Arial" w:eastAsia="Arial" w:hAnsi="Arial" w:cs="Arial"/>
          <w:b/>
          <w:smallCaps/>
          <w:color w:val="000000"/>
          <w:sz w:val="22"/>
          <w:szCs w:val="22"/>
        </w:rPr>
        <w:t xml:space="preserve">ABSTRACT </w:t>
      </w:r>
    </w:p>
    <w:p w14:paraId="46B2218B" w14:textId="77777777" w:rsidR="002074FB" w:rsidRPr="0058618F" w:rsidRDefault="002074FB">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317AA8" w:rsidRPr="0058618F" w14:paraId="76DB6C72" w14:textId="77777777">
        <w:tc>
          <w:tcPr>
            <w:tcW w:w="8424" w:type="dxa"/>
            <w:shd w:val="clear" w:color="auto" w:fill="F2F2F2"/>
          </w:tcPr>
          <w:p w14:paraId="46F56ECF" w14:textId="5D4AA9D2" w:rsidR="001200E9" w:rsidRPr="0058618F" w:rsidRDefault="00015AB9">
            <w:pPr>
              <w:pBdr>
                <w:top w:val="nil"/>
                <w:left w:val="nil"/>
                <w:bottom w:val="nil"/>
                <w:right w:val="nil"/>
                <w:between w:val="nil"/>
              </w:pBdr>
              <w:jc w:val="both"/>
              <w:rPr>
                <w:rFonts w:ascii="Arial" w:eastAsia="Arial" w:hAnsi="Arial" w:cs="Arial"/>
                <w:color w:val="000000" w:themeColor="text1"/>
                <w:highlight w:val="yellow"/>
              </w:rPr>
            </w:pPr>
            <w:r w:rsidRPr="0058618F">
              <w:rPr>
                <w:rFonts w:ascii="Arial" w:eastAsia="Arial" w:hAnsi="Arial" w:cs="Arial"/>
                <w:b/>
                <w:color w:val="000000" w:themeColor="text1"/>
                <w:highlight w:val="yellow"/>
              </w:rPr>
              <w:t>Aims:</w:t>
            </w:r>
            <w:r w:rsidR="001200E9" w:rsidRPr="0058618F">
              <w:rPr>
                <w:rFonts w:ascii="Arial" w:eastAsia="Arial" w:hAnsi="Arial" w:cs="Arial"/>
                <w:b/>
                <w:color w:val="000000" w:themeColor="text1"/>
                <w:highlight w:val="yellow"/>
              </w:rPr>
              <w:t xml:space="preserve"> </w:t>
            </w:r>
            <w:r w:rsidR="001200E9" w:rsidRPr="0058618F">
              <w:rPr>
                <w:rFonts w:ascii="Arial" w:eastAsia="Arial" w:hAnsi="Arial" w:cs="Arial"/>
                <w:color w:val="000000" w:themeColor="text1"/>
                <w:highlight w:val="yellow"/>
              </w:rPr>
              <w:t>To describe the epidemiological profile and diagnostic trends of meningococcal meningitis with meningococcemia in Brazil before, during, and after the COVID-19 pandemic, with emphasis on diagnostic criteria and regional distribution to assess the impact on these patterns.</w:t>
            </w:r>
          </w:p>
          <w:p w14:paraId="472751DB" w14:textId="4746C414" w:rsidR="001200E9" w:rsidRPr="0058618F" w:rsidRDefault="00015AB9">
            <w:pPr>
              <w:pBdr>
                <w:top w:val="nil"/>
                <w:left w:val="nil"/>
                <w:bottom w:val="nil"/>
                <w:right w:val="nil"/>
                <w:between w:val="nil"/>
              </w:pBdr>
              <w:jc w:val="both"/>
              <w:rPr>
                <w:rFonts w:ascii="Arial" w:eastAsia="Arial" w:hAnsi="Arial" w:cs="Arial"/>
                <w:color w:val="000000" w:themeColor="text1"/>
                <w:highlight w:val="yellow"/>
              </w:rPr>
            </w:pPr>
            <w:r w:rsidRPr="0058618F">
              <w:rPr>
                <w:rFonts w:ascii="Arial" w:eastAsia="Arial" w:hAnsi="Arial" w:cs="Arial"/>
                <w:b/>
                <w:color w:val="000000" w:themeColor="text1"/>
                <w:highlight w:val="yellow"/>
              </w:rPr>
              <w:t>Study design:</w:t>
            </w:r>
            <w:r w:rsidRPr="0058618F">
              <w:rPr>
                <w:rFonts w:ascii="Arial" w:eastAsia="Arial" w:hAnsi="Arial" w:cs="Arial"/>
                <w:color w:val="000000" w:themeColor="text1"/>
                <w:highlight w:val="yellow"/>
              </w:rPr>
              <w:t xml:space="preserve">  </w:t>
            </w:r>
            <w:r w:rsidR="001200E9" w:rsidRPr="0058618F">
              <w:rPr>
                <w:rFonts w:ascii="Arial" w:eastAsia="Arial" w:hAnsi="Arial" w:cs="Arial"/>
                <w:color w:val="000000" w:themeColor="text1"/>
                <w:highlight w:val="yellow"/>
              </w:rPr>
              <w:t>Ecological study using national surveillance data from the Notifiable Diseases Information System (SINAN).</w:t>
            </w:r>
          </w:p>
          <w:p w14:paraId="0D16252B" w14:textId="2FAE0F60" w:rsidR="002074FB" w:rsidRPr="0058618F" w:rsidRDefault="00015AB9">
            <w:pPr>
              <w:pBdr>
                <w:top w:val="nil"/>
                <w:left w:val="nil"/>
                <w:bottom w:val="nil"/>
                <w:right w:val="nil"/>
                <w:between w:val="nil"/>
              </w:pBdr>
              <w:jc w:val="both"/>
              <w:rPr>
                <w:rFonts w:ascii="Arial" w:eastAsia="Arial" w:hAnsi="Arial" w:cs="Arial"/>
                <w:color w:val="000000" w:themeColor="text1"/>
                <w:highlight w:val="yellow"/>
              </w:rPr>
            </w:pPr>
            <w:r w:rsidRPr="0058618F">
              <w:rPr>
                <w:rFonts w:ascii="Arial" w:eastAsia="Arial" w:hAnsi="Arial" w:cs="Arial"/>
                <w:b/>
                <w:color w:val="000000" w:themeColor="text1"/>
                <w:highlight w:val="yellow"/>
              </w:rPr>
              <w:t>Place and Duration of Study:</w:t>
            </w:r>
            <w:r w:rsidRPr="0058618F">
              <w:rPr>
                <w:rFonts w:ascii="Arial" w:eastAsia="Arial" w:hAnsi="Arial" w:cs="Arial"/>
                <w:color w:val="000000" w:themeColor="text1"/>
                <w:highlight w:val="yellow"/>
              </w:rPr>
              <w:t xml:space="preserve"> </w:t>
            </w:r>
            <w:r w:rsidR="00581253" w:rsidRPr="0058618F">
              <w:rPr>
                <w:rFonts w:ascii="Arial" w:eastAsia="Arial" w:hAnsi="Arial" w:cs="Arial"/>
                <w:color w:val="000000" w:themeColor="text1"/>
                <w:highlight w:val="yellow"/>
              </w:rPr>
              <w:t>Brazil, covering 01 January 2015 to 31 May 2024.</w:t>
            </w:r>
          </w:p>
          <w:p w14:paraId="76654738" w14:textId="3175C7F2" w:rsidR="00AE5549" w:rsidRPr="0058618F" w:rsidRDefault="00015AB9" w:rsidP="00AE5549">
            <w:pPr>
              <w:pBdr>
                <w:top w:val="nil"/>
                <w:left w:val="nil"/>
                <w:bottom w:val="nil"/>
                <w:right w:val="nil"/>
                <w:between w:val="nil"/>
              </w:pBdr>
              <w:jc w:val="both"/>
              <w:rPr>
                <w:rFonts w:ascii="Arial" w:eastAsia="Arial" w:hAnsi="Arial" w:cs="Arial"/>
                <w:color w:val="000000" w:themeColor="text1"/>
                <w:highlight w:val="yellow"/>
              </w:rPr>
            </w:pPr>
            <w:r w:rsidRPr="0058618F">
              <w:rPr>
                <w:rFonts w:ascii="Arial" w:eastAsia="Arial" w:hAnsi="Arial" w:cs="Arial"/>
                <w:b/>
                <w:color w:val="000000" w:themeColor="text1"/>
                <w:highlight w:val="yellow"/>
              </w:rPr>
              <w:t>Methodology:</w:t>
            </w:r>
            <w:r w:rsidRPr="0058618F">
              <w:rPr>
                <w:rFonts w:ascii="Arial" w:eastAsia="Arial" w:hAnsi="Arial" w:cs="Arial"/>
                <w:color w:val="000000" w:themeColor="text1"/>
                <w:highlight w:val="yellow"/>
              </w:rPr>
              <w:t xml:space="preserve"> </w:t>
            </w:r>
            <w:r w:rsidR="001200E9" w:rsidRPr="0058618F">
              <w:rPr>
                <w:rFonts w:ascii="Arial" w:eastAsia="Arial" w:hAnsi="Arial" w:cs="Arial"/>
                <w:color w:val="000000" w:themeColor="text1"/>
                <w:highlight w:val="yellow"/>
              </w:rPr>
              <w:t xml:space="preserve">A retrospective, cross-sectional study was conducted using secondary data from the Notifiable Diseases Information System (SINAN) between 2015 and 2024. </w:t>
            </w:r>
            <w:r w:rsidR="00AE5549" w:rsidRPr="0058618F">
              <w:rPr>
                <w:rFonts w:ascii="Arial" w:eastAsia="Arial" w:hAnsi="Arial" w:cs="Arial"/>
                <w:color w:val="000000" w:themeColor="text1"/>
                <w:highlight w:val="yellow"/>
              </w:rPr>
              <w:t xml:space="preserve">Confirmed cases in individuals aged 0–18 years </w:t>
            </w:r>
            <w:r w:rsidR="001200E9" w:rsidRPr="0058618F">
              <w:rPr>
                <w:rFonts w:ascii="Arial" w:eastAsia="Arial" w:hAnsi="Arial" w:cs="Arial"/>
                <w:color w:val="000000" w:themeColor="text1"/>
                <w:highlight w:val="yellow"/>
              </w:rPr>
              <w:t xml:space="preserve">were grouped into three periods: pre-pandemic (2015–2019), peri-pandemic (2020–2022), and post-pandemic (2023–2024). </w:t>
            </w:r>
            <w:r w:rsidR="00AE5549" w:rsidRPr="0058618F">
              <w:rPr>
                <w:rFonts w:ascii="Arial" w:eastAsia="Arial" w:hAnsi="Arial" w:cs="Arial"/>
                <w:color w:val="000000" w:themeColor="text1"/>
                <w:highlight w:val="yellow"/>
              </w:rPr>
              <w:t xml:space="preserve">Diagnostic methods were categorized as polymerase chain reaction (PCR), culture, clinical criteria </w:t>
            </w:r>
            <w:r w:rsidR="001200E9" w:rsidRPr="0058618F">
              <w:rPr>
                <w:rFonts w:ascii="Arial" w:eastAsia="Arial" w:hAnsi="Arial" w:cs="Arial"/>
                <w:color w:val="000000" w:themeColor="text1"/>
                <w:highlight w:val="yellow"/>
              </w:rPr>
              <w:t xml:space="preserve">Descriptive analyses, Chi-square tests, and multivariate logistic regression were applied. </w:t>
            </w:r>
            <w:r w:rsidR="00AE5549" w:rsidRPr="0058618F">
              <w:rPr>
                <w:rFonts w:ascii="Arial" w:eastAsia="Arial" w:hAnsi="Arial" w:cs="Arial"/>
                <w:color w:val="000000" w:themeColor="text1"/>
                <w:highlight w:val="yellow"/>
              </w:rPr>
              <w:t>A complete-case analysis was performed after data cleaning to handle missing information. Data were analyzed using R 4.4.2. Pearson’s chi-square test and logistic regression were applied to evaluate associations, with statistical significance set at p &lt; 0.05.</w:t>
            </w:r>
          </w:p>
          <w:p w14:paraId="1896CBA2" w14:textId="576D1F2C" w:rsidR="001200E9" w:rsidRPr="0058618F" w:rsidRDefault="00015AB9">
            <w:pPr>
              <w:pBdr>
                <w:top w:val="nil"/>
                <w:left w:val="nil"/>
                <w:bottom w:val="nil"/>
                <w:right w:val="nil"/>
                <w:between w:val="nil"/>
              </w:pBdr>
              <w:jc w:val="both"/>
              <w:rPr>
                <w:rFonts w:ascii="Arial" w:eastAsia="Arial" w:hAnsi="Arial" w:cs="Arial"/>
                <w:bCs/>
                <w:color w:val="000000" w:themeColor="text1"/>
                <w:highlight w:val="yellow"/>
              </w:rPr>
            </w:pPr>
            <w:r w:rsidRPr="0058618F">
              <w:rPr>
                <w:rFonts w:ascii="Arial" w:eastAsia="Arial" w:hAnsi="Arial" w:cs="Arial"/>
                <w:b/>
                <w:color w:val="000000" w:themeColor="text1"/>
                <w:highlight w:val="yellow"/>
              </w:rPr>
              <w:t>Results:</w:t>
            </w:r>
            <w:r w:rsidRPr="0058618F">
              <w:rPr>
                <w:rFonts w:ascii="Arial" w:eastAsia="Arial" w:hAnsi="Arial" w:cs="Arial"/>
                <w:color w:val="000000" w:themeColor="text1"/>
                <w:highlight w:val="yellow"/>
              </w:rPr>
              <w:t xml:space="preserve"> </w:t>
            </w:r>
            <w:r w:rsidR="001200E9" w:rsidRPr="0058618F">
              <w:rPr>
                <w:rFonts w:ascii="Arial" w:eastAsia="Arial" w:hAnsi="Arial" w:cs="Arial"/>
                <w:bCs/>
                <w:color w:val="000000" w:themeColor="text1"/>
                <w:highlight w:val="yellow"/>
              </w:rPr>
              <w:t>A total of 1,186 confirmed cases in individuals aged 0–18 years were analyzed, 917 (77.3%) pre-pandemic, 174 (14.7%) peri-pandemic, and 95 (8.0%) post-pandemic. Diagnostic confirmation by PCR increased from 42.8% before the pandemic to 63.1% afterward, while clinical criteria decreased proportionally. Significant differences were observed between periods for diagnostic method (p&lt;0.001) and case fatality (p=0.038). The odds of diagnosis by PCR were 1.9 times higher in the post-pandemic period compared with the pre-pandemic baseline (95% CI: 1.35–2.68).</w:t>
            </w:r>
          </w:p>
          <w:p w14:paraId="71FFA149" w14:textId="61DBC9E9" w:rsidR="001200E9" w:rsidRPr="0058618F" w:rsidRDefault="00015AB9" w:rsidP="00317AA8">
            <w:pPr>
              <w:pBdr>
                <w:top w:val="nil"/>
                <w:left w:val="nil"/>
                <w:bottom w:val="nil"/>
                <w:right w:val="nil"/>
                <w:between w:val="nil"/>
              </w:pBdr>
              <w:jc w:val="both"/>
              <w:rPr>
                <w:rFonts w:ascii="Arial" w:eastAsia="Arial" w:hAnsi="Arial" w:cs="Arial"/>
                <w:color w:val="000000" w:themeColor="text1"/>
              </w:rPr>
            </w:pPr>
            <w:r w:rsidRPr="0058618F">
              <w:rPr>
                <w:rFonts w:ascii="Arial" w:eastAsia="Arial" w:hAnsi="Arial" w:cs="Arial"/>
                <w:b/>
                <w:color w:val="000000" w:themeColor="text1"/>
                <w:highlight w:val="yellow"/>
              </w:rPr>
              <w:t>Conclusion:</w:t>
            </w:r>
            <w:r w:rsidRPr="0058618F">
              <w:rPr>
                <w:rFonts w:ascii="Arial" w:eastAsia="Arial" w:hAnsi="Arial" w:cs="Arial"/>
                <w:color w:val="000000" w:themeColor="text1"/>
                <w:highlight w:val="yellow"/>
              </w:rPr>
              <w:t xml:space="preserve"> </w:t>
            </w:r>
            <w:r w:rsidR="001200E9" w:rsidRPr="0058618F">
              <w:rPr>
                <w:rFonts w:ascii="Arial" w:eastAsia="Arial" w:hAnsi="Arial" w:cs="Arial"/>
                <w:color w:val="000000" w:themeColor="text1"/>
                <w:highlight w:val="yellow"/>
              </w:rPr>
              <w:t>Despite reduced overall case numbers during the pandemic, PCR-based diagnosis expanded substantially, likely reflecting improved laboratory capacity and surveillance integration post-COVID-19. The findings highlight both progress and persistent disparities in meningococcal disease reporting across Brazilian regions.</w:t>
            </w:r>
          </w:p>
        </w:tc>
      </w:tr>
    </w:tbl>
    <w:p w14:paraId="5ADC463A" w14:textId="77777777" w:rsidR="002074FB" w:rsidRPr="0058618F" w:rsidRDefault="002074FB">
      <w:pPr>
        <w:pBdr>
          <w:top w:val="nil"/>
          <w:left w:val="nil"/>
          <w:bottom w:val="nil"/>
          <w:right w:val="nil"/>
          <w:between w:val="nil"/>
        </w:pBdr>
        <w:jc w:val="both"/>
        <w:rPr>
          <w:rFonts w:ascii="Arial" w:eastAsia="Arial" w:hAnsi="Arial" w:cs="Arial"/>
          <w:i/>
          <w:color w:val="000000"/>
        </w:rPr>
      </w:pPr>
    </w:p>
    <w:p w14:paraId="7C542370" w14:textId="4BC0640C" w:rsidR="00581253" w:rsidRPr="0058618F" w:rsidRDefault="00015AB9">
      <w:pPr>
        <w:pBdr>
          <w:top w:val="nil"/>
          <w:left w:val="nil"/>
          <w:bottom w:val="nil"/>
          <w:right w:val="nil"/>
          <w:between w:val="nil"/>
        </w:pBdr>
        <w:jc w:val="both"/>
        <w:rPr>
          <w:rFonts w:ascii="Arial" w:eastAsia="Arial" w:hAnsi="Arial" w:cs="Arial"/>
          <w:i/>
        </w:rPr>
      </w:pPr>
      <w:r w:rsidRPr="0058618F">
        <w:rPr>
          <w:rFonts w:ascii="Arial" w:eastAsia="Arial" w:hAnsi="Arial" w:cs="Arial"/>
          <w:i/>
          <w:color w:val="000000"/>
        </w:rPr>
        <w:t xml:space="preserve">Keywords: </w:t>
      </w:r>
      <w:r w:rsidR="00581253" w:rsidRPr="0058618F">
        <w:rPr>
          <w:rFonts w:ascii="Arial" w:eastAsia="Arial" w:hAnsi="Arial" w:cs="Arial"/>
          <w:i/>
          <w:highlight w:val="yellow"/>
        </w:rPr>
        <w:t>Meningococcal Infections;</w:t>
      </w:r>
      <w:r w:rsidR="00E92F65" w:rsidRPr="0058618F">
        <w:rPr>
          <w:rFonts w:ascii="Arial" w:hAnsi="Arial" w:cs="Arial"/>
        </w:rPr>
        <w:t xml:space="preserve"> </w:t>
      </w:r>
      <w:r w:rsidR="00E92F65" w:rsidRPr="0058618F">
        <w:rPr>
          <w:rFonts w:ascii="Arial" w:eastAsia="Arial" w:hAnsi="Arial" w:cs="Arial"/>
          <w:i/>
          <w:highlight w:val="yellow"/>
        </w:rPr>
        <w:t>Meningitis, Meningococcal</w:t>
      </w:r>
      <w:r w:rsidR="00581253" w:rsidRPr="0058618F">
        <w:rPr>
          <w:rFonts w:ascii="Arial" w:eastAsia="Arial" w:hAnsi="Arial" w:cs="Arial"/>
          <w:i/>
          <w:highlight w:val="yellow"/>
        </w:rPr>
        <w:t xml:space="preserve">; </w:t>
      </w:r>
      <w:r w:rsidR="00E92F65" w:rsidRPr="0058618F">
        <w:rPr>
          <w:rFonts w:ascii="Arial" w:eastAsia="Arial" w:hAnsi="Arial" w:cs="Arial"/>
          <w:i/>
          <w:highlight w:val="yellow"/>
        </w:rPr>
        <w:t>Diagnostic Criteria;</w:t>
      </w:r>
      <w:r w:rsidR="00581253" w:rsidRPr="0058618F">
        <w:rPr>
          <w:rFonts w:ascii="Arial" w:eastAsia="Arial" w:hAnsi="Arial" w:cs="Arial"/>
          <w:i/>
          <w:highlight w:val="yellow"/>
        </w:rPr>
        <w:t xml:space="preserve"> Epidemiology; Public Health Surveillance.</w:t>
      </w:r>
    </w:p>
    <w:p w14:paraId="5628486B" w14:textId="77777777" w:rsidR="002074FB" w:rsidRPr="0058618F" w:rsidRDefault="002074FB">
      <w:pPr>
        <w:pBdr>
          <w:top w:val="nil"/>
          <w:left w:val="nil"/>
          <w:bottom w:val="nil"/>
          <w:right w:val="nil"/>
          <w:between w:val="nil"/>
        </w:pBdr>
        <w:jc w:val="both"/>
        <w:rPr>
          <w:rFonts w:ascii="Arial" w:eastAsia="Arial" w:hAnsi="Arial" w:cs="Arial"/>
          <w:i/>
          <w:color w:val="000000"/>
          <w:sz w:val="18"/>
          <w:szCs w:val="18"/>
        </w:rPr>
      </w:pPr>
    </w:p>
    <w:p w14:paraId="626F0EC1" w14:textId="77777777" w:rsidR="002074FB" w:rsidRPr="0058618F" w:rsidRDefault="00015AB9" w:rsidP="002A2F9B">
      <w:pPr>
        <w:keepNext/>
        <w:pBdr>
          <w:top w:val="nil"/>
          <w:left w:val="nil"/>
          <w:bottom w:val="nil"/>
          <w:right w:val="nil"/>
          <w:between w:val="nil"/>
        </w:pBdr>
        <w:jc w:val="both"/>
        <w:rPr>
          <w:rFonts w:ascii="Arial" w:eastAsia="Arial" w:hAnsi="Arial" w:cs="Arial"/>
          <w:b/>
          <w:smallCaps/>
          <w:color w:val="000000"/>
          <w:sz w:val="22"/>
          <w:szCs w:val="22"/>
        </w:rPr>
      </w:pPr>
      <w:r w:rsidRPr="0058618F">
        <w:rPr>
          <w:rFonts w:ascii="Arial" w:eastAsia="Arial" w:hAnsi="Arial" w:cs="Arial"/>
          <w:b/>
          <w:smallCaps/>
          <w:color w:val="000000"/>
          <w:sz w:val="22"/>
          <w:szCs w:val="22"/>
        </w:rPr>
        <w:lastRenderedPageBreak/>
        <w:t xml:space="preserve">1. INTRODUCTION </w:t>
      </w:r>
    </w:p>
    <w:p w14:paraId="5995F2CE" w14:textId="77777777" w:rsidR="002074FB" w:rsidRPr="0058618F" w:rsidRDefault="002074FB" w:rsidP="002A2F9B">
      <w:pPr>
        <w:keepNext/>
        <w:pBdr>
          <w:top w:val="nil"/>
          <w:left w:val="nil"/>
          <w:bottom w:val="nil"/>
          <w:right w:val="nil"/>
          <w:between w:val="nil"/>
        </w:pBdr>
        <w:jc w:val="both"/>
        <w:rPr>
          <w:rFonts w:ascii="Arial" w:eastAsia="Arial" w:hAnsi="Arial" w:cs="Arial"/>
          <w:b/>
          <w:smallCaps/>
          <w:color w:val="000000"/>
          <w:sz w:val="22"/>
          <w:szCs w:val="22"/>
        </w:rPr>
      </w:pPr>
    </w:p>
    <w:p w14:paraId="70FA88D8" w14:textId="65097948" w:rsidR="008578B7" w:rsidRPr="0058618F" w:rsidRDefault="008578B7" w:rsidP="002A2F9B">
      <w:pPr>
        <w:pBdr>
          <w:top w:val="nil"/>
          <w:left w:val="nil"/>
          <w:bottom w:val="nil"/>
          <w:right w:val="nil"/>
          <w:between w:val="nil"/>
        </w:pBdr>
        <w:ind w:firstLine="720"/>
        <w:jc w:val="both"/>
        <w:rPr>
          <w:rFonts w:ascii="Arial" w:eastAsia="Arial" w:hAnsi="Arial" w:cs="Arial"/>
          <w:color w:val="000000" w:themeColor="text1"/>
          <w:highlight w:val="yellow"/>
        </w:rPr>
      </w:pPr>
      <w:r w:rsidRPr="0058618F">
        <w:rPr>
          <w:rFonts w:ascii="Arial" w:eastAsia="Arial" w:hAnsi="Arial" w:cs="Arial"/>
          <w:color w:val="000000" w:themeColor="text1"/>
          <w:highlight w:val="yellow"/>
        </w:rPr>
        <w:t xml:space="preserve">Meningitis, an inflammation of the meninges typically of infectious origin, remains a significant global health concern due to its acute onset and substantial associated morbidity and mortality, particularly among pediatric populations. Bacterial agents represent the most severe forms of the disease, with </w:t>
      </w:r>
      <w:r w:rsidRPr="0058618F">
        <w:rPr>
          <w:rFonts w:ascii="Arial" w:eastAsia="Arial" w:hAnsi="Arial" w:cs="Arial"/>
          <w:i/>
          <w:iCs/>
          <w:color w:val="000000" w:themeColor="text1"/>
          <w:highlight w:val="yellow"/>
        </w:rPr>
        <w:t>Neisseria meningitidis</w:t>
      </w:r>
      <w:r w:rsidRPr="0058618F">
        <w:rPr>
          <w:rFonts w:ascii="Arial" w:eastAsia="Arial" w:hAnsi="Arial" w:cs="Arial"/>
          <w:color w:val="000000" w:themeColor="text1"/>
          <w:highlight w:val="yellow"/>
        </w:rPr>
        <w:t xml:space="preserve">, </w:t>
      </w:r>
      <w:r w:rsidRPr="0058618F">
        <w:rPr>
          <w:rFonts w:ascii="Arial" w:eastAsia="Arial" w:hAnsi="Arial" w:cs="Arial"/>
          <w:i/>
          <w:iCs/>
          <w:color w:val="000000" w:themeColor="text1"/>
          <w:highlight w:val="yellow"/>
        </w:rPr>
        <w:t>Streptococcus pneumoniae</w:t>
      </w:r>
      <w:r w:rsidRPr="0058618F">
        <w:rPr>
          <w:rFonts w:ascii="Arial" w:eastAsia="Arial" w:hAnsi="Arial" w:cs="Arial"/>
          <w:color w:val="000000" w:themeColor="text1"/>
          <w:highlight w:val="yellow"/>
        </w:rPr>
        <w:t xml:space="preserve">, and </w:t>
      </w:r>
      <w:proofErr w:type="spellStart"/>
      <w:r w:rsidRPr="0058618F">
        <w:rPr>
          <w:rFonts w:ascii="Arial" w:eastAsia="Arial" w:hAnsi="Arial" w:cs="Arial"/>
          <w:i/>
          <w:iCs/>
          <w:color w:val="000000" w:themeColor="text1"/>
          <w:highlight w:val="yellow"/>
        </w:rPr>
        <w:t>Haemophilus</w:t>
      </w:r>
      <w:proofErr w:type="spellEnd"/>
      <w:r w:rsidRPr="0058618F">
        <w:rPr>
          <w:rFonts w:ascii="Arial" w:eastAsia="Arial" w:hAnsi="Arial" w:cs="Arial"/>
          <w:i/>
          <w:iCs/>
          <w:color w:val="000000" w:themeColor="text1"/>
          <w:highlight w:val="yellow"/>
        </w:rPr>
        <w:t xml:space="preserve"> influenzae</w:t>
      </w:r>
      <w:r w:rsidRPr="0058618F">
        <w:rPr>
          <w:rFonts w:ascii="Arial" w:eastAsia="Arial" w:hAnsi="Arial" w:cs="Arial"/>
          <w:color w:val="000000" w:themeColor="text1"/>
          <w:highlight w:val="yellow"/>
        </w:rPr>
        <w:t xml:space="preserve"> type B accounting for the majority of meningitis-related fatalities worldwide</w:t>
      </w:r>
      <w:r w:rsidRPr="0058618F">
        <w:rPr>
          <w:rFonts w:ascii="Arial" w:eastAsia="Arial" w:hAnsi="Arial" w:cs="Arial"/>
          <w:color w:val="000000" w:themeColor="text1"/>
          <w:highlight w:val="yellow"/>
          <w:vertAlign w:val="superscript"/>
        </w:rPr>
        <w:t>1</w:t>
      </w:r>
      <w:r w:rsidRPr="0058618F">
        <w:rPr>
          <w:rFonts w:ascii="Arial" w:eastAsia="Arial" w:hAnsi="Arial" w:cs="Arial"/>
          <w:color w:val="000000" w:themeColor="text1"/>
          <w:highlight w:val="yellow"/>
        </w:rPr>
        <w:t xml:space="preserve">. </w:t>
      </w:r>
      <w:r w:rsidRPr="0058618F">
        <w:rPr>
          <w:rFonts w:ascii="Arial" w:eastAsia="Arial" w:hAnsi="Arial" w:cs="Arial"/>
          <w:i/>
          <w:iCs/>
          <w:color w:val="000000" w:themeColor="text1"/>
          <w:highlight w:val="yellow"/>
        </w:rPr>
        <w:t>Neisseria meningitidis</w:t>
      </w:r>
      <w:r w:rsidRPr="0058618F">
        <w:rPr>
          <w:rFonts w:ascii="Arial" w:eastAsia="Arial" w:hAnsi="Arial" w:cs="Arial"/>
          <w:color w:val="000000" w:themeColor="text1"/>
          <w:highlight w:val="yellow"/>
        </w:rPr>
        <w:t xml:space="preserve"> is particularly concerning due to its potential to cause meningococcemia, an invasive and rapidly progressive condition characterized by hematogenous dissemination and severe systemic inflammatory response</w:t>
      </w:r>
      <w:r w:rsidRPr="0058618F">
        <w:rPr>
          <w:rFonts w:ascii="Arial" w:eastAsia="Arial" w:hAnsi="Arial" w:cs="Arial"/>
          <w:color w:val="000000" w:themeColor="text1"/>
          <w:highlight w:val="yellow"/>
          <w:vertAlign w:val="superscript"/>
        </w:rPr>
        <w:t>2]</w:t>
      </w:r>
      <w:r w:rsidRPr="0058618F">
        <w:rPr>
          <w:rFonts w:ascii="Arial" w:eastAsia="Arial" w:hAnsi="Arial" w:cs="Arial"/>
          <w:color w:val="000000" w:themeColor="text1"/>
          <w:highlight w:val="yellow"/>
        </w:rPr>
        <w:t xml:space="preserve"> This manifestation proves especially dangerous for children under five and adolescents, demonstrating high case-fatality rates and frequent neurological sequelae</w:t>
      </w:r>
      <w:r w:rsidRPr="0058618F">
        <w:rPr>
          <w:rFonts w:ascii="Arial" w:eastAsia="Arial" w:hAnsi="Arial" w:cs="Arial"/>
          <w:color w:val="000000" w:themeColor="text1"/>
          <w:highlight w:val="yellow"/>
          <w:vertAlign w:val="superscript"/>
        </w:rPr>
        <w:t>3</w:t>
      </w:r>
      <w:r w:rsidRPr="0058618F">
        <w:rPr>
          <w:rFonts w:ascii="Arial" w:eastAsia="Arial" w:hAnsi="Arial" w:cs="Arial"/>
          <w:color w:val="000000" w:themeColor="text1"/>
          <w:highlight w:val="yellow"/>
        </w:rPr>
        <w:t>.</w:t>
      </w:r>
    </w:p>
    <w:p w14:paraId="5660B7D6" w14:textId="2647906B" w:rsidR="008578B7" w:rsidRPr="0058618F" w:rsidRDefault="008578B7" w:rsidP="002A2F9B">
      <w:pPr>
        <w:pBdr>
          <w:top w:val="nil"/>
          <w:left w:val="nil"/>
          <w:bottom w:val="nil"/>
          <w:right w:val="nil"/>
          <w:between w:val="nil"/>
        </w:pBdr>
        <w:ind w:firstLine="720"/>
        <w:jc w:val="both"/>
        <w:rPr>
          <w:rFonts w:ascii="Arial" w:eastAsia="Arial" w:hAnsi="Arial" w:cs="Arial"/>
          <w:color w:val="000000" w:themeColor="text1"/>
          <w:highlight w:val="yellow"/>
        </w:rPr>
      </w:pPr>
      <w:r w:rsidRPr="0058618F">
        <w:rPr>
          <w:rFonts w:ascii="Arial" w:eastAsia="Arial" w:hAnsi="Arial" w:cs="Arial"/>
          <w:color w:val="000000" w:themeColor="text1"/>
          <w:highlight w:val="yellow"/>
        </w:rPr>
        <w:t>The global burden of meningitis persists despite vaccination advances, with over 236,000 deaths estimated in 2019, predominantly affecting children under five</w:t>
      </w:r>
      <w:r w:rsidRPr="0058618F">
        <w:rPr>
          <w:rFonts w:ascii="Arial" w:eastAsia="Arial" w:hAnsi="Arial" w:cs="Arial"/>
          <w:color w:val="000000" w:themeColor="text1"/>
          <w:highlight w:val="yellow"/>
          <w:vertAlign w:val="superscript"/>
        </w:rPr>
        <w:t>4</w:t>
      </w:r>
      <w:r w:rsidRPr="0058618F">
        <w:rPr>
          <w:rFonts w:ascii="Arial" w:eastAsia="Arial" w:hAnsi="Arial" w:cs="Arial"/>
          <w:color w:val="000000" w:themeColor="text1"/>
          <w:highlight w:val="yellow"/>
        </w:rPr>
        <w:t>. While high-income countries have achieved substantial reductions through immunization programs, low- and middle-income regions continue to face challenges including suboptimal vaccine coverage, emerging antimicrobial resistance, and limited healthcare acces</w:t>
      </w:r>
      <w:r w:rsidRPr="0058618F">
        <w:rPr>
          <w:rFonts w:ascii="Arial" w:eastAsia="Arial" w:hAnsi="Arial" w:cs="Arial"/>
          <w:color w:val="000000" w:themeColor="text1"/>
          <w:highlight w:val="yellow"/>
          <w:vertAlign w:val="superscript"/>
        </w:rPr>
        <w:t>5,6</w:t>
      </w:r>
      <w:r w:rsidRPr="0058618F">
        <w:rPr>
          <w:rFonts w:ascii="Arial" w:eastAsia="Arial" w:hAnsi="Arial" w:cs="Arial"/>
          <w:color w:val="000000" w:themeColor="text1"/>
          <w:highlight w:val="yellow"/>
        </w:rPr>
        <w:t>. Invasive meningococcal disease exhibits both endemic and epidemic patterns, with serogroups A, B, C, W, and Y driving most outbreaks globally</w:t>
      </w:r>
      <w:r w:rsidRPr="0058618F">
        <w:rPr>
          <w:rFonts w:ascii="Arial" w:eastAsia="Arial" w:hAnsi="Arial" w:cs="Arial"/>
          <w:color w:val="000000" w:themeColor="text1"/>
          <w:highlight w:val="yellow"/>
          <w:vertAlign w:val="superscript"/>
        </w:rPr>
        <w:t>7</w:t>
      </w:r>
      <w:r w:rsidRPr="0058618F">
        <w:rPr>
          <w:rFonts w:ascii="Arial" w:eastAsia="Arial" w:hAnsi="Arial" w:cs="Arial"/>
          <w:color w:val="000000" w:themeColor="text1"/>
          <w:highlight w:val="yellow"/>
        </w:rPr>
        <w:t>.</w:t>
      </w:r>
    </w:p>
    <w:p w14:paraId="57795FD6" w14:textId="73C33C36" w:rsidR="008578B7" w:rsidRPr="0058618F" w:rsidRDefault="008578B7" w:rsidP="002A2F9B">
      <w:pPr>
        <w:pBdr>
          <w:top w:val="nil"/>
          <w:left w:val="nil"/>
          <w:bottom w:val="nil"/>
          <w:right w:val="nil"/>
          <w:between w:val="nil"/>
        </w:pBdr>
        <w:ind w:firstLine="720"/>
        <w:jc w:val="both"/>
        <w:rPr>
          <w:rFonts w:ascii="Arial" w:eastAsia="Arial" w:hAnsi="Arial" w:cs="Arial"/>
          <w:color w:val="000000" w:themeColor="text1"/>
          <w:highlight w:val="yellow"/>
        </w:rPr>
      </w:pPr>
      <w:r w:rsidRPr="0058618F">
        <w:rPr>
          <w:rFonts w:ascii="Arial" w:eastAsia="Arial" w:hAnsi="Arial" w:cs="Arial"/>
          <w:color w:val="000000" w:themeColor="text1"/>
          <w:highlight w:val="yellow"/>
        </w:rPr>
        <w:t>In Brazil, despite surveillance and immunization advances, meningococcal disease remains a public health priority requiring continuous monitoring to inform prevention and control policies. The Brazilian surveillance system relies on mandatory notification, with laboratory confirmation being essential for etiological identification and timely implementation of response measures, including vaccination campaigns, contact chemoprophylaxis, and intensified surveillance in high-risk regions</w:t>
      </w:r>
      <w:r w:rsidRPr="0058618F">
        <w:rPr>
          <w:rFonts w:ascii="Arial" w:eastAsia="Arial" w:hAnsi="Arial" w:cs="Arial"/>
          <w:color w:val="000000" w:themeColor="text1"/>
          <w:highlight w:val="yellow"/>
          <w:vertAlign w:val="superscript"/>
        </w:rPr>
        <w:t>8</w:t>
      </w:r>
      <w:r w:rsidRPr="0058618F">
        <w:rPr>
          <w:rFonts w:ascii="Arial" w:eastAsia="Arial" w:hAnsi="Arial" w:cs="Arial"/>
          <w:color w:val="000000" w:themeColor="text1"/>
          <w:highlight w:val="yellow"/>
        </w:rPr>
        <w:t>. Diagnostic approaches encompass cerebrospinal fluid analysis, culture, PCR, and increasingly, genomic sequencing—tools fundamental for both clinical management and public health actions such as genomic surveillance and antimicrobial resistance monitoring</w:t>
      </w:r>
      <w:r w:rsidRPr="0058618F">
        <w:rPr>
          <w:rFonts w:ascii="Arial" w:eastAsia="Arial" w:hAnsi="Arial" w:cs="Arial"/>
          <w:color w:val="000000" w:themeColor="text1"/>
          <w:highlight w:val="yellow"/>
          <w:vertAlign w:val="superscript"/>
        </w:rPr>
        <w:t>9,10]</w:t>
      </w:r>
      <w:r w:rsidRPr="0058618F">
        <w:rPr>
          <w:rFonts w:ascii="Arial" w:eastAsia="Arial" w:hAnsi="Arial" w:cs="Arial"/>
          <w:color w:val="000000" w:themeColor="text1"/>
          <w:highlight w:val="yellow"/>
        </w:rPr>
        <w:t xml:space="preserve"> Rapid identification remains crucial given meningococcemia's potential for fulminant progression, with death possible within hours of symptom onset.</w:t>
      </w:r>
    </w:p>
    <w:p w14:paraId="07A8B230" w14:textId="665E7F70" w:rsidR="002074FB" w:rsidRPr="0058618F" w:rsidRDefault="008578B7" w:rsidP="002A2F9B">
      <w:pPr>
        <w:pBdr>
          <w:top w:val="nil"/>
          <w:left w:val="nil"/>
          <w:bottom w:val="nil"/>
          <w:right w:val="nil"/>
          <w:between w:val="nil"/>
        </w:pBdr>
        <w:ind w:firstLine="720"/>
        <w:jc w:val="both"/>
        <w:rPr>
          <w:rFonts w:ascii="Arial" w:eastAsia="Arial" w:hAnsi="Arial" w:cs="Arial"/>
          <w:color w:val="000000" w:themeColor="text1"/>
        </w:rPr>
      </w:pPr>
      <w:r w:rsidRPr="0058618F">
        <w:rPr>
          <w:rFonts w:ascii="Arial" w:eastAsia="Arial" w:hAnsi="Arial" w:cs="Arial"/>
          <w:color w:val="000000" w:themeColor="text1"/>
          <w:highlight w:val="yellow"/>
        </w:rPr>
        <w:t>Despite this robust surveillance framework, temporal trends in pediatric meningococcemia diagnosis and epidemiology in Brazil, particularly regarding major disruptive events like the COVID-19 pandemic, remain insufficiently explored. This study aims to describe epidemiological characteristics and analyze confirmed cases of meningococcal meningitis with meningococcemia in the pediatric population (0–18 years) in Brazil between 2015 and 2024 using SINAN data. Specifically, we examine incidence trends, diagnostic method distribution, and potential case profile shifts across pre-pandemic, pandemic, and post-pandemic periods.</w:t>
      </w:r>
    </w:p>
    <w:p w14:paraId="6DC889F7" w14:textId="77777777" w:rsidR="002074FB" w:rsidRPr="0058618F" w:rsidRDefault="002074FB" w:rsidP="002A2F9B">
      <w:pPr>
        <w:pBdr>
          <w:top w:val="nil"/>
          <w:left w:val="nil"/>
          <w:bottom w:val="nil"/>
          <w:right w:val="nil"/>
          <w:between w:val="nil"/>
        </w:pBdr>
        <w:jc w:val="both"/>
        <w:rPr>
          <w:rFonts w:ascii="Arial" w:eastAsia="Arial" w:hAnsi="Arial" w:cs="Arial"/>
          <w:color w:val="000000"/>
        </w:rPr>
      </w:pPr>
    </w:p>
    <w:p w14:paraId="4161C137" w14:textId="77777777" w:rsidR="002074FB" w:rsidRPr="0058618F" w:rsidRDefault="00015AB9" w:rsidP="002A2F9B">
      <w:pPr>
        <w:keepNext/>
        <w:pBdr>
          <w:top w:val="nil"/>
          <w:left w:val="nil"/>
          <w:bottom w:val="nil"/>
          <w:right w:val="nil"/>
          <w:between w:val="nil"/>
        </w:pBdr>
        <w:jc w:val="both"/>
        <w:rPr>
          <w:rFonts w:ascii="Arial" w:eastAsia="Arial" w:hAnsi="Arial" w:cs="Arial"/>
          <w:b/>
          <w:smallCaps/>
          <w:color w:val="000000" w:themeColor="text1"/>
          <w:sz w:val="22"/>
          <w:szCs w:val="22"/>
          <w:highlight w:val="yellow"/>
        </w:rPr>
      </w:pPr>
      <w:r w:rsidRPr="0058618F">
        <w:rPr>
          <w:rFonts w:ascii="Arial" w:eastAsia="Arial" w:hAnsi="Arial" w:cs="Arial"/>
          <w:b/>
          <w:smallCaps/>
          <w:color w:val="000000" w:themeColor="text1"/>
          <w:sz w:val="22"/>
          <w:szCs w:val="22"/>
          <w:highlight w:val="yellow"/>
        </w:rPr>
        <w:t>2. material and methods</w:t>
      </w:r>
    </w:p>
    <w:p w14:paraId="0B48FEED" w14:textId="77777777" w:rsidR="00AD4F34" w:rsidRPr="0058618F" w:rsidRDefault="00AD4F34" w:rsidP="002A2F9B">
      <w:pPr>
        <w:jc w:val="both"/>
        <w:rPr>
          <w:rFonts w:ascii="Arial" w:eastAsia="Arial" w:hAnsi="Arial" w:cs="Arial"/>
          <w:b/>
          <w:bCs/>
          <w:color w:val="000000" w:themeColor="text1"/>
          <w:highlight w:val="yellow"/>
        </w:rPr>
      </w:pPr>
    </w:p>
    <w:p w14:paraId="3EA61638" w14:textId="15B2E6B2" w:rsidR="003560D4" w:rsidRPr="0058618F" w:rsidRDefault="00472DB2" w:rsidP="002A2F9B">
      <w:pPr>
        <w:jc w:val="both"/>
        <w:rPr>
          <w:rFonts w:ascii="Arial" w:eastAsia="Arial" w:hAnsi="Arial" w:cs="Arial"/>
          <w:b/>
          <w:bCs/>
          <w:color w:val="000000" w:themeColor="text1"/>
          <w:highlight w:val="yellow"/>
        </w:rPr>
      </w:pPr>
      <w:r w:rsidRPr="0058618F">
        <w:rPr>
          <w:rFonts w:ascii="Arial" w:eastAsia="Arial" w:hAnsi="Arial" w:cs="Arial"/>
          <w:b/>
          <w:bCs/>
          <w:color w:val="000000" w:themeColor="text1"/>
          <w:highlight w:val="yellow"/>
        </w:rPr>
        <w:t>Study Design and Data Source</w:t>
      </w:r>
    </w:p>
    <w:p w14:paraId="38C50928" w14:textId="68F94A59" w:rsidR="00865650" w:rsidRPr="0058618F" w:rsidRDefault="00865650" w:rsidP="002A2F9B">
      <w:pPr>
        <w:ind w:firstLine="720"/>
        <w:jc w:val="both"/>
        <w:rPr>
          <w:rFonts w:ascii="Arial" w:eastAsia="Arial" w:hAnsi="Arial" w:cs="Arial"/>
          <w:color w:val="000000" w:themeColor="text1"/>
          <w:highlight w:val="yellow"/>
        </w:rPr>
      </w:pPr>
      <w:r w:rsidRPr="0058618F">
        <w:rPr>
          <w:rFonts w:ascii="Arial" w:eastAsia="Arial" w:hAnsi="Arial" w:cs="Arial"/>
          <w:color w:val="000000" w:themeColor="text1"/>
          <w:highlight w:val="yellow"/>
        </w:rPr>
        <w:t xml:space="preserve">We conducted an observational, </w:t>
      </w:r>
      <w:r w:rsidR="003560D4" w:rsidRPr="0058618F">
        <w:rPr>
          <w:rFonts w:ascii="Arial" w:eastAsia="Arial" w:hAnsi="Arial" w:cs="Arial"/>
          <w:color w:val="000000" w:themeColor="text1"/>
          <w:highlight w:val="yellow"/>
        </w:rPr>
        <w:t xml:space="preserve">retrospective, </w:t>
      </w:r>
      <w:r w:rsidRPr="0058618F">
        <w:rPr>
          <w:rFonts w:ascii="Arial" w:eastAsia="Arial" w:hAnsi="Arial" w:cs="Arial"/>
          <w:color w:val="000000" w:themeColor="text1"/>
          <w:highlight w:val="yellow"/>
        </w:rPr>
        <w:t>cross-sectional study using individual-level microdata from the Brazilian Notifiable Diseases Information System (SINAN)</w:t>
      </w:r>
      <w:r w:rsidR="003560D4" w:rsidRPr="0058618F">
        <w:rPr>
          <w:rFonts w:ascii="Arial" w:eastAsia="Arial" w:hAnsi="Arial" w:cs="Arial"/>
          <w:color w:val="000000" w:themeColor="text1"/>
          <w:highlight w:val="yellow"/>
        </w:rPr>
        <w:t xml:space="preserve">, that compiles national surveillance data from all federative units and is maintained by the Brazilian Ministry of Health, covering </w:t>
      </w:r>
      <w:r w:rsidRPr="0058618F">
        <w:rPr>
          <w:rFonts w:ascii="Arial" w:eastAsia="Arial" w:hAnsi="Arial" w:cs="Arial"/>
          <w:color w:val="000000" w:themeColor="text1"/>
          <w:highlight w:val="yellow"/>
        </w:rPr>
        <w:t xml:space="preserve">meningococcal meningitis with meningococcemia (ICD-10 A39.2) </w:t>
      </w:r>
      <w:r w:rsidR="003560D4" w:rsidRPr="0058618F">
        <w:rPr>
          <w:rFonts w:ascii="Arial" w:eastAsia="Arial" w:hAnsi="Arial" w:cs="Arial"/>
          <w:color w:val="000000" w:themeColor="text1"/>
          <w:highlight w:val="yellow"/>
        </w:rPr>
        <w:t xml:space="preserve">notified </w:t>
      </w:r>
      <w:r w:rsidRPr="0058618F">
        <w:rPr>
          <w:rFonts w:ascii="Arial" w:eastAsia="Arial" w:hAnsi="Arial" w:cs="Arial"/>
          <w:color w:val="000000" w:themeColor="text1"/>
          <w:highlight w:val="yellow"/>
        </w:rPr>
        <w:t>between 1 January 2015 and 31 May 2024. The study population included individuals aged 0–18 years from all Brazilian federal units.</w:t>
      </w:r>
    </w:p>
    <w:p w14:paraId="2CAA3052" w14:textId="77777777" w:rsidR="003560D4" w:rsidRPr="0058618F" w:rsidRDefault="003560D4" w:rsidP="002A2F9B">
      <w:pPr>
        <w:jc w:val="both"/>
        <w:rPr>
          <w:rFonts w:ascii="Arial" w:eastAsia="Arial" w:hAnsi="Arial" w:cs="Arial"/>
          <w:color w:val="000000" w:themeColor="text1"/>
          <w:highlight w:val="yellow"/>
        </w:rPr>
      </w:pPr>
    </w:p>
    <w:p w14:paraId="70744A94" w14:textId="77777777" w:rsidR="003560D4" w:rsidRPr="0058618F" w:rsidRDefault="003560D4" w:rsidP="002A2F9B">
      <w:pPr>
        <w:jc w:val="both"/>
        <w:rPr>
          <w:rFonts w:ascii="Arial" w:eastAsia="Arial" w:hAnsi="Arial" w:cs="Arial"/>
          <w:b/>
          <w:bCs/>
          <w:color w:val="000000" w:themeColor="text1"/>
          <w:highlight w:val="yellow"/>
        </w:rPr>
      </w:pPr>
      <w:r w:rsidRPr="0058618F">
        <w:rPr>
          <w:rFonts w:ascii="Arial" w:eastAsia="Arial" w:hAnsi="Arial" w:cs="Arial"/>
          <w:b/>
          <w:bCs/>
          <w:color w:val="000000" w:themeColor="text1"/>
          <w:highlight w:val="yellow"/>
        </w:rPr>
        <w:t>Variables and Period Categorization</w:t>
      </w:r>
    </w:p>
    <w:p w14:paraId="7A27AF33" w14:textId="78F71913" w:rsidR="003560D4" w:rsidRPr="0058618F" w:rsidRDefault="003560D4" w:rsidP="002A2F9B">
      <w:pPr>
        <w:ind w:firstLine="720"/>
        <w:jc w:val="both"/>
        <w:rPr>
          <w:rFonts w:ascii="Arial" w:eastAsia="Arial" w:hAnsi="Arial" w:cs="Arial"/>
          <w:color w:val="000000" w:themeColor="text1"/>
          <w:highlight w:val="yellow"/>
        </w:rPr>
      </w:pPr>
      <w:r w:rsidRPr="0058618F">
        <w:rPr>
          <w:rFonts w:ascii="Arial" w:eastAsia="Arial" w:hAnsi="Arial" w:cs="Arial"/>
          <w:color w:val="000000" w:themeColor="text1"/>
          <w:highlight w:val="yellow"/>
        </w:rPr>
        <w:t>Extracted variables included year of notification, age group, sex, diagnostic method (PCR, culture, clinical criteria, or other), and pandemic period. To capture the temporal impact of the COVID-19 pandemic on meningococcal surveillance and diagnostic practices, we categorized the study timeline into three distinct periods: Pre-pandemic (2015–2019), that representing baseline trends before SARS-CoV-2 circulation; Peri-pandemic (2020–2022), encompassing years of disrupted healthcare access and altered disease reporting; Post-pandemic (2023–2024), corresponding to the recovery phase of health systems and normalization of surveillance routines. This classification was chosen based on temporal markers consistent with national COVID-19 epidemiological phases and World Health Organization (WHO) reporting standards.</w:t>
      </w:r>
    </w:p>
    <w:p w14:paraId="49A663BC" w14:textId="77777777" w:rsidR="003560D4" w:rsidRPr="0058618F" w:rsidRDefault="003560D4" w:rsidP="002A2F9B">
      <w:pPr>
        <w:jc w:val="both"/>
        <w:rPr>
          <w:rFonts w:ascii="Arial" w:eastAsia="Arial" w:hAnsi="Arial" w:cs="Arial"/>
          <w:color w:val="000000" w:themeColor="text1"/>
          <w:highlight w:val="yellow"/>
        </w:rPr>
      </w:pPr>
    </w:p>
    <w:p w14:paraId="2D2AB377" w14:textId="77777777" w:rsidR="007318AF" w:rsidRPr="0058618F" w:rsidRDefault="00472DB2" w:rsidP="002A2F9B">
      <w:pPr>
        <w:jc w:val="both"/>
        <w:rPr>
          <w:rFonts w:ascii="Arial" w:eastAsia="Arial" w:hAnsi="Arial" w:cs="Arial"/>
          <w:b/>
          <w:bCs/>
          <w:color w:val="000000" w:themeColor="text1"/>
          <w:highlight w:val="yellow"/>
        </w:rPr>
      </w:pPr>
      <w:r w:rsidRPr="0058618F">
        <w:rPr>
          <w:rFonts w:ascii="Arial" w:eastAsia="Arial" w:hAnsi="Arial" w:cs="Arial"/>
          <w:b/>
          <w:bCs/>
          <w:color w:val="000000" w:themeColor="text1"/>
          <w:highlight w:val="yellow"/>
        </w:rPr>
        <w:t xml:space="preserve">Statistical Analysis and Data Handling: </w:t>
      </w:r>
    </w:p>
    <w:p w14:paraId="1E20AEB0" w14:textId="5FE9C6D2" w:rsidR="007318AF" w:rsidRPr="0058618F" w:rsidRDefault="007318AF" w:rsidP="002A2F9B">
      <w:pPr>
        <w:keepNext/>
        <w:pBdr>
          <w:top w:val="nil"/>
          <w:left w:val="nil"/>
          <w:bottom w:val="nil"/>
          <w:right w:val="nil"/>
          <w:between w:val="nil"/>
        </w:pBdr>
        <w:ind w:firstLine="720"/>
        <w:jc w:val="both"/>
        <w:rPr>
          <w:rFonts w:ascii="Arial" w:eastAsia="Arial" w:hAnsi="Arial" w:cs="Arial"/>
          <w:color w:val="000000" w:themeColor="text1"/>
          <w:highlight w:val="yellow"/>
        </w:rPr>
      </w:pPr>
      <w:r w:rsidRPr="0058618F">
        <w:rPr>
          <w:rFonts w:ascii="Arial" w:eastAsia="Arial" w:hAnsi="Arial" w:cs="Arial"/>
          <w:color w:val="000000" w:themeColor="text1"/>
          <w:highlight w:val="yellow"/>
        </w:rPr>
        <w:t xml:space="preserve">Descriptive statistics summarized frequencies and proportions of cases by year, age group, and diagnostic method. </w:t>
      </w:r>
      <w:r w:rsidRPr="0058618F">
        <w:rPr>
          <w:rFonts w:ascii="Arial" w:hAnsi="Arial" w:cs="Arial"/>
          <w:color w:val="000000" w:themeColor="text1"/>
          <w:highlight w:val="yellow"/>
        </w:rPr>
        <w:t xml:space="preserve">The </w:t>
      </w:r>
      <w:r w:rsidRPr="0058618F">
        <w:rPr>
          <w:rStyle w:val="Strong"/>
          <w:rFonts w:ascii="Arial" w:hAnsi="Arial" w:cs="Arial"/>
          <w:b w:val="0"/>
          <w:bCs w:val="0"/>
          <w:color w:val="000000" w:themeColor="text1"/>
          <w:highlight w:val="yellow"/>
        </w:rPr>
        <w:t>Chi-square test</w:t>
      </w:r>
      <w:r w:rsidRPr="0058618F">
        <w:rPr>
          <w:rFonts w:ascii="Arial" w:hAnsi="Arial" w:cs="Arial"/>
          <w:color w:val="000000" w:themeColor="text1"/>
          <w:highlight w:val="yellow"/>
        </w:rPr>
        <w:t xml:space="preserve"> assessed differences between categorical variables, </w:t>
      </w:r>
      <w:r w:rsidRPr="0058618F">
        <w:rPr>
          <w:rFonts w:ascii="Arial" w:hAnsi="Arial" w:cs="Arial"/>
          <w:b/>
          <w:bCs/>
          <w:color w:val="000000" w:themeColor="text1"/>
          <w:highlight w:val="yellow"/>
        </w:rPr>
        <w:t xml:space="preserve">and </w:t>
      </w:r>
      <w:r w:rsidRPr="0058618F">
        <w:rPr>
          <w:rStyle w:val="Strong"/>
          <w:rFonts w:ascii="Arial" w:hAnsi="Arial" w:cs="Arial"/>
          <w:b w:val="0"/>
          <w:bCs w:val="0"/>
          <w:color w:val="000000" w:themeColor="text1"/>
          <w:highlight w:val="yellow"/>
        </w:rPr>
        <w:t>binary logistic regression</w:t>
      </w:r>
      <w:r w:rsidRPr="0058618F">
        <w:rPr>
          <w:rFonts w:ascii="Arial" w:hAnsi="Arial" w:cs="Arial"/>
          <w:color w:val="000000" w:themeColor="text1"/>
          <w:highlight w:val="yellow"/>
        </w:rPr>
        <w:t xml:space="preserve"> was used to </w:t>
      </w:r>
      <w:r w:rsidRPr="0058618F">
        <w:rPr>
          <w:rFonts w:ascii="Arial" w:hAnsi="Arial" w:cs="Arial"/>
          <w:color w:val="000000" w:themeColor="text1"/>
          <w:highlight w:val="yellow"/>
        </w:rPr>
        <w:lastRenderedPageBreak/>
        <w:t>estimate adjusted odds ratios (OR) and 95% confidence intervals (CI) for PCR diagnosis according to the epidemiological period. All analyses were conducted using R (version 4.2.3) with a 5% significance level.</w:t>
      </w:r>
    </w:p>
    <w:p w14:paraId="7C1EE5F4" w14:textId="1E677724" w:rsidR="007318AF" w:rsidRPr="0058618F" w:rsidRDefault="007318AF" w:rsidP="002A2F9B">
      <w:pPr>
        <w:keepNext/>
        <w:pBdr>
          <w:top w:val="nil"/>
          <w:left w:val="nil"/>
          <w:bottom w:val="nil"/>
          <w:right w:val="nil"/>
          <w:between w:val="nil"/>
        </w:pBdr>
        <w:ind w:firstLine="720"/>
        <w:jc w:val="both"/>
        <w:rPr>
          <w:rFonts w:ascii="Arial" w:eastAsia="Arial" w:hAnsi="Arial" w:cs="Arial"/>
          <w:bCs/>
          <w:smallCaps/>
          <w:color w:val="000000" w:themeColor="text1"/>
          <w:sz w:val="22"/>
          <w:szCs w:val="22"/>
        </w:rPr>
      </w:pPr>
      <w:r w:rsidRPr="0058618F">
        <w:rPr>
          <w:rFonts w:ascii="Arial" w:hAnsi="Arial" w:cs="Arial"/>
          <w:color w:val="000000" w:themeColor="text1"/>
          <w:highlight w:val="yellow"/>
        </w:rPr>
        <w:t xml:space="preserve">All data were reviewed for completeness and consistency before analysis. Records with missing diagnostic method or outcome were </w:t>
      </w:r>
      <w:r w:rsidRPr="0058618F">
        <w:rPr>
          <w:rStyle w:val="Strong"/>
          <w:rFonts w:ascii="Arial" w:hAnsi="Arial" w:cs="Arial"/>
          <w:b w:val="0"/>
          <w:bCs w:val="0"/>
          <w:color w:val="000000" w:themeColor="text1"/>
          <w:highlight w:val="yellow"/>
        </w:rPr>
        <w:t>excluded</w:t>
      </w:r>
      <w:r w:rsidRPr="0058618F">
        <w:rPr>
          <w:rFonts w:ascii="Arial" w:hAnsi="Arial" w:cs="Arial"/>
          <w:color w:val="000000" w:themeColor="text1"/>
          <w:highlight w:val="yellow"/>
        </w:rPr>
        <w:t xml:space="preserve"> (“listwise deletion”), as imputation was deemed inappropriate for surveillance data. This decision was justified to preserve data validity and avoid bias in regression modeling.</w:t>
      </w:r>
      <w:r w:rsidRPr="0058618F">
        <w:rPr>
          <w:rFonts w:ascii="Arial" w:hAnsi="Arial" w:cs="Arial"/>
          <w:color w:val="000000" w:themeColor="text1"/>
        </w:rPr>
        <w:t xml:space="preserve"> </w:t>
      </w:r>
    </w:p>
    <w:p w14:paraId="5E7DFFAA" w14:textId="77777777" w:rsidR="007318AF" w:rsidRPr="0058618F" w:rsidRDefault="007318AF" w:rsidP="002A2F9B">
      <w:pPr>
        <w:keepNext/>
        <w:pBdr>
          <w:top w:val="nil"/>
          <w:left w:val="nil"/>
          <w:bottom w:val="nil"/>
          <w:right w:val="nil"/>
          <w:between w:val="nil"/>
        </w:pBdr>
        <w:jc w:val="both"/>
        <w:rPr>
          <w:rFonts w:ascii="Arial" w:eastAsia="Arial" w:hAnsi="Arial" w:cs="Arial"/>
          <w:bCs/>
          <w:smallCaps/>
          <w:color w:val="4F81BD" w:themeColor="accent1"/>
          <w:sz w:val="22"/>
          <w:szCs w:val="22"/>
        </w:rPr>
      </w:pPr>
    </w:p>
    <w:p w14:paraId="7323ECC5" w14:textId="77777777" w:rsidR="007318AF" w:rsidRPr="0058618F" w:rsidRDefault="007318AF" w:rsidP="002A2F9B">
      <w:pPr>
        <w:keepNext/>
        <w:pBdr>
          <w:top w:val="nil"/>
          <w:left w:val="nil"/>
          <w:bottom w:val="nil"/>
          <w:right w:val="nil"/>
          <w:between w:val="nil"/>
        </w:pBdr>
        <w:jc w:val="both"/>
        <w:rPr>
          <w:rFonts w:ascii="Arial" w:eastAsia="Arial" w:hAnsi="Arial" w:cs="Arial"/>
          <w:b/>
          <w:smallCaps/>
          <w:color w:val="FF0000"/>
          <w:sz w:val="22"/>
          <w:szCs w:val="22"/>
        </w:rPr>
      </w:pPr>
    </w:p>
    <w:p w14:paraId="49411468" w14:textId="4868AF8F" w:rsidR="002074FB" w:rsidRPr="0058618F" w:rsidRDefault="00015AB9" w:rsidP="002A2F9B">
      <w:pPr>
        <w:keepNext/>
        <w:pBdr>
          <w:top w:val="nil"/>
          <w:left w:val="nil"/>
          <w:bottom w:val="nil"/>
          <w:right w:val="nil"/>
          <w:between w:val="nil"/>
        </w:pBdr>
        <w:jc w:val="both"/>
        <w:rPr>
          <w:rFonts w:ascii="Arial" w:eastAsia="Arial" w:hAnsi="Arial" w:cs="Arial"/>
          <w:b/>
          <w:smallCaps/>
          <w:color w:val="000000"/>
          <w:sz w:val="22"/>
          <w:szCs w:val="22"/>
        </w:rPr>
      </w:pPr>
      <w:r w:rsidRPr="0058618F">
        <w:rPr>
          <w:rFonts w:ascii="Arial" w:eastAsia="Arial" w:hAnsi="Arial" w:cs="Arial"/>
          <w:b/>
          <w:smallCaps/>
          <w:color w:val="000000"/>
          <w:sz w:val="22"/>
          <w:szCs w:val="22"/>
        </w:rPr>
        <w:t>3. results and discussion</w:t>
      </w:r>
    </w:p>
    <w:p w14:paraId="4F252076" w14:textId="3BC59B87" w:rsidR="00E16C01" w:rsidRPr="00E16C01" w:rsidRDefault="00E16C01" w:rsidP="002A2F9B">
      <w:pPr>
        <w:spacing w:before="120"/>
        <w:jc w:val="both"/>
        <w:rPr>
          <w:rFonts w:ascii="Arial" w:eastAsia="Arial" w:hAnsi="Arial" w:cs="Arial"/>
          <w:b/>
          <w:bCs/>
          <w:color w:val="000000" w:themeColor="text1"/>
        </w:rPr>
      </w:pPr>
      <w:r w:rsidRPr="00E16C01">
        <w:rPr>
          <w:rFonts w:ascii="Arial" w:eastAsia="Arial" w:hAnsi="Arial" w:cs="Arial"/>
          <w:b/>
          <w:bCs/>
          <w:color w:val="000000" w:themeColor="text1"/>
        </w:rPr>
        <w:t>Results</w:t>
      </w:r>
    </w:p>
    <w:p w14:paraId="493278B5" w14:textId="5714AC5C" w:rsidR="00525BDE" w:rsidRPr="0058618F" w:rsidRDefault="0058618F" w:rsidP="002A2F9B">
      <w:pPr>
        <w:spacing w:before="120"/>
        <w:ind w:firstLine="720"/>
        <w:jc w:val="both"/>
        <w:rPr>
          <w:rFonts w:ascii="Arial" w:eastAsia="Arial" w:hAnsi="Arial" w:cs="Arial"/>
          <w:color w:val="000000" w:themeColor="text1"/>
        </w:rPr>
      </w:pPr>
      <w:r w:rsidRPr="0058618F">
        <w:rPr>
          <w:rFonts w:ascii="Arial" w:eastAsia="Arial" w:hAnsi="Arial" w:cs="Arial"/>
          <w:color w:val="000000" w:themeColor="text1"/>
          <w:highlight w:val="yellow"/>
        </w:rPr>
        <w:t xml:space="preserve">Analysis of 1,186 confirmed cases revealed notable temporal variation (Figure 1). Case numbers declined steadily from 228 in 2015 to 162 in 2019, followed by a sharp drop to 32 in 2020, coinciding with the onset of the COVID-19 pandemic. Notifications remained low in 2021 (35 cases), then gradually rose in 2022 (61 cases), reaching 93 in 2023. By May 2024, 39 additional cases had been recorded. Overall, reported cases during the pandemic years (2020–2022; n=67) were markedly lower than in the pre-pandemic period (2015–2019; n=917), with partial recovery observed in the post-pandemic phase (2023–2024; n=202). </w:t>
      </w:r>
      <w:r w:rsidR="00525BDE" w:rsidRPr="0058618F">
        <w:rPr>
          <w:rFonts w:ascii="Arial" w:eastAsia="Arial" w:hAnsi="Arial" w:cs="Arial"/>
          <w:color w:val="000000" w:themeColor="text1"/>
          <w:highlight w:val="yellow"/>
        </w:rPr>
        <w:t>(Figure 1)</w:t>
      </w:r>
      <w:r w:rsidR="00525BDE" w:rsidRPr="0058618F">
        <w:rPr>
          <w:rFonts w:ascii="Arial" w:hAnsi="Arial" w:cs="Arial"/>
          <w:color w:val="000000" w:themeColor="text1"/>
          <w:highlight w:val="yellow"/>
        </w:rPr>
        <w:t>.</w:t>
      </w:r>
    </w:p>
    <w:p w14:paraId="41B9A065" w14:textId="77777777" w:rsidR="002074FB" w:rsidRPr="0058618F" w:rsidRDefault="002074FB" w:rsidP="002A2F9B">
      <w:pPr>
        <w:spacing w:before="120" w:after="120"/>
        <w:jc w:val="both"/>
        <w:rPr>
          <w:rFonts w:ascii="Arial" w:eastAsia="Arial" w:hAnsi="Arial" w:cs="Arial"/>
          <w:b/>
        </w:rPr>
      </w:pPr>
    </w:p>
    <w:p w14:paraId="094B0D40" w14:textId="36E818F7" w:rsidR="002074FB" w:rsidRPr="0058618F" w:rsidRDefault="007318AF" w:rsidP="002A2F9B">
      <w:pPr>
        <w:spacing w:before="120" w:after="120"/>
        <w:jc w:val="center"/>
        <w:rPr>
          <w:rFonts w:ascii="Arial" w:eastAsia="Arial" w:hAnsi="Arial" w:cs="Arial"/>
        </w:rPr>
      </w:pPr>
      <w:r w:rsidRPr="0058618F">
        <w:rPr>
          <w:rFonts w:ascii="Arial" w:eastAsia="Arial" w:hAnsi="Arial" w:cs="Arial"/>
          <w:noProof/>
        </w:rPr>
        <w:drawing>
          <wp:inline distT="0" distB="0" distL="0" distR="0" wp14:anchorId="01128A7C" wp14:editId="0E265EE1">
            <wp:extent cx="6079262" cy="4118137"/>
            <wp:effectExtent l="0" t="0" r="4445" b="0"/>
            <wp:docPr id="7" name="image3.png"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7" name="image3.png" descr="Gráfico, Gráfico de barras&#10;&#10;O conteúdo gerado por IA pode estar incorreto."/>
                    <pic:cNvPicPr preferRelativeResize="0"/>
                  </pic:nvPicPr>
                  <pic:blipFill>
                    <a:blip r:embed="rId20"/>
                    <a:srcRect/>
                    <a:stretch>
                      <a:fillRect/>
                    </a:stretch>
                  </pic:blipFill>
                  <pic:spPr>
                    <a:xfrm>
                      <a:off x="0" y="0"/>
                      <a:ext cx="6134450" cy="4155522"/>
                    </a:xfrm>
                    <a:prstGeom prst="rect">
                      <a:avLst/>
                    </a:prstGeom>
                    <a:ln/>
                  </pic:spPr>
                </pic:pic>
              </a:graphicData>
            </a:graphic>
          </wp:inline>
        </w:drawing>
      </w:r>
    </w:p>
    <w:p w14:paraId="1F47F976" w14:textId="77777777" w:rsidR="002074FB" w:rsidRPr="0058618F" w:rsidRDefault="00015AB9" w:rsidP="002A2F9B">
      <w:pPr>
        <w:spacing w:before="120" w:after="120"/>
        <w:ind w:left="284" w:right="284"/>
        <w:jc w:val="center"/>
        <w:rPr>
          <w:rFonts w:ascii="Arial" w:eastAsia="Arial" w:hAnsi="Arial" w:cs="Arial"/>
        </w:rPr>
      </w:pPr>
      <w:r w:rsidRPr="0058618F">
        <w:rPr>
          <w:rFonts w:ascii="Arial" w:eastAsia="Arial" w:hAnsi="Arial" w:cs="Arial"/>
        </w:rPr>
        <w:t>Figure 1. Yearly distribution of confirmed meningococcal meningitis with meningococcemia cases in individuals aged 0–18 years in Brazil.</w:t>
      </w:r>
    </w:p>
    <w:p w14:paraId="2739F9F6" w14:textId="77777777" w:rsidR="002074FB" w:rsidRPr="0058618F" w:rsidRDefault="002074FB" w:rsidP="002A2F9B">
      <w:pPr>
        <w:spacing w:before="120" w:after="120"/>
        <w:jc w:val="center"/>
        <w:rPr>
          <w:rFonts w:ascii="Arial" w:eastAsia="Arial" w:hAnsi="Arial" w:cs="Arial"/>
        </w:rPr>
      </w:pPr>
    </w:p>
    <w:p w14:paraId="72456662" w14:textId="7A03801F" w:rsidR="005429B4" w:rsidRDefault="00AA530B" w:rsidP="002A2F9B">
      <w:pPr>
        <w:spacing w:before="120" w:after="120"/>
        <w:ind w:firstLine="720"/>
        <w:jc w:val="both"/>
        <w:rPr>
          <w:rFonts w:ascii="Arial" w:eastAsia="Arial" w:hAnsi="Arial" w:cs="Arial"/>
          <w:color w:val="000000" w:themeColor="text1"/>
        </w:rPr>
      </w:pPr>
      <w:r w:rsidRPr="0058618F">
        <w:rPr>
          <w:rFonts w:ascii="Arial" w:eastAsia="Arial" w:hAnsi="Arial" w:cs="Arial"/>
          <w:color w:val="000000" w:themeColor="text1"/>
          <w:highlight w:val="yellow"/>
        </w:rPr>
        <w:t>Significant variation in diagnostic approaches occurred across periods (χ²=61.38; p&lt;0.0001; Cramer's V=0.15).</w:t>
      </w:r>
      <w:r w:rsidR="005429B4" w:rsidRPr="0058618F">
        <w:rPr>
          <w:rFonts w:ascii="Arial" w:eastAsia="Arial" w:hAnsi="Arial" w:cs="Arial"/>
          <w:color w:val="000000" w:themeColor="text1"/>
          <w:highlight w:val="yellow"/>
        </w:rPr>
        <w:t xml:space="preserve"> The overall proportion of cases confirmed by PCR increased steadily across the three periods. </w:t>
      </w:r>
      <w:r w:rsidRPr="0058618F">
        <w:rPr>
          <w:rFonts w:ascii="Arial" w:eastAsia="Arial" w:hAnsi="Arial" w:cs="Arial"/>
          <w:color w:val="000000" w:themeColor="text1"/>
          <w:highlight w:val="yellow"/>
        </w:rPr>
        <w:t>In the pre-pandemic period (n=917), clinical criteria constituted the most frequent diagnostic method (3</w:t>
      </w:r>
      <w:r w:rsidR="005429B4" w:rsidRPr="0058618F">
        <w:rPr>
          <w:rFonts w:ascii="Arial" w:eastAsia="Arial" w:hAnsi="Arial" w:cs="Arial"/>
          <w:color w:val="000000" w:themeColor="text1"/>
          <w:highlight w:val="yellow"/>
        </w:rPr>
        <w:t>5.6</w:t>
      </w:r>
      <w:r w:rsidRPr="0058618F">
        <w:rPr>
          <w:rFonts w:ascii="Arial" w:eastAsia="Arial" w:hAnsi="Arial" w:cs="Arial"/>
          <w:color w:val="000000" w:themeColor="text1"/>
          <w:highlight w:val="yellow"/>
        </w:rPr>
        <w:t>%), followed by culture (25.0%) and PCR (22.1%). During the pandemic (n=128), clinical criteria increased to 50.0% while culture decreased substantially to 11.7%. PCR remained relatively stable (14.8%). In the post-pandemic period (n=131), PCR became predominant (69.5%), while clinical criteria decreased to 17.0% and culture represented only 7.6% (Figure 2).</w:t>
      </w:r>
    </w:p>
    <w:p w14:paraId="3BF5B274" w14:textId="0333A66B" w:rsidR="002074FB" w:rsidRPr="0058618F" w:rsidRDefault="00AA530B" w:rsidP="002A2F9B">
      <w:pPr>
        <w:spacing w:before="120" w:after="120"/>
        <w:jc w:val="center"/>
        <w:rPr>
          <w:rFonts w:ascii="Arial" w:eastAsia="Arial" w:hAnsi="Arial" w:cs="Arial"/>
        </w:rPr>
      </w:pPr>
      <w:r w:rsidRPr="0058618F">
        <w:rPr>
          <w:rFonts w:ascii="Arial" w:eastAsia="Arial" w:hAnsi="Arial" w:cs="Arial"/>
          <w:noProof/>
        </w:rPr>
        <w:lastRenderedPageBreak/>
        <w:drawing>
          <wp:inline distT="0" distB="0" distL="0" distR="0" wp14:anchorId="6F8415F5" wp14:editId="52BEA7D6">
            <wp:extent cx="5283483" cy="5633238"/>
            <wp:effectExtent l="0" t="0" r="0" b="5715"/>
            <wp:docPr id="8" name="image1.png"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8" name="image1.png" descr="Gráfico, Gráfico de barras&#10;&#10;O conteúdo gerado por IA pode estar incorreto."/>
                    <pic:cNvPicPr preferRelativeResize="0"/>
                  </pic:nvPicPr>
                  <pic:blipFill>
                    <a:blip r:embed="rId21"/>
                    <a:srcRect/>
                    <a:stretch>
                      <a:fillRect/>
                    </a:stretch>
                  </pic:blipFill>
                  <pic:spPr>
                    <a:xfrm>
                      <a:off x="0" y="0"/>
                      <a:ext cx="5326739" cy="5679358"/>
                    </a:xfrm>
                    <a:prstGeom prst="rect">
                      <a:avLst/>
                    </a:prstGeom>
                    <a:ln/>
                  </pic:spPr>
                </pic:pic>
              </a:graphicData>
            </a:graphic>
          </wp:inline>
        </w:drawing>
      </w:r>
    </w:p>
    <w:p w14:paraId="5BCBEE12" w14:textId="77777777" w:rsidR="002074FB" w:rsidRPr="0058618F" w:rsidRDefault="00015AB9" w:rsidP="002A2F9B">
      <w:pPr>
        <w:spacing w:before="120" w:after="120"/>
        <w:ind w:left="284" w:right="284"/>
        <w:jc w:val="center"/>
        <w:rPr>
          <w:rFonts w:ascii="Arial" w:eastAsia="Arial" w:hAnsi="Arial" w:cs="Arial"/>
        </w:rPr>
      </w:pPr>
      <w:r w:rsidRPr="0058618F">
        <w:rPr>
          <w:rFonts w:ascii="Arial" w:eastAsia="Arial" w:hAnsi="Arial" w:cs="Arial"/>
        </w:rPr>
        <w:t>Figure 2. Yearly distribution of diagnostic criteria among confirmed meningococcal meningitis with meningococcemia cases in individuals aged 0–18 years in Brazil, January 2015–May 2024.</w:t>
      </w:r>
    </w:p>
    <w:p w14:paraId="397911E4" w14:textId="77777777" w:rsidR="002074FB" w:rsidRPr="0058618F" w:rsidRDefault="002074FB" w:rsidP="002A2F9B">
      <w:pPr>
        <w:spacing w:before="120" w:after="120"/>
        <w:jc w:val="both"/>
        <w:rPr>
          <w:rFonts w:ascii="Arial" w:eastAsia="Arial" w:hAnsi="Arial" w:cs="Arial"/>
        </w:rPr>
      </w:pPr>
    </w:p>
    <w:p w14:paraId="74B01A23" w14:textId="77777777" w:rsidR="002074FB" w:rsidRPr="0058618F" w:rsidRDefault="00015AB9" w:rsidP="002A2F9B">
      <w:pPr>
        <w:jc w:val="both"/>
        <w:rPr>
          <w:rFonts w:ascii="Arial" w:eastAsia="Arial" w:hAnsi="Arial" w:cs="Arial"/>
          <w:b/>
        </w:rPr>
      </w:pPr>
      <w:r w:rsidRPr="0058618F">
        <w:rPr>
          <w:rFonts w:ascii="Arial" w:eastAsia="Arial" w:hAnsi="Arial" w:cs="Arial"/>
          <w:b/>
        </w:rPr>
        <w:t>Discussion</w:t>
      </w:r>
    </w:p>
    <w:p w14:paraId="443E1D34" w14:textId="77777777" w:rsidR="00D41717" w:rsidRDefault="00D41717" w:rsidP="002A2F9B">
      <w:pPr>
        <w:ind w:firstLine="720"/>
        <w:jc w:val="both"/>
        <w:rPr>
          <w:rFonts w:ascii="Arial" w:eastAsia="Arial" w:hAnsi="Arial" w:cs="Arial"/>
        </w:rPr>
      </w:pPr>
    </w:p>
    <w:p w14:paraId="3F2C00A6" w14:textId="36B6741F" w:rsidR="00D41717" w:rsidRPr="002A2F9B" w:rsidRDefault="00D41717" w:rsidP="002A2F9B">
      <w:pPr>
        <w:ind w:firstLine="720"/>
        <w:jc w:val="both"/>
        <w:rPr>
          <w:rFonts w:ascii="Arial" w:eastAsia="Arial" w:hAnsi="Arial" w:cs="Arial"/>
          <w:color w:val="000000" w:themeColor="text1"/>
          <w:highlight w:val="yellow"/>
        </w:rPr>
      </w:pPr>
      <w:r w:rsidRPr="002A2F9B">
        <w:rPr>
          <w:rFonts w:ascii="Arial" w:eastAsia="Arial" w:hAnsi="Arial" w:cs="Arial"/>
          <w:color w:val="000000" w:themeColor="text1"/>
          <w:highlight w:val="yellow"/>
        </w:rPr>
        <w:t>This study provides an updated epidemiological overview of meningococcal disease in Brazil over a decade marked by the COVID-19 pandemic, highlighting temporal shifts in diagnostic strategies and reporting practices.</w:t>
      </w:r>
    </w:p>
    <w:p w14:paraId="7F66A6E0" w14:textId="44116FF6" w:rsidR="00D41717" w:rsidRPr="002A2F9B" w:rsidRDefault="00D41717" w:rsidP="002A2F9B">
      <w:pPr>
        <w:ind w:firstLine="720"/>
        <w:jc w:val="both"/>
        <w:rPr>
          <w:rFonts w:ascii="Arial" w:eastAsia="Arial" w:hAnsi="Arial" w:cs="Arial"/>
          <w:color w:val="000000" w:themeColor="text1"/>
          <w:highlight w:val="yellow"/>
        </w:rPr>
      </w:pPr>
      <w:r w:rsidRPr="002A2F9B">
        <w:rPr>
          <w:rFonts w:ascii="Arial" w:eastAsia="Arial" w:hAnsi="Arial" w:cs="Arial"/>
          <w:color w:val="000000" w:themeColor="text1"/>
          <w:highlight w:val="yellow"/>
        </w:rPr>
        <w:t xml:space="preserve">Our analysis reveals significant temporal and diagnostic patterns in pediatric meningococcal disease in Brazil across the study period. The pre-pandemic decline (2015-2019) aligns with established trends following the introduction and expansion of the meningococcal C conjugate vaccine in the Brazilian childhood immunization schedule </w:t>
      </w:r>
      <w:r w:rsidRPr="002A2F9B">
        <w:rPr>
          <w:rFonts w:ascii="Arial" w:eastAsia="Arial" w:hAnsi="Arial" w:cs="Arial"/>
          <w:color w:val="000000" w:themeColor="text1"/>
          <w:highlight w:val="yellow"/>
          <w:vertAlign w:val="superscript"/>
        </w:rPr>
        <w:t>11,12</w:t>
      </w:r>
      <w:r w:rsidRPr="002A2F9B">
        <w:rPr>
          <w:rFonts w:ascii="Arial" w:eastAsia="Arial" w:hAnsi="Arial" w:cs="Arial"/>
          <w:color w:val="000000" w:themeColor="text1"/>
          <w:highlight w:val="yellow"/>
        </w:rPr>
        <w:t>, consistent with documented vaccination effectiveness</w:t>
      </w:r>
      <w:r w:rsidRPr="002A2F9B">
        <w:rPr>
          <w:rFonts w:ascii="Arial" w:eastAsia="Arial" w:hAnsi="Arial" w:cs="Arial"/>
          <w:color w:val="000000" w:themeColor="text1"/>
          <w:highlight w:val="yellow"/>
          <w:vertAlign w:val="superscript"/>
        </w:rPr>
        <w:t>1</w:t>
      </w:r>
      <w:r w:rsidR="00DB7642" w:rsidRPr="002A2F9B">
        <w:rPr>
          <w:rFonts w:ascii="Arial" w:eastAsia="Arial" w:hAnsi="Arial" w:cs="Arial"/>
          <w:color w:val="000000" w:themeColor="text1"/>
          <w:highlight w:val="yellow"/>
          <w:vertAlign w:val="superscript"/>
        </w:rPr>
        <w:t>3,14</w:t>
      </w:r>
      <w:r w:rsidRPr="002A2F9B">
        <w:rPr>
          <w:rFonts w:ascii="Arial" w:eastAsia="Arial" w:hAnsi="Arial" w:cs="Arial"/>
          <w:color w:val="000000" w:themeColor="text1"/>
          <w:highlight w:val="yellow"/>
        </w:rPr>
        <w:t>.</w:t>
      </w:r>
    </w:p>
    <w:p w14:paraId="201CEA5F" w14:textId="3A94DE91" w:rsidR="00D41717" w:rsidRPr="002A2F9B" w:rsidRDefault="00D41717" w:rsidP="002A2F9B">
      <w:pPr>
        <w:ind w:firstLine="720"/>
        <w:jc w:val="both"/>
        <w:rPr>
          <w:rFonts w:ascii="Arial" w:eastAsia="Arial" w:hAnsi="Arial" w:cs="Arial"/>
          <w:color w:val="000000" w:themeColor="text1"/>
          <w:highlight w:val="yellow"/>
        </w:rPr>
      </w:pPr>
      <w:r w:rsidRPr="002A2F9B">
        <w:rPr>
          <w:rFonts w:ascii="Arial" w:eastAsia="Arial" w:hAnsi="Arial" w:cs="Arial"/>
          <w:color w:val="000000" w:themeColor="text1"/>
          <w:highlight w:val="yellow"/>
        </w:rPr>
        <w:t>The dramatic reduction in cases during 2020-2021 corresponds with COVID-19 onset and implementation of non-pharmaceutical interventions, including social distancing, mask mandates, and school closures</w:t>
      </w:r>
      <w:r w:rsidR="00C01FEE" w:rsidRPr="002A2F9B">
        <w:rPr>
          <w:rFonts w:ascii="Arial" w:eastAsia="Arial" w:hAnsi="Arial" w:cs="Arial"/>
          <w:color w:val="000000" w:themeColor="text1"/>
          <w:highlight w:val="yellow"/>
        </w:rPr>
        <w:t>, reflecting both reduced pathogen circulation</w:t>
      </w:r>
      <w:r w:rsidR="00C01FEE" w:rsidRPr="002A2F9B">
        <w:rPr>
          <w:rFonts w:ascii="Arial" w:eastAsia="Arial" w:hAnsi="Arial" w:cs="Arial"/>
          <w:color w:val="000000" w:themeColor="text1"/>
          <w:highlight w:val="yellow"/>
          <w:vertAlign w:val="superscript"/>
        </w:rPr>
        <w:t xml:space="preserve"> </w:t>
      </w:r>
      <w:r w:rsidR="00DB7642" w:rsidRPr="002A2F9B">
        <w:rPr>
          <w:rFonts w:ascii="Arial" w:eastAsia="Arial" w:hAnsi="Arial" w:cs="Arial"/>
          <w:color w:val="000000" w:themeColor="text1"/>
          <w:highlight w:val="yellow"/>
          <w:vertAlign w:val="superscript"/>
        </w:rPr>
        <w:t>15,16</w:t>
      </w:r>
      <w:r w:rsidRPr="002A2F9B">
        <w:rPr>
          <w:rFonts w:ascii="Arial" w:eastAsia="Arial" w:hAnsi="Arial" w:cs="Arial"/>
          <w:color w:val="000000" w:themeColor="text1"/>
          <w:highlight w:val="yellow"/>
        </w:rPr>
        <w:t>. The subsequent case resurgence from 2022 onward parallels global trends of meningococcal disease rebound following relaxation of public health measures</w:t>
      </w:r>
      <w:r w:rsidR="008D2F35" w:rsidRPr="002A2F9B">
        <w:rPr>
          <w:rFonts w:ascii="Arial" w:eastAsia="Arial" w:hAnsi="Arial" w:cs="Arial"/>
          <w:color w:val="000000" w:themeColor="text1"/>
          <w:highlight w:val="yellow"/>
          <w:vertAlign w:val="superscript"/>
        </w:rPr>
        <w:t>17</w:t>
      </w:r>
      <w:r w:rsidR="00D5619B" w:rsidRPr="002A2F9B">
        <w:rPr>
          <w:rFonts w:ascii="Arial" w:eastAsia="Arial" w:hAnsi="Arial" w:cs="Arial"/>
          <w:color w:val="000000" w:themeColor="text1"/>
          <w:highlight w:val="yellow"/>
          <w:vertAlign w:val="superscript"/>
        </w:rPr>
        <w:t>,18</w:t>
      </w:r>
      <w:r w:rsidRPr="002A2F9B">
        <w:rPr>
          <w:rFonts w:ascii="Arial" w:eastAsia="Arial" w:hAnsi="Arial" w:cs="Arial"/>
          <w:color w:val="000000" w:themeColor="text1"/>
          <w:highlight w:val="yellow"/>
        </w:rPr>
        <w:t>, potentially exacerbated by accumulated vaccination gaps during the pandemic disruption</w:t>
      </w:r>
      <w:r w:rsidR="008D2F35" w:rsidRPr="002A2F9B">
        <w:rPr>
          <w:rFonts w:ascii="Arial" w:eastAsia="Arial" w:hAnsi="Arial" w:cs="Arial"/>
          <w:color w:val="000000" w:themeColor="text1"/>
          <w:highlight w:val="yellow"/>
          <w:vertAlign w:val="superscript"/>
        </w:rPr>
        <w:t>19,20</w:t>
      </w:r>
      <w:r w:rsidRPr="002A2F9B">
        <w:rPr>
          <w:rFonts w:ascii="Arial" w:eastAsia="Arial" w:hAnsi="Arial" w:cs="Arial"/>
          <w:color w:val="000000" w:themeColor="text1"/>
          <w:highlight w:val="yellow"/>
        </w:rPr>
        <w:t>.</w:t>
      </w:r>
    </w:p>
    <w:p w14:paraId="1057EFE5" w14:textId="370ACB0F" w:rsidR="00D41717" w:rsidRPr="002A2F9B" w:rsidRDefault="00D41717" w:rsidP="002A2F9B">
      <w:pPr>
        <w:ind w:firstLine="720"/>
        <w:jc w:val="both"/>
        <w:rPr>
          <w:rFonts w:ascii="Arial" w:eastAsia="Arial" w:hAnsi="Arial" w:cs="Arial"/>
          <w:color w:val="000000" w:themeColor="text1"/>
        </w:rPr>
      </w:pPr>
      <w:r w:rsidRPr="002A2F9B">
        <w:rPr>
          <w:rFonts w:ascii="Arial" w:eastAsia="Arial" w:hAnsi="Arial" w:cs="Arial"/>
          <w:color w:val="000000" w:themeColor="text1"/>
          <w:highlight w:val="yellow"/>
        </w:rPr>
        <w:t>The diagnostic shift toward clinical criteria during the pandemic likely reflects healthcare system overload and temporary reductions in laboratory capacity</w:t>
      </w:r>
      <w:r w:rsidR="00FC27FF" w:rsidRPr="002A2F9B">
        <w:rPr>
          <w:rFonts w:ascii="Arial" w:eastAsia="Arial" w:hAnsi="Arial" w:cs="Arial"/>
          <w:color w:val="000000" w:themeColor="text1"/>
          <w:highlight w:val="yellow"/>
          <w:vertAlign w:val="superscript"/>
        </w:rPr>
        <w:t>9,21</w:t>
      </w:r>
      <w:r w:rsidRPr="002A2F9B">
        <w:rPr>
          <w:rFonts w:ascii="Arial" w:eastAsia="Arial" w:hAnsi="Arial" w:cs="Arial"/>
          <w:color w:val="000000" w:themeColor="text1"/>
          <w:highlight w:val="yellow"/>
        </w:rPr>
        <w:t>. The subsequent predominance of PCR in the post-pandemic period indicates recovery of molecular diagnostic capabilities and aligns with WHO recommendations prioritizing rapid confirmatory methods</w:t>
      </w:r>
      <w:r w:rsidR="00812AF7" w:rsidRPr="002A2F9B">
        <w:rPr>
          <w:rFonts w:ascii="Arial" w:eastAsia="Arial" w:hAnsi="Arial" w:cs="Arial"/>
          <w:color w:val="000000" w:themeColor="text1"/>
          <w:highlight w:val="yellow"/>
          <w:vertAlign w:val="superscript"/>
        </w:rPr>
        <w:t>22</w:t>
      </w:r>
      <w:r w:rsidR="000C61CF" w:rsidRPr="002A2F9B">
        <w:rPr>
          <w:rFonts w:ascii="Arial" w:eastAsia="Arial" w:hAnsi="Arial" w:cs="Arial"/>
          <w:color w:val="000000" w:themeColor="text1"/>
          <w:highlight w:val="yellow"/>
          <w:vertAlign w:val="superscript"/>
        </w:rPr>
        <w:t>,23</w:t>
      </w:r>
      <w:r w:rsidRPr="002A2F9B">
        <w:rPr>
          <w:rFonts w:ascii="Arial" w:eastAsia="Arial" w:hAnsi="Arial" w:cs="Arial"/>
          <w:color w:val="000000" w:themeColor="text1"/>
          <w:highlight w:val="yellow"/>
        </w:rPr>
        <w:t xml:space="preserve">. This evolution toward molecular diagnostics enhances surveillance accuracy and represents a positive </w:t>
      </w:r>
      <w:r w:rsidRPr="002A2F9B">
        <w:rPr>
          <w:rFonts w:ascii="Arial" w:eastAsia="Arial" w:hAnsi="Arial" w:cs="Arial"/>
          <w:color w:val="000000" w:themeColor="text1"/>
          <w:highlight w:val="yellow"/>
        </w:rPr>
        <w:lastRenderedPageBreak/>
        <w:t>development in disease monitoring, though maintaining culture capacity remains crucial for antimicrobial resistance surveillance and outbreak investigation</w:t>
      </w:r>
      <w:r w:rsidR="000C61CF" w:rsidRPr="002A2F9B">
        <w:rPr>
          <w:rFonts w:ascii="Arial" w:eastAsia="Arial" w:hAnsi="Arial" w:cs="Arial"/>
          <w:color w:val="000000" w:themeColor="text1"/>
          <w:highlight w:val="yellow"/>
          <w:vertAlign w:val="superscript"/>
        </w:rPr>
        <w:t>24</w:t>
      </w:r>
      <w:r w:rsidR="00427111" w:rsidRPr="002A2F9B">
        <w:rPr>
          <w:rFonts w:ascii="Arial" w:eastAsia="Arial" w:hAnsi="Arial" w:cs="Arial"/>
          <w:color w:val="000000" w:themeColor="text1"/>
          <w:highlight w:val="yellow"/>
          <w:vertAlign w:val="superscript"/>
        </w:rPr>
        <w:t>-27</w:t>
      </w:r>
      <w:r w:rsidRPr="002A2F9B">
        <w:rPr>
          <w:rFonts w:ascii="Arial" w:eastAsia="Arial" w:hAnsi="Arial" w:cs="Arial"/>
          <w:color w:val="000000" w:themeColor="text1"/>
          <w:highlight w:val="yellow"/>
        </w:rPr>
        <w:t>.</w:t>
      </w:r>
    </w:p>
    <w:p w14:paraId="5E01B392" w14:textId="77777777" w:rsidR="00D41717" w:rsidRDefault="00D41717" w:rsidP="002A2F9B">
      <w:pPr>
        <w:jc w:val="both"/>
        <w:rPr>
          <w:rFonts w:ascii="Arial" w:eastAsia="Arial" w:hAnsi="Arial" w:cs="Arial"/>
        </w:rPr>
      </w:pPr>
    </w:p>
    <w:p w14:paraId="0598C095" w14:textId="0758354E" w:rsidR="00D41717" w:rsidRDefault="00D41717" w:rsidP="002A2F9B">
      <w:pPr>
        <w:jc w:val="both"/>
        <w:rPr>
          <w:rFonts w:ascii="Arial" w:eastAsia="Arial" w:hAnsi="Arial" w:cs="Arial"/>
          <w:b/>
          <w:bCs/>
        </w:rPr>
      </w:pPr>
      <w:r w:rsidRPr="00E16C01">
        <w:rPr>
          <w:rFonts w:ascii="Arial" w:eastAsia="Arial" w:hAnsi="Arial" w:cs="Arial"/>
          <w:b/>
          <w:bCs/>
        </w:rPr>
        <w:t>Limitations and Strengths</w:t>
      </w:r>
    </w:p>
    <w:p w14:paraId="7763E306" w14:textId="77777777" w:rsidR="00A3255B" w:rsidRPr="00E16C01" w:rsidRDefault="00A3255B" w:rsidP="002A2F9B">
      <w:pPr>
        <w:jc w:val="both"/>
        <w:rPr>
          <w:rFonts w:ascii="Arial" w:eastAsia="Arial" w:hAnsi="Arial" w:cs="Arial"/>
          <w:b/>
          <w:bCs/>
        </w:rPr>
      </w:pPr>
    </w:p>
    <w:p w14:paraId="4C775A4F" w14:textId="36867435" w:rsidR="00D41717" w:rsidRDefault="002A2F9B" w:rsidP="002A2F9B">
      <w:pPr>
        <w:ind w:firstLine="720"/>
        <w:jc w:val="both"/>
        <w:rPr>
          <w:rFonts w:ascii="Arial" w:eastAsia="Arial" w:hAnsi="Arial" w:cs="Arial"/>
        </w:rPr>
      </w:pPr>
      <w:r w:rsidRPr="002A2F9B">
        <w:rPr>
          <w:rFonts w:ascii="Arial" w:eastAsia="Arial" w:hAnsi="Arial" w:cs="Arial"/>
          <w:highlight w:val="yellow"/>
        </w:rPr>
        <w:t>Limitations of this study include those inherent to secondary data from SINAN, such as underreporting and incomplete records, exacerbated during health system disruptions. The ecological design limits individual-level inferences, and the absence of population denominators restricts incidence rate calculations. Serogroup analysis was also limited by data availability. We addressed these through rigorous data cleaning and complete-case analysis. Nonetheless, our study offers comprehensive national insights into pediatric meningococcal disease trends across a decade that included a major pandemic, providing crucial information for public health planning. Future surveillance should enhance data completeness through active case-finding and laboratory network strengthening.</w:t>
      </w:r>
    </w:p>
    <w:p w14:paraId="261DA718" w14:textId="77777777" w:rsidR="002A2F9B" w:rsidRPr="0058618F" w:rsidRDefault="002A2F9B" w:rsidP="002A2F9B">
      <w:pPr>
        <w:ind w:firstLine="720"/>
        <w:jc w:val="both"/>
        <w:rPr>
          <w:rFonts w:ascii="Arial" w:eastAsia="Arial" w:hAnsi="Arial" w:cs="Arial"/>
        </w:rPr>
      </w:pPr>
    </w:p>
    <w:p w14:paraId="3FA44FF8" w14:textId="77777777" w:rsidR="002074FB" w:rsidRPr="0058618F" w:rsidRDefault="00015AB9" w:rsidP="002A2F9B">
      <w:pPr>
        <w:keepNext/>
        <w:pBdr>
          <w:top w:val="nil"/>
          <w:left w:val="nil"/>
          <w:bottom w:val="nil"/>
          <w:right w:val="nil"/>
          <w:between w:val="nil"/>
        </w:pBdr>
        <w:jc w:val="both"/>
        <w:rPr>
          <w:rFonts w:ascii="Arial" w:eastAsia="Arial" w:hAnsi="Arial" w:cs="Arial"/>
          <w:b/>
          <w:smallCaps/>
          <w:color w:val="000000"/>
          <w:sz w:val="22"/>
          <w:szCs w:val="22"/>
        </w:rPr>
      </w:pPr>
      <w:r w:rsidRPr="0058618F">
        <w:rPr>
          <w:rFonts w:ascii="Arial" w:eastAsia="Arial" w:hAnsi="Arial" w:cs="Arial"/>
          <w:b/>
          <w:smallCaps/>
          <w:color w:val="000000"/>
          <w:sz w:val="22"/>
          <w:szCs w:val="22"/>
        </w:rPr>
        <w:t>4. Conclusion</w:t>
      </w:r>
    </w:p>
    <w:p w14:paraId="1D9CAEEB" w14:textId="77777777" w:rsidR="002074FB" w:rsidRPr="0058618F" w:rsidRDefault="002074FB" w:rsidP="002A2F9B">
      <w:pPr>
        <w:keepNext/>
        <w:pBdr>
          <w:top w:val="nil"/>
          <w:left w:val="nil"/>
          <w:bottom w:val="nil"/>
          <w:right w:val="nil"/>
          <w:between w:val="nil"/>
        </w:pBdr>
        <w:jc w:val="both"/>
        <w:rPr>
          <w:rFonts w:ascii="Arial" w:eastAsia="Arial" w:hAnsi="Arial" w:cs="Arial"/>
          <w:b/>
          <w:smallCaps/>
          <w:color w:val="000000"/>
          <w:sz w:val="22"/>
          <w:szCs w:val="22"/>
        </w:rPr>
      </w:pPr>
    </w:p>
    <w:p w14:paraId="1EEF2E56" w14:textId="77777777" w:rsidR="002074FB" w:rsidRPr="0058618F" w:rsidRDefault="00015AB9" w:rsidP="002A2F9B">
      <w:pPr>
        <w:pBdr>
          <w:top w:val="nil"/>
          <w:left w:val="nil"/>
          <w:bottom w:val="nil"/>
          <w:right w:val="nil"/>
          <w:between w:val="nil"/>
        </w:pBdr>
        <w:ind w:firstLine="720"/>
        <w:jc w:val="both"/>
        <w:rPr>
          <w:rFonts w:ascii="Arial" w:eastAsia="Arial" w:hAnsi="Arial" w:cs="Arial"/>
        </w:rPr>
      </w:pPr>
      <w:r w:rsidRPr="002A2F9B">
        <w:rPr>
          <w:rFonts w:ascii="Arial" w:eastAsia="Arial" w:hAnsi="Arial" w:cs="Arial"/>
          <w:highlight w:val="yellow"/>
        </w:rPr>
        <w:t>This study demonstrates important temporal and diagnostic changes in meningococcal meningitis with meningococcemia among children and adolescents in Brazil. A significant reduction in cases was observed following the onset of the COVID-19 pandemic, followed by a gradual resurgence, likely associated with relaxation of sanitary measures and resumption of in-person activities. Concurrently, there was a progressive shift from traditional laboratory-based diagnostics to clinical criteria and molecular methods, reflecting both structural limitations and changes in healthcare workflows. These findings highlight the need to reinforce epidemiological surveillance, maintain laboratory infrastructure, and ensure timely, accurate diagnostics to guide vaccination strategies, allocate healthcare resources effectively, and control meningococcal disease. Future research should focus on serogroup-specific incidence, the long-term impact of diagnostic shifts on reporting, and evaluating vaccine effectiveness in post-pandemic contexts.</w:t>
      </w:r>
    </w:p>
    <w:p w14:paraId="58D15F39" w14:textId="77777777" w:rsidR="002074FB" w:rsidRPr="0058618F" w:rsidRDefault="002074FB">
      <w:pPr>
        <w:pBdr>
          <w:top w:val="nil"/>
          <w:left w:val="nil"/>
          <w:bottom w:val="nil"/>
          <w:right w:val="nil"/>
          <w:between w:val="nil"/>
        </w:pBdr>
        <w:jc w:val="both"/>
        <w:rPr>
          <w:rFonts w:ascii="Arial" w:eastAsia="Arial" w:hAnsi="Arial" w:cs="Arial"/>
        </w:rPr>
      </w:pPr>
    </w:p>
    <w:p w14:paraId="578E53BB" w14:textId="77777777" w:rsidR="002074FB" w:rsidRPr="0058618F" w:rsidRDefault="002074FB">
      <w:pPr>
        <w:keepNext/>
        <w:pBdr>
          <w:top w:val="nil"/>
          <w:left w:val="nil"/>
          <w:bottom w:val="nil"/>
          <w:right w:val="nil"/>
          <w:between w:val="nil"/>
        </w:pBdr>
        <w:jc w:val="both"/>
        <w:rPr>
          <w:rFonts w:ascii="Arial" w:eastAsia="Arial" w:hAnsi="Arial" w:cs="Arial"/>
          <w:color w:val="000000"/>
        </w:rPr>
      </w:pPr>
    </w:p>
    <w:p w14:paraId="0A2F172F" w14:textId="77777777" w:rsidR="002074FB" w:rsidRPr="0058618F" w:rsidRDefault="00015AB9">
      <w:pPr>
        <w:keepNext/>
        <w:pBdr>
          <w:top w:val="nil"/>
          <w:left w:val="nil"/>
          <w:bottom w:val="nil"/>
          <w:right w:val="nil"/>
          <w:between w:val="nil"/>
        </w:pBdr>
        <w:jc w:val="both"/>
        <w:rPr>
          <w:rFonts w:ascii="Arial" w:eastAsia="Arial" w:hAnsi="Arial" w:cs="Arial"/>
          <w:b/>
          <w:smallCaps/>
          <w:color w:val="000000"/>
          <w:sz w:val="22"/>
          <w:szCs w:val="22"/>
        </w:rPr>
      </w:pPr>
      <w:r w:rsidRPr="0058618F">
        <w:rPr>
          <w:rFonts w:ascii="Arial" w:eastAsia="Arial" w:hAnsi="Arial" w:cs="Arial"/>
          <w:b/>
          <w:smallCaps/>
          <w:color w:val="000000"/>
          <w:sz w:val="22"/>
          <w:szCs w:val="22"/>
        </w:rPr>
        <w:t>Consent</w:t>
      </w:r>
    </w:p>
    <w:p w14:paraId="4B992F47" w14:textId="77777777" w:rsidR="002074FB" w:rsidRPr="0058618F"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4EB7A264" w14:textId="77777777" w:rsidR="002074FB" w:rsidRPr="0058618F" w:rsidRDefault="00015AB9">
      <w:pPr>
        <w:keepNext/>
        <w:pBdr>
          <w:top w:val="nil"/>
          <w:left w:val="nil"/>
          <w:bottom w:val="nil"/>
          <w:right w:val="nil"/>
          <w:between w:val="nil"/>
        </w:pBdr>
        <w:jc w:val="both"/>
        <w:rPr>
          <w:rFonts w:ascii="Arial" w:eastAsia="Arial" w:hAnsi="Arial" w:cs="Arial"/>
        </w:rPr>
      </w:pPr>
      <w:r w:rsidRPr="0058618F">
        <w:rPr>
          <w:rFonts w:ascii="Arial" w:eastAsia="Arial" w:hAnsi="Arial" w:cs="Arial"/>
        </w:rPr>
        <w:t>This study utilized secondary, aggregated data from the Notifiable Diseases Information System (SINAN) panel (Brazil). As such, individual patient data was not identifiable. Consequently, the analysis did not involve primary data collection or interventions. Due to the retrospective design and the use of aggregated, anonymized data, this study poses no risk of violating participants' privacy or integrity, nor does it contravene current legislation.”</w:t>
      </w:r>
    </w:p>
    <w:p w14:paraId="75DDA9DF" w14:textId="77777777" w:rsidR="002074FB" w:rsidRPr="0058618F" w:rsidRDefault="002074FB">
      <w:pPr>
        <w:keepNext/>
        <w:pBdr>
          <w:top w:val="nil"/>
          <w:left w:val="nil"/>
          <w:bottom w:val="nil"/>
          <w:right w:val="nil"/>
          <w:between w:val="nil"/>
        </w:pBdr>
        <w:jc w:val="both"/>
        <w:rPr>
          <w:rFonts w:ascii="Arial" w:eastAsia="Arial" w:hAnsi="Arial" w:cs="Arial"/>
          <w:color w:val="000000"/>
        </w:rPr>
      </w:pPr>
    </w:p>
    <w:p w14:paraId="53CABE28" w14:textId="77777777" w:rsidR="002074FB" w:rsidRPr="0058618F" w:rsidRDefault="002074FB">
      <w:pPr>
        <w:keepNext/>
        <w:pBdr>
          <w:top w:val="nil"/>
          <w:left w:val="nil"/>
          <w:bottom w:val="nil"/>
          <w:right w:val="nil"/>
          <w:between w:val="nil"/>
        </w:pBdr>
        <w:jc w:val="both"/>
        <w:rPr>
          <w:rFonts w:ascii="Arial" w:eastAsia="Arial" w:hAnsi="Arial" w:cs="Arial"/>
          <w:color w:val="000000"/>
        </w:rPr>
      </w:pPr>
    </w:p>
    <w:p w14:paraId="23EDDEF9" w14:textId="77777777" w:rsidR="002074FB" w:rsidRPr="0058618F" w:rsidRDefault="00015AB9">
      <w:pPr>
        <w:keepNext/>
        <w:pBdr>
          <w:top w:val="nil"/>
          <w:left w:val="nil"/>
          <w:bottom w:val="nil"/>
          <w:right w:val="nil"/>
          <w:between w:val="nil"/>
        </w:pBdr>
        <w:jc w:val="both"/>
        <w:rPr>
          <w:rFonts w:ascii="Arial" w:eastAsia="Arial" w:hAnsi="Arial" w:cs="Arial"/>
          <w:b/>
          <w:smallCaps/>
          <w:color w:val="000000"/>
          <w:sz w:val="22"/>
          <w:szCs w:val="22"/>
        </w:rPr>
      </w:pPr>
      <w:r w:rsidRPr="0058618F">
        <w:rPr>
          <w:rFonts w:ascii="Arial" w:eastAsia="Arial" w:hAnsi="Arial" w:cs="Arial"/>
          <w:b/>
          <w:smallCaps/>
          <w:color w:val="000000"/>
          <w:sz w:val="22"/>
          <w:szCs w:val="22"/>
        </w:rPr>
        <w:t>Ethical approval</w:t>
      </w:r>
    </w:p>
    <w:p w14:paraId="778FB325" w14:textId="77777777" w:rsidR="002074FB" w:rsidRPr="0058618F"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5ED89796" w14:textId="63F0C504" w:rsidR="002074FB" w:rsidRPr="0058618F" w:rsidRDefault="00015AB9">
      <w:pPr>
        <w:keepNext/>
        <w:pBdr>
          <w:top w:val="nil"/>
          <w:left w:val="nil"/>
          <w:bottom w:val="nil"/>
          <w:right w:val="nil"/>
          <w:between w:val="nil"/>
        </w:pBdr>
        <w:jc w:val="both"/>
        <w:rPr>
          <w:rFonts w:ascii="Arial" w:eastAsia="Arial" w:hAnsi="Arial" w:cs="Arial"/>
        </w:rPr>
      </w:pPr>
      <w:r w:rsidRPr="0058618F">
        <w:rPr>
          <w:rFonts w:ascii="Arial" w:eastAsia="Arial" w:hAnsi="Arial" w:cs="Arial"/>
        </w:rPr>
        <w:t>According to Brazilian National Health Council Resolution No. 510/2016, the data used in this study were considered public access and did not require submission to the Research Ethics Committee. The data were presented in aggregate form, without allowing the identification of individual participants, ensuring privacy and confidentiality.</w:t>
      </w:r>
    </w:p>
    <w:p w14:paraId="26C31467" w14:textId="24F2871D" w:rsidR="00C72B57" w:rsidRPr="0058618F" w:rsidRDefault="00C72B57">
      <w:pPr>
        <w:keepNext/>
        <w:pBdr>
          <w:top w:val="nil"/>
          <w:left w:val="nil"/>
          <w:bottom w:val="nil"/>
          <w:right w:val="nil"/>
          <w:between w:val="nil"/>
        </w:pBdr>
        <w:jc w:val="both"/>
        <w:rPr>
          <w:rFonts w:ascii="Arial" w:eastAsia="Arial" w:hAnsi="Arial" w:cs="Arial"/>
        </w:rPr>
      </w:pPr>
    </w:p>
    <w:p w14:paraId="24CC5F85"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Disclaimer (Artificial intelligence)</w:t>
      </w:r>
    </w:p>
    <w:p w14:paraId="4F794742"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 xml:space="preserve">Option 1: </w:t>
      </w:r>
    </w:p>
    <w:p w14:paraId="7AAF95ED"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Author(s) hereby declare that NO generative AI technologies such as Large Language Models (</w:t>
      </w:r>
      <w:proofErr w:type="spellStart"/>
      <w:r w:rsidRPr="008856CF">
        <w:rPr>
          <w:rFonts w:ascii="Arial" w:eastAsia="Arial" w:hAnsi="Arial" w:cs="Arial"/>
        </w:rPr>
        <w:t>ChatGPT</w:t>
      </w:r>
      <w:proofErr w:type="spellEnd"/>
      <w:r w:rsidRPr="008856CF">
        <w:rPr>
          <w:rFonts w:ascii="Arial" w:eastAsia="Arial" w:hAnsi="Arial" w:cs="Arial"/>
        </w:rPr>
        <w:t xml:space="preserve">, COPILOT, etc.) and text-to-image generators have been used during the writing or editing of this manuscript. </w:t>
      </w:r>
    </w:p>
    <w:p w14:paraId="3D1794F7"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 xml:space="preserve">Option 2: </w:t>
      </w:r>
    </w:p>
    <w:p w14:paraId="4CBAA8E9"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EEE30A"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Details of the AI usage are given below:</w:t>
      </w:r>
    </w:p>
    <w:p w14:paraId="7A88BBCA"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1.</w:t>
      </w:r>
    </w:p>
    <w:p w14:paraId="6A992752" w14:textId="77777777" w:rsidR="008856CF" w:rsidRPr="008856C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2.</w:t>
      </w:r>
    </w:p>
    <w:p w14:paraId="07363942" w14:textId="10866735" w:rsidR="00C72B57" w:rsidRPr="0058618F" w:rsidRDefault="008856CF" w:rsidP="008856CF">
      <w:pPr>
        <w:keepNext/>
        <w:pBdr>
          <w:top w:val="nil"/>
          <w:left w:val="nil"/>
          <w:bottom w:val="nil"/>
          <w:right w:val="nil"/>
          <w:between w:val="nil"/>
        </w:pBdr>
        <w:jc w:val="both"/>
        <w:rPr>
          <w:rFonts w:ascii="Arial" w:eastAsia="Arial" w:hAnsi="Arial" w:cs="Arial"/>
        </w:rPr>
      </w:pPr>
      <w:r w:rsidRPr="008856CF">
        <w:rPr>
          <w:rFonts w:ascii="Arial" w:eastAsia="Arial" w:hAnsi="Arial" w:cs="Arial"/>
        </w:rPr>
        <w:t>3.</w:t>
      </w:r>
    </w:p>
    <w:p w14:paraId="363C4D27" w14:textId="77777777" w:rsidR="002074FB" w:rsidRPr="0058618F" w:rsidRDefault="002074FB">
      <w:pPr>
        <w:keepNext/>
        <w:pBdr>
          <w:top w:val="nil"/>
          <w:left w:val="nil"/>
          <w:bottom w:val="nil"/>
          <w:right w:val="nil"/>
          <w:between w:val="nil"/>
        </w:pBdr>
        <w:jc w:val="both"/>
        <w:rPr>
          <w:rFonts w:ascii="Arial" w:eastAsia="Arial" w:hAnsi="Arial" w:cs="Arial"/>
        </w:rPr>
      </w:pPr>
    </w:p>
    <w:p w14:paraId="4268AE14" w14:textId="77777777" w:rsidR="002074FB" w:rsidRPr="0058618F"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44EB1819" w14:textId="77777777" w:rsidR="002074FB" w:rsidRPr="0058618F" w:rsidRDefault="00015AB9">
      <w:pPr>
        <w:keepNext/>
        <w:pBdr>
          <w:top w:val="nil"/>
          <w:left w:val="nil"/>
          <w:bottom w:val="nil"/>
          <w:right w:val="nil"/>
          <w:between w:val="nil"/>
        </w:pBdr>
        <w:jc w:val="both"/>
        <w:rPr>
          <w:rFonts w:ascii="Arial" w:eastAsia="Arial" w:hAnsi="Arial" w:cs="Arial"/>
          <w:b/>
          <w:smallCaps/>
          <w:color w:val="000000"/>
          <w:sz w:val="22"/>
          <w:szCs w:val="22"/>
        </w:rPr>
      </w:pPr>
      <w:r w:rsidRPr="0058618F">
        <w:rPr>
          <w:rFonts w:ascii="Arial" w:eastAsia="Arial" w:hAnsi="Arial" w:cs="Arial"/>
          <w:b/>
          <w:smallCaps/>
          <w:color w:val="000000"/>
          <w:sz w:val="22"/>
          <w:szCs w:val="22"/>
        </w:rPr>
        <w:t>References</w:t>
      </w:r>
    </w:p>
    <w:p w14:paraId="0A0840F7" w14:textId="77777777" w:rsidR="002074FB" w:rsidRPr="0058618F"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79B0FAF3" w14:textId="02C84273" w:rsidR="002074FB" w:rsidRPr="00427111" w:rsidRDefault="00015AB9">
      <w:pPr>
        <w:numPr>
          <w:ilvl w:val="0"/>
          <w:numId w:val="1"/>
        </w:numPr>
        <w:rPr>
          <w:rFonts w:ascii="Arial" w:eastAsia="Arial" w:hAnsi="Arial" w:cs="Arial"/>
          <w:color w:val="000000" w:themeColor="text1"/>
        </w:rPr>
      </w:pPr>
      <w:r w:rsidRPr="00427111">
        <w:rPr>
          <w:rFonts w:ascii="Arial" w:eastAsia="Arial" w:hAnsi="Arial" w:cs="Arial"/>
          <w:color w:val="000000" w:themeColor="text1"/>
        </w:rPr>
        <w:t xml:space="preserve">Global Burden of Disease 2019 Meningitis Collaborators. Global, regional, and national burden of meningitis and its </w:t>
      </w:r>
      <w:proofErr w:type="spellStart"/>
      <w:r w:rsidRPr="00427111">
        <w:rPr>
          <w:rFonts w:ascii="Arial" w:eastAsia="Arial" w:hAnsi="Arial" w:cs="Arial"/>
          <w:color w:val="000000" w:themeColor="text1"/>
        </w:rPr>
        <w:t>aetiologies</w:t>
      </w:r>
      <w:proofErr w:type="spellEnd"/>
      <w:r w:rsidRPr="00427111">
        <w:rPr>
          <w:rFonts w:ascii="Arial" w:eastAsia="Arial" w:hAnsi="Arial" w:cs="Arial"/>
          <w:color w:val="000000" w:themeColor="text1"/>
        </w:rPr>
        <w:t>, 1990–2019: a systematic analysis for the Global Burden of Disease Study 2019. Lancet Neurol. 2022;21(1):60–89.</w:t>
      </w:r>
      <w:r w:rsidR="00D41717" w:rsidRPr="00427111">
        <w:rPr>
          <w:rFonts w:ascii="Arial" w:eastAsia="Arial" w:hAnsi="Arial" w:cs="Arial"/>
          <w:color w:val="000000" w:themeColor="text1"/>
        </w:rPr>
        <w:t xml:space="preserve"> Global Burden of Disease 2019 Meningitis Collaborators. Global, regional, and national burden </w:t>
      </w:r>
      <w:r w:rsidR="00D41717" w:rsidRPr="00427111">
        <w:rPr>
          <w:rFonts w:ascii="Arial" w:eastAsia="Arial" w:hAnsi="Arial" w:cs="Arial"/>
          <w:color w:val="000000" w:themeColor="text1"/>
        </w:rPr>
        <w:lastRenderedPageBreak/>
        <w:t xml:space="preserve">of meningitis and its </w:t>
      </w:r>
      <w:proofErr w:type="spellStart"/>
      <w:r w:rsidR="00D41717" w:rsidRPr="00427111">
        <w:rPr>
          <w:rFonts w:ascii="Arial" w:eastAsia="Arial" w:hAnsi="Arial" w:cs="Arial"/>
          <w:color w:val="000000" w:themeColor="text1"/>
        </w:rPr>
        <w:t>aetiologies</w:t>
      </w:r>
      <w:proofErr w:type="spellEnd"/>
      <w:r w:rsidR="00D41717" w:rsidRPr="00427111">
        <w:rPr>
          <w:rFonts w:ascii="Arial" w:eastAsia="Arial" w:hAnsi="Arial" w:cs="Arial"/>
          <w:color w:val="000000" w:themeColor="text1"/>
        </w:rPr>
        <w:t>, 1990–2019: a systematic analysis for the Global Burden of Disease Study 2019. Lancet Neurol. 2022;21(1):60–89.</w:t>
      </w:r>
    </w:p>
    <w:p w14:paraId="15983776" w14:textId="791C0644" w:rsidR="002074FB" w:rsidRPr="00427111" w:rsidRDefault="00015AB9" w:rsidP="00D41717">
      <w:pPr>
        <w:pStyle w:val="ListParagraph"/>
        <w:numPr>
          <w:ilvl w:val="0"/>
          <w:numId w:val="1"/>
        </w:numPr>
        <w:rPr>
          <w:rFonts w:ascii="Arial" w:eastAsia="Arial" w:hAnsi="Arial" w:cs="Arial"/>
          <w:color w:val="000000" w:themeColor="text1"/>
        </w:rPr>
      </w:pPr>
      <w:r w:rsidRPr="00427111">
        <w:rPr>
          <w:rFonts w:ascii="Arial" w:eastAsia="Arial" w:hAnsi="Arial" w:cs="Arial"/>
          <w:color w:val="000000" w:themeColor="text1"/>
        </w:rPr>
        <w:t xml:space="preserve">Rausch-Phung EA, Siddiqui JA, Gulick PG. Meningococcemia. In: </w:t>
      </w:r>
      <w:proofErr w:type="spellStart"/>
      <w:r w:rsidRPr="00427111">
        <w:rPr>
          <w:rFonts w:ascii="Arial" w:eastAsia="Arial" w:hAnsi="Arial" w:cs="Arial"/>
          <w:color w:val="000000" w:themeColor="text1"/>
        </w:rPr>
        <w:t>StatPearls</w:t>
      </w:r>
      <w:proofErr w:type="spellEnd"/>
      <w:r w:rsidRPr="00427111">
        <w:rPr>
          <w:rFonts w:ascii="Arial" w:eastAsia="Arial" w:hAnsi="Arial" w:cs="Arial"/>
          <w:color w:val="000000" w:themeColor="text1"/>
        </w:rPr>
        <w:t xml:space="preserve"> [Internet]. Treasure Island (FL): </w:t>
      </w:r>
      <w:proofErr w:type="spellStart"/>
      <w:r w:rsidRPr="00427111">
        <w:rPr>
          <w:rFonts w:ascii="Arial" w:eastAsia="Arial" w:hAnsi="Arial" w:cs="Arial"/>
          <w:color w:val="000000" w:themeColor="text1"/>
        </w:rPr>
        <w:t>StatPearls</w:t>
      </w:r>
      <w:proofErr w:type="spellEnd"/>
      <w:r w:rsidRPr="00427111">
        <w:rPr>
          <w:rFonts w:ascii="Arial" w:eastAsia="Arial" w:hAnsi="Arial" w:cs="Arial"/>
          <w:color w:val="000000" w:themeColor="text1"/>
        </w:rPr>
        <w:t xml:space="preserve"> Publishing; 2025 Jan.</w:t>
      </w:r>
      <w:r w:rsidR="00D41717" w:rsidRPr="00427111">
        <w:rPr>
          <w:rFonts w:ascii="Arial" w:eastAsia="Arial" w:hAnsi="Arial" w:cs="Arial"/>
          <w:color w:val="000000" w:themeColor="text1"/>
        </w:rPr>
        <w:t xml:space="preserve"> Rausch-Phung EA, Siddiqui JA, Gulick PG. Meningococcemia. In: </w:t>
      </w:r>
      <w:proofErr w:type="spellStart"/>
      <w:r w:rsidR="00D41717" w:rsidRPr="00427111">
        <w:rPr>
          <w:rFonts w:ascii="Arial" w:eastAsia="Arial" w:hAnsi="Arial" w:cs="Arial"/>
          <w:color w:val="000000" w:themeColor="text1"/>
        </w:rPr>
        <w:t>StatPearls</w:t>
      </w:r>
      <w:proofErr w:type="spellEnd"/>
      <w:r w:rsidR="00D41717" w:rsidRPr="00427111">
        <w:rPr>
          <w:rFonts w:ascii="Arial" w:eastAsia="Arial" w:hAnsi="Arial" w:cs="Arial"/>
          <w:color w:val="000000" w:themeColor="text1"/>
        </w:rPr>
        <w:t xml:space="preserve">. Treasure Island (FL): </w:t>
      </w:r>
      <w:proofErr w:type="spellStart"/>
      <w:r w:rsidR="00D41717" w:rsidRPr="00427111">
        <w:rPr>
          <w:rFonts w:ascii="Arial" w:eastAsia="Arial" w:hAnsi="Arial" w:cs="Arial"/>
          <w:color w:val="000000" w:themeColor="text1"/>
        </w:rPr>
        <w:t>StatPearls</w:t>
      </w:r>
      <w:proofErr w:type="spellEnd"/>
      <w:r w:rsidR="00D41717" w:rsidRPr="00427111">
        <w:rPr>
          <w:rFonts w:ascii="Arial" w:eastAsia="Arial" w:hAnsi="Arial" w:cs="Arial"/>
          <w:color w:val="000000" w:themeColor="text1"/>
        </w:rPr>
        <w:t xml:space="preserve"> Publishing; 2025 Jan. </w:t>
      </w:r>
    </w:p>
    <w:p w14:paraId="0B947506" w14:textId="76A1D4E0" w:rsidR="002074FB" w:rsidRPr="00427111" w:rsidRDefault="00015AB9">
      <w:pPr>
        <w:numPr>
          <w:ilvl w:val="0"/>
          <w:numId w:val="1"/>
        </w:numPr>
        <w:rPr>
          <w:rFonts w:ascii="Arial" w:eastAsia="Arial" w:hAnsi="Arial" w:cs="Arial"/>
          <w:color w:val="000000" w:themeColor="text1"/>
        </w:rPr>
      </w:pPr>
      <w:r w:rsidRPr="00427111">
        <w:rPr>
          <w:rFonts w:ascii="Arial" w:eastAsia="Arial" w:hAnsi="Arial" w:cs="Arial"/>
          <w:color w:val="000000" w:themeColor="text1"/>
        </w:rPr>
        <w:t xml:space="preserve">Hersi K, Gonzalez FJ, </w:t>
      </w:r>
      <w:proofErr w:type="spellStart"/>
      <w:r w:rsidRPr="00427111">
        <w:rPr>
          <w:rFonts w:ascii="Arial" w:eastAsia="Arial" w:hAnsi="Arial" w:cs="Arial"/>
          <w:color w:val="000000" w:themeColor="text1"/>
        </w:rPr>
        <w:t>Kondamudi</w:t>
      </w:r>
      <w:proofErr w:type="spellEnd"/>
      <w:r w:rsidRPr="00427111">
        <w:rPr>
          <w:rFonts w:ascii="Arial" w:eastAsia="Arial" w:hAnsi="Arial" w:cs="Arial"/>
          <w:color w:val="000000" w:themeColor="text1"/>
        </w:rPr>
        <w:t xml:space="preserve"> NP. Meningitis. In: </w:t>
      </w:r>
      <w:proofErr w:type="spellStart"/>
      <w:r w:rsidRPr="00427111">
        <w:rPr>
          <w:rFonts w:ascii="Arial" w:eastAsia="Arial" w:hAnsi="Arial" w:cs="Arial"/>
          <w:color w:val="000000" w:themeColor="text1"/>
        </w:rPr>
        <w:t>StatPearls</w:t>
      </w:r>
      <w:proofErr w:type="spellEnd"/>
      <w:r w:rsidRPr="00427111">
        <w:rPr>
          <w:rFonts w:ascii="Arial" w:eastAsia="Arial" w:hAnsi="Arial" w:cs="Arial"/>
          <w:color w:val="000000" w:themeColor="text1"/>
        </w:rPr>
        <w:t xml:space="preserve">. Treasure Island (FL): </w:t>
      </w:r>
      <w:proofErr w:type="spellStart"/>
      <w:r w:rsidRPr="00427111">
        <w:rPr>
          <w:rFonts w:ascii="Arial" w:eastAsia="Arial" w:hAnsi="Arial" w:cs="Arial"/>
          <w:color w:val="000000" w:themeColor="text1"/>
        </w:rPr>
        <w:t>StatPearls</w:t>
      </w:r>
      <w:proofErr w:type="spellEnd"/>
      <w:r w:rsidRPr="00427111">
        <w:rPr>
          <w:rFonts w:ascii="Arial" w:eastAsia="Arial" w:hAnsi="Arial" w:cs="Arial"/>
          <w:color w:val="000000" w:themeColor="text1"/>
        </w:rPr>
        <w:t xml:space="preserve"> Publishing; 2023 Aug.</w:t>
      </w:r>
    </w:p>
    <w:p w14:paraId="595A21C6" w14:textId="77777777" w:rsidR="002074FB" w:rsidRPr="00427111" w:rsidRDefault="00015AB9">
      <w:pPr>
        <w:numPr>
          <w:ilvl w:val="0"/>
          <w:numId w:val="1"/>
        </w:numPr>
        <w:rPr>
          <w:rFonts w:ascii="Arial" w:eastAsia="Arial" w:hAnsi="Arial" w:cs="Arial"/>
          <w:color w:val="000000" w:themeColor="text1"/>
        </w:rPr>
      </w:pPr>
      <w:r w:rsidRPr="00427111">
        <w:rPr>
          <w:rFonts w:ascii="Arial" w:eastAsia="Arial" w:hAnsi="Arial" w:cs="Arial"/>
          <w:color w:val="000000" w:themeColor="text1"/>
        </w:rPr>
        <w:t xml:space="preserve">World Health Organization. Meningitis [Internet]. Geneva: WHO; 2025 [cited 2025 Jul 14]. Available from: </w:t>
      </w:r>
      <w:hyperlink r:id="rId22">
        <w:r w:rsidRPr="00427111">
          <w:rPr>
            <w:rFonts w:ascii="Arial" w:eastAsia="Arial" w:hAnsi="Arial" w:cs="Arial"/>
            <w:color w:val="000000" w:themeColor="text1"/>
            <w:u w:val="single"/>
          </w:rPr>
          <w:t>https://www.who.int/news-room/fact-sheets/detail/meningitis</w:t>
        </w:r>
      </w:hyperlink>
      <w:r w:rsidRPr="00427111">
        <w:rPr>
          <w:rFonts w:ascii="Arial" w:eastAsia="Arial" w:hAnsi="Arial" w:cs="Arial"/>
          <w:color w:val="000000" w:themeColor="text1"/>
        </w:rPr>
        <w:t>.</w:t>
      </w:r>
    </w:p>
    <w:p w14:paraId="71CE846A" w14:textId="77777777" w:rsidR="002074FB" w:rsidRPr="00427111" w:rsidRDefault="00015AB9">
      <w:pPr>
        <w:numPr>
          <w:ilvl w:val="0"/>
          <w:numId w:val="1"/>
        </w:numPr>
        <w:rPr>
          <w:rFonts w:ascii="Arial" w:eastAsia="Arial" w:hAnsi="Arial" w:cs="Arial"/>
          <w:color w:val="000000" w:themeColor="text1"/>
        </w:rPr>
      </w:pPr>
      <w:r w:rsidRPr="00427111">
        <w:rPr>
          <w:rFonts w:ascii="Arial" w:eastAsia="Arial" w:hAnsi="Arial" w:cs="Arial"/>
          <w:color w:val="000000" w:themeColor="text1"/>
        </w:rPr>
        <w:t>Global Burden of Disease Collaborative Network. Burden of disease scenarios for 204 countries and territories, 2022–2050: a forecasting analysis for the Global Burden of Disease Study 2021. Lancet. 2024;403(10440):2204–56.</w:t>
      </w:r>
    </w:p>
    <w:p w14:paraId="6FEF68D2" w14:textId="77777777" w:rsidR="007E3EAF" w:rsidRPr="00427111" w:rsidRDefault="007E3EAF" w:rsidP="007E3EAF">
      <w:pPr>
        <w:pStyle w:val="ListParagraph"/>
        <w:numPr>
          <w:ilvl w:val="0"/>
          <w:numId w:val="1"/>
        </w:numPr>
        <w:rPr>
          <w:rFonts w:ascii="Arial" w:eastAsia="Arial" w:hAnsi="Arial" w:cs="Arial"/>
          <w:color w:val="000000" w:themeColor="text1"/>
        </w:rPr>
      </w:pPr>
      <w:r w:rsidRPr="00427111">
        <w:rPr>
          <w:rFonts w:ascii="Arial" w:eastAsia="Arial" w:hAnsi="Arial" w:cs="Arial"/>
          <w:color w:val="000000" w:themeColor="text1"/>
        </w:rPr>
        <w:t xml:space="preserve">Brazil. Ministry of Health. Meningitis [Internet]. Brasília: </w:t>
      </w:r>
      <w:proofErr w:type="spellStart"/>
      <w:r w:rsidRPr="00427111">
        <w:rPr>
          <w:rFonts w:ascii="Arial" w:eastAsia="Arial" w:hAnsi="Arial" w:cs="Arial"/>
          <w:color w:val="000000" w:themeColor="text1"/>
        </w:rPr>
        <w:t>Ministério</w:t>
      </w:r>
      <w:proofErr w:type="spellEnd"/>
      <w:r w:rsidRPr="00427111">
        <w:rPr>
          <w:rFonts w:ascii="Arial" w:eastAsia="Arial" w:hAnsi="Arial" w:cs="Arial"/>
          <w:color w:val="000000" w:themeColor="text1"/>
        </w:rPr>
        <w:t xml:space="preserve"> da </w:t>
      </w:r>
      <w:proofErr w:type="spellStart"/>
      <w:r w:rsidRPr="00427111">
        <w:rPr>
          <w:rFonts w:ascii="Arial" w:eastAsia="Arial" w:hAnsi="Arial" w:cs="Arial"/>
          <w:color w:val="000000" w:themeColor="text1"/>
        </w:rPr>
        <w:t>Saúde</w:t>
      </w:r>
      <w:proofErr w:type="spellEnd"/>
      <w:r w:rsidRPr="00427111">
        <w:rPr>
          <w:rFonts w:ascii="Arial" w:eastAsia="Arial" w:hAnsi="Arial" w:cs="Arial"/>
          <w:color w:val="000000" w:themeColor="text1"/>
        </w:rPr>
        <w:t>; [cited 2025 Jul 14]. Available from: https://www.gov.br/saude/pt-br/assuntos/saude-de-a-a-z/m/meningite</w:t>
      </w:r>
    </w:p>
    <w:p w14:paraId="0B8CC426" w14:textId="77777777" w:rsidR="002074FB" w:rsidRPr="00427111" w:rsidRDefault="00015AB9" w:rsidP="007E3EAF">
      <w:pPr>
        <w:numPr>
          <w:ilvl w:val="0"/>
          <w:numId w:val="1"/>
        </w:numPr>
        <w:rPr>
          <w:rFonts w:ascii="Arial" w:eastAsia="Arial" w:hAnsi="Arial" w:cs="Arial"/>
          <w:color w:val="000000" w:themeColor="text1"/>
        </w:rPr>
      </w:pPr>
      <w:r w:rsidRPr="00427111">
        <w:rPr>
          <w:rFonts w:ascii="Arial" w:eastAsia="Arial" w:hAnsi="Arial" w:cs="Arial"/>
          <w:color w:val="000000" w:themeColor="text1"/>
        </w:rPr>
        <w:t>Chhabria D, Anjankar A. An Overview of Meningococcal Disease's Recent Diagnostic and Treatment Model. Cureus. 2023;15(11</w:t>
      </w:r>
      <w:proofErr w:type="gramStart"/>
      <w:r w:rsidRPr="00427111">
        <w:rPr>
          <w:rFonts w:ascii="Arial" w:eastAsia="Arial" w:hAnsi="Arial" w:cs="Arial"/>
          <w:color w:val="000000" w:themeColor="text1"/>
        </w:rPr>
        <w:t>):e</w:t>
      </w:r>
      <w:proofErr w:type="gramEnd"/>
      <w:r w:rsidRPr="00427111">
        <w:rPr>
          <w:rFonts w:ascii="Arial" w:eastAsia="Arial" w:hAnsi="Arial" w:cs="Arial"/>
          <w:color w:val="000000" w:themeColor="text1"/>
        </w:rPr>
        <w:t>48509.</w:t>
      </w:r>
    </w:p>
    <w:p w14:paraId="01F47A27" w14:textId="77777777" w:rsidR="007E3EAF" w:rsidRPr="00427111" w:rsidRDefault="007E3EAF" w:rsidP="007E3EAF">
      <w:pPr>
        <w:pStyle w:val="ds-markdown-paragraph"/>
        <w:numPr>
          <w:ilvl w:val="0"/>
          <w:numId w:val="1"/>
        </w:numPr>
        <w:shd w:val="clear" w:color="auto" w:fill="FFFFFF"/>
        <w:spacing w:before="0" w:beforeAutospacing="0" w:after="0" w:afterAutospacing="0"/>
        <w:rPr>
          <w:rFonts w:ascii="Arial" w:hAnsi="Arial" w:cs="Arial"/>
          <w:color w:val="000000" w:themeColor="text1"/>
          <w:sz w:val="20"/>
          <w:szCs w:val="20"/>
          <w:highlight w:val="yellow"/>
        </w:rPr>
      </w:pPr>
      <w:r w:rsidRPr="00427111">
        <w:rPr>
          <w:rFonts w:ascii="Arial" w:hAnsi="Arial" w:cs="Arial"/>
          <w:color w:val="000000" w:themeColor="text1"/>
          <w:sz w:val="20"/>
          <w:szCs w:val="20"/>
          <w:highlight w:val="yellow"/>
        </w:rPr>
        <w:t>Brazil. Ministry of Health. Health and Environment Surveillance Secretariat. Department of Strategic Actions in Epidemiology and Health and Environment Surveillance. Health Surveillance Guide: volume 1. 6th ed. rev. Brasília: Ministério da Saúde; 2024.</w:t>
      </w:r>
    </w:p>
    <w:p w14:paraId="657CD6A5" w14:textId="77777777" w:rsidR="002074FB" w:rsidRPr="00427111" w:rsidRDefault="00015AB9">
      <w:pPr>
        <w:numPr>
          <w:ilvl w:val="0"/>
          <w:numId w:val="1"/>
        </w:numPr>
        <w:rPr>
          <w:rFonts w:ascii="Arial" w:eastAsia="Arial" w:hAnsi="Arial" w:cs="Arial"/>
          <w:color w:val="000000" w:themeColor="text1"/>
        </w:rPr>
      </w:pPr>
      <w:proofErr w:type="spellStart"/>
      <w:r w:rsidRPr="00427111">
        <w:rPr>
          <w:rFonts w:ascii="Arial" w:eastAsia="Arial" w:hAnsi="Arial" w:cs="Arial"/>
          <w:color w:val="000000" w:themeColor="text1"/>
        </w:rPr>
        <w:t>Ciftci</w:t>
      </w:r>
      <w:proofErr w:type="spellEnd"/>
      <w:r w:rsidRPr="00427111">
        <w:rPr>
          <w:rFonts w:ascii="Arial" w:eastAsia="Arial" w:hAnsi="Arial" w:cs="Arial"/>
          <w:color w:val="000000" w:themeColor="text1"/>
        </w:rPr>
        <w:t xml:space="preserve"> E, </w:t>
      </w:r>
      <w:proofErr w:type="spellStart"/>
      <w:r w:rsidRPr="00427111">
        <w:rPr>
          <w:rFonts w:ascii="Arial" w:eastAsia="Arial" w:hAnsi="Arial" w:cs="Arial"/>
          <w:color w:val="000000" w:themeColor="text1"/>
        </w:rPr>
        <w:t>Ocal</w:t>
      </w:r>
      <w:proofErr w:type="spellEnd"/>
      <w:r w:rsidRPr="00427111">
        <w:rPr>
          <w:rFonts w:ascii="Arial" w:eastAsia="Arial" w:hAnsi="Arial" w:cs="Arial"/>
          <w:color w:val="000000" w:themeColor="text1"/>
        </w:rPr>
        <w:t xml:space="preserve"> D, </w:t>
      </w:r>
      <w:proofErr w:type="spellStart"/>
      <w:r w:rsidRPr="00427111">
        <w:rPr>
          <w:rFonts w:ascii="Arial" w:eastAsia="Arial" w:hAnsi="Arial" w:cs="Arial"/>
          <w:color w:val="000000" w:themeColor="text1"/>
        </w:rPr>
        <w:t>Somer</w:t>
      </w:r>
      <w:proofErr w:type="spellEnd"/>
      <w:r w:rsidRPr="00427111">
        <w:rPr>
          <w:rFonts w:ascii="Arial" w:eastAsia="Arial" w:hAnsi="Arial" w:cs="Arial"/>
          <w:color w:val="000000" w:themeColor="text1"/>
        </w:rPr>
        <w:t xml:space="preserve"> A, et al. Current methods in the diagnosis of invasive meningococcal disease. Front Pediatr. </w:t>
      </w:r>
      <w:proofErr w:type="gramStart"/>
      <w:r w:rsidRPr="00427111">
        <w:rPr>
          <w:rFonts w:ascii="Arial" w:eastAsia="Arial" w:hAnsi="Arial" w:cs="Arial"/>
          <w:color w:val="000000" w:themeColor="text1"/>
        </w:rPr>
        <w:t>2025;13:1511086</w:t>
      </w:r>
      <w:proofErr w:type="gramEnd"/>
      <w:r w:rsidRPr="00427111">
        <w:rPr>
          <w:rFonts w:ascii="Arial" w:eastAsia="Arial" w:hAnsi="Arial" w:cs="Arial"/>
          <w:color w:val="000000" w:themeColor="text1"/>
        </w:rPr>
        <w:t>.</w:t>
      </w:r>
    </w:p>
    <w:p w14:paraId="01437154" w14:textId="77777777" w:rsidR="002074FB" w:rsidRPr="00427111" w:rsidRDefault="00015AB9">
      <w:pPr>
        <w:numPr>
          <w:ilvl w:val="0"/>
          <w:numId w:val="1"/>
        </w:numPr>
        <w:rPr>
          <w:rFonts w:ascii="Arial" w:eastAsia="Arial" w:hAnsi="Arial" w:cs="Arial"/>
          <w:color w:val="000000" w:themeColor="text1"/>
        </w:rPr>
      </w:pPr>
      <w:r w:rsidRPr="00427111">
        <w:rPr>
          <w:rFonts w:ascii="Arial" w:eastAsia="Arial" w:hAnsi="Arial" w:cs="Arial"/>
          <w:color w:val="000000" w:themeColor="text1"/>
        </w:rPr>
        <w:t xml:space="preserve">Rausch-Phung EA, Hall WA, Ashong D. Meningococcal Disease (Neisseria meningitidis Infection). In: </w:t>
      </w:r>
      <w:proofErr w:type="spellStart"/>
      <w:r w:rsidRPr="00427111">
        <w:rPr>
          <w:rFonts w:ascii="Arial" w:eastAsia="Arial" w:hAnsi="Arial" w:cs="Arial"/>
          <w:color w:val="000000" w:themeColor="text1"/>
        </w:rPr>
        <w:t>StatPearls</w:t>
      </w:r>
      <w:proofErr w:type="spellEnd"/>
      <w:r w:rsidRPr="00427111">
        <w:rPr>
          <w:rFonts w:ascii="Arial" w:eastAsia="Arial" w:hAnsi="Arial" w:cs="Arial"/>
          <w:color w:val="000000" w:themeColor="text1"/>
        </w:rPr>
        <w:t xml:space="preserve"> [Internet]. Treasure Island (FL): </w:t>
      </w:r>
      <w:proofErr w:type="spellStart"/>
      <w:r w:rsidRPr="00427111">
        <w:rPr>
          <w:rFonts w:ascii="Arial" w:eastAsia="Arial" w:hAnsi="Arial" w:cs="Arial"/>
          <w:color w:val="000000" w:themeColor="text1"/>
        </w:rPr>
        <w:t>StatPearls</w:t>
      </w:r>
      <w:proofErr w:type="spellEnd"/>
      <w:r w:rsidRPr="00427111">
        <w:rPr>
          <w:rFonts w:ascii="Arial" w:eastAsia="Arial" w:hAnsi="Arial" w:cs="Arial"/>
          <w:color w:val="000000" w:themeColor="text1"/>
        </w:rPr>
        <w:t xml:space="preserve"> Publishing; 2025 Jun.</w:t>
      </w:r>
    </w:p>
    <w:p w14:paraId="4A75CA57" w14:textId="77777777" w:rsidR="003A1827" w:rsidRPr="00427111" w:rsidRDefault="003A1827" w:rsidP="003A1827">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 xml:space="preserve">Presa J, de Almeida R, </w:t>
      </w:r>
      <w:proofErr w:type="spellStart"/>
      <w:r w:rsidRPr="00427111">
        <w:rPr>
          <w:rFonts w:ascii="Arial" w:eastAsia="Arial" w:hAnsi="Arial" w:cs="Arial"/>
          <w:color w:val="000000" w:themeColor="text1"/>
          <w:highlight w:val="yellow"/>
        </w:rPr>
        <w:t>Spinardi</w:t>
      </w:r>
      <w:proofErr w:type="spellEnd"/>
      <w:r w:rsidRPr="00427111">
        <w:rPr>
          <w:rFonts w:ascii="Arial" w:eastAsia="Arial" w:hAnsi="Arial" w:cs="Arial"/>
          <w:color w:val="000000" w:themeColor="text1"/>
          <w:highlight w:val="yellow"/>
        </w:rPr>
        <w:t xml:space="preserve"> J, et al. Epidemiological burden of meningococcal disease in Brazil: A systematic literature review and database analysis. Int J Infect Dis. </w:t>
      </w:r>
      <w:proofErr w:type="gramStart"/>
      <w:r w:rsidRPr="00427111">
        <w:rPr>
          <w:rFonts w:ascii="Arial" w:eastAsia="Arial" w:hAnsi="Arial" w:cs="Arial"/>
          <w:color w:val="000000" w:themeColor="text1"/>
          <w:highlight w:val="yellow"/>
        </w:rPr>
        <w:t>2019;80:137</w:t>
      </w:r>
      <w:proofErr w:type="gramEnd"/>
      <w:r w:rsidRPr="00427111">
        <w:rPr>
          <w:rFonts w:ascii="Arial" w:eastAsia="Arial" w:hAnsi="Arial" w:cs="Arial"/>
          <w:color w:val="000000" w:themeColor="text1"/>
          <w:highlight w:val="yellow"/>
        </w:rPr>
        <w:t xml:space="preserve">-146. </w:t>
      </w:r>
      <w:proofErr w:type="gramStart"/>
      <w:r w:rsidRPr="00427111">
        <w:rPr>
          <w:rFonts w:ascii="Arial" w:eastAsia="Arial" w:hAnsi="Arial" w:cs="Arial"/>
          <w:color w:val="000000" w:themeColor="text1"/>
          <w:highlight w:val="yellow"/>
        </w:rPr>
        <w:t>doi:10.1016/j.ijid</w:t>
      </w:r>
      <w:proofErr w:type="gramEnd"/>
      <w:r w:rsidRPr="00427111">
        <w:rPr>
          <w:rFonts w:ascii="Arial" w:eastAsia="Arial" w:hAnsi="Arial" w:cs="Arial"/>
          <w:color w:val="000000" w:themeColor="text1"/>
          <w:highlight w:val="yellow"/>
        </w:rPr>
        <w:t>.2019.01.009.</w:t>
      </w:r>
    </w:p>
    <w:p w14:paraId="6F6E959B" w14:textId="77777777" w:rsidR="0077247D" w:rsidRPr="00427111" w:rsidRDefault="0077247D" w:rsidP="0077247D">
      <w:pPr>
        <w:numPr>
          <w:ilvl w:val="0"/>
          <w:numId w:val="2"/>
        </w:numPr>
        <w:rPr>
          <w:rFonts w:ascii="Arial" w:eastAsia="Arial" w:hAnsi="Arial" w:cs="Arial"/>
          <w:color w:val="000000" w:themeColor="text1"/>
          <w:highlight w:val="yellow"/>
        </w:rPr>
      </w:pPr>
      <w:proofErr w:type="spellStart"/>
      <w:r w:rsidRPr="00427111">
        <w:rPr>
          <w:rFonts w:ascii="Arial" w:eastAsia="Arial" w:hAnsi="Arial" w:cs="Arial"/>
          <w:color w:val="000000" w:themeColor="text1"/>
          <w:highlight w:val="yellow"/>
        </w:rPr>
        <w:t>Htar</w:t>
      </w:r>
      <w:proofErr w:type="spellEnd"/>
      <w:r w:rsidRPr="00427111">
        <w:rPr>
          <w:rFonts w:ascii="Arial" w:eastAsia="Arial" w:hAnsi="Arial" w:cs="Arial"/>
          <w:color w:val="000000" w:themeColor="text1"/>
          <w:highlight w:val="yellow"/>
        </w:rPr>
        <w:t xml:space="preserve"> MTT, Jackson S, Balmer P, et al. Systematic literature review of the impact and effectiveness of monovalent meningococcal C conjugated vaccines when used in routine immunization programs. BMC Public Health. 2020;20(1). doi:10.1186/s12889-020-09946-1.</w:t>
      </w:r>
    </w:p>
    <w:p w14:paraId="66D6FCF5" w14:textId="77777777" w:rsidR="00DB7642" w:rsidRPr="00427111" w:rsidRDefault="00DB7642" w:rsidP="00DB7642">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 xml:space="preserve">Nunes A, Abreu AJL, Cintra O, et al. Meningococcal disease epidemiology in Brazil (2005–2018) and impact of </w:t>
      </w:r>
      <w:proofErr w:type="spellStart"/>
      <w:r w:rsidRPr="00427111">
        <w:rPr>
          <w:rFonts w:ascii="Arial" w:eastAsia="Arial" w:hAnsi="Arial" w:cs="Arial"/>
          <w:color w:val="000000" w:themeColor="text1"/>
          <w:highlight w:val="yellow"/>
        </w:rPr>
        <w:t>MenC</w:t>
      </w:r>
      <w:proofErr w:type="spellEnd"/>
      <w:r w:rsidRPr="00427111">
        <w:rPr>
          <w:rFonts w:ascii="Arial" w:eastAsia="Arial" w:hAnsi="Arial" w:cs="Arial"/>
          <w:color w:val="000000" w:themeColor="text1"/>
          <w:highlight w:val="yellow"/>
        </w:rPr>
        <w:t xml:space="preserve"> vaccination. Vaccine. 2021;39(3):605-616. </w:t>
      </w:r>
      <w:proofErr w:type="gramStart"/>
      <w:r w:rsidRPr="00427111">
        <w:rPr>
          <w:rFonts w:ascii="Arial" w:eastAsia="Arial" w:hAnsi="Arial" w:cs="Arial"/>
          <w:color w:val="000000" w:themeColor="text1"/>
          <w:highlight w:val="yellow"/>
        </w:rPr>
        <w:t>doi:10.1016/j.vaccine</w:t>
      </w:r>
      <w:proofErr w:type="gramEnd"/>
      <w:r w:rsidRPr="00427111">
        <w:rPr>
          <w:rFonts w:ascii="Arial" w:eastAsia="Arial" w:hAnsi="Arial" w:cs="Arial"/>
          <w:color w:val="000000" w:themeColor="text1"/>
          <w:highlight w:val="yellow"/>
        </w:rPr>
        <w:t>.2020.11.067.</w:t>
      </w:r>
    </w:p>
    <w:p w14:paraId="64AF8AC9" w14:textId="77777777" w:rsidR="003A1827" w:rsidRPr="00427111" w:rsidRDefault="003A1827" w:rsidP="003A1827">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McMillan M, Chandrakumar A, Wang HLR, et al. Effectiveness of meningococcal vaccines at reducing invasive meningococcal disease and pharyngeal Neisseria meningitidis carriage: a systematic review and meta-analysis. Clin Infect Dis. 2021;73(3</w:t>
      </w:r>
      <w:proofErr w:type="gramStart"/>
      <w:r w:rsidRPr="00427111">
        <w:rPr>
          <w:rFonts w:ascii="Arial" w:eastAsia="Arial" w:hAnsi="Arial" w:cs="Arial"/>
          <w:color w:val="000000" w:themeColor="text1"/>
          <w:highlight w:val="yellow"/>
        </w:rPr>
        <w:t>):e</w:t>
      </w:r>
      <w:proofErr w:type="gramEnd"/>
      <w:r w:rsidRPr="00427111">
        <w:rPr>
          <w:rFonts w:ascii="Arial" w:eastAsia="Arial" w:hAnsi="Arial" w:cs="Arial"/>
          <w:color w:val="000000" w:themeColor="text1"/>
          <w:highlight w:val="yellow"/>
        </w:rPr>
        <w:t>609-e619. doi:10.1093/</w:t>
      </w:r>
      <w:proofErr w:type="spellStart"/>
      <w:r w:rsidRPr="00427111">
        <w:rPr>
          <w:rFonts w:ascii="Arial" w:eastAsia="Arial" w:hAnsi="Arial" w:cs="Arial"/>
          <w:color w:val="000000" w:themeColor="text1"/>
          <w:highlight w:val="yellow"/>
        </w:rPr>
        <w:t>cid</w:t>
      </w:r>
      <w:proofErr w:type="spellEnd"/>
      <w:r w:rsidRPr="00427111">
        <w:rPr>
          <w:rFonts w:ascii="Arial" w:eastAsia="Arial" w:hAnsi="Arial" w:cs="Arial"/>
          <w:color w:val="000000" w:themeColor="text1"/>
          <w:highlight w:val="yellow"/>
        </w:rPr>
        <w:t>/ciaa1733.</w:t>
      </w:r>
    </w:p>
    <w:p w14:paraId="4AB74135" w14:textId="483457F8" w:rsidR="00C01FEE" w:rsidRPr="00427111" w:rsidRDefault="00C01FEE" w:rsidP="00BB18A0">
      <w:pPr>
        <w:pStyle w:val="NormalWeb"/>
        <w:numPr>
          <w:ilvl w:val="0"/>
          <w:numId w:val="2"/>
        </w:numPr>
        <w:rPr>
          <w:rFonts w:ascii="Arial" w:hAnsi="Arial" w:cs="Arial"/>
          <w:color w:val="000000" w:themeColor="text1"/>
          <w:sz w:val="20"/>
          <w:szCs w:val="20"/>
          <w:highlight w:val="yellow"/>
        </w:rPr>
      </w:pPr>
      <w:r w:rsidRPr="00427111">
        <w:rPr>
          <w:rFonts w:ascii="Arial" w:hAnsi="Arial" w:cs="Arial"/>
          <w:color w:val="000000" w:themeColor="text1"/>
          <w:sz w:val="20"/>
          <w:szCs w:val="20"/>
          <w:highlight w:val="yellow"/>
          <w:shd w:val="clear" w:color="auto" w:fill="FFFFFF"/>
        </w:rPr>
        <w:t>Alderson MR, Arkwright PD, Bai X, Black S, Borrow R, Caugant DA, Dinleyici EC, et al. Surveillance and control of meningococcal disease in the COVID-19 era: A Global Meningococcal Initiative review. J Infect. 2022 Mar;84(3):289-296. doi: 10.1016/j.jinf.2021.11.016.</w:t>
      </w:r>
      <w:r w:rsidRPr="00427111">
        <w:rPr>
          <w:rFonts w:ascii="Consolas" w:hAnsi="Consolas" w:cs="Consolas"/>
          <w:color w:val="000000" w:themeColor="text1"/>
          <w:highlight w:val="yellow"/>
          <w:shd w:val="clear" w:color="auto" w:fill="FFFFFF"/>
        </w:rPr>
        <w:t xml:space="preserve"> </w:t>
      </w:r>
    </w:p>
    <w:p w14:paraId="616B57D6" w14:textId="73BEE8B3" w:rsidR="00DB7642" w:rsidRPr="00427111" w:rsidRDefault="008D2F35">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 xml:space="preserve">Bloom DE, </w:t>
      </w:r>
      <w:proofErr w:type="spellStart"/>
      <w:r w:rsidRPr="00427111">
        <w:rPr>
          <w:rFonts w:ascii="Arial" w:eastAsia="Arial" w:hAnsi="Arial" w:cs="Arial"/>
          <w:color w:val="000000" w:themeColor="text1"/>
          <w:highlight w:val="yellow"/>
        </w:rPr>
        <w:t>Bonanni</w:t>
      </w:r>
      <w:proofErr w:type="spellEnd"/>
      <w:r w:rsidRPr="00427111">
        <w:rPr>
          <w:rFonts w:ascii="Arial" w:eastAsia="Arial" w:hAnsi="Arial" w:cs="Arial"/>
          <w:color w:val="000000" w:themeColor="text1"/>
          <w:highlight w:val="yellow"/>
        </w:rPr>
        <w:t xml:space="preserve"> P, </w:t>
      </w:r>
      <w:proofErr w:type="spellStart"/>
      <w:r w:rsidRPr="00427111">
        <w:rPr>
          <w:rFonts w:ascii="Arial" w:eastAsia="Arial" w:hAnsi="Arial" w:cs="Arial"/>
          <w:color w:val="000000" w:themeColor="text1"/>
          <w:highlight w:val="yellow"/>
        </w:rPr>
        <w:t>Martinón</w:t>
      </w:r>
      <w:proofErr w:type="spellEnd"/>
      <w:r w:rsidRPr="00427111">
        <w:rPr>
          <w:rFonts w:ascii="Arial" w:eastAsia="Arial" w:hAnsi="Arial" w:cs="Arial"/>
          <w:color w:val="000000" w:themeColor="text1"/>
          <w:highlight w:val="yellow"/>
        </w:rPr>
        <w:t xml:space="preserve">-Torres F, Richmond PC, Safadi MAP, Salisbury DM, et al. Meningococcal Disease in the Post-COVID-19 Era: A Time to Prepare. Infect Dis Ther. 2023 Dec;12(12):2649-2663. </w:t>
      </w:r>
      <w:proofErr w:type="spellStart"/>
      <w:r w:rsidRPr="00427111">
        <w:rPr>
          <w:rFonts w:ascii="Arial" w:eastAsia="Arial" w:hAnsi="Arial" w:cs="Arial"/>
          <w:color w:val="000000" w:themeColor="text1"/>
          <w:highlight w:val="yellow"/>
        </w:rPr>
        <w:t>doi</w:t>
      </w:r>
      <w:proofErr w:type="spellEnd"/>
      <w:r w:rsidRPr="00427111">
        <w:rPr>
          <w:rFonts w:ascii="Arial" w:eastAsia="Arial" w:hAnsi="Arial" w:cs="Arial"/>
          <w:color w:val="000000" w:themeColor="text1"/>
          <w:highlight w:val="yellow"/>
        </w:rPr>
        <w:t xml:space="preserve">: 10.1007/s40121-023-00888-w. </w:t>
      </w:r>
    </w:p>
    <w:p w14:paraId="529146AE" w14:textId="4B4FC476" w:rsidR="002074FB" w:rsidRPr="00427111" w:rsidRDefault="00CE3D25" w:rsidP="00CE3D25">
      <w:pPr>
        <w:numPr>
          <w:ilvl w:val="0"/>
          <w:numId w:val="2"/>
        </w:numPr>
        <w:rPr>
          <w:rFonts w:ascii="Arial" w:eastAsia="Arial" w:hAnsi="Arial" w:cs="Arial"/>
          <w:color w:val="000000" w:themeColor="text1"/>
          <w:highlight w:val="yellow"/>
        </w:rPr>
      </w:pPr>
      <w:proofErr w:type="spellStart"/>
      <w:r w:rsidRPr="00427111">
        <w:rPr>
          <w:rFonts w:ascii="Arial" w:eastAsia="Arial" w:hAnsi="Arial" w:cs="Arial"/>
          <w:color w:val="000000" w:themeColor="text1"/>
          <w:highlight w:val="yellow"/>
        </w:rPr>
        <w:t>Findlow</w:t>
      </w:r>
      <w:proofErr w:type="spellEnd"/>
      <w:r w:rsidRPr="00427111">
        <w:rPr>
          <w:rFonts w:ascii="Arial" w:eastAsia="Arial" w:hAnsi="Arial" w:cs="Arial"/>
          <w:color w:val="000000" w:themeColor="text1"/>
          <w:highlight w:val="yellow"/>
        </w:rPr>
        <w:t xml:space="preserve"> J, </w:t>
      </w:r>
      <w:proofErr w:type="spellStart"/>
      <w:r w:rsidRPr="00427111">
        <w:rPr>
          <w:rFonts w:ascii="Arial" w:eastAsia="Arial" w:hAnsi="Arial" w:cs="Arial"/>
          <w:color w:val="000000" w:themeColor="text1"/>
          <w:highlight w:val="yellow"/>
        </w:rPr>
        <w:t>Htar</w:t>
      </w:r>
      <w:proofErr w:type="spellEnd"/>
      <w:r w:rsidRPr="00427111">
        <w:rPr>
          <w:rFonts w:ascii="Arial" w:eastAsia="Arial" w:hAnsi="Arial" w:cs="Arial"/>
          <w:color w:val="000000" w:themeColor="text1"/>
          <w:highlight w:val="yellow"/>
        </w:rPr>
        <w:t xml:space="preserve"> MTT, Villena R, Balmer P. Invasive Meningococcal Disease in the Post-COVID World: Patterns of Disease Rebound. Vaccines (Basel). 2025 Feb 8;13(2):165. </w:t>
      </w:r>
      <w:proofErr w:type="spellStart"/>
      <w:r w:rsidRPr="00427111">
        <w:rPr>
          <w:rFonts w:ascii="Arial" w:eastAsia="Arial" w:hAnsi="Arial" w:cs="Arial"/>
          <w:color w:val="000000" w:themeColor="text1"/>
          <w:highlight w:val="yellow"/>
        </w:rPr>
        <w:t>doi</w:t>
      </w:r>
      <w:proofErr w:type="spellEnd"/>
      <w:r w:rsidRPr="00427111">
        <w:rPr>
          <w:rFonts w:ascii="Arial" w:eastAsia="Arial" w:hAnsi="Arial" w:cs="Arial"/>
          <w:color w:val="000000" w:themeColor="text1"/>
          <w:highlight w:val="yellow"/>
        </w:rPr>
        <w:t xml:space="preserve">: 10.3390/vaccines13020165. </w:t>
      </w:r>
    </w:p>
    <w:p w14:paraId="07395988" w14:textId="7907F6FD" w:rsidR="00D5619B" w:rsidRPr="00427111" w:rsidRDefault="00D5619B" w:rsidP="00CE3D25">
      <w:pPr>
        <w:numPr>
          <w:ilvl w:val="0"/>
          <w:numId w:val="2"/>
        </w:numPr>
        <w:rPr>
          <w:rFonts w:ascii="Arial" w:eastAsia="Arial" w:hAnsi="Arial" w:cs="Arial"/>
          <w:color w:val="000000" w:themeColor="text1"/>
          <w:highlight w:val="yellow"/>
        </w:rPr>
      </w:pPr>
      <w:r w:rsidRPr="00427111">
        <w:rPr>
          <w:rFonts w:ascii="Arial" w:hAnsi="Arial" w:cs="Arial"/>
          <w:color w:val="000000" w:themeColor="text1"/>
          <w:highlight w:val="yellow"/>
          <w:shd w:val="clear" w:color="auto" w:fill="FFFFFF"/>
        </w:rPr>
        <w:t xml:space="preserve">Clark SA, Campbell H, Ribeiro S, Bertran M, Walsh L, Walker A, Willerton L, Lekshmi A, Bai X, </w:t>
      </w:r>
      <w:proofErr w:type="spellStart"/>
      <w:r w:rsidRPr="00427111">
        <w:rPr>
          <w:rFonts w:ascii="Arial" w:hAnsi="Arial" w:cs="Arial"/>
          <w:color w:val="000000" w:themeColor="text1"/>
          <w:highlight w:val="yellow"/>
          <w:shd w:val="clear" w:color="auto" w:fill="FFFFFF"/>
        </w:rPr>
        <w:t>Lucidarme</w:t>
      </w:r>
      <w:proofErr w:type="spellEnd"/>
      <w:r w:rsidRPr="00427111">
        <w:rPr>
          <w:rFonts w:ascii="Arial" w:hAnsi="Arial" w:cs="Arial"/>
          <w:color w:val="000000" w:themeColor="text1"/>
          <w:highlight w:val="yellow"/>
          <w:shd w:val="clear" w:color="auto" w:fill="FFFFFF"/>
        </w:rPr>
        <w:t xml:space="preserve"> J, </w:t>
      </w:r>
      <w:proofErr w:type="spellStart"/>
      <w:r w:rsidRPr="00427111">
        <w:rPr>
          <w:rFonts w:ascii="Arial" w:hAnsi="Arial" w:cs="Arial"/>
          <w:color w:val="000000" w:themeColor="text1"/>
          <w:highlight w:val="yellow"/>
          <w:shd w:val="clear" w:color="auto" w:fill="FFFFFF"/>
        </w:rPr>
        <w:t>Ladhani</w:t>
      </w:r>
      <w:proofErr w:type="spellEnd"/>
      <w:r w:rsidRPr="00427111">
        <w:rPr>
          <w:rFonts w:ascii="Arial" w:hAnsi="Arial" w:cs="Arial"/>
          <w:color w:val="000000" w:themeColor="text1"/>
          <w:highlight w:val="yellow"/>
          <w:shd w:val="clear" w:color="auto" w:fill="FFFFFF"/>
        </w:rPr>
        <w:t xml:space="preserve"> SN, Borrow R. Epidemiological and strain characteristics of invasive meningococcal disease prior to, during and after COVID-19 pandemic restrictions in England. J Infect. 2023 Nov;87(5):385-391. </w:t>
      </w:r>
      <w:proofErr w:type="spellStart"/>
      <w:r w:rsidRPr="00427111">
        <w:rPr>
          <w:rFonts w:ascii="Arial" w:hAnsi="Arial" w:cs="Arial"/>
          <w:color w:val="000000" w:themeColor="text1"/>
          <w:highlight w:val="yellow"/>
          <w:shd w:val="clear" w:color="auto" w:fill="FFFFFF"/>
        </w:rPr>
        <w:t>doi</w:t>
      </w:r>
      <w:proofErr w:type="spellEnd"/>
      <w:r w:rsidRPr="00427111">
        <w:rPr>
          <w:rFonts w:ascii="Arial" w:hAnsi="Arial" w:cs="Arial"/>
          <w:color w:val="000000" w:themeColor="text1"/>
          <w:highlight w:val="yellow"/>
          <w:shd w:val="clear" w:color="auto" w:fill="FFFFFF"/>
        </w:rPr>
        <w:t xml:space="preserve">: 10.1016/j.jinf.2023.09.002. </w:t>
      </w:r>
    </w:p>
    <w:p w14:paraId="40342CDF" w14:textId="7B78C86D" w:rsidR="00CE3D25" w:rsidRPr="00427111" w:rsidRDefault="00D5619B" w:rsidP="00CE3D25">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 xml:space="preserve">Taha S, Hong E, </w:t>
      </w:r>
      <w:proofErr w:type="spellStart"/>
      <w:r w:rsidRPr="00427111">
        <w:rPr>
          <w:rFonts w:ascii="Arial" w:eastAsia="Arial" w:hAnsi="Arial" w:cs="Arial"/>
          <w:color w:val="000000" w:themeColor="text1"/>
          <w:highlight w:val="yellow"/>
        </w:rPr>
        <w:t>Denizon</w:t>
      </w:r>
      <w:proofErr w:type="spellEnd"/>
      <w:r w:rsidRPr="00427111">
        <w:rPr>
          <w:rFonts w:ascii="Arial" w:eastAsia="Arial" w:hAnsi="Arial" w:cs="Arial"/>
          <w:color w:val="000000" w:themeColor="text1"/>
          <w:highlight w:val="yellow"/>
        </w:rPr>
        <w:t xml:space="preserve"> M, </w:t>
      </w:r>
      <w:proofErr w:type="spellStart"/>
      <w:r w:rsidRPr="00427111">
        <w:rPr>
          <w:rFonts w:ascii="Arial" w:eastAsia="Arial" w:hAnsi="Arial" w:cs="Arial"/>
          <w:color w:val="000000" w:themeColor="text1"/>
          <w:highlight w:val="yellow"/>
        </w:rPr>
        <w:t>Falguières</w:t>
      </w:r>
      <w:proofErr w:type="spellEnd"/>
      <w:r w:rsidRPr="00427111">
        <w:rPr>
          <w:rFonts w:ascii="Arial" w:eastAsia="Arial" w:hAnsi="Arial" w:cs="Arial"/>
          <w:color w:val="000000" w:themeColor="text1"/>
          <w:highlight w:val="yellow"/>
        </w:rPr>
        <w:t xml:space="preserve"> M, </w:t>
      </w:r>
      <w:proofErr w:type="spellStart"/>
      <w:r w:rsidRPr="00427111">
        <w:rPr>
          <w:rFonts w:ascii="Arial" w:eastAsia="Arial" w:hAnsi="Arial" w:cs="Arial"/>
          <w:color w:val="000000" w:themeColor="text1"/>
          <w:highlight w:val="yellow"/>
        </w:rPr>
        <w:t>Terrade</w:t>
      </w:r>
      <w:proofErr w:type="spellEnd"/>
      <w:r w:rsidRPr="00427111">
        <w:rPr>
          <w:rFonts w:ascii="Arial" w:eastAsia="Arial" w:hAnsi="Arial" w:cs="Arial"/>
          <w:color w:val="000000" w:themeColor="text1"/>
          <w:highlight w:val="yellow"/>
        </w:rPr>
        <w:t xml:space="preserve"> A, </w:t>
      </w:r>
      <w:proofErr w:type="spellStart"/>
      <w:r w:rsidRPr="00427111">
        <w:rPr>
          <w:rFonts w:ascii="Arial" w:eastAsia="Arial" w:hAnsi="Arial" w:cs="Arial"/>
          <w:color w:val="000000" w:themeColor="text1"/>
          <w:highlight w:val="yellow"/>
        </w:rPr>
        <w:t>Deghmane</w:t>
      </w:r>
      <w:proofErr w:type="spellEnd"/>
      <w:r w:rsidRPr="00427111">
        <w:rPr>
          <w:rFonts w:ascii="Arial" w:eastAsia="Arial" w:hAnsi="Arial" w:cs="Arial"/>
          <w:color w:val="000000" w:themeColor="text1"/>
          <w:highlight w:val="yellow"/>
        </w:rPr>
        <w:t xml:space="preserve"> A-E, et al. Increase of invasive meningococcal disease caused by Neisseria meningitidis serogroups C, W, and Y in France in 2022 and 2023. J Infect Public Health. 2023;16(12):1875-8. </w:t>
      </w:r>
      <w:proofErr w:type="spellStart"/>
      <w:r w:rsidRPr="00427111">
        <w:rPr>
          <w:rFonts w:ascii="Arial" w:eastAsia="Arial" w:hAnsi="Arial" w:cs="Arial"/>
          <w:color w:val="000000" w:themeColor="text1"/>
          <w:highlight w:val="yellow"/>
        </w:rPr>
        <w:t>doi</w:t>
      </w:r>
      <w:proofErr w:type="spellEnd"/>
      <w:r w:rsidRPr="00427111">
        <w:rPr>
          <w:rFonts w:ascii="Arial" w:eastAsia="Arial" w:hAnsi="Arial" w:cs="Arial"/>
          <w:color w:val="000000" w:themeColor="text1"/>
          <w:highlight w:val="yellow"/>
        </w:rPr>
        <w:t>: 10.1016/j.jiph.2023.10.001.</w:t>
      </w:r>
    </w:p>
    <w:p w14:paraId="25644DD8" w14:textId="39AC6018" w:rsidR="00D5619B" w:rsidRPr="00427111" w:rsidRDefault="00D5619B" w:rsidP="00CE3D25">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Clark SA, Campbell H, Mensah AA, Lekshmi A, Walker A, Ribeiro S, et al. An increase in group B invasive meningococcal disease among adolescents and young adults in England following easing of COVID-19 containment measures. J Infect. 2022;84(5</w:t>
      </w:r>
      <w:proofErr w:type="gramStart"/>
      <w:r w:rsidRPr="00427111">
        <w:rPr>
          <w:rFonts w:ascii="Arial" w:eastAsia="Arial" w:hAnsi="Arial" w:cs="Arial"/>
          <w:color w:val="000000" w:themeColor="text1"/>
          <w:highlight w:val="yellow"/>
        </w:rPr>
        <w:t>):e</w:t>
      </w:r>
      <w:proofErr w:type="gramEnd"/>
      <w:r w:rsidRPr="00427111">
        <w:rPr>
          <w:rFonts w:ascii="Arial" w:eastAsia="Arial" w:hAnsi="Arial" w:cs="Arial"/>
          <w:color w:val="000000" w:themeColor="text1"/>
          <w:highlight w:val="yellow"/>
        </w:rPr>
        <w:t xml:space="preserve">49-e51. </w:t>
      </w:r>
      <w:proofErr w:type="spellStart"/>
      <w:r w:rsidRPr="00427111">
        <w:rPr>
          <w:rFonts w:ascii="Arial" w:eastAsia="Arial" w:hAnsi="Arial" w:cs="Arial"/>
          <w:color w:val="000000" w:themeColor="text1"/>
          <w:highlight w:val="yellow"/>
        </w:rPr>
        <w:t>doi</w:t>
      </w:r>
      <w:proofErr w:type="spellEnd"/>
      <w:r w:rsidRPr="00427111">
        <w:rPr>
          <w:rFonts w:ascii="Arial" w:eastAsia="Arial" w:hAnsi="Arial" w:cs="Arial"/>
          <w:color w:val="000000" w:themeColor="text1"/>
          <w:highlight w:val="yellow"/>
        </w:rPr>
        <w:t>: 10.1016/j.jinf.2022.02.022.</w:t>
      </w:r>
    </w:p>
    <w:p w14:paraId="2A5165EB" w14:textId="77777777" w:rsidR="002074FB" w:rsidRPr="00427111" w:rsidRDefault="00015AB9">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Chhabria D, Anjankar A. An Overview of Meningococcal Disease's Recent Diagnostic and Treatment Model. Cureus. 2023 Nov. doi:10.7759/cureus.48509.</w:t>
      </w:r>
    </w:p>
    <w:p w14:paraId="145443DF" w14:textId="146833CC" w:rsidR="000C61CF" w:rsidRPr="00427111" w:rsidRDefault="000C61CF" w:rsidP="000C61CF">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Millar B, et al. Meningococcal Disease Section 3: Diagnosis and Management. Ulster Med J. 2018;87(2):94–98.</w:t>
      </w:r>
    </w:p>
    <w:p w14:paraId="231EE06B" w14:textId="42B960BD" w:rsidR="00812AF7" w:rsidRPr="00427111" w:rsidRDefault="00812AF7" w:rsidP="00812AF7">
      <w:pPr>
        <w:numPr>
          <w:ilvl w:val="0"/>
          <w:numId w:val="2"/>
        </w:numPr>
        <w:rPr>
          <w:rFonts w:ascii="Arial" w:eastAsia="Arial" w:hAnsi="Arial" w:cs="Arial"/>
          <w:color w:val="000000" w:themeColor="text1"/>
          <w:highlight w:val="yellow"/>
        </w:rPr>
      </w:pPr>
      <w:r w:rsidRPr="00427111">
        <w:rPr>
          <w:rFonts w:ascii="Arial" w:eastAsia="Arial" w:hAnsi="Arial" w:cs="Arial"/>
          <w:color w:val="000000" w:themeColor="text1"/>
          <w:highlight w:val="yellow"/>
        </w:rPr>
        <w:t xml:space="preserve">WHO. Guidelines on meningitis diagnosis, treatment and care. Geneva: World Health Organization; 2025. Available from: </w:t>
      </w:r>
      <w:hyperlink r:id="rId23">
        <w:r w:rsidRPr="00427111">
          <w:rPr>
            <w:rFonts w:ascii="Arial" w:eastAsia="Arial" w:hAnsi="Arial" w:cs="Arial"/>
            <w:color w:val="000000" w:themeColor="text1"/>
            <w:highlight w:val="yellow"/>
            <w:u w:val="single"/>
          </w:rPr>
          <w:t>https://www.ncbi.nlm.nih.gov/books/NBK614844/</w:t>
        </w:r>
      </w:hyperlink>
    </w:p>
    <w:p w14:paraId="484152E9" w14:textId="68CB94D2" w:rsidR="002074FB" w:rsidRPr="00427111" w:rsidRDefault="00736F37">
      <w:pPr>
        <w:numPr>
          <w:ilvl w:val="0"/>
          <w:numId w:val="2"/>
        </w:numPr>
        <w:rPr>
          <w:rFonts w:ascii="Arial" w:eastAsia="Arial" w:hAnsi="Arial" w:cs="Arial"/>
          <w:color w:val="000000" w:themeColor="text1"/>
          <w:highlight w:val="yellow"/>
        </w:rPr>
      </w:pPr>
      <w:proofErr w:type="spellStart"/>
      <w:r w:rsidRPr="00427111">
        <w:rPr>
          <w:rFonts w:ascii="Arial" w:hAnsi="Arial" w:cs="Arial"/>
          <w:color w:val="000000" w:themeColor="text1"/>
          <w:highlight w:val="yellow"/>
          <w:shd w:val="clear" w:color="auto" w:fill="FFFFFF"/>
        </w:rPr>
        <w:t>Itsko</w:t>
      </w:r>
      <w:proofErr w:type="spellEnd"/>
      <w:r w:rsidRPr="00427111">
        <w:rPr>
          <w:rFonts w:ascii="Arial" w:hAnsi="Arial" w:cs="Arial"/>
          <w:color w:val="000000" w:themeColor="text1"/>
          <w:highlight w:val="yellow"/>
          <w:shd w:val="clear" w:color="auto" w:fill="FFFFFF"/>
        </w:rPr>
        <w:t xml:space="preserve"> M, et al. Enhancing Meningococcal Genomic Surveillance in the Meningitis Belt Using High-Resolution Culture-Free Whole-Genome Sequencing. J Infect Dis. 2022 Sep 4;226(4):729-737. </w:t>
      </w:r>
      <w:proofErr w:type="spellStart"/>
      <w:r w:rsidRPr="00427111">
        <w:rPr>
          <w:rFonts w:ascii="Arial" w:hAnsi="Arial" w:cs="Arial"/>
          <w:color w:val="000000" w:themeColor="text1"/>
          <w:highlight w:val="yellow"/>
          <w:shd w:val="clear" w:color="auto" w:fill="FFFFFF"/>
        </w:rPr>
        <w:t>doi</w:t>
      </w:r>
      <w:proofErr w:type="spellEnd"/>
      <w:r w:rsidRPr="00427111">
        <w:rPr>
          <w:rFonts w:ascii="Arial" w:hAnsi="Arial" w:cs="Arial"/>
          <w:color w:val="000000" w:themeColor="text1"/>
          <w:highlight w:val="yellow"/>
          <w:shd w:val="clear" w:color="auto" w:fill="FFFFFF"/>
        </w:rPr>
        <w:t>: 10.1093/</w:t>
      </w:r>
      <w:proofErr w:type="spellStart"/>
      <w:r w:rsidRPr="00427111">
        <w:rPr>
          <w:rFonts w:ascii="Arial" w:hAnsi="Arial" w:cs="Arial"/>
          <w:color w:val="000000" w:themeColor="text1"/>
          <w:highlight w:val="yellow"/>
          <w:shd w:val="clear" w:color="auto" w:fill="FFFFFF"/>
        </w:rPr>
        <w:t>infdis</w:t>
      </w:r>
      <w:proofErr w:type="spellEnd"/>
      <w:r w:rsidRPr="00427111">
        <w:rPr>
          <w:rFonts w:ascii="Arial" w:hAnsi="Arial" w:cs="Arial"/>
          <w:color w:val="000000" w:themeColor="text1"/>
          <w:highlight w:val="yellow"/>
          <w:shd w:val="clear" w:color="auto" w:fill="FFFFFF"/>
        </w:rPr>
        <w:t>/jiac104. PMID: 35325163; PMCID: PMC11091911.</w:t>
      </w:r>
    </w:p>
    <w:p w14:paraId="3A2039F5" w14:textId="0CABBC06" w:rsidR="00736F37" w:rsidRPr="00427111" w:rsidRDefault="00736F37">
      <w:pPr>
        <w:numPr>
          <w:ilvl w:val="0"/>
          <w:numId w:val="2"/>
        </w:numPr>
        <w:rPr>
          <w:rFonts w:ascii="Arial" w:eastAsia="Arial" w:hAnsi="Arial" w:cs="Arial"/>
          <w:color w:val="000000" w:themeColor="text1"/>
          <w:highlight w:val="yellow"/>
        </w:rPr>
      </w:pPr>
      <w:r w:rsidRPr="00427111">
        <w:rPr>
          <w:rFonts w:ascii="Arial" w:hAnsi="Arial" w:cs="Arial"/>
          <w:color w:val="000000" w:themeColor="text1"/>
          <w:highlight w:val="yellow"/>
          <w:shd w:val="clear" w:color="auto" w:fill="FFFFFF"/>
        </w:rPr>
        <w:lastRenderedPageBreak/>
        <w:t xml:space="preserve">Sotheran E, et al. Genomic Surveillance of Invasive Meningococcal Disease During a National </w:t>
      </w:r>
      <w:proofErr w:type="spellStart"/>
      <w:r w:rsidRPr="00427111">
        <w:rPr>
          <w:rFonts w:ascii="Arial" w:hAnsi="Arial" w:cs="Arial"/>
          <w:color w:val="000000" w:themeColor="text1"/>
          <w:highlight w:val="yellow"/>
          <w:shd w:val="clear" w:color="auto" w:fill="FFFFFF"/>
        </w:rPr>
        <w:t>MenW</w:t>
      </w:r>
      <w:proofErr w:type="spellEnd"/>
      <w:r w:rsidRPr="00427111">
        <w:rPr>
          <w:rFonts w:ascii="Arial" w:hAnsi="Arial" w:cs="Arial"/>
          <w:color w:val="000000" w:themeColor="text1"/>
          <w:highlight w:val="yellow"/>
          <w:shd w:val="clear" w:color="auto" w:fill="FFFFFF"/>
        </w:rPr>
        <w:t xml:space="preserve"> Outbreak in Australia, 2017-2018. Open Forum Infect Dis. 2024 May 2;11(6</w:t>
      </w:r>
      <w:proofErr w:type="gramStart"/>
      <w:r w:rsidRPr="00427111">
        <w:rPr>
          <w:rFonts w:ascii="Arial" w:hAnsi="Arial" w:cs="Arial"/>
          <w:color w:val="000000" w:themeColor="text1"/>
          <w:highlight w:val="yellow"/>
          <w:shd w:val="clear" w:color="auto" w:fill="FFFFFF"/>
        </w:rPr>
        <w:t>):ofae</w:t>
      </w:r>
      <w:proofErr w:type="gramEnd"/>
      <w:r w:rsidRPr="00427111">
        <w:rPr>
          <w:rFonts w:ascii="Arial" w:hAnsi="Arial" w:cs="Arial"/>
          <w:color w:val="000000" w:themeColor="text1"/>
          <w:highlight w:val="yellow"/>
          <w:shd w:val="clear" w:color="auto" w:fill="FFFFFF"/>
        </w:rPr>
        <w:t xml:space="preserve">249. </w:t>
      </w:r>
      <w:proofErr w:type="spellStart"/>
      <w:r w:rsidRPr="00427111">
        <w:rPr>
          <w:rFonts w:ascii="Arial" w:hAnsi="Arial" w:cs="Arial"/>
          <w:color w:val="000000" w:themeColor="text1"/>
          <w:highlight w:val="yellow"/>
          <w:shd w:val="clear" w:color="auto" w:fill="FFFFFF"/>
        </w:rPr>
        <w:t>doi</w:t>
      </w:r>
      <w:proofErr w:type="spellEnd"/>
      <w:r w:rsidRPr="00427111">
        <w:rPr>
          <w:rFonts w:ascii="Arial" w:hAnsi="Arial" w:cs="Arial"/>
          <w:color w:val="000000" w:themeColor="text1"/>
          <w:highlight w:val="yellow"/>
          <w:shd w:val="clear" w:color="auto" w:fill="FFFFFF"/>
        </w:rPr>
        <w:t>: 10.1093/</w:t>
      </w:r>
      <w:proofErr w:type="spellStart"/>
      <w:r w:rsidRPr="00427111">
        <w:rPr>
          <w:rFonts w:ascii="Arial" w:hAnsi="Arial" w:cs="Arial"/>
          <w:color w:val="000000" w:themeColor="text1"/>
          <w:highlight w:val="yellow"/>
          <w:shd w:val="clear" w:color="auto" w:fill="FFFFFF"/>
        </w:rPr>
        <w:t>ofid</w:t>
      </w:r>
      <w:proofErr w:type="spellEnd"/>
      <w:r w:rsidRPr="00427111">
        <w:rPr>
          <w:rFonts w:ascii="Arial" w:hAnsi="Arial" w:cs="Arial"/>
          <w:color w:val="000000" w:themeColor="text1"/>
          <w:highlight w:val="yellow"/>
          <w:shd w:val="clear" w:color="auto" w:fill="FFFFFF"/>
        </w:rPr>
        <w:t>/ofae249. PMID: 38854393; PMCID: PMC11161896.</w:t>
      </w:r>
    </w:p>
    <w:p w14:paraId="75B12137" w14:textId="17A58220" w:rsidR="00736F37" w:rsidRPr="00427111" w:rsidRDefault="00736F37">
      <w:pPr>
        <w:numPr>
          <w:ilvl w:val="0"/>
          <w:numId w:val="2"/>
        </w:numPr>
        <w:rPr>
          <w:rFonts w:ascii="Arial" w:eastAsia="Arial" w:hAnsi="Arial" w:cs="Arial"/>
          <w:color w:val="000000" w:themeColor="text1"/>
          <w:highlight w:val="yellow"/>
        </w:rPr>
      </w:pPr>
      <w:proofErr w:type="spellStart"/>
      <w:r w:rsidRPr="00427111">
        <w:rPr>
          <w:rFonts w:ascii="Arial" w:eastAsia="Arial" w:hAnsi="Arial" w:cs="Arial"/>
          <w:color w:val="000000" w:themeColor="text1"/>
          <w:highlight w:val="yellow"/>
        </w:rPr>
        <w:t>Cassiolato</w:t>
      </w:r>
      <w:proofErr w:type="spellEnd"/>
      <w:r w:rsidRPr="00427111">
        <w:rPr>
          <w:rFonts w:ascii="Arial" w:eastAsia="Arial" w:hAnsi="Arial" w:cs="Arial"/>
          <w:color w:val="000000" w:themeColor="text1"/>
          <w:highlight w:val="yellow"/>
        </w:rPr>
        <w:t xml:space="preserve"> AP, Camargo CH, Piccoli Cecconi MC, Christakis S, Gonçalves CR, Campos KR, et al. Genomic characterization of invasive meningococcal X isolates from Brazil, 1992–2022. Int Microbiol. 2024;27(2):499-509. </w:t>
      </w:r>
      <w:proofErr w:type="spellStart"/>
      <w:r w:rsidRPr="00427111">
        <w:rPr>
          <w:rFonts w:ascii="Arial" w:eastAsia="Arial" w:hAnsi="Arial" w:cs="Arial"/>
          <w:color w:val="000000" w:themeColor="text1"/>
          <w:highlight w:val="yellow"/>
        </w:rPr>
        <w:t>doi</w:t>
      </w:r>
      <w:proofErr w:type="spellEnd"/>
      <w:r w:rsidRPr="00427111">
        <w:rPr>
          <w:rFonts w:ascii="Arial" w:eastAsia="Arial" w:hAnsi="Arial" w:cs="Arial"/>
          <w:color w:val="000000" w:themeColor="text1"/>
          <w:highlight w:val="yellow"/>
        </w:rPr>
        <w:t>: 10.1007/s10123-023-00325-5.</w:t>
      </w:r>
    </w:p>
    <w:p w14:paraId="355A564F" w14:textId="77777777" w:rsidR="007E3EAF" w:rsidRPr="00427111" w:rsidRDefault="007E3EAF" w:rsidP="007E3EAF">
      <w:pPr>
        <w:pStyle w:val="ds-markdown-paragraph"/>
        <w:numPr>
          <w:ilvl w:val="0"/>
          <w:numId w:val="2"/>
        </w:numPr>
        <w:shd w:val="clear" w:color="auto" w:fill="FFFFFF"/>
        <w:spacing w:before="0" w:beforeAutospacing="0" w:after="0" w:afterAutospacing="0"/>
        <w:rPr>
          <w:rFonts w:ascii="Arial" w:hAnsi="Arial" w:cs="Arial"/>
          <w:color w:val="000000" w:themeColor="text1"/>
          <w:sz w:val="20"/>
          <w:szCs w:val="20"/>
          <w:highlight w:val="yellow"/>
        </w:rPr>
      </w:pPr>
      <w:r w:rsidRPr="00427111">
        <w:rPr>
          <w:rStyle w:val="Strong"/>
          <w:rFonts w:ascii="Arial" w:hAnsi="Arial" w:cs="Arial"/>
          <w:b w:val="0"/>
          <w:bCs w:val="0"/>
          <w:color w:val="000000" w:themeColor="text1"/>
          <w:sz w:val="20"/>
          <w:szCs w:val="20"/>
          <w:highlight w:val="yellow"/>
        </w:rPr>
        <w:t>Arteta-Acosta C, Villena R, Hormazabal JC, Fernández J, Santolaya ME.</w:t>
      </w:r>
      <w:r w:rsidRPr="00427111">
        <w:rPr>
          <w:rFonts w:ascii="Arial" w:hAnsi="Arial" w:cs="Arial"/>
          <w:color w:val="000000" w:themeColor="text1"/>
          <w:sz w:val="20"/>
          <w:szCs w:val="20"/>
          <w:highlight w:val="yellow"/>
        </w:rPr>
        <w:t> Whole-genome sequencing of Neisseria meningitidis collected in Chile from pediatric patients during 2016–2019 and coverage vaccine pred. Vaccine. 2024;42(24):5269-77. doi: 10.1016/j.vaccine.2024.06.080.</w:t>
      </w:r>
    </w:p>
    <w:p w14:paraId="4C3A468C" w14:textId="77777777" w:rsidR="00D54F96" w:rsidRDefault="00D54F96" w:rsidP="00D54F96">
      <w:pPr>
        <w:rPr>
          <w:rFonts w:ascii="Arial" w:hAnsi="Arial" w:cs="Arial"/>
        </w:rPr>
      </w:pPr>
    </w:p>
    <w:p w14:paraId="6A4226BD" w14:textId="77777777" w:rsidR="002074FB" w:rsidRPr="0058618F" w:rsidRDefault="002074FB">
      <w:pPr>
        <w:keepNext/>
        <w:pBdr>
          <w:top w:val="nil"/>
          <w:left w:val="nil"/>
          <w:bottom w:val="nil"/>
          <w:right w:val="nil"/>
          <w:between w:val="nil"/>
        </w:pBdr>
        <w:jc w:val="both"/>
        <w:rPr>
          <w:rFonts w:ascii="Arial" w:eastAsia="Arial" w:hAnsi="Arial" w:cs="Arial"/>
          <w:smallCaps/>
          <w:color w:val="000000"/>
          <w:sz w:val="22"/>
          <w:szCs w:val="22"/>
        </w:rPr>
      </w:pPr>
    </w:p>
    <w:sectPr w:rsidR="002074FB" w:rsidRPr="0058618F" w:rsidSect="00414B79">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AD93" w14:textId="77777777" w:rsidR="00E3410E" w:rsidRDefault="00E3410E">
      <w:r>
        <w:separator/>
      </w:r>
    </w:p>
  </w:endnote>
  <w:endnote w:type="continuationSeparator" w:id="0">
    <w:p w14:paraId="2B2282B0" w14:textId="77777777" w:rsidR="00E3410E" w:rsidRDefault="00E3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2C0D" w14:textId="77777777" w:rsidR="002074FB" w:rsidRDefault="002074F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6B6E" w14:textId="77777777" w:rsidR="00414B79" w:rsidRDefault="00414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223C" w14:textId="77777777" w:rsidR="002074FB" w:rsidRDefault="002074FB">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4D914C16" w14:textId="77777777" w:rsidR="002074FB" w:rsidRDefault="00015AB9">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5A20BE3C" w14:textId="77777777" w:rsidR="002074FB" w:rsidRDefault="002074FB">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352EE042" w14:textId="77777777" w:rsidR="002074FB" w:rsidRDefault="00015AB9">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6307" w14:textId="77777777" w:rsidR="002074FB" w:rsidRDefault="002074F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DDE63" w14:textId="77777777" w:rsidR="00E3410E" w:rsidRDefault="00E3410E">
      <w:r>
        <w:separator/>
      </w:r>
    </w:p>
  </w:footnote>
  <w:footnote w:type="continuationSeparator" w:id="0">
    <w:p w14:paraId="22AB4D4D" w14:textId="77777777" w:rsidR="00E3410E" w:rsidRDefault="00E3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290E" w14:textId="0D3DE064" w:rsidR="002074FB" w:rsidRDefault="00E3410E">
    <w:pPr>
      <w:pBdr>
        <w:top w:val="nil"/>
        <w:left w:val="nil"/>
        <w:bottom w:val="nil"/>
        <w:right w:val="nil"/>
        <w:between w:val="nil"/>
      </w:pBdr>
      <w:tabs>
        <w:tab w:val="center" w:pos="4320"/>
        <w:tab w:val="right" w:pos="8640"/>
      </w:tabs>
      <w:rPr>
        <w:color w:val="000000"/>
      </w:rPr>
    </w:pPr>
    <w:r>
      <w:rPr>
        <w:noProof/>
      </w:rPr>
      <w:pict w14:anchorId="16671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6"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5803" w14:textId="72BDE660" w:rsidR="002074FB" w:rsidRDefault="00E3410E">
    <w:pPr>
      <w:pBdr>
        <w:top w:val="nil"/>
        <w:left w:val="nil"/>
        <w:bottom w:val="nil"/>
        <w:right w:val="nil"/>
        <w:between w:val="nil"/>
      </w:pBdr>
      <w:tabs>
        <w:tab w:val="center" w:pos="4320"/>
        <w:tab w:val="right" w:pos="8640"/>
      </w:tabs>
      <w:rPr>
        <w:color w:val="000000"/>
      </w:rPr>
    </w:pPr>
    <w:r>
      <w:rPr>
        <w:noProof/>
      </w:rPr>
      <w:pict w14:anchorId="4122E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7"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8EA9" w14:textId="7A5AFB08" w:rsidR="002074FB" w:rsidRDefault="00E3410E">
    <w:pPr>
      <w:ind w:left="2160"/>
      <w:jc w:val="center"/>
      <w:rPr>
        <w:rFonts w:ascii="Times New Roman" w:eastAsia="Times New Roman" w:hAnsi="Times New Roman" w:cs="Times New Roman"/>
        <w:i/>
        <w:sz w:val="18"/>
        <w:szCs w:val="18"/>
      </w:rPr>
    </w:pPr>
    <w:r>
      <w:rPr>
        <w:noProof/>
      </w:rPr>
      <w:pict w14:anchorId="2621D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5"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 Neue&quot;;font-size:1pt" string="UNDER PEER REVIEW"/>
          <w10:wrap anchorx="margin" anchory="margin"/>
        </v:shape>
      </w:pict>
    </w:r>
  </w:p>
  <w:p w14:paraId="3FEB9C59" w14:textId="77777777" w:rsidR="002074FB" w:rsidRDefault="00015AB9">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CD9C997" w14:textId="77777777" w:rsidR="002074FB" w:rsidRDefault="00015AB9">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5A1775BA" w14:textId="77777777" w:rsidR="002074FB" w:rsidRDefault="00015AB9">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510C5289" w14:textId="77777777" w:rsidR="002074FB" w:rsidRDefault="00015AB9">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60C7362C" w14:textId="77777777" w:rsidR="002074FB" w:rsidRDefault="00015AB9">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55761F1C" w14:textId="77777777" w:rsidR="002074FB" w:rsidRDefault="00015AB9">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D887" w14:textId="0F750BDD" w:rsidR="00414B79" w:rsidRDefault="00E3410E">
    <w:pPr>
      <w:pStyle w:val="Header"/>
    </w:pPr>
    <w:r>
      <w:rPr>
        <w:noProof/>
      </w:rPr>
      <w:pict w14:anchorId="099A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9"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 Neu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4794" w14:textId="48A70E9D" w:rsidR="00414B79" w:rsidRDefault="00E3410E">
    <w:pPr>
      <w:pStyle w:val="Header"/>
    </w:pPr>
    <w:r>
      <w:rPr>
        <w:noProof/>
      </w:rPr>
      <w:pict w14:anchorId="66438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30"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 Neue&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E099" w14:textId="68148116" w:rsidR="00414B79" w:rsidRDefault="00E3410E">
    <w:pPr>
      <w:pStyle w:val="Header"/>
    </w:pPr>
    <w:r>
      <w:rPr>
        <w:noProof/>
      </w:rPr>
      <w:pict w14:anchorId="7F6F3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8"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1EE"/>
    <w:multiLevelType w:val="multilevel"/>
    <w:tmpl w:val="4AA043F2"/>
    <w:lvl w:ilvl="0">
      <w:start w:val="1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525F14"/>
    <w:multiLevelType w:val="multilevel"/>
    <w:tmpl w:val="7FAECB06"/>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FC53CD"/>
    <w:multiLevelType w:val="multilevel"/>
    <w:tmpl w:val="72C2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466CE"/>
    <w:multiLevelType w:val="multilevel"/>
    <w:tmpl w:val="88300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783B2F"/>
    <w:multiLevelType w:val="multilevel"/>
    <w:tmpl w:val="7A569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79F63347"/>
    <w:multiLevelType w:val="multilevel"/>
    <w:tmpl w:val="C7302B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FB"/>
    <w:rsid w:val="00015AB9"/>
    <w:rsid w:val="000C61CF"/>
    <w:rsid w:val="001200E9"/>
    <w:rsid w:val="00136109"/>
    <w:rsid w:val="0014306E"/>
    <w:rsid w:val="001A1166"/>
    <w:rsid w:val="001E66F9"/>
    <w:rsid w:val="002074FB"/>
    <w:rsid w:val="00235119"/>
    <w:rsid w:val="00284D71"/>
    <w:rsid w:val="002A2F9B"/>
    <w:rsid w:val="00317AA8"/>
    <w:rsid w:val="0034187E"/>
    <w:rsid w:val="003560D4"/>
    <w:rsid w:val="003641F8"/>
    <w:rsid w:val="003A1827"/>
    <w:rsid w:val="00414B79"/>
    <w:rsid w:val="00427111"/>
    <w:rsid w:val="00472DB2"/>
    <w:rsid w:val="004B160B"/>
    <w:rsid w:val="00525BDE"/>
    <w:rsid w:val="005429B4"/>
    <w:rsid w:val="00581253"/>
    <w:rsid w:val="0058618F"/>
    <w:rsid w:val="00651774"/>
    <w:rsid w:val="00695BF8"/>
    <w:rsid w:val="007318AF"/>
    <w:rsid w:val="00736F37"/>
    <w:rsid w:val="0076111F"/>
    <w:rsid w:val="0077247D"/>
    <w:rsid w:val="007E3EAF"/>
    <w:rsid w:val="00812AF7"/>
    <w:rsid w:val="008578B7"/>
    <w:rsid w:val="00865650"/>
    <w:rsid w:val="00873F51"/>
    <w:rsid w:val="008856CF"/>
    <w:rsid w:val="008D2F35"/>
    <w:rsid w:val="009E4C53"/>
    <w:rsid w:val="00A3255B"/>
    <w:rsid w:val="00AA530B"/>
    <w:rsid w:val="00AD4F34"/>
    <w:rsid w:val="00AE5549"/>
    <w:rsid w:val="00AF101C"/>
    <w:rsid w:val="00B40B66"/>
    <w:rsid w:val="00BB18A0"/>
    <w:rsid w:val="00C012E7"/>
    <w:rsid w:val="00C01FEE"/>
    <w:rsid w:val="00C72B57"/>
    <w:rsid w:val="00CE3D25"/>
    <w:rsid w:val="00D41717"/>
    <w:rsid w:val="00D54F96"/>
    <w:rsid w:val="00D5619B"/>
    <w:rsid w:val="00D70532"/>
    <w:rsid w:val="00DB7642"/>
    <w:rsid w:val="00E16C01"/>
    <w:rsid w:val="00E3410E"/>
    <w:rsid w:val="00E92F65"/>
    <w:rsid w:val="00FC27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006292"/>
  <w15:docId w15:val="{C4804C99-B856-453E-9320-FB1E0626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360"/>
      <w:jc w:val="right"/>
    </w:pPr>
    <w:rPr>
      <w:b/>
      <w:sz w:val="36"/>
      <w:szCs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012E7"/>
    <w:rPr>
      <w:color w:val="605E5C"/>
      <w:shd w:val="clear" w:color="auto" w:fill="E1DFDD"/>
    </w:rPr>
  </w:style>
  <w:style w:type="character" w:styleId="Strong">
    <w:name w:val="Strong"/>
    <w:basedOn w:val="DefaultParagraphFont"/>
    <w:uiPriority w:val="22"/>
    <w:qFormat/>
    <w:rsid w:val="007318AF"/>
    <w:rPr>
      <w:b/>
      <w:bCs/>
    </w:rPr>
  </w:style>
  <w:style w:type="paragraph" w:styleId="ListParagraph">
    <w:name w:val="List Paragraph"/>
    <w:basedOn w:val="Normal"/>
    <w:uiPriority w:val="34"/>
    <w:qFormat/>
    <w:rsid w:val="00D41717"/>
    <w:pPr>
      <w:ind w:left="720"/>
      <w:contextualSpacing/>
    </w:pPr>
  </w:style>
  <w:style w:type="paragraph" w:styleId="NormalWeb">
    <w:name w:val="Normal (Web)"/>
    <w:basedOn w:val="Normal"/>
    <w:uiPriority w:val="99"/>
    <w:semiHidden/>
    <w:unhideWhenUsed/>
    <w:rsid w:val="00BB18A0"/>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s-markdown-paragraph">
    <w:name w:val="ds-markdown-paragraph"/>
    <w:basedOn w:val="Normal"/>
    <w:rsid w:val="007E3EAF"/>
    <w:pPr>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23" Type="http://schemas.openxmlformats.org/officeDocument/2006/relationships/hyperlink" Target="https://www.ncbi.nlm.nih.gov/books/NBK61484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hyperlink" Target="https://www.who.int/news-room/fact-sheets/detail/meningitis"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0NjXpZ9ML03vzAU8NnrQPeNXA==">CgMxLjAyDmguaThjNnk1bWh0OWNoOAByITFhLTlxaU85UkNGSEhJOWhLRzhtc0xvOFF5c3dfZy1CTg==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3082</Words>
  <Characters>17574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1089</cp:lastModifiedBy>
  <cp:revision>21</cp:revision>
  <dcterms:created xsi:type="dcterms:W3CDTF">2025-10-10T17:08:00Z</dcterms:created>
  <dcterms:modified xsi:type="dcterms:W3CDTF">2025-10-16T06:08:00Z</dcterms:modified>
</cp:coreProperties>
</file>